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0FD9" w14:textId="695894E6" w:rsidR="003A6688" w:rsidRDefault="00945213" w:rsidP="00945213">
      <w:pPr>
        <w:spacing w:after="120"/>
        <w:jc w:val="center"/>
        <w:rPr>
          <w:b/>
          <w:bCs/>
          <w:u w:val="single"/>
        </w:rPr>
      </w:pPr>
      <w:r w:rsidRPr="00945213">
        <w:rPr>
          <w:b/>
          <w:bCs/>
          <w:u w:val="single"/>
        </w:rPr>
        <w:t>NEXUS Communication Plan</w:t>
      </w:r>
    </w:p>
    <w:p w14:paraId="06553BFC" w14:textId="7E347473" w:rsidR="00945213" w:rsidRDefault="00945213" w:rsidP="00945213">
      <w:pPr>
        <w:jc w:val="center"/>
      </w:pPr>
      <w:r w:rsidRPr="00945213">
        <w:t>Ju</w:t>
      </w:r>
      <w:r w:rsidR="00B04A1D">
        <w:t>ly 12</w:t>
      </w:r>
      <w:r w:rsidRPr="00945213">
        <w:t>, 2021</w:t>
      </w:r>
    </w:p>
    <w:p w14:paraId="41B73B99" w14:textId="77777777" w:rsidR="002E612A" w:rsidRDefault="002E612A" w:rsidP="002E612A">
      <w:pPr>
        <w:rPr>
          <w:b/>
          <w:bCs/>
        </w:rPr>
      </w:pPr>
      <w:r>
        <w:rPr>
          <w:b/>
          <w:bCs/>
        </w:rPr>
        <w:t>Key Messages</w:t>
      </w:r>
    </w:p>
    <w:p w14:paraId="2D7640EA" w14:textId="673CE0BF" w:rsidR="002E612A" w:rsidRPr="002E612A" w:rsidRDefault="002E612A" w:rsidP="002E612A">
      <w:pPr>
        <w:pStyle w:val="ListParagraph"/>
        <w:numPr>
          <w:ilvl w:val="0"/>
          <w:numId w:val="9"/>
        </w:numPr>
        <w:rPr>
          <w:b/>
          <w:bCs/>
        </w:rPr>
      </w:pPr>
      <w:r>
        <w:t>M</w:t>
      </w:r>
      <w:r w:rsidR="00986188">
        <w:t>ultipollutant air quality issues</w:t>
      </w:r>
      <w:r>
        <w:t xml:space="preserve"> are complex</w:t>
      </w:r>
      <w:r w:rsidR="00986188">
        <w:t>.</w:t>
      </w:r>
      <w:r>
        <w:t xml:space="preserve"> </w:t>
      </w:r>
      <w:r w:rsidR="00986188">
        <w:t>In</w:t>
      </w:r>
      <w:r>
        <w:t xml:space="preserve"> order</w:t>
      </w:r>
      <w:r w:rsidR="00986188">
        <w:t xml:space="preserve"> to</w:t>
      </w:r>
      <w:r>
        <w:t xml:space="preserve"> </w:t>
      </w:r>
      <w:r w:rsidR="00986188">
        <w:t xml:space="preserve">understand the nature of </w:t>
      </w:r>
      <w:r w:rsidR="009D09DF">
        <w:t>a</w:t>
      </w:r>
      <w:r w:rsidR="00986188">
        <w:t xml:space="preserve"> multipollutant problem while working</w:t>
      </w:r>
      <w:r>
        <w:t xml:space="preserve"> effectively with</w:t>
      </w:r>
      <w:r w:rsidR="009D09DF">
        <w:t xml:space="preserve"> </w:t>
      </w:r>
      <w:r w:rsidR="002A1F79">
        <w:t>SLT air agencies and</w:t>
      </w:r>
      <w:r w:rsidR="009D09DF">
        <w:t>/or</w:t>
      </w:r>
      <w:r w:rsidR="002A1F79">
        <w:t xml:space="preserve"> </w:t>
      </w:r>
      <w:r w:rsidR="00986188">
        <w:t>local communities,</w:t>
      </w:r>
      <w:r>
        <w:t xml:space="preserve"> a </w:t>
      </w:r>
      <w:r w:rsidR="00986188">
        <w:t xml:space="preserve">user-friendly </w:t>
      </w:r>
      <w:r>
        <w:t>tool</w:t>
      </w:r>
      <w:r w:rsidR="00986188">
        <w:t xml:space="preserve"> </w:t>
      </w:r>
      <w:r w:rsidR="007C32B5">
        <w:t xml:space="preserve">that integrates multiple datasets </w:t>
      </w:r>
      <w:r w:rsidR="00986188">
        <w:t>is necessary.</w:t>
      </w:r>
    </w:p>
    <w:p w14:paraId="5EA9DC28" w14:textId="377E1375" w:rsidR="002E612A" w:rsidRDefault="002A1F79" w:rsidP="002E612A">
      <w:pPr>
        <w:pStyle w:val="ListParagraph"/>
        <w:numPr>
          <w:ilvl w:val="0"/>
          <w:numId w:val="9"/>
        </w:numPr>
      </w:pPr>
      <w:r>
        <w:t xml:space="preserve">The </w:t>
      </w:r>
      <w:r w:rsidR="002E612A" w:rsidRPr="002A1F79">
        <w:t>NEXUS</w:t>
      </w:r>
      <w:r w:rsidR="002E612A">
        <w:t xml:space="preserve"> </w:t>
      </w:r>
      <w:r>
        <w:t xml:space="preserve">advanced screening tool </w:t>
      </w:r>
      <w:r w:rsidR="002E612A">
        <w:t xml:space="preserve">is a unique tool with the ability to </w:t>
      </w:r>
      <w:r w:rsidR="007C32B5">
        <w:t xml:space="preserve">access and </w:t>
      </w:r>
      <w:r w:rsidR="002E612A">
        <w:t>display multiple data layers in one place, including criteria and toxic pollutant emissions, concentrations, and risk data; criteria and toxic pollutant monitoring data; EJ/demographic indicators; nonattainment/advance areas, tribal boundaries, and class I areas.</w:t>
      </w:r>
    </w:p>
    <w:p w14:paraId="15A7CA0C" w14:textId="3BC7E24D" w:rsidR="002E612A" w:rsidRPr="002E612A" w:rsidRDefault="002A1F79" w:rsidP="002E612A">
      <w:pPr>
        <w:pStyle w:val="ListParagraph"/>
        <w:numPr>
          <w:ilvl w:val="0"/>
          <w:numId w:val="9"/>
        </w:numPr>
        <w:rPr>
          <w:b/>
          <w:bCs/>
        </w:rPr>
      </w:pPr>
      <w:r>
        <w:t>NEXUS is being developed</w:t>
      </w:r>
      <w:r w:rsidR="002E612A">
        <w:t xml:space="preserve"> to identify geographic areas where health risks related to ozone, PM</w:t>
      </w:r>
      <w:r w:rsidR="002E612A" w:rsidRPr="002E612A">
        <w:rPr>
          <w:vertAlign w:val="subscript"/>
        </w:rPr>
        <w:t>2.5</w:t>
      </w:r>
      <w:r w:rsidR="002E612A" w:rsidRPr="00F12BCA">
        <w:t xml:space="preserve"> </w:t>
      </w:r>
      <w:r w:rsidR="002E612A">
        <w:t>and air toxics overlap (</w:t>
      </w:r>
      <w:r w:rsidR="002E612A" w:rsidRPr="007C32B5">
        <w:t>the</w:t>
      </w:r>
      <w:r w:rsidR="002E612A" w:rsidRPr="002E612A">
        <w:rPr>
          <w:i/>
          <w:iCs/>
        </w:rPr>
        <w:t xml:space="preserve"> NEXUS</w:t>
      </w:r>
      <w:r w:rsidR="002E612A">
        <w:t>)</w:t>
      </w:r>
      <w:r w:rsidR="007C32B5">
        <w:t xml:space="preserve">, inform users about the nature of an area’s multipollutant air quality issues, and support EPA efforts with state/local/tribal air agencies </w:t>
      </w:r>
      <w:r w:rsidR="002E612A">
        <w:t xml:space="preserve">for </w:t>
      </w:r>
      <w:r w:rsidR="007B77EF">
        <w:t xml:space="preserve">developing </w:t>
      </w:r>
      <w:r w:rsidR="002E612A">
        <w:t xml:space="preserve">multipollutant </w:t>
      </w:r>
      <w:r w:rsidR="007C32B5">
        <w:t>control strateg</w:t>
      </w:r>
      <w:r w:rsidR="007B77EF">
        <w:t>ies</w:t>
      </w:r>
      <w:r>
        <w:t>.</w:t>
      </w:r>
    </w:p>
    <w:p w14:paraId="63611001" w14:textId="1FB924B1" w:rsidR="00945213" w:rsidRPr="000F005B" w:rsidRDefault="00945213" w:rsidP="00945213">
      <w:pPr>
        <w:rPr>
          <w:b/>
          <w:bCs/>
        </w:rPr>
      </w:pPr>
      <w:r w:rsidRPr="000F005B">
        <w:rPr>
          <w:b/>
          <w:bCs/>
        </w:rPr>
        <w:t>Background</w:t>
      </w:r>
    </w:p>
    <w:p w14:paraId="1F90BA92" w14:textId="77777777" w:rsidR="002A1F79" w:rsidRDefault="00945213" w:rsidP="001D1FD8">
      <w:pPr>
        <w:pStyle w:val="ListParagraph"/>
        <w:numPr>
          <w:ilvl w:val="0"/>
          <w:numId w:val="1"/>
        </w:numPr>
        <w:ind w:left="720"/>
      </w:pPr>
      <w:r>
        <w:t xml:space="preserve">OAQPS supports a comprehensive, </w:t>
      </w:r>
      <w:r w:rsidRPr="002A1F79">
        <w:t>multipollutant</w:t>
      </w:r>
      <w:r>
        <w:t xml:space="preserve"> treatment of air quality problems to effectively improve air quality and make the most efficient use of available resources</w:t>
      </w:r>
      <w:r w:rsidR="002A1F79">
        <w:t>.</w:t>
      </w:r>
    </w:p>
    <w:p w14:paraId="4ADB4390" w14:textId="62EF42D5" w:rsidR="002A1F79" w:rsidRPr="002A1F79" w:rsidRDefault="002A1F79" w:rsidP="001D1FD8">
      <w:pPr>
        <w:pStyle w:val="ListParagraph"/>
        <w:numPr>
          <w:ilvl w:val="0"/>
          <w:numId w:val="1"/>
        </w:numPr>
        <w:ind w:left="720"/>
      </w:pPr>
      <w:r w:rsidRPr="00B40447">
        <w:t xml:space="preserve">Success has been demonstrated through a proof of concept </w:t>
      </w:r>
      <w:r>
        <w:t>pilot project</w:t>
      </w:r>
      <w:r w:rsidRPr="00B40447">
        <w:t xml:space="preserve"> in </w:t>
      </w:r>
      <w:hyperlink r:id="rId11" w:history="1">
        <w:r w:rsidRPr="002A1F79">
          <w:rPr>
            <w:rStyle w:val="Hyperlink"/>
          </w:rPr>
          <w:t>Detroit</w:t>
        </w:r>
      </w:hyperlink>
      <w:r w:rsidRPr="00B40447">
        <w:t xml:space="preserve">, in </w:t>
      </w:r>
      <w:r>
        <w:t xml:space="preserve">the upstate </w:t>
      </w:r>
      <w:hyperlink r:id="rId12" w:history="1">
        <w:r w:rsidRPr="002A1F79">
          <w:rPr>
            <w:rStyle w:val="Hyperlink"/>
          </w:rPr>
          <w:t>South Carolina</w:t>
        </w:r>
      </w:hyperlink>
      <w:r>
        <w:t xml:space="preserve"> region,</w:t>
      </w:r>
      <w:r w:rsidRPr="00B40447">
        <w:t xml:space="preserve"> and </w:t>
      </w:r>
      <w:r>
        <w:t>a</w:t>
      </w:r>
      <w:r w:rsidRPr="00B40447">
        <w:t xml:space="preserve"> project is currently underway in </w:t>
      </w:r>
      <w:hyperlink r:id="rId13" w:history="1">
        <w:r w:rsidRPr="002A1F79">
          <w:rPr>
            <w:rStyle w:val="Hyperlink"/>
          </w:rPr>
          <w:t>Louisville</w:t>
        </w:r>
      </w:hyperlink>
      <w:r>
        <w:t>.</w:t>
      </w:r>
      <w:r w:rsidRPr="002A1F79">
        <w:rPr>
          <w:b/>
          <w:bCs/>
        </w:rPr>
        <w:t xml:space="preserve"> </w:t>
      </w:r>
    </w:p>
    <w:p w14:paraId="1BD3F693" w14:textId="4BD87A5E" w:rsidR="001D1FD8" w:rsidRDefault="001D1FD8" w:rsidP="001D1FD8">
      <w:pPr>
        <w:rPr>
          <w:b/>
          <w:bCs/>
        </w:rPr>
      </w:pPr>
      <w:r>
        <w:rPr>
          <w:b/>
          <w:bCs/>
        </w:rPr>
        <w:t>Purpose</w:t>
      </w:r>
    </w:p>
    <w:p w14:paraId="2F7B3628" w14:textId="49B84604" w:rsidR="007804EC" w:rsidRDefault="007804EC" w:rsidP="007804EC">
      <w:r w:rsidRPr="007804EC">
        <w:t xml:space="preserve">This </w:t>
      </w:r>
      <w:r w:rsidR="00436376">
        <w:t xml:space="preserve">communications </w:t>
      </w:r>
      <w:r>
        <w:t>plan</w:t>
      </w:r>
      <w:r w:rsidRPr="007804EC">
        <w:t xml:space="preserve"> </w:t>
      </w:r>
      <w:r>
        <w:t xml:space="preserve">will be used to </w:t>
      </w:r>
      <w:r w:rsidR="00801903">
        <w:t>effectively engage</w:t>
      </w:r>
      <w:r w:rsidRPr="007804EC">
        <w:t xml:space="preserve"> </w:t>
      </w:r>
      <w:r>
        <w:t xml:space="preserve">with stakeholders </w:t>
      </w:r>
      <w:r w:rsidR="00DB04C0">
        <w:t>to</w:t>
      </w:r>
      <w:r w:rsidR="001E4716">
        <w:t>:</w:t>
      </w:r>
    </w:p>
    <w:p w14:paraId="55CF1CFE" w14:textId="7DCB1FF1" w:rsidR="001E4716" w:rsidRDefault="001E4716" w:rsidP="001E4716">
      <w:pPr>
        <w:pStyle w:val="ListParagraph"/>
        <w:numPr>
          <w:ilvl w:val="0"/>
          <w:numId w:val="3"/>
        </w:numPr>
      </w:pPr>
      <w:r>
        <w:t>Ensure they are aware of the NEXUS tool and its capabilities</w:t>
      </w:r>
    </w:p>
    <w:p w14:paraId="34C7F373" w14:textId="30CC43C3" w:rsidR="001E4716" w:rsidRDefault="001E4716" w:rsidP="001E4716">
      <w:pPr>
        <w:pStyle w:val="ListParagraph"/>
        <w:numPr>
          <w:ilvl w:val="0"/>
          <w:numId w:val="3"/>
        </w:numPr>
      </w:pPr>
      <w:r>
        <w:t xml:space="preserve">Request feedback that will shape future </w:t>
      </w:r>
      <w:r w:rsidR="009845FD">
        <w:t>updates</w:t>
      </w:r>
      <w:r>
        <w:t xml:space="preserve"> </w:t>
      </w:r>
      <w:r w:rsidR="009845FD">
        <w:t>to</w:t>
      </w:r>
      <w:r>
        <w:t xml:space="preserve"> the tool to </w:t>
      </w:r>
      <w:r w:rsidR="009845FD">
        <w:t xml:space="preserve">best </w:t>
      </w:r>
      <w:r>
        <w:t>meet their needs</w:t>
      </w:r>
    </w:p>
    <w:p w14:paraId="65BC4599" w14:textId="7D4936D2" w:rsidR="00801903" w:rsidRDefault="00801903" w:rsidP="00436376">
      <w:pPr>
        <w:pStyle w:val="ListParagraph"/>
        <w:numPr>
          <w:ilvl w:val="0"/>
          <w:numId w:val="3"/>
        </w:numPr>
      </w:pPr>
      <w:r>
        <w:t>C</w:t>
      </w:r>
      <w:r w:rsidR="009845FD">
        <w:t xml:space="preserve">oordinate efforts </w:t>
      </w:r>
      <w:r w:rsidR="000129FB">
        <w:t>across</w:t>
      </w:r>
      <w:r w:rsidR="009845FD">
        <w:t xml:space="preserve"> EPA offices</w:t>
      </w:r>
    </w:p>
    <w:p w14:paraId="6A4EA79D" w14:textId="425A5D46" w:rsidR="002E612A" w:rsidRPr="002E612A" w:rsidRDefault="002E612A" w:rsidP="002A1F79">
      <w:pPr>
        <w:pStyle w:val="ListParagraph"/>
        <w:rPr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2880"/>
        <w:gridCol w:w="3330"/>
        <w:gridCol w:w="1440"/>
      </w:tblGrid>
      <w:tr w:rsidR="00B66449" w14:paraId="34861C3F" w14:textId="77777777" w:rsidTr="00BC1E4F">
        <w:trPr>
          <w:tblHeader/>
        </w:trPr>
        <w:tc>
          <w:tcPr>
            <w:tcW w:w="1885" w:type="dxa"/>
            <w:shd w:val="clear" w:color="auto" w:fill="D9E2F3" w:themeFill="accent1" w:themeFillTint="33"/>
            <w:vAlign w:val="center"/>
          </w:tcPr>
          <w:p w14:paraId="04980C0D" w14:textId="05650275" w:rsidR="00B66449" w:rsidRDefault="00B66449" w:rsidP="009D2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Stakeholder / Stakeholder Group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5812F4DD" w14:textId="4046DCA3" w:rsidR="00B66449" w:rsidRDefault="00B66449" w:rsidP="009D2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6A489E36" w14:textId="5F2658E5" w:rsidR="00B66449" w:rsidRDefault="00B66449" w:rsidP="009D2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Objectives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1E475C1" w14:textId="48E6DA77" w:rsidR="00B66449" w:rsidRDefault="009D2A78" w:rsidP="009D2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Approximate Date</w:t>
            </w:r>
          </w:p>
        </w:tc>
      </w:tr>
      <w:tr w:rsidR="005872B5" w14:paraId="5629730D" w14:textId="77777777" w:rsidTr="000129FB">
        <w:tc>
          <w:tcPr>
            <w:tcW w:w="1885" w:type="dxa"/>
            <w:shd w:val="clear" w:color="auto" w:fill="D9E2F3" w:themeFill="accent1" w:themeFillTint="33"/>
            <w:vAlign w:val="center"/>
          </w:tcPr>
          <w:p w14:paraId="1BE22BBA" w14:textId="4147AD65" w:rsidR="005872B5" w:rsidRPr="00436376" w:rsidRDefault="005872B5" w:rsidP="005872B5">
            <w:pPr>
              <w:rPr>
                <w:b/>
                <w:bCs/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OEJ (EJSCREEN Team)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59C5E424" w14:textId="7A223900" w:rsidR="005872B5" w:rsidRPr="00436376" w:rsidRDefault="005872B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MP </w:t>
            </w:r>
            <w:r w:rsidR="00436376" w:rsidRPr="00436376">
              <w:rPr>
                <w:sz w:val="20"/>
                <w:szCs w:val="20"/>
              </w:rPr>
              <w:t>planning</w:t>
            </w:r>
          </w:p>
          <w:p w14:paraId="4EB442C1" w14:textId="0F27510D" w:rsidR="005872B5" w:rsidRPr="00436376" w:rsidRDefault="005872B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NEXUS </w:t>
            </w:r>
            <w:r w:rsidR="007C32B5">
              <w:rPr>
                <w:sz w:val="20"/>
                <w:szCs w:val="20"/>
              </w:rPr>
              <w:t xml:space="preserve">tool </w:t>
            </w:r>
            <w:r w:rsidRPr="00436376">
              <w:rPr>
                <w:sz w:val="20"/>
                <w:szCs w:val="20"/>
              </w:rPr>
              <w:t xml:space="preserve">– focusing on similarities </w:t>
            </w:r>
            <w:r w:rsidR="00917FEC" w:rsidRPr="00436376">
              <w:rPr>
                <w:sz w:val="20"/>
                <w:szCs w:val="20"/>
              </w:rPr>
              <w:t>&amp;</w:t>
            </w:r>
            <w:r w:rsidRPr="00436376">
              <w:rPr>
                <w:sz w:val="20"/>
                <w:szCs w:val="20"/>
              </w:rPr>
              <w:t xml:space="preserve"> differences with EJSCREEN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242DAF60" w14:textId="0F433368" w:rsidR="005872B5" w:rsidRPr="007A4581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7A4581">
              <w:rPr>
                <w:sz w:val="20"/>
                <w:szCs w:val="20"/>
              </w:rPr>
              <w:t>Awareness of the NEXUS tool</w:t>
            </w:r>
          </w:p>
          <w:p w14:paraId="07ADCEBE" w14:textId="0E72D4A0" w:rsidR="005872B5" w:rsidRPr="007A4581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7A4581">
              <w:rPr>
                <w:sz w:val="20"/>
                <w:szCs w:val="20"/>
              </w:rPr>
              <w:t>Feedback for improvements</w:t>
            </w:r>
          </w:p>
          <w:p w14:paraId="7471CB30" w14:textId="3AD9FB23" w:rsidR="005872B5" w:rsidRPr="007A4581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7A4581">
              <w:rPr>
                <w:sz w:val="20"/>
                <w:szCs w:val="20"/>
              </w:rPr>
              <w:t>Define capabilities of each tool and complimentary nature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C8CF1EA" w14:textId="42FF0798" w:rsidR="005872B5" w:rsidRPr="00436376" w:rsidRDefault="003B1D02" w:rsidP="003B1D02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July</w:t>
            </w:r>
          </w:p>
        </w:tc>
      </w:tr>
      <w:tr w:rsidR="005872B5" w14:paraId="1A08A451" w14:textId="77777777" w:rsidTr="000129FB">
        <w:tc>
          <w:tcPr>
            <w:tcW w:w="1885" w:type="dxa"/>
            <w:shd w:val="clear" w:color="auto" w:fill="D9E2F3" w:themeFill="accent1" w:themeFillTint="33"/>
            <w:vAlign w:val="center"/>
          </w:tcPr>
          <w:p w14:paraId="17F65A09" w14:textId="39B5D8FB" w:rsidR="005872B5" w:rsidRPr="00436376" w:rsidRDefault="005872B5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OAR (Joe Goffman, Tomas)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214EDF77" w14:textId="27E7E444" w:rsidR="005872B5" w:rsidRPr="00436376" w:rsidRDefault="005872B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MP </w:t>
            </w:r>
            <w:r w:rsidR="00436376" w:rsidRPr="00436376">
              <w:rPr>
                <w:sz w:val="20"/>
                <w:szCs w:val="20"/>
              </w:rPr>
              <w:t>planning</w:t>
            </w:r>
            <w:r w:rsidRPr="00436376">
              <w:rPr>
                <w:sz w:val="20"/>
                <w:szCs w:val="20"/>
              </w:rPr>
              <w:t xml:space="preserve">, </w:t>
            </w:r>
          </w:p>
          <w:p w14:paraId="4916C112" w14:textId="322551ED" w:rsidR="005872B5" w:rsidRPr="00436376" w:rsidRDefault="005872B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Detroit, SC &amp; Louisville Projects</w:t>
            </w:r>
          </w:p>
          <w:p w14:paraId="60E8B7C6" w14:textId="221F2673" w:rsidR="005872B5" w:rsidRPr="00436376" w:rsidRDefault="005872B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NEXUS</w:t>
            </w:r>
            <w:r w:rsidR="007C32B5">
              <w:rPr>
                <w:sz w:val="20"/>
                <w:szCs w:val="20"/>
              </w:rPr>
              <w:t xml:space="preserve"> tool capabilities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66DE1D52" w14:textId="7217B3F8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General awareness of MP efforts </w:t>
            </w:r>
          </w:p>
          <w:p w14:paraId="5ADF2316" w14:textId="0CF17D93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Support of NEXUS tool development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8720A7A" w14:textId="5EB447EF" w:rsidR="005872B5" w:rsidRPr="00436376" w:rsidRDefault="003B1D02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July</w:t>
            </w:r>
            <w:r w:rsidR="00F97989">
              <w:rPr>
                <w:sz w:val="20"/>
                <w:szCs w:val="20"/>
              </w:rPr>
              <w:t xml:space="preserve"> 26</w:t>
            </w:r>
          </w:p>
        </w:tc>
      </w:tr>
      <w:tr w:rsidR="005B79F5" w:rsidRPr="005B79F5" w14:paraId="307AC3CD" w14:textId="77777777" w:rsidTr="000129FB">
        <w:tc>
          <w:tcPr>
            <w:tcW w:w="1885" w:type="dxa"/>
            <w:shd w:val="clear" w:color="auto" w:fill="D9E2F3" w:themeFill="accent1" w:themeFillTint="33"/>
            <w:vAlign w:val="center"/>
          </w:tcPr>
          <w:p w14:paraId="0A3745F1" w14:textId="742BE95F" w:rsidR="005B79F5" w:rsidRPr="005B79F5" w:rsidRDefault="005B79F5" w:rsidP="005872B5">
            <w:pPr>
              <w:rPr>
                <w:sz w:val="20"/>
                <w:szCs w:val="20"/>
              </w:rPr>
            </w:pPr>
            <w:r w:rsidRPr="005B79F5">
              <w:rPr>
                <w:sz w:val="20"/>
                <w:szCs w:val="20"/>
              </w:rPr>
              <w:t>OAP (CAMD EJ Tool Develop</w:t>
            </w:r>
            <w:r>
              <w:rPr>
                <w:sz w:val="20"/>
                <w:szCs w:val="20"/>
              </w:rPr>
              <w:t>ment Team)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1C4DCB73" w14:textId="77777777" w:rsidR="005B79F5" w:rsidRDefault="005B79F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MP planning</w:t>
            </w:r>
          </w:p>
          <w:p w14:paraId="0582DE5C" w14:textId="2B5C9D34" w:rsidR="005B79F5" w:rsidRPr="005B79F5" w:rsidRDefault="005B79F5" w:rsidP="003F42BE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sz w:val="20"/>
                <w:szCs w:val="20"/>
              </w:rPr>
            </w:pPr>
            <w:r w:rsidRPr="005B79F5">
              <w:rPr>
                <w:sz w:val="20"/>
                <w:szCs w:val="20"/>
              </w:rPr>
              <w:t xml:space="preserve">NEXUS </w:t>
            </w:r>
            <w:r w:rsidR="007C32B5">
              <w:rPr>
                <w:sz w:val="20"/>
                <w:szCs w:val="20"/>
              </w:rPr>
              <w:t>tool capabilities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2BD22DD5" w14:textId="7ACAE759" w:rsidR="005B79F5" w:rsidRPr="007A4581" w:rsidRDefault="005B79F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7A4581">
              <w:rPr>
                <w:sz w:val="20"/>
                <w:szCs w:val="20"/>
              </w:rPr>
              <w:t>Awareness of the NEXUS tool</w:t>
            </w:r>
          </w:p>
          <w:p w14:paraId="08991E8E" w14:textId="11F04566" w:rsidR="005B79F5" w:rsidRPr="00DD41AA" w:rsidRDefault="005B79F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7A4581">
              <w:rPr>
                <w:sz w:val="20"/>
                <w:szCs w:val="20"/>
              </w:rPr>
              <w:t>Feedback for</w:t>
            </w:r>
            <w:r w:rsidR="007B77EF">
              <w:rPr>
                <w:sz w:val="20"/>
                <w:szCs w:val="20"/>
              </w:rPr>
              <w:t xml:space="preserve"> use &amp;</w:t>
            </w:r>
            <w:r w:rsidRPr="007A4581">
              <w:rPr>
                <w:sz w:val="20"/>
                <w:szCs w:val="20"/>
              </w:rPr>
              <w:t xml:space="preserve"> improvements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535EAB9" w14:textId="2C0F1FF6" w:rsidR="005B79F5" w:rsidRPr="005B79F5" w:rsidRDefault="005B79F5" w:rsidP="0058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July/August</w:t>
            </w:r>
          </w:p>
        </w:tc>
      </w:tr>
      <w:tr w:rsidR="005872B5" w14:paraId="15E97E9C" w14:textId="77777777" w:rsidTr="000129FB">
        <w:tc>
          <w:tcPr>
            <w:tcW w:w="1885" w:type="dxa"/>
            <w:shd w:val="clear" w:color="auto" w:fill="D9E2F3" w:themeFill="accent1" w:themeFillTint="33"/>
            <w:vAlign w:val="center"/>
          </w:tcPr>
          <w:p w14:paraId="58948187" w14:textId="4E38B680" w:rsidR="005872B5" w:rsidRPr="00436376" w:rsidRDefault="005872B5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Region 4 / Louisville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543A0A88" w14:textId="3F6E1473" w:rsidR="005872B5" w:rsidRPr="00436376" w:rsidRDefault="005872B5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NEXUS </w:t>
            </w:r>
            <w:r w:rsidR="007C32B5">
              <w:rPr>
                <w:sz w:val="20"/>
                <w:szCs w:val="20"/>
              </w:rPr>
              <w:t>tool use</w:t>
            </w:r>
            <w:r w:rsidRPr="00436376">
              <w:rPr>
                <w:sz w:val="20"/>
                <w:szCs w:val="20"/>
              </w:rPr>
              <w:t>– focusing on the Louisville area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368314CA" w14:textId="79E180A2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Awareness of the NEXUS tool</w:t>
            </w:r>
          </w:p>
          <w:p w14:paraId="51B2F239" w14:textId="23F0662F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Feedback for </w:t>
            </w:r>
            <w:r w:rsidR="007B77EF">
              <w:rPr>
                <w:sz w:val="20"/>
                <w:szCs w:val="20"/>
              </w:rPr>
              <w:t>use in</w:t>
            </w:r>
            <w:r w:rsidR="00436376" w:rsidRPr="00436376">
              <w:rPr>
                <w:sz w:val="20"/>
                <w:szCs w:val="20"/>
              </w:rPr>
              <w:t xml:space="preserve"> </w:t>
            </w:r>
            <w:r w:rsidR="007B77EF">
              <w:rPr>
                <w:sz w:val="20"/>
                <w:szCs w:val="20"/>
              </w:rPr>
              <w:t xml:space="preserve">NAA &amp; </w:t>
            </w:r>
            <w:r w:rsidR="00436376" w:rsidRPr="00436376">
              <w:rPr>
                <w:sz w:val="20"/>
                <w:szCs w:val="20"/>
              </w:rPr>
              <w:t>Advance areas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2A097B9" w14:textId="3D5A21E9" w:rsidR="005872B5" w:rsidRPr="00436376" w:rsidRDefault="003B1D02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August</w:t>
            </w:r>
          </w:p>
        </w:tc>
      </w:tr>
      <w:tr w:rsidR="005872B5" w14:paraId="762E698D" w14:textId="77777777" w:rsidTr="000129FB">
        <w:tc>
          <w:tcPr>
            <w:tcW w:w="1885" w:type="dxa"/>
            <w:shd w:val="clear" w:color="auto" w:fill="D9E2F3" w:themeFill="accent1" w:themeFillTint="33"/>
            <w:vAlign w:val="center"/>
          </w:tcPr>
          <w:p w14:paraId="39AAD773" w14:textId="6E6339A7" w:rsidR="005872B5" w:rsidRPr="00436376" w:rsidRDefault="00D877A8" w:rsidP="0058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ADDs / </w:t>
            </w:r>
            <w:r w:rsidR="005872B5" w:rsidRPr="00436376">
              <w:rPr>
                <w:sz w:val="20"/>
                <w:szCs w:val="20"/>
              </w:rPr>
              <w:t>APMs</w:t>
            </w:r>
            <w:r w:rsidR="003B1D02" w:rsidRPr="00436376">
              <w:rPr>
                <w:sz w:val="20"/>
                <w:szCs w:val="20"/>
              </w:rPr>
              <w:t xml:space="preserve"> (SIP and air toxics)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6A183A21" w14:textId="301CB032" w:rsidR="005872B5" w:rsidRPr="00436376" w:rsidRDefault="005872B5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NEXUS – </w:t>
            </w:r>
            <w:r w:rsidR="00436376" w:rsidRPr="00436376">
              <w:rPr>
                <w:sz w:val="20"/>
                <w:szCs w:val="20"/>
              </w:rPr>
              <w:t>identify the</w:t>
            </w:r>
            <w:r w:rsidRPr="00436376">
              <w:rPr>
                <w:sz w:val="20"/>
                <w:szCs w:val="20"/>
              </w:rPr>
              <w:t xml:space="preserve"> highest risk areas across O</w:t>
            </w:r>
            <w:r w:rsidRPr="00436376">
              <w:rPr>
                <w:sz w:val="20"/>
                <w:szCs w:val="20"/>
                <w:vertAlign w:val="subscript"/>
              </w:rPr>
              <w:t>3</w:t>
            </w:r>
            <w:r w:rsidRPr="00436376">
              <w:rPr>
                <w:sz w:val="20"/>
                <w:szCs w:val="20"/>
              </w:rPr>
              <w:t>, PM</w:t>
            </w:r>
            <w:r w:rsidRPr="00436376">
              <w:rPr>
                <w:sz w:val="20"/>
                <w:szCs w:val="20"/>
                <w:vertAlign w:val="subscript"/>
              </w:rPr>
              <w:t>2.5</w:t>
            </w:r>
            <w:r w:rsidRPr="00436376">
              <w:rPr>
                <w:sz w:val="20"/>
                <w:szCs w:val="20"/>
              </w:rPr>
              <w:t>, and Air Toxics</w:t>
            </w:r>
            <w:r w:rsidR="00436376" w:rsidRPr="00436376">
              <w:rPr>
                <w:sz w:val="20"/>
                <w:szCs w:val="20"/>
              </w:rPr>
              <w:t>; illustrative use in select</w:t>
            </w:r>
            <w:r w:rsidRPr="00436376">
              <w:rPr>
                <w:sz w:val="20"/>
                <w:szCs w:val="20"/>
              </w:rPr>
              <w:t xml:space="preserve"> areas</w:t>
            </w:r>
            <w:r w:rsidR="00436376" w:rsidRPr="00436376">
              <w:rPr>
                <w:sz w:val="20"/>
                <w:szCs w:val="20"/>
              </w:rPr>
              <w:t xml:space="preserve"> </w:t>
            </w:r>
            <w:r w:rsidRPr="00436376">
              <w:rPr>
                <w:sz w:val="20"/>
                <w:szCs w:val="20"/>
              </w:rPr>
              <w:t>such as Chicago, Houston &amp; Atlanta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15982DD7" w14:textId="77777777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Awareness of the NEXUS tool</w:t>
            </w:r>
          </w:p>
          <w:p w14:paraId="5413A25D" w14:textId="05124203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 xml:space="preserve">Feedback for </w:t>
            </w:r>
            <w:r w:rsidR="007B77EF">
              <w:rPr>
                <w:sz w:val="20"/>
                <w:szCs w:val="20"/>
              </w:rPr>
              <w:t xml:space="preserve">use &amp; </w:t>
            </w:r>
            <w:r w:rsidRPr="00436376">
              <w:rPr>
                <w:sz w:val="20"/>
                <w:szCs w:val="20"/>
              </w:rPr>
              <w:t>improvements</w:t>
            </w:r>
          </w:p>
          <w:p w14:paraId="3E7AFEA5" w14:textId="57393C0E" w:rsidR="005872B5" w:rsidRPr="00436376" w:rsidRDefault="005872B5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Determine interest in area profile packets for Regions to discuss nature of MP issues and possible avenues to address or conduct more refined analyses (e.g.</w:t>
            </w:r>
            <w:r w:rsidR="00071590">
              <w:rPr>
                <w:sz w:val="20"/>
                <w:szCs w:val="20"/>
              </w:rPr>
              <w:t>,</w:t>
            </w:r>
            <w:r w:rsidRPr="00436376">
              <w:rPr>
                <w:sz w:val="20"/>
                <w:szCs w:val="20"/>
              </w:rPr>
              <w:t xml:space="preserve"> R9 </w:t>
            </w:r>
            <w:r w:rsidRPr="00436376">
              <w:rPr>
                <w:sz w:val="20"/>
                <w:szCs w:val="20"/>
              </w:rPr>
              <w:sym w:font="Wingdings" w:char="F0E0"/>
            </w:r>
            <w:r w:rsidRPr="00436376">
              <w:rPr>
                <w:sz w:val="20"/>
                <w:szCs w:val="20"/>
              </w:rPr>
              <w:t xml:space="preserve"> Phoenix)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BB7686F" w14:textId="581A1FF7" w:rsidR="005872B5" w:rsidRPr="00436376" w:rsidRDefault="003B1D02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August</w:t>
            </w:r>
          </w:p>
        </w:tc>
      </w:tr>
      <w:tr w:rsidR="005872B5" w14:paraId="76A88757" w14:textId="77777777" w:rsidTr="000129FB">
        <w:tc>
          <w:tcPr>
            <w:tcW w:w="1885" w:type="dxa"/>
            <w:shd w:val="clear" w:color="auto" w:fill="D9E2F3" w:themeFill="accent1" w:themeFillTint="33"/>
            <w:vAlign w:val="center"/>
          </w:tcPr>
          <w:p w14:paraId="44868A9E" w14:textId="54828BCA" w:rsidR="005872B5" w:rsidRPr="00436376" w:rsidRDefault="005872B5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MJOs</w:t>
            </w:r>
            <w:r w:rsidR="003B1D02" w:rsidRPr="00436376">
              <w:rPr>
                <w:sz w:val="20"/>
                <w:szCs w:val="20"/>
              </w:rPr>
              <w:t xml:space="preserve"> (NACAA &amp; AAPCA)</w:t>
            </w: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7880ACE8" w14:textId="2E6A639F" w:rsidR="005872B5" w:rsidRPr="00436376" w:rsidRDefault="003B1D02" w:rsidP="003B1D02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TBD post regional discussions and feedback</w:t>
            </w: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62870926" w14:textId="77777777" w:rsidR="003B1D02" w:rsidRPr="00436376" w:rsidRDefault="003B1D02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Present latest MP projects (Louisville)</w:t>
            </w:r>
          </w:p>
          <w:p w14:paraId="7B76347E" w14:textId="2EC863E0" w:rsidR="003B1D02" w:rsidRPr="00436376" w:rsidRDefault="003B1D02" w:rsidP="003F42BE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TBD post regional discussions and feedback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FCD6BAD" w14:textId="3A56E1C5" w:rsidR="005872B5" w:rsidRPr="00436376" w:rsidRDefault="003B1D02" w:rsidP="005872B5">
            <w:pPr>
              <w:rPr>
                <w:sz w:val="20"/>
                <w:szCs w:val="20"/>
              </w:rPr>
            </w:pPr>
            <w:r w:rsidRPr="00436376">
              <w:rPr>
                <w:sz w:val="20"/>
                <w:szCs w:val="20"/>
              </w:rPr>
              <w:t>TBD</w:t>
            </w:r>
          </w:p>
        </w:tc>
      </w:tr>
    </w:tbl>
    <w:p w14:paraId="7AE0CDD8" w14:textId="1D45CEAF" w:rsidR="005B79F5" w:rsidRDefault="005B79F5" w:rsidP="00436376">
      <w:pPr>
        <w:tabs>
          <w:tab w:val="left" w:pos="2094"/>
        </w:tabs>
      </w:pPr>
    </w:p>
    <w:p w14:paraId="1A16C2C1" w14:textId="6C4AA51D" w:rsidR="005B79F5" w:rsidRPr="00646319" w:rsidRDefault="005B79F5" w:rsidP="00436376">
      <w:pPr>
        <w:tabs>
          <w:tab w:val="left" w:pos="2094"/>
        </w:tabs>
        <w:rPr>
          <w:b/>
          <w:bCs/>
        </w:rPr>
      </w:pPr>
      <w:r w:rsidRPr="00646319">
        <w:rPr>
          <w:b/>
          <w:bCs/>
        </w:rPr>
        <w:t>Frequently Asked Questions</w:t>
      </w:r>
    </w:p>
    <w:p w14:paraId="1410EA25" w14:textId="1090118F" w:rsidR="002A1F79" w:rsidRDefault="002A1F79" w:rsidP="002A1F79">
      <w:pPr>
        <w:pStyle w:val="ListParagraph"/>
        <w:numPr>
          <w:ilvl w:val="0"/>
          <w:numId w:val="7"/>
        </w:numPr>
        <w:tabs>
          <w:tab w:val="left" w:pos="2094"/>
        </w:tabs>
      </w:pPr>
      <w:r>
        <w:t>What is the difference between EJSCREEN and NEXUS?</w:t>
      </w:r>
    </w:p>
    <w:p w14:paraId="746FC88C" w14:textId="77777777" w:rsidR="009A3321" w:rsidRDefault="009A3321" w:rsidP="009A3321">
      <w:pPr>
        <w:pStyle w:val="ListParagraph"/>
        <w:tabs>
          <w:tab w:val="left" w:pos="2094"/>
        </w:tabs>
      </w:pPr>
    </w:p>
    <w:p w14:paraId="02F2F6ED" w14:textId="09324E87" w:rsidR="00646319" w:rsidRDefault="009A3321" w:rsidP="00BF757A">
      <w:pPr>
        <w:pStyle w:val="ListParagraph"/>
        <w:tabs>
          <w:tab w:val="left" w:pos="2094"/>
        </w:tabs>
      </w:pPr>
      <w:r>
        <w:t>The NEXUS advanced screening tool overlays publicly</w:t>
      </w:r>
      <w:r w:rsidRPr="00646319">
        <w:t xml:space="preserve"> available </w:t>
      </w:r>
      <w:r>
        <w:t>air quality</w:t>
      </w:r>
      <w:r w:rsidRPr="00646319">
        <w:t xml:space="preserve"> </w:t>
      </w:r>
      <w:r>
        <w:t xml:space="preserve">information to </w:t>
      </w:r>
      <w:r w:rsidRPr="009A3321">
        <w:t>identify geographic areas where health risks related to O</w:t>
      </w:r>
      <w:r w:rsidRPr="00FA5BD3">
        <w:rPr>
          <w:vertAlign w:val="subscript"/>
        </w:rPr>
        <w:t>3</w:t>
      </w:r>
      <w:r w:rsidRPr="009A3321">
        <w:t>, PM</w:t>
      </w:r>
      <w:r w:rsidRPr="00FA5BD3">
        <w:rPr>
          <w:vertAlign w:val="subscript"/>
        </w:rPr>
        <w:t>2.5</w:t>
      </w:r>
      <w:r w:rsidRPr="00FA5BD3">
        <w:t xml:space="preserve"> </w:t>
      </w:r>
      <w:r w:rsidRPr="009A3321">
        <w:t>and air toxics overlap</w:t>
      </w:r>
      <w:r w:rsidR="004C0E31">
        <w:t>, while EJSCREEN c</w:t>
      </w:r>
      <w:r w:rsidR="004C0E31" w:rsidRPr="009A3321">
        <w:t>ombines environmental and demographic data to highlight areas where vulnerable populations may be disproportionately impacted by pollution</w:t>
      </w:r>
      <w:r w:rsidR="004C0E31">
        <w:t>.</w:t>
      </w:r>
      <w:r w:rsidR="00BF757A">
        <w:t xml:space="preserve"> </w:t>
      </w:r>
      <w:r>
        <w:t xml:space="preserve">NEXUS can overlay </w:t>
      </w:r>
      <w:r w:rsidRPr="00646319">
        <w:t xml:space="preserve">EJSCREEN </w:t>
      </w:r>
      <w:r>
        <w:t>indicators</w:t>
      </w:r>
      <w:r w:rsidRPr="00646319">
        <w:t xml:space="preserve"> in order to highlight the demographics of areas </w:t>
      </w:r>
      <w:r>
        <w:t xml:space="preserve">with multi-pollutant concerns. </w:t>
      </w:r>
      <w:r w:rsidR="00747945">
        <w:t>NEXUS contains a subset of the air data provided to EJSCREEN</w:t>
      </w:r>
      <w:r w:rsidR="00D958C5">
        <w:t xml:space="preserve"> by OAQPS (O</w:t>
      </w:r>
      <w:r w:rsidR="00D958C5" w:rsidRPr="00BF757A">
        <w:rPr>
          <w:vertAlign w:val="subscript"/>
        </w:rPr>
        <w:t>3</w:t>
      </w:r>
      <w:r w:rsidR="00D958C5">
        <w:t xml:space="preserve"> and PM</w:t>
      </w:r>
      <w:r w:rsidR="00D958C5" w:rsidRPr="00BF757A">
        <w:rPr>
          <w:vertAlign w:val="subscript"/>
        </w:rPr>
        <w:t>2.5</w:t>
      </w:r>
      <w:r w:rsidR="00D958C5" w:rsidRPr="00EB4E8D">
        <w:t xml:space="preserve"> </w:t>
      </w:r>
      <w:r w:rsidR="00D958C5">
        <w:t>concentration surfaces, NATA cancer and non-cancer risk, and diesel PM concentrations).</w:t>
      </w:r>
      <w:r w:rsidR="007E4414">
        <w:t xml:space="preserve"> NEXUS incorporates the EJ indicators and data from EJSCREEN. NEXUS also contains air data </w:t>
      </w:r>
      <w:r w:rsidR="007E4414" w:rsidRPr="00BF757A">
        <w:rPr>
          <w:i/>
          <w:iCs/>
        </w:rPr>
        <w:t>not</w:t>
      </w:r>
      <w:r w:rsidR="007E4414">
        <w:t xml:space="preserve"> available in EJSCREEN (detailed emissions and source characterization, O</w:t>
      </w:r>
      <w:r w:rsidR="007E4414" w:rsidRPr="00BF757A">
        <w:rPr>
          <w:vertAlign w:val="subscript"/>
        </w:rPr>
        <w:t>3</w:t>
      </w:r>
      <w:r w:rsidR="007E4414">
        <w:t xml:space="preserve"> and PM</w:t>
      </w:r>
      <w:r w:rsidR="007E4414" w:rsidRPr="00BF757A">
        <w:rPr>
          <w:vertAlign w:val="subscript"/>
        </w:rPr>
        <w:t>2.5</w:t>
      </w:r>
      <w:r w:rsidR="007E4414">
        <w:t xml:space="preserve"> risk data, NATA </w:t>
      </w:r>
      <w:r w:rsidR="008F53B4">
        <w:t>cancer and non-cancer risk by pollutant and source). NEXUS also has planned updates to incorporate proximity screening</w:t>
      </w:r>
      <w:r w:rsidR="00C331EF">
        <w:t xml:space="preserve"> capabilities similar to EJSCREEN.</w:t>
      </w:r>
      <w:r w:rsidR="00CA274F">
        <w:t xml:space="preserve"> </w:t>
      </w:r>
    </w:p>
    <w:p w14:paraId="56A5CC13" w14:textId="77777777" w:rsidR="005678C5" w:rsidRDefault="005678C5" w:rsidP="005678C5">
      <w:pPr>
        <w:pStyle w:val="ListParagraph"/>
        <w:tabs>
          <w:tab w:val="left" w:pos="2094"/>
        </w:tabs>
      </w:pPr>
    </w:p>
    <w:p w14:paraId="3BE586A6" w14:textId="10D3899B" w:rsidR="002A1F79" w:rsidRDefault="005B79F5" w:rsidP="002A1F79">
      <w:pPr>
        <w:pStyle w:val="ListParagraph"/>
        <w:numPr>
          <w:ilvl w:val="0"/>
          <w:numId w:val="7"/>
        </w:numPr>
        <w:tabs>
          <w:tab w:val="left" w:pos="2094"/>
        </w:tabs>
      </w:pPr>
      <w:r>
        <w:t>Who has access to NEXUS</w:t>
      </w:r>
      <w:r w:rsidR="002A1F79">
        <w:t>?</w:t>
      </w:r>
    </w:p>
    <w:p w14:paraId="1E52A96C" w14:textId="4874FA91" w:rsidR="009A3321" w:rsidRDefault="009A3321" w:rsidP="009A3321">
      <w:pPr>
        <w:pStyle w:val="ListParagraph"/>
        <w:tabs>
          <w:tab w:val="left" w:pos="2094"/>
        </w:tabs>
      </w:pPr>
    </w:p>
    <w:p w14:paraId="4ABD7AF8" w14:textId="424F5121" w:rsidR="009A3321" w:rsidRDefault="009A3321" w:rsidP="009A3321">
      <w:pPr>
        <w:pStyle w:val="ListParagraph"/>
        <w:tabs>
          <w:tab w:val="left" w:pos="2094"/>
        </w:tabs>
      </w:pPr>
      <w:r>
        <w:t>To date, NEXUS has been shared internally with OAQPS and the Office of Research and Development.</w:t>
      </w:r>
    </w:p>
    <w:p w14:paraId="77E841D1" w14:textId="77777777" w:rsidR="009A3321" w:rsidRDefault="009A3321" w:rsidP="009A3321">
      <w:pPr>
        <w:pStyle w:val="ListParagraph"/>
        <w:tabs>
          <w:tab w:val="left" w:pos="2094"/>
        </w:tabs>
      </w:pPr>
    </w:p>
    <w:p w14:paraId="6CA34FD0" w14:textId="185B0BBB" w:rsidR="009A3321" w:rsidRDefault="005B79F5" w:rsidP="009A3321">
      <w:pPr>
        <w:pStyle w:val="ListParagraph"/>
        <w:numPr>
          <w:ilvl w:val="0"/>
          <w:numId w:val="7"/>
        </w:numPr>
        <w:tabs>
          <w:tab w:val="left" w:pos="2094"/>
        </w:tabs>
      </w:pPr>
      <w:r>
        <w:t>How do I get access to NEXUS</w:t>
      </w:r>
      <w:r w:rsidR="009A3321">
        <w:t>?</w:t>
      </w:r>
    </w:p>
    <w:p w14:paraId="77DDD464" w14:textId="0B2E9785" w:rsidR="009A3321" w:rsidRDefault="009A3321" w:rsidP="009A3321">
      <w:pPr>
        <w:ind w:left="720"/>
      </w:pPr>
      <w:r>
        <w:t xml:space="preserve">NEXUS can be downloaded and installed from </w:t>
      </w:r>
      <w:hyperlink r:id="rId14" w:history="1">
        <w:r w:rsidRPr="009A3321">
          <w:rPr>
            <w:rStyle w:val="Hyperlink"/>
          </w:rPr>
          <w:t>https://gaftp.epa.gov/Air/aqmg/cjang/NEXUS/</w:t>
        </w:r>
      </w:hyperlink>
      <w:r w:rsidRPr="009A3321">
        <w:t xml:space="preserve">  </w:t>
      </w:r>
    </w:p>
    <w:p w14:paraId="181CB919" w14:textId="46AAD2CA" w:rsidR="00505463" w:rsidRDefault="002A1F79" w:rsidP="00F90A70">
      <w:pPr>
        <w:pStyle w:val="ListParagraph"/>
        <w:numPr>
          <w:ilvl w:val="0"/>
          <w:numId w:val="7"/>
        </w:numPr>
        <w:tabs>
          <w:tab w:val="left" w:pos="2094"/>
        </w:tabs>
      </w:pPr>
      <w:r>
        <w:t xml:space="preserve">Will </w:t>
      </w:r>
      <w:r w:rsidR="005B79F5">
        <w:t xml:space="preserve">NEXUS </w:t>
      </w:r>
      <w:r>
        <w:t>include</w:t>
      </w:r>
      <w:r w:rsidR="005B79F5">
        <w:t xml:space="preserve"> climate planning</w:t>
      </w:r>
      <w:r>
        <w:t>?</w:t>
      </w:r>
    </w:p>
    <w:p w14:paraId="22657B82" w14:textId="77777777" w:rsidR="00F90A70" w:rsidRDefault="00F90A70" w:rsidP="00F90A70">
      <w:pPr>
        <w:pStyle w:val="ListParagraph"/>
        <w:tabs>
          <w:tab w:val="left" w:pos="2094"/>
        </w:tabs>
      </w:pPr>
    </w:p>
    <w:p w14:paraId="485BB4B7" w14:textId="5D01A11C" w:rsidR="00505463" w:rsidRDefault="00505463" w:rsidP="00505463">
      <w:pPr>
        <w:pStyle w:val="ListParagraph"/>
      </w:pPr>
      <w:r>
        <w:t xml:space="preserve">Yes, the updated version of NEXUS (1.8.6) </w:t>
      </w:r>
      <w:r w:rsidR="006D2646">
        <w:t>includes most</w:t>
      </w:r>
      <w:r>
        <w:t xml:space="preserve"> 2017 GHG emission sources (facility- and county-level) and source category emissions (point, non-point, road, non-road, event) for GHG. There are plans to add climate vulnerability analysis and risk indicators such as flood, fire, sea level rise, heat, disease, etc.</w:t>
      </w:r>
    </w:p>
    <w:p w14:paraId="0F403B8D" w14:textId="77777777" w:rsidR="00505463" w:rsidRDefault="00505463" w:rsidP="009A3321">
      <w:pPr>
        <w:pStyle w:val="ListParagraph"/>
        <w:tabs>
          <w:tab w:val="left" w:pos="2094"/>
        </w:tabs>
      </w:pPr>
    </w:p>
    <w:p w14:paraId="3FDE3D8C" w14:textId="77777777" w:rsidR="000B1C36" w:rsidRDefault="000B1C36" w:rsidP="009A3321">
      <w:pPr>
        <w:pStyle w:val="ListParagraph"/>
        <w:tabs>
          <w:tab w:val="left" w:pos="2094"/>
        </w:tabs>
      </w:pPr>
    </w:p>
    <w:p w14:paraId="6354968E" w14:textId="3BC5AB52" w:rsidR="0060447E" w:rsidRDefault="002A1F79" w:rsidP="0060447E">
      <w:pPr>
        <w:pStyle w:val="ListParagraph"/>
        <w:numPr>
          <w:ilvl w:val="0"/>
          <w:numId w:val="7"/>
        </w:numPr>
        <w:tabs>
          <w:tab w:val="left" w:pos="2094"/>
        </w:tabs>
      </w:pPr>
      <w:r>
        <w:t>Are</w:t>
      </w:r>
      <w:r w:rsidR="005B79F5">
        <w:t xml:space="preserve"> there other tools </w:t>
      </w:r>
      <w:r>
        <w:t>that</w:t>
      </w:r>
      <w:r w:rsidR="005B79F5">
        <w:t xml:space="preserve"> support a </w:t>
      </w:r>
      <w:r w:rsidR="00004925">
        <w:t>more refined</w:t>
      </w:r>
      <w:r>
        <w:t xml:space="preserve"> analysis?</w:t>
      </w:r>
    </w:p>
    <w:p w14:paraId="751F72B6" w14:textId="7174B451" w:rsidR="0060447E" w:rsidRDefault="00B54005" w:rsidP="00B54005">
      <w:pPr>
        <w:tabs>
          <w:tab w:val="left" w:pos="2094"/>
        </w:tabs>
        <w:ind w:left="720"/>
      </w:pPr>
      <w:r>
        <w:t xml:space="preserve">Yes, </w:t>
      </w:r>
      <w:r w:rsidR="007C32B5">
        <w:t xml:space="preserve">NEXUS is a screening tool that can </w:t>
      </w:r>
      <w:r w:rsidR="003614FA">
        <w:t>help focus</w:t>
      </w:r>
      <w:r w:rsidR="00095732">
        <w:t xml:space="preserve"> a </w:t>
      </w:r>
      <w:r w:rsidR="0060447E">
        <w:t>refined assessment</w:t>
      </w:r>
      <w:r w:rsidR="007C32B5">
        <w:t xml:space="preserve"> </w:t>
      </w:r>
      <w:r w:rsidR="000C7336">
        <w:t>for a region or area that</w:t>
      </w:r>
      <w:r w:rsidR="0060447E">
        <w:t xml:space="preserve"> would involve the full suite of data/tools/models:</w:t>
      </w:r>
    </w:p>
    <w:p w14:paraId="6B250AAB" w14:textId="1ED2B313" w:rsidR="00093974" w:rsidRDefault="0060447E" w:rsidP="00EF0E1B">
      <w:pPr>
        <w:pStyle w:val="ListParagraph"/>
        <w:numPr>
          <w:ilvl w:val="0"/>
          <w:numId w:val="11"/>
        </w:numPr>
        <w:tabs>
          <w:tab w:val="left" w:pos="2094"/>
        </w:tabs>
      </w:pPr>
      <w:r>
        <w:t>O</w:t>
      </w:r>
      <w:r w:rsidRPr="00B54005">
        <w:rPr>
          <w:vertAlign w:val="subscript"/>
        </w:rPr>
        <w:t>3</w:t>
      </w:r>
      <w:r>
        <w:t xml:space="preserve"> and PM</w:t>
      </w:r>
      <w:r w:rsidRPr="00B54005">
        <w:rPr>
          <w:vertAlign w:val="subscript"/>
        </w:rPr>
        <w:t>2.5</w:t>
      </w:r>
      <w:r>
        <w:t>: Emissions (</w:t>
      </w:r>
      <w:hyperlink r:id="rId15" w:history="1">
        <w:r w:rsidRPr="008D7B85">
          <w:rPr>
            <w:rStyle w:val="Hyperlink"/>
          </w:rPr>
          <w:t>NEI</w:t>
        </w:r>
      </w:hyperlink>
      <w:r>
        <w:t xml:space="preserve">, </w:t>
      </w:r>
      <w:hyperlink r:id="rId16" w:history="1">
        <w:r w:rsidRPr="005A56C1">
          <w:rPr>
            <w:rStyle w:val="Hyperlink"/>
          </w:rPr>
          <w:t>SMOKE</w:t>
        </w:r>
      </w:hyperlink>
      <w:r>
        <w:t>/</w:t>
      </w:r>
      <w:hyperlink r:id="rId17" w:history="1">
        <w:r w:rsidRPr="001C7BCD">
          <w:rPr>
            <w:rStyle w:val="Hyperlink"/>
          </w:rPr>
          <w:t>EMF</w:t>
        </w:r>
      </w:hyperlink>
      <w:r>
        <w:t>) =&gt; Air Quality Models (</w:t>
      </w:r>
      <w:hyperlink r:id="rId18" w:history="1">
        <w:r w:rsidRPr="00343960">
          <w:rPr>
            <w:rStyle w:val="Hyperlink"/>
          </w:rPr>
          <w:t>CMAQ</w:t>
        </w:r>
      </w:hyperlink>
      <w:r>
        <w:t>/</w:t>
      </w:r>
      <w:proofErr w:type="spellStart"/>
      <w:r w:rsidR="00D877A8">
        <w:fldChar w:fldCharType="begin"/>
      </w:r>
      <w:r w:rsidR="00D877A8">
        <w:instrText xml:space="preserve"> HYPERLINK "https://www.camx.com/" </w:instrText>
      </w:r>
      <w:r w:rsidR="00D877A8">
        <w:fldChar w:fldCharType="separate"/>
      </w:r>
      <w:r w:rsidRPr="00836F5D">
        <w:rPr>
          <w:rStyle w:val="Hyperlink"/>
        </w:rPr>
        <w:t>CAMx</w:t>
      </w:r>
      <w:proofErr w:type="spellEnd"/>
      <w:r w:rsidR="00D877A8">
        <w:rPr>
          <w:rStyle w:val="Hyperlink"/>
        </w:rPr>
        <w:fldChar w:fldCharType="end"/>
      </w:r>
      <w:r>
        <w:t xml:space="preserve"> and </w:t>
      </w:r>
      <w:hyperlink r:id="rId19" w:anchor="aermod" w:history="1">
        <w:r w:rsidRPr="00987242">
          <w:rPr>
            <w:rStyle w:val="Hyperlink"/>
          </w:rPr>
          <w:t>AERMOD</w:t>
        </w:r>
      </w:hyperlink>
      <w:r>
        <w:t>) =&gt; Health Benefits (</w:t>
      </w:r>
      <w:hyperlink r:id="rId20" w:history="1">
        <w:r w:rsidRPr="00191C39">
          <w:rPr>
            <w:rStyle w:val="Hyperlink"/>
          </w:rPr>
          <w:t>BenMAP</w:t>
        </w:r>
      </w:hyperlink>
      <w:r>
        <w:t>)</w:t>
      </w:r>
    </w:p>
    <w:p w14:paraId="294A3F55" w14:textId="49392E0D" w:rsidR="0060447E" w:rsidRDefault="00B54005" w:rsidP="00B54005">
      <w:pPr>
        <w:pStyle w:val="ListParagraph"/>
        <w:numPr>
          <w:ilvl w:val="0"/>
          <w:numId w:val="11"/>
        </w:numPr>
        <w:tabs>
          <w:tab w:val="left" w:pos="2094"/>
        </w:tabs>
      </w:pPr>
      <w:r>
        <w:t xml:space="preserve">Air </w:t>
      </w:r>
      <w:r w:rsidR="0060447E">
        <w:t>toxics:  Emissions (</w:t>
      </w:r>
      <w:hyperlink r:id="rId21" w:history="1">
        <w:r w:rsidR="0060447E" w:rsidRPr="008D7B85">
          <w:rPr>
            <w:rStyle w:val="Hyperlink"/>
          </w:rPr>
          <w:t>NEI</w:t>
        </w:r>
      </w:hyperlink>
      <w:r w:rsidR="0060447E">
        <w:t xml:space="preserve">, SPPD rules, </w:t>
      </w:r>
      <w:hyperlink r:id="rId22" w:history="1">
        <w:r w:rsidR="0060447E" w:rsidRPr="005A56C1">
          <w:rPr>
            <w:rStyle w:val="Hyperlink"/>
          </w:rPr>
          <w:t>SMOKE</w:t>
        </w:r>
      </w:hyperlink>
      <w:r w:rsidR="0060447E">
        <w:t>/</w:t>
      </w:r>
      <w:hyperlink r:id="rId23" w:history="1">
        <w:r w:rsidR="0060447E" w:rsidRPr="001C7BCD">
          <w:rPr>
            <w:rStyle w:val="Hyperlink"/>
          </w:rPr>
          <w:t>EMF</w:t>
        </w:r>
      </w:hyperlink>
      <w:r w:rsidR="0060447E">
        <w:t>) =&gt; Air Quality Models (</w:t>
      </w:r>
      <w:hyperlink r:id="rId24" w:history="1">
        <w:r w:rsidR="0060447E" w:rsidRPr="00343960">
          <w:rPr>
            <w:rStyle w:val="Hyperlink"/>
          </w:rPr>
          <w:t>CMAQ</w:t>
        </w:r>
      </w:hyperlink>
      <w:r w:rsidR="0060447E">
        <w:t xml:space="preserve"> and </w:t>
      </w:r>
      <w:hyperlink r:id="rId25" w:anchor="aermod" w:history="1">
        <w:r w:rsidR="0060447E" w:rsidRPr="00987242">
          <w:rPr>
            <w:rStyle w:val="Hyperlink"/>
          </w:rPr>
          <w:t>AERMOD</w:t>
        </w:r>
      </w:hyperlink>
      <w:r w:rsidR="0060447E">
        <w:t>) =&gt; Risks Assessment (</w:t>
      </w:r>
      <w:hyperlink r:id="rId26" w:history="1">
        <w:r w:rsidR="0060447E" w:rsidRPr="00170445">
          <w:rPr>
            <w:rStyle w:val="Hyperlink"/>
          </w:rPr>
          <w:t>HEM</w:t>
        </w:r>
      </w:hyperlink>
      <w:r w:rsidR="0060447E">
        <w:t>/</w:t>
      </w:r>
      <w:proofErr w:type="spellStart"/>
      <w:r w:rsidR="0060447E">
        <w:t>SaRA</w:t>
      </w:r>
      <w:proofErr w:type="spellEnd"/>
      <w:r w:rsidR="00EF0E1B">
        <w:t>*</w:t>
      </w:r>
      <w:r w:rsidR="0060447E">
        <w:t>/</w:t>
      </w:r>
      <w:hyperlink r:id="rId27" w:history="1">
        <w:r w:rsidR="0060447E" w:rsidRPr="004D4A0B">
          <w:rPr>
            <w:rStyle w:val="Hyperlink"/>
          </w:rPr>
          <w:t>HAPEM</w:t>
        </w:r>
      </w:hyperlink>
      <w:r w:rsidR="0060447E">
        <w:t>)</w:t>
      </w:r>
    </w:p>
    <w:p w14:paraId="0F2C21C1" w14:textId="2F6C4246" w:rsidR="003B7A2D" w:rsidRDefault="00EF0E1B" w:rsidP="00D14AC2">
      <w:pPr>
        <w:tabs>
          <w:tab w:val="left" w:pos="2094"/>
        </w:tabs>
        <w:ind w:left="1440"/>
      </w:pPr>
      <w:r>
        <w:t>*</w:t>
      </w:r>
      <w:proofErr w:type="spellStart"/>
      <w:r w:rsidR="001F7193" w:rsidRPr="001F7193">
        <w:t>SaRA</w:t>
      </w:r>
      <w:proofErr w:type="spellEnd"/>
      <w:r>
        <w:t>–</w:t>
      </w:r>
      <w:r w:rsidR="001F7193">
        <w:t xml:space="preserve"> </w:t>
      </w:r>
      <w:r>
        <w:t xml:space="preserve">The </w:t>
      </w:r>
      <w:r w:rsidRPr="001F7193">
        <w:t>Source and Receptor Analysis (</w:t>
      </w:r>
      <w:proofErr w:type="spellStart"/>
      <w:r w:rsidRPr="001F7193">
        <w:t>SaRA</w:t>
      </w:r>
      <w:proofErr w:type="spellEnd"/>
      <w:r w:rsidRPr="001F7193">
        <w:t>) Tool</w:t>
      </w:r>
      <w:r>
        <w:t xml:space="preserve"> </w:t>
      </w:r>
      <w:r w:rsidR="003614FA">
        <w:t xml:space="preserve">is in development and will </w:t>
      </w:r>
      <w:r w:rsidR="00D14AC2">
        <w:t>p</w:t>
      </w:r>
      <w:r w:rsidR="001F7193" w:rsidRPr="001F7193">
        <w:t>rovide actionable risk informati</w:t>
      </w:r>
      <w:r>
        <w:t xml:space="preserve">on </w:t>
      </w:r>
      <w:r w:rsidR="001F7193" w:rsidRPr="001F7193">
        <w:t>for one or more facilities to assess risk and potential EJ concerns at a refined scale</w:t>
      </w:r>
      <w:r w:rsidR="001F7193">
        <w:t>.</w:t>
      </w:r>
    </w:p>
    <w:p w14:paraId="4B10B974" w14:textId="0562651A" w:rsidR="005B79F5" w:rsidRDefault="002A1F79" w:rsidP="005B79F5">
      <w:pPr>
        <w:pStyle w:val="ListParagraph"/>
        <w:numPr>
          <w:ilvl w:val="0"/>
          <w:numId w:val="7"/>
        </w:numPr>
        <w:tabs>
          <w:tab w:val="left" w:pos="2094"/>
        </w:tabs>
      </w:pPr>
      <w:r>
        <w:t>When will the data be updated in NEXUS?</w:t>
      </w:r>
    </w:p>
    <w:p w14:paraId="2ACD3EC2" w14:textId="26CA6C0E" w:rsidR="003B0259" w:rsidRDefault="00847B72" w:rsidP="00847B72">
      <w:pPr>
        <w:ind w:left="720"/>
      </w:pPr>
      <w:r>
        <w:t>The table below details the data that is in NEXUS, its source, the version that is currently in NEXUS 1.8.6, and plans for update or inclusion in the future.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610"/>
        <w:gridCol w:w="2430"/>
        <w:gridCol w:w="1620"/>
        <w:gridCol w:w="1975"/>
      </w:tblGrid>
      <w:tr w:rsidR="002715D0" w14:paraId="5AF8B7CE" w14:textId="77777777" w:rsidTr="00847B72">
        <w:tc>
          <w:tcPr>
            <w:tcW w:w="2610" w:type="dxa"/>
          </w:tcPr>
          <w:p w14:paraId="6DB07CAD" w14:textId="28BB0FDF" w:rsidR="002715D0" w:rsidRPr="003B0259" w:rsidRDefault="002715D0" w:rsidP="003B0259">
            <w:pPr>
              <w:tabs>
                <w:tab w:val="left" w:pos="2094"/>
              </w:tabs>
              <w:jc w:val="center"/>
              <w:rPr>
                <w:b/>
                <w:bCs/>
              </w:rPr>
            </w:pPr>
            <w:r w:rsidRPr="003B0259">
              <w:rPr>
                <w:b/>
                <w:bCs/>
              </w:rPr>
              <w:t>Data</w:t>
            </w:r>
          </w:p>
        </w:tc>
        <w:tc>
          <w:tcPr>
            <w:tcW w:w="2430" w:type="dxa"/>
          </w:tcPr>
          <w:p w14:paraId="71DC93CA" w14:textId="794A6489" w:rsidR="002715D0" w:rsidRPr="003B0259" w:rsidRDefault="002715D0" w:rsidP="003B0259">
            <w:pPr>
              <w:tabs>
                <w:tab w:val="left" w:pos="2094"/>
              </w:tabs>
              <w:jc w:val="center"/>
              <w:rPr>
                <w:b/>
                <w:bCs/>
              </w:rPr>
            </w:pPr>
            <w:r w:rsidRPr="003B0259">
              <w:rPr>
                <w:b/>
                <w:bCs/>
              </w:rPr>
              <w:t>Source</w:t>
            </w:r>
          </w:p>
        </w:tc>
        <w:tc>
          <w:tcPr>
            <w:tcW w:w="1620" w:type="dxa"/>
          </w:tcPr>
          <w:p w14:paraId="26ABF861" w14:textId="34B07DF3" w:rsidR="002715D0" w:rsidRPr="003B0259" w:rsidRDefault="002715D0" w:rsidP="003B0259">
            <w:pPr>
              <w:tabs>
                <w:tab w:val="left" w:pos="2094"/>
              </w:tabs>
              <w:jc w:val="center"/>
              <w:rPr>
                <w:b/>
                <w:bCs/>
              </w:rPr>
            </w:pPr>
            <w:r w:rsidRPr="003B0259">
              <w:rPr>
                <w:b/>
                <w:bCs/>
              </w:rPr>
              <w:t>Version in NEXUS 1.8.6</w:t>
            </w:r>
          </w:p>
        </w:tc>
        <w:tc>
          <w:tcPr>
            <w:tcW w:w="1975" w:type="dxa"/>
          </w:tcPr>
          <w:p w14:paraId="2E645AB6" w14:textId="2F47703F" w:rsidR="002715D0" w:rsidRPr="003B0259" w:rsidRDefault="002715D0" w:rsidP="003B0259">
            <w:pPr>
              <w:tabs>
                <w:tab w:val="left" w:pos="2094"/>
              </w:tabs>
              <w:jc w:val="center"/>
              <w:rPr>
                <w:b/>
                <w:bCs/>
              </w:rPr>
            </w:pPr>
            <w:r w:rsidRPr="003B0259">
              <w:rPr>
                <w:b/>
                <w:bCs/>
              </w:rPr>
              <w:t>Plans for Update/Inclusion</w:t>
            </w:r>
          </w:p>
        </w:tc>
      </w:tr>
      <w:tr w:rsidR="002715D0" w14:paraId="29CBAEF1" w14:textId="77777777" w:rsidTr="00847B72">
        <w:tc>
          <w:tcPr>
            <w:tcW w:w="2610" w:type="dxa"/>
          </w:tcPr>
          <w:p w14:paraId="12B042D0" w14:textId="0F957CD0" w:rsidR="002715D0" w:rsidRPr="006D7A86" w:rsidRDefault="002715D0" w:rsidP="00FF2E99">
            <w:pPr>
              <w:tabs>
                <w:tab w:val="left" w:pos="2094"/>
              </w:tabs>
            </w:pPr>
            <w:r w:rsidRPr="006D7A86">
              <w:t>O</w:t>
            </w:r>
            <w:r w:rsidRPr="006D7A86">
              <w:rPr>
                <w:vertAlign w:val="subscript"/>
              </w:rPr>
              <w:t>3</w:t>
            </w:r>
            <w:r w:rsidRPr="006D7A86">
              <w:t xml:space="preserve"> and PM</w:t>
            </w:r>
            <w:r w:rsidRPr="006D7A86">
              <w:rPr>
                <w:vertAlign w:val="subscript"/>
              </w:rPr>
              <w:t>2.5</w:t>
            </w:r>
            <w:r w:rsidRPr="006D7A86">
              <w:t xml:space="preserve"> emissions and source data</w:t>
            </w:r>
          </w:p>
        </w:tc>
        <w:tc>
          <w:tcPr>
            <w:tcW w:w="2430" w:type="dxa"/>
          </w:tcPr>
          <w:p w14:paraId="21885B79" w14:textId="2EDDE8B4" w:rsidR="002715D0" w:rsidRPr="006D7A86" w:rsidRDefault="002715D0" w:rsidP="00FF2E99">
            <w:pPr>
              <w:tabs>
                <w:tab w:val="left" w:pos="2094"/>
              </w:tabs>
            </w:pPr>
            <w:r w:rsidRPr="006D7A86">
              <w:t>NEI</w:t>
            </w:r>
          </w:p>
        </w:tc>
        <w:tc>
          <w:tcPr>
            <w:tcW w:w="1620" w:type="dxa"/>
          </w:tcPr>
          <w:p w14:paraId="0EFFEB66" w14:textId="2E9049E5" w:rsidR="002715D0" w:rsidRPr="006D7A86" w:rsidRDefault="002D70BB" w:rsidP="00FF2E99">
            <w:pPr>
              <w:tabs>
                <w:tab w:val="left" w:pos="2094"/>
              </w:tabs>
            </w:pPr>
            <w:r w:rsidRPr="006D7A86">
              <w:t>201</w:t>
            </w:r>
            <w:r w:rsidR="008E06D3" w:rsidRPr="006D7A86">
              <w:t>7</w:t>
            </w:r>
          </w:p>
        </w:tc>
        <w:tc>
          <w:tcPr>
            <w:tcW w:w="1975" w:type="dxa"/>
          </w:tcPr>
          <w:p w14:paraId="0AF666A0" w14:textId="06E39E8A" w:rsidR="002715D0" w:rsidRPr="006D7A86" w:rsidRDefault="008E06D3" w:rsidP="00FF2E99">
            <w:pPr>
              <w:tabs>
                <w:tab w:val="left" w:pos="2094"/>
              </w:tabs>
            </w:pPr>
            <w:r w:rsidRPr="006D7A86">
              <w:t>-</w:t>
            </w:r>
          </w:p>
        </w:tc>
      </w:tr>
      <w:tr w:rsidR="002715D0" w14:paraId="08354011" w14:textId="77777777" w:rsidTr="00847B72">
        <w:tc>
          <w:tcPr>
            <w:tcW w:w="2610" w:type="dxa"/>
          </w:tcPr>
          <w:p w14:paraId="06030A7A" w14:textId="0E1DD471" w:rsidR="002715D0" w:rsidRPr="006D7A86" w:rsidRDefault="002715D0" w:rsidP="00FF2E99">
            <w:pPr>
              <w:tabs>
                <w:tab w:val="left" w:pos="2094"/>
              </w:tabs>
            </w:pPr>
            <w:r w:rsidRPr="006D7A86">
              <w:t>Air Toxics emissions and source data</w:t>
            </w:r>
          </w:p>
        </w:tc>
        <w:tc>
          <w:tcPr>
            <w:tcW w:w="2430" w:type="dxa"/>
          </w:tcPr>
          <w:p w14:paraId="62AB8CC6" w14:textId="300B4932" w:rsidR="002715D0" w:rsidRPr="006D7A86" w:rsidRDefault="002715D0" w:rsidP="00FF2E99">
            <w:pPr>
              <w:tabs>
                <w:tab w:val="left" w:pos="2094"/>
              </w:tabs>
            </w:pPr>
            <w:r w:rsidRPr="006D7A86">
              <w:t>NEI</w:t>
            </w:r>
            <w:r w:rsidR="001F5AF0" w:rsidRPr="006D7A86">
              <w:t xml:space="preserve"> and NATA</w:t>
            </w:r>
          </w:p>
        </w:tc>
        <w:tc>
          <w:tcPr>
            <w:tcW w:w="1620" w:type="dxa"/>
          </w:tcPr>
          <w:p w14:paraId="3DB5A344" w14:textId="47AC6823" w:rsidR="002715D0" w:rsidRPr="006D7A86" w:rsidRDefault="0076051C" w:rsidP="00FF2E99">
            <w:pPr>
              <w:tabs>
                <w:tab w:val="left" w:pos="2094"/>
              </w:tabs>
            </w:pPr>
            <w:r w:rsidRPr="006D7A86">
              <w:t>2014</w:t>
            </w:r>
          </w:p>
        </w:tc>
        <w:tc>
          <w:tcPr>
            <w:tcW w:w="1975" w:type="dxa"/>
          </w:tcPr>
          <w:p w14:paraId="7C454356" w14:textId="2D87572D" w:rsidR="002715D0" w:rsidRPr="006D7A86" w:rsidRDefault="0076051C" w:rsidP="00FF2E99">
            <w:pPr>
              <w:tabs>
                <w:tab w:val="left" w:pos="2094"/>
              </w:tabs>
            </w:pPr>
            <w:r w:rsidRPr="006D7A86">
              <w:t>Update to 2017</w:t>
            </w:r>
          </w:p>
        </w:tc>
      </w:tr>
      <w:tr w:rsidR="004B1DDE" w14:paraId="6D4A5C96" w14:textId="77777777" w:rsidTr="00847B72">
        <w:tc>
          <w:tcPr>
            <w:tcW w:w="2610" w:type="dxa"/>
          </w:tcPr>
          <w:p w14:paraId="7DE78F88" w14:textId="324BFDCC" w:rsidR="004B1DDE" w:rsidRPr="006D7A86" w:rsidRDefault="00847B72" w:rsidP="004B1DDE">
            <w:pPr>
              <w:tabs>
                <w:tab w:val="left" w:pos="2094"/>
              </w:tabs>
            </w:pPr>
            <w:r w:rsidRPr="006D7A86">
              <w:t>O</w:t>
            </w:r>
            <w:r w:rsidRPr="006D7A86">
              <w:rPr>
                <w:vertAlign w:val="subscript"/>
              </w:rPr>
              <w:t>3</w:t>
            </w:r>
            <w:r w:rsidRPr="006D7A86">
              <w:t xml:space="preserve"> and PM</w:t>
            </w:r>
            <w:r w:rsidRPr="006D7A86">
              <w:rPr>
                <w:vertAlign w:val="subscript"/>
              </w:rPr>
              <w:t>2.5</w:t>
            </w:r>
            <w:r w:rsidRPr="006D7A86">
              <w:t xml:space="preserve"> </w:t>
            </w:r>
            <w:r w:rsidR="000C7336" w:rsidRPr="006D7A86">
              <w:t xml:space="preserve">modeled </w:t>
            </w:r>
            <w:r w:rsidR="004B1DDE" w:rsidRPr="006D7A86">
              <w:t>concentration data</w:t>
            </w:r>
          </w:p>
        </w:tc>
        <w:tc>
          <w:tcPr>
            <w:tcW w:w="2430" w:type="dxa"/>
          </w:tcPr>
          <w:p w14:paraId="2E51AC19" w14:textId="3EE006A8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Fused air quality surfaces</w:t>
            </w:r>
          </w:p>
        </w:tc>
        <w:tc>
          <w:tcPr>
            <w:tcW w:w="1620" w:type="dxa"/>
          </w:tcPr>
          <w:p w14:paraId="377A5FEC" w14:textId="48815A44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2014</w:t>
            </w:r>
          </w:p>
        </w:tc>
        <w:tc>
          <w:tcPr>
            <w:tcW w:w="1975" w:type="dxa"/>
          </w:tcPr>
          <w:p w14:paraId="6CBEC2F7" w14:textId="60AD1026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Update to 2017</w:t>
            </w:r>
          </w:p>
        </w:tc>
      </w:tr>
      <w:tr w:rsidR="004B1DDE" w14:paraId="5F78F2E9" w14:textId="77777777" w:rsidTr="00847B72">
        <w:tc>
          <w:tcPr>
            <w:tcW w:w="2610" w:type="dxa"/>
          </w:tcPr>
          <w:p w14:paraId="58CEE532" w14:textId="585886A5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 xml:space="preserve">Air Toxics </w:t>
            </w:r>
            <w:r w:rsidR="000C7336" w:rsidRPr="006D7A86">
              <w:t xml:space="preserve">modeled </w:t>
            </w:r>
            <w:r w:rsidRPr="006D7A86">
              <w:t>concentration data</w:t>
            </w:r>
          </w:p>
        </w:tc>
        <w:tc>
          <w:tcPr>
            <w:tcW w:w="2430" w:type="dxa"/>
          </w:tcPr>
          <w:p w14:paraId="029BBA80" w14:textId="4C2DD0F3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Hybrid CMAQ/AERMOD output for toxics</w:t>
            </w:r>
          </w:p>
        </w:tc>
        <w:tc>
          <w:tcPr>
            <w:tcW w:w="1620" w:type="dxa"/>
          </w:tcPr>
          <w:p w14:paraId="143B8F00" w14:textId="3D3FAC91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2014</w:t>
            </w:r>
          </w:p>
        </w:tc>
        <w:tc>
          <w:tcPr>
            <w:tcW w:w="1975" w:type="dxa"/>
          </w:tcPr>
          <w:p w14:paraId="4BE9B2B0" w14:textId="54C40C88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Update to 2017</w:t>
            </w:r>
          </w:p>
        </w:tc>
      </w:tr>
      <w:tr w:rsidR="004B1DDE" w14:paraId="1A925276" w14:textId="77777777" w:rsidTr="00847B72">
        <w:tc>
          <w:tcPr>
            <w:tcW w:w="2610" w:type="dxa"/>
          </w:tcPr>
          <w:p w14:paraId="0080BF12" w14:textId="306591B5" w:rsidR="004B1DDE" w:rsidRPr="006D7A86" w:rsidRDefault="00847B72" w:rsidP="004B1DDE">
            <w:pPr>
              <w:tabs>
                <w:tab w:val="left" w:pos="2094"/>
              </w:tabs>
            </w:pPr>
            <w:r w:rsidRPr="006D7A86">
              <w:t>O</w:t>
            </w:r>
            <w:r w:rsidRPr="006D7A86">
              <w:rPr>
                <w:vertAlign w:val="subscript"/>
              </w:rPr>
              <w:t>3</w:t>
            </w:r>
            <w:r w:rsidRPr="006D7A86">
              <w:t xml:space="preserve"> and PM</w:t>
            </w:r>
            <w:r w:rsidRPr="006D7A86">
              <w:rPr>
                <w:vertAlign w:val="subscript"/>
              </w:rPr>
              <w:t>2.5</w:t>
            </w:r>
            <w:r w:rsidRPr="006D7A86">
              <w:t xml:space="preserve"> </w:t>
            </w:r>
            <w:r w:rsidR="004B1DDE" w:rsidRPr="006D7A86">
              <w:t>risk data</w:t>
            </w:r>
          </w:p>
        </w:tc>
        <w:tc>
          <w:tcPr>
            <w:tcW w:w="2430" w:type="dxa"/>
          </w:tcPr>
          <w:p w14:paraId="662EC81D" w14:textId="38CB17B4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BenMAP</w:t>
            </w:r>
          </w:p>
        </w:tc>
        <w:tc>
          <w:tcPr>
            <w:tcW w:w="1620" w:type="dxa"/>
          </w:tcPr>
          <w:p w14:paraId="2BBFF1AE" w14:textId="2ABFF3B4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2014</w:t>
            </w:r>
          </w:p>
        </w:tc>
        <w:tc>
          <w:tcPr>
            <w:tcW w:w="1975" w:type="dxa"/>
          </w:tcPr>
          <w:p w14:paraId="7DA769C9" w14:textId="7D1E17FC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Update to 2017</w:t>
            </w:r>
          </w:p>
        </w:tc>
      </w:tr>
      <w:tr w:rsidR="004B1DDE" w14:paraId="2015063F" w14:textId="77777777" w:rsidTr="00847B72">
        <w:tc>
          <w:tcPr>
            <w:tcW w:w="2610" w:type="dxa"/>
          </w:tcPr>
          <w:p w14:paraId="5A0B2E13" w14:textId="2BE7C895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 xml:space="preserve">Air Toxics </w:t>
            </w:r>
            <w:r w:rsidR="000C7336" w:rsidRPr="006D7A86">
              <w:t>r</w:t>
            </w:r>
            <w:r w:rsidRPr="006D7A86">
              <w:t xml:space="preserve">isk </w:t>
            </w:r>
            <w:r w:rsidR="000C7336" w:rsidRPr="006D7A86">
              <w:t>d</w:t>
            </w:r>
            <w:r w:rsidRPr="006D7A86">
              <w:t>ata</w:t>
            </w:r>
          </w:p>
        </w:tc>
        <w:tc>
          <w:tcPr>
            <w:tcW w:w="2430" w:type="dxa"/>
          </w:tcPr>
          <w:p w14:paraId="79F3800A" w14:textId="2C38E3FD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NATA</w:t>
            </w:r>
          </w:p>
        </w:tc>
        <w:tc>
          <w:tcPr>
            <w:tcW w:w="1620" w:type="dxa"/>
          </w:tcPr>
          <w:p w14:paraId="0D840A7A" w14:textId="566DA227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2014</w:t>
            </w:r>
          </w:p>
        </w:tc>
        <w:tc>
          <w:tcPr>
            <w:tcW w:w="1975" w:type="dxa"/>
          </w:tcPr>
          <w:p w14:paraId="1D92B421" w14:textId="2DB9E440" w:rsidR="004B1DDE" w:rsidRPr="006D7A86" w:rsidRDefault="00BD1B9A" w:rsidP="004B1DDE">
            <w:pPr>
              <w:tabs>
                <w:tab w:val="left" w:pos="2094"/>
              </w:tabs>
            </w:pPr>
            <w:r w:rsidRPr="006D7A86">
              <w:t>Update to 2017</w:t>
            </w:r>
          </w:p>
        </w:tc>
      </w:tr>
      <w:tr w:rsidR="004B1DDE" w14:paraId="74F545B2" w14:textId="77777777" w:rsidTr="00847B72">
        <w:tc>
          <w:tcPr>
            <w:tcW w:w="2610" w:type="dxa"/>
          </w:tcPr>
          <w:p w14:paraId="3E0BC0D7" w14:textId="1497D1DC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Advance Areas</w:t>
            </w:r>
          </w:p>
        </w:tc>
        <w:tc>
          <w:tcPr>
            <w:tcW w:w="2430" w:type="dxa"/>
          </w:tcPr>
          <w:p w14:paraId="645321C0" w14:textId="5458D689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AQPD</w:t>
            </w:r>
          </w:p>
        </w:tc>
        <w:tc>
          <w:tcPr>
            <w:tcW w:w="1620" w:type="dxa"/>
          </w:tcPr>
          <w:p w14:paraId="63F1DD08" w14:textId="7F301B28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2020</w:t>
            </w:r>
          </w:p>
        </w:tc>
        <w:tc>
          <w:tcPr>
            <w:tcW w:w="1975" w:type="dxa"/>
          </w:tcPr>
          <w:p w14:paraId="50B96F72" w14:textId="12A18154" w:rsidR="004B1DDE" w:rsidRPr="006D7A86" w:rsidRDefault="00BD1B9A" w:rsidP="004B1DDE">
            <w:pPr>
              <w:tabs>
                <w:tab w:val="left" w:pos="2094"/>
              </w:tabs>
            </w:pPr>
            <w:r w:rsidRPr="006D7A86">
              <w:t>Update to 2021</w:t>
            </w:r>
          </w:p>
        </w:tc>
      </w:tr>
      <w:tr w:rsidR="004B1DDE" w14:paraId="7BBE4B33" w14:textId="77777777" w:rsidTr="00847B72">
        <w:tc>
          <w:tcPr>
            <w:tcW w:w="2610" w:type="dxa"/>
          </w:tcPr>
          <w:p w14:paraId="007FC357" w14:textId="4949FF44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Nonattainment Areas</w:t>
            </w:r>
          </w:p>
        </w:tc>
        <w:tc>
          <w:tcPr>
            <w:tcW w:w="2430" w:type="dxa"/>
          </w:tcPr>
          <w:p w14:paraId="07C049F2" w14:textId="0AC75066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AQAD</w:t>
            </w:r>
          </w:p>
        </w:tc>
        <w:tc>
          <w:tcPr>
            <w:tcW w:w="1620" w:type="dxa"/>
          </w:tcPr>
          <w:p w14:paraId="407595E1" w14:textId="6305031A" w:rsidR="004B1DDE" w:rsidRPr="006D7A86" w:rsidRDefault="00886FE7" w:rsidP="004B1DDE">
            <w:pPr>
              <w:tabs>
                <w:tab w:val="left" w:pos="2094"/>
              </w:tabs>
            </w:pPr>
            <w:r w:rsidRPr="006D7A86">
              <w:t>2013-2018</w:t>
            </w:r>
          </w:p>
        </w:tc>
        <w:tc>
          <w:tcPr>
            <w:tcW w:w="1975" w:type="dxa"/>
          </w:tcPr>
          <w:p w14:paraId="7A03B832" w14:textId="6E681532" w:rsidR="004B1DDE" w:rsidRPr="006D7A86" w:rsidRDefault="00886FE7" w:rsidP="004B1DDE">
            <w:pPr>
              <w:tabs>
                <w:tab w:val="left" w:pos="2094"/>
              </w:tabs>
            </w:pPr>
            <w:r w:rsidRPr="006D7A86">
              <w:t>Update to 2013-2020</w:t>
            </w:r>
          </w:p>
        </w:tc>
      </w:tr>
      <w:tr w:rsidR="004B1DDE" w14:paraId="1F7A53C2" w14:textId="77777777" w:rsidTr="00847B72">
        <w:tc>
          <w:tcPr>
            <w:tcW w:w="2610" w:type="dxa"/>
          </w:tcPr>
          <w:p w14:paraId="4E57D93D" w14:textId="25E0FD40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Tribal Boundaries</w:t>
            </w:r>
          </w:p>
        </w:tc>
        <w:tc>
          <w:tcPr>
            <w:tcW w:w="2430" w:type="dxa"/>
          </w:tcPr>
          <w:p w14:paraId="7BA0A084" w14:textId="1CA68830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OID</w:t>
            </w:r>
          </w:p>
        </w:tc>
        <w:tc>
          <w:tcPr>
            <w:tcW w:w="1620" w:type="dxa"/>
          </w:tcPr>
          <w:p w14:paraId="1B35E0CA" w14:textId="3E8B827B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201</w:t>
            </w:r>
            <w:r w:rsidR="00886FE7" w:rsidRPr="006D7A86">
              <w:t>7</w:t>
            </w:r>
          </w:p>
        </w:tc>
        <w:tc>
          <w:tcPr>
            <w:tcW w:w="1975" w:type="dxa"/>
          </w:tcPr>
          <w:p w14:paraId="7CFD60DF" w14:textId="7DDFD334" w:rsidR="004B1DDE" w:rsidRPr="006D7A86" w:rsidRDefault="00886FE7" w:rsidP="004B1DDE">
            <w:pPr>
              <w:tabs>
                <w:tab w:val="left" w:pos="2094"/>
              </w:tabs>
            </w:pPr>
            <w:r w:rsidRPr="006D7A86">
              <w:t>Update to 2021</w:t>
            </w:r>
          </w:p>
        </w:tc>
      </w:tr>
      <w:tr w:rsidR="004B1DDE" w14:paraId="67ED6CFE" w14:textId="77777777" w:rsidTr="00847B72">
        <w:tc>
          <w:tcPr>
            <w:tcW w:w="2610" w:type="dxa"/>
          </w:tcPr>
          <w:p w14:paraId="098CA8D6" w14:textId="2BD05D27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Socio-economic &amp; demographic data</w:t>
            </w:r>
          </w:p>
        </w:tc>
        <w:tc>
          <w:tcPr>
            <w:tcW w:w="2430" w:type="dxa"/>
          </w:tcPr>
          <w:p w14:paraId="7435D8D4" w14:textId="1603E5EA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EJSCREEN</w:t>
            </w:r>
          </w:p>
        </w:tc>
        <w:tc>
          <w:tcPr>
            <w:tcW w:w="1620" w:type="dxa"/>
          </w:tcPr>
          <w:p w14:paraId="50CC3AF8" w14:textId="2B2D7C56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2020</w:t>
            </w:r>
          </w:p>
        </w:tc>
        <w:tc>
          <w:tcPr>
            <w:tcW w:w="1975" w:type="dxa"/>
          </w:tcPr>
          <w:p w14:paraId="45FF22F8" w14:textId="7EDA1128" w:rsidR="004B1DDE" w:rsidRPr="006D7A86" w:rsidRDefault="00BD1B9A" w:rsidP="004B1DDE">
            <w:pPr>
              <w:tabs>
                <w:tab w:val="left" w:pos="2094"/>
              </w:tabs>
            </w:pPr>
            <w:r w:rsidRPr="006D7A86">
              <w:t>Update to 2021</w:t>
            </w:r>
          </w:p>
        </w:tc>
      </w:tr>
      <w:tr w:rsidR="004B1DDE" w14:paraId="49CCB722" w14:textId="77777777" w:rsidTr="00847B72">
        <w:tc>
          <w:tcPr>
            <w:tcW w:w="2610" w:type="dxa"/>
          </w:tcPr>
          <w:p w14:paraId="5B37D187" w14:textId="187CE7B2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O</w:t>
            </w:r>
            <w:r w:rsidRPr="006D7A86">
              <w:rPr>
                <w:vertAlign w:val="subscript"/>
              </w:rPr>
              <w:t>3</w:t>
            </w:r>
            <w:r w:rsidRPr="006D7A86">
              <w:t>, PM</w:t>
            </w:r>
            <w:r w:rsidRPr="006D7A86">
              <w:rPr>
                <w:vertAlign w:val="subscript"/>
              </w:rPr>
              <w:t>2.5</w:t>
            </w:r>
            <w:r w:rsidRPr="006D7A86">
              <w:t xml:space="preserve"> monitoring data</w:t>
            </w:r>
          </w:p>
        </w:tc>
        <w:tc>
          <w:tcPr>
            <w:tcW w:w="2430" w:type="dxa"/>
          </w:tcPr>
          <w:p w14:paraId="076E203B" w14:textId="15751A21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AQS</w:t>
            </w:r>
          </w:p>
        </w:tc>
        <w:tc>
          <w:tcPr>
            <w:tcW w:w="1620" w:type="dxa"/>
          </w:tcPr>
          <w:p w14:paraId="26D73866" w14:textId="0ED11BED" w:rsidR="004B1DDE" w:rsidRPr="006D7A86" w:rsidRDefault="00BD1B9A" w:rsidP="004B1DDE">
            <w:pPr>
              <w:tabs>
                <w:tab w:val="left" w:pos="2094"/>
              </w:tabs>
            </w:pPr>
            <w:r w:rsidRPr="006D7A86">
              <w:t>-</w:t>
            </w:r>
          </w:p>
        </w:tc>
        <w:tc>
          <w:tcPr>
            <w:tcW w:w="1975" w:type="dxa"/>
          </w:tcPr>
          <w:p w14:paraId="299B670A" w14:textId="227D0B47" w:rsidR="004B1DDE" w:rsidRPr="006D7A86" w:rsidRDefault="00BD1B9A" w:rsidP="004B1DDE">
            <w:pPr>
              <w:tabs>
                <w:tab w:val="left" w:pos="2094"/>
              </w:tabs>
            </w:pPr>
            <w:r w:rsidRPr="006D7A86">
              <w:t xml:space="preserve">Add </w:t>
            </w:r>
            <w:r w:rsidR="00886FE7" w:rsidRPr="006D7A86">
              <w:t>2010-</w:t>
            </w:r>
            <w:r w:rsidRPr="006D7A86">
              <w:t>20</w:t>
            </w:r>
            <w:r w:rsidR="00886FE7" w:rsidRPr="006D7A86">
              <w:t>20</w:t>
            </w:r>
            <w:r w:rsidRPr="006D7A86">
              <w:t xml:space="preserve"> data</w:t>
            </w:r>
          </w:p>
        </w:tc>
      </w:tr>
      <w:tr w:rsidR="004B1DDE" w14:paraId="06A10E20" w14:textId="77777777" w:rsidTr="00847B72">
        <w:tc>
          <w:tcPr>
            <w:tcW w:w="2610" w:type="dxa"/>
          </w:tcPr>
          <w:p w14:paraId="4635B443" w14:textId="78B39764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Air toxics monitoring data</w:t>
            </w:r>
          </w:p>
        </w:tc>
        <w:tc>
          <w:tcPr>
            <w:tcW w:w="2430" w:type="dxa"/>
          </w:tcPr>
          <w:p w14:paraId="1551519F" w14:textId="49EE693F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AQS</w:t>
            </w:r>
          </w:p>
        </w:tc>
        <w:tc>
          <w:tcPr>
            <w:tcW w:w="1620" w:type="dxa"/>
          </w:tcPr>
          <w:p w14:paraId="6BB50E16" w14:textId="330E8701" w:rsidR="004B1DDE" w:rsidRPr="006D7A86" w:rsidRDefault="001821E1" w:rsidP="004B1DDE">
            <w:pPr>
              <w:tabs>
                <w:tab w:val="left" w:pos="2094"/>
              </w:tabs>
            </w:pPr>
            <w:r w:rsidRPr="006D7A86">
              <w:t>-</w:t>
            </w:r>
          </w:p>
        </w:tc>
        <w:tc>
          <w:tcPr>
            <w:tcW w:w="1975" w:type="dxa"/>
          </w:tcPr>
          <w:p w14:paraId="1BEA4D38" w14:textId="73220E4A" w:rsidR="004B1DDE" w:rsidRPr="006D7A86" w:rsidRDefault="00BD1B9A" w:rsidP="004B1DDE">
            <w:pPr>
              <w:tabs>
                <w:tab w:val="left" w:pos="2094"/>
              </w:tabs>
            </w:pPr>
            <w:r w:rsidRPr="006D7A86">
              <w:t xml:space="preserve">Add </w:t>
            </w:r>
            <w:r w:rsidR="00886FE7" w:rsidRPr="006D7A86">
              <w:t>2010-</w:t>
            </w:r>
            <w:r w:rsidRPr="006D7A86">
              <w:t>20</w:t>
            </w:r>
            <w:r w:rsidR="00886FE7" w:rsidRPr="006D7A86">
              <w:t>20</w:t>
            </w:r>
            <w:r w:rsidRPr="006D7A86">
              <w:t xml:space="preserve"> data</w:t>
            </w:r>
          </w:p>
        </w:tc>
      </w:tr>
      <w:tr w:rsidR="004B1DDE" w14:paraId="57CF1322" w14:textId="77777777" w:rsidTr="00847B72">
        <w:tc>
          <w:tcPr>
            <w:tcW w:w="2610" w:type="dxa"/>
          </w:tcPr>
          <w:p w14:paraId="26D47509" w14:textId="3E1DD9A4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GHG emissions</w:t>
            </w:r>
          </w:p>
        </w:tc>
        <w:tc>
          <w:tcPr>
            <w:tcW w:w="2430" w:type="dxa"/>
          </w:tcPr>
          <w:p w14:paraId="3F9AA37A" w14:textId="5C472AF6" w:rsidR="004B1DDE" w:rsidRPr="006D7A86" w:rsidRDefault="004B1DDE" w:rsidP="004B1DDE">
            <w:pPr>
              <w:tabs>
                <w:tab w:val="left" w:pos="2094"/>
              </w:tabs>
            </w:pPr>
            <w:r w:rsidRPr="006D7A86">
              <w:t>NEI &amp; GHG Inventory</w:t>
            </w:r>
          </w:p>
        </w:tc>
        <w:tc>
          <w:tcPr>
            <w:tcW w:w="1620" w:type="dxa"/>
          </w:tcPr>
          <w:p w14:paraId="2A7E448E" w14:textId="235955EE" w:rsidR="004B1DDE" w:rsidRPr="006D7A86" w:rsidRDefault="00886FE7" w:rsidP="004B1DDE">
            <w:pPr>
              <w:tabs>
                <w:tab w:val="left" w:pos="2094"/>
              </w:tabs>
            </w:pPr>
            <w:r w:rsidRPr="006D7A86">
              <w:t>2017</w:t>
            </w:r>
          </w:p>
        </w:tc>
        <w:tc>
          <w:tcPr>
            <w:tcW w:w="1975" w:type="dxa"/>
          </w:tcPr>
          <w:p w14:paraId="4918CF21" w14:textId="3A13D381" w:rsidR="004B1DDE" w:rsidRPr="006D7A86" w:rsidRDefault="00886FE7" w:rsidP="004B1DDE">
            <w:pPr>
              <w:tabs>
                <w:tab w:val="left" w:pos="2094"/>
              </w:tabs>
            </w:pPr>
            <w:r w:rsidRPr="006D7A86">
              <w:t>-</w:t>
            </w:r>
          </w:p>
        </w:tc>
      </w:tr>
    </w:tbl>
    <w:p w14:paraId="7D66448D" w14:textId="77777777" w:rsidR="00FF2E99" w:rsidRPr="00917FEC" w:rsidRDefault="00FF2E99" w:rsidP="00FF2E99">
      <w:pPr>
        <w:tabs>
          <w:tab w:val="left" w:pos="2094"/>
        </w:tabs>
      </w:pPr>
    </w:p>
    <w:sectPr w:rsidR="00FF2E99" w:rsidRPr="00917FEC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50CF9" w14:textId="77777777" w:rsidR="00D331A3" w:rsidRDefault="00D331A3" w:rsidP="002C3573">
      <w:pPr>
        <w:spacing w:after="0" w:line="240" w:lineRule="auto"/>
      </w:pPr>
      <w:r>
        <w:separator/>
      </w:r>
    </w:p>
  </w:endnote>
  <w:endnote w:type="continuationSeparator" w:id="0">
    <w:p w14:paraId="242E891A" w14:textId="77777777" w:rsidR="00D331A3" w:rsidRDefault="00D331A3" w:rsidP="002C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0809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634456" w14:textId="575F7B81" w:rsidR="002C3573" w:rsidRDefault="002C357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90B50D" w14:textId="77777777" w:rsidR="002C3573" w:rsidRDefault="002C3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537D5" w14:textId="77777777" w:rsidR="00D331A3" w:rsidRDefault="00D331A3" w:rsidP="002C3573">
      <w:pPr>
        <w:spacing w:after="0" w:line="240" w:lineRule="auto"/>
      </w:pPr>
      <w:r>
        <w:separator/>
      </w:r>
    </w:p>
  </w:footnote>
  <w:footnote w:type="continuationSeparator" w:id="0">
    <w:p w14:paraId="70507EC0" w14:textId="77777777" w:rsidR="00D331A3" w:rsidRDefault="00D331A3" w:rsidP="002C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78F6"/>
    <w:multiLevelType w:val="hybridMultilevel"/>
    <w:tmpl w:val="402E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8E80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6BBD"/>
    <w:multiLevelType w:val="hybridMultilevel"/>
    <w:tmpl w:val="F1D8A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10D54"/>
    <w:multiLevelType w:val="hybridMultilevel"/>
    <w:tmpl w:val="1D3C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524E"/>
    <w:multiLevelType w:val="hybridMultilevel"/>
    <w:tmpl w:val="9B40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1641"/>
    <w:multiLevelType w:val="hybridMultilevel"/>
    <w:tmpl w:val="78A6E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950378"/>
    <w:multiLevelType w:val="hybridMultilevel"/>
    <w:tmpl w:val="A428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3452"/>
    <w:multiLevelType w:val="hybridMultilevel"/>
    <w:tmpl w:val="DC24C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4D6683"/>
    <w:multiLevelType w:val="hybridMultilevel"/>
    <w:tmpl w:val="0E0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36DC6"/>
    <w:multiLevelType w:val="hybridMultilevel"/>
    <w:tmpl w:val="7ECA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3C8"/>
    <w:multiLevelType w:val="hybridMultilevel"/>
    <w:tmpl w:val="4364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C4B04"/>
    <w:multiLevelType w:val="hybridMultilevel"/>
    <w:tmpl w:val="186C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13"/>
    <w:rsid w:val="00004925"/>
    <w:rsid w:val="00007646"/>
    <w:rsid w:val="000129FB"/>
    <w:rsid w:val="000478C2"/>
    <w:rsid w:val="000635D8"/>
    <w:rsid w:val="00071590"/>
    <w:rsid w:val="00083E20"/>
    <w:rsid w:val="00093974"/>
    <w:rsid w:val="00095732"/>
    <w:rsid w:val="000B1C36"/>
    <w:rsid w:val="000C7336"/>
    <w:rsid w:val="000E78D9"/>
    <w:rsid w:val="000F005B"/>
    <w:rsid w:val="00147674"/>
    <w:rsid w:val="00167AD0"/>
    <w:rsid w:val="00170445"/>
    <w:rsid w:val="001821E1"/>
    <w:rsid w:val="00191C39"/>
    <w:rsid w:val="001A4B91"/>
    <w:rsid w:val="001C7BCD"/>
    <w:rsid w:val="001D1FD8"/>
    <w:rsid w:val="001E1B30"/>
    <w:rsid w:val="001E4716"/>
    <w:rsid w:val="001F5AF0"/>
    <w:rsid w:val="001F7193"/>
    <w:rsid w:val="002715D0"/>
    <w:rsid w:val="002A1F79"/>
    <w:rsid w:val="002C3573"/>
    <w:rsid w:val="002D70BB"/>
    <w:rsid w:val="002E612A"/>
    <w:rsid w:val="00314226"/>
    <w:rsid w:val="00343960"/>
    <w:rsid w:val="003614FA"/>
    <w:rsid w:val="003A2ECB"/>
    <w:rsid w:val="003B0259"/>
    <w:rsid w:val="003B1872"/>
    <w:rsid w:val="003B1D02"/>
    <w:rsid w:val="003B6401"/>
    <w:rsid w:val="003B7A2D"/>
    <w:rsid w:val="003F42BE"/>
    <w:rsid w:val="00415DC8"/>
    <w:rsid w:val="00424AE8"/>
    <w:rsid w:val="00436376"/>
    <w:rsid w:val="00437ECC"/>
    <w:rsid w:val="0044664A"/>
    <w:rsid w:val="004B1DDE"/>
    <w:rsid w:val="004C0E31"/>
    <w:rsid w:val="004D4A0B"/>
    <w:rsid w:val="004D6914"/>
    <w:rsid w:val="00505463"/>
    <w:rsid w:val="00520B59"/>
    <w:rsid w:val="00564B57"/>
    <w:rsid w:val="005678C5"/>
    <w:rsid w:val="00582233"/>
    <w:rsid w:val="005872B5"/>
    <w:rsid w:val="005A29C0"/>
    <w:rsid w:val="005A56C1"/>
    <w:rsid w:val="005B79F5"/>
    <w:rsid w:val="005E189C"/>
    <w:rsid w:val="0060447E"/>
    <w:rsid w:val="00646319"/>
    <w:rsid w:val="006D2646"/>
    <w:rsid w:val="006D7A86"/>
    <w:rsid w:val="00716969"/>
    <w:rsid w:val="00717145"/>
    <w:rsid w:val="00747945"/>
    <w:rsid w:val="0076051C"/>
    <w:rsid w:val="007804EC"/>
    <w:rsid w:val="007A137A"/>
    <w:rsid w:val="007A4581"/>
    <w:rsid w:val="007B77EF"/>
    <w:rsid w:val="007C32B5"/>
    <w:rsid w:val="007E3272"/>
    <w:rsid w:val="007E4414"/>
    <w:rsid w:val="007F2C8B"/>
    <w:rsid w:val="00801903"/>
    <w:rsid w:val="00836F5D"/>
    <w:rsid w:val="00847B72"/>
    <w:rsid w:val="0086566C"/>
    <w:rsid w:val="00886FE7"/>
    <w:rsid w:val="00897151"/>
    <w:rsid w:val="008D7B85"/>
    <w:rsid w:val="008E06D3"/>
    <w:rsid w:val="008F53B4"/>
    <w:rsid w:val="00905383"/>
    <w:rsid w:val="00917FEC"/>
    <w:rsid w:val="00945213"/>
    <w:rsid w:val="009845FD"/>
    <w:rsid w:val="00986188"/>
    <w:rsid w:val="00987242"/>
    <w:rsid w:val="009A3321"/>
    <w:rsid w:val="009A592E"/>
    <w:rsid w:val="009D09DF"/>
    <w:rsid w:val="009D2A78"/>
    <w:rsid w:val="00A043A1"/>
    <w:rsid w:val="00A07D23"/>
    <w:rsid w:val="00B04A1D"/>
    <w:rsid w:val="00B11F92"/>
    <w:rsid w:val="00B24AF9"/>
    <w:rsid w:val="00B54005"/>
    <w:rsid w:val="00B60328"/>
    <w:rsid w:val="00B62602"/>
    <w:rsid w:val="00B66449"/>
    <w:rsid w:val="00B732A7"/>
    <w:rsid w:val="00BC1E4F"/>
    <w:rsid w:val="00BD1B9A"/>
    <w:rsid w:val="00BF03A7"/>
    <w:rsid w:val="00BF54E4"/>
    <w:rsid w:val="00BF757A"/>
    <w:rsid w:val="00C16D56"/>
    <w:rsid w:val="00C24A2C"/>
    <w:rsid w:val="00C2726D"/>
    <w:rsid w:val="00C274C9"/>
    <w:rsid w:val="00C331EF"/>
    <w:rsid w:val="00C742B9"/>
    <w:rsid w:val="00C746A5"/>
    <w:rsid w:val="00CA274F"/>
    <w:rsid w:val="00D14AC2"/>
    <w:rsid w:val="00D15CFD"/>
    <w:rsid w:val="00D331A3"/>
    <w:rsid w:val="00D54DB5"/>
    <w:rsid w:val="00D877A8"/>
    <w:rsid w:val="00D90D8B"/>
    <w:rsid w:val="00D94D32"/>
    <w:rsid w:val="00D958C5"/>
    <w:rsid w:val="00DA4090"/>
    <w:rsid w:val="00DB04C0"/>
    <w:rsid w:val="00DD4085"/>
    <w:rsid w:val="00DD41AA"/>
    <w:rsid w:val="00E466AE"/>
    <w:rsid w:val="00E5226C"/>
    <w:rsid w:val="00E522B2"/>
    <w:rsid w:val="00EB4E8D"/>
    <w:rsid w:val="00EC4B99"/>
    <w:rsid w:val="00EF0E1B"/>
    <w:rsid w:val="00F12BCA"/>
    <w:rsid w:val="00F55837"/>
    <w:rsid w:val="00F90A70"/>
    <w:rsid w:val="00F97989"/>
    <w:rsid w:val="00FA5BD3"/>
    <w:rsid w:val="00FB7A83"/>
    <w:rsid w:val="00FC70CA"/>
    <w:rsid w:val="00FD4590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DC2E"/>
  <w15:chartTrackingRefBased/>
  <w15:docId w15:val="{75ADDACF-8C68-4E2C-B6F1-B202A51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05B"/>
    <w:pPr>
      <w:ind w:left="720"/>
      <w:contextualSpacing/>
    </w:pPr>
  </w:style>
  <w:style w:type="table" w:styleId="TableGrid">
    <w:name w:val="Table Grid"/>
    <w:basedOn w:val="TableNormal"/>
    <w:uiPriority w:val="39"/>
    <w:rsid w:val="0078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1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F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3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3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73"/>
  </w:style>
  <w:style w:type="paragraph" w:styleId="Footer">
    <w:name w:val="footer"/>
    <w:basedOn w:val="Normal"/>
    <w:link w:val="FooterChar"/>
    <w:uiPriority w:val="99"/>
    <w:unhideWhenUsed/>
    <w:rsid w:val="002C3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73"/>
  </w:style>
  <w:style w:type="character" w:styleId="CommentReference">
    <w:name w:val="annotation reference"/>
    <w:basedOn w:val="DefaultParagraphFont"/>
    <w:uiPriority w:val="99"/>
    <w:semiHidden/>
    <w:unhideWhenUsed/>
    <w:rsid w:val="00063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8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3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uisvilleky.gov/government/air-pollution-control-district/apcd-multipollutant-stakeholder-group" TargetMode="External"/><Relationship Id="rId18" Type="http://schemas.openxmlformats.org/officeDocument/2006/relationships/hyperlink" Target="https://www.epa.gov/cmaq" TargetMode="External"/><Relationship Id="rId26" Type="http://schemas.openxmlformats.org/officeDocument/2006/relationships/hyperlink" Target="https://www.epa.gov/fera/risk-assessment-and-modeling-human-exposure-model-he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air-emissions-inventories/national-emissions-inventory-nei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ciencedirect.com/science/article/pii/S1309104215305365" TargetMode="External"/><Relationship Id="rId17" Type="http://schemas.openxmlformats.org/officeDocument/2006/relationships/hyperlink" Target="https://gaftp.epa.gov/Air/nei/ei_conference/EI14/session11/houyoux.pdf" TargetMode="External"/><Relationship Id="rId25" Type="http://schemas.openxmlformats.org/officeDocument/2006/relationships/hyperlink" Target="https://www.epa.gov/scram/air-quality-dispersion-modeling-preferred-and-recommended-mode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ascenter.org/smoke/" TargetMode="External"/><Relationship Id="rId20" Type="http://schemas.openxmlformats.org/officeDocument/2006/relationships/hyperlink" Target="https://www.epa.gov/benma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iencedirect.com/science/article/pii/S1309104215305365" TargetMode="External"/><Relationship Id="rId24" Type="http://schemas.openxmlformats.org/officeDocument/2006/relationships/hyperlink" Target="https://www.epa.gov/cmaq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pa.gov/air-emissions-inventories/national-emissions-inventory-nei" TargetMode="External"/><Relationship Id="rId23" Type="http://schemas.openxmlformats.org/officeDocument/2006/relationships/hyperlink" Target="https://gaftp.epa.gov/Air/nei/ei_conference/EI14/session11/houyoux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epa.gov/scram/air-quality-dispersion-modeling-preferred-and-recommended-mode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aftp.epa.gov/Air/aqmg/cjang/NEXUS/" TargetMode="External"/><Relationship Id="rId22" Type="http://schemas.openxmlformats.org/officeDocument/2006/relationships/hyperlink" Target="https://www.cmascenter.org/smoke/" TargetMode="External"/><Relationship Id="rId27" Type="http://schemas.openxmlformats.org/officeDocument/2006/relationships/hyperlink" Target="https://www.epa.gov/fera/human-exposure-modeling-hazardous-air-pollutant-exposure-model-hape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s_x0020_Status xmlns="e8cef94b-13a7-48be-ac9c-dbd328d0ac26">Pending</Records_x0020_Status>
    <Record xmlns="4ffa91fb-a0ff-4ac5-b2db-65c790d184a4">Shared</Record>
    <Rights xmlns="4ffa91fb-a0ff-4ac5-b2db-65c790d184a4" xsi:nil="true"/>
    <Document_x0020_Creation_x0020_Date xmlns="4ffa91fb-a0ff-4ac5-b2db-65c790d184a4">2021-07-01T02:06:49+00:00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Records_x0020_Date xmlns="e8cef94b-13a7-48be-ac9c-dbd328d0ac26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4B3C41D53F8439B1D80C562E243B0" ma:contentTypeVersion="32" ma:contentTypeDescription="Create a new document." ma:contentTypeScope="" ma:versionID="50907493eb13ada603a17fa441cb2d2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8cef94b-13a7-48be-ac9c-dbd328d0ac26" xmlns:ns7="17237250-5fc7-4924-b793-bde2ffc80e1d" targetNamespace="http://schemas.microsoft.com/office/2006/metadata/properties" ma:root="true" ma:fieldsID="481aec01929900cf2d50735c9f40f99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8cef94b-13a7-48be-ac9c-dbd328d0ac26"/>
    <xsd:import namespace="17237250-5fc7-4924-b793-bde2ffc80e1d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OCR" minOccurs="0"/>
                <xsd:element ref="ns6:Records_x0020_Status" minOccurs="0"/>
                <xsd:element ref="ns6:Records_x0020_Date" minOccurs="0"/>
                <xsd:element ref="ns7:MediaServiceGenerationTime" minOccurs="0"/>
                <xsd:element ref="ns7:MediaServiceEventHashCode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80bdb1-9c76-46ec-83d7-473f65bff1c4}" ma:internalName="TaxCatchAllLabel" ma:readOnly="true" ma:showField="CatchAllDataLabel" ma:web="e8cef94b-13a7-48be-ac9c-dbd328d0a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80bdb1-9c76-46ec-83d7-473f65bff1c4}" ma:internalName="TaxCatchAll" ma:showField="CatchAllData" ma:web="e8cef94b-13a7-48be-ac9c-dbd328d0a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ef94b-13a7-48be-ac9c-dbd328d0ac26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6" nillable="true" ma:displayName="Records Status" ma:default="Pending" ma:internalName="Records_x0020_Status">
      <xsd:simpleType>
        <xsd:restriction base="dms:Text"/>
      </xsd:simpleType>
    </xsd:element>
    <xsd:element name="Records_x0020_Date" ma:index="37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7250-5fc7-4924-b793-bde2ffc80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internalName="MediaServiceAutoTags" ma:readOnly="true">
      <xsd:simpleType>
        <xsd:restriction base="dms:Text"/>
      </xsd:simpleType>
    </xsd:element>
    <xsd:element name="MediaServiceOCR" ma:index="3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D48C5-2B0E-44DA-BCDF-154A71F6A3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9C1D0D-F33A-495E-84C5-160A0C685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9C482-CF2E-49DE-8B8A-FCAC0FFB935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e8cef94b-13a7-48be-ac9c-dbd328d0ac26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71469292-0A07-498B-AC0A-AB8F0812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8cef94b-13a7-48be-ac9c-dbd328d0ac26"/>
    <ds:schemaRef ds:uri="17237250-5fc7-4924-b793-bde2ffc80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2</cp:revision>
  <dcterms:created xsi:type="dcterms:W3CDTF">2021-07-13T15:36:00Z</dcterms:created>
  <dcterms:modified xsi:type="dcterms:W3CDTF">2021-07-13T15:36:00Z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0x0101008B94B3C41D53F8439B1D80C562E243B0</vt:lpwstr>
  </property>
</Properties>
</file>