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446" w:rsidRDefault="008B3446" w:rsidP="00553E81">
      <w:r>
        <w:rPr>
          <w:noProof/>
        </w:rPr>
        <mc:AlternateContent>
          <mc:Choice Requires="wps">
            <w:drawing>
              <wp:anchor distT="0" distB="0" distL="114300" distR="114300" simplePos="0" relativeHeight="251659264" behindDoc="0" locked="0" layoutInCell="0" allowOverlap="1" wp14:anchorId="2F48C8A8" wp14:editId="16469EFD">
                <wp:simplePos x="0" y="0"/>
                <wp:positionH relativeFrom="column">
                  <wp:posOffset>-52070</wp:posOffset>
                </wp:positionH>
                <wp:positionV relativeFrom="paragraph">
                  <wp:posOffset>-467995</wp:posOffset>
                </wp:positionV>
                <wp:extent cx="4114800" cy="8229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ABF" w:rsidRDefault="00FC6ABF" w:rsidP="00553E81">
                            <w:pPr>
                              <w:rPr>
                                <w:i/>
                                <w:sz w:val="100"/>
                              </w:rPr>
                            </w:pPr>
                            <w:r>
                              <w:rPr>
                                <w:i/>
                                <w:sz w:val="100"/>
                              </w:rPr>
                              <w:t>memorandum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8C8A8" id="_x0000_t202" coordsize="21600,21600" o:spt="202" path="m,l,21600r21600,l21600,xe">
                <v:stroke joinstyle="miter"/>
                <v:path gradientshapeok="t" o:connecttype="rect"/>
              </v:shapetype>
              <v:shape id="Text Box 2" o:spid="_x0000_s1026" type="#_x0000_t202" style="position:absolute;margin-left:-4.1pt;margin-top:-36.85pt;width:324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KNgQ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" o:allowincell="f" stroked="f">
                <v:textbox>
                  <w:txbxContent>
                    <w:p w:rsidR="00FC6ABF" w:rsidRDefault="00FC6ABF" w:rsidP="00553E81">
                      <w:pPr>
                        <w:rPr>
                          <w:i/>
                          <w:sz w:val="100"/>
                        </w:rPr>
                      </w:pPr>
                      <w:r>
                        <w:rPr>
                          <w:i/>
                          <w:sz w:val="100"/>
                        </w:rPr>
                        <w:t>memorandum</w:t>
                      </w:r>
                    </w:p>
                  </w:txbxContent>
                </v:textbox>
              </v:shape>
            </w:pict>
          </mc:Fallback>
        </mc:AlternateContent>
      </w:r>
    </w:p>
    <w:p w:rsidR="008B3446" w:rsidRDefault="008B3446" w:rsidP="00553E81"/>
    <w:tbl>
      <w:tblPr>
        <w:tblW w:w="8929" w:type="dxa"/>
        <w:tblLayout w:type="fixed"/>
        <w:tblCellMar>
          <w:left w:w="0" w:type="dxa"/>
          <w:right w:w="0" w:type="dxa"/>
        </w:tblCellMar>
        <w:tblLook w:val="0000" w:firstRow="0" w:lastRow="0" w:firstColumn="0" w:lastColumn="0" w:noHBand="0" w:noVBand="0"/>
      </w:tblPr>
      <w:tblGrid>
        <w:gridCol w:w="1692"/>
        <w:gridCol w:w="7237"/>
      </w:tblGrid>
      <w:tr w:rsidR="00553E81" w:rsidTr="004559CC">
        <w:trPr>
          <w:trHeight w:val="485"/>
        </w:trPr>
        <w:tc>
          <w:tcPr>
            <w:tcW w:w="1692" w:type="dxa"/>
          </w:tcPr>
          <w:p w:rsidR="00553E81" w:rsidRDefault="00553E81" w:rsidP="00F4606B">
            <w:pPr>
              <w:rPr>
                <w:b/>
              </w:rPr>
            </w:pPr>
            <w:r>
              <w:rPr>
                <w:rFonts w:ascii="Arial" w:hAnsi="Arial"/>
                <w:b/>
              </w:rPr>
              <w:t>Date</w:t>
            </w:r>
          </w:p>
        </w:tc>
        <w:tc>
          <w:tcPr>
            <w:tcW w:w="7237" w:type="dxa"/>
          </w:tcPr>
          <w:p w:rsidR="00553E81" w:rsidRDefault="00EE06F6" w:rsidP="00F4606B">
            <w:pPr>
              <w:rPr>
                <w:b/>
              </w:rPr>
            </w:pPr>
            <w:r>
              <w:t>December 1</w:t>
            </w:r>
            <w:r w:rsidR="004559CC">
              <w:t>, 2014</w:t>
            </w:r>
          </w:p>
        </w:tc>
      </w:tr>
      <w:tr w:rsidR="00553E81" w:rsidTr="004559CC">
        <w:trPr>
          <w:trHeight w:val="758"/>
        </w:trPr>
        <w:tc>
          <w:tcPr>
            <w:tcW w:w="1692" w:type="dxa"/>
          </w:tcPr>
          <w:p w:rsidR="00553E81" w:rsidRDefault="00553E81" w:rsidP="00F4606B">
            <w:pPr>
              <w:rPr>
                <w:b/>
              </w:rPr>
            </w:pPr>
            <w:r>
              <w:rPr>
                <w:rFonts w:ascii="Arial" w:hAnsi="Arial"/>
                <w:b/>
              </w:rPr>
              <w:t>To</w:t>
            </w:r>
          </w:p>
        </w:tc>
        <w:tc>
          <w:tcPr>
            <w:tcW w:w="7237" w:type="dxa"/>
          </w:tcPr>
          <w:p w:rsidR="004559CC" w:rsidRDefault="004559CC" w:rsidP="004559CC">
            <w:pPr>
              <w:spacing w:after="0"/>
            </w:pPr>
            <w:r>
              <w:t>Jennifer Snyder</w:t>
            </w:r>
          </w:p>
          <w:p w:rsidR="00553E81" w:rsidRDefault="00553E81" w:rsidP="004559CC">
            <w:pPr>
              <w:rPr>
                <w:b/>
              </w:rPr>
            </w:pPr>
            <w:r>
              <w:t>U.S. Environmental Protection Agency</w:t>
            </w:r>
          </w:p>
        </w:tc>
      </w:tr>
      <w:tr w:rsidR="00553E81" w:rsidTr="004559CC">
        <w:trPr>
          <w:trHeight w:val="773"/>
        </w:trPr>
        <w:tc>
          <w:tcPr>
            <w:tcW w:w="1692" w:type="dxa"/>
          </w:tcPr>
          <w:p w:rsidR="00553E81" w:rsidRDefault="00553E81" w:rsidP="00F4606B">
            <w:pPr>
              <w:rPr>
                <w:b/>
              </w:rPr>
            </w:pPr>
            <w:r>
              <w:rPr>
                <w:rFonts w:ascii="Arial" w:hAnsi="Arial"/>
                <w:b/>
              </w:rPr>
              <w:t>From</w:t>
            </w:r>
          </w:p>
        </w:tc>
        <w:tc>
          <w:tcPr>
            <w:tcW w:w="7237" w:type="dxa"/>
          </w:tcPr>
          <w:p w:rsidR="004559CC" w:rsidRDefault="00553E81" w:rsidP="004559CC">
            <w:pPr>
              <w:spacing w:after="0"/>
            </w:pPr>
            <w:r>
              <w:t>Jonathan Dorn and David Cooley</w:t>
            </w:r>
          </w:p>
          <w:p w:rsidR="00553E81" w:rsidRDefault="00553E81" w:rsidP="004559CC">
            <w:pPr>
              <w:rPr>
                <w:b/>
              </w:rPr>
            </w:pPr>
            <w:r>
              <w:t>Abt Associates</w:t>
            </w:r>
          </w:p>
        </w:tc>
      </w:tr>
      <w:tr w:rsidR="00553E81" w:rsidTr="004559CC">
        <w:trPr>
          <w:trHeight w:val="758"/>
        </w:trPr>
        <w:tc>
          <w:tcPr>
            <w:tcW w:w="1692" w:type="dxa"/>
          </w:tcPr>
          <w:p w:rsidR="00553E81" w:rsidRDefault="00553E81" w:rsidP="00F4606B">
            <w:pPr>
              <w:rPr>
                <w:b/>
              </w:rPr>
            </w:pPr>
            <w:r>
              <w:rPr>
                <w:rFonts w:ascii="Arial" w:hAnsi="Arial"/>
                <w:b/>
              </w:rPr>
              <w:t>Subject</w:t>
            </w:r>
          </w:p>
        </w:tc>
        <w:tc>
          <w:tcPr>
            <w:tcW w:w="7237" w:type="dxa"/>
          </w:tcPr>
          <w:p w:rsidR="00553E81" w:rsidRPr="00B555BC" w:rsidRDefault="004559CC" w:rsidP="00BB6795">
            <w:r>
              <w:t xml:space="preserve">Documentation for Estimation of 2011 </w:t>
            </w:r>
            <w:r w:rsidR="00553E81">
              <w:t>Nonpoint Mercury Emissions</w:t>
            </w:r>
          </w:p>
        </w:tc>
      </w:tr>
    </w:tbl>
    <w:p w:rsidR="00553E81" w:rsidRPr="00844E9A" w:rsidRDefault="00553E81" w:rsidP="00553E81">
      <w:pPr>
        <w:pStyle w:val="Heading1"/>
      </w:pPr>
      <w:r w:rsidRPr="00844E9A">
        <w:t>Introduction</w:t>
      </w:r>
    </w:p>
    <w:p w:rsidR="004559CC" w:rsidRDefault="00BB6795" w:rsidP="00553E81">
      <w:r>
        <w:t xml:space="preserve">This memorandum </w:t>
      </w:r>
      <w:r w:rsidR="004559CC">
        <w:t>includes the documentation for the estimation of nonpoint source me</w:t>
      </w:r>
      <w:r w:rsidR="00DC0940">
        <w:t xml:space="preserve">rcury emissions in </w:t>
      </w:r>
      <w:r w:rsidR="00DC0940" w:rsidRPr="00480066">
        <w:rPr>
          <w:szCs w:val="22"/>
        </w:rPr>
        <w:t xml:space="preserve">2011. </w:t>
      </w:r>
      <w:r w:rsidR="00DC0940" w:rsidRPr="00480066">
        <w:rPr>
          <w:szCs w:val="22"/>
        </w:rPr>
        <w:fldChar w:fldCharType="begin"/>
      </w:r>
      <w:r w:rsidR="00DC0940" w:rsidRPr="00480066">
        <w:rPr>
          <w:szCs w:val="22"/>
        </w:rPr>
        <w:instrText xml:space="preserve"> REF _Ref387395265 \h </w:instrText>
      </w:r>
      <w:r w:rsidR="00480066">
        <w:rPr>
          <w:szCs w:val="22"/>
        </w:rPr>
        <w:instrText xml:space="preserve"> \* MERGEFORMAT </w:instrText>
      </w:r>
      <w:r w:rsidR="00DC0940" w:rsidRPr="00480066">
        <w:rPr>
          <w:szCs w:val="22"/>
        </w:rPr>
      </w:r>
      <w:r w:rsidR="00DC0940" w:rsidRPr="00480066">
        <w:rPr>
          <w:szCs w:val="22"/>
        </w:rPr>
        <w:fldChar w:fldCharType="separate"/>
      </w:r>
      <w:r w:rsidR="00695F22" w:rsidRPr="00695F22">
        <w:rPr>
          <w:szCs w:val="22"/>
        </w:rPr>
        <w:t xml:space="preserve">Table </w:t>
      </w:r>
      <w:r w:rsidR="00695F22" w:rsidRPr="00695F22">
        <w:rPr>
          <w:noProof/>
          <w:szCs w:val="22"/>
        </w:rPr>
        <w:t>1</w:t>
      </w:r>
      <w:r w:rsidR="00DC0940" w:rsidRPr="00480066">
        <w:rPr>
          <w:szCs w:val="22"/>
        </w:rPr>
        <w:fldChar w:fldCharType="end"/>
      </w:r>
      <w:r w:rsidR="004559CC">
        <w:t xml:space="preserve"> summarizes the national emissions (lbs.) estimated for each source category. </w:t>
      </w:r>
      <w:r w:rsidR="00ED1ED6">
        <w:t xml:space="preserve">The remainder of the memo discusses the </w:t>
      </w:r>
      <w:r w:rsidR="00820B8B">
        <w:t>methodology</w:t>
      </w:r>
      <w:r w:rsidR="00ED1ED6">
        <w:t xml:space="preserve"> for </w:t>
      </w:r>
      <w:r w:rsidR="00820B8B">
        <w:t xml:space="preserve">estimating emissions for </w:t>
      </w:r>
      <w:r w:rsidR="00ED1ED6">
        <w:t>each source category, including the estimation of activity data, emission</w:t>
      </w:r>
      <w:r w:rsidR="00820B8B">
        <w:t>s</w:t>
      </w:r>
      <w:r w:rsidR="00ED1ED6">
        <w:t xml:space="preserve"> factor</w:t>
      </w:r>
      <w:r w:rsidR="00820B8B">
        <w:t>s</w:t>
      </w:r>
      <w:r w:rsidR="00ED1ED6">
        <w:t>, approach</w:t>
      </w:r>
      <w:r w:rsidR="00BD4F71">
        <w:t xml:space="preserve"> for allocating emissions to the county level</w:t>
      </w:r>
      <w:r w:rsidR="00ED1ED6">
        <w:t>, sample calculation</w:t>
      </w:r>
      <w:r w:rsidR="00BD4F71">
        <w:t>s</w:t>
      </w:r>
      <w:r w:rsidR="00ED1ED6">
        <w:t xml:space="preserve">, and references.  </w:t>
      </w:r>
    </w:p>
    <w:p w:rsidR="00DC0940" w:rsidRPr="007D2DCB" w:rsidRDefault="00DC0940" w:rsidP="00DC0940">
      <w:pPr>
        <w:pStyle w:val="Caption"/>
        <w:keepNext/>
        <w:jc w:val="center"/>
        <w:rPr>
          <w:sz w:val="20"/>
          <w:szCs w:val="20"/>
        </w:rPr>
      </w:pPr>
      <w:bookmarkStart w:id="0" w:name="_Ref387395265"/>
      <w:r w:rsidRPr="007D2DCB">
        <w:rPr>
          <w:sz w:val="20"/>
          <w:szCs w:val="20"/>
        </w:rPr>
        <w:t xml:space="preserve">Table </w:t>
      </w:r>
      <w:r w:rsidRPr="007D2DCB">
        <w:rPr>
          <w:sz w:val="20"/>
          <w:szCs w:val="20"/>
        </w:rPr>
        <w:fldChar w:fldCharType="begin"/>
      </w:r>
      <w:r w:rsidRPr="007D2DCB">
        <w:rPr>
          <w:sz w:val="20"/>
          <w:szCs w:val="20"/>
        </w:rPr>
        <w:instrText xml:space="preserve"> SEQ Table \* ARABIC </w:instrText>
      </w:r>
      <w:r w:rsidRPr="007D2DCB">
        <w:rPr>
          <w:sz w:val="20"/>
          <w:szCs w:val="20"/>
        </w:rPr>
        <w:fldChar w:fldCharType="separate"/>
      </w:r>
      <w:r w:rsidR="00695F22">
        <w:rPr>
          <w:noProof/>
          <w:sz w:val="20"/>
          <w:szCs w:val="20"/>
        </w:rPr>
        <w:t>1</w:t>
      </w:r>
      <w:r w:rsidRPr="007D2DCB">
        <w:rPr>
          <w:sz w:val="20"/>
          <w:szCs w:val="20"/>
        </w:rPr>
        <w:fldChar w:fldCharType="end"/>
      </w:r>
      <w:bookmarkEnd w:id="0"/>
      <w:r w:rsidRPr="007D2DCB">
        <w:rPr>
          <w:sz w:val="20"/>
          <w:szCs w:val="20"/>
        </w:rPr>
        <w:t xml:space="preserve">. </w:t>
      </w:r>
      <w:r w:rsidRPr="007D2DCB">
        <w:rPr>
          <w:b w:val="0"/>
          <w:sz w:val="20"/>
          <w:szCs w:val="20"/>
        </w:rPr>
        <w:t>National nonpoint emissions of mercury (lbs.) in 2011.</w:t>
      </w:r>
    </w:p>
    <w:tbl>
      <w:tblPr>
        <w:tblStyle w:val="TableGrid"/>
        <w:tblW w:w="0" w:type="auto"/>
        <w:jc w:val="center"/>
        <w:tblLook w:val="04A0" w:firstRow="1" w:lastRow="0" w:firstColumn="1" w:lastColumn="0" w:noHBand="0" w:noVBand="1"/>
        <w:tblCaption w:val="Table 1. National nonpoint emissions of mercury (lbs.) in 2011"/>
        <w:tblDescription w:val="Source Category; SCC; 2011 Emissions (lbs.)"/>
      </w:tblPr>
      <w:tblGrid>
        <w:gridCol w:w="2880"/>
        <w:gridCol w:w="1728"/>
        <w:gridCol w:w="1728"/>
      </w:tblGrid>
      <w:tr w:rsidR="004559CC" w:rsidRPr="00440771" w:rsidTr="00440771">
        <w:trPr>
          <w:trHeight w:val="309"/>
          <w:jc w:val="center"/>
        </w:trPr>
        <w:tc>
          <w:tcPr>
            <w:tcW w:w="2880" w:type="dxa"/>
            <w:shd w:val="clear" w:color="auto" w:fill="D6291C"/>
            <w:vAlign w:val="center"/>
          </w:tcPr>
          <w:p w:rsidR="004559CC" w:rsidRPr="00440771" w:rsidRDefault="004559CC" w:rsidP="004559CC">
            <w:pPr>
              <w:spacing w:line="240" w:lineRule="auto"/>
              <w:ind w:left="349" w:hanging="349"/>
              <w:rPr>
                <w:rFonts w:ascii="Arial" w:hAnsi="Arial" w:cs="Arial"/>
                <w:b/>
                <w:color w:val="FFFFFF" w:themeColor="background1"/>
                <w:sz w:val="20"/>
              </w:rPr>
            </w:pPr>
            <w:r w:rsidRPr="00440771">
              <w:rPr>
                <w:rFonts w:ascii="Arial" w:hAnsi="Arial" w:cs="Arial"/>
                <w:b/>
                <w:color w:val="FFFFFF" w:themeColor="background1"/>
                <w:sz w:val="20"/>
              </w:rPr>
              <w:t>Source Category</w:t>
            </w:r>
          </w:p>
        </w:tc>
        <w:tc>
          <w:tcPr>
            <w:tcW w:w="1728" w:type="dxa"/>
            <w:shd w:val="clear" w:color="auto" w:fill="D6291C"/>
            <w:vAlign w:val="center"/>
          </w:tcPr>
          <w:p w:rsidR="004559CC" w:rsidRPr="00440771" w:rsidRDefault="004559CC" w:rsidP="004559CC">
            <w:pPr>
              <w:spacing w:line="240" w:lineRule="auto"/>
              <w:jc w:val="center"/>
              <w:rPr>
                <w:rFonts w:ascii="Arial" w:hAnsi="Arial" w:cs="Arial"/>
                <w:b/>
                <w:color w:val="FFFFFF" w:themeColor="background1"/>
                <w:sz w:val="20"/>
              </w:rPr>
            </w:pPr>
            <w:r w:rsidRPr="00440771">
              <w:rPr>
                <w:rFonts w:ascii="Arial" w:hAnsi="Arial" w:cs="Arial"/>
                <w:b/>
                <w:color w:val="FFFFFF" w:themeColor="background1"/>
                <w:sz w:val="20"/>
              </w:rPr>
              <w:t>SCC</w:t>
            </w:r>
          </w:p>
        </w:tc>
        <w:tc>
          <w:tcPr>
            <w:tcW w:w="1728" w:type="dxa"/>
            <w:shd w:val="clear" w:color="auto" w:fill="D6291C"/>
            <w:vAlign w:val="center"/>
          </w:tcPr>
          <w:p w:rsidR="004559CC" w:rsidRPr="00440771" w:rsidRDefault="004559CC" w:rsidP="00ED1ED6">
            <w:pPr>
              <w:spacing w:line="240" w:lineRule="auto"/>
              <w:jc w:val="center"/>
              <w:rPr>
                <w:rFonts w:ascii="Arial" w:hAnsi="Arial" w:cs="Arial"/>
                <w:b/>
                <w:color w:val="FFFFFF" w:themeColor="background1"/>
                <w:sz w:val="20"/>
              </w:rPr>
            </w:pPr>
            <w:r w:rsidRPr="00440771">
              <w:rPr>
                <w:rFonts w:ascii="Arial" w:hAnsi="Arial" w:cs="Arial"/>
                <w:b/>
                <w:color w:val="FFFFFF" w:themeColor="background1"/>
                <w:sz w:val="20"/>
              </w:rPr>
              <w:t xml:space="preserve">2011 </w:t>
            </w:r>
            <w:r w:rsidR="00ED1ED6" w:rsidRPr="00440771">
              <w:rPr>
                <w:rFonts w:ascii="Arial" w:hAnsi="Arial" w:cs="Arial"/>
                <w:b/>
                <w:color w:val="FFFFFF" w:themeColor="background1"/>
                <w:sz w:val="20"/>
              </w:rPr>
              <w:t>Emissions (lbs.)</w:t>
            </w:r>
          </w:p>
        </w:tc>
      </w:tr>
      <w:tr w:rsidR="004559CC" w:rsidRPr="00440771" w:rsidTr="002F0E8C">
        <w:trPr>
          <w:trHeight w:val="317"/>
          <w:jc w:val="center"/>
        </w:trPr>
        <w:tc>
          <w:tcPr>
            <w:tcW w:w="2880" w:type="dxa"/>
            <w:vAlign w:val="center"/>
          </w:tcPr>
          <w:p w:rsidR="004559CC" w:rsidRPr="00440771" w:rsidRDefault="004559CC" w:rsidP="004559CC">
            <w:pPr>
              <w:spacing w:line="240" w:lineRule="auto"/>
              <w:ind w:left="349" w:hanging="349"/>
              <w:rPr>
                <w:rFonts w:ascii="Arial" w:hAnsi="Arial" w:cs="Arial"/>
                <w:color w:val="000000"/>
                <w:sz w:val="20"/>
              </w:rPr>
            </w:pPr>
            <w:r w:rsidRPr="00440771">
              <w:rPr>
                <w:rFonts w:ascii="Arial" w:hAnsi="Arial" w:cs="Arial"/>
                <w:color w:val="000000"/>
                <w:sz w:val="20"/>
              </w:rPr>
              <w:t>Switches and Relays</w:t>
            </w:r>
          </w:p>
        </w:tc>
        <w:tc>
          <w:tcPr>
            <w:tcW w:w="1728" w:type="dxa"/>
            <w:vAlign w:val="center"/>
          </w:tcPr>
          <w:p w:rsidR="004559CC" w:rsidRPr="00440771" w:rsidRDefault="00AA5141" w:rsidP="004559CC">
            <w:pPr>
              <w:spacing w:line="240" w:lineRule="auto"/>
              <w:jc w:val="center"/>
              <w:rPr>
                <w:rFonts w:ascii="Arial" w:hAnsi="Arial" w:cs="Arial"/>
                <w:sz w:val="20"/>
              </w:rPr>
            </w:pPr>
            <w:r w:rsidRPr="00AA5141">
              <w:rPr>
                <w:rFonts w:ascii="Arial" w:hAnsi="Arial" w:cs="Arial"/>
                <w:sz w:val="20"/>
              </w:rPr>
              <w:t>2650000002</w:t>
            </w:r>
          </w:p>
        </w:tc>
        <w:tc>
          <w:tcPr>
            <w:tcW w:w="1728" w:type="dxa"/>
            <w:vAlign w:val="center"/>
          </w:tcPr>
          <w:p w:rsidR="004559CC" w:rsidRPr="00440771" w:rsidRDefault="00ED1ED6" w:rsidP="00820B8B">
            <w:pPr>
              <w:ind w:right="270"/>
              <w:jc w:val="right"/>
              <w:rPr>
                <w:rFonts w:ascii="Arial" w:hAnsi="Arial"/>
                <w:bCs/>
                <w:color w:val="000000"/>
                <w:sz w:val="20"/>
                <w:szCs w:val="22"/>
              </w:rPr>
            </w:pPr>
            <w:r w:rsidRPr="00440771">
              <w:rPr>
                <w:rFonts w:ascii="Arial" w:hAnsi="Arial"/>
                <w:bCs/>
                <w:color w:val="000000"/>
                <w:sz w:val="20"/>
                <w:szCs w:val="22"/>
              </w:rPr>
              <w:t>4,292.8</w:t>
            </w:r>
          </w:p>
        </w:tc>
      </w:tr>
      <w:tr w:rsidR="004559CC" w:rsidRPr="00440771" w:rsidTr="002F0E8C">
        <w:trPr>
          <w:trHeight w:val="317"/>
          <w:jc w:val="center"/>
        </w:trPr>
        <w:tc>
          <w:tcPr>
            <w:tcW w:w="2880" w:type="dxa"/>
            <w:vAlign w:val="center"/>
          </w:tcPr>
          <w:p w:rsidR="004559CC" w:rsidRPr="00440771" w:rsidRDefault="004559CC" w:rsidP="004559CC">
            <w:pPr>
              <w:spacing w:line="240" w:lineRule="auto"/>
              <w:ind w:left="349" w:hanging="349"/>
              <w:rPr>
                <w:rFonts w:ascii="Arial" w:hAnsi="Arial" w:cs="Arial"/>
                <w:color w:val="000000"/>
                <w:sz w:val="20"/>
              </w:rPr>
            </w:pPr>
            <w:r w:rsidRPr="00440771">
              <w:rPr>
                <w:rFonts w:ascii="Arial" w:hAnsi="Arial" w:cs="Arial"/>
                <w:color w:val="000000"/>
                <w:sz w:val="20"/>
              </w:rPr>
              <w:t>Human Cremation</w:t>
            </w:r>
          </w:p>
        </w:tc>
        <w:tc>
          <w:tcPr>
            <w:tcW w:w="1728" w:type="dxa"/>
            <w:vAlign w:val="center"/>
          </w:tcPr>
          <w:p w:rsidR="004559CC" w:rsidRPr="00440771" w:rsidRDefault="00ED1ED6" w:rsidP="00ED1ED6">
            <w:pPr>
              <w:jc w:val="center"/>
              <w:rPr>
                <w:rFonts w:ascii="Arial" w:hAnsi="Arial"/>
                <w:color w:val="000000"/>
                <w:sz w:val="20"/>
                <w:szCs w:val="22"/>
              </w:rPr>
            </w:pPr>
            <w:r w:rsidRPr="00440771">
              <w:rPr>
                <w:rFonts w:ascii="Arial" w:hAnsi="Arial"/>
                <w:color w:val="000000"/>
                <w:sz w:val="20"/>
                <w:szCs w:val="22"/>
              </w:rPr>
              <w:t>2810060100</w:t>
            </w:r>
          </w:p>
        </w:tc>
        <w:tc>
          <w:tcPr>
            <w:tcW w:w="1728" w:type="dxa"/>
            <w:vAlign w:val="center"/>
          </w:tcPr>
          <w:p w:rsidR="004559CC" w:rsidRPr="00440771" w:rsidRDefault="00340FF6" w:rsidP="00B403CF">
            <w:pPr>
              <w:spacing w:line="240" w:lineRule="auto"/>
              <w:ind w:right="270"/>
              <w:jc w:val="right"/>
              <w:rPr>
                <w:rFonts w:ascii="Arial" w:hAnsi="Arial" w:cs="Arial"/>
                <w:sz w:val="20"/>
              </w:rPr>
            </w:pPr>
            <w:r>
              <w:rPr>
                <w:rFonts w:ascii="Arial" w:hAnsi="Arial" w:cs="Arial"/>
                <w:sz w:val="20"/>
              </w:rPr>
              <w:t>2,2</w:t>
            </w:r>
            <w:r w:rsidR="00B403CF">
              <w:rPr>
                <w:rFonts w:ascii="Arial" w:hAnsi="Arial" w:cs="Arial"/>
                <w:sz w:val="20"/>
              </w:rPr>
              <w:t>91</w:t>
            </w:r>
            <w:r>
              <w:rPr>
                <w:rFonts w:ascii="Arial" w:hAnsi="Arial" w:cs="Arial"/>
                <w:sz w:val="20"/>
              </w:rPr>
              <w:t>.</w:t>
            </w:r>
            <w:r w:rsidR="00B403CF">
              <w:rPr>
                <w:rFonts w:ascii="Arial" w:hAnsi="Arial" w:cs="Arial"/>
                <w:sz w:val="20"/>
              </w:rPr>
              <w:t>5</w:t>
            </w:r>
          </w:p>
        </w:tc>
      </w:tr>
      <w:tr w:rsidR="004559CC" w:rsidRPr="00440771" w:rsidTr="002F0E8C">
        <w:trPr>
          <w:trHeight w:val="317"/>
          <w:jc w:val="center"/>
        </w:trPr>
        <w:tc>
          <w:tcPr>
            <w:tcW w:w="2880" w:type="dxa"/>
            <w:vAlign w:val="center"/>
          </w:tcPr>
          <w:p w:rsidR="004559CC" w:rsidRPr="00440771" w:rsidRDefault="004559CC" w:rsidP="004559CC">
            <w:pPr>
              <w:spacing w:line="240" w:lineRule="auto"/>
              <w:ind w:left="349" w:hanging="349"/>
              <w:rPr>
                <w:rFonts w:ascii="Arial" w:hAnsi="Arial" w:cs="Arial"/>
                <w:color w:val="000000"/>
                <w:sz w:val="20"/>
              </w:rPr>
            </w:pPr>
            <w:r w:rsidRPr="00440771">
              <w:rPr>
                <w:rFonts w:ascii="Arial" w:hAnsi="Arial" w:cs="Arial"/>
                <w:color w:val="000000"/>
                <w:sz w:val="20"/>
              </w:rPr>
              <w:t>Landfills</w:t>
            </w:r>
          </w:p>
        </w:tc>
        <w:tc>
          <w:tcPr>
            <w:tcW w:w="1728" w:type="dxa"/>
            <w:vAlign w:val="center"/>
          </w:tcPr>
          <w:p w:rsidR="004559CC" w:rsidRPr="00440771" w:rsidRDefault="00AA5141" w:rsidP="004559CC">
            <w:pPr>
              <w:spacing w:line="240" w:lineRule="auto"/>
              <w:jc w:val="center"/>
              <w:rPr>
                <w:rFonts w:ascii="Arial" w:hAnsi="Arial" w:cs="Arial"/>
                <w:sz w:val="20"/>
              </w:rPr>
            </w:pPr>
            <w:r w:rsidRPr="00AA5141">
              <w:rPr>
                <w:rFonts w:ascii="Arial" w:hAnsi="Arial" w:cs="Arial"/>
                <w:sz w:val="20"/>
              </w:rPr>
              <w:t>2620030001</w:t>
            </w:r>
          </w:p>
        </w:tc>
        <w:tc>
          <w:tcPr>
            <w:tcW w:w="1728" w:type="dxa"/>
            <w:vAlign w:val="center"/>
          </w:tcPr>
          <w:p w:rsidR="004559CC" w:rsidRPr="00440771" w:rsidRDefault="00340FF6" w:rsidP="00820B8B">
            <w:pPr>
              <w:ind w:right="270"/>
              <w:jc w:val="right"/>
              <w:rPr>
                <w:rFonts w:ascii="Arial" w:hAnsi="Arial"/>
                <w:bCs/>
                <w:color w:val="000000"/>
                <w:sz w:val="20"/>
                <w:szCs w:val="22"/>
              </w:rPr>
            </w:pPr>
            <w:r>
              <w:rPr>
                <w:rFonts w:ascii="Arial" w:hAnsi="Arial"/>
                <w:bCs/>
                <w:color w:val="000000"/>
                <w:sz w:val="20"/>
                <w:szCs w:val="22"/>
              </w:rPr>
              <w:t>828.0</w:t>
            </w:r>
          </w:p>
        </w:tc>
      </w:tr>
      <w:tr w:rsidR="004559CC" w:rsidRPr="00440771" w:rsidTr="002F0E8C">
        <w:trPr>
          <w:trHeight w:val="317"/>
          <w:jc w:val="center"/>
        </w:trPr>
        <w:tc>
          <w:tcPr>
            <w:tcW w:w="2880" w:type="dxa"/>
            <w:vAlign w:val="center"/>
          </w:tcPr>
          <w:p w:rsidR="004559CC" w:rsidRPr="00440771" w:rsidRDefault="00A04287" w:rsidP="004559CC">
            <w:pPr>
              <w:spacing w:line="240" w:lineRule="auto"/>
              <w:ind w:left="349" w:hanging="349"/>
              <w:rPr>
                <w:rFonts w:ascii="Arial" w:hAnsi="Arial" w:cs="Arial"/>
                <w:color w:val="000000"/>
                <w:sz w:val="20"/>
              </w:rPr>
            </w:pPr>
            <w:r>
              <w:rPr>
                <w:rFonts w:ascii="Arial" w:hAnsi="Arial" w:cs="Arial"/>
                <w:color w:val="000000"/>
                <w:sz w:val="20"/>
              </w:rPr>
              <w:t xml:space="preserve">Fluorescent </w:t>
            </w:r>
            <w:r w:rsidR="004559CC" w:rsidRPr="00440771">
              <w:rPr>
                <w:rFonts w:ascii="Arial" w:hAnsi="Arial" w:cs="Arial"/>
                <w:color w:val="000000"/>
                <w:sz w:val="20"/>
              </w:rPr>
              <w:t>Lamp Breakage</w:t>
            </w:r>
          </w:p>
        </w:tc>
        <w:tc>
          <w:tcPr>
            <w:tcW w:w="1728" w:type="dxa"/>
            <w:vAlign w:val="center"/>
          </w:tcPr>
          <w:p w:rsidR="004559CC" w:rsidRPr="00440771" w:rsidRDefault="00440771" w:rsidP="00440771">
            <w:pPr>
              <w:jc w:val="center"/>
              <w:rPr>
                <w:rFonts w:ascii="Arial" w:hAnsi="Arial"/>
                <w:color w:val="000000"/>
                <w:sz w:val="20"/>
                <w:szCs w:val="22"/>
              </w:rPr>
            </w:pPr>
            <w:r w:rsidRPr="00440771">
              <w:rPr>
                <w:rFonts w:ascii="Arial" w:hAnsi="Arial"/>
                <w:color w:val="000000"/>
                <w:sz w:val="20"/>
                <w:szCs w:val="22"/>
              </w:rPr>
              <w:t>2861000000</w:t>
            </w:r>
          </w:p>
        </w:tc>
        <w:tc>
          <w:tcPr>
            <w:tcW w:w="1728" w:type="dxa"/>
            <w:vAlign w:val="center"/>
          </w:tcPr>
          <w:p w:rsidR="004559CC" w:rsidRPr="00440771" w:rsidRDefault="00ED1ED6" w:rsidP="00820B8B">
            <w:pPr>
              <w:ind w:right="270"/>
              <w:jc w:val="right"/>
              <w:rPr>
                <w:rFonts w:ascii="Arial" w:hAnsi="Arial"/>
                <w:bCs/>
                <w:color w:val="000000"/>
                <w:sz w:val="20"/>
                <w:szCs w:val="22"/>
              </w:rPr>
            </w:pPr>
            <w:r w:rsidRPr="00440771">
              <w:rPr>
                <w:rFonts w:ascii="Arial" w:hAnsi="Arial"/>
                <w:bCs/>
                <w:color w:val="000000"/>
                <w:sz w:val="20"/>
                <w:szCs w:val="22"/>
              </w:rPr>
              <w:t>802.7</w:t>
            </w:r>
          </w:p>
        </w:tc>
      </w:tr>
      <w:tr w:rsidR="00ED1ED6" w:rsidRPr="00440771" w:rsidTr="002F0E8C">
        <w:trPr>
          <w:trHeight w:val="317"/>
          <w:jc w:val="center"/>
        </w:trPr>
        <w:tc>
          <w:tcPr>
            <w:tcW w:w="2880" w:type="dxa"/>
            <w:vAlign w:val="center"/>
          </w:tcPr>
          <w:p w:rsidR="00ED1ED6" w:rsidRPr="00440771" w:rsidRDefault="00ED1ED6" w:rsidP="00D94E67">
            <w:pPr>
              <w:spacing w:line="240" w:lineRule="auto"/>
              <w:ind w:left="349" w:hanging="349"/>
              <w:rPr>
                <w:rFonts w:ascii="Arial" w:hAnsi="Arial" w:cs="Arial"/>
                <w:color w:val="000000"/>
                <w:sz w:val="20"/>
              </w:rPr>
            </w:pPr>
            <w:r w:rsidRPr="00440771">
              <w:rPr>
                <w:rFonts w:ascii="Arial" w:hAnsi="Arial" w:cs="Arial"/>
                <w:color w:val="000000"/>
                <w:sz w:val="20"/>
              </w:rPr>
              <w:t>Dental Amalgam</w:t>
            </w:r>
          </w:p>
        </w:tc>
        <w:tc>
          <w:tcPr>
            <w:tcW w:w="1728" w:type="dxa"/>
            <w:vAlign w:val="center"/>
          </w:tcPr>
          <w:p w:rsidR="00ED1ED6" w:rsidRPr="00440771" w:rsidRDefault="00440771" w:rsidP="00440771">
            <w:pPr>
              <w:jc w:val="center"/>
              <w:rPr>
                <w:rFonts w:ascii="Arial" w:hAnsi="Arial"/>
                <w:color w:val="000000"/>
                <w:sz w:val="20"/>
                <w:szCs w:val="22"/>
              </w:rPr>
            </w:pPr>
            <w:r w:rsidRPr="00440771">
              <w:rPr>
                <w:rFonts w:ascii="Arial" w:hAnsi="Arial"/>
                <w:color w:val="000000"/>
                <w:sz w:val="20"/>
                <w:szCs w:val="22"/>
              </w:rPr>
              <w:t>2850001000</w:t>
            </w:r>
          </w:p>
        </w:tc>
        <w:tc>
          <w:tcPr>
            <w:tcW w:w="1728" w:type="dxa"/>
            <w:vAlign w:val="center"/>
          </w:tcPr>
          <w:p w:rsidR="00ED1ED6" w:rsidRPr="00440771" w:rsidRDefault="00ED1ED6" w:rsidP="00820B8B">
            <w:pPr>
              <w:ind w:right="270"/>
              <w:jc w:val="right"/>
              <w:rPr>
                <w:rFonts w:ascii="Arial" w:hAnsi="Arial"/>
                <w:bCs/>
                <w:color w:val="000000"/>
                <w:sz w:val="20"/>
                <w:szCs w:val="22"/>
              </w:rPr>
            </w:pPr>
            <w:r w:rsidRPr="00440771">
              <w:rPr>
                <w:rFonts w:ascii="Arial" w:hAnsi="Arial"/>
                <w:bCs/>
                <w:color w:val="000000"/>
                <w:sz w:val="20"/>
                <w:szCs w:val="22"/>
              </w:rPr>
              <w:t>803.8</w:t>
            </w:r>
          </w:p>
        </w:tc>
      </w:tr>
      <w:tr w:rsidR="004559CC" w:rsidRPr="00440771" w:rsidTr="002F0E8C">
        <w:trPr>
          <w:trHeight w:val="317"/>
          <w:jc w:val="center"/>
        </w:trPr>
        <w:tc>
          <w:tcPr>
            <w:tcW w:w="2880" w:type="dxa"/>
            <w:vAlign w:val="center"/>
          </w:tcPr>
          <w:p w:rsidR="004559CC" w:rsidRPr="00440771" w:rsidRDefault="00440771" w:rsidP="004559CC">
            <w:pPr>
              <w:spacing w:line="240" w:lineRule="auto"/>
              <w:ind w:left="349" w:hanging="349"/>
              <w:rPr>
                <w:rFonts w:ascii="Arial" w:hAnsi="Arial" w:cs="Arial"/>
                <w:color w:val="000000"/>
                <w:sz w:val="20"/>
              </w:rPr>
            </w:pPr>
            <w:r w:rsidRPr="00440771">
              <w:rPr>
                <w:rFonts w:ascii="Arial" w:hAnsi="Arial" w:cs="Arial"/>
                <w:color w:val="000000"/>
                <w:sz w:val="20"/>
              </w:rPr>
              <w:t xml:space="preserve">General Laboratory </w:t>
            </w:r>
            <w:proofErr w:type="spellStart"/>
            <w:r w:rsidRPr="00440771">
              <w:rPr>
                <w:rFonts w:ascii="Arial" w:hAnsi="Arial" w:cs="Arial"/>
                <w:color w:val="000000"/>
                <w:sz w:val="20"/>
              </w:rPr>
              <w:t>Activities</w:t>
            </w:r>
            <w:r w:rsidR="00820B8B" w:rsidRPr="00820B8B">
              <w:rPr>
                <w:rFonts w:ascii="Arial" w:hAnsi="Arial" w:cs="Arial"/>
                <w:color w:val="000000"/>
                <w:sz w:val="20"/>
                <w:vertAlign w:val="superscript"/>
              </w:rPr>
              <w:t>a</w:t>
            </w:r>
            <w:proofErr w:type="spellEnd"/>
          </w:p>
        </w:tc>
        <w:tc>
          <w:tcPr>
            <w:tcW w:w="1728" w:type="dxa"/>
            <w:vAlign w:val="center"/>
          </w:tcPr>
          <w:p w:rsidR="004559CC" w:rsidRPr="00440771" w:rsidRDefault="00440771" w:rsidP="004559CC">
            <w:pPr>
              <w:spacing w:line="240" w:lineRule="auto"/>
              <w:jc w:val="center"/>
              <w:rPr>
                <w:rFonts w:ascii="Arial" w:hAnsi="Arial" w:cs="Arial"/>
                <w:sz w:val="20"/>
              </w:rPr>
            </w:pPr>
            <w:r w:rsidRPr="00440771">
              <w:rPr>
                <w:rFonts w:ascii="Arial" w:hAnsi="Arial" w:cs="Arial"/>
                <w:sz w:val="20"/>
              </w:rPr>
              <w:t>2851001000</w:t>
            </w:r>
          </w:p>
        </w:tc>
        <w:tc>
          <w:tcPr>
            <w:tcW w:w="1728" w:type="dxa"/>
            <w:vAlign w:val="center"/>
          </w:tcPr>
          <w:p w:rsidR="004559CC" w:rsidRPr="00440771" w:rsidRDefault="00ED1ED6" w:rsidP="00820B8B">
            <w:pPr>
              <w:spacing w:line="240" w:lineRule="auto"/>
              <w:ind w:right="270"/>
              <w:jc w:val="right"/>
              <w:rPr>
                <w:rFonts w:ascii="Arial" w:hAnsi="Arial" w:cs="Arial"/>
                <w:sz w:val="20"/>
              </w:rPr>
            </w:pPr>
            <w:r w:rsidRPr="00440771">
              <w:rPr>
                <w:rFonts w:ascii="Arial" w:hAnsi="Arial" w:cs="Arial"/>
                <w:sz w:val="20"/>
              </w:rPr>
              <w:t>600.0</w:t>
            </w:r>
          </w:p>
        </w:tc>
      </w:tr>
      <w:tr w:rsidR="004559CC" w:rsidRPr="00440771" w:rsidTr="002F0E8C">
        <w:trPr>
          <w:trHeight w:val="317"/>
          <w:jc w:val="center"/>
        </w:trPr>
        <w:tc>
          <w:tcPr>
            <w:tcW w:w="2880" w:type="dxa"/>
            <w:vAlign w:val="center"/>
          </w:tcPr>
          <w:p w:rsidR="004559CC" w:rsidRPr="00440771" w:rsidRDefault="004559CC" w:rsidP="004559CC">
            <w:pPr>
              <w:spacing w:line="240" w:lineRule="auto"/>
              <w:ind w:left="349" w:hanging="349"/>
              <w:rPr>
                <w:rFonts w:ascii="Arial" w:hAnsi="Arial" w:cs="Arial"/>
                <w:color w:val="000000"/>
                <w:sz w:val="20"/>
              </w:rPr>
            </w:pPr>
            <w:r w:rsidRPr="00440771">
              <w:rPr>
                <w:rFonts w:ascii="Arial" w:hAnsi="Arial" w:cs="Arial"/>
                <w:color w:val="000000"/>
                <w:sz w:val="20"/>
              </w:rPr>
              <w:t>Thermostats</w:t>
            </w:r>
          </w:p>
        </w:tc>
        <w:tc>
          <w:tcPr>
            <w:tcW w:w="1728" w:type="dxa"/>
            <w:vAlign w:val="center"/>
          </w:tcPr>
          <w:p w:rsidR="004559CC" w:rsidRPr="00440771" w:rsidRDefault="00AA5141" w:rsidP="004559CC">
            <w:pPr>
              <w:spacing w:line="240" w:lineRule="auto"/>
              <w:jc w:val="center"/>
              <w:rPr>
                <w:rFonts w:ascii="Arial" w:hAnsi="Arial" w:cs="Arial"/>
                <w:sz w:val="20"/>
              </w:rPr>
            </w:pPr>
            <w:r w:rsidRPr="00AA5141">
              <w:rPr>
                <w:rFonts w:ascii="Arial" w:hAnsi="Arial" w:cs="Arial"/>
                <w:sz w:val="20"/>
              </w:rPr>
              <w:t>2650000000</w:t>
            </w:r>
          </w:p>
        </w:tc>
        <w:tc>
          <w:tcPr>
            <w:tcW w:w="1728" w:type="dxa"/>
            <w:vAlign w:val="center"/>
          </w:tcPr>
          <w:p w:rsidR="004559CC" w:rsidRPr="00440771" w:rsidRDefault="00ED1ED6" w:rsidP="00820B8B">
            <w:pPr>
              <w:ind w:right="270"/>
              <w:jc w:val="right"/>
              <w:rPr>
                <w:rFonts w:ascii="Arial" w:hAnsi="Arial"/>
                <w:bCs/>
                <w:color w:val="000000"/>
                <w:sz w:val="20"/>
                <w:szCs w:val="22"/>
              </w:rPr>
            </w:pPr>
            <w:r w:rsidRPr="00440771">
              <w:rPr>
                <w:rFonts w:ascii="Arial" w:hAnsi="Arial"/>
                <w:bCs/>
                <w:color w:val="000000"/>
                <w:sz w:val="20"/>
                <w:szCs w:val="22"/>
              </w:rPr>
              <w:t>228.2</w:t>
            </w:r>
          </w:p>
        </w:tc>
      </w:tr>
      <w:tr w:rsidR="004559CC" w:rsidRPr="00440771" w:rsidTr="002F0E8C">
        <w:trPr>
          <w:trHeight w:val="317"/>
          <w:jc w:val="center"/>
        </w:trPr>
        <w:tc>
          <w:tcPr>
            <w:tcW w:w="2880" w:type="dxa"/>
            <w:vAlign w:val="center"/>
          </w:tcPr>
          <w:p w:rsidR="004559CC" w:rsidRPr="00440771" w:rsidRDefault="004559CC" w:rsidP="004559CC">
            <w:pPr>
              <w:spacing w:line="240" w:lineRule="auto"/>
              <w:ind w:left="349" w:hanging="349"/>
              <w:rPr>
                <w:rFonts w:ascii="Arial" w:hAnsi="Arial" w:cs="Arial"/>
                <w:color w:val="000000"/>
                <w:sz w:val="20"/>
              </w:rPr>
            </w:pPr>
            <w:r w:rsidRPr="00440771">
              <w:rPr>
                <w:rFonts w:ascii="Arial" w:hAnsi="Arial" w:cs="Arial"/>
                <w:color w:val="000000"/>
                <w:sz w:val="20"/>
              </w:rPr>
              <w:t>Animal Cremation</w:t>
            </w:r>
          </w:p>
        </w:tc>
        <w:tc>
          <w:tcPr>
            <w:tcW w:w="1728" w:type="dxa"/>
            <w:vAlign w:val="center"/>
          </w:tcPr>
          <w:p w:rsidR="004559CC" w:rsidRPr="00440771" w:rsidRDefault="00ED1ED6" w:rsidP="00ED1ED6">
            <w:pPr>
              <w:jc w:val="center"/>
              <w:rPr>
                <w:rFonts w:ascii="Arial" w:hAnsi="Arial"/>
                <w:color w:val="000000"/>
                <w:sz w:val="20"/>
                <w:szCs w:val="22"/>
              </w:rPr>
            </w:pPr>
            <w:r w:rsidRPr="00440771">
              <w:rPr>
                <w:rFonts w:ascii="Arial" w:hAnsi="Arial"/>
                <w:color w:val="000000"/>
                <w:sz w:val="20"/>
                <w:szCs w:val="22"/>
              </w:rPr>
              <w:t>2810060200</w:t>
            </w:r>
          </w:p>
        </w:tc>
        <w:tc>
          <w:tcPr>
            <w:tcW w:w="1728" w:type="dxa"/>
            <w:vAlign w:val="center"/>
          </w:tcPr>
          <w:p w:rsidR="004559CC" w:rsidRPr="00440771" w:rsidRDefault="004559CC" w:rsidP="00820B8B">
            <w:pPr>
              <w:spacing w:line="240" w:lineRule="auto"/>
              <w:ind w:right="270"/>
              <w:jc w:val="right"/>
              <w:rPr>
                <w:rFonts w:ascii="Arial" w:hAnsi="Arial" w:cs="Arial"/>
                <w:sz w:val="20"/>
              </w:rPr>
            </w:pPr>
            <w:r w:rsidRPr="00440771">
              <w:rPr>
                <w:rFonts w:ascii="Arial" w:hAnsi="Arial" w:cs="Arial"/>
                <w:sz w:val="20"/>
              </w:rPr>
              <w:t>80.2</w:t>
            </w:r>
          </w:p>
        </w:tc>
      </w:tr>
      <w:tr w:rsidR="004559CC" w:rsidRPr="00440771" w:rsidTr="002F0E8C">
        <w:trPr>
          <w:trHeight w:val="317"/>
          <w:jc w:val="center"/>
        </w:trPr>
        <w:tc>
          <w:tcPr>
            <w:tcW w:w="2880" w:type="dxa"/>
            <w:vAlign w:val="center"/>
          </w:tcPr>
          <w:p w:rsidR="004559CC" w:rsidRPr="00440771" w:rsidRDefault="004559CC" w:rsidP="004559CC">
            <w:pPr>
              <w:spacing w:line="240" w:lineRule="auto"/>
              <w:ind w:left="349" w:hanging="349"/>
              <w:rPr>
                <w:rFonts w:ascii="Arial" w:hAnsi="Arial" w:cs="Arial"/>
                <w:color w:val="000000"/>
                <w:sz w:val="20"/>
              </w:rPr>
            </w:pPr>
            <w:r w:rsidRPr="00440771">
              <w:rPr>
                <w:rFonts w:ascii="Arial" w:hAnsi="Arial" w:cs="Arial"/>
                <w:color w:val="000000"/>
                <w:sz w:val="20"/>
              </w:rPr>
              <w:t>Thermometers</w:t>
            </w:r>
          </w:p>
        </w:tc>
        <w:tc>
          <w:tcPr>
            <w:tcW w:w="1728" w:type="dxa"/>
            <w:vAlign w:val="center"/>
          </w:tcPr>
          <w:p w:rsidR="004559CC" w:rsidRPr="00440771" w:rsidRDefault="00AA5141" w:rsidP="00AA5141">
            <w:pPr>
              <w:spacing w:line="240" w:lineRule="auto"/>
              <w:jc w:val="center"/>
              <w:rPr>
                <w:rFonts w:ascii="Arial" w:hAnsi="Arial" w:cs="Arial"/>
                <w:sz w:val="20"/>
              </w:rPr>
            </w:pPr>
            <w:r>
              <w:rPr>
                <w:rFonts w:ascii="Arial" w:hAnsi="Arial" w:cs="Arial"/>
                <w:sz w:val="20"/>
              </w:rPr>
              <w:t>2650000000</w:t>
            </w:r>
          </w:p>
        </w:tc>
        <w:tc>
          <w:tcPr>
            <w:tcW w:w="1728" w:type="dxa"/>
            <w:vAlign w:val="center"/>
          </w:tcPr>
          <w:p w:rsidR="004559CC" w:rsidRPr="00440771" w:rsidRDefault="00ED1ED6" w:rsidP="00820B8B">
            <w:pPr>
              <w:ind w:right="270"/>
              <w:jc w:val="right"/>
              <w:rPr>
                <w:rFonts w:ascii="Arial" w:hAnsi="Arial"/>
                <w:bCs/>
                <w:color w:val="000000"/>
                <w:sz w:val="20"/>
                <w:szCs w:val="22"/>
              </w:rPr>
            </w:pPr>
            <w:r w:rsidRPr="00440771">
              <w:rPr>
                <w:rFonts w:ascii="Arial" w:hAnsi="Arial"/>
                <w:bCs/>
                <w:color w:val="000000"/>
                <w:sz w:val="20"/>
                <w:szCs w:val="22"/>
              </w:rPr>
              <w:t>14.4</w:t>
            </w:r>
          </w:p>
        </w:tc>
      </w:tr>
      <w:tr w:rsidR="004559CC" w:rsidRPr="00440771" w:rsidTr="002F0E8C">
        <w:trPr>
          <w:trHeight w:val="317"/>
          <w:jc w:val="center"/>
        </w:trPr>
        <w:tc>
          <w:tcPr>
            <w:tcW w:w="2880" w:type="dxa"/>
            <w:vAlign w:val="center"/>
          </w:tcPr>
          <w:p w:rsidR="004559CC" w:rsidRPr="00440771" w:rsidRDefault="004559CC" w:rsidP="004559CC">
            <w:pPr>
              <w:spacing w:line="240" w:lineRule="auto"/>
              <w:ind w:left="349" w:hanging="349"/>
              <w:rPr>
                <w:rFonts w:ascii="Arial" w:hAnsi="Arial" w:cs="Arial"/>
                <w:color w:val="000000"/>
                <w:sz w:val="20"/>
              </w:rPr>
            </w:pPr>
            <w:r w:rsidRPr="00440771">
              <w:rPr>
                <w:rFonts w:ascii="Arial" w:hAnsi="Arial" w:cs="Arial"/>
                <w:color w:val="000000"/>
                <w:sz w:val="20"/>
              </w:rPr>
              <w:t>Fluorescent Lamp Recycling</w:t>
            </w:r>
          </w:p>
        </w:tc>
        <w:tc>
          <w:tcPr>
            <w:tcW w:w="1728" w:type="dxa"/>
            <w:vAlign w:val="center"/>
          </w:tcPr>
          <w:p w:rsidR="004559CC" w:rsidRPr="00440771" w:rsidRDefault="00440771" w:rsidP="00440771">
            <w:pPr>
              <w:jc w:val="center"/>
              <w:rPr>
                <w:rFonts w:ascii="Arial" w:hAnsi="Arial"/>
                <w:color w:val="000000"/>
                <w:sz w:val="20"/>
                <w:szCs w:val="22"/>
              </w:rPr>
            </w:pPr>
            <w:r w:rsidRPr="00440771">
              <w:rPr>
                <w:rFonts w:ascii="Arial" w:hAnsi="Arial"/>
                <w:color w:val="000000"/>
                <w:sz w:val="20"/>
                <w:szCs w:val="22"/>
              </w:rPr>
              <w:t>2861000010</w:t>
            </w:r>
          </w:p>
        </w:tc>
        <w:tc>
          <w:tcPr>
            <w:tcW w:w="1728" w:type="dxa"/>
            <w:vAlign w:val="center"/>
          </w:tcPr>
          <w:p w:rsidR="004559CC" w:rsidRPr="00440771" w:rsidRDefault="00ED1ED6" w:rsidP="00820B8B">
            <w:pPr>
              <w:ind w:right="270"/>
              <w:jc w:val="right"/>
              <w:rPr>
                <w:rFonts w:ascii="Arial" w:hAnsi="Arial"/>
                <w:bCs/>
                <w:color w:val="000000"/>
                <w:sz w:val="20"/>
                <w:szCs w:val="22"/>
              </w:rPr>
            </w:pPr>
            <w:r w:rsidRPr="00440771">
              <w:rPr>
                <w:rFonts w:ascii="Arial" w:hAnsi="Arial"/>
                <w:bCs/>
                <w:color w:val="000000"/>
                <w:sz w:val="20"/>
                <w:szCs w:val="22"/>
              </w:rPr>
              <w:t>0.2</w:t>
            </w:r>
          </w:p>
        </w:tc>
      </w:tr>
      <w:tr w:rsidR="004559CC" w:rsidRPr="00440771" w:rsidTr="002F0E8C">
        <w:trPr>
          <w:trHeight w:val="317"/>
          <w:jc w:val="center"/>
        </w:trPr>
        <w:tc>
          <w:tcPr>
            <w:tcW w:w="2880" w:type="dxa"/>
            <w:vAlign w:val="center"/>
          </w:tcPr>
          <w:p w:rsidR="004559CC" w:rsidRPr="00440771" w:rsidRDefault="004559CC" w:rsidP="004559CC">
            <w:pPr>
              <w:spacing w:line="240" w:lineRule="auto"/>
              <w:ind w:left="349" w:hanging="349"/>
              <w:rPr>
                <w:rFonts w:ascii="Arial" w:hAnsi="Arial" w:cs="Arial"/>
                <w:color w:val="000000"/>
                <w:sz w:val="20"/>
              </w:rPr>
            </w:pPr>
            <w:r w:rsidRPr="00440771">
              <w:rPr>
                <w:rFonts w:ascii="Arial" w:hAnsi="Arial" w:cs="Arial"/>
                <w:color w:val="000000"/>
                <w:sz w:val="20"/>
              </w:rPr>
              <w:t>Batteries</w:t>
            </w:r>
          </w:p>
        </w:tc>
        <w:tc>
          <w:tcPr>
            <w:tcW w:w="1728" w:type="dxa"/>
            <w:vAlign w:val="center"/>
          </w:tcPr>
          <w:p w:rsidR="004559CC" w:rsidRPr="00440771" w:rsidRDefault="00820B8B" w:rsidP="004559CC">
            <w:pPr>
              <w:spacing w:line="240" w:lineRule="auto"/>
              <w:jc w:val="center"/>
              <w:rPr>
                <w:rFonts w:ascii="Arial" w:hAnsi="Arial" w:cs="Arial"/>
                <w:sz w:val="20"/>
              </w:rPr>
            </w:pPr>
            <w:r>
              <w:rPr>
                <w:rFonts w:ascii="Arial" w:hAnsi="Arial" w:cs="Arial"/>
                <w:sz w:val="20"/>
              </w:rPr>
              <w:t>TBD</w:t>
            </w:r>
          </w:p>
        </w:tc>
        <w:tc>
          <w:tcPr>
            <w:tcW w:w="1728" w:type="dxa"/>
            <w:vAlign w:val="center"/>
          </w:tcPr>
          <w:p w:rsidR="004559CC" w:rsidRPr="00440771" w:rsidRDefault="00ED1ED6" w:rsidP="00820B8B">
            <w:pPr>
              <w:spacing w:line="240" w:lineRule="auto"/>
              <w:ind w:right="270"/>
              <w:jc w:val="right"/>
              <w:rPr>
                <w:rFonts w:ascii="Arial" w:hAnsi="Arial" w:cs="Arial"/>
                <w:sz w:val="20"/>
              </w:rPr>
            </w:pPr>
            <w:r w:rsidRPr="00440771">
              <w:rPr>
                <w:rFonts w:ascii="Arial" w:hAnsi="Arial" w:cs="Arial"/>
                <w:sz w:val="20"/>
              </w:rPr>
              <w:t>0.0</w:t>
            </w:r>
          </w:p>
        </w:tc>
      </w:tr>
      <w:tr w:rsidR="00820B8B" w:rsidRPr="00440771" w:rsidTr="00192D12">
        <w:trPr>
          <w:trHeight w:val="317"/>
          <w:jc w:val="center"/>
        </w:trPr>
        <w:tc>
          <w:tcPr>
            <w:tcW w:w="4608" w:type="dxa"/>
            <w:gridSpan w:val="2"/>
            <w:vAlign w:val="center"/>
          </w:tcPr>
          <w:p w:rsidR="00820B8B" w:rsidRPr="00820B8B" w:rsidRDefault="00820B8B" w:rsidP="00820B8B">
            <w:pPr>
              <w:spacing w:line="240" w:lineRule="auto"/>
              <w:rPr>
                <w:rFonts w:ascii="Arial" w:hAnsi="Arial" w:cs="Arial"/>
                <w:b/>
                <w:sz w:val="20"/>
              </w:rPr>
            </w:pPr>
            <w:r w:rsidRPr="00820B8B">
              <w:rPr>
                <w:rFonts w:ascii="Arial" w:hAnsi="Arial" w:cs="Arial"/>
                <w:b/>
                <w:color w:val="000000"/>
                <w:sz w:val="20"/>
              </w:rPr>
              <w:t>TOTAL</w:t>
            </w:r>
          </w:p>
        </w:tc>
        <w:tc>
          <w:tcPr>
            <w:tcW w:w="1728" w:type="dxa"/>
            <w:vAlign w:val="center"/>
          </w:tcPr>
          <w:p w:rsidR="00820B8B" w:rsidRPr="00820B8B" w:rsidRDefault="00B403CF" w:rsidP="00820B8B">
            <w:pPr>
              <w:ind w:right="270"/>
              <w:jc w:val="right"/>
              <w:rPr>
                <w:rFonts w:ascii="Arial" w:hAnsi="Arial" w:cs="Arial"/>
                <w:b/>
                <w:color w:val="000000"/>
                <w:sz w:val="20"/>
              </w:rPr>
            </w:pPr>
            <w:r>
              <w:rPr>
                <w:rFonts w:ascii="Arial" w:hAnsi="Arial" w:cs="Arial"/>
                <w:b/>
                <w:color w:val="000000"/>
                <w:sz w:val="20"/>
              </w:rPr>
              <w:fldChar w:fldCharType="begin"/>
            </w:r>
            <w:r>
              <w:rPr>
                <w:rFonts w:ascii="Arial" w:hAnsi="Arial" w:cs="Arial"/>
                <w:b/>
                <w:color w:val="000000"/>
                <w:sz w:val="20"/>
              </w:rPr>
              <w:instrText xml:space="preserve"> =SUM(ABOVE) </w:instrText>
            </w:r>
            <w:r>
              <w:rPr>
                <w:rFonts w:ascii="Arial" w:hAnsi="Arial" w:cs="Arial"/>
                <w:b/>
                <w:color w:val="000000"/>
                <w:sz w:val="20"/>
              </w:rPr>
              <w:fldChar w:fldCharType="separate"/>
            </w:r>
            <w:r>
              <w:rPr>
                <w:rFonts w:ascii="Arial" w:hAnsi="Arial" w:cs="Arial"/>
                <w:b/>
                <w:noProof/>
                <w:color w:val="000000"/>
                <w:sz w:val="20"/>
              </w:rPr>
              <w:t>9,941.8</w:t>
            </w:r>
            <w:r>
              <w:rPr>
                <w:rFonts w:ascii="Arial" w:hAnsi="Arial" w:cs="Arial"/>
                <w:b/>
                <w:color w:val="000000"/>
                <w:sz w:val="20"/>
              </w:rPr>
              <w:fldChar w:fldCharType="end"/>
            </w:r>
          </w:p>
        </w:tc>
      </w:tr>
    </w:tbl>
    <w:p w:rsidR="00440771" w:rsidRPr="007D2DCB" w:rsidRDefault="007D2DCB" w:rsidP="007D2DCB">
      <w:pPr>
        <w:pStyle w:val="ListParagraph"/>
        <w:spacing w:before="120" w:line="240" w:lineRule="auto"/>
        <w:ind w:left="1530" w:right="1710"/>
        <w:rPr>
          <w:rFonts w:ascii="Arial" w:hAnsi="Arial" w:cs="Arial"/>
          <w:sz w:val="20"/>
        </w:rPr>
      </w:pPr>
      <w:proofErr w:type="spellStart"/>
      <w:r w:rsidRPr="007D2DCB">
        <w:rPr>
          <w:rFonts w:ascii="Arial" w:hAnsi="Arial" w:cs="Arial"/>
          <w:sz w:val="20"/>
          <w:vertAlign w:val="superscript"/>
        </w:rPr>
        <w:t>a</w:t>
      </w:r>
      <w:proofErr w:type="spellEnd"/>
      <w:r w:rsidR="00B830C5">
        <w:rPr>
          <w:rFonts w:ascii="Arial" w:hAnsi="Arial" w:cs="Arial"/>
          <w:sz w:val="20"/>
          <w:vertAlign w:val="superscript"/>
        </w:rPr>
        <w:t xml:space="preserve"> </w:t>
      </w:r>
      <w:r w:rsidR="00440771" w:rsidRPr="007D2DCB">
        <w:rPr>
          <w:rFonts w:ascii="Arial" w:hAnsi="Arial" w:cs="Arial"/>
          <w:sz w:val="20"/>
        </w:rPr>
        <w:t xml:space="preserve">The 2011 estimate of mercury emissions from general laboratory </w:t>
      </w:r>
      <w:r w:rsidR="00820B8B" w:rsidRPr="007D2DCB">
        <w:rPr>
          <w:rFonts w:ascii="Arial" w:hAnsi="Arial" w:cs="Arial"/>
          <w:sz w:val="20"/>
        </w:rPr>
        <w:t>activities is</w:t>
      </w:r>
      <w:r w:rsidR="00440771" w:rsidRPr="007D2DCB">
        <w:rPr>
          <w:rFonts w:ascii="Arial" w:hAnsi="Arial" w:cs="Arial"/>
          <w:sz w:val="20"/>
        </w:rPr>
        <w:t xml:space="preserve"> pulled forward from the 2008 NEI.</w:t>
      </w:r>
    </w:p>
    <w:p w:rsidR="004559CC" w:rsidRDefault="004559CC" w:rsidP="00553E81"/>
    <w:p w:rsidR="00CB0CDC" w:rsidRDefault="00CB0CDC" w:rsidP="00553E81"/>
    <w:p w:rsidR="00CB0CDC" w:rsidRDefault="00CB0CDC" w:rsidP="00553E81"/>
    <w:p w:rsidR="00553E81" w:rsidRDefault="00553E81" w:rsidP="00553E81">
      <w:pPr>
        <w:pStyle w:val="Heading1"/>
      </w:pPr>
      <w:r>
        <w:lastRenderedPageBreak/>
        <w:t>Switches and Relays</w:t>
      </w:r>
    </w:p>
    <w:p w:rsidR="00553E81" w:rsidRDefault="00553E81" w:rsidP="00553E81">
      <w:pPr>
        <w:spacing w:before="120"/>
        <w:rPr>
          <w:rFonts w:cs="Arial"/>
        </w:rPr>
      </w:pPr>
      <w:r>
        <w:rPr>
          <w:rFonts w:cs="Arial"/>
        </w:rPr>
        <w:t xml:space="preserve">Switches and relays make up the largest potential source of mercury from products that intentionally contain mercury. Mercury is an excellent electrical conductor and is liquid at room temperature, making it useful in a variety of products, including switches used to indicate motion or tilt, as the mercury will flow when the switch is in a certain position, completing the circuit. </w:t>
      </w:r>
    </w:p>
    <w:p w:rsidR="00606F2B" w:rsidRDefault="00553E81" w:rsidP="00553E81">
      <w:pPr>
        <w:spacing w:before="120"/>
        <w:rPr>
          <w:rFonts w:cs="Arial"/>
        </w:rPr>
      </w:pPr>
      <w:r>
        <w:rPr>
          <w:rFonts w:cs="Arial"/>
        </w:rPr>
        <w:t xml:space="preserve">While mercury switches in cars were phased out as of the 2002 model year, there are still millions of cars on the road that contain them, which are potential emissions sources when the cars are </w:t>
      </w:r>
      <w:r w:rsidR="002F0E8C">
        <w:rPr>
          <w:rFonts w:cs="Arial"/>
        </w:rPr>
        <w:t xml:space="preserve">recycled </w:t>
      </w:r>
      <w:r>
        <w:rPr>
          <w:rFonts w:cs="Arial"/>
        </w:rPr>
        <w:t>at</w:t>
      </w:r>
      <w:r w:rsidR="002F0E8C">
        <w:rPr>
          <w:rFonts w:cs="Arial"/>
        </w:rPr>
        <w:t xml:space="preserve"> the end of their useful lives, which involves crushing and shredding cars. The shredded material is then sent to an arc furnace to recycle the steel. To avoid double counting point source emissions from arc furnaces, this source category only includes an estimate of nonpoint emissions from crushing/shredding operations. </w:t>
      </w:r>
    </w:p>
    <w:p w:rsidR="00606F2B" w:rsidRPr="00996CF3" w:rsidRDefault="00606F2B" w:rsidP="00606F2B">
      <w:pPr>
        <w:pStyle w:val="Heading2"/>
      </w:pPr>
      <w:r>
        <w:t>Activity Data</w:t>
      </w:r>
    </w:p>
    <w:p w:rsidR="00553E81" w:rsidRDefault="00AE3037" w:rsidP="00553E81">
      <w:pPr>
        <w:spacing w:before="120"/>
        <w:rPr>
          <w:rFonts w:cs="Arial"/>
        </w:rPr>
      </w:pPr>
      <w:r>
        <w:rPr>
          <w:rFonts w:cs="Arial"/>
        </w:rPr>
        <w:t xml:space="preserve">A report from the North Carolina Department of Environment and Natural Resources </w:t>
      </w:r>
      <w:r w:rsidR="009378AF">
        <w:rPr>
          <w:rFonts w:cs="Arial"/>
        </w:rPr>
        <w:t xml:space="preserve">(2011) </w:t>
      </w:r>
      <w:r w:rsidR="00145964">
        <w:rPr>
          <w:rFonts w:cs="Arial"/>
        </w:rPr>
        <w:t>provides information on the estimated number of switches available for recovery in each state and the amount of switches actually recovered in 2011.</w:t>
      </w:r>
      <w:r>
        <w:rPr>
          <w:rFonts w:cs="Arial"/>
        </w:rPr>
        <w:t xml:space="preserve"> </w:t>
      </w:r>
      <w:r w:rsidR="00145964">
        <w:rPr>
          <w:rFonts w:cs="Arial"/>
        </w:rPr>
        <w:t xml:space="preserve">There were </w:t>
      </w:r>
      <w:r>
        <w:rPr>
          <w:rFonts w:cs="Arial"/>
        </w:rPr>
        <w:t>3.4 million mercury-containing automobile switches available nationwide in 2011 and 66</w:t>
      </w:r>
      <w:r w:rsidR="00145964">
        <w:rPr>
          <w:rFonts w:cs="Arial"/>
        </w:rPr>
        <w:t>4</w:t>
      </w:r>
      <w:r>
        <w:rPr>
          <w:rFonts w:cs="Arial"/>
        </w:rPr>
        <w:t>,</w:t>
      </w:r>
      <w:r w:rsidR="00145964">
        <w:rPr>
          <w:rFonts w:cs="Arial"/>
        </w:rPr>
        <w:t>690</w:t>
      </w:r>
      <w:r>
        <w:rPr>
          <w:rFonts w:cs="Arial"/>
        </w:rPr>
        <w:t xml:space="preserve"> switches collected for recycling, for a collection rate of 19</w:t>
      </w:r>
      <w:r w:rsidR="00145964">
        <w:rPr>
          <w:rFonts w:cs="Arial"/>
        </w:rPr>
        <w:t>.4</w:t>
      </w:r>
      <w:r>
        <w:rPr>
          <w:rFonts w:cs="Arial"/>
        </w:rPr>
        <w:t>%.</w:t>
      </w:r>
      <w:r w:rsidR="009378AF">
        <w:rPr>
          <w:rFonts w:cs="Arial"/>
        </w:rPr>
        <w:t xml:space="preserve"> </w:t>
      </w:r>
      <w:r w:rsidR="00145964">
        <w:rPr>
          <w:rFonts w:cs="Arial"/>
        </w:rPr>
        <w:t>The</w:t>
      </w:r>
      <w:r w:rsidR="000926B5">
        <w:rPr>
          <w:rFonts w:cs="Arial"/>
        </w:rPr>
        <w:t>se</w:t>
      </w:r>
      <w:r w:rsidR="00145964">
        <w:rPr>
          <w:rFonts w:cs="Arial"/>
        </w:rPr>
        <w:t xml:space="preserve"> nationwide estimates are supported by similar data from the Quicksilver Caucus</w:t>
      </w:r>
      <w:r w:rsidR="009378AF">
        <w:rPr>
          <w:rFonts w:cs="Arial"/>
        </w:rPr>
        <w:t xml:space="preserve"> (2012)</w:t>
      </w:r>
      <w:r w:rsidR="00145964">
        <w:rPr>
          <w:rFonts w:cs="Arial"/>
        </w:rPr>
        <w:t xml:space="preserve">. </w:t>
      </w:r>
      <w:r w:rsidR="000926B5">
        <w:rPr>
          <w:rFonts w:cs="Arial"/>
        </w:rPr>
        <w:t>Therefore</w:t>
      </w:r>
      <w:r w:rsidR="002436C8">
        <w:rPr>
          <w:rFonts w:cs="Arial"/>
        </w:rPr>
        <w:t>,</w:t>
      </w:r>
      <w:r w:rsidR="000926B5">
        <w:rPr>
          <w:rFonts w:cs="Arial"/>
        </w:rPr>
        <w:t xml:space="preserve"> there were approximately 2.7 million unrecycled automotive switches in 2011.</w:t>
      </w:r>
    </w:p>
    <w:p w:rsidR="002F0E8C" w:rsidRDefault="002F0E8C" w:rsidP="00553E81">
      <w:pPr>
        <w:pStyle w:val="Heading2"/>
      </w:pPr>
      <w:r>
        <w:t>Allocation Approach</w:t>
      </w:r>
    </w:p>
    <w:p w:rsidR="002F0E8C" w:rsidRDefault="002F0E8C" w:rsidP="002F0E8C">
      <w:pPr>
        <w:spacing w:before="120"/>
        <w:rPr>
          <w:szCs w:val="22"/>
        </w:rPr>
      </w:pPr>
      <w:r>
        <w:rPr>
          <w:rFonts w:cs="Arial"/>
        </w:rPr>
        <w:t xml:space="preserve">The number of unrecovered switches is apportioned to each county based </w:t>
      </w:r>
      <w:r w:rsidR="00EA2E23">
        <w:rPr>
          <w:rFonts w:cs="Arial"/>
        </w:rPr>
        <w:t xml:space="preserve">on the number of </w:t>
      </w:r>
      <w:r>
        <w:rPr>
          <w:rFonts w:cs="Arial"/>
        </w:rPr>
        <w:t>car recycling facilities (NAICS 42</w:t>
      </w:r>
      <w:r w:rsidR="00EA2E23">
        <w:rPr>
          <w:rFonts w:cs="Arial"/>
        </w:rPr>
        <w:t>3930</w:t>
      </w:r>
      <w:r>
        <w:rPr>
          <w:rFonts w:cs="Arial"/>
        </w:rPr>
        <w:t>) from the 2011 US Census Bureau County Business Patterns.</w:t>
      </w:r>
    </w:p>
    <w:p w:rsidR="00553E81" w:rsidRDefault="00553E81" w:rsidP="00553E81">
      <w:pPr>
        <w:pStyle w:val="Heading2"/>
      </w:pPr>
      <w:r>
        <w:t>Emission Factor</w:t>
      </w:r>
    </w:p>
    <w:p w:rsidR="00553E81" w:rsidRDefault="00C551D1" w:rsidP="00553E81">
      <w:pPr>
        <w:rPr>
          <w:rFonts w:cs="Arial"/>
        </w:rPr>
      </w:pPr>
      <w:r>
        <w:rPr>
          <w:rFonts w:cs="Arial"/>
        </w:rPr>
        <w:t>The response to comments for the 2007 EPA Significant New Use Rule on Mercury Switches (72 Fed. Reg. 56903), suggests that the weighted average amount of mercury in switches is 1.2 grams (0.0026 lbs.). A report by Griffith et al. (2001) shows that 60% of mercury in switches is released at the shredding operation, while 40% is sent to arc furnace</w:t>
      </w:r>
      <w:r w:rsidR="00F81FF4">
        <w:rPr>
          <w:rFonts w:cs="Arial"/>
        </w:rPr>
        <w:t>s for smelting</w:t>
      </w:r>
      <w:r>
        <w:rPr>
          <w:rFonts w:cs="Arial"/>
        </w:rPr>
        <w:t>.</w:t>
      </w:r>
      <w:r w:rsidR="00EA2E23">
        <w:rPr>
          <w:rFonts w:cs="Arial"/>
        </w:rPr>
        <w:t xml:space="preserve"> Therefore</w:t>
      </w:r>
      <w:r w:rsidR="002C1AE5">
        <w:rPr>
          <w:rFonts w:cs="Arial"/>
        </w:rPr>
        <w:t>,</w:t>
      </w:r>
      <w:r w:rsidR="00EA2E23">
        <w:rPr>
          <w:rFonts w:cs="Arial"/>
        </w:rPr>
        <w:t xml:space="preserve"> the emission factor for switches is 0.00156 lbs. per switch.</w:t>
      </w:r>
    </w:p>
    <w:p w:rsidR="00553E81" w:rsidRDefault="00553E81" w:rsidP="00553E81">
      <w:pPr>
        <w:pStyle w:val="Heading2"/>
      </w:pPr>
      <w:r>
        <w:t>Example Calculation</w:t>
      </w:r>
    </w:p>
    <w:p w:rsidR="00DC0940" w:rsidRDefault="00EA2E23" w:rsidP="00553E81">
      <w:pPr>
        <w:rPr>
          <w:rFonts w:cs="Arial"/>
        </w:rPr>
      </w:pPr>
      <w:r>
        <w:rPr>
          <w:rFonts w:cs="Arial"/>
        </w:rPr>
        <w:t>Ala</w:t>
      </w:r>
      <w:r w:rsidR="00DC0940">
        <w:rPr>
          <w:rFonts w:cs="Arial"/>
        </w:rPr>
        <w:t xml:space="preserve">bama had </w:t>
      </w:r>
      <w:r>
        <w:rPr>
          <w:rFonts w:cs="Arial"/>
        </w:rPr>
        <w:t xml:space="preserve">80,892 </w:t>
      </w:r>
      <w:r w:rsidR="00DC0940">
        <w:rPr>
          <w:rFonts w:cs="Arial"/>
        </w:rPr>
        <w:t xml:space="preserve">unrecovered vehicle switches in 2011. </w:t>
      </w:r>
      <w:r>
        <w:rPr>
          <w:rFonts w:cs="Arial"/>
        </w:rPr>
        <w:t>Baldwin County, AL has 3 car recycling facilities, which represents 1.5</w:t>
      </w:r>
      <w:r w:rsidR="00DC0940">
        <w:rPr>
          <w:rFonts w:cs="Arial"/>
        </w:rPr>
        <w:t>3</w:t>
      </w:r>
      <w:r>
        <w:rPr>
          <w:rFonts w:cs="Arial"/>
        </w:rPr>
        <w:t>% of the facilities in the state.</w:t>
      </w:r>
      <w:r w:rsidR="00DC0940">
        <w:rPr>
          <w:rFonts w:cs="Arial"/>
        </w:rPr>
        <w:t xml:space="preserve"> Therefore, that county is apportioned switches as follows:</w:t>
      </w:r>
    </w:p>
    <w:p w:rsidR="00DC0940" w:rsidRDefault="00DC0940" w:rsidP="00DC0940">
      <w:pPr>
        <w:jc w:val="center"/>
        <w:rPr>
          <w:rFonts w:cs="Arial"/>
        </w:rPr>
      </w:pPr>
      <w:r>
        <w:rPr>
          <w:rFonts w:cs="Arial"/>
        </w:rPr>
        <w:t xml:space="preserve">80,892 switches in AL </w:t>
      </w:r>
      <w:r>
        <w:t>×</w:t>
      </w:r>
      <w:r>
        <w:rPr>
          <w:rFonts w:cs="Arial"/>
        </w:rPr>
        <w:t xml:space="preserve"> 1.53% = 1,238 switches in Baldwin County, AL</w:t>
      </w:r>
    </w:p>
    <w:p w:rsidR="00DC0940" w:rsidRDefault="00DC0940" w:rsidP="00DC0940">
      <w:pPr>
        <w:rPr>
          <w:rFonts w:cs="Arial"/>
        </w:rPr>
      </w:pPr>
      <w:r>
        <w:rPr>
          <w:rFonts w:cs="Arial"/>
        </w:rPr>
        <w:t>Emissions are estimated as follows:</w:t>
      </w:r>
    </w:p>
    <w:p w:rsidR="00DC0940" w:rsidRDefault="00DC0940" w:rsidP="00DC0940">
      <w:pPr>
        <w:jc w:val="center"/>
        <w:rPr>
          <w:rFonts w:cs="Arial"/>
        </w:rPr>
      </w:pPr>
      <w:r>
        <w:rPr>
          <w:rFonts w:cs="Arial"/>
        </w:rPr>
        <w:t xml:space="preserve">1,238 switches </w:t>
      </w:r>
      <w:r>
        <w:t>× 0.00156 lbs./switch = 1.93 lbs. Hg emissions</w:t>
      </w:r>
    </w:p>
    <w:p w:rsidR="00DC0940" w:rsidRPr="00DC0940" w:rsidRDefault="00DC0940" w:rsidP="00DC0940">
      <w:pPr>
        <w:rPr>
          <w:rFonts w:cs="Arial"/>
        </w:rPr>
      </w:pPr>
    </w:p>
    <w:p w:rsidR="00ED1ED6" w:rsidRDefault="00ED1ED6" w:rsidP="00ED1ED6">
      <w:pPr>
        <w:pStyle w:val="Heading1"/>
      </w:pPr>
      <w:r>
        <w:lastRenderedPageBreak/>
        <w:t>Human Cremation</w:t>
      </w:r>
    </w:p>
    <w:p w:rsidR="00ED1ED6" w:rsidRDefault="00ED1ED6" w:rsidP="00ED1ED6">
      <w:pPr>
        <w:rPr>
          <w:szCs w:val="22"/>
        </w:rPr>
      </w:pPr>
      <w:r>
        <w:rPr>
          <w:szCs w:val="22"/>
        </w:rPr>
        <w:t xml:space="preserve">The cremation of individuals with mercury fillings </w:t>
      </w:r>
      <w:r w:rsidR="00F81FF4">
        <w:rPr>
          <w:szCs w:val="22"/>
        </w:rPr>
        <w:t xml:space="preserve">and mercury in blood and tissues </w:t>
      </w:r>
      <w:r>
        <w:rPr>
          <w:szCs w:val="22"/>
        </w:rPr>
        <w:t>can result in mercury emissions. Cremation is becoming increasingly popular, with 40.6% of individuals being cremated in 2010, up from 33% in 2006</w:t>
      </w:r>
      <w:r w:rsidR="00DC0940">
        <w:rPr>
          <w:szCs w:val="22"/>
        </w:rPr>
        <w:t>, according to the Cremation Association of North America</w:t>
      </w:r>
      <w:r w:rsidR="009378AF">
        <w:rPr>
          <w:szCs w:val="22"/>
        </w:rPr>
        <w:t xml:space="preserve"> (CANA 2011)</w:t>
      </w:r>
      <w:r>
        <w:rPr>
          <w:szCs w:val="22"/>
        </w:rPr>
        <w:t>.</w:t>
      </w:r>
    </w:p>
    <w:p w:rsidR="00ED1ED6" w:rsidRDefault="00ED1ED6" w:rsidP="00ED1ED6">
      <w:pPr>
        <w:pStyle w:val="Heading2"/>
      </w:pPr>
      <w:r>
        <w:t xml:space="preserve">Activity Data </w:t>
      </w:r>
    </w:p>
    <w:p w:rsidR="00ED1ED6" w:rsidRDefault="00ED1ED6" w:rsidP="00ED1ED6">
      <w:pPr>
        <w:rPr>
          <w:szCs w:val="22"/>
        </w:rPr>
      </w:pPr>
      <w:r>
        <w:rPr>
          <w:szCs w:val="22"/>
        </w:rPr>
        <w:t>The Centers for Disease Control and Prevention WONDER database contains information on the number of deaths in each county in each year in 13 different age groups through 2010</w:t>
      </w:r>
      <w:r w:rsidR="00D60D19">
        <w:rPr>
          <w:szCs w:val="22"/>
        </w:rPr>
        <w:t xml:space="preserve"> (</w:t>
      </w:r>
      <w:r w:rsidR="009378AF">
        <w:rPr>
          <w:szCs w:val="22"/>
        </w:rPr>
        <w:t xml:space="preserve">CDC 2013, </w:t>
      </w:r>
      <w:r w:rsidR="00D60D19" w:rsidRPr="00D60D19">
        <w:rPr>
          <w:sz w:val="24"/>
          <w:szCs w:val="22"/>
        </w:rPr>
        <w:fldChar w:fldCharType="begin"/>
      </w:r>
      <w:r w:rsidR="00D60D19" w:rsidRPr="00D60D19">
        <w:rPr>
          <w:sz w:val="24"/>
          <w:szCs w:val="22"/>
        </w:rPr>
        <w:instrText xml:space="preserve"> REF _Ref364240324 \h </w:instrText>
      </w:r>
      <w:r w:rsidR="00D60D19">
        <w:rPr>
          <w:sz w:val="24"/>
          <w:szCs w:val="22"/>
        </w:rPr>
        <w:instrText xml:space="preserve"> \* MERGEFORMAT </w:instrText>
      </w:r>
      <w:r w:rsidR="00D60D19" w:rsidRPr="00D60D19">
        <w:rPr>
          <w:sz w:val="24"/>
          <w:szCs w:val="22"/>
        </w:rPr>
      </w:r>
      <w:r w:rsidR="00D60D19" w:rsidRPr="00D60D19">
        <w:rPr>
          <w:sz w:val="24"/>
          <w:szCs w:val="22"/>
        </w:rPr>
        <w:fldChar w:fldCharType="separate"/>
      </w:r>
      <w:r w:rsidR="00695F22" w:rsidRPr="00695F22">
        <w:t xml:space="preserve">Table </w:t>
      </w:r>
      <w:r w:rsidR="00695F22" w:rsidRPr="00695F22">
        <w:rPr>
          <w:noProof/>
        </w:rPr>
        <w:t>2</w:t>
      </w:r>
      <w:r w:rsidR="00D60D19" w:rsidRPr="00D60D19">
        <w:rPr>
          <w:sz w:val="24"/>
          <w:szCs w:val="22"/>
        </w:rPr>
        <w:fldChar w:fldCharType="end"/>
      </w:r>
      <w:r w:rsidR="00D60D19">
        <w:rPr>
          <w:szCs w:val="22"/>
        </w:rPr>
        <w:t>)</w:t>
      </w:r>
      <w:r>
        <w:rPr>
          <w:szCs w:val="22"/>
        </w:rPr>
        <w:t>.</w:t>
      </w:r>
      <w:r w:rsidR="00786372">
        <w:rPr>
          <w:szCs w:val="22"/>
        </w:rPr>
        <w:t xml:space="preserve"> Data for some counties was withheld in the WONDER database. These gaps were filled using the state totals (which included the number of deaths that were withheld at the county level). The difference between the state-level data and the sum of the reported county-level deaths was apportioned to the counties not included in the WONDER database based on their population. </w:t>
      </w:r>
    </w:p>
    <w:p w:rsidR="00ED1ED6" w:rsidRDefault="00D60D19" w:rsidP="00ED1ED6">
      <w:pPr>
        <w:rPr>
          <w:szCs w:val="22"/>
        </w:rPr>
      </w:pPr>
      <w:r>
        <w:rPr>
          <w:szCs w:val="22"/>
        </w:rPr>
        <w:t>CANA</w:t>
      </w:r>
      <w:r w:rsidR="009378AF">
        <w:rPr>
          <w:szCs w:val="22"/>
        </w:rPr>
        <w:t xml:space="preserve"> (2011)</w:t>
      </w:r>
      <w:r>
        <w:rPr>
          <w:szCs w:val="22"/>
        </w:rPr>
        <w:t xml:space="preserve"> </w:t>
      </w:r>
      <w:r w:rsidR="009378AF">
        <w:rPr>
          <w:szCs w:val="22"/>
        </w:rPr>
        <w:t xml:space="preserve">provides </w:t>
      </w:r>
      <w:r w:rsidR="00ED1ED6">
        <w:rPr>
          <w:szCs w:val="22"/>
        </w:rPr>
        <w:t xml:space="preserve">statistics on cremation rates by state as of 2010. It </w:t>
      </w:r>
      <w:r>
        <w:rPr>
          <w:szCs w:val="22"/>
        </w:rPr>
        <w:t xml:space="preserve">is </w:t>
      </w:r>
      <w:r w:rsidR="00ED1ED6">
        <w:rPr>
          <w:szCs w:val="22"/>
        </w:rPr>
        <w:t xml:space="preserve">assumed that the state-level cremation rate </w:t>
      </w:r>
      <w:r>
        <w:rPr>
          <w:szCs w:val="22"/>
        </w:rPr>
        <w:t xml:space="preserve">applies </w:t>
      </w:r>
      <w:r w:rsidR="00ED1ED6">
        <w:rPr>
          <w:szCs w:val="22"/>
        </w:rPr>
        <w:t>to all counties in the state.</w:t>
      </w:r>
    </w:p>
    <w:p w:rsidR="00D60D19" w:rsidRPr="00CD1DF1" w:rsidRDefault="00D60D19" w:rsidP="00D60D19">
      <w:pPr>
        <w:pStyle w:val="Caption"/>
        <w:keepNext/>
        <w:jc w:val="center"/>
        <w:rPr>
          <w:b w:val="0"/>
          <w:sz w:val="20"/>
          <w:szCs w:val="20"/>
        </w:rPr>
      </w:pPr>
      <w:bookmarkStart w:id="1" w:name="_Ref364240324"/>
      <w:r w:rsidRPr="00CD1DF1">
        <w:rPr>
          <w:sz w:val="20"/>
          <w:szCs w:val="20"/>
        </w:rPr>
        <w:t xml:space="preserve">Table </w:t>
      </w:r>
      <w:r w:rsidRPr="00CD1DF1">
        <w:rPr>
          <w:sz w:val="20"/>
          <w:szCs w:val="20"/>
        </w:rPr>
        <w:fldChar w:fldCharType="begin"/>
      </w:r>
      <w:r w:rsidRPr="00CD1DF1">
        <w:rPr>
          <w:sz w:val="20"/>
          <w:szCs w:val="20"/>
        </w:rPr>
        <w:instrText xml:space="preserve"> SEQ Table \* ARABIC </w:instrText>
      </w:r>
      <w:r w:rsidRPr="00CD1DF1">
        <w:rPr>
          <w:sz w:val="20"/>
          <w:szCs w:val="20"/>
        </w:rPr>
        <w:fldChar w:fldCharType="separate"/>
      </w:r>
      <w:r w:rsidR="00695F22">
        <w:rPr>
          <w:noProof/>
          <w:sz w:val="20"/>
          <w:szCs w:val="20"/>
        </w:rPr>
        <w:t>2</w:t>
      </w:r>
      <w:r w:rsidRPr="00CD1DF1">
        <w:rPr>
          <w:sz w:val="20"/>
          <w:szCs w:val="20"/>
        </w:rPr>
        <w:fldChar w:fldCharType="end"/>
      </w:r>
      <w:bookmarkEnd w:id="1"/>
      <w:r w:rsidRPr="00CD1DF1">
        <w:rPr>
          <w:sz w:val="20"/>
          <w:szCs w:val="20"/>
        </w:rPr>
        <w:t xml:space="preserve">. </w:t>
      </w:r>
      <w:r w:rsidRPr="00CD1DF1">
        <w:rPr>
          <w:b w:val="0"/>
          <w:sz w:val="20"/>
          <w:szCs w:val="20"/>
        </w:rPr>
        <w:t xml:space="preserve">Comparison of age groups in the CDC WONDER Database (activity data) and the BAAQMD </w:t>
      </w:r>
      <w:r>
        <w:rPr>
          <w:b w:val="0"/>
          <w:sz w:val="20"/>
          <w:szCs w:val="20"/>
        </w:rPr>
        <w:t>memorandum</w:t>
      </w:r>
      <w:r w:rsidRPr="00CD1DF1">
        <w:rPr>
          <w:b w:val="0"/>
          <w:sz w:val="20"/>
          <w:szCs w:val="20"/>
        </w:rPr>
        <w:t xml:space="preserve"> (emission factor data).</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Comparison of age groups in the CDC WONDER Database (activity data) and the BAAQMD memorandum (emission factor data)."/>
        <w:tblDescription w:val="Age Groups in CDC WONDER Database; Age Groups in BAAQMD Memorandum; Avg. Material in Restored Teeth (g); % of Fillings Containing Mercury; % of Mercury in Dental Amalgam"/>
      </w:tblPr>
      <w:tblGrid>
        <w:gridCol w:w="2037"/>
        <w:gridCol w:w="1939"/>
        <w:gridCol w:w="1927"/>
        <w:gridCol w:w="1891"/>
        <w:gridCol w:w="1891"/>
      </w:tblGrid>
      <w:tr w:rsidR="00B33289" w:rsidRPr="00DC0940" w:rsidTr="00ED2449">
        <w:trPr>
          <w:trHeight w:val="250"/>
          <w:tblHeader/>
          <w:jc w:val="center"/>
        </w:trPr>
        <w:tc>
          <w:tcPr>
            <w:tcW w:w="2037" w:type="dxa"/>
            <w:shd w:val="clear" w:color="auto" w:fill="D6291C"/>
            <w:noWrap/>
            <w:vAlign w:val="center"/>
            <w:hideMark/>
          </w:tcPr>
          <w:p w:rsidR="00B33289" w:rsidRPr="00906D3B" w:rsidRDefault="00B33289" w:rsidP="00D94E67">
            <w:pPr>
              <w:spacing w:after="0" w:line="240" w:lineRule="auto"/>
              <w:jc w:val="center"/>
              <w:rPr>
                <w:rFonts w:ascii="Arial" w:hAnsi="Arial" w:cs="Arial"/>
                <w:b/>
                <w:color w:val="FFFFFF" w:themeColor="background1"/>
                <w:sz w:val="20"/>
                <w:szCs w:val="22"/>
              </w:rPr>
            </w:pPr>
            <w:r w:rsidRPr="00906D3B">
              <w:rPr>
                <w:rFonts w:ascii="Arial" w:hAnsi="Arial" w:cs="Arial"/>
                <w:b/>
                <w:color w:val="FFFFFF" w:themeColor="background1"/>
                <w:sz w:val="20"/>
                <w:szCs w:val="22"/>
              </w:rPr>
              <w:t>Age Groups in CDC WONDER Database</w:t>
            </w:r>
          </w:p>
        </w:tc>
        <w:tc>
          <w:tcPr>
            <w:tcW w:w="1939" w:type="dxa"/>
            <w:shd w:val="clear" w:color="auto" w:fill="D6291C"/>
            <w:vAlign w:val="center"/>
          </w:tcPr>
          <w:p w:rsidR="00B33289" w:rsidRPr="00906D3B" w:rsidRDefault="00B33289" w:rsidP="00D94E67">
            <w:pPr>
              <w:spacing w:after="0" w:line="240" w:lineRule="auto"/>
              <w:jc w:val="center"/>
              <w:rPr>
                <w:rFonts w:ascii="Arial" w:hAnsi="Arial" w:cs="Arial"/>
                <w:b/>
                <w:color w:val="FFFFFF" w:themeColor="background1"/>
                <w:sz w:val="20"/>
                <w:szCs w:val="22"/>
              </w:rPr>
            </w:pPr>
            <w:r w:rsidRPr="00906D3B">
              <w:rPr>
                <w:rFonts w:ascii="Arial" w:hAnsi="Arial" w:cs="Arial"/>
                <w:b/>
                <w:color w:val="FFFFFF" w:themeColor="background1"/>
                <w:sz w:val="20"/>
                <w:szCs w:val="22"/>
              </w:rPr>
              <w:t>Age Groups in BAAQMD Memorandum</w:t>
            </w:r>
          </w:p>
        </w:tc>
        <w:tc>
          <w:tcPr>
            <w:tcW w:w="1927" w:type="dxa"/>
            <w:shd w:val="clear" w:color="auto" w:fill="D6291C"/>
          </w:tcPr>
          <w:p w:rsidR="00B33289" w:rsidRPr="00906D3B" w:rsidRDefault="00B33289" w:rsidP="00B33289">
            <w:pPr>
              <w:spacing w:after="0" w:line="240" w:lineRule="auto"/>
              <w:jc w:val="center"/>
              <w:rPr>
                <w:rFonts w:ascii="Arial" w:hAnsi="Arial" w:cs="Arial"/>
                <w:b/>
                <w:color w:val="FFFFFF" w:themeColor="background1"/>
                <w:sz w:val="20"/>
                <w:szCs w:val="22"/>
              </w:rPr>
            </w:pPr>
            <w:r w:rsidRPr="00906D3B">
              <w:rPr>
                <w:rFonts w:ascii="Arial" w:hAnsi="Arial" w:cs="Arial"/>
                <w:b/>
                <w:color w:val="FFFFFF" w:themeColor="background1"/>
                <w:sz w:val="20"/>
                <w:szCs w:val="22"/>
              </w:rPr>
              <w:t xml:space="preserve">Avg. </w:t>
            </w:r>
            <w:r>
              <w:rPr>
                <w:rFonts w:ascii="Arial" w:hAnsi="Arial" w:cs="Arial"/>
                <w:b/>
                <w:color w:val="FFFFFF" w:themeColor="background1"/>
                <w:sz w:val="20"/>
                <w:szCs w:val="22"/>
              </w:rPr>
              <w:t xml:space="preserve">Material in Restored Teeth </w:t>
            </w:r>
            <w:r w:rsidRPr="00906D3B">
              <w:rPr>
                <w:rFonts w:ascii="Arial" w:hAnsi="Arial" w:cs="Arial"/>
                <w:b/>
                <w:color w:val="FFFFFF" w:themeColor="background1"/>
                <w:sz w:val="20"/>
                <w:szCs w:val="22"/>
              </w:rPr>
              <w:t>(g)</w:t>
            </w:r>
          </w:p>
        </w:tc>
        <w:tc>
          <w:tcPr>
            <w:tcW w:w="1891" w:type="dxa"/>
            <w:shd w:val="clear" w:color="auto" w:fill="D6291C"/>
          </w:tcPr>
          <w:p w:rsidR="00B33289" w:rsidRPr="00906D3B" w:rsidRDefault="00B33289" w:rsidP="00192D12">
            <w:pPr>
              <w:spacing w:after="0" w:line="240" w:lineRule="auto"/>
              <w:jc w:val="center"/>
              <w:rPr>
                <w:rFonts w:ascii="Arial" w:hAnsi="Arial" w:cs="Arial"/>
                <w:b/>
                <w:color w:val="FFFFFF" w:themeColor="background1"/>
                <w:sz w:val="20"/>
                <w:szCs w:val="22"/>
              </w:rPr>
            </w:pPr>
            <w:r>
              <w:rPr>
                <w:rFonts w:ascii="Arial" w:hAnsi="Arial" w:cs="Arial"/>
                <w:b/>
                <w:color w:val="FFFFFF" w:themeColor="background1"/>
                <w:sz w:val="20"/>
                <w:szCs w:val="22"/>
              </w:rPr>
              <w:t>% of Fillings Containing Mercury</w:t>
            </w:r>
          </w:p>
        </w:tc>
        <w:tc>
          <w:tcPr>
            <w:tcW w:w="1891" w:type="dxa"/>
            <w:shd w:val="clear" w:color="auto" w:fill="D6291C"/>
          </w:tcPr>
          <w:p w:rsidR="00B33289" w:rsidRDefault="00B33289" w:rsidP="00192D12">
            <w:pPr>
              <w:spacing w:after="0" w:line="240" w:lineRule="auto"/>
              <w:jc w:val="center"/>
              <w:rPr>
                <w:rFonts w:ascii="Arial" w:hAnsi="Arial" w:cs="Arial"/>
                <w:b/>
                <w:color w:val="FFFFFF" w:themeColor="background1"/>
                <w:sz w:val="20"/>
                <w:szCs w:val="22"/>
              </w:rPr>
            </w:pPr>
            <w:r>
              <w:rPr>
                <w:rFonts w:ascii="Arial" w:hAnsi="Arial" w:cs="Arial"/>
                <w:b/>
                <w:color w:val="FFFFFF" w:themeColor="background1"/>
                <w:sz w:val="20"/>
                <w:szCs w:val="22"/>
              </w:rPr>
              <w:t>% of Mercury in Dental Amalgam</w:t>
            </w:r>
          </w:p>
        </w:tc>
      </w:tr>
      <w:tr w:rsidR="00B33289" w:rsidRPr="00FE1F79" w:rsidTr="00ED2449">
        <w:trPr>
          <w:trHeight w:val="250"/>
          <w:jc w:val="center"/>
        </w:trPr>
        <w:tc>
          <w:tcPr>
            <w:tcW w:w="2037" w:type="dxa"/>
            <w:shd w:val="clear" w:color="auto" w:fill="auto"/>
            <w:noWrap/>
            <w:vAlign w:val="bottom"/>
            <w:hideMark/>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&lt; 1 year</w:t>
            </w:r>
          </w:p>
        </w:tc>
        <w:tc>
          <w:tcPr>
            <w:tcW w:w="1939" w:type="dxa"/>
            <w:vMerge w:val="restart"/>
            <w:vAlign w:val="center"/>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0-4 years*</w:t>
            </w:r>
          </w:p>
        </w:tc>
        <w:tc>
          <w:tcPr>
            <w:tcW w:w="1927" w:type="dxa"/>
            <w:vAlign w:val="bottom"/>
          </w:tcPr>
          <w:p w:rsidR="00B33289" w:rsidRPr="004571E7" w:rsidRDefault="00B33289" w:rsidP="00906D3B">
            <w:pPr>
              <w:spacing w:after="0"/>
              <w:ind w:right="597"/>
              <w:jc w:val="right"/>
              <w:rPr>
                <w:rFonts w:ascii="Arial" w:hAnsi="Arial" w:cs="Arial"/>
                <w:color w:val="000000"/>
                <w:sz w:val="20"/>
              </w:rPr>
            </w:pPr>
            <w:r w:rsidRPr="004571E7">
              <w:rPr>
                <w:rFonts w:ascii="Arial" w:hAnsi="Arial" w:cs="Arial"/>
                <w:color w:val="000000"/>
                <w:sz w:val="20"/>
              </w:rPr>
              <w:t>0.000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0.0%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45.0%</w:t>
            </w:r>
          </w:p>
        </w:tc>
      </w:tr>
      <w:tr w:rsidR="00B33289" w:rsidRPr="00FE1F79" w:rsidTr="00ED2449">
        <w:trPr>
          <w:trHeight w:val="250"/>
          <w:jc w:val="center"/>
        </w:trPr>
        <w:tc>
          <w:tcPr>
            <w:tcW w:w="2037" w:type="dxa"/>
            <w:shd w:val="clear" w:color="auto" w:fill="auto"/>
            <w:noWrap/>
            <w:vAlign w:val="bottom"/>
            <w:hideMark/>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1-4 years</w:t>
            </w:r>
          </w:p>
        </w:tc>
        <w:tc>
          <w:tcPr>
            <w:tcW w:w="1939" w:type="dxa"/>
            <w:vMerge/>
          </w:tcPr>
          <w:p w:rsidR="00B33289" w:rsidRPr="004571E7" w:rsidRDefault="00B33289" w:rsidP="00D94E67">
            <w:pPr>
              <w:spacing w:after="0" w:line="240" w:lineRule="auto"/>
              <w:jc w:val="center"/>
              <w:rPr>
                <w:rFonts w:ascii="Arial" w:hAnsi="Arial" w:cs="Arial"/>
                <w:color w:val="000000"/>
                <w:sz w:val="20"/>
              </w:rPr>
            </w:pPr>
          </w:p>
        </w:tc>
        <w:tc>
          <w:tcPr>
            <w:tcW w:w="1927" w:type="dxa"/>
            <w:vAlign w:val="bottom"/>
          </w:tcPr>
          <w:p w:rsidR="00B33289" w:rsidRPr="004571E7" w:rsidRDefault="00B33289" w:rsidP="00906D3B">
            <w:pPr>
              <w:spacing w:after="0"/>
              <w:ind w:right="597"/>
              <w:jc w:val="right"/>
              <w:rPr>
                <w:rFonts w:ascii="Arial" w:hAnsi="Arial" w:cs="Arial"/>
                <w:color w:val="000000"/>
                <w:sz w:val="20"/>
              </w:rPr>
            </w:pPr>
            <w:r w:rsidRPr="004571E7">
              <w:rPr>
                <w:rFonts w:ascii="Arial" w:hAnsi="Arial" w:cs="Arial"/>
                <w:color w:val="000000"/>
                <w:sz w:val="20"/>
              </w:rPr>
              <w:t>0.160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31.6%</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45.0%</w:t>
            </w:r>
          </w:p>
        </w:tc>
      </w:tr>
      <w:tr w:rsidR="00B33289" w:rsidRPr="00FE1F79" w:rsidTr="00ED2449">
        <w:trPr>
          <w:trHeight w:val="250"/>
          <w:jc w:val="center"/>
        </w:trPr>
        <w:tc>
          <w:tcPr>
            <w:tcW w:w="2037" w:type="dxa"/>
            <w:shd w:val="clear" w:color="auto" w:fill="auto"/>
            <w:noWrap/>
            <w:vAlign w:val="bottom"/>
            <w:hideMark/>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5-9 years</w:t>
            </w:r>
          </w:p>
        </w:tc>
        <w:tc>
          <w:tcPr>
            <w:tcW w:w="1939" w:type="dxa"/>
            <w:vMerge w:val="restart"/>
            <w:vAlign w:val="center"/>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5-14 years</w:t>
            </w:r>
          </w:p>
        </w:tc>
        <w:tc>
          <w:tcPr>
            <w:tcW w:w="1927" w:type="dxa"/>
            <w:vMerge w:val="restart"/>
            <w:vAlign w:val="bottom"/>
          </w:tcPr>
          <w:p w:rsidR="00B33289" w:rsidRPr="004571E7" w:rsidRDefault="00B33289" w:rsidP="00906D3B">
            <w:pPr>
              <w:spacing w:after="0"/>
              <w:ind w:right="597"/>
              <w:jc w:val="right"/>
              <w:rPr>
                <w:rFonts w:ascii="Arial" w:hAnsi="Arial" w:cs="Arial"/>
                <w:color w:val="000000"/>
                <w:sz w:val="20"/>
              </w:rPr>
            </w:pPr>
            <w:r w:rsidRPr="004571E7">
              <w:rPr>
                <w:rFonts w:ascii="Arial" w:hAnsi="Arial" w:cs="Arial"/>
                <w:color w:val="000000"/>
                <w:sz w:val="20"/>
              </w:rPr>
              <w:t>0.720</w:t>
            </w:r>
          </w:p>
          <w:p w:rsidR="00B33289" w:rsidRPr="004571E7" w:rsidRDefault="00B33289" w:rsidP="00906D3B">
            <w:pPr>
              <w:spacing w:after="0"/>
              <w:ind w:right="597"/>
              <w:jc w:val="right"/>
              <w:rPr>
                <w:rFonts w:ascii="Arial" w:hAnsi="Arial" w:cs="Arial"/>
                <w:color w:val="000000"/>
                <w:sz w:val="20"/>
              </w:rPr>
            </w:pPr>
            <w:r w:rsidRPr="004571E7">
              <w:rPr>
                <w:rFonts w:ascii="Arial" w:hAnsi="Arial" w:cs="Arial"/>
                <w:color w:val="000000"/>
                <w:sz w:val="20"/>
              </w:rPr>
              <w:t>0.720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31.6%</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45.0%</w:t>
            </w:r>
          </w:p>
        </w:tc>
      </w:tr>
      <w:tr w:rsidR="00B33289" w:rsidRPr="00FE1F79" w:rsidTr="00ED2449">
        <w:trPr>
          <w:trHeight w:val="250"/>
          <w:jc w:val="center"/>
        </w:trPr>
        <w:tc>
          <w:tcPr>
            <w:tcW w:w="2037" w:type="dxa"/>
            <w:shd w:val="clear" w:color="auto" w:fill="auto"/>
            <w:noWrap/>
            <w:vAlign w:val="bottom"/>
            <w:hideMark/>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10-14 years</w:t>
            </w:r>
          </w:p>
        </w:tc>
        <w:tc>
          <w:tcPr>
            <w:tcW w:w="1939" w:type="dxa"/>
            <w:vMerge/>
          </w:tcPr>
          <w:p w:rsidR="00B33289" w:rsidRPr="004571E7" w:rsidRDefault="00B33289" w:rsidP="00D94E67">
            <w:pPr>
              <w:spacing w:after="0" w:line="240" w:lineRule="auto"/>
              <w:jc w:val="center"/>
              <w:rPr>
                <w:rFonts w:ascii="Arial" w:hAnsi="Arial" w:cs="Arial"/>
                <w:color w:val="000000"/>
                <w:sz w:val="20"/>
              </w:rPr>
            </w:pPr>
          </w:p>
        </w:tc>
        <w:tc>
          <w:tcPr>
            <w:tcW w:w="1927" w:type="dxa"/>
            <w:vMerge/>
            <w:vAlign w:val="bottom"/>
          </w:tcPr>
          <w:p w:rsidR="00B33289" w:rsidRPr="004571E7" w:rsidRDefault="00B33289" w:rsidP="00906D3B">
            <w:pPr>
              <w:spacing w:after="0"/>
              <w:ind w:right="597"/>
              <w:jc w:val="right"/>
              <w:rPr>
                <w:rFonts w:ascii="Arial" w:hAnsi="Arial" w:cs="Arial"/>
                <w:color w:val="000000"/>
                <w:sz w:val="20"/>
              </w:rPr>
            </w:pP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31.6%</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45.0%</w:t>
            </w:r>
          </w:p>
        </w:tc>
      </w:tr>
      <w:tr w:rsidR="00B33289" w:rsidRPr="00FE1F79" w:rsidTr="00ED2449">
        <w:trPr>
          <w:trHeight w:val="250"/>
          <w:jc w:val="center"/>
        </w:trPr>
        <w:tc>
          <w:tcPr>
            <w:tcW w:w="2037" w:type="dxa"/>
            <w:shd w:val="clear" w:color="auto" w:fill="auto"/>
            <w:noWrap/>
            <w:vAlign w:val="bottom"/>
            <w:hideMark/>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15-19 years</w:t>
            </w:r>
          </w:p>
        </w:tc>
        <w:tc>
          <w:tcPr>
            <w:tcW w:w="1939" w:type="dxa"/>
            <w:vMerge w:val="restart"/>
            <w:vAlign w:val="center"/>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15-24 years</w:t>
            </w:r>
          </w:p>
        </w:tc>
        <w:tc>
          <w:tcPr>
            <w:tcW w:w="1927" w:type="dxa"/>
            <w:vMerge w:val="restart"/>
            <w:vAlign w:val="bottom"/>
          </w:tcPr>
          <w:p w:rsidR="00B33289" w:rsidRPr="004571E7" w:rsidRDefault="00B33289" w:rsidP="00906D3B">
            <w:pPr>
              <w:spacing w:after="0"/>
              <w:ind w:right="597"/>
              <w:jc w:val="right"/>
              <w:rPr>
                <w:rFonts w:ascii="Arial" w:hAnsi="Arial" w:cs="Arial"/>
                <w:color w:val="000000"/>
                <w:sz w:val="20"/>
              </w:rPr>
            </w:pPr>
            <w:r w:rsidRPr="004571E7">
              <w:rPr>
                <w:rFonts w:ascii="Arial" w:hAnsi="Arial" w:cs="Arial"/>
                <w:color w:val="000000"/>
                <w:sz w:val="20"/>
              </w:rPr>
              <w:t>1.070</w:t>
            </w:r>
          </w:p>
          <w:p w:rsidR="00B33289" w:rsidRPr="004571E7" w:rsidRDefault="00B33289" w:rsidP="00906D3B">
            <w:pPr>
              <w:spacing w:after="0"/>
              <w:ind w:right="597"/>
              <w:jc w:val="right"/>
              <w:rPr>
                <w:rFonts w:ascii="Arial" w:hAnsi="Arial" w:cs="Arial"/>
                <w:color w:val="000000"/>
                <w:sz w:val="20"/>
              </w:rPr>
            </w:pPr>
            <w:r w:rsidRPr="004571E7">
              <w:rPr>
                <w:rFonts w:ascii="Arial" w:hAnsi="Arial" w:cs="Arial"/>
                <w:color w:val="000000"/>
                <w:sz w:val="20"/>
              </w:rPr>
              <w:t>1.070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31.6%</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45.0%</w:t>
            </w:r>
          </w:p>
        </w:tc>
      </w:tr>
      <w:tr w:rsidR="00B33289" w:rsidRPr="00FE1F79" w:rsidTr="00ED2449">
        <w:trPr>
          <w:trHeight w:val="250"/>
          <w:jc w:val="center"/>
        </w:trPr>
        <w:tc>
          <w:tcPr>
            <w:tcW w:w="2037" w:type="dxa"/>
            <w:shd w:val="clear" w:color="auto" w:fill="auto"/>
            <w:noWrap/>
            <w:vAlign w:val="bottom"/>
            <w:hideMark/>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20-24 years</w:t>
            </w:r>
          </w:p>
        </w:tc>
        <w:tc>
          <w:tcPr>
            <w:tcW w:w="1939" w:type="dxa"/>
            <w:vMerge/>
          </w:tcPr>
          <w:p w:rsidR="00B33289" w:rsidRPr="004571E7" w:rsidRDefault="00B33289" w:rsidP="00D94E67">
            <w:pPr>
              <w:spacing w:after="0" w:line="240" w:lineRule="auto"/>
              <w:jc w:val="center"/>
              <w:rPr>
                <w:rFonts w:ascii="Arial" w:hAnsi="Arial" w:cs="Arial"/>
                <w:color w:val="000000"/>
                <w:sz w:val="20"/>
              </w:rPr>
            </w:pPr>
          </w:p>
        </w:tc>
        <w:tc>
          <w:tcPr>
            <w:tcW w:w="1927" w:type="dxa"/>
            <w:vMerge/>
            <w:vAlign w:val="bottom"/>
          </w:tcPr>
          <w:p w:rsidR="00B33289" w:rsidRPr="004571E7" w:rsidRDefault="00B33289" w:rsidP="00906D3B">
            <w:pPr>
              <w:spacing w:after="0"/>
              <w:ind w:right="597"/>
              <w:jc w:val="right"/>
              <w:rPr>
                <w:rFonts w:ascii="Arial" w:hAnsi="Arial" w:cs="Arial"/>
                <w:color w:val="000000"/>
                <w:sz w:val="20"/>
              </w:rPr>
            </w:pP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50.0%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45.0%</w:t>
            </w:r>
          </w:p>
        </w:tc>
      </w:tr>
      <w:tr w:rsidR="00B33289" w:rsidRPr="00FE1F79" w:rsidTr="00ED2449">
        <w:trPr>
          <w:trHeight w:val="250"/>
          <w:jc w:val="center"/>
        </w:trPr>
        <w:tc>
          <w:tcPr>
            <w:tcW w:w="2037" w:type="dxa"/>
            <w:shd w:val="clear" w:color="auto" w:fill="auto"/>
            <w:noWrap/>
            <w:vAlign w:val="bottom"/>
            <w:hideMark/>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25-34 years</w:t>
            </w:r>
          </w:p>
        </w:tc>
        <w:tc>
          <w:tcPr>
            <w:tcW w:w="1939" w:type="dxa"/>
            <w:vAlign w:val="bottom"/>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25-34 years</w:t>
            </w:r>
          </w:p>
        </w:tc>
        <w:tc>
          <w:tcPr>
            <w:tcW w:w="1927" w:type="dxa"/>
            <w:vAlign w:val="bottom"/>
          </w:tcPr>
          <w:p w:rsidR="00B33289" w:rsidRPr="004571E7" w:rsidRDefault="00B33289" w:rsidP="00906D3B">
            <w:pPr>
              <w:spacing w:after="0"/>
              <w:ind w:right="597"/>
              <w:jc w:val="right"/>
              <w:rPr>
                <w:rFonts w:ascii="Arial" w:hAnsi="Arial" w:cs="Arial"/>
                <w:color w:val="000000"/>
                <w:sz w:val="20"/>
              </w:rPr>
            </w:pPr>
            <w:r w:rsidRPr="004571E7">
              <w:rPr>
                <w:rFonts w:ascii="Arial" w:hAnsi="Arial" w:cs="Arial"/>
                <w:color w:val="000000"/>
                <w:sz w:val="20"/>
              </w:rPr>
              <w:t>2.230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50.0%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45.0%</w:t>
            </w:r>
          </w:p>
        </w:tc>
      </w:tr>
      <w:tr w:rsidR="00B33289" w:rsidRPr="00FE1F79" w:rsidTr="00ED2449">
        <w:trPr>
          <w:trHeight w:val="250"/>
          <w:jc w:val="center"/>
        </w:trPr>
        <w:tc>
          <w:tcPr>
            <w:tcW w:w="2037" w:type="dxa"/>
            <w:shd w:val="clear" w:color="auto" w:fill="auto"/>
            <w:noWrap/>
            <w:vAlign w:val="bottom"/>
            <w:hideMark/>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35-44 years</w:t>
            </w:r>
          </w:p>
        </w:tc>
        <w:tc>
          <w:tcPr>
            <w:tcW w:w="1939" w:type="dxa"/>
            <w:vAlign w:val="bottom"/>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35-44 years</w:t>
            </w:r>
          </w:p>
        </w:tc>
        <w:tc>
          <w:tcPr>
            <w:tcW w:w="1927" w:type="dxa"/>
            <w:vAlign w:val="bottom"/>
          </w:tcPr>
          <w:p w:rsidR="00B33289" w:rsidRPr="004571E7" w:rsidRDefault="00B33289" w:rsidP="00906D3B">
            <w:pPr>
              <w:spacing w:after="0"/>
              <w:ind w:right="597"/>
              <w:jc w:val="right"/>
              <w:rPr>
                <w:rFonts w:ascii="Arial" w:hAnsi="Arial" w:cs="Arial"/>
                <w:color w:val="000000"/>
                <w:sz w:val="20"/>
              </w:rPr>
            </w:pPr>
            <w:r w:rsidRPr="004571E7">
              <w:rPr>
                <w:rFonts w:ascii="Arial" w:hAnsi="Arial" w:cs="Arial"/>
                <w:color w:val="000000"/>
                <w:sz w:val="20"/>
              </w:rPr>
              <w:t>3.290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62.5%</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45.0%</w:t>
            </w:r>
          </w:p>
        </w:tc>
      </w:tr>
      <w:tr w:rsidR="00B33289" w:rsidRPr="00FE1F79" w:rsidTr="00ED2449">
        <w:trPr>
          <w:trHeight w:val="250"/>
          <w:jc w:val="center"/>
        </w:trPr>
        <w:tc>
          <w:tcPr>
            <w:tcW w:w="2037" w:type="dxa"/>
            <w:shd w:val="clear" w:color="auto" w:fill="auto"/>
            <w:noWrap/>
            <w:vAlign w:val="bottom"/>
            <w:hideMark/>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45-54 years</w:t>
            </w:r>
          </w:p>
        </w:tc>
        <w:tc>
          <w:tcPr>
            <w:tcW w:w="1939" w:type="dxa"/>
            <w:vAlign w:val="bottom"/>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45-54 years</w:t>
            </w:r>
          </w:p>
        </w:tc>
        <w:tc>
          <w:tcPr>
            <w:tcW w:w="1927" w:type="dxa"/>
            <w:vAlign w:val="bottom"/>
          </w:tcPr>
          <w:p w:rsidR="00B33289" w:rsidRPr="004571E7" w:rsidRDefault="00B33289" w:rsidP="00906D3B">
            <w:pPr>
              <w:spacing w:after="0"/>
              <w:ind w:right="597"/>
              <w:jc w:val="right"/>
              <w:rPr>
                <w:rFonts w:ascii="Arial" w:hAnsi="Arial" w:cs="Arial"/>
                <w:color w:val="000000"/>
                <w:sz w:val="20"/>
              </w:rPr>
            </w:pPr>
            <w:r w:rsidRPr="004571E7">
              <w:rPr>
                <w:rFonts w:ascii="Arial" w:hAnsi="Arial" w:cs="Arial"/>
                <w:color w:val="000000"/>
                <w:sz w:val="20"/>
              </w:rPr>
              <w:t>4.310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62.5%</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45.0%</w:t>
            </w:r>
          </w:p>
        </w:tc>
      </w:tr>
      <w:tr w:rsidR="00B33289" w:rsidRPr="00FE1F79" w:rsidTr="00ED2449">
        <w:trPr>
          <w:trHeight w:val="250"/>
          <w:jc w:val="center"/>
        </w:trPr>
        <w:tc>
          <w:tcPr>
            <w:tcW w:w="2037" w:type="dxa"/>
            <w:shd w:val="clear" w:color="auto" w:fill="auto"/>
            <w:noWrap/>
            <w:vAlign w:val="bottom"/>
            <w:hideMark/>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55-64 years</w:t>
            </w:r>
          </w:p>
        </w:tc>
        <w:tc>
          <w:tcPr>
            <w:tcW w:w="1939" w:type="dxa"/>
            <w:vAlign w:val="bottom"/>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55-64 years</w:t>
            </w:r>
          </w:p>
        </w:tc>
        <w:tc>
          <w:tcPr>
            <w:tcW w:w="1927" w:type="dxa"/>
            <w:vAlign w:val="bottom"/>
          </w:tcPr>
          <w:p w:rsidR="00B33289" w:rsidRPr="004571E7" w:rsidRDefault="00B33289" w:rsidP="00906D3B">
            <w:pPr>
              <w:spacing w:after="0"/>
              <w:ind w:right="597"/>
              <w:jc w:val="right"/>
              <w:rPr>
                <w:rFonts w:ascii="Arial" w:hAnsi="Arial" w:cs="Arial"/>
                <w:color w:val="000000"/>
                <w:sz w:val="20"/>
              </w:rPr>
            </w:pPr>
            <w:r w:rsidRPr="004571E7">
              <w:rPr>
                <w:rFonts w:ascii="Arial" w:hAnsi="Arial" w:cs="Arial"/>
                <w:color w:val="000000"/>
                <w:sz w:val="20"/>
              </w:rPr>
              <w:t>4.320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75.0%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45.0%</w:t>
            </w:r>
          </w:p>
        </w:tc>
      </w:tr>
      <w:tr w:rsidR="00B33289" w:rsidRPr="00FE1F79" w:rsidTr="00ED2449">
        <w:trPr>
          <w:trHeight w:val="250"/>
          <w:jc w:val="center"/>
        </w:trPr>
        <w:tc>
          <w:tcPr>
            <w:tcW w:w="2037" w:type="dxa"/>
            <w:shd w:val="clear" w:color="auto" w:fill="auto"/>
            <w:noWrap/>
            <w:vAlign w:val="bottom"/>
            <w:hideMark/>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65-74 years</w:t>
            </w:r>
          </w:p>
        </w:tc>
        <w:tc>
          <w:tcPr>
            <w:tcW w:w="1939" w:type="dxa"/>
            <w:vAlign w:val="bottom"/>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65-74 years</w:t>
            </w:r>
          </w:p>
        </w:tc>
        <w:tc>
          <w:tcPr>
            <w:tcW w:w="1927" w:type="dxa"/>
            <w:vAlign w:val="bottom"/>
          </w:tcPr>
          <w:p w:rsidR="00B33289" w:rsidRPr="004571E7" w:rsidRDefault="00B33289" w:rsidP="00906D3B">
            <w:pPr>
              <w:spacing w:after="0"/>
              <w:ind w:right="597"/>
              <w:jc w:val="right"/>
              <w:rPr>
                <w:rFonts w:ascii="Arial" w:hAnsi="Arial" w:cs="Arial"/>
                <w:color w:val="000000"/>
                <w:sz w:val="20"/>
              </w:rPr>
            </w:pPr>
            <w:r w:rsidRPr="004571E7">
              <w:rPr>
                <w:rFonts w:ascii="Arial" w:hAnsi="Arial" w:cs="Arial"/>
                <w:color w:val="000000"/>
                <w:sz w:val="20"/>
              </w:rPr>
              <w:t>3.780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75.0%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45.0%</w:t>
            </w:r>
          </w:p>
        </w:tc>
      </w:tr>
      <w:tr w:rsidR="00B33289" w:rsidRPr="00FE1F79" w:rsidTr="00ED2449">
        <w:trPr>
          <w:trHeight w:val="250"/>
          <w:jc w:val="center"/>
        </w:trPr>
        <w:tc>
          <w:tcPr>
            <w:tcW w:w="2037" w:type="dxa"/>
            <w:shd w:val="clear" w:color="auto" w:fill="auto"/>
            <w:noWrap/>
            <w:vAlign w:val="bottom"/>
            <w:hideMark/>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75-84 years</w:t>
            </w:r>
          </w:p>
        </w:tc>
        <w:tc>
          <w:tcPr>
            <w:tcW w:w="1939" w:type="dxa"/>
            <w:vAlign w:val="bottom"/>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75-84 years</w:t>
            </w:r>
          </w:p>
        </w:tc>
        <w:tc>
          <w:tcPr>
            <w:tcW w:w="1927" w:type="dxa"/>
            <w:vAlign w:val="bottom"/>
          </w:tcPr>
          <w:p w:rsidR="00B33289" w:rsidRPr="004571E7" w:rsidRDefault="00B33289" w:rsidP="00906D3B">
            <w:pPr>
              <w:spacing w:after="0"/>
              <w:ind w:right="597"/>
              <w:jc w:val="right"/>
              <w:rPr>
                <w:rFonts w:ascii="Arial" w:hAnsi="Arial" w:cs="Arial"/>
                <w:color w:val="000000"/>
                <w:sz w:val="20"/>
              </w:rPr>
            </w:pPr>
            <w:r w:rsidRPr="004571E7">
              <w:rPr>
                <w:rFonts w:ascii="Arial" w:hAnsi="Arial" w:cs="Arial"/>
                <w:color w:val="000000"/>
                <w:sz w:val="20"/>
              </w:rPr>
              <w:t>3.650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75.0%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45.0%</w:t>
            </w:r>
          </w:p>
        </w:tc>
      </w:tr>
      <w:tr w:rsidR="00B33289" w:rsidRPr="00FE1F79" w:rsidTr="00ED2449">
        <w:trPr>
          <w:trHeight w:val="250"/>
          <w:jc w:val="center"/>
        </w:trPr>
        <w:tc>
          <w:tcPr>
            <w:tcW w:w="2037" w:type="dxa"/>
            <w:shd w:val="clear" w:color="auto" w:fill="auto"/>
            <w:noWrap/>
            <w:vAlign w:val="bottom"/>
            <w:hideMark/>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85+ years</w:t>
            </w:r>
          </w:p>
        </w:tc>
        <w:tc>
          <w:tcPr>
            <w:tcW w:w="1939" w:type="dxa"/>
            <w:vAlign w:val="bottom"/>
          </w:tcPr>
          <w:p w:rsidR="00B33289" w:rsidRPr="004571E7" w:rsidRDefault="00B33289" w:rsidP="00D94E67">
            <w:pPr>
              <w:spacing w:after="0" w:line="240" w:lineRule="auto"/>
              <w:jc w:val="center"/>
              <w:rPr>
                <w:rFonts w:ascii="Arial" w:hAnsi="Arial" w:cs="Arial"/>
                <w:color w:val="000000"/>
                <w:sz w:val="20"/>
              </w:rPr>
            </w:pPr>
            <w:r w:rsidRPr="004571E7">
              <w:rPr>
                <w:rFonts w:ascii="Arial" w:hAnsi="Arial" w:cs="Arial"/>
                <w:color w:val="000000"/>
                <w:sz w:val="20"/>
              </w:rPr>
              <w:t>85+ years</w:t>
            </w:r>
          </w:p>
        </w:tc>
        <w:tc>
          <w:tcPr>
            <w:tcW w:w="1927" w:type="dxa"/>
            <w:vAlign w:val="bottom"/>
          </w:tcPr>
          <w:p w:rsidR="00B33289" w:rsidRPr="004571E7" w:rsidRDefault="00B33289" w:rsidP="00906D3B">
            <w:pPr>
              <w:spacing w:after="0"/>
              <w:ind w:right="597"/>
              <w:jc w:val="right"/>
              <w:rPr>
                <w:rFonts w:ascii="Arial" w:hAnsi="Arial" w:cs="Arial"/>
                <w:color w:val="000000"/>
                <w:sz w:val="20"/>
              </w:rPr>
            </w:pPr>
            <w:r w:rsidRPr="004571E7">
              <w:rPr>
                <w:rFonts w:ascii="Arial" w:hAnsi="Arial" w:cs="Arial"/>
                <w:color w:val="000000"/>
                <w:sz w:val="20"/>
              </w:rPr>
              <w:t>2.960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75.0%</w:t>
            </w:r>
          </w:p>
        </w:tc>
        <w:tc>
          <w:tcPr>
            <w:tcW w:w="1891" w:type="dxa"/>
            <w:vAlign w:val="bottom"/>
          </w:tcPr>
          <w:p w:rsidR="00B33289" w:rsidRPr="004571E7" w:rsidRDefault="00B33289" w:rsidP="00192D12">
            <w:pPr>
              <w:spacing w:after="0"/>
              <w:ind w:right="597"/>
              <w:jc w:val="right"/>
              <w:rPr>
                <w:rFonts w:ascii="Arial" w:hAnsi="Arial" w:cs="Arial"/>
                <w:color w:val="000000"/>
                <w:sz w:val="20"/>
              </w:rPr>
            </w:pPr>
            <w:r w:rsidRPr="004571E7">
              <w:rPr>
                <w:rFonts w:ascii="Arial" w:hAnsi="Arial" w:cs="Arial"/>
                <w:color w:val="000000"/>
                <w:sz w:val="20"/>
              </w:rPr>
              <w:t>45.0%</w:t>
            </w:r>
          </w:p>
        </w:tc>
      </w:tr>
    </w:tbl>
    <w:p w:rsidR="00D60D19" w:rsidRPr="00906D3B" w:rsidRDefault="00D60D19" w:rsidP="00D60D19">
      <w:pPr>
        <w:spacing w:after="120"/>
        <w:jc w:val="center"/>
        <w:rPr>
          <w:rFonts w:ascii="Arial" w:hAnsi="Arial" w:cs="Arial"/>
          <w:sz w:val="18"/>
          <w:szCs w:val="22"/>
        </w:rPr>
      </w:pPr>
      <w:r w:rsidRPr="00906D3B">
        <w:rPr>
          <w:rFonts w:ascii="Arial" w:hAnsi="Arial" w:cs="Arial"/>
          <w:sz w:val="20"/>
          <w:szCs w:val="22"/>
        </w:rPr>
        <w:t>*</w:t>
      </w:r>
      <w:r w:rsidRPr="00906D3B">
        <w:rPr>
          <w:rFonts w:ascii="Arial" w:hAnsi="Arial" w:cs="Arial"/>
          <w:sz w:val="18"/>
          <w:szCs w:val="22"/>
        </w:rPr>
        <w:t xml:space="preserve"> It is assumed that children under the age of </w:t>
      </w:r>
      <w:r w:rsidR="002C1AE5">
        <w:rPr>
          <w:rFonts w:ascii="Arial" w:hAnsi="Arial" w:cs="Arial"/>
          <w:sz w:val="18"/>
          <w:szCs w:val="22"/>
        </w:rPr>
        <w:t>1</w:t>
      </w:r>
      <w:r w:rsidRPr="00906D3B">
        <w:rPr>
          <w:rFonts w:ascii="Arial" w:hAnsi="Arial" w:cs="Arial"/>
          <w:sz w:val="18"/>
          <w:szCs w:val="22"/>
        </w:rPr>
        <w:t xml:space="preserve"> have no dental mercury.</w:t>
      </w:r>
    </w:p>
    <w:p w:rsidR="00D60D19" w:rsidRDefault="00D60D19" w:rsidP="00ED1ED6">
      <w:pPr>
        <w:pStyle w:val="Heading2"/>
      </w:pPr>
      <w:r>
        <w:t>Allocation Approach</w:t>
      </w:r>
    </w:p>
    <w:p w:rsidR="00D60D19" w:rsidRPr="00D60D19" w:rsidRDefault="00D60D19" w:rsidP="00D60D19">
      <w:r>
        <w:t>The CDC WONDER database contains data at the county level. The CANA statistics on the cremation rate are at the state level, but it is assumed that this rate applies to all counties in the state.</w:t>
      </w:r>
    </w:p>
    <w:p w:rsidR="00ED1ED6" w:rsidRDefault="00ED1ED6" w:rsidP="00ED1ED6">
      <w:pPr>
        <w:pStyle w:val="Heading2"/>
      </w:pPr>
      <w:r>
        <w:t>Emission Factor</w:t>
      </w:r>
    </w:p>
    <w:p w:rsidR="00ED1ED6" w:rsidRDefault="00ED1ED6" w:rsidP="00ED1ED6">
      <w:r>
        <w:t>The Bay Area Air Quality Management District (BAAQMD) issued a memorandum calculating the average amount of dental mercury in each human in 10 different age groups based on data from the CDC’s National Health and Nutrit</w:t>
      </w:r>
      <w:r w:rsidR="009378AF">
        <w:t>ion Examination Survey (NHANES)</w:t>
      </w:r>
      <w:r w:rsidR="00782EF2">
        <w:t xml:space="preserve"> (Lundquist 2012)</w:t>
      </w:r>
      <w:r w:rsidR="009378AF">
        <w:t>.</w:t>
      </w:r>
      <w:r>
        <w:t xml:space="preserve"> The age groups from the BAAQMD memorandum match well with the age groups from the CDC WONDER database (</w:t>
      </w:r>
      <w:r w:rsidRPr="00307D03">
        <w:fldChar w:fldCharType="begin"/>
      </w:r>
      <w:r w:rsidRPr="00307D03">
        <w:instrText xml:space="preserve"> REF _Ref364240324 \h </w:instrText>
      </w:r>
      <w:r>
        <w:instrText xml:space="preserve"> \* MERGEFORMAT </w:instrText>
      </w:r>
      <w:r w:rsidRPr="00307D03">
        <w:fldChar w:fldCharType="separate"/>
      </w:r>
      <w:r w:rsidR="00695F22" w:rsidRPr="00695F22">
        <w:t>Table 2</w:t>
      </w:r>
      <w:r w:rsidRPr="00307D03">
        <w:fldChar w:fldCharType="end"/>
      </w:r>
      <w:r w:rsidRPr="00307D03">
        <w:t>)</w:t>
      </w:r>
      <w:r>
        <w:t>.</w:t>
      </w:r>
    </w:p>
    <w:p w:rsidR="00340FF6" w:rsidRDefault="00ED1ED6" w:rsidP="00ED1ED6">
      <w:r>
        <w:lastRenderedPageBreak/>
        <w:t xml:space="preserve">The emission factors were determined by using the NHANES data to determine the number of individuals in each age group with 1, 2, 3, or 4 or more restored teeth. This was used along with a published report that estimated the average </w:t>
      </w:r>
      <w:r w:rsidR="00B33289">
        <w:t xml:space="preserve">mass </w:t>
      </w:r>
      <w:r>
        <w:t xml:space="preserve">of </w:t>
      </w:r>
      <w:r w:rsidR="00B33289">
        <w:t xml:space="preserve">material in tooth restorations </w:t>
      </w:r>
      <w:r>
        <w:t xml:space="preserve">used in 1, 2, 3, or 4 or more teeth to determine a weighted average </w:t>
      </w:r>
      <w:r w:rsidR="00B33289">
        <w:t xml:space="preserve">mass of material in tooth restorations </w:t>
      </w:r>
      <w:r>
        <w:t>per individual in each age group</w:t>
      </w:r>
      <w:r w:rsidR="00782EF2">
        <w:t xml:space="preserve"> (</w:t>
      </w:r>
      <w:proofErr w:type="spellStart"/>
      <w:r w:rsidR="00782EF2">
        <w:t>Adegbembo</w:t>
      </w:r>
      <w:proofErr w:type="spellEnd"/>
      <w:r w:rsidR="00782EF2">
        <w:t xml:space="preserve"> et al. 2004)</w:t>
      </w:r>
      <w:r>
        <w:t xml:space="preserve">. </w:t>
      </w:r>
    </w:p>
    <w:p w:rsidR="00B33289" w:rsidRDefault="00340FF6" w:rsidP="00ED1ED6">
      <w:r>
        <w:t xml:space="preserve">The analysis </w:t>
      </w:r>
      <w:r w:rsidR="00B33289">
        <w:t xml:space="preserve">then </w:t>
      </w:r>
      <w:r>
        <w:t xml:space="preserve">accounts for the fact that not all fillings are made with mercury. According to the American Dental Association (ADA 1998) more than 75% of restorations before the 1970s used dental amalgam, which declined to 50% by 1991. Using these numbers, it is assumed that 50% of the filled teeth for 20-34 age group contain amalgam, 62.5% of filled teeth in the 35-49% age group, and 75% of filled teeth for people over 50. </w:t>
      </w:r>
      <w:r w:rsidR="00B548E4">
        <w:t>The BAAQMD memorandum was used to estimate that 31.6% of filled teeth in the 1-19 age group contain amalgam</w:t>
      </w:r>
      <w:r w:rsidR="00B33289">
        <w:t>. The analysis also assumes that 45% of all amalgam-containing fillings are mercury.</w:t>
      </w:r>
    </w:p>
    <w:p w:rsidR="00ED1ED6" w:rsidRDefault="00ED1ED6" w:rsidP="00ED1ED6">
      <w:pPr>
        <w:spacing w:after="120"/>
        <w:rPr>
          <w:szCs w:val="22"/>
        </w:rPr>
      </w:pPr>
      <w:r>
        <w:rPr>
          <w:szCs w:val="22"/>
        </w:rPr>
        <w:t xml:space="preserve">The BAAQMD memorandum states that their assumptions are conservative, and could result in an overestimation of mercury emissions given that the analysis assumes that none of the mercury initially placed in the teeth is lost over time, despite the fact that data shows some loss of mercury from dental restorations, though the rate of loss is dependent on many factors, including area, age, and composition of the amalgam. </w:t>
      </w:r>
    </w:p>
    <w:p w:rsidR="00D60D19" w:rsidRDefault="00D60D19" w:rsidP="00ED1ED6">
      <w:pPr>
        <w:spacing w:after="120"/>
        <w:rPr>
          <w:szCs w:val="22"/>
        </w:rPr>
      </w:pPr>
      <w:r>
        <w:rPr>
          <w:szCs w:val="22"/>
        </w:rPr>
        <w:t xml:space="preserve">In addition to the amount of mercury in teeth, </w:t>
      </w:r>
      <w:proofErr w:type="spellStart"/>
      <w:r w:rsidR="00076AF3">
        <w:t>Reindl</w:t>
      </w:r>
      <w:proofErr w:type="spellEnd"/>
      <w:r w:rsidR="00076AF3">
        <w:t xml:space="preserve"> (2012) estimates mercury emissions from blood and tissues (but not dental amalgam) from humans at 0.000132 lbs./cremation, assuming an average weight at cremation of 176 lbs.</w:t>
      </w:r>
    </w:p>
    <w:p w:rsidR="00ED1ED6" w:rsidRDefault="00ED1ED6" w:rsidP="00ED1ED6">
      <w:pPr>
        <w:pStyle w:val="Heading2"/>
      </w:pPr>
      <w:r>
        <w:t>Example Calculation</w:t>
      </w:r>
    </w:p>
    <w:p w:rsidR="00076AF3" w:rsidRPr="00076AF3" w:rsidRDefault="00076AF3" w:rsidP="00ED1ED6">
      <w:pPr>
        <w:spacing w:after="120"/>
        <w:rPr>
          <w:szCs w:val="22"/>
          <w:u w:val="single"/>
        </w:rPr>
      </w:pPr>
      <w:r w:rsidRPr="00076AF3">
        <w:rPr>
          <w:szCs w:val="22"/>
          <w:u w:val="single"/>
        </w:rPr>
        <w:t>Estimating mercury in teeth:</w:t>
      </w:r>
    </w:p>
    <w:p w:rsidR="00ED1ED6" w:rsidRDefault="00ED1ED6" w:rsidP="00ED1ED6">
      <w:pPr>
        <w:spacing w:after="120"/>
        <w:rPr>
          <w:szCs w:val="22"/>
        </w:rPr>
      </w:pPr>
      <w:r>
        <w:rPr>
          <w:szCs w:val="22"/>
        </w:rPr>
        <w:t>There were 103 deaths in the 75-84 year age group in Autauga County, AL in 2010. The emission factor for that age group is 1.</w:t>
      </w:r>
      <w:r w:rsidR="001525A3">
        <w:rPr>
          <w:szCs w:val="22"/>
        </w:rPr>
        <w:t>2319 grams of mercury, or 0.0027</w:t>
      </w:r>
      <w:r>
        <w:rPr>
          <w:szCs w:val="22"/>
        </w:rPr>
        <w:t xml:space="preserve"> lbs., per cremated human. Alabama has a cremation rate of 17.2%. To calculate the mercury emissions from this age group, these numbers are multiplied together:</w:t>
      </w:r>
    </w:p>
    <w:p w:rsidR="00ED1ED6" w:rsidRDefault="00ED1ED6" w:rsidP="00ED1ED6">
      <w:pPr>
        <w:ind w:left="4500" w:hanging="4500"/>
        <w:jc w:val="center"/>
        <w:rPr>
          <w:szCs w:val="22"/>
        </w:rPr>
      </w:pPr>
      <w:r>
        <w:rPr>
          <w:szCs w:val="22"/>
        </w:rPr>
        <w:t>103 deaths in the 75-84 year age group × 17.2% cremation rate ×  0.00</w:t>
      </w:r>
      <w:r w:rsidR="00B830C5">
        <w:rPr>
          <w:szCs w:val="22"/>
        </w:rPr>
        <w:t>27</w:t>
      </w:r>
      <w:r>
        <w:rPr>
          <w:szCs w:val="22"/>
        </w:rPr>
        <w:t xml:space="preserve"> lbs. Hg/</w:t>
      </w:r>
      <w:r w:rsidR="00076AF3">
        <w:rPr>
          <w:szCs w:val="22"/>
        </w:rPr>
        <w:t>cremation</w:t>
      </w:r>
    </w:p>
    <w:p w:rsidR="00ED1ED6" w:rsidRDefault="00ED1ED6" w:rsidP="00ED1ED6">
      <w:pPr>
        <w:ind w:left="4500" w:hanging="4500"/>
        <w:jc w:val="center"/>
        <w:rPr>
          <w:szCs w:val="22"/>
        </w:rPr>
      </w:pPr>
      <w:r>
        <w:rPr>
          <w:szCs w:val="22"/>
        </w:rPr>
        <w:t>= 0.0</w:t>
      </w:r>
      <w:r w:rsidR="00B830C5">
        <w:rPr>
          <w:szCs w:val="22"/>
        </w:rPr>
        <w:t>48</w:t>
      </w:r>
      <w:r>
        <w:rPr>
          <w:szCs w:val="22"/>
        </w:rPr>
        <w:t xml:space="preserve"> lbs. Hg emissions for the 75-84 year age group in Autauga County, AL</w:t>
      </w:r>
    </w:p>
    <w:p w:rsidR="00076AF3" w:rsidRPr="00076AF3" w:rsidRDefault="00076AF3" w:rsidP="00076AF3">
      <w:pPr>
        <w:spacing w:after="120"/>
        <w:rPr>
          <w:szCs w:val="22"/>
          <w:u w:val="single"/>
        </w:rPr>
      </w:pPr>
      <w:r w:rsidRPr="00076AF3">
        <w:rPr>
          <w:szCs w:val="22"/>
          <w:u w:val="single"/>
        </w:rPr>
        <w:t xml:space="preserve">Estimating mercury in </w:t>
      </w:r>
      <w:r>
        <w:rPr>
          <w:szCs w:val="22"/>
          <w:u w:val="single"/>
        </w:rPr>
        <w:t>blood and tissues</w:t>
      </w:r>
      <w:r w:rsidRPr="00076AF3">
        <w:rPr>
          <w:szCs w:val="22"/>
          <w:u w:val="single"/>
        </w:rPr>
        <w:t>:</w:t>
      </w:r>
    </w:p>
    <w:p w:rsidR="00076AF3" w:rsidRDefault="00076AF3" w:rsidP="00076AF3">
      <w:pPr>
        <w:ind w:left="4500" w:hanging="4500"/>
        <w:jc w:val="center"/>
        <w:rPr>
          <w:szCs w:val="22"/>
        </w:rPr>
      </w:pPr>
      <w:r>
        <w:rPr>
          <w:szCs w:val="22"/>
        </w:rPr>
        <w:t>103 deaths in the 75-84 year age group × 17.2% cremation rate ×  0.000132 lbs. Hg/cremation</w:t>
      </w:r>
    </w:p>
    <w:p w:rsidR="00076AF3" w:rsidRDefault="00076AF3" w:rsidP="00076AF3">
      <w:pPr>
        <w:tabs>
          <w:tab w:val="left" w:pos="1080"/>
        </w:tabs>
        <w:ind w:left="4500" w:hanging="4500"/>
        <w:rPr>
          <w:szCs w:val="22"/>
        </w:rPr>
      </w:pPr>
      <w:r>
        <w:rPr>
          <w:szCs w:val="22"/>
        </w:rPr>
        <w:tab/>
        <w:t>= 0.00233 lbs. Hg emissions for the 75-84 year age group in Autauga County, AL</w:t>
      </w:r>
    </w:p>
    <w:p w:rsidR="00076AF3" w:rsidRPr="00076AF3" w:rsidRDefault="00076AF3" w:rsidP="00076AF3">
      <w:pPr>
        <w:tabs>
          <w:tab w:val="left" w:pos="1080"/>
        </w:tabs>
        <w:ind w:left="4500" w:hanging="4500"/>
        <w:rPr>
          <w:szCs w:val="22"/>
          <w:u w:val="single"/>
        </w:rPr>
      </w:pPr>
      <w:r w:rsidRPr="00076AF3">
        <w:rPr>
          <w:szCs w:val="22"/>
          <w:u w:val="single"/>
        </w:rPr>
        <w:t>Total mercury emissions:</w:t>
      </w:r>
    </w:p>
    <w:p w:rsidR="00076AF3" w:rsidRDefault="00076AF3" w:rsidP="00076AF3">
      <w:pPr>
        <w:tabs>
          <w:tab w:val="left" w:pos="990"/>
        </w:tabs>
        <w:jc w:val="center"/>
        <w:rPr>
          <w:szCs w:val="22"/>
        </w:rPr>
      </w:pPr>
      <w:r>
        <w:rPr>
          <w:szCs w:val="22"/>
        </w:rPr>
        <w:t>0.0</w:t>
      </w:r>
      <w:r w:rsidR="00B548E4">
        <w:rPr>
          <w:szCs w:val="22"/>
        </w:rPr>
        <w:t>47</w:t>
      </w:r>
      <w:r>
        <w:rPr>
          <w:szCs w:val="22"/>
        </w:rPr>
        <w:t xml:space="preserve"> + 0.00233 = 0.0</w:t>
      </w:r>
      <w:r w:rsidR="00B548E4">
        <w:rPr>
          <w:szCs w:val="22"/>
        </w:rPr>
        <w:t>49</w:t>
      </w:r>
      <w:r>
        <w:rPr>
          <w:szCs w:val="22"/>
        </w:rPr>
        <w:t>33 lbs. Hg emissions</w:t>
      </w:r>
    </w:p>
    <w:p w:rsidR="00ED1ED6" w:rsidRPr="00522663" w:rsidRDefault="00ED1ED6" w:rsidP="00ED1ED6">
      <w:pPr>
        <w:tabs>
          <w:tab w:val="left" w:pos="2250"/>
        </w:tabs>
        <w:spacing w:after="120"/>
        <w:rPr>
          <w:szCs w:val="22"/>
        </w:rPr>
      </w:pPr>
      <w:r w:rsidRPr="00522663">
        <w:rPr>
          <w:szCs w:val="22"/>
        </w:rPr>
        <w:t xml:space="preserve">This is repeated for each age group in </w:t>
      </w:r>
      <w:r w:rsidRPr="00522663">
        <w:rPr>
          <w:szCs w:val="22"/>
        </w:rPr>
        <w:fldChar w:fldCharType="begin"/>
      </w:r>
      <w:r w:rsidRPr="00522663">
        <w:rPr>
          <w:szCs w:val="22"/>
        </w:rPr>
        <w:instrText xml:space="preserve"> REF _Ref364240324 \h </w:instrText>
      </w:r>
      <w:r>
        <w:rPr>
          <w:szCs w:val="22"/>
        </w:rPr>
        <w:instrText xml:space="preserve"> \* MERGEFORMAT </w:instrText>
      </w:r>
      <w:r w:rsidRPr="00522663">
        <w:rPr>
          <w:szCs w:val="22"/>
        </w:rPr>
      </w:r>
      <w:r w:rsidRPr="00522663">
        <w:rPr>
          <w:szCs w:val="22"/>
        </w:rPr>
        <w:fldChar w:fldCharType="separate"/>
      </w:r>
      <w:r w:rsidR="00695F22" w:rsidRPr="00695F22">
        <w:rPr>
          <w:szCs w:val="22"/>
        </w:rPr>
        <w:t xml:space="preserve">Table </w:t>
      </w:r>
      <w:r w:rsidR="00695F22" w:rsidRPr="00695F22">
        <w:rPr>
          <w:noProof/>
          <w:szCs w:val="22"/>
        </w:rPr>
        <w:t>2</w:t>
      </w:r>
      <w:r w:rsidRPr="00522663">
        <w:rPr>
          <w:szCs w:val="22"/>
        </w:rPr>
        <w:fldChar w:fldCharType="end"/>
      </w:r>
      <w:r w:rsidRPr="00522663">
        <w:rPr>
          <w:szCs w:val="22"/>
        </w:rPr>
        <w:t xml:space="preserve"> in each county.</w:t>
      </w:r>
    </w:p>
    <w:p w:rsidR="00ED1ED6" w:rsidRDefault="00ED1ED6" w:rsidP="00ED1ED6">
      <w:pPr>
        <w:pStyle w:val="Heading1"/>
      </w:pPr>
      <w:r>
        <w:lastRenderedPageBreak/>
        <w:t>Landfills</w:t>
      </w:r>
    </w:p>
    <w:p w:rsidR="00ED1ED6" w:rsidRDefault="00ED1ED6" w:rsidP="00ED1ED6">
      <w:pPr>
        <w:spacing w:after="0"/>
      </w:pPr>
      <w:r>
        <w:t>While the amount of mercury in products placed in landfills has tended to decrease</w:t>
      </w:r>
      <w:r w:rsidR="00076AF3">
        <w:t xml:space="preserve"> in recent years</w:t>
      </w:r>
      <w:r>
        <w:t>, there is still a significant amount of mercury in place at landfills across the country. There are three main pathways for mercury emissions at landfills: (1) emissions from landfill gas (LFG) systems, including flare and vented systems; (2) emissions from the working face of landfills where new waste is placed; and (3) emissions from the closed</w:t>
      </w:r>
      <w:r w:rsidR="006B4BC5">
        <w:t>, covered portions of landfills (</w:t>
      </w:r>
      <w:proofErr w:type="spellStart"/>
      <w:r w:rsidR="006B4BC5">
        <w:t>Lindgerg</w:t>
      </w:r>
      <w:proofErr w:type="spellEnd"/>
      <w:r w:rsidR="006B4BC5">
        <w:t xml:space="preserve"> et al.</w:t>
      </w:r>
      <w:r w:rsidR="001724CF">
        <w:t xml:space="preserve"> 2005).</w:t>
      </w:r>
      <w:r w:rsidR="006B4BC5">
        <w:t xml:space="preserve"> </w:t>
      </w:r>
      <w:r>
        <w:t xml:space="preserve">Emissions from LFG systems are considered point sources and are already included in the NEI. Lindberg et al. </w:t>
      </w:r>
      <w:r w:rsidR="001724CF">
        <w:t xml:space="preserve">(2005) </w:t>
      </w:r>
      <w:r>
        <w:t xml:space="preserve">found that emissions from the closed, covered portions of landfills are negligible and are similar to background soil emission rates. Therefore, this methodology </w:t>
      </w:r>
      <w:r w:rsidR="00076AF3">
        <w:t xml:space="preserve">focuses </w:t>
      </w:r>
      <w:r>
        <w:t>on emissions from the working face of landfills.</w:t>
      </w:r>
    </w:p>
    <w:p w:rsidR="00ED1ED6" w:rsidRDefault="00ED1ED6" w:rsidP="00ED1ED6">
      <w:pPr>
        <w:pStyle w:val="Heading2"/>
      </w:pPr>
      <w:r>
        <w:t>Activity Data</w:t>
      </w:r>
    </w:p>
    <w:p w:rsidR="00ED1ED6" w:rsidRDefault="00ED1ED6" w:rsidP="00ED1ED6">
      <w:r>
        <w:t>The US EPA’s Landfill Methane Outreach Program (LMOP) maintains a database of the landfills in the United States with information on the total amount of waste in place, as well as the opening and closing years of the landfill and the county where the landfill is located</w:t>
      </w:r>
      <w:r w:rsidR="001724CF">
        <w:t xml:space="preserve"> (US EPA 201</w:t>
      </w:r>
      <w:r w:rsidR="00BD4F71">
        <w:t>4a</w:t>
      </w:r>
      <w:r w:rsidR="001724CF">
        <w:t>)</w:t>
      </w:r>
      <w:r>
        <w:t xml:space="preserve">. The </w:t>
      </w:r>
      <w:r w:rsidR="00883F4C">
        <w:t>average number of tons of waste each landfill receives is estimated by dividing the total waste in place by the number of years the landfill has been operating.</w:t>
      </w:r>
      <w:r w:rsidR="00340FF6">
        <w:t xml:space="preserve"> Only landfills that were open in 2011 are included in the analysis.</w:t>
      </w:r>
      <w:r w:rsidR="00883F4C">
        <w:t xml:space="preserve"> </w:t>
      </w:r>
    </w:p>
    <w:p w:rsidR="00E55390" w:rsidRDefault="00E55390" w:rsidP="00ED1ED6">
      <w:pPr>
        <w:pStyle w:val="Heading2"/>
      </w:pPr>
      <w:r>
        <w:t>Allocation Approach</w:t>
      </w:r>
    </w:p>
    <w:p w:rsidR="00E55390" w:rsidRPr="00E55390" w:rsidRDefault="00E55390" w:rsidP="00E55390">
      <w:r>
        <w:t>The EPA LMOP database provides data at the county level.</w:t>
      </w:r>
    </w:p>
    <w:p w:rsidR="00ED1ED6" w:rsidRDefault="00ED1ED6" w:rsidP="00ED1ED6">
      <w:pPr>
        <w:pStyle w:val="Heading2"/>
      </w:pPr>
      <w:r>
        <w:t>Emission Factor</w:t>
      </w:r>
    </w:p>
    <w:p w:rsidR="00ED1ED6" w:rsidRDefault="00ED1ED6" w:rsidP="00ED1ED6">
      <w:r>
        <w:t xml:space="preserve">Lindberg et al. </w:t>
      </w:r>
      <w:r w:rsidR="001724CF">
        <w:t xml:space="preserve">(2005) </w:t>
      </w:r>
      <w:r>
        <w:t>measured mercury emissions from the working face of four landfills in Florida and determined emission factors per ton of waste placed in a landfill annually, ranging from 1-6 mg per ton of waste. The average of these emission factors is 2.5 mg/ton of waste, or 5.51 × 10</w:t>
      </w:r>
      <w:r>
        <w:rPr>
          <w:vertAlign w:val="superscript"/>
        </w:rPr>
        <w:t>-6</w:t>
      </w:r>
      <w:r>
        <w:t xml:space="preserve"> lbs./ton of waste.</w:t>
      </w:r>
    </w:p>
    <w:p w:rsidR="00ED1ED6" w:rsidRDefault="00ED1ED6" w:rsidP="00ED1ED6">
      <w:pPr>
        <w:pStyle w:val="Heading2"/>
      </w:pPr>
      <w:r>
        <w:t>Example Calculation</w:t>
      </w:r>
    </w:p>
    <w:p w:rsidR="00ED1ED6" w:rsidRDefault="00ED1ED6" w:rsidP="00ED1ED6">
      <w:r>
        <w:t xml:space="preserve">The City of Durham landfill in Durham County, NC is estimated to receive approximately 144,000 tons of waste annually. </w:t>
      </w:r>
    </w:p>
    <w:p w:rsidR="00ED1ED6" w:rsidRDefault="00ED1ED6" w:rsidP="00ED1ED6">
      <w:pPr>
        <w:jc w:val="center"/>
      </w:pPr>
      <w:r>
        <w:t>144,000 tons of waste × 5.51 × 10</w:t>
      </w:r>
      <w:r>
        <w:rPr>
          <w:vertAlign w:val="superscript"/>
        </w:rPr>
        <w:t>-6</w:t>
      </w:r>
      <w:r>
        <w:t xml:space="preserve"> lbs. Hg/ton of waste = 0.79 lbs. Hg emissions</w:t>
      </w:r>
    </w:p>
    <w:p w:rsidR="00BD4F71" w:rsidRDefault="00BD4F71">
      <w:pPr>
        <w:spacing w:line="276" w:lineRule="auto"/>
      </w:pPr>
      <w:r>
        <w:br w:type="page"/>
      </w:r>
    </w:p>
    <w:p w:rsidR="00553E81" w:rsidRDefault="00E55390" w:rsidP="00553E81">
      <w:pPr>
        <w:pStyle w:val="Heading1"/>
      </w:pPr>
      <w:r>
        <w:lastRenderedPageBreak/>
        <w:t>Fluorescent Lamp Breakage</w:t>
      </w:r>
    </w:p>
    <w:p w:rsidR="00553E81" w:rsidRDefault="00553E81" w:rsidP="00553E81">
      <w:pPr>
        <w:rPr>
          <w:szCs w:val="22"/>
        </w:rPr>
      </w:pPr>
      <w:r>
        <w:rPr>
          <w:szCs w:val="22"/>
        </w:rPr>
        <w:t>Fluorescent lights are a potentially significant source of mercury emissions. Although each lamp contains only a small amount of mercury, which has been decreasing in recent years, the increase</w:t>
      </w:r>
      <w:r w:rsidR="00261C4D">
        <w:rPr>
          <w:szCs w:val="22"/>
        </w:rPr>
        <w:t>d demand for</w:t>
      </w:r>
      <w:r>
        <w:rPr>
          <w:szCs w:val="22"/>
        </w:rPr>
        <w:t xml:space="preserve"> fluorescent lamps, particularly compact fluorescents</w:t>
      </w:r>
      <w:r w:rsidR="00261C4D">
        <w:rPr>
          <w:szCs w:val="22"/>
        </w:rPr>
        <w:t xml:space="preserve">, driven </w:t>
      </w:r>
      <w:r w:rsidR="00F81FF4">
        <w:rPr>
          <w:szCs w:val="22"/>
        </w:rPr>
        <w:t xml:space="preserve">partly </w:t>
      </w:r>
      <w:r w:rsidR="00261C4D">
        <w:rPr>
          <w:szCs w:val="22"/>
        </w:rPr>
        <w:t xml:space="preserve">by the phase out of many </w:t>
      </w:r>
      <w:r w:rsidR="00C0203A">
        <w:rPr>
          <w:szCs w:val="22"/>
        </w:rPr>
        <w:t xml:space="preserve">types of </w:t>
      </w:r>
      <w:r w:rsidR="00261C4D">
        <w:rPr>
          <w:szCs w:val="22"/>
        </w:rPr>
        <w:t>incandescent bulbs</w:t>
      </w:r>
      <w:r w:rsidR="001724CF">
        <w:rPr>
          <w:szCs w:val="22"/>
        </w:rPr>
        <w:t xml:space="preserve"> from the Energy Independence and Security Act of 2007 (</w:t>
      </w:r>
      <w:r w:rsidR="001724CF">
        <w:t>PL 110-140 § 321),</w:t>
      </w:r>
      <w:r w:rsidR="00261C4D">
        <w:rPr>
          <w:szCs w:val="22"/>
        </w:rPr>
        <w:t xml:space="preserve"> </w:t>
      </w:r>
      <w:r>
        <w:rPr>
          <w:szCs w:val="22"/>
        </w:rPr>
        <w:t>could lead to increases in mercury emissions.</w:t>
      </w:r>
    </w:p>
    <w:p w:rsidR="00553E81" w:rsidRDefault="00553E81" w:rsidP="00553E81">
      <w:pPr>
        <w:pStyle w:val="Heading2"/>
      </w:pPr>
      <w:r>
        <w:t>Activity Data</w:t>
      </w:r>
    </w:p>
    <w:p w:rsidR="00A04287" w:rsidRDefault="00553E81" w:rsidP="00553E81">
      <w:pPr>
        <w:rPr>
          <w:szCs w:val="22"/>
        </w:rPr>
      </w:pPr>
      <w:r>
        <w:rPr>
          <w:szCs w:val="22"/>
        </w:rPr>
        <w:t>The</w:t>
      </w:r>
      <w:r w:rsidR="00FE4557">
        <w:rPr>
          <w:szCs w:val="22"/>
        </w:rPr>
        <w:t xml:space="preserve"> most recent data from the</w:t>
      </w:r>
      <w:r>
        <w:rPr>
          <w:szCs w:val="22"/>
        </w:rPr>
        <w:t xml:space="preserve"> Association of Lighting and Mercury Recyclers </w:t>
      </w:r>
      <w:r w:rsidR="001724CF">
        <w:rPr>
          <w:szCs w:val="22"/>
        </w:rPr>
        <w:t xml:space="preserve">(2004) </w:t>
      </w:r>
      <w:r>
        <w:rPr>
          <w:szCs w:val="22"/>
        </w:rPr>
        <w:t xml:space="preserve">estimates that </w:t>
      </w:r>
      <w:r w:rsidR="00FE4557">
        <w:rPr>
          <w:szCs w:val="22"/>
        </w:rPr>
        <w:t>an average of 527 million</w:t>
      </w:r>
      <w:r>
        <w:rPr>
          <w:szCs w:val="22"/>
        </w:rPr>
        <w:t xml:space="preserve"> mercury-containing lamps</w:t>
      </w:r>
      <w:r w:rsidR="00D952B3">
        <w:rPr>
          <w:szCs w:val="22"/>
        </w:rPr>
        <w:t>, including CFLs and high impact discharge (HID) lamps,</w:t>
      </w:r>
      <w:r>
        <w:rPr>
          <w:szCs w:val="22"/>
        </w:rPr>
        <w:t xml:space="preserve"> </w:t>
      </w:r>
      <w:r w:rsidR="00FE4557">
        <w:rPr>
          <w:szCs w:val="22"/>
        </w:rPr>
        <w:t xml:space="preserve">were </w:t>
      </w:r>
      <w:r>
        <w:rPr>
          <w:szCs w:val="22"/>
        </w:rPr>
        <w:t xml:space="preserve">discarded </w:t>
      </w:r>
      <w:r w:rsidR="000A2CF7">
        <w:rPr>
          <w:szCs w:val="22"/>
        </w:rPr>
        <w:t xml:space="preserve">or recycled </w:t>
      </w:r>
      <w:r>
        <w:rPr>
          <w:szCs w:val="22"/>
        </w:rPr>
        <w:t>each year</w:t>
      </w:r>
      <w:r w:rsidR="00FE4557">
        <w:rPr>
          <w:szCs w:val="22"/>
        </w:rPr>
        <w:t xml:space="preserve"> from businesses and institutions and 142 million bulbs were discarded </w:t>
      </w:r>
      <w:r w:rsidR="000A2CF7">
        <w:rPr>
          <w:szCs w:val="22"/>
        </w:rPr>
        <w:t xml:space="preserve">or recycled </w:t>
      </w:r>
      <w:r w:rsidR="00FE4557">
        <w:rPr>
          <w:szCs w:val="22"/>
        </w:rPr>
        <w:t>each year from residential users</w:t>
      </w:r>
      <w:r w:rsidR="00C0203A">
        <w:rPr>
          <w:szCs w:val="22"/>
        </w:rPr>
        <w:t>, for a total of approximately 668 million bulbs per year</w:t>
      </w:r>
      <w:r w:rsidR="00FE4557">
        <w:rPr>
          <w:szCs w:val="22"/>
        </w:rPr>
        <w:t xml:space="preserve"> during the period 2001-2003</w:t>
      </w:r>
      <w:r>
        <w:rPr>
          <w:szCs w:val="22"/>
        </w:rPr>
        <w:t xml:space="preserve">. </w:t>
      </w:r>
    </w:p>
    <w:p w:rsidR="00857A3E" w:rsidRDefault="00FE4557" w:rsidP="00553E81">
      <w:pPr>
        <w:rPr>
          <w:szCs w:val="22"/>
        </w:rPr>
      </w:pPr>
      <w:r>
        <w:rPr>
          <w:szCs w:val="22"/>
        </w:rPr>
        <w:t>The recycling rate for business and industrial use was 22.6% and for residential use it was 2.1% over the same period.</w:t>
      </w:r>
      <w:r w:rsidR="00C0203A">
        <w:rPr>
          <w:szCs w:val="22"/>
        </w:rPr>
        <w:t xml:space="preserve"> </w:t>
      </w:r>
      <w:r w:rsidR="00553E81">
        <w:rPr>
          <w:szCs w:val="22"/>
        </w:rPr>
        <w:t>The U.S. Department of Energy’s CFL Market Profile indicates that for the period of 2007-2009 there were an average of 335 million compact fluorescent lamps (CFLs) sold each year</w:t>
      </w:r>
      <w:r w:rsidR="004E4FFC">
        <w:rPr>
          <w:szCs w:val="22"/>
        </w:rPr>
        <w:t xml:space="preserve"> (U.S. Department of Energy 2010)</w:t>
      </w:r>
      <w:r w:rsidR="00553E81">
        <w:rPr>
          <w:szCs w:val="22"/>
        </w:rPr>
        <w:t xml:space="preserve">. This suggests that CFLs make up approximately half </w:t>
      </w:r>
      <w:r w:rsidR="00B00DAE">
        <w:rPr>
          <w:szCs w:val="22"/>
        </w:rPr>
        <w:t>(</w:t>
      </w:r>
      <w:r w:rsidR="00C0203A">
        <w:rPr>
          <w:szCs w:val="22"/>
        </w:rPr>
        <w:t>50.1%</w:t>
      </w:r>
      <w:r w:rsidR="00B00DAE">
        <w:rPr>
          <w:szCs w:val="22"/>
        </w:rPr>
        <w:t xml:space="preserve">) </w:t>
      </w:r>
      <w:r w:rsidR="00553E81">
        <w:rPr>
          <w:szCs w:val="22"/>
        </w:rPr>
        <w:t xml:space="preserve">of the discarded </w:t>
      </w:r>
      <w:r w:rsidR="000A2CF7">
        <w:rPr>
          <w:szCs w:val="22"/>
        </w:rPr>
        <w:t xml:space="preserve">or recycled </w:t>
      </w:r>
      <w:r w:rsidR="00553E81">
        <w:rPr>
          <w:szCs w:val="22"/>
        </w:rPr>
        <w:t>bulbs</w:t>
      </w:r>
      <w:r w:rsidR="00C0203A">
        <w:rPr>
          <w:szCs w:val="22"/>
        </w:rPr>
        <w:t xml:space="preserve">. In addition, the USGS estimates that high-intensity discharge (HID) bulbs account for </w:t>
      </w:r>
      <w:r w:rsidR="00857A3E">
        <w:rPr>
          <w:szCs w:val="22"/>
        </w:rPr>
        <w:t>4</w:t>
      </w:r>
      <w:r w:rsidR="00C0203A">
        <w:rPr>
          <w:szCs w:val="22"/>
        </w:rPr>
        <w:t xml:space="preserve">% of the mercury-containing bulbs in use, which would suggest 26.7 million HID bulbs discarded </w:t>
      </w:r>
      <w:r w:rsidR="000A2CF7">
        <w:rPr>
          <w:szCs w:val="22"/>
        </w:rPr>
        <w:t xml:space="preserve">or recycled </w:t>
      </w:r>
      <w:r w:rsidR="00C0203A">
        <w:rPr>
          <w:szCs w:val="22"/>
        </w:rPr>
        <w:t>each year</w:t>
      </w:r>
      <w:r w:rsidR="004E4FFC">
        <w:rPr>
          <w:szCs w:val="22"/>
        </w:rPr>
        <w:t xml:space="preserve"> (</w:t>
      </w:r>
      <w:proofErr w:type="spellStart"/>
      <w:r w:rsidR="004E4FFC">
        <w:rPr>
          <w:szCs w:val="22"/>
        </w:rPr>
        <w:t>Goonan</w:t>
      </w:r>
      <w:proofErr w:type="spellEnd"/>
      <w:r w:rsidR="004E4FFC">
        <w:rPr>
          <w:szCs w:val="22"/>
        </w:rPr>
        <w:t xml:space="preserve"> 2006)</w:t>
      </w:r>
      <w:r w:rsidR="00C0203A">
        <w:rPr>
          <w:szCs w:val="22"/>
        </w:rPr>
        <w:t>.</w:t>
      </w:r>
      <w:r w:rsidR="00553E81">
        <w:rPr>
          <w:szCs w:val="22"/>
        </w:rPr>
        <w:t xml:space="preserve"> </w:t>
      </w:r>
      <w:r w:rsidR="00C0203A">
        <w:rPr>
          <w:szCs w:val="22"/>
        </w:rPr>
        <w:t>L</w:t>
      </w:r>
      <w:r w:rsidR="00553E81">
        <w:rPr>
          <w:szCs w:val="22"/>
        </w:rPr>
        <w:t xml:space="preserve">inear fluorescent bulbs </w:t>
      </w:r>
      <w:r w:rsidR="00C0203A">
        <w:rPr>
          <w:szCs w:val="22"/>
        </w:rPr>
        <w:t xml:space="preserve">would </w:t>
      </w:r>
      <w:r w:rsidR="00553E81">
        <w:rPr>
          <w:szCs w:val="22"/>
        </w:rPr>
        <w:t>make up the remainder</w:t>
      </w:r>
      <w:r w:rsidR="00B00DAE">
        <w:rPr>
          <w:szCs w:val="22"/>
        </w:rPr>
        <w:t xml:space="preserve"> </w:t>
      </w:r>
      <w:r w:rsidR="00C0203A">
        <w:rPr>
          <w:szCs w:val="22"/>
        </w:rPr>
        <w:t xml:space="preserve">of discarded </w:t>
      </w:r>
      <w:r w:rsidR="000A2CF7">
        <w:rPr>
          <w:szCs w:val="22"/>
        </w:rPr>
        <w:t xml:space="preserve">or recycled </w:t>
      </w:r>
      <w:r w:rsidR="00C0203A">
        <w:rPr>
          <w:szCs w:val="22"/>
        </w:rPr>
        <w:t xml:space="preserve">mercury-containing bulbs, </w:t>
      </w:r>
      <w:r w:rsidR="00B00DAE">
        <w:rPr>
          <w:szCs w:val="22"/>
        </w:rPr>
        <w:t>(</w:t>
      </w:r>
      <w:r w:rsidR="00C0203A">
        <w:rPr>
          <w:szCs w:val="22"/>
        </w:rPr>
        <w:t>306 million bulbs; 45.9%</w:t>
      </w:r>
      <w:r w:rsidR="00B00DAE">
        <w:rPr>
          <w:szCs w:val="22"/>
        </w:rPr>
        <w:t>)</w:t>
      </w:r>
      <w:r w:rsidR="00553E81">
        <w:rPr>
          <w:szCs w:val="22"/>
        </w:rPr>
        <w:t>.</w:t>
      </w:r>
      <w:r>
        <w:rPr>
          <w:szCs w:val="22"/>
        </w:rPr>
        <w:t xml:space="preserve"> </w:t>
      </w:r>
    </w:p>
    <w:p w:rsidR="00553E81" w:rsidRDefault="00050341" w:rsidP="00553E81">
      <w:pPr>
        <w:rPr>
          <w:szCs w:val="22"/>
        </w:rPr>
      </w:pPr>
      <w:r>
        <w:rPr>
          <w:szCs w:val="22"/>
        </w:rPr>
        <w:t>Taking into account recycling, t</w:t>
      </w:r>
      <w:r w:rsidR="00FE4557">
        <w:rPr>
          <w:szCs w:val="22"/>
        </w:rPr>
        <w:t xml:space="preserve">his suggests that there are </w:t>
      </w:r>
      <w:r w:rsidR="00857A3E">
        <w:rPr>
          <w:szCs w:val="22"/>
        </w:rPr>
        <w:t>approximately 547</w:t>
      </w:r>
      <w:r w:rsidR="00FE4557">
        <w:rPr>
          <w:szCs w:val="22"/>
        </w:rPr>
        <w:t xml:space="preserve"> million </w:t>
      </w:r>
      <w:r>
        <w:rPr>
          <w:szCs w:val="22"/>
        </w:rPr>
        <w:t>mercury-containing lamps</w:t>
      </w:r>
      <w:r w:rsidR="00FE4557">
        <w:rPr>
          <w:szCs w:val="22"/>
        </w:rPr>
        <w:t xml:space="preserve"> discarded at landfills each year.</w:t>
      </w:r>
    </w:p>
    <w:p w:rsidR="00A04287" w:rsidRDefault="00A04287" w:rsidP="00553E81">
      <w:pPr>
        <w:pStyle w:val="Heading2"/>
      </w:pPr>
      <w:r>
        <w:t>Allocation Approach</w:t>
      </w:r>
    </w:p>
    <w:p w:rsidR="00A04287" w:rsidRDefault="00A04287" w:rsidP="00A04287">
      <w:pPr>
        <w:rPr>
          <w:szCs w:val="22"/>
        </w:rPr>
      </w:pPr>
      <w:r>
        <w:rPr>
          <w:szCs w:val="22"/>
        </w:rPr>
        <w:t xml:space="preserve">The national-level </w:t>
      </w:r>
      <w:r w:rsidR="00F81FF4">
        <w:rPr>
          <w:szCs w:val="22"/>
        </w:rPr>
        <w:t xml:space="preserve">mercury </w:t>
      </w:r>
      <w:r>
        <w:rPr>
          <w:szCs w:val="22"/>
        </w:rPr>
        <w:t xml:space="preserve">emissions </w:t>
      </w:r>
      <w:r w:rsidR="00F81FF4">
        <w:rPr>
          <w:szCs w:val="22"/>
        </w:rPr>
        <w:t xml:space="preserve">from fluorescent lamp breakage </w:t>
      </w:r>
      <w:r>
        <w:rPr>
          <w:szCs w:val="22"/>
        </w:rPr>
        <w:t>are allocated to each county based on population.</w:t>
      </w:r>
    </w:p>
    <w:p w:rsidR="00553E81" w:rsidRPr="008F3BE4" w:rsidRDefault="00553E81" w:rsidP="00553E81">
      <w:pPr>
        <w:pStyle w:val="Heading2"/>
      </w:pPr>
      <w:r>
        <w:t>Emission Factor</w:t>
      </w:r>
    </w:p>
    <w:p w:rsidR="00553E81" w:rsidRDefault="00E80576" w:rsidP="00553E81">
      <w:pPr>
        <w:rPr>
          <w:szCs w:val="22"/>
        </w:rPr>
      </w:pPr>
      <w:r>
        <w:rPr>
          <w:szCs w:val="22"/>
        </w:rPr>
        <w:t>Cain et. al (2007) provides t</w:t>
      </w:r>
      <w:r w:rsidR="00553E81">
        <w:rPr>
          <w:szCs w:val="22"/>
        </w:rPr>
        <w:t xml:space="preserve">he most comprehensive materials flow analysis of mercury </w:t>
      </w:r>
      <w:r>
        <w:rPr>
          <w:szCs w:val="22"/>
        </w:rPr>
        <w:t xml:space="preserve">intentionally used in products. Their analysis </w:t>
      </w:r>
      <w:r w:rsidR="00553E81">
        <w:rPr>
          <w:szCs w:val="22"/>
        </w:rPr>
        <w:t xml:space="preserve">estimates that </w:t>
      </w:r>
      <w:r w:rsidR="00F57B40">
        <w:rPr>
          <w:szCs w:val="22"/>
        </w:rPr>
        <w:t>10</w:t>
      </w:r>
      <w:r w:rsidR="00553E81">
        <w:rPr>
          <w:szCs w:val="22"/>
        </w:rPr>
        <w:t>% of all mercury used in fluorescent light bulbs is eventually released to the atmosphere</w:t>
      </w:r>
      <w:r w:rsidR="00F57B40">
        <w:rPr>
          <w:szCs w:val="22"/>
        </w:rPr>
        <w:t xml:space="preserve"> after production and before disposal, with the majority being released during transport to the disposal facility</w:t>
      </w:r>
      <w:r w:rsidR="00553E81">
        <w:rPr>
          <w:szCs w:val="22"/>
        </w:rPr>
        <w:t xml:space="preserve">. </w:t>
      </w:r>
    </w:p>
    <w:p w:rsidR="00553E81" w:rsidRDefault="00553E81" w:rsidP="00553E81">
      <w:pPr>
        <w:rPr>
          <w:szCs w:val="22"/>
        </w:rPr>
      </w:pPr>
      <w:r>
        <w:rPr>
          <w:szCs w:val="22"/>
        </w:rPr>
        <w:t xml:space="preserve">The average amount of mercury in a CFL has been studied extensively, with the amount of mercury in each CFL commonly reported as </w:t>
      </w:r>
      <w:r w:rsidR="0026657B">
        <w:rPr>
          <w:szCs w:val="22"/>
        </w:rPr>
        <w:t>1.27</w:t>
      </w:r>
      <w:r>
        <w:rPr>
          <w:szCs w:val="22"/>
        </w:rPr>
        <w:t>–4.0 mg</w:t>
      </w:r>
      <w:r w:rsidR="005F4B20">
        <w:rPr>
          <w:szCs w:val="22"/>
        </w:rPr>
        <w:t xml:space="preserve"> (</w:t>
      </w:r>
      <w:r w:rsidR="0026657B">
        <w:rPr>
          <w:szCs w:val="22"/>
        </w:rPr>
        <w:t>2.63</w:t>
      </w:r>
      <w:r w:rsidR="005F4B20">
        <w:rPr>
          <w:szCs w:val="22"/>
        </w:rPr>
        <w:t xml:space="preserve"> mg average</w:t>
      </w:r>
      <w:r w:rsidR="00E80576">
        <w:rPr>
          <w:szCs w:val="22"/>
        </w:rPr>
        <w:t xml:space="preserve">, </w:t>
      </w:r>
      <w:r w:rsidR="00E80576" w:rsidRPr="00E80576">
        <w:rPr>
          <w:sz w:val="24"/>
          <w:szCs w:val="22"/>
        </w:rPr>
        <w:fldChar w:fldCharType="begin"/>
      </w:r>
      <w:r w:rsidR="00E80576" w:rsidRPr="00E80576">
        <w:rPr>
          <w:sz w:val="24"/>
          <w:szCs w:val="22"/>
        </w:rPr>
        <w:instrText xml:space="preserve"> REF _Ref387398127 \h </w:instrText>
      </w:r>
      <w:r w:rsidR="00E80576">
        <w:rPr>
          <w:sz w:val="24"/>
          <w:szCs w:val="22"/>
        </w:rPr>
        <w:instrText xml:space="preserve"> \* MERGEFORMAT </w:instrText>
      </w:r>
      <w:r w:rsidR="00E80576" w:rsidRPr="00E80576">
        <w:rPr>
          <w:sz w:val="24"/>
          <w:szCs w:val="22"/>
        </w:rPr>
      </w:r>
      <w:r w:rsidR="00E80576" w:rsidRPr="00E80576">
        <w:rPr>
          <w:sz w:val="24"/>
          <w:szCs w:val="22"/>
        </w:rPr>
        <w:fldChar w:fldCharType="separate"/>
      </w:r>
      <w:r w:rsidR="00695F22" w:rsidRPr="00695F22">
        <w:t xml:space="preserve">Table </w:t>
      </w:r>
      <w:r w:rsidR="00695F22" w:rsidRPr="00695F22">
        <w:rPr>
          <w:noProof/>
        </w:rPr>
        <w:t>3</w:t>
      </w:r>
      <w:r w:rsidR="00E80576" w:rsidRPr="00E80576">
        <w:rPr>
          <w:sz w:val="24"/>
          <w:szCs w:val="22"/>
        </w:rPr>
        <w:fldChar w:fldCharType="end"/>
      </w:r>
      <w:r w:rsidR="005F4B20">
        <w:rPr>
          <w:szCs w:val="22"/>
        </w:rPr>
        <w:t>)</w:t>
      </w:r>
      <w:r>
        <w:rPr>
          <w:szCs w:val="22"/>
        </w:rPr>
        <w:t>.</w:t>
      </w:r>
      <w:r>
        <w:rPr>
          <w:szCs w:val="22"/>
          <w:vertAlign w:val="subscript"/>
        </w:rPr>
        <w:t xml:space="preserve"> </w:t>
      </w:r>
      <w:r>
        <w:rPr>
          <w:szCs w:val="22"/>
        </w:rPr>
        <w:t xml:space="preserve">Linear fluorescent bulbs contain more mercury than CFLs, </w:t>
      </w:r>
      <w:r w:rsidR="00AB1530">
        <w:rPr>
          <w:szCs w:val="22"/>
        </w:rPr>
        <w:t xml:space="preserve">with a range of 8.3 to </w:t>
      </w:r>
      <w:r>
        <w:rPr>
          <w:szCs w:val="22"/>
        </w:rPr>
        <w:t>12</w:t>
      </w:r>
      <w:r w:rsidR="005F4B20">
        <w:rPr>
          <w:szCs w:val="22"/>
        </w:rPr>
        <w:t xml:space="preserve"> </w:t>
      </w:r>
      <w:r>
        <w:rPr>
          <w:szCs w:val="22"/>
        </w:rPr>
        <w:t>mg</w:t>
      </w:r>
      <w:r w:rsidR="005F4B20">
        <w:rPr>
          <w:szCs w:val="22"/>
        </w:rPr>
        <w:t xml:space="preserve"> per bulb</w:t>
      </w:r>
      <w:r w:rsidR="00AB1530">
        <w:rPr>
          <w:szCs w:val="22"/>
        </w:rPr>
        <w:t xml:space="preserve"> (10.15</w:t>
      </w:r>
      <w:r w:rsidR="003676EF">
        <w:rPr>
          <w:szCs w:val="22"/>
        </w:rPr>
        <w:t xml:space="preserve"> average, </w:t>
      </w:r>
      <w:r w:rsidR="003676EF" w:rsidRPr="00E80576">
        <w:rPr>
          <w:sz w:val="24"/>
          <w:szCs w:val="22"/>
        </w:rPr>
        <w:fldChar w:fldCharType="begin"/>
      </w:r>
      <w:r w:rsidR="003676EF" w:rsidRPr="00E80576">
        <w:rPr>
          <w:sz w:val="24"/>
          <w:szCs w:val="22"/>
        </w:rPr>
        <w:instrText xml:space="preserve"> REF _Ref366223570 \h </w:instrText>
      </w:r>
      <w:r w:rsidR="00E80576">
        <w:rPr>
          <w:sz w:val="24"/>
          <w:szCs w:val="22"/>
        </w:rPr>
        <w:instrText xml:space="preserve"> \* MERGEFORMAT </w:instrText>
      </w:r>
      <w:r w:rsidR="003676EF" w:rsidRPr="00E80576">
        <w:rPr>
          <w:sz w:val="24"/>
          <w:szCs w:val="22"/>
        </w:rPr>
      </w:r>
      <w:r w:rsidR="003676EF" w:rsidRPr="00E80576">
        <w:rPr>
          <w:sz w:val="24"/>
          <w:szCs w:val="22"/>
        </w:rPr>
        <w:fldChar w:fldCharType="separate"/>
      </w:r>
      <w:r w:rsidR="00695F22" w:rsidRPr="00695F22">
        <w:t xml:space="preserve">Table </w:t>
      </w:r>
      <w:r w:rsidR="00695F22" w:rsidRPr="00695F22">
        <w:rPr>
          <w:noProof/>
        </w:rPr>
        <w:t>4</w:t>
      </w:r>
      <w:r w:rsidR="003676EF" w:rsidRPr="00E80576">
        <w:rPr>
          <w:sz w:val="24"/>
          <w:szCs w:val="22"/>
        </w:rPr>
        <w:fldChar w:fldCharType="end"/>
      </w:r>
      <w:r w:rsidR="00AB1530">
        <w:rPr>
          <w:szCs w:val="22"/>
        </w:rPr>
        <w:t>)</w:t>
      </w:r>
      <w:r>
        <w:rPr>
          <w:szCs w:val="22"/>
        </w:rPr>
        <w:t xml:space="preserve">. </w:t>
      </w:r>
      <w:r w:rsidR="0026580C">
        <w:rPr>
          <w:szCs w:val="22"/>
        </w:rPr>
        <w:t xml:space="preserve">Data from the USGS suggests that there </w:t>
      </w:r>
      <w:r w:rsidR="004F1F34">
        <w:rPr>
          <w:szCs w:val="22"/>
        </w:rPr>
        <w:t>is</w:t>
      </w:r>
      <w:r w:rsidR="0026580C">
        <w:rPr>
          <w:szCs w:val="22"/>
        </w:rPr>
        <w:t xml:space="preserve"> an average of 17 mg of mercury per HID bulb</w:t>
      </w:r>
      <w:r w:rsidR="004E4FFC">
        <w:rPr>
          <w:szCs w:val="22"/>
        </w:rPr>
        <w:t xml:space="preserve"> (</w:t>
      </w:r>
      <w:proofErr w:type="spellStart"/>
      <w:r w:rsidR="004E4FFC">
        <w:rPr>
          <w:szCs w:val="22"/>
        </w:rPr>
        <w:t>Goonan</w:t>
      </w:r>
      <w:proofErr w:type="spellEnd"/>
      <w:r w:rsidR="004E4FFC">
        <w:rPr>
          <w:szCs w:val="22"/>
        </w:rPr>
        <w:t xml:space="preserve"> 2006)</w:t>
      </w:r>
      <w:r w:rsidR="0026580C">
        <w:rPr>
          <w:szCs w:val="22"/>
        </w:rPr>
        <w:t>.</w:t>
      </w:r>
    </w:p>
    <w:p w:rsidR="00F36E6C" w:rsidRDefault="00F36E6C" w:rsidP="00553E81">
      <w:pPr>
        <w:rPr>
          <w:szCs w:val="22"/>
        </w:rPr>
      </w:pPr>
    </w:p>
    <w:p w:rsidR="00BD4F71" w:rsidRDefault="00BD4F71" w:rsidP="00553E81">
      <w:pPr>
        <w:rPr>
          <w:szCs w:val="22"/>
        </w:rPr>
      </w:pPr>
    </w:p>
    <w:p w:rsidR="00F36E6C" w:rsidRPr="00261C4D" w:rsidRDefault="00F36E6C" w:rsidP="00F36E6C">
      <w:pPr>
        <w:pStyle w:val="Caption"/>
        <w:keepNext/>
        <w:jc w:val="center"/>
        <w:rPr>
          <w:b w:val="0"/>
          <w:sz w:val="20"/>
          <w:szCs w:val="20"/>
        </w:rPr>
      </w:pPr>
      <w:bookmarkStart w:id="2" w:name="_Ref387398127"/>
      <w:r w:rsidRPr="00261C4D">
        <w:rPr>
          <w:sz w:val="20"/>
          <w:szCs w:val="20"/>
        </w:rPr>
        <w:lastRenderedPageBreak/>
        <w:t xml:space="preserve">Table </w:t>
      </w:r>
      <w:r w:rsidRPr="00261C4D">
        <w:rPr>
          <w:sz w:val="20"/>
          <w:szCs w:val="20"/>
        </w:rPr>
        <w:fldChar w:fldCharType="begin"/>
      </w:r>
      <w:r w:rsidRPr="00261C4D">
        <w:rPr>
          <w:sz w:val="20"/>
          <w:szCs w:val="20"/>
        </w:rPr>
        <w:instrText xml:space="preserve"> SEQ Table \* ARABIC </w:instrText>
      </w:r>
      <w:r w:rsidRPr="00261C4D">
        <w:rPr>
          <w:sz w:val="20"/>
          <w:szCs w:val="20"/>
        </w:rPr>
        <w:fldChar w:fldCharType="separate"/>
      </w:r>
      <w:r w:rsidR="00695F22">
        <w:rPr>
          <w:noProof/>
          <w:sz w:val="20"/>
          <w:szCs w:val="20"/>
        </w:rPr>
        <w:t>3</w:t>
      </w:r>
      <w:r w:rsidRPr="00261C4D">
        <w:rPr>
          <w:noProof/>
          <w:sz w:val="20"/>
          <w:szCs w:val="20"/>
        </w:rPr>
        <w:fldChar w:fldCharType="end"/>
      </w:r>
      <w:bookmarkEnd w:id="2"/>
      <w:r w:rsidRPr="00261C4D">
        <w:rPr>
          <w:sz w:val="20"/>
          <w:szCs w:val="20"/>
        </w:rPr>
        <w:t xml:space="preserve">. </w:t>
      </w:r>
      <w:r w:rsidRPr="00261C4D">
        <w:rPr>
          <w:b w:val="0"/>
          <w:sz w:val="20"/>
          <w:szCs w:val="20"/>
        </w:rPr>
        <w:t>Mercury used in CFLs (mg/bulb) as determined by three different studies.</w:t>
      </w:r>
    </w:p>
    <w:tbl>
      <w:tblPr>
        <w:tblW w:w="4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Mercury used in CFLs (mg/bulb) as determined by three different studies."/>
        <w:tblDescription w:val="Study; Average Amount of Mercury per CFL (mg)"/>
      </w:tblPr>
      <w:tblGrid>
        <w:gridCol w:w="2448"/>
        <w:gridCol w:w="2304"/>
      </w:tblGrid>
      <w:tr w:rsidR="00F36E6C" w:rsidRPr="0026657B" w:rsidTr="00ED2449">
        <w:trPr>
          <w:trHeight w:val="300"/>
          <w:jc w:val="center"/>
        </w:trPr>
        <w:tc>
          <w:tcPr>
            <w:tcW w:w="2448" w:type="dxa"/>
            <w:shd w:val="clear" w:color="auto" w:fill="D6291C"/>
            <w:noWrap/>
            <w:vAlign w:val="bottom"/>
            <w:hideMark/>
          </w:tcPr>
          <w:p w:rsidR="00F36E6C" w:rsidRPr="00F36E6C" w:rsidRDefault="00F36E6C" w:rsidP="00F36E6C">
            <w:pPr>
              <w:spacing w:after="0" w:line="240" w:lineRule="auto"/>
              <w:rPr>
                <w:rFonts w:ascii="Arial" w:hAnsi="Arial"/>
                <w:b/>
                <w:color w:val="FFFFFF" w:themeColor="background1"/>
                <w:sz w:val="20"/>
                <w:szCs w:val="22"/>
              </w:rPr>
            </w:pPr>
            <w:r w:rsidRPr="00F36E6C">
              <w:rPr>
                <w:rFonts w:ascii="Arial" w:hAnsi="Arial"/>
                <w:b/>
                <w:color w:val="FFFFFF" w:themeColor="background1"/>
                <w:sz w:val="20"/>
                <w:szCs w:val="22"/>
              </w:rPr>
              <w:t>Study</w:t>
            </w:r>
          </w:p>
        </w:tc>
        <w:tc>
          <w:tcPr>
            <w:tcW w:w="2304" w:type="dxa"/>
            <w:shd w:val="clear" w:color="auto" w:fill="D6291C"/>
            <w:noWrap/>
            <w:vAlign w:val="bottom"/>
            <w:hideMark/>
          </w:tcPr>
          <w:p w:rsidR="00F36E6C" w:rsidRPr="00F36E6C" w:rsidRDefault="00F36E6C" w:rsidP="00F36E6C">
            <w:pPr>
              <w:spacing w:after="0" w:line="240" w:lineRule="auto"/>
              <w:rPr>
                <w:rFonts w:ascii="Arial" w:hAnsi="Arial"/>
                <w:b/>
                <w:color w:val="FFFFFF" w:themeColor="background1"/>
                <w:sz w:val="20"/>
                <w:szCs w:val="22"/>
              </w:rPr>
            </w:pPr>
            <w:r w:rsidRPr="00F36E6C">
              <w:rPr>
                <w:rFonts w:ascii="Arial" w:hAnsi="Arial"/>
                <w:b/>
                <w:color w:val="FFFFFF" w:themeColor="background1"/>
                <w:sz w:val="20"/>
                <w:szCs w:val="22"/>
              </w:rPr>
              <w:t>Average Amount of Mercury per CFL (mg)</w:t>
            </w:r>
          </w:p>
        </w:tc>
      </w:tr>
      <w:tr w:rsidR="00F36E6C" w:rsidRPr="0026657B" w:rsidTr="00ED2449">
        <w:trPr>
          <w:trHeight w:val="317"/>
          <w:jc w:val="center"/>
        </w:trPr>
        <w:tc>
          <w:tcPr>
            <w:tcW w:w="2448" w:type="dxa"/>
            <w:shd w:val="clear" w:color="auto" w:fill="auto"/>
            <w:noWrap/>
            <w:vAlign w:val="bottom"/>
            <w:hideMark/>
          </w:tcPr>
          <w:p w:rsidR="00F36E6C" w:rsidRPr="00F36E6C" w:rsidRDefault="00F36E6C" w:rsidP="004E4FFC">
            <w:pPr>
              <w:spacing w:after="0" w:line="240" w:lineRule="auto"/>
              <w:rPr>
                <w:rFonts w:ascii="Arial" w:hAnsi="Arial"/>
                <w:color w:val="000000"/>
                <w:sz w:val="20"/>
                <w:szCs w:val="22"/>
              </w:rPr>
            </w:pPr>
            <w:r w:rsidRPr="00F36E6C">
              <w:rPr>
                <w:rFonts w:ascii="Arial" w:hAnsi="Arial"/>
                <w:color w:val="000000"/>
                <w:sz w:val="20"/>
                <w:szCs w:val="22"/>
              </w:rPr>
              <w:t>Li and Jin (2011)</w:t>
            </w:r>
          </w:p>
        </w:tc>
        <w:tc>
          <w:tcPr>
            <w:tcW w:w="2304" w:type="dxa"/>
            <w:shd w:val="clear" w:color="auto" w:fill="auto"/>
            <w:noWrap/>
            <w:vAlign w:val="bottom"/>
            <w:hideMark/>
          </w:tcPr>
          <w:p w:rsidR="00F36E6C" w:rsidRPr="00F36E6C" w:rsidRDefault="00F36E6C" w:rsidP="00F36E6C">
            <w:pPr>
              <w:spacing w:after="0" w:line="240" w:lineRule="auto"/>
              <w:jc w:val="center"/>
              <w:rPr>
                <w:rFonts w:ascii="Arial" w:hAnsi="Arial"/>
                <w:color w:val="000000"/>
                <w:sz w:val="20"/>
                <w:szCs w:val="22"/>
              </w:rPr>
            </w:pPr>
            <w:r w:rsidRPr="00F36E6C">
              <w:rPr>
                <w:rFonts w:ascii="Arial" w:hAnsi="Arial"/>
                <w:color w:val="000000"/>
                <w:sz w:val="20"/>
                <w:szCs w:val="22"/>
              </w:rPr>
              <w:t>1.27</w:t>
            </w:r>
          </w:p>
        </w:tc>
      </w:tr>
      <w:tr w:rsidR="00F36E6C" w:rsidRPr="0026657B" w:rsidTr="00ED2449">
        <w:trPr>
          <w:trHeight w:val="317"/>
          <w:jc w:val="center"/>
        </w:trPr>
        <w:tc>
          <w:tcPr>
            <w:tcW w:w="2448" w:type="dxa"/>
            <w:shd w:val="clear" w:color="auto" w:fill="auto"/>
            <w:noWrap/>
            <w:vAlign w:val="bottom"/>
            <w:hideMark/>
          </w:tcPr>
          <w:p w:rsidR="00F36E6C" w:rsidRPr="00F36E6C" w:rsidRDefault="00F36E6C" w:rsidP="004E4FFC">
            <w:pPr>
              <w:spacing w:after="0" w:line="240" w:lineRule="auto"/>
              <w:rPr>
                <w:rFonts w:ascii="Arial" w:hAnsi="Arial"/>
                <w:color w:val="000000"/>
                <w:sz w:val="20"/>
                <w:szCs w:val="22"/>
              </w:rPr>
            </w:pPr>
            <w:proofErr w:type="spellStart"/>
            <w:r w:rsidRPr="00F36E6C">
              <w:rPr>
                <w:rFonts w:ascii="Arial" w:hAnsi="Arial"/>
                <w:color w:val="000000"/>
                <w:sz w:val="20"/>
                <w:szCs w:val="22"/>
              </w:rPr>
              <w:t>Katers</w:t>
            </w:r>
            <w:proofErr w:type="spellEnd"/>
            <w:r w:rsidRPr="00F36E6C">
              <w:rPr>
                <w:rFonts w:ascii="Arial" w:hAnsi="Arial"/>
                <w:color w:val="000000"/>
                <w:sz w:val="20"/>
                <w:szCs w:val="22"/>
              </w:rPr>
              <w:t xml:space="preserve"> et al. (2009)</w:t>
            </w:r>
          </w:p>
        </w:tc>
        <w:tc>
          <w:tcPr>
            <w:tcW w:w="2304" w:type="dxa"/>
            <w:shd w:val="clear" w:color="auto" w:fill="auto"/>
            <w:noWrap/>
            <w:vAlign w:val="bottom"/>
            <w:hideMark/>
          </w:tcPr>
          <w:p w:rsidR="00F36E6C" w:rsidRPr="00F36E6C" w:rsidRDefault="00F36E6C" w:rsidP="00F36E6C">
            <w:pPr>
              <w:spacing w:after="0" w:line="240" w:lineRule="auto"/>
              <w:jc w:val="center"/>
              <w:rPr>
                <w:rFonts w:ascii="Arial" w:hAnsi="Arial"/>
                <w:color w:val="000000"/>
                <w:sz w:val="20"/>
                <w:szCs w:val="22"/>
              </w:rPr>
            </w:pPr>
            <w:r w:rsidRPr="00F36E6C">
              <w:rPr>
                <w:rFonts w:ascii="Arial" w:hAnsi="Arial"/>
                <w:color w:val="000000"/>
                <w:sz w:val="20"/>
                <w:szCs w:val="22"/>
              </w:rPr>
              <w:t>4</w:t>
            </w:r>
            <w:r>
              <w:rPr>
                <w:rFonts w:ascii="Arial" w:hAnsi="Arial"/>
                <w:color w:val="000000"/>
                <w:sz w:val="20"/>
                <w:szCs w:val="22"/>
              </w:rPr>
              <w:t>.00</w:t>
            </w:r>
          </w:p>
        </w:tc>
      </w:tr>
      <w:tr w:rsidR="00F36E6C" w:rsidRPr="0026657B" w:rsidTr="00ED2449">
        <w:trPr>
          <w:trHeight w:val="317"/>
          <w:jc w:val="center"/>
        </w:trPr>
        <w:tc>
          <w:tcPr>
            <w:tcW w:w="2448" w:type="dxa"/>
            <w:shd w:val="clear" w:color="auto" w:fill="auto"/>
            <w:noWrap/>
            <w:vAlign w:val="bottom"/>
            <w:hideMark/>
          </w:tcPr>
          <w:p w:rsidR="00F36E6C" w:rsidRPr="00F36E6C" w:rsidRDefault="00F36E6C" w:rsidP="004E4FFC">
            <w:pPr>
              <w:spacing w:after="0" w:line="240" w:lineRule="auto"/>
              <w:rPr>
                <w:rFonts w:ascii="Arial" w:hAnsi="Arial"/>
                <w:color w:val="000000"/>
                <w:sz w:val="20"/>
                <w:szCs w:val="22"/>
              </w:rPr>
            </w:pPr>
            <w:proofErr w:type="spellStart"/>
            <w:r w:rsidRPr="00F36E6C">
              <w:rPr>
                <w:rFonts w:ascii="Arial" w:hAnsi="Arial"/>
                <w:color w:val="000000"/>
                <w:sz w:val="20"/>
                <w:szCs w:val="22"/>
              </w:rPr>
              <w:t>Singhvi</w:t>
            </w:r>
            <w:proofErr w:type="spellEnd"/>
            <w:r w:rsidRPr="00F36E6C">
              <w:rPr>
                <w:rFonts w:ascii="Arial" w:hAnsi="Arial"/>
                <w:color w:val="000000"/>
                <w:sz w:val="20"/>
                <w:szCs w:val="22"/>
              </w:rPr>
              <w:t xml:space="preserve"> et al. (2011)</w:t>
            </w:r>
          </w:p>
        </w:tc>
        <w:tc>
          <w:tcPr>
            <w:tcW w:w="2304" w:type="dxa"/>
            <w:shd w:val="clear" w:color="auto" w:fill="auto"/>
            <w:noWrap/>
            <w:vAlign w:val="bottom"/>
            <w:hideMark/>
          </w:tcPr>
          <w:p w:rsidR="00F36E6C" w:rsidRPr="00F36E6C" w:rsidRDefault="00F36E6C" w:rsidP="00F36E6C">
            <w:pPr>
              <w:spacing w:after="0" w:line="240" w:lineRule="auto"/>
              <w:jc w:val="center"/>
              <w:rPr>
                <w:rFonts w:ascii="Arial" w:hAnsi="Arial"/>
                <w:color w:val="000000"/>
                <w:sz w:val="20"/>
                <w:szCs w:val="22"/>
              </w:rPr>
            </w:pPr>
            <w:r w:rsidRPr="00F36E6C">
              <w:rPr>
                <w:rFonts w:ascii="Arial" w:hAnsi="Arial"/>
                <w:color w:val="000000"/>
                <w:sz w:val="20"/>
                <w:szCs w:val="22"/>
              </w:rPr>
              <w:t>2.63</w:t>
            </w:r>
          </w:p>
        </w:tc>
      </w:tr>
      <w:tr w:rsidR="00F36E6C" w:rsidRPr="0026657B" w:rsidTr="00ED2449">
        <w:trPr>
          <w:trHeight w:val="317"/>
          <w:jc w:val="center"/>
        </w:trPr>
        <w:tc>
          <w:tcPr>
            <w:tcW w:w="2448" w:type="dxa"/>
            <w:shd w:val="clear" w:color="auto" w:fill="auto"/>
            <w:noWrap/>
            <w:vAlign w:val="bottom"/>
            <w:hideMark/>
          </w:tcPr>
          <w:p w:rsidR="00F36E6C" w:rsidRPr="00F36E6C" w:rsidRDefault="00F36E6C" w:rsidP="00F36E6C">
            <w:pPr>
              <w:spacing w:after="0" w:line="240" w:lineRule="auto"/>
              <w:rPr>
                <w:rFonts w:ascii="Arial" w:hAnsi="Arial"/>
                <w:b/>
                <w:color w:val="000000"/>
                <w:sz w:val="20"/>
                <w:szCs w:val="22"/>
              </w:rPr>
            </w:pPr>
            <w:r w:rsidRPr="00F36E6C">
              <w:rPr>
                <w:rFonts w:ascii="Arial" w:hAnsi="Arial"/>
                <w:b/>
                <w:color w:val="000000"/>
                <w:sz w:val="20"/>
                <w:szCs w:val="22"/>
              </w:rPr>
              <w:t>Average</w:t>
            </w:r>
          </w:p>
        </w:tc>
        <w:tc>
          <w:tcPr>
            <w:tcW w:w="2304" w:type="dxa"/>
            <w:shd w:val="clear" w:color="auto" w:fill="auto"/>
            <w:noWrap/>
            <w:vAlign w:val="bottom"/>
            <w:hideMark/>
          </w:tcPr>
          <w:p w:rsidR="00F36E6C" w:rsidRPr="00F36E6C" w:rsidRDefault="00F36E6C" w:rsidP="00F36E6C">
            <w:pPr>
              <w:spacing w:after="0" w:line="240" w:lineRule="auto"/>
              <w:jc w:val="center"/>
              <w:rPr>
                <w:rFonts w:ascii="Arial" w:hAnsi="Arial"/>
                <w:b/>
                <w:color w:val="000000"/>
                <w:sz w:val="20"/>
                <w:szCs w:val="22"/>
              </w:rPr>
            </w:pPr>
            <w:r w:rsidRPr="00F36E6C">
              <w:rPr>
                <w:rFonts w:ascii="Arial" w:hAnsi="Arial"/>
                <w:b/>
                <w:color w:val="000000"/>
                <w:sz w:val="20"/>
                <w:szCs w:val="22"/>
              </w:rPr>
              <w:t>2.63</w:t>
            </w:r>
          </w:p>
        </w:tc>
      </w:tr>
    </w:tbl>
    <w:p w:rsidR="00F36E6C" w:rsidRDefault="00F36E6C" w:rsidP="00F36E6C">
      <w:pPr>
        <w:spacing w:line="240" w:lineRule="auto"/>
      </w:pPr>
    </w:p>
    <w:p w:rsidR="00F36E6C" w:rsidRPr="00664840" w:rsidRDefault="00F36E6C" w:rsidP="00F36E6C">
      <w:pPr>
        <w:pStyle w:val="Caption"/>
        <w:keepNext/>
        <w:jc w:val="center"/>
        <w:rPr>
          <w:b w:val="0"/>
          <w:sz w:val="20"/>
        </w:rPr>
      </w:pPr>
      <w:bookmarkStart w:id="3" w:name="_Ref366223570"/>
      <w:r w:rsidRPr="00664840">
        <w:rPr>
          <w:sz w:val="20"/>
        </w:rPr>
        <w:t xml:space="preserve">Table </w:t>
      </w:r>
      <w:r w:rsidRPr="00664840">
        <w:rPr>
          <w:sz w:val="20"/>
        </w:rPr>
        <w:fldChar w:fldCharType="begin"/>
      </w:r>
      <w:r w:rsidRPr="00664840">
        <w:rPr>
          <w:sz w:val="20"/>
        </w:rPr>
        <w:instrText xml:space="preserve"> SEQ Table \* ARABIC </w:instrText>
      </w:r>
      <w:r w:rsidRPr="00664840">
        <w:rPr>
          <w:sz w:val="20"/>
        </w:rPr>
        <w:fldChar w:fldCharType="separate"/>
      </w:r>
      <w:r w:rsidR="00695F22">
        <w:rPr>
          <w:noProof/>
          <w:sz w:val="20"/>
        </w:rPr>
        <w:t>4</w:t>
      </w:r>
      <w:r w:rsidRPr="00664840">
        <w:rPr>
          <w:sz w:val="20"/>
        </w:rPr>
        <w:fldChar w:fldCharType="end"/>
      </w:r>
      <w:bookmarkEnd w:id="3"/>
      <w:r w:rsidRPr="00664840">
        <w:rPr>
          <w:sz w:val="20"/>
        </w:rPr>
        <w:t xml:space="preserve">. </w:t>
      </w:r>
      <w:r w:rsidRPr="00664840">
        <w:rPr>
          <w:b w:val="0"/>
          <w:sz w:val="20"/>
        </w:rPr>
        <w:t>Mercury used in linear fluorescent bulbs (mg/bulb) as determined by two different studies.</w:t>
      </w:r>
    </w:p>
    <w:tbl>
      <w:tblPr>
        <w:tblStyle w:val="TableGrid"/>
        <w:tblW w:w="0" w:type="auto"/>
        <w:jc w:val="center"/>
        <w:tblLook w:val="04A0" w:firstRow="1" w:lastRow="0" w:firstColumn="1" w:lastColumn="0" w:noHBand="0" w:noVBand="1"/>
        <w:tblCaption w:val="Table 4. Mercury used in linear fluorescent bulbs (mg/bulb) as determined by two different studies."/>
        <w:tblDescription w:val="Study; Average Amount of Mercury per Linear Fluorescent Bulb (mg)"/>
      </w:tblPr>
      <w:tblGrid>
        <w:gridCol w:w="2160"/>
        <w:gridCol w:w="2736"/>
      </w:tblGrid>
      <w:tr w:rsidR="00F36E6C" w:rsidRPr="003676EF" w:rsidTr="00F36E6C">
        <w:trPr>
          <w:jc w:val="center"/>
        </w:trPr>
        <w:tc>
          <w:tcPr>
            <w:tcW w:w="2160" w:type="dxa"/>
            <w:shd w:val="clear" w:color="auto" w:fill="D6291C"/>
            <w:vAlign w:val="bottom"/>
          </w:tcPr>
          <w:p w:rsidR="00F36E6C" w:rsidRPr="00F36E6C" w:rsidRDefault="00F36E6C" w:rsidP="00F36E6C">
            <w:pPr>
              <w:spacing w:line="240" w:lineRule="auto"/>
              <w:rPr>
                <w:rFonts w:ascii="Arial" w:hAnsi="Arial"/>
                <w:b/>
                <w:color w:val="FFFFFF" w:themeColor="background1"/>
                <w:sz w:val="20"/>
              </w:rPr>
            </w:pPr>
            <w:r w:rsidRPr="00F36E6C">
              <w:rPr>
                <w:rFonts w:ascii="Arial" w:hAnsi="Arial"/>
                <w:b/>
                <w:color w:val="FFFFFF" w:themeColor="background1"/>
                <w:sz w:val="20"/>
              </w:rPr>
              <w:t>Study</w:t>
            </w:r>
          </w:p>
        </w:tc>
        <w:tc>
          <w:tcPr>
            <w:tcW w:w="2736" w:type="dxa"/>
            <w:shd w:val="clear" w:color="auto" w:fill="D6291C"/>
          </w:tcPr>
          <w:p w:rsidR="00F36E6C" w:rsidRPr="00F36E6C" w:rsidRDefault="00F36E6C" w:rsidP="00F36E6C">
            <w:pPr>
              <w:spacing w:line="240" w:lineRule="auto"/>
              <w:jc w:val="center"/>
              <w:rPr>
                <w:rFonts w:ascii="Arial" w:hAnsi="Arial"/>
                <w:b/>
                <w:color w:val="FFFFFF" w:themeColor="background1"/>
                <w:sz w:val="20"/>
              </w:rPr>
            </w:pPr>
            <w:r w:rsidRPr="00F36E6C">
              <w:rPr>
                <w:rFonts w:ascii="Arial" w:hAnsi="Arial"/>
                <w:b/>
                <w:color w:val="FFFFFF" w:themeColor="background1"/>
                <w:sz w:val="20"/>
              </w:rPr>
              <w:t>Average Amount of Mercury per Linear Fluorescent Bulb (mg)</w:t>
            </w:r>
          </w:p>
        </w:tc>
      </w:tr>
      <w:tr w:rsidR="00F36E6C" w:rsidRPr="003676EF" w:rsidTr="00D23BA4">
        <w:trPr>
          <w:trHeight w:val="317"/>
          <w:jc w:val="center"/>
        </w:trPr>
        <w:tc>
          <w:tcPr>
            <w:tcW w:w="2160" w:type="dxa"/>
          </w:tcPr>
          <w:p w:rsidR="00F36E6C" w:rsidRPr="00F36E6C" w:rsidRDefault="00F36E6C" w:rsidP="004E4FFC">
            <w:pPr>
              <w:spacing w:line="240" w:lineRule="auto"/>
              <w:rPr>
                <w:rFonts w:ascii="Arial" w:hAnsi="Arial"/>
                <w:sz w:val="20"/>
              </w:rPr>
            </w:pPr>
            <w:proofErr w:type="spellStart"/>
            <w:r w:rsidRPr="00F36E6C">
              <w:rPr>
                <w:rFonts w:ascii="Arial" w:hAnsi="Arial"/>
                <w:sz w:val="20"/>
              </w:rPr>
              <w:t>Aucott</w:t>
            </w:r>
            <w:proofErr w:type="spellEnd"/>
            <w:r w:rsidRPr="00F36E6C">
              <w:rPr>
                <w:rFonts w:ascii="Arial" w:hAnsi="Arial"/>
                <w:sz w:val="20"/>
              </w:rPr>
              <w:t xml:space="preserve"> et al. (2004)</w:t>
            </w:r>
          </w:p>
        </w:tc>
        <w:tc>
          <w:tcPr>
            <w:tcW w:w="2736" w:type="dxa"/>
          </w:tcPr>
          <w:p w:rsidR="00F36E6C" w:rsidRPr="00F36E6C" w:rsidRDefault="00F36E6C" w:rsidP="00F36E6C">
            <w:pPr>
              <w:spacing w:line="240" w:lineRule="auto"/>
              <w:ind w:right="900"/>
              <w:jc w:val="right"/>
              <w:rPr>
                <w:rFonts w:ascii="Arial" w:hAnsi="Arial"/>
                <w:sz w:val="20"/>
              </w:rPr>
            </w:pPr>
            <w:r w:rsidRPr="00F36E6C">
              <w:rPr>
                <w:rFonts w:ascii="Arial" w:hAnsi="Arial"/>
                <w:sz w:val="20"/>
              </w:rPr>
              <w:t>12</w:t>
            </w:r>
            <w:r>
              <w:rPr>
                <w:rFonts w:ascii="Arial" w:hAnsi="Arial"/>
                <w:sz w:val="20"/>
              </w:rPr>
              <w:t>.0</w:t>
            </w:r>
          </w:p>
        </w:tc>
      </w:tr>
      <w:tr w:rsidR="00F36E6C" w:rsidRPr="003676EF" w:rsidTr="00D23BA4">
        <w:trPr>
          <w:trHeight w:val="317"/>
          <w:jc w:val="center"/>
        </w:trPr>
        <w:tc>
          <w:tcPr>
            <w:tcW w:w="2160" w:type="dxa"/>
          </w:tcPr>
          <w:p w:rsidR="00F36E6C" w:rsidRPr="00F36E6C" w:rsidRDefault="00F36E6C" w:rsidP="004E4FFC">
            <w:pPr>
              <w:spacing w:line="240" w:lineRule="auto"/>
              <w:rPr>
                <w:rFonts w:ascii="Arial" w:hAnsi="Arial"/>
                <w:sz w:val="20"/>
              </w:rPr>
            </w:pPr>
            <w:r w:rsidRPr="00F36E6C">
              <w:rPr>
                <w:rFonts w:ascii="Arial" w:hAnsi="Arial"/>
                <w:sz w:val="20"/>
              </w:rPr>
              <w:t>NEMA (2005)</w:t>
            </w:r>
          </w:p>
        </w:tc>
        <w:tc>
          <w:tcPr>
            <w:tcW w:w="2736" w:type="dxa"/>
          </w:tcPr>
          <w:p w:rsidR="00F36E6C" w:rsidRPr="00F36E6C" w:rsidRDefault="00F36E6C" w:rsidP="00F36E6C">
            <w:pPr>
              <w:spacing w:line="240" w:lineRule="auto"/>
              <w:ind w:right="900"/>
              <w:jc w:val="right"/>
              <w:rPr>
                <w:rFonts w:ascii="Arial" w:hAnsi="Arial"/>
                <w:sz w:val="20"/>
              </w:rPr>
            </w:pPr>
            <w:r w:rsidRPr="00F36E6C">
              <w:rPr>
                <w:rFonts w:ascii="Arial" w:hAnsi="Arial"/>
                <w:sz w:val="20"/>
              </w:rPr>
              <w:t>8.3</w:t>
            </w:r>
          </w:p>
        </w:tc>
      </w:tr>
      <w:tr w:rsidR="00F36E6C" w:rsidRPr="003676EF" w:rsidTr="00D23BA4">
        <w:trPr>
          <w:trHeight w:val="317"/>
          <w:jc w:val="center"/>
        </w:trPr>
        <w:tc>
          <w:tcPr>
            <w:tcW w:w="2160" w:type="dxa"/>
          </w:tcPr>
          <w:p w:rsidR="00F36E6C" w:rsidRPr="00F36E6C" w:rsidRDefault="00F36E6C" w:rsidP="00F36E6C">
            <w:pPr>
              <w:spacing w:line="240" w:lineRule="auto"/>
              <w:rPr>
                <w:rFonts w:ascii="Arial" w:hAnsi="Arial"/>
                <w:b/>
                <w:sz w:val="20"/>
              </w:rPr>
            </w:pPr>
            <w:r w:rsidRPr="00F36E6C">
              <w:rPr>
                <w:rFonts w:ascii="Arial" w:hAnsi="Arial"/>
                <w:b/>
                <w:sz w:val="20"/>
              </w:rPr>
              <w:t>Average</w:t>
            </w:r>
          </w:p>
        </w:tc>
        <w:tc>
          <w:tcPr>
            <w:tcW w:w="2736" w:type="dxa"/>
          </w:tcPr>
          <w:p w:rsidR="00F36E6C" w:rsidRPr="00F36E6C" w:rsidRDefault="00F36E6C" w:rsidP="00F36E6C">
            <w:pPr>
              <w:spacing w:line="240" w:lineRule="auto"/>
              <w:ind w:right="900"/>
              <w:jc w:val="right"/>
              <w:rPr>
                <w:rFonts w:ascii="Arial" w:hAnsi="Arial"/>
                <w:b/>
                <w:sz w:val="20"/>
              </w:rPr>
            </w:pPr>
            <w:r>
              <w:rPr>
                <w:rFonts w:ascii="Arial" w:hAnsi="Arial"/>
                <w:b/>
                <w:sz w:val="20"/>
              </w:rPr>
              <w:t>10.2</w:t>
            </w:r>
          </w:p>
        </w:tc>
      </w:tr>
    </w:tbl>
    <w:p w:rsidR="00F36E6C" w:rsidRDefault="00F36E6C" w:rsidP="00553E81">
      <w:pPr>
        <w:rPr>
          <w:szCs w:val="22"/>
        </w:rPr>
      </w:pPr>
    </w:p>
    <w:p w:rsidR="005F4B20" w:rsidRDefault="005F4B20" w:rsidP="00553E81">
      <w:pPr>
        <w:rPr>
          <w:szCs w:val="22"/>
        </w:rPr>
      </w:pPr>
      <w:r>
        <w:rPr>
          <w:szCs w:val="22"/>
        </w:rPr>
        <w:t>Therefore the emission factor for CFLs would be:</w:t>
      </w:r>
    </w:p>
    <w:p w:rsidR="00442228" w:rsidRPr="00442228" w:rsidRDefault="0026657B" w:rsidP="005F4B20">
      <w:pPr>
        <w:jc w:val="center"/>
        <w:rPr>
          <w:szCs w:val="22"/>
        </w:rPr>
      </w:pPr>
      <w:r>
        <w:rPr>
          <w:szCs w:val="22"/>
        </w:rPr>
        <w:t>2.63</w:t>
      </w:r>
      <w:r w:rsidR="005F4B20">
        <w:rPr>
          <w:szCs w:val="22"/>
        </w:rPr>
        <w:t xml:space="preserve"> mg per CFL × 1</w:t>
      </w:r>
      <w:r w:rsidR="0094135A">
        <w:rPr>
          <w:szCs w:val="22"/>
        </w:rPr>
        <w:t>0</w:t>
      </w:r>
      <w:r w:rsidR="005F4B20">
        <w:rPr>
          <w:szCs w:val="22"/>
        </w:rPr>
        <w:t xml:space="preserve">% = </w:t>
      </w:r>
      <w:r>
        <w:rPr>
          <w:szCs w:val="22"/>
        </w:rPr>
        <w:t>0.2</w:t>
      </w:r>
      <w:r w:rsidR="0094135A">
        <w:rPr>
          <w:szCs w:val="22"/>
        </w:rPr>
        <w:t>6</w:t>
      </w:r>
      <w:r>
        <w:rPr>
          <w:szCs w:val="22"/>
        </w:rPr>
        <w:t>3</w:t>
      </w:r>
      <w:r w:rsidR="005F4B20">
        <w:rPr>
          <w:szCs w:val="22"/>
        </w:rPr>
        <w:t xml:space="preserve"> mg of emissions per CFL</w:t>
      </w:r>
    </w:p>
    <w:p w:rsidR="00CB0CDC" w:rsidRDefault="00CB0CDC" w:rsidP="005F4B20">
      <w:pPr>
        <w:rPr>
          <w:szCs w:val="22"/>
        </w:rPr>
      </w:pPr>
    </w:p>
    <w:p w:rsidR="005F4B20" w:rsidRDefault="005F4B20" w:rsidP="005F4B20">
      <w:pPr>
        <w:rPr>
          <w:szCs w:val="22"/>
        </w:rPr>
      </w:pPr>
      <w:r>
        <w:rPr>
          <w:szCs w:val="22"/>
        </w:rPr>
        <w:t>The emission factor for linear bulbs would be:</w:t>
      </w:r>
    </w:p>
    <w:p w:rsidR="00442228" w:rsidRDefault="00AB1530" w:rsidP="00442228">
      <w:pPr>
        <w:jc w:val="center"/>
        <w:rPr>
          <w:szCs w:val="22"/>
        </w:rPr>
      </w:pPr>
      <w:r>
        <w:rPr>
          <w:szCs w:val="22"/>
        </w:rPr>
        <w:t xml:space="preserve">10.15 </w:t>
      </w:r>
      <w:r w:rsidR="005F4B20">
        <w:rPr>
          <w:szCs w:val="22"/>
        </w:rPr>
        <w:t>mg per linear bulb ×1</w:t>
      </w:r>
      <w:r w:rsidR="0094135A">
        <w:rPr>
          <w:szCs w:val="22"/>
        </w:rPr>
        <w:t>0</w:t>
      </w:r>
      <w:r w:rsidR="00C649D9">
        <w:rPr>
          <w:szCs w:val="22"/>
        </w:rPr>
        <w:t>% = 1.</w:t>
      </w:r>
      <w:r>
        <w:rPr>
          <w:szCs w:val="22"/>
        </w:rPr>
        <w:t>015</w:t>
      </w:r>
      <w:r w:rsidR="005F4B20">
        <w:rPr>
          <w:szCs w:val="22"/>
        </w:rPr>
        <w:t xml:space="preserve"> mg per linear bulb</w:t>
      </w:r>
    </w:p>
    <w:p w:rsidR="0026580C" w:rsidRDefault="0026580C" w:rsidP="0026580C">
      <w:pPr>
        <w:rPr>
          <w:szCs w:val="22"/>
        </w:rPr>
      </w:pPr>
      <w:r>
        <w:rPr>
          <w:szCs w:val="22"/>
        </w:rPr>
        <w:t>The emission factor for HID bulbs would be:</w:t>
      </w:r>
    </w:p>
    <w:p w:rsidR="0026580C" w:rsidRDefault="0026580C" w:rsidP="0026580C">
      <w:pPr>
        <w:jc w:val="center"/>
        <w:rPr>
          <w:szCs w:val="22"/>
        </w:rPr>
      </w:pPr>
      <w:r>
        <w:rPr>
          <w:szCs w:val="22"/>
        </w:rPr>
        <w:t>17 mg per HID bulb × 10% = 1.7 mg per HID bulb</w:t>
      </w:r>
    </w:p>
    <w:p w:rsidR="00553E81" w:rsidRDefault="00553E81" w:rsidP="00553E81">
      <w:pPr>
        <w:pStyle w:val="Heading2"/>
      </w:pPr>
      <w:r>
        <w:t>Example Calculation</w:t>
      </w:r>
    </w:p>
    <w:p w:rsidR="00553E81" w:rsidRDefault="005F4B20" w:rsidP="00553E81">
      <w:pPr>
        <w:rPr>
          <w:szCs w:val="22"/>
        </w:rPr>
      </w:pPr>
      <w:r>
        <w:rPr>
          <w:szCs w:val="22"/>
        </w:rPr>
        <w:t>Emissions from CFLs:</w:t>
      </w:r>
    </w:p>
    <w:p w:rsidR="005F4B20" w:rsidRDefault="00640F1B" w:rsidP="00E80576">
      <w:pPr>
        <w:jc w:val="center"/>
        <w:rPr>
          <w:rFonts w:cs="Arial"/>
        </w:rPr>
      </w:pPr>
      <w:r>
        <w:rPr>
          <w:szCs w:val="22"/>
        </w:rPr>
        <w:t>547</w:t>
      </w:r>
      <w:r w:rsidR="005F4B20">
        <w:rPr>
          <w:szCs w:val="22"/>
        </w:rPr>
        <w:t xml:space="preserve"> million discarded bulbs × </w:t>
      </w:r>
      <w:r w:rsidR="00C649D9">
        <w:rPr>
          <w:szCs w:val="22"/>
        </w:rPr>
        <w:t>50.1</w:t>
      </w:r>
      <w:r w:rsidR="005F4B20">
        <w:rPr>
          <w:szCs w:val="22"/>
        </w:rPr>
        <w:t>% CFLs ×</w:t>
      </w:r>
      <w:r w:rsidR="0026657B">
        <w:rPr>
          <w:szCs w:val="22"/>
        </w:rPr>
        <w:t xml:space="preserve"> 0.2</w:t>
      </w:r>
      <w:r w:rsidR="0094135A">
        <w:rPr>
          <w:szCs w:val="22"/>
        </w:rPr>
        <w:t>63</w:t>
      </w:r>
      <w:r w:rsidR="005F4B20">
        <w:rPr>
          <w:szCs w:val="22"/>
        </w:rPr>
        <w:t xml:space="preserve"> mg per CFL</w:t>
      </w:r>
    </w:p>
    <w:p w:rsidR="005F4B20" w:rsidRDefault="005F4B20" w:rsidP="00E80576">
      <w:pPr>
        <w:jc w:val="center"/>
        <w:rPr>
          <w:rFonts w:cs="Arial"/>
        </w:rPr>
      </w:pPr>
      <w:r>
        <w:rPr>
          <w:rFonts w:cs="Arial"/>
        </w:rPr>
        <w:t xml:space="preserve">=  </w:t>
      </w:r>
      <w:r w:rsidR="00640F1B">
        <w:rPr>
          <w:rFonts w:cs="Arial"/>
        </w:rPr>
        <w:t>72.07</w:t>
      </w:r>
      <w:r w:rsidR="00C649D9">
        <w:rPr>
          <w:rFonts w:cs="Arial"/>
        </w:rPr>
        <w:t xml:space="preserve"> million mg </w:t>
      </w:r>
      <w:r>
        <w:rPr>
          <w:rFonts w:cs="Arial"/>
        </w:rPr>
        <w:t>mercury emissions from CFLs</w:t>
      </w:r>
    </w:p>
    <w:p w:rsidR="005F4B20" w:rsidRDefault="005F4B20" w:rsidP="00553E81">
      <w:pPr>
        <w:rPr>
          <w:rFonts w:cs="Arial"/>
        </w:rPr>
      </w:pPr>
      <w:r>
        <w:rPr>
          <w:rFonts w:cs="Arial"/>
        </w:rPr>
        <w:t>Emissions from linear bulbs:</w:t>
      </w:r>
    </w:p>
    <w:p w:rsidR="005F4B20" w:rsidRDefault="00640F1B" w:rsidP="00E80576">
      <w:pPr>
        <w:jc w:val="center"/>
        <w:rPr>
          <w:rFonts w:cs="Arial"/>
        </w:rPr>
      </w:pPr>
      <w:r>
        <w:rPr>
          <w:szCs w:val="22"/>
        </w:rPr>
        <w:t>547</w:t>
      </w:r>
      <w:r w:rsidR="005F4B20">
        <w:rPr>
          <w:szCs w:val="22"/>
        </w:rPr>
        <w:t xml:space="preserve"> million discarded bulbs × </w:t>
      </w:r>
      <w:r w:rsidR="00C649D9">
        <w:rPr>
          <w:szCs w:val="22"/>
        </w:rPr>
        <w:t>45.9</w:t>
      </w:r>
      <w:r w:rsidR="005F4B20">
        <w:rPr>
          <w:szCs w:val="22"/>
        </w:rPr>
        <w:t>% linear bulbs × 1.</w:t>
      </w:r>
      <w:r w:rsidR="00AB1530">
        <w:rPr>
          <w:szCs w:val="22"/>
        </w:rPr>
        <w:t>015</w:t>
      </w:r>
      <w:r w:rsidR="005F4B20">
        <w:rPr>
          <w:szCs w:val="22"/>
        </w:rPr>
        <w:t xml:space="preserve"> mg per bulb</w:t>
      </w:r>
    </w:p>
    <w:p w:rsidR="005F4B20" w:rsidRDefault="005F4B20" w:rsidP="00E80576">
      <w:pPr>
        <w:jc w:val="center"/>
        <w:rPr>
          <w:rFonts w:cs="Arial"/>
        </w:rPr>
      </w:pPr>
      <w:r>
        <w:rPr>
          <w:rFonts w:cs="Arial"/>
        </w:rPr>
        <w:t xml:space="preserve">= </w:t>
      </w:r>
      <w:r w:rsidR="00640F1B">
        <w:rPr>
          <w:rFonts w:cs="Arial"/>
        </w:rPr>
        <w:t>254.84</w:t>
      </w:r>
      <w:r w:rsidR="00C649D9">
        <w:rPr>
          <w:rFonts w:cs="Arial"/>
        </w:rPr>
        <w:t xml:space="preserve"> million mg </w:t>
      </w:r>
      <w:r>
        <w:rPr>
          <w:rFonts w:cs="Arial"/>
        </w:rPr>
        <w:t>mercury emissions from linear bulbs</w:t>
      </w:r>
    </w:p>
    <w:p w:rsidR="00C649D9" w:rsidRDefault="00C649D9" w:rsidP="005F4B20">
      <w:pPr>
        <w:rPr>
          <w:rFonts w:cs="Arial"/>
        </w:rPr>
      </w:pPr>
      <w:r>
        <w:rPr>
          <w:rFonts w:cs="Arial"/>
        </w:rPr>
        <w:t>Emissions from HID bulbs:</w:t>
      </w:r>
    </w:p>
    <w:p w:rsidR="00C649D9" w:rsidRDefault="00640F1B" w:rsidP="00E80576">
      <w:pPr>
        <w:jc w:val="center"/>
        <w:rPr>
          <w:rFonts w:cs="Arial"/>
        </w:rPr>
      </w:pPr>
      <w:r>
        <w:rPr>
          <w:rFonts w:cs="Arial"/>
        </w:rPr>
        <w:t>547</w:t>
      </w:r>
      <w:r w:rsidR="00C649D9">
        <w:rPr>
          <w:rFonts w:cs="Arial"/>
        </w:rPr>
        <w:t xml:space="preserve"> million discarded bulbs </w:t>
      </w:r>
      <w:r w:rsidR="00C649D9">
        <w:t>×</w:t>
      </w:r>
      <w:r w:rsidR="00C649D9">
        <w:rPr>
          <w:rFonts w:cs="Arial"/>
        </w:rPr>
        <w:t xml:space="preserve"> 4% HID bulbs </w:t>
      </w:r>
      <w:r w:rsidR="00C649D9">
        <w:t>×</w:t>
      </w:r>
      <w:r w:rsidR="00C649D9">
        <w:rPr>
          <w:rFonts w:cs="Arial"/>
        </w:rPr>
        <w:t xml:space="preserve"> 1.7 mg per bulb</w:t>
      </w:r>
    </w:p>
    <w:p w:rsidR="00C649D9" w:rsidRDefault="00C649D9" w:rsidP="00E80576">
      <w:pPr>
        <w:ind w:firstLine="720"/>
        <w:jc w:val="center"/>
        <w:rPr>
          <w:rFonts w:cs="Arial"/>
        </w:rPr>
      </w:pPr>
      <w:r>
        <w:rPr>
          <w:rFonts w:cs="Arial"/>
        </w:rPr>
        <w:lastRenderedPageBreak/>
        <w:t xml:space="preserve">= </w:t>
      </w:r>
      <w:r w:rsidR="00640F1B">
        <w:rPr>
          <w:rFonts w:cs="Arial"/>
        </w:rPr>
        <w:t>37.20</w:t>
      </w:r>
      <w:r>
        <w:rPr>
          <w:rFonts w:cs="Arial"/>
        </w:rPr>
        <w:t xml:space="preserve"> million mg mercury emissions from HID bulbs</w:t>
      </w:r>
    </w:p>
    <w:p w:rsidR="005F4B20" w:rsidRDefault="005F4B20" w:rsidP="005F4B20">
      <w:pPr>
        <w:rPr>
          <w:rFonts w:cs="Arial"/>
        </w:rPr>
      </w:pPr>
      <w:r>
        <w:rPr>
          <w:rFonts w:cs="Arial"/>
        </w:rPr>
        <w:t>Total mercury emission from</w:t>
      </w:r>
      <w:r w:rsidR="00334019">
        <w:rPr>
          <w:rFonts w:cs="Arial"/>
        </w:rPr>
        <w:t xml:space="preserve"> breakage of mercury-containing bulbs</w:t>
      </w:r>
      <w:r>
        <w:rPr>
          <w:rFonts w:cs="Arial"/>
        </w:rPr>
        <w:t>:</w:t>
      </w:r>
    </w:p>
    <w:p w:rsidR="00C649D9" w:rsidRDefault="00640F1B" w:rsidP="00C649D9">
      <w:pPr>
        <w:jc w:val="center"/>
        <w:rPr>
          <w:rFonts w:cs="Arial"/>
        </w:rPr>
      </w:pPr>
      <w:r>
        <w:rPr>
          <w:rFonts w:cs="Arial"/>
        </w:rPr>
        <w:t>72.1</w:t>
      </w:r>
      <w:r w:rsidR="00AB1530">
        <w:rPr>
          <w:rFonts w:cs="Arial"/>
        </w:rPr>
        <w:t xml:space="preserve"> million mg + </w:t>
      </w:r>
      <w:r>
        <w:rPr>
          <w:rFonts w:cs="Arial"/>
        </w:rPr>
        <w:t>254.8</w:t>
      </w:r>
      <w:r w:rsidR="00C649D9">
        <w:rPr>
          <w:rFonts w:cs="Arial"/>
        </w:rPr>
        <w:t xml:space="preserve"> million mg + </w:t>
      </w:r>
      <w:r>
        <w:rPr>
          <w:rFonts w:cs="Arial"/>
        </w:rPr>
        <w:t>37.2</w:t>
      </w:r>
      <w:r w:rsidR="00C649D9">
        <w:rPr>
          <w:rFonts w:cs="Arial"/>
        </w:rPr>
        <w:t xml:space="preserve"> million mg = </w:t>
      </w:r>
      <w:r>
        <w:rPr>
          <w:rFonts w:cs="Arial"/>
        </w:rPr>
        <w:t>364.1</w:t>
      </w:r>
      <w:r w:rsidR="00C649D9">
        <w:rPr>
          <w:rFonts w:cs="Arial"/>
        </w:rPr>
        <w:t xml:space="preserve"> million mg</w:t>
      </w:r>
    </w:p>
    <w:p w:rsidR="00C649D9" w:rsidRDefault="00AB1530" w:rsidP="00C649D9">
      <w:pPr>
        <w:jc w:val="center"/>
        <w:rPr>
          <w:rFonts w:cs="Arial"/>
        </w:rPr>
      </w:pPr>
      <w:r>
        <w:rPr>
          <w:rFonts w:cs="Arial"/>
        </w:rPr>
        <w:t xml:space="preserve">= </w:t>
      </w:r>
      <w:r w:rsidR="00640F1B">
        <w:rPr>
          <w:rFonts w:cs="Arial"/>
        </w:rPr>
        <w:t>364.1</w:t>
      </w:r>
      <w:r w:rsidR="00C649D9">
        <w:rPr>
          <w:rFonts w:cs="Arial"/>
        </w:rPr>
        <w:t xml:space="preserve"> kg</w:t>
      </w:r>
    </w:p>
    <w:p w:rsidR="00C649D9" w:rsidRDefault="00C649D9" w:rsidP="00C649D9">
      <w:pPr>
        <w:jc w:val="center"/>
        <w:rPr>
          <w:rFonts w:cs="Arial"/>
        </w:rPr>
      </w:pPr>
      <w:r>
        <w:rPr>
          <w:rFonts w:cs="Arial"/>
        </w:rPr>
        <w:t xml:space="preserve">= </w:t>
      </w:r>
      <w:r w:rsidR="00640F1B">
        <w:rPr>
          <w:rFonts w:cs="Arial"/>
        </w:rPr>
        <w:t>802.7 lbs.</w:t>
      </w:r>
      <w:r>
        <w:rPr>
          <w:rFonts w:cs="Arial"/>
        </w:rPr>
        <w:t xml:space="preserve"> mercury emissions</w:t>
      </w:r>
    </w:p>
    <w:p w:rsidR="00334019" w:rsidRDefault="00E80576" w:rsidP="00E80576">
      <w:pPr>
        <w:rPr>
          <w:rFonts w:cs="Arial"/>
        </w:rPr>
      </w:pPr>
      <w:r>
        <w:rPr>
          <w:rFonts w:cs="Arial"/>
        </w:rPr>
        <w:t xml:space="preserve">Weston County, WY was estimated to have 7,102 people in 2011, or 0.0023% of the national population. The emissions for Weston County </w:t>
      </w:r>
      <w:r w:rsidR="00D23BA4">
        <w:rPr>
          <w:rFonts w:cs="Arial"/>
        </w:rPr>
        <w:t>a</w:t>
      </w:r>
      <w:r>
        <w:rPr>
          <w:rFonts w:cs="Arial"/>
        </w:rPr>
        <w:t>re estimated as follows:</w:t>
      </w:r>
    </w:p>
    <w:p w:rsidR="00E80576" w:rsidRDefault="00E80576" w:rsidP="00F36E6C">
      <w:pPr>
        <w:jc w:val="center"/>
        <w:rPr>
          <w:rFonts w:cs="Arial"/>
        </w:rPr>
      </w:pPr>
      <w:r>
        <w:rPr>
          <w:rFonts w:cs="Arial"/>
        </w:rPr>
        <w:t xml:space="preserve">802.7 lbs. national Hg emissions </w:t>
      </w:r>
      <w:r>
        <w:rPr>
          <w:szCs w:val="22"/>
        </w:rPr>
        <w:t>× 0.0023% of national population = 0.018 lbs</w:t>
      </w:r>
      <w:r w:rsidR="00F36E6C">
        <w:rPr>
          <w:szCs w:val="22"/>
        </w:rPr>
        <w:t>. Hg emissions</w:t>
      </w:r>
    </w:p>
    <w:p w:rsidR="00BD4F71" w:rsidRDefault="00BD4F71">
      <w:pPr>
        <w:spacing w:line="276" w:lineRule="auto"/>
      </w:pPr>
      <w:r>
        <w:br w:type="page"/>
      </w:r>
    </w:p>
    <w:p w:rsidR="00ED1ED6" w:rsidRDefault="00ED1ED6" w:rsidP="00ED1ED6">
      <w:pPr>
        <w:pStyle w:val="Heading1"/>
      </w:pPr>
      <w:r w:rsidRPr="00F4606B">
        <w:lastRenderedPageBreak/>
        <w:t xml:space="preserve">Dental </w:t>
      </w:r>
      <w:r>
        <w:t>Amalgam</w:t>
      </w:r>
    </w:p>
    <w:p w:rsidR="00ED1ED6" w:rsidRDefault="00ED1ED6" w:rsidP="00ED1ED6">
      <w:r>
        <w:t>Dental amalgam is used to fill cavities in teeth, and it is composed of approximately 45% mercury</w:t>
      </w:r>
      <w:r w:rsidR="004E4FFC">
        <w:t xml:space="preserve"> (Lundquist 2012)</w:t>
      </w:r>
      <w:r>
        <w:t>. The use of mercury in dental amalgam is declining, however, due to the increased popularity of composite fillings for teeth</w:t>
      </w:r>
      <w:r w:rsidR="004E4FFC">
        <w:t xml:space="preserve"> (</w:t>
      </w:r>
      <w:proofErr w:type="spellStart"/>
      <w:r w:rsidR="004E4FFC">
        <w:t>Vandeven</w:t>
      </w:r>
      <w:proofErr w:type="spellEnd"/>
      <w:r w:rsidR="004E4FFC">
        <w:t xml:space="preserve"> 2005)</w:t>
      </w:r>
      <w:r>
        <w:t>. Nevertheless, there is still a small amount of mercury emissions from dental amalgam in restored teeth. There are two potential sources of mercury emissions from dental amalgam: emissions from the preparation of amalgam in dental offices and a small amount of emissions directly from restored teeth.</w:t>
      </w:r>
    </w:p>
    <w:p w:rsidR="00ED1ED6" w:rsidRDefault="00ED1ED6" w:rsidP="00ED1ED6">
      <w:pPr>
        <w:pStyle w:val="Heading2"/>
      </w:pPr>
      <w:r>
        <w:t>Activity Data</w:t>
      </w:r>
    </w:p>
    <w:p w:rsidR="00ED1ED6" w:rsidRDefault="004345C0" w:rsidP="00ED1ED6">
      <w:r>
        <w:t>T</w:t>
      </w:r>
      <w:r w:rsidR="00ED1ED6">
        <w:t>he amount of amalgam prepared in dental offices</w:t>
      </w:r>
      <w:r>
        <w:t xml:space="preserve"> was estimated using</w:t>
      </w:r>
      <w:r w:rsidR="00ED1ED6">
        <w:t xml:space="preserve"> NEWMOA’s IMERC database, which estimates that 13.5 tons (27,000 lbs.) of mercury in dental amalgam were used in 2011. </w:t>
      </w:r>
    </w:p>
    <w:p w:rsidR="00ED1ED6" w:rsidRDefault="004345C0" w:rsidP="00ED1ED6">
      <w:r>
        <w:t>T</w:t>
      </w:r>
      <w:r w:rsidR="00ED1ED6">
        <w:t xml:space="preserve">he amount of mercury </w:t>
      </w:r>
      <w:r>
        <w:t xml:space="preserve">emissions from </w:t>
      </w:r>
      <w:r w:rsidR="00ED1ED6">
        <w:t>restored teeth</w:t>
      </w:r>
      <w:r>
        <w:t xml:space="preserve"> was estimated using </w:t>
      </w:r>
      <w:r w:rsidR="00ED1ED6">
        <w:t>data from the National Institutes of Health’s National Institute of Dental and Craniofacial Research</w:t>
      </w:r>
      <w:r w:rsidR="00707BF2">
        <w:t xml:space="preserve"> (2013)</w:t>
      </w:r>
      <w:r w:rsidR="00ED1ED6">
        <w:t>, which provides estimates of the average number of filled teeth per person in three different age brackets: 20-34 years, 35-49 years, and 50-64 years.</w:t>
      </w:r>
      <w:r w:rsidR="00507324">
        <w:t xml:space="preserve"> </w:t>
      </w:r>
      <w:r w:rsidR="00D23BA4">
        <w:t>The n</w:t>
      </w:r>
      <w:r w:rsidR="00507324">
        <w:t>umber of filled teeth for other age groups w</w:t>
      </w:r>
      <w:r w:rsidR="00D23BA4">
        <w:t>as</w:t>
      </w:r>
      <w:r w:rsidR="00507324">
        <w:t xml:space="preserve"> estimated using the CDC National Health and Nutrition Examination Survey (NHANES). </w:t>
      </w:r>
      <w:r w:rsidR="00507324">
        <w:fldChar w:fldCharType="begin"/>
      </w:r>
      <w:r w:rsidR="00507324">
        <w:instrText xml:space="preserve"> REF _Ref387404929 \h </w:instrText>
      </w:r>
      <w:r w:rsidR="00507324">
        <w:fldChar w:fldCharType="separate"/>
      </w:r>
      <w:r w:rsidR="00695F22" w:rsidRPr="007D2DCB">
        <w:rPr>
          <w:sz w:val="20"/>
        </w:rPr>
        <w:t xml:space="preserve">Table </w:t>
      </w:r>
      <w:r w:rsidR="00695F22">
        <w:rPr>
          <w:noProof/>
          <w:sz w:val="20"/>
        </w:rPr>
        <w:t>5</w:t>
      </w:r>
      <w:r w:rsidR="00507324">
        <w:fldChar w:fldCharType="end"/>
      </w:r>
      <w:r w:rsidR="00507324">
        <w:t xml:space="preserve"> lists the average number of filled teeth per person by age group.</w:t>
      </w:r>
    </w:p>
    <w:p w:rsidR="004345C0" w:rsidRPr="007D2DCB" w:rsidRDefault="004345C0" w:rsidP="004345C0">
      <w:pPr>
        <w:pStyle w:val="Caption"/>
        <w:keepNext/>
        <w:jc w:val="center"/>
        <w:rPr>
          <w:b w:val="0"/>
          <w:sz w:val="20"/>
          <w:szCs w:val="20"/>
        </w:rPr>
      </w:pPr>
      <w:bookmarkStart w:id="4" w:name="_Ref387404929"/>
      <w:r w:rsidRPr="007D2DCB">
        <w:rPr>
          <w:sz w:val="20"/>
          <w:szCs w:val="20"/>
        </w:rPr>
        <w:t xml:space="preserve">Table </w:t>
      </w:r>
      <w:r w:rsidRPr="007D2DCB">
        <w:rPr>
          <w:sz w:val="20"/>
          <w:szCs w:val="20"/>
        </w:rPr>
        <w:fldChar w:fldCharType="begin"/>
      </w:r>
      <w:r w:rsidRPr="007D2DCB">
        <w:rPr>
          <w:sz w:val="20"/>
          <w:szCs w:val="20"/>
        </w:rPr>
        <w:instrText xml:space="preserve"> SEQ Table \* ARABIC </w:instrText>
      </w:r>
      <w:r w:rsidRPr="007D2DCB">
        <w:rPr>
          <w:sz w:val="20"/>
          <w:szCs w:val="20"/>
        </w:rPr>
        <w:fldChar w:fldCharType="separate"/>
      </w:r>
      <w:r w:rsidR="00695F22">
        <w:rPr>
          <w:noProof/>
          <w:sz w:val="20"/>
          <w:szCs w:val="20"/>
        </w:rPr>
        <w:t>5</w:t>
      </w:r>
      <w:r w:rsidRPr="007D2DCB">
        <w:rPr>
          <w:sz w:val="20"/>
          <w:szCs w:val="20"/>
        </w:rPr>
        <w:fldChar w:fldCharType="end"/>
      </w:r>
      <w:bookmarkEnd w:id="4"/>
      <w:r w:rsidRPr="007D2DCB">
        <w:rPr>
          <w:sz w:val="20"/>
          <w:szCs w:val="20"/>
        </w:rPr>
        <w:t xml:space="preserve">. </w:t>
      </w:r>
      <w:r w:rsidRPr="007D2DCB">
        <w:rPr>
          <w:b w:val="0"/>
          <w:sz w:val="20"/>
          <w:szCs w:val="20"/>
        </w:rPr>
        <w:t xml:space="preserve">Average number of filled teeth per person </w:t>
      </w:r>
      <w:r w:rsidR="00822572" w:rsidRPr="007D2DCB">
        <w:rPr>
          <w:b w:val="0"/>
          <w:sz w:val="20"/>
          <w:szCs w:val="20"/>
        </w:rPr>
        <w:t xml:space="preserve">and percentage of fillings containing mercury </w:t>
      </w:r>
      <w:r w:rsidRPr="007D2DCB">
        <w:rPr>
          <w:b w:val="0"/>
          <w:sz w:val="20"/>
          <w:szCs w:val="20"/>
        </w:rPr>
        <w:t>by age group.</w:t>
      </w:r>
    </w:p>
    <w:tbl>
      <w:tblPr>
        <w:tblW w:w="5248" w:type="dxa"/>
        <w:jc w:val="center"/>
        <w:tblLook w:val="04A0" w:firstRow="1" w:lastRow="0" w:firstColumn="1" w:lastColumn="0" w:noHBand="0" w:noVBand="1"/>
        <w:tblCaption w:val="Table 5. Average number of filled teeth per person and percentage of fillings containing mercury by age group."/>
        <w:tblDescription w:val="Age Group; Average Number of Filled Teeth Per Person; Percentage of Fillings Containing Mercury"/>
      </w:tblPr>
      <w:tblGrid>
        <w:gridCol w:w="1360"/>
        <w:gridCol w:w="1872"/>
        <w:gridCol w:w="2016"/>
      </w:tblGrid>
      <w:tr w:rsidR="00507324" w:rsidRPr="004345C0" w:rsidTr="00ED2449">
        <w:trPr>
          <w:trHeight w:val="300"/>
          <w:jc w:val="center"/>
        </w:trPr>
        <w:tc>
          <w:tcPr>
            <w:tcW w:w="1360" w:type="dxa"/>
            <w:tcBorders>
              <w:top w:val="single" w:sz="4" w:space="0" w:color="auto"/>
              <w:left w:val="single" w:sz="4" w:space="0" w:color="auto"/>
              <w:bottom w:val="single" w:sz="4" w:space="0" w:color="auto"/>
              <w:right w:val="single" w:sz="4" w:space="0" w:color="auto"/>
            </w:tcBorders>
            <w:shd w:val="clear" w:color="auto" w:fill="D6291C"/>
            <w:vAlign w:val="bottom"/>
          </w:tcPr>
          <w:p w:rsidR="00507324" w:rsidRPr="004345C0" w:rsidRDefault="00507324" w:rsidP="004345C0">
            <w:pPr>
              <w:spacing w:after="0" w:line="240" w:lineRule="auto"/>
              <w:rPr>
                <w:rFonts w:ascii="Arial" w:hAnsi="Arial" w:cs="Arial"/>
                <w:b/>
                <w:color w:val="FFFFFF" w:themeColor="background1"/>
                <w:sz w:val="20"/>
              </w:rPr>
            </w:pPr>
            <w:r w:rsidRPr="004345C0">
              <w:rPr>
                <w:rFonts w:ascii="Arial" w:hAnsi="Arial" w:cs="Arial"/>
                <w:b/>
                <w:color w:val="FFFFFF" w:themeColor="background1"/>
                <w:sz w:val="20"/>
              </w:rPr>
              <w:t>Age Group</w:t>
            </w:r>
          </w:p>
        </w:tc>
        <w:tc>
          <w:tcPr>
            <w:tcW w:w="1872" w:type="dxa"/>
            <w:tcBorders>
              <w:top w:val="single" w:sz="4" w:space="0" w:color="auto"/>
              <w:left w:val="single" w:sz="4" w:space="0" w:color="auto"/>
              <w:bottom w:val="single" w:sz="4" w:space="0" w:color="auto"/>
              <w:right w:val="single" w:sz="4" w:space="0" w:color="auto"/>
            </w:tcBorders>
            <w:shd w:val="clear" w:color="auto" w:fill="D6291C"/>
            <w:noWrap/>
            <w:vAlign w:val="bottom"/>
          </w:tcPr>
          <w:p w:rsidR="00507324" w:rsidRPr="004345C0" w:rsidRDefault="00507324" w:rsidP="004345C0">
            <w:pPr>
              <w:spacing w:after="0" w:line="240" w:lineRule="auto"/>
              <w:jc w:val="center"/>
              <w:rPr>
                <w:rFonts w:ascii="Arial" w:hAnsi="Arial" w:cs="Arial"/>
                <w:b/>
                <w:color w:val="FFFFFF" w:themeColor="background1"/>
                <w:sz w:val="20"/>
              </w:rPr>
            </w:pPr>
            <w:r w:rsidRPr="004345C0">
              <w:rPr>
                <w:rFonts w:ascii="Arial" w:hAnsi="Arial" w:cs="Arial"/>
                <w:b/>
                <w:color w:val="FFFFFF" w:themeColor="background1"/>
                <w:sz w:val="20"/>
              </w:rPr>
              <w:t>Average Number of Filled Teeth Per Person</w:t>
            </w:r>
          </w:p>
        </w:tc>
        <w:tc>
          <w:tcPr>
            <w:tcW w:w="2016" w:type="dxa"/>
            <w:tcBorders>
              <w:top w:val="single" w:sz="4" w:space="0" w:color="auto"/>
              <w:left w:val="single" w:sz="4" w:space="0" w:color="auto"/>
              <w:bottom w:val="single" w:sz="4" w:space="0" w:color="auto"/>
              <w:right w:val="single" w:sz="4" w:space="0" w:color="auto"/>
            </w:tcBorders>
            <w:shd w:val="clear" w:color="auto" w:fill="D6291C"/>
          </w:tcPr>
          <w:p w:rsidR="00507324" w:rsidRPr="004345C0" w:rsidRDefault="00507324" w:rsidP="00507324">
            <w:pPr>
              <w:spacing w:after="0" w:line="240" w:lineRule="auto"/>
              <w:jc w:val="center"/>
              <w:rPr>
                <w:rFonts w:ascii="Arial" w:hAnsi="Arial" w:cs="Arial"/>
                <w:b/>
                <w:color w:val="FFFFFF" w:themeColor="background1"/>
                <w:sz w:val="20"/>
              </w:rPr>
            </w:pPr>
            <w:r>
              <w:rPr>
                <w:rFonts w:ascii="Arial" w:hAnsi="Arial" w:cs="Arial"/>
                <w:b/>
                <w:color w:val="FFFFFF" w:themeColor="background1"/>
                <w:sz w:val="20"/>
              </w:rPr>
              <w:t>Percentage of Fillings Containing Mercury</w:t>
            </w:r>
          </w:p>
        </w:tc>
      </w:tr>
      <w:tr w:rsidR="00507324" w:rsidRPr="004345C0" w:rsidTr="00ED2449">
        <w:trPr>
          <w:trHeight w:val="317"/>
          <w:jc w:val="center"/>
        </w:trPr>
        <w:tc>
          <w:tcPr>
            <w:tcW w:w="1360" w:type="dxa"/>
            <w:tcBorders>
              <w:top w:val="single" w:sz="4" w:space="0" w:color="auto"/>
              <w:left w:val="single" w:sz="4" w:space="0" w:color="auto"/>
              <w:bottom w:val="single" w:sz="4" w:space="0" w:color="auto"/>
              <w:right w:val="single" w:sz="4" w:space="0" w:color="auto"/>
            </w:tcBorders>
            <w:vAlign w:val="bottom"/>
          </w:tcPr>
          <w:p w:rsidR="00507324" w:rsidRPr="004345C0" w:rsidRDefault="00507324" w:rsidP="00D94E67">
            <w:pPr>
              <w:spacing w:after="0" w:line="240" w:lineRule="auto"/>
              <w:rPr>
                <w:rFonts w:ascii="Arial" w:hAnsi="Arial" w:cs="Arial"/>
                <w:color w:val="000000"/>
                <w:sz w:val="20"/>
              </w:rPr>
            </w:pPr>
            <w:r w:rsidRPr="004345C0">
              <w:rPr>
                <w:rFonts w:ascii="Arial" w:hAnsi="Arial" w:cs="Arial"/>
                <w:color w:val="000000"/>
                <w:sz w:val="20"/>
              </w:rPr>
              <w:t xml:space="preserve"> 0-5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7324" w:rsidRPr="004345C0" w:rsidRDefault="00507324" w:rsidP="004345C0">
            <w:pPr>
              <w:spacing w:after="0" w:line="240" w:lineRule="auto"/>
              <w:jc w:val="center"/>
              <w:rPr>
                <w:rFonts w:ascii="Arial" w:hAnsi="Arial" w:cs="Arial"/>
                <w:sz w:val="20"/>
              </w:rPr>
            </w:pPr>
            <w:r w:rsidRPr="004345C0">
              <w:rPr>
                <w:rFonts w:ascii="Arial" w:hAnsi="Arial" w:cs="Arial"/>
                <w:sz w:val="20"/>
              </w:rPr>
              <w:t>0.44</w:t>
            </w:r>
          </w:p>
        </w:tc>
        <w:tc>
          <w:tcPr>
            <w:tcW w:w="2016" w:type="dxa"/>
            <w:tcBorders>
              <w:top w:val="single" w:sz="4" w:space="0" w:color="auto"/>
              <w:left w:val="single" w:sz="4" w:space="0" w:color="auto"/>
              <w:bottom w:val="single" w:sz="4" w:space="0" w:color="auto"/>
              <w:right w:val="single" w:sz="4" w:space="0" w:color="auto"/>
            </w:tcBorders>
            <w:vAlign w:val="bottom"/>
          </w:tcPr>
          <w:p w:rsidR="00507324" w:rsidRPr="004345C0" w:rsidRDefault="00507324" w:rsidP="004F1A9C">
            <w:pPr>
              <w:spacing w:after="0" w:line="240" w:lineRule="auto"/>
              <w:jc w:val="center"/>
              <w:rPr>
                <w:rFonts w:ascii="Arial" w:hAnsi="Arial" w:cs="Arial"/>
                <w:sz w:val="20"/>
              </w:rPr>
            </w:pPr>
            <w:r>
              <w:rPr>
                <w:rFonts w:ascii="Arial" w:hAnsi="Arial" w:cs="Arial"/>
                <w:sz w:val="20"/>
              </w:rPr>
              <w:t>31.6%</w:t>
            </w:r>
          </w:p>
        </w:tc>
      </w:tr>
      <w:tr w:rsidR="00507324" w:rsidRPr="004345C0" w:rsidTr="00ED2449">
        <w:trPr>
          <w:trHeight w:val="317"/>
          <w:jc w:val="center"/>
        </w:trPr>
        <w:tc>
          <w:tcPr>
            <w:tcW w:w="1360" w:type="dxa"/>
            <w:tcBorders>
              <w:top w:val="nil"/>
              <w:left w:val="single" w:sz="4" w:space="0" w:color="auto"/>
              <w:bottom w:val="single" w:sz="4" w:space="0" w:color="auto"/>
              <w:right w:val="single" w:sz="4" w:space="0" w:color="auto"/>
            </w:tcBorders>
            <w:vAlign w:val="bottom"/>
          </w:tcPr>
          <w:p w:rsidR="00507324" w:rsidRPr="004345C0" w:rsidRDefault="00507324" w:rsidP="00D94E67">
            <w:pPr>
              <w:spacing w:after="0" w:line="240" w:lineRule="auto"/>
              <w:rPr>
                <w:rFonts w:ascii="Arial" w:hAnsi="Arial" w:cs="Arial"/>
                <w:color w:val="000000"/>
                <w:sz w:val="20"/>
              </w:rPr>
            </w:pPr>
            <w:r w:rsidRPr="004345C0">
              <w:rPr>
                <w:rFonts w:ascii="Arial" w:hAnsi="Arial" w:cs="Arial"/>
                <w:color w:val="000000"/>
                <w:sz w:val="20"/>
              </w:rPr>
              <w:t xml:space="preserve"> 5-19</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rsidR="00507324" w:rsidRPr="004345C0" w:rsidRDefault="00507324" w:rsidP="004345C0">
            <w:pPr>
              <w:spacing w:after="0" w:line="240" w:lineRule="auto"/>
              <w:jc w:val="center"/>
              <w:rPr>
                <w:rFonts w:ascii="Arial" w:hAnsi="Arial" w:cs="Arial"/>
                <w:sz w:val="20"/>
              </w:rPr>
            </w:pPr>
            <w:r w:rsidRPr="004345C0">
              <w:rPr>
                <w:rFonts w:ascii="Arial" w:hAnsi="Arial" w:cs="Arial"/>
                <w:sz w:val="20"/>
              </w:rPr>
              <w:t>1.23</w:t>
            </w:r>
          </w:p>
        </w:tc>
        <w:tc>
          <w:tcPr>
            <w:tcW w:w="2016" w:type="dxa"/>
            <w:tcBorders>
              <w:top w:val="nil"/>
              <w:left w:val="single" w:sz="4" w:space="0" w:color="auto"/>
              <w:bottom w:val="single" w:sz="4" w:space="0" w:color="auto"/>
              <w:right w:val="single" w:sz="4" w:space="0" w:color="auto"/>
            </w:tcBorders>
            <w:vAlign w:val="bottom"/>
          </w:tcPr>
          <w:p w:rsidR="00507324" w:rsidRPr="004345C0" w:rsidRDefault="00507324" w:rsidP="004F1A9C">
            <w:pPr>
              <w:spacing w:after="0" w:line="240" w:lineRule="auto"/>
              <w:jc w:val="center"/>
              <w:rPr>
                <w:rFonts w:ascii="Arial" w:hAnsi="Arial" w:cs="Arial"/>
                <w:sz w:val="20"/>
              </w:rPr>
            </w:pPr>
            <w:r>
              <w:rPr>
                <w:rFonts w:ascii="Arial" w:hAnsi="Arial" w:cs="Arial"/>
                <w:sz w:val="20"/>
              </w:rPr>
              <w:t>31.6%</w:t>
            </w:r>
          </w:p>
        </w:tc>
      </w:tr>
      <w:tr w:rsidR="00507324" w:rsidRPr="004345C0" w:rsidTr="00ED2449">
        <w:trPr>
          <w:trHeight w:val="317"/>
          <w:jc w:val="center"/>
        </w:trPr>
        <w:tc>
          <w:tcPr>
            <w:tcW w:w="1360" w:type="dxa"/>
            <w:tcBorders>
              <w:top w:val="nil"/>
              <w:left w:val="single" w:sz="4" w:space="0" w:color="auto"/>
              <w:bottom w:val="single" w:sz="4" w:space="0" w:color="auto"/>
              <w:right w:val="single" w:sz="4" w:space="0" w:color="auto"/>
            </w:tcBorders>
            <w:vAlign w:val="bottom"/>
          </w:tcPr>
          <w:p w:rsidR="00507324" w:rsidRPr="004345C0" w:rsidRDefault="00507324" w:rsidP="00D94E67">
            <w:pPr>
              <w:spacing w:after="0" w:line="240" w:lineRule="auto"/>
              <w:rPr>
                <w:rFonts w:ascii="Arial" w:hAnsi="Arial" w:cs="Arial"/>
                <w:color w:val="000000"/>
                <w:sz w:val="20"/>
              </w:rPr>
            </w:pPr>
            <w:r w:rsidRPr="004345C0">
              <w:rPr>
                <w:rFonts w:ascii="Arial" w:hAnsi="Arial" w:cs="Arial"/>
                <w:color w:val="000000"/>
                <w:sz w:val="20"/>
              </w:rPr>
              <w:t xml:space="preserve"> 20-34</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rsidR="00507324" w:rsidRPr="004345C0" w:rsidRDefault="00507324" w:rsidP="004345C0">
            <w:pPr>
              <w:spacing w:after="0" w:line="240" w:lineRule="auto"/>
              <w:jc w:val="center"/>
              <w:rPr>
                <w:rFonts w:ascii="Arial" w:hAnsi="Arial" w:cs="Arial"/>
                <w:sz w:val="20"/>
              </w:rPr>
            </w:pPr>
            <w:r w:rsidRPr="004345C0">
              <w:rPr>
                <w:rFonts w:ascii="Arial" w:hAnsi="Arial" w:cs="Arial"/>
                <w:sz w:val="20"/>
              </w:rPr>
              <w:t>4.61</w:t>
            </w:r>
          </w:p>
        </w:tc>
        <w:tc>
          <w:tcPr>
            <w:tcW w:w="2016" w:type="dxa"/>
            <w:tcBorders>
              <w:top w:val="nil"/>
              <w:left w:val="single" w:sz="4" w:space="0" w:color="auto"/>
              <w:bottom w:val="single" w:sz="4" w:space="0" w:color="auto"/>
              <w:right w:val="single" w:sz="4" w:space="0" w:color="auto"/>
            </w:tcBorders>
            <w:vAlign w:val="bottom"/>
          </w:tcPr>
          <w:p w:rsidR="00507324" w:rsidRPr="004345C0" w:rsidRDefault="00507324" w:rsidP="004F1A9C">
            <w:pPr>
              <w:spacing w:after="0" w:line="240" w:lineRule="auto"/>
              <w:jc w:val="center"/>
              <w:rPr>
                <w:rFonts w:ascii="Arial" w:hAnsi="Arial" w:cs="Arial"/>
                <w:sz w:val="20"/>
              </w:rPr>
            </w:pPr>
            <w:r>
              <w:rPr>
                <w:rFonts w:ascii="Arial" w:hAnsi="Arial" w:cs="Arial"/>
                <w:sz w:val="20"/>
              </w:rPr>
              <w:t>50.</w:t>
            </w:r>
            <w:r w:rsidR="004F1A9C">
              <w:rPr>
                <w:rFonts w:ascii="Arial" w:hAnsi="Arial" w:cs="Arial"/>
                <w:sz w:val="20"/>
              </w:rPr>
              <w:t>0%</w:t>
            </w:r>
          </w:p>
        </w:tc>
      </w:tr>
      <w:tr w:rsidR="00507324" w:rsidRPr="004345C0" w:rsidTr="00ED2449">
        <w:trPr>
          <w:trHeight w:val="317"/>
          <w:jc w:val="center"/>
        </w:trPr>
        <w:tc>
          <w:tcPr>
            <w:tcW w:w="1360" w:type="dxa"/>
            <w:tcBorders>
              <w:top w:val="nil"/>
              <w:left w:val="single" w:sz="4" w:space="0" w:color="auto"/>
              <w:bottom w:val="single" w:sz="4" w:space="0" w:color="auto"/>
              <w:right w:val="single" w:sz="4" w:space="0" w:color="auto"/>
            </w:tcBorders>
            <w:vAlign w:val="bottom"/>
          </w:tcPr>
          <w:p w:rsidR="00507324" w:rsidRPr="004345C0" w:rsidRDefault="00507324" w:rsidP="00D94E67">
            <w:pPr>
              <w:spacing w:after="0" w:line="240" w:lineRule="auto"/>
              <w:rPr>
                <w:rFonts w:ascii="Arial" w:hAnsi="Arial" w:cs="Arial"/>
                <w:color w:val="000000"/>
                <w:sz w:val="20"/>
              </w:rPr>
            </w:pPr>
            <w:r w:rsidRPr="004345C0">
              <w:rPr>
                <w:rFonts w:ascii="Arial" w:hAnsi="Arial" w:cs="Arial"/>
                <w:color w:val="000000"/>
                <w:sz w:val="20"/>
              </w:rPr>
              <w:t xml:space="preserve"> 35-49</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rsidR="00507324" w:rsidRPr="004345C0" w:rsidRDefault="00507324" w:rsidP="004345C0">
            <w:pPr>
              <w:spacing w:after="0" w:line="240" w:lineRule="auto"/>
              <w:jc w:val="center"/>
              <w:rPr>
                <w:rFonts w:ascii="Arial" w:hAnsi="Arial" w:cs="Arial"/>
                <w:sz w:val="20"/>
              </w:rPr>
            </w:pPr>
            <w:r w:rsidRPr="004345C0">
              <w:rPr>
                <w:rFonts w:ascii="Arial" w:hAnsi="Arial" w:cs="Arial"/>
                <w:sz w:val="20"/>
              </w:rPr>
              <w:t>7.78</w:t>
            </w:r>
          </w:p>
        </w:tc>
        <w:tc>
          <w:tcPr>
            <w:tcW w:w="2016" w:type="dxa"/>
            <w:tcBorders>
              <w:top w:val="nil"/>
              <w:left w:val="single" w:sz="4" w:space="0" w:color="auto"/>
              <w:bottom w:val="single" w:sz="4" w:space="0" w:color="auto"/>
              <w:right w:val="single" w:sz="4" w:space="0" w:color="auto"/>
            </w:tcBorders>
            <w:vAlign w:val="bottom"/>
          </w:tcPr>
          <w:p w:rsidR="00507324" w:rsidRPr="004345C0" w:rsidRDefault="004F1A9C" w:rsidP="004F1A9C">
            <w:pPr>
              <w:spacing w:after="0" w:line="240" w:lineRule="auto"/>
              <w:jc w:val="center"/>
              <w:rPr>
                <w:rFonts w:ascii="Arial" w:hAnsi="Arial" w:cs="Arial"/>
                <w:sz w:val="20"/>
              </w:rPr>
            </w:pPr>
            <w:r>
              <w:rPr>
                <w:rFonts w:ascii="Arial" w:hAnsi="Arial" w:cs="Arial"/>
                <w:sz w:val="20"/>
              </w:rPr>
              <w:t>62.5%</w:t>
            </w:r>
          </w:p>
        </w:tc>
      </w:tr>
      <w:tr w:rsidR="00507324" w:rsidRPr="004345C0" w:rsidTr="00ED2449">
        <w:trPr>
          <w:trHeight w:val="317"/>
          <w:jc w:val="center"/>
        </w:trPr>
        <w:tc>
          <w:tcPr>
            <w:tcW w:w="1360" w:type="dxa"/>
            <w:tcBorders>
              <w:top w:val="nil"/>
              <w:left w:val="single" w:sz="4" w:space="0" w:color="auto"/>
              <w:bottom w:val="single" w:sz="4" w:space="0" w:color="auto"/>
              <w:right w:val="single" w:sz="4" w:space="0" w:color="auto"/>
            </w:tcBorders>
            <w:vAlign w:val="bottom"/>
          </w:tcPr>
          <w:p w:rsidR="00507324" w:rsidRPr="004345C0" w:rsidRDefault="00507324" w:rsidP="00D94E67">
            <w:pPr>
              <w:spacing w:after="0" w:line="240" w:lineRule="auto"/>
              <w:rPr>
                <w:rFonts w:ascii="Arial" w:hAnsi="Arial" w:cs="Arial"/>
                <w:color w:val="000000"/>
                <w:sz w:val="20"/>
              </w:rPr>
            </w:pPr>
            <w:r w:rsidRPr="004345C0">
              <w:rPr>
                <w:rFonts w:ascii="Arial" w:hAnsi="Arial" w:cs="Arial"/>
                <w:color w:val="000000"/>
                <w:sz w:val="20"/>
              </w:rPr>
              <w:t xml:space="preserve"> 50-64</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rsidR="00507324" w:rsidRPr="004345C0" w:rsidRDefault="00507324" w:rsidP="004345C0">
            <w:pPr>
              <w:spacing w:after="0" w:line="240" w:lineRule="auto"/>
              <w:jc w:val="center"/>
              <w:rPr>
                <w:rFonts w:ascii="Arial" w:hAnsi="Arial" w:cs="Arial"/>
                <w:sz w:val="20"/>
              </w:rPr>
            </w:pPr>
            <w:r w:rsidRPr="004345C0">
              <w:rPr>
                <w:rFonts w:ascii="Arial" w:hAnsi="Arial" w:cs="Arial"/>
                <w:sz w:val="20"/>
              </w:rPr>
              <w:t>9.20</w:t>
            </w:r>
          </w:p>
        </w:tc>
        <w:tc>
          <w:tcPr>
            <w:tcW w:w="2016" w:type="dxa"/>
            <w:tcBorders>
              <w:top w:val="nil"/>
              <w:left w:val="single" w:sz="4" w:space="0" w:color="auto"/>
              <w:bottom w:val="single" w:sz="4" w:space="0" w:color="auto"/>
              <w:right w:val="single" w:sz="4" w:space="0" w:color="auto"/>
            </w:tcBorders>
            <w:vAlign w:val="bottom"/>
          </w:tcPr>
          <w:p w:rsidR="00507324" w:rsidRPr="004345C0" w:rsidRDefault="004F1A9C" w:rsidP="004F1A9C">
            <w:pPr>
              <w:spacing w:after="0" w:line="240" w:lineRule="auto"/>
              <w:jc w:val="center"/>
              <w:rPr>
                <w:rFonts w:ascii="Arial" w:hAnsi="Arial" w:cs="Arial"/>
                <w:sz w:val="20"/>
              </w:rPr>
            </w:pPr>
            <w:r>
              <w:rPr>
                <w:rFonts w:ascii="Arial" w:hAnsi="Arial" w:cs="Arial"/>
                <w:sz w:val="20"/>
              </w:rPr>
              <w:t>75.0%</w:t>
            </w:r>
          </w:p>
        </w:tc>
      </w:tr>
      <w:tr w:rsidR="00507324" w:rsidRPr="004345C0" w:rsidTr="00ED2449">
        <w:trPr>
          <w:trHeight w:val="317"/>
          <w:jc w:val="center"/>
        </w:trPr>
        <w:tc>
          <w:tcPr>
            <w:tcW w:w="1360" w:type="dxa"/>
            <w:tcBorders>
              <w:top w:val="nil"/>
              <w:left w:val="single" w:sz="4" w:space="0" w:color="auto"/>
              <w:bottom w:val="single" w:sz="4" w:space="0" w:color="auto"/>
              <w:right w:val="single" w:sz="4" w:space="0" w:color="auto"/>
            </w:tcBorders>
            <w:vAlign w:val="bottom"/>
          </w:tcPr>
          <w:p w:rsidR="00507324" w:rsidRPr="004345C0" w:rsidRDefault="00507324" w:rsidP="00D94E67">
            <w:pPr>
              <w:spacing w:after="0" w:line="240" w:lineRule="auto"/>
              <w:rPr>
                <w:rFonts w:ascii="Arial" w:hAnsi="Arial" w:cs="Arial"/>
                <w:color w:val="000000"/>
                <w:sz w:val="20"/>
              </w:rPr>
            </w:pPr>
            <w:r w:rsidRPr="004345C0">
              <w:rPr>
                <w:rFonts w:ascii="Arial" w:hAnsi="Arial" w:cs="Arial"/>
                <w:color w:val="000000"/>
                <w:sz w:val="20"/>
              </w:rPr>
              <w:t xml:space="preserve"> 65+</w:t>
            </w:r>
          </w:p>
        </w:tc>
        <w:tc>
          <w:tcPr>
            <w:tcW w:w="1872" w:type="dxa"/>
            <w:tcBorders>
              <w:top w:val="nil"/>
              <w:left w:val="single" w:sz="4" w:space="0" w:color="auto"/>
              <w:bottom w:val="single" w:sz="4" w:space="0" w:color="auto"/>
              <w:right w:val="single" w:sz="4" w:space="0" w:color="auto"/>
            </w:tcBorders>
            <w:shd w:val="clear" w:color="auto" w:fill="auto"/>
            <w:noWrap/>
            <w:vAlign w:val="bottom"/>
            <w:hideMark/>
          </w:tcPr>
          <w:p w:rsidR="00507324" w:rsidRPr="004345C0" w:rsidRDefault="00507324" w:rsidP="004345C0">
            <w:pPr>
              <w:spacing w:after="0" w:line="240" w:lineRule="auto"/>
              <w:jc w:val="center"/>
              <w:rPr>
                <w:rFonts w:ascii="Arial" w:hAnsi="Arial" w:cs="Arial"/>
                <w:color w:val="000000"/>
                <w:sz w:val="20"/>
              </w:rPr>
            </w:pPr>
            <w:r w:rsidRPr="004345C0">
              <w:rPr>
                <w:rFonts w:ascii="Arial" w:hAnsi="Arial" w:cs="Arial"/>
                <w:color w:val="000000"/>
                <w:sz w:val="20"/>
              </w:rPr>
              <w:t>6.47</w:t>
            </w:r>
          </w:p>
        </w:tc>
        <w:tc>
          <w:tcPr>
            <w:tcW w:w="2016" w:type="dxa"/>
            <w:tcBorders>
              <w:top w:val="nil"/>
              <w:left w:val="single" w:sz="4" w:space="0" w:color="auto"/>
              <w:bottom w:val="single" w:sz="4" w:space="0" w:color="auto"/>
              <w:right w:val="single" w:sz="4" w:space="0" w:color="auto"/>
            </w:tcBorders>
            <w:vAlign w:val="bottom"/>
          </w:tcPr>
          <w:p w:rsidR="00507324" w:rsidRPr="004345C0" w:rsidRDefault="004F1A9C" w:rsidP="004F1A9C">
            <w:pPr>
              <w:spacing w:after="0" w:line="240" w:lineRule="auto"/>
              <w:jc w:val="center"/>
              <w:rPr>
                <w:rFonts w:ascii="Arial" w:hAnsi="Arial" w:cs="Arial"/>
                <w:color w:val="000000"/>
                <w:sz w:val="20"/>
              </w:rPr>
            </w:pPr>
            <w:r>
              <w:rPr>
                <w:rFonts w:ascii="Arial" w:hAnsi="Arial" w:cs="Arial"/>
                <w:color w:val="000000"/>
                <w:sz w:val="20"/>
              </w:rPr>
              <w:t>75.0%</w:t>
            </w:r>
          </w:p>
        </w:tc>
      </w:tr>
    </w:tbl>
    <w:p w:rsidR="004345C0" w:rsidRDefault="004345C0" w:rsidP="00ED1ED6"/>
    <w:p w:rsidR="00ED1ED6" w:rsidRDefault="00ED1ED6" w:rsidP="00ED1ED6">
      <w:r>
        <w:t>According to the American Dental Association (ADA</w:t>
      </w:r>
      <w:r w:rsidR="00707BF2">
        <w:t xml:space="preserve"> 1998</w:t>
      </w:r>
      <w:r>
        <w:t xml:space="preserve">) more than 75% of restorations before the 1970s used amalgam, which declined to 50% by 1991. Using these numbers, </w:t>
      </w:r>
      <w:r w:rsidR="004F1A9C">
        <w:t xml:space="preserve">it is </w:t>
      </w:r>
      <w:r>
        <w:t>assume</w:t>
      </w:r>
      <w:r w:rsidR="004F1A9C">
        <w:t>d</w:t>
      </w:r>
      <w:r>
        <w:t xml:space="preserve"> that 50% of the filled teeth for </w:t>
      </w:r>
      <w:r w:rsidR="004F1A9C">
        <w:t xml:space="preserve">20-34 age </w:t>
      </w:r>
      <w:r>
        <w:t xml:space="preserve">group contain amalgam, 62.5% </w:t>
      </w:r>
      <w:r w:rsidR="004F1A9C">
        <w:t xml:space="preserve">of filled teeth in the 35-49% age </w:t>
      </w:r>
      <w:r>
        <w:t xml:space="preserve">group, and 75% </w:t>
      </w:r>
      <w:r w:rsidR="004F1A9C">
        <w:t xml:space="preserve">of filled teeth </w:t>
      </w:r>
      <w:r>
        <w:t xml:space="preserve">for </w:t>
      </w:r>
      <w:r w:rsidR="004F1A9C">
        <w:t>people over 50</w:t>
      </w:r>
      <w:r>
        <w:t xml:space="preserve">. </w:t>
      </w:r>
      <w:r w:rsidR="00B548E4">
        <w:t>The BAAQMD memorandum was used to estimate that 31.6% of filled teeth in the 1-19 age group contain amalgam.</w:t>
      </w:r>
    </w:p>
    <w:p w:rsidR="00B604F0" w:rsidRDefault="00B604F0" w:rsidP="00ED1ED6">
      <w:pPr>
        <w:pStyle w:val="Heading2"/>
      </w:pPr>
      <w:r>
        <w:t>Allocation Approach</w:t>
      </w:r>
    </w:p>
    <w:p w:rsidR="004F1A9C" w:rsidRDefault="004F1A9C" w:rsidP="004F1A9C">
      <w:r>
        <w:t xml:space="preserve">The emissions from dental office preparations were allocated to the county level </w:t>
      </w:r>
      <w:r w:rsidR="001C3595">
        <w:t>based on</w:t>
      </w:r>
      <w:r>
        <w:t xml:space="preserve"> population.</w:t>
      </w:r>
    </w:p>
    <w:p w:rsidR="004F1A9C" w:rsidRDefault="001C3595" w:rsidP="004F1A9C">
      <w:r>
        <w:t>T</w:t>
      </w:r>
      <w:r w:rsidR="004F1A9C">
        <w:t xml:space="preserve">he </w:t>
      </w:r>
      <w:r>
        <w:t xml:space="preserve">emissions from </w:t>
      </w:r>
      <w:r w:rsidR="004F1A9C">
        <w:t xml:space="preserve">filled teeth </w:t>
      </w:r>
      <w:r>
        <w:t xml:space="preserve">were allocated to </w:t>
      </w:r>
      <w:r w:rsidR="004F1A9C">
        <w:t>each county</w:t>
      </w:r>
      <w:r>
        <w:t xml:space="preserve"> by </w:t>
      </w:r>
      <w:r w:rsidR="00822572">
        <w:t xml:space="preserve">multiplying </w:t>
      </w:r>
      <w:r>
        <w:t xml:space="preserve">the county population by the proportion of the national population in each age group </w:t>
      </w:r>
      <w:r w:rsidR="00822572">
        <w:t>(</w:t>
      </w:r>
      <w:r>
        <w:t xml:space="preserve">from </w:t>
      </w:r>
      <w:r w:rsidR="004F1A9C">
        <w:t>U.S. Census Bureau data</w:t>
      </w:r>
      <w:r w:rsidR="00822572">
        <w:t>),</w:t>
      </w:r>
      <w:r w:rsidR="004F1A9C">
        <w:t xml:space="preserve"> the average number of filled teeth per person</w:t>
      </w:r>
      <w:r w:rsidR="00822572">
        <w:t>,</w:t>
      </w:r>
      <w:r w:rsidR="004F1A9C">
        <w:t xml:space="preserve"> and the percentage of fillings containing mercury (</w:t>
      </w:r>
      <w:r w:rsidR="004F1A9C">
        <w:fldChar w:fldCharType="begin"/>
      </w:r>
      <w:r w:rsidR="004F1A9C">
        <w:instrText xml:space="preserve"> REF _Ref387404929 \h </w:instrText>
      </w:r>
      <w:r w:rsidR="004F1A9C">
        <w:fldChar w:fldCharType="separate"/>
      </w:r>
      <w:r w:rsidR="00695F22" w:rsidRPr="007D2DCB">
        <w:rPr>
          <w:sz w:val="20"/>
        </w:rPr>
        <w:t xml:space="preserve">Table </w:t>
      </w:r>
      <w:r w:rsidR="00695F22">
        <w:rPr>
          <w:noProof/>
          <w:sz w:val="20"/>
        </w:rPr>
        <w:t>5</w:t>
      </w:r>
      <w:r w:rsidR="004F1A9C">
        <w:fldChar w:fldCharType="end"/>
      </w:r>
      <w:r w:rsidR="004F1A9C">
        <w:t>).</w:t>
      </w:r>
      <w:r w:rsidR="00822572">
        <w:t xml:space="preserve"> The emissions were then added across age groups.</w:t>
      </w:r>
    </w:p>
    <w:p w:rsidR="00ED1ED6" w:rsidRDefault="00ED1ED6" w:rsidP="00ED1ED6">
      <w:pPr>
        <w:pStyle w:val="Heading2"/>
      </w:pPr>
      <w:r>
        <w:lastRenderedPageBreak/>
        <w:t>Emission Factor</w:t>
      </w:r>
    </w:p>
    <w:p w:rsidR="00ED1ED6" w:rsidRDefault="00ED1ED6" w:rsidP="00ED1ED6">
      <w:r>
        <w:t xml:space="preserve">US EPA </w:t>
      </w:r>
      <w:r w:rsidR="00707BF2">
        <w:t>(</w:t>
      </w:r>
      <w:r>
        <w:t>1997</w:t>
      </w:r>
      <w:r w:rsidR="00707BF2">
        <w:t>)</w:t>
      </w:r>
      <w:r>
        <w:t xml:space="preserve"> </w:t>
      </w:r>
      <w:r w:rsidR="00707BF2">
        <w:t>es</w:t>
      </w:r>
      <w:r>
        <w:t>t</w:t>
      </w:r>
      <w:r w:rsidR="00707BF2">
        <w:t>im</w:t>
      </w:r>
      <w:r>
        <w:t xml:space="preserve">ates that 2% of mercury used in dental offices is emitted to the air. </w:t>
      </w:r>
    </w:p>
    <w:p w:rsidR="00ED1ED6" w:rsidRDefault="00ED1ED6" w:rsidP="00ED1ED6">
      <w:r>
        <w:t xml:space="preserve">Richardson et al. </w:t>
      </w:r>
      <w:r w:rsidR="00ED35F2">
        <w:t xml:space="preserve">(2011) </w:t>
      </w:r>
      <w:r>
        <w:t>estimate emissions from filled teeth of approximately 0.3 µg/day of mercury emissions per filled tooth, or 2.4 × 10</w:t>
      </w:r>
      <w:r>
        <w:rPr>
          <w:vertAlign w:val="superscript"/>
        </w:rPr>
        <w:t>-7</w:t>
      </w:r>
      <w:r>
        <w:t xml:space="preserve"> lbs. per year per filled tooth.</w:t>
      </w:r>
    </w:p>
    <w:p w:rsidR="00ED1ED6" w:rsidRDefault="00ED1ED6" w:rsidP="00ED1ED6">
      <w:pPr>
        <w:pStyle w:val="Heading2"/>
      </w:pPr>
      <w:r>
        <w:t>Example Calculation</w:t>
      </w:r>
    </w:p>
    <w:p w:rsidR="00ED1ED6" w:rsidRPr="00822572" w:rsidRDefault="00822572" w:rsidP="00ED1ED6">
      <w:pPr>
        <w:rPr>
          <w:u w:val="single"/>
        </w:rPr>
      </w:pPr>
      <w:r w:rsidRPr="00822572">
        <w:rPr>
          <w:u w:val="single"/>
        </w:rPr>
        <w:t>E</w:t>
      </w:r>
      <w:r w:rsidR="00ED1ED6" w:rsidRPr="00822572">
        <w:rPr>
          <w:u w:val="single"/>
        </w:rPr>
        <w:t xml:space="preserve">missions from dental office preparations: </w:t>
      </w:r>
    </w:p>
    <w:p w:rsidR="00ED1ED6" w:rsidRDefault="00ED1ED6" w:rsidP="00ED1ED6">
      <w:pPr>
        <w:jc w:val="center"/>
      </w:pPr>
      <w:r>
        <w:t>27,000 lbs. Hg × 2% = 540 lbs. emissions</w:t>
      </w:r>
    </w:p>
    <w:p w:rsidR="001C3595" w:rsidRDefault="001C3595" w:rsidP="001C3595">
      <w:r>
        <w:t>Orleans Parish, LA has 360,692 people, representing 0.116% of the national population. The mercury emissions from dental office preparations in Orleans Parish are estimated by the following:</w:t>
      </w:r>
    </w:p>
    <w:p w:rsidR="001C3595" w:rsidRDefault="001C3595" w:rsidP="001C3595">
      <w:pPr>
        <w:jc w:val="center"/>
      </w:pPr>
      <w:r>
        <w:t>540 lbs. national emissions × 0.116% = 0.63 lbs. Hg mercury emissions from dental offices</w:t>
      </w:r>
    </w:p>
    <w:p w:rsidR="00822572" w:rsidRDefault="00822572" w:rsidP="00822572">
      <w:pPr>
        <w:rPr>
          <w:u w:val="single"/>
        </w:rPr>
      </w:pPr>
      <w:r>
        <w:rPr>
          <w:u w:val="single"/>
        </w:rPr>
        <w:t>Emissions from restored teeth:</w:t>
      </w:r>
    </w:p>
    <w:p w:rsidR="00822572" w:rsidRDefault="00822572" w:rsidP="00822572">
      <w:r>
        <w:t>Nationally, 13.28% of the population is in the 65+ age group. This age group has an average of 6.47 fillings per person, and 75% of their fillings contain mercury. The emissions from restored teeth in Orleans Parish, LA are estimated by the following:</w:t>
      </w:r>
    </w:p>
    <w:p w:rsidR="00822572" w:rsidRDefault="00822572" w:rsidP="00822572">
      <w:pPr>
        <w:jc w:val="center"/>
      </w:pPr>
      <w:r>
        <w:t>360,692 people × 13.28% in 65+ age bracket × 6.47 fillings per person × 75% of fillings with mercury × 2.4 × 10</w:t>
      </w:r>
      <w:r>
        <w:rPr>
          <w:vertAlign w:val="superscript"/>
        </w:rPr>
        <w:t>-7</w:t>
      </w:r>
      <w:r>
        <w:t xml:space="preserve"> lbs. per year per filled tooth</w:t>
      </w:r>
    </w:p>
    <w:p w:rsidR="00822572" w:rsidRDefault="00822572" w:rsidP="00822572">
      <w:pPr>
        <w:jc w:val="center"/>
      </w:pPr>
      <w:r>
        <w:t xml:space="preserve">= </w:t>
      </w:r>
      <w:r w:rsidRPr="00822572">
        <w:t>0.05</w:t>
      </w:r>
      <w:r>
        <w:t>6 lbs. mercury in the 65+ age bracket in Orleans Parish</w:t>
      </w:r>
    </w:p>
    <w:p w:rsidR="00822572" w:rsidRPr="00822572" w:rsidRDefault="00822572" w:rsidP="00822572">
      <w:r>
        <w:t xml:space="preserve">This is repeated for each age group in </w:t>
      </w:r>
      <w:r>
        <w:fldChar w:fldCharType="begin"/>
      </w:r>
      <w:r>
        <w:instrText xml:space="preserve"> REF _Ref387404929 \h </w:instrText>
      </w:r>
      <w:r>
        <w:fldChar w:fldCharType="separate"/>
      </w:r>
      <w:r w:rsidR="00695F22" w:rsidRPr="007D2DCB">
        <w:rPr>
          <w:sz w:val="20"/>
        </w:rPr>
        <w:t xml:space="preserve">Table </w:t>
      </w:r>
      <w:r w:rsidR="00695F22">
        <w:rPr>
          <w:noProof/>
          <w:sz w:val="20"/>
        </w:rPr>
        <w:t>5</w:t>
      </w:r>
      <w:r>
        <w:fldChar w:fldCharType="end"/>
      </w:r>
      <w:r w:rsidR="00D23BA4">
        <w:t xml:space="preserve"> for each county</w:t>
      </w:r>
      <w:r>
        <w:t>.</w:t>
      </w:r>
    </w:p>
    <w:p w:rsidR="00BD4F71" w:rsidRDefault="00BD4F71">
      <w:pPr>
        <w:spacing w:line="276" w:lineRule="auto"/>
      </w:pPr>
      <w:r>
        <w:br w:type="page"/>
      </w:r>
    </w:p>
    <w:p w:rsidR="00CB0CDC" w:rsidRDefault="00CB0CDC" w:rsidP="00CB0CDC">
      <w:pPr>
        <w:pStyle w:val="Heading1"/>
      </w:pPr>
      <w:r w:rsidRPr="0034450A">
        <w:lastRenderedPageBreak/>
        <w:t xml:space="preserve">General Laboratory </w:t>
      </w:r>
      <w:r>
        <w:t>Activities</w:t>
      </w:r>
    </w:p>
    <w:p w:rsidR="00CB0CDC" w:rsidRDefault="00CB0CDC" w:rsidP="00CB0CDC">
      <w:r>
        <w:t>Documentation for previous versions of the NEI have cited personal communications with USGS staff for estimates of the amount of mercury used in general laboratory activities. In discussions with Robert Virta of the USGS</w:t>
      </w:r>
      <w:r w:rsidR="00ED35F2">
        <w:t xml:space="preserve"> (2013)</w:t>
      </w:r>
      <w:r>
        <w:t>, it was determined that because the USGS stopped conducting its survey of the end uses of mercury in the economy in 2002 it would be impossible to state with any confidence an estimate of the amount of mercury used in general laboratory activities in 2011. A literature search revealed no other data that could be used to estimate mercury emissions for this source category. Therefore the estimate from the 2008 NEI was pulled forward for the 2011 NEI.</w:t>
      </w:r>
    </w:p>
    <w:p w:rsidR="00BD4F71" w:rsidRDefault="00BD4F71">
      <w:pPr>
        <w:spacing w:line="276" w:lineRule="auto"/>
      </w:pPr>
      <w:r>
        <w:br w:type="page"/>
      </w:r>
    </w:p>
    <w:p w:rsidR="00ED1ED6" w:rsidRDefault="00ED1ED6" w:rsidP="00ED1ED6">
      <w:pPr>
        <w:pStyle w:val="Heading1"/>
      </w:pPr>
      <w:r w:rsidRPr="00A82D5E">
        <w:lastRenderedPageBreak/>
        <w:t>Thermostats</w:t>
      </w:r>
    </w:p>
    <w:p w:rsidR="00ED1ED6" w:rsidRDefault="00ED1ED6" w:rsidP="00ED1ED6">
      <w:r>
        <w:t xml:space="preserve">Mercury has been used in thermostats to switch on or off a heater or air conditioner based on the temperature of a room. Most of the </w:t>
      </w:r>
      <w:r w:rsidR="00D23BA4">
        <w:t xml:space="preserve">historic </w:t>
      </w:r>
      <w:r>
        <w:t>production of mercury thermostats came from three corporations: Honeywell, White-Rogers, and General Electric. In 1998 these corporations formed the Thermostat Recycling Corporation (TRC), a voluntary program that attempts to collect and recycle mercury thermostats as they come out of service.</w:t>
      </w:r>
    </w:p>
    <w:p w:rsidR="00ED1ED6" w:rsidRDefault="00ED1ED6" w:rsidP="00ED1ED6">
      <w:pPr>
        <w:pStyle w:val="Heading2"/>
      </w:pPr>
      <w:r>
        <w:t>Activity Data</w:t>
      </w:r>
    </w:p>
    <w:p w:rsidR="00ED1ED6" w:rsidRDefault="00ED1ED6" w:rsidP="00ED1ED6">
      <w:r>
        <w:t>The 2002 EPA report estimated that 2-3 million thermostats came out of service in 1994</w:t>
      </w:r>
      <w:r w:rsidR="00ED35F2">
        <w:t xml:space="preserve"> (Leopold 2002)</w:t>
      </w:r>
      <w:r>
        <w:t xml:space="preserve">. A </w:t>
      </w:r>
      <w:r w:rsidR="002C7956">
        <w:t xml:space="preserve">2013 </w:t>
      </w:r>
      <w:r>
        <w:t>report from a consortium of environmental groups assumes that the estimate from the 2002 report remains viable and it estimates that the TRC collects at most 8% of the retired thermostats each year</w:t>
      </w:r>
      <w:r w:rsidR="00ED35F2">
        <w:t xml:space="preserve"> (Natural Resources Defense Council et al. 2013)</w:t>
      </w:r>
      <w:r>
        <w:t xml:space="preserve">. Therefore, using this estimate, there are approximately 2.3 million thermostats that are not recycled each year. </w:t>
      </w:r>
    </w:p>
    <w:p w:rsidR="002C7956" w:rsidRDefault="002C7956" w:rsidP="00ED1ED6">
      <w:pPr>
        <w:pStyle w:val="Heading2"/>
      </w:pPr>
      <w:r>
        <w:t>Allocation Approach</w:t>
      </w:r>
    </w:p>
    <w:p w:rsidR="002C7956" w:rsidRDefault="002C7956" w:rsidP="002C7956">
      <w:r>
        <w:t xml:space="preserve">The </w:t>
      </w:r>
      <w:r w:rsidR="00D23BA4">
        <w:t xml:space="preserve">national-level mercury emissions </w:t>
      </w:r>
      <w:r>
        <w:t>are apportioned to each county based on</w:t>
      </w:r>
      <w:r w:rsidR="00D23BA4">
        <w:t xml:space="preserve"> population</w:t>
      </w:r>
      <w:r>
        <w:t>.</w:t>
      </w:r>
    </w:p>
    <w:p w:rsidR="00ED1ED6" w:rsidRDefault="00ED1ED6" w:rsidP="00ED1ED6">
      <w:pPr>
        <w:pStyle w:val="Heading2"/>
      </w:pPr>
      <w:r>
        <w:t>Emission Factor</w:t>
      </w:r>
    </w:p>
    <w:p w:rsidR="00ED1ED6" w:rsidRDefault="00ED1ED6" w:rsidP="00ED1ED6">
      <w:r>
        <w:t>The 2002 EPA report estimates that there are 3 grams of mercury per thermostat</w:t>
      </w:r>
      <w:r w:rsidR="00ED35F2">
        <w:t xml:space="preserve"> (Leopold 2002)</w:t>
      </w:r>
      <w:r>
        <w:t>. Cain et al.</w:t>
      </w:r>
      <w:r w:rsidR="00ED35F2">
        <w:t xml:space="preserve"> (2007)</w:t>
      </w:r>
      <w:r>
        <w:t xml:space="preserve"> estimate that 1.5% of mercury in “control devices,” including thermostats, is emitted to the air before it is disposed of at a landfill or incinerator. Therefore the amount of mercury emitted is 0.045 grams per thermostat, or 9.9 × 10</w:t>
      </w:r>
      <w:r w:rsidRPr="00522663">
        <w:rPr>
          <w:vertAlign w:val="superscript"/>
        </w:rPr>
        <w:t>-5</w:t>
      </w:r>
      <w:r w:rsidRPr="00522663">
        <w:t xml:space="preserve"> </w:t>
      </w:r>
      <w:r>
        <w:t>lbs. per thermostat.</w:t>
      </w:r>
    </w:p>
    <w:p w:rsidR="00ED1ED6" w:rsidRDefault="00ED1ED6" w:rsidP="00ED1ED6">
      <w:pPr>
        <w:pStyle w:val="Heading2"/>
      </w:pPr>
      <w:r>
        <w:t>Example Calculation</w:t>
      </w:r>
    </w:p>
    <w:p w:rsidR="00ED1ED6" w:rsidRDefault="00ED1ED6" w:rsidP="002C7956">
      <w:pPr>
        <w:ind w:left="6930" w:hanging="6930"/>
        <w:jc w:val="center"/>
      </w:pPr>
      <w:r>
        <w:t>2.3 million improperly disposed thermostats × 9.9 × 10</w:t>
      </w:r>
      <w:r w:rsidRPr="00DB6409">
        <w:rPr>
          <w:vertAlign w:val="superscript"/>
        </w:rPr>
        <w:t>-5</w:t>
      </w:r>
      <w:r w:rsidRPr="00DB6409">
        <w:t xml:space="preserve"> </w:t>
      </w:r>
      <w:r>
        <w:t>lbs. per thermostat = 228 lbs. mercury emissions</w:t>
      </w:r>
    </w:p>
    <w:p w:rsidR="002C7956" w:rsidRDefault="002C7956" w:rsidP="002C7956">
      <w:r>
        <w:t>Shelby County, TN has 933,902 people, or 0.3% of the national population. The mercury emissions from thermostats in Shelby County, TN are estimated by the following:</w:t>
      </w:r>
    </w:p>
    <w:p w:rsidR="002C7956" w:rsidRPr="00145964" w:rsidRDefault="002C7956" w:rsidP="002C7956">
      <w:pPr>
        <w:jc w:val="center"/>
      </w:pPr>
      <w:r>
        <w:t>228 lbs. national mercury emissions × 0.3% = 0.684 lbs. mercury emissions</w:t>
      </w:r>
    </w:p>
    <w:p w:rsidR="00BD4F71" w:rsidRDefault="00BD4F71">
      <w:pPr>
        <w:spacing w:line="276" w:lineRule="auto"/>
        <w:rPr>
          <w:rFonts w:ascii="Arial" w:hAnsi="Arial" w:cs="Arial"/>
          <w:b/>
          <w:szCs w:val="22"/>
          <w:highlight w:val="yellow"/>
        </w:rPr>
      </w:pPr>
      <w:r>
        <w:rPr>
          <w:rFonts w:ascii="Arial" w:hAnsi="Arial" w:cs="Arial"/>
          <w:b/>
          <w:szCs w:val="22"/>
          <w:highlight w:val="yellow"/>
        </w:rPr>
        <w:br w:type="page"/>
      </w:r>
    </w:p>
    <w:p w:rsidR="00ED1ED6" w:rsidRDefault="00ED1ED6" w:rsidP="00ED1ED6">
      <w:pPr>
        <w:pStyle w:val="Heading1"/>
      </w:pPr>
      <w:r>
        <w:lastRenderedPageBreak/>
        <w:t>Animal Cremation</w:t>
      </w:r>
    </w:p>
    <w:p w:rsidR="00ED1ED6" w:rsidRDefault="002C7956" w:rsidP="00ED1ED6">
      <w:r>
        <w:t xml:space="preserve">Animal tissues contain mercury, similar to humans. A </w:t>
      </w:r>
      <w:r w:rsidR="00ED1ED6">
        <w:t>2012 survey from the Pet Loss Professionals Alliance (PLPA</w:t>
      </w:r>
      <w:r w:rsidR="00ED35F2">
        <w:t xml:space="preserve"> 2013</w:t>
      </w:r>
      <w:r w:rsidR="00ED1ED6">
        <w:t>) found that 99% of deceased pets are cremated, with the remaining 1% receiving burial</w:t>
      </w:r>
      <w:r>
        <w:t>. Therefore, mercury from animal tissues through cremation can be a source of nonpoint mercury emissions.</w:t>
      </w:r>
    </w:p>
    <w:p w:rsidR="00ED1ED6" w:rsidRDefault="00ED1ED6" w:rsidP="00ED1ED6">
      <w:pPr>
        <w:pStyle w:val="Heading2"/>
      </w:pPr>
      <w:r>
        <w:t>Activity Data</w:t>
      </w:r>
    </w:p>
    <w:p w:rsidR="00ED1ED6" w:rsidRDefault="00ED1ED6" w:rsidP="00ED1ED6">
      <w:r>
        <w:t xml:space="preserve">The PLPA survey estimates that there were 1,840,965 pet cremations in 2012. In addition, the Humane Society of the United States </w:t>
      </w:r>
      <w:r w:rsidR="00ED35F2">
        <w:t xml:space="preserve">(2014) </w:t>
      </w:r>
      <w:r>
        <w:t xml:space="preserve">estimates that there are 2,700,000 adoptable dogs and cats euthanized in animal shelters each year. It is assumed that all of these shelter animals are cremated. Therefore, there are a total of approximately 4,540,965 animal creations each year. </w:t>
      </w:r>
      <w:r w:rsidR="00D23BA4">
        <w:t xml:space="preserve">Note that this estimate does not double count the number of animal cremations, because the PLPA study counts the number of cremations of pets—i.e. animals that are owned by people—whereas the Humane Society estimates are for animals in shelters that were not adopted. </w:t>
      </w:r>
    </w:p>
    <w:p w:rsidR="00ED1ED6" w:rsidRDefault="00ED1ED6" w:rsidP="00ED1ED6">
      <w:r>
        <w:t>The population of cats and dogs is approximately 52.5% cats and 48.5% dogs</w:t>
      </w:r>
      <w:r w:rsidR="00ED35F2">
        <w:t xml:space="preserve"> (Humane Society 2014)</w:t>
      </w:r>
      <w:r>
        <w:t>. The average weight of a domest</w:t>
      </w:r>
      <w:r w:rsidR="00ED35F2">
        <w:t>ic cat is approximately 12.5 lbs</w:t>
      </w:r>
      <w:r>
        <w:t>.</w:t>
      </w:r>
      <w:r w:rsidR="00ED35F2">
        <w:t xml:space="preserve"> (National Geographic 2014).</w:t>
      </w:r>
      <w:r>
        <w:t xml:space="preserve"> The average weight of a dog is difficult to determine due to large differences in breeds, but one estimate suggests it is 35 lbs</w:t>
      </w:r>
      <w:r w:rsidR="00D23BA4">
        <w:t>.</w:t>
      </w:r>
      <w:r w:rsidR="00ED35F2">
        <w:t xml:space="preserve"> (Animal Ark 2012)</w:t>
      </w:r>
      <w:r>
        <w:t>. Therefore, the total weight of cremat</w:t>
      </w:r>
      <w:r w:rsidR="00E12090">
        <w:t>ed animals is approximately 53,441</w:t>
      </w:r>
      <w:r>
        <w:t xml:space="preserve"> tons.</w:t>
      </w:r>
    </w:p>
    <w:p w:rsidR="00E12090" w:rsidRDefault="00E12090" w:rsidP="00ED1ED6">
      <w:pPr>
        <w:pStyle w:val="Heading2"/>
      </w:pPr>
      <w:r>
        <w:t>Allocation Approach</w:t>
      </w:r>
    </w:p>
    <w:p w:rsidR="00E12090" w:rsidRPr="00E12090" w:rsidRDefault="00E12090" w:rsidP="00E12090">
      <w:r>
        <w:t xml:space="preserve">The national-level </w:t>
      </w:r>
      <w:r w:rsidR="00840E68">
        <w:t xml:space="preserve">mercury </w:t>
      </w:r>
      <w:r>
        <w:t xml:space="preserve">emissions </w:t>
      </w:r>
      <w:r w:rsidR="00840E68">
        <w:t xml:space="preserve">from animal cremation </w:t>
      </w:r>
      <w:r>
        <w:t>are allocated to the county level based on population.</w:t>
      </w:r>
    </w:p>
    <w:p w:rsidR="00ED1ED6" w:rsidRDefault="00ED1ED6" w:rsidP="00ED1ED6">
      <w:pPr>
        <w:pStyle w:val="Heading2"/>
      </w:pPr>
      <w:r>
        <w:t>Emission Factor</w:t>
      </w:r>
    </w:p>
    <w:p w:rsidR="00ED1ED6" w:rsidRDefault="00ED1ED6" w:rsidP="00ED1ED6">
      <w:r>
        <w:t xml:space="preserve">Emission factors for mercury emissions from animal cremations are </w:t>
      </w:r>
      <w:r w:rsidR="00E12090">
        <w:t>not available from the literature</w:t>
      </w:r>
      <w:r>
        <w:t xml:space="preserve">. </w:t>
      </w:r>
      <w:proofErr w:type="spellStart"/>
      <w:r>
        <w:t>Reindl</w:t>
      </w:r>
      <w:proofErr w:type="spellEnd"/>
      <w:r>
        <w:t xml:space="preserve"> </w:t>
      </w:r>
      <w:r w:rsidR="00ED35F2">
        <w:t xml:space="preserve">(2012) </w:t>
      </w:r>
      <w:r>
        <w:t>estimates mercury emissions from blood and tissues (but not dental amalgam) from humans at 0.0015 lbs./ton. This emission factor appears to be the most appropriate emission factor for animals, given that it does not include dental amalgam.</w:t>
      </w:r>
    </w:p>
    <w:p w:rsidR="00ED1ED6" w:rsidRDefault="00ED1ED6" w:rsidP="00ED1ED6">
      <w:pPr>
        <w:pStyle w:val="Heading2"/>
      </w:pPr>
      <w:r>
        <w:t>Example Calculation</w:t>
      </w:r>
    </w:p>
    <w:p w:rsidR="00ED1ED6" w:rsidRDefault="00ED1ED6" w:rsidP="00ED1ED6">
      <w:r>
        <w:t>Total mercury emissions from animal cremations:</w:t>
      </w:r>
    </w:p>
    <w:p w:rsidR="00ED1ED6" w:rsidRDefault="00E12090" w:rsidP="00ED1ED6">
      <w:pPr>
        <w:jc w:val="center"/>
      </w:pPr>
      <w:r>
        <w:t xml:space="preserve">53,441 </w:t>
      </w:r>
      <w:r w:rsidR="00ED1ED6">
        <w:t>tons cremate</w:t>
      </w:r>
      <w:r>
        <w:t>d animals × 0.0015 lbs./ton = 80.2</w:t>
      </w:r>
      <w:r w:rsidR="00ED1ED6">
        <w:t xml:space="preserve"> lbs. mercury emissions</w:t>
      </w:r>
    </w:p>
    <w:p w:rsidR="00E12090" w:rsidRDefault="00E12090" w:rsidP="00E12090">
      <w:r>
        <w:t>Walla Walla County, Washington has 58,781 people, or 0.019% of the national population. The mercury emissions from animal cremations in Walla Walla are estimated by the following:</w:t>
      </w:r>
    </w:p>
    <w:p w:rsidR="00E12090" w:rsidRPr="002615F0" w:rsidRDefault="00E12090" w:rsidP="00E12090">
      <w:pPr>
        <w:jc w:val="center"/>
      </w:pPr>
      <w:r>
        <w:t>80.2 lbs. national mercury emissions × 0.019% = 0.015 lbs. mercury emissions</w:t>
      </w:r>
    </w:p>
    <w:p w:rsidR="00BD4F71" w:rsidRDefault="00BD4F71">
      <w:pPr>
        <w:spacing w:line="276" w:lineRule="auto"/>
      </w:pPr>
      <w:r>
        <w:br w:type="page"/>
      </w:r>
    </w:p>
    <w:p w:rsidR="00553E81" w:rsidRDefault="00553E81" w:rsidP="00553E81">
      <w:pPr>
        <w:pStyle w:val="Heading1"/>
      </w:pPr>
      <w:r w:rsidRPr="008F187A">
        <w:lastRenderedPageBreak/>
        <w:t>Thermometers</w:t>
      </w:r>
    </w:p>
    <w:p w:rsidR="008F187A" w:rsidRDefault="008F187A" w:rsidP="008F187A">
      <w:r>
        <w:t>Mercury thermometers have all but been phased out in the United States, with the USEPA and National Institute of Standards and Technology (NIST) working to phase out mercury thermometers in industrial and laboratory settings. NIST issued notice in 2011 that it would no longer calibrate mercury-in-glass thermometers for traceability purposes. EPA issued a rule in 2012 that provide</w:t>
      </w:r>
      <w:r w:rsidR="00895B08">
        <w:t>s</w:t>
      </w:r>
      <w:r>
        <w:t xml:space="preserve"> flexibility to use alternatives to mercury thermometers when complying with certain regulations pertaining to petroleum refining, power gen</w:t>
      </w:r>
      <w:r w:rsidR="00BD4F71">
        <w:t>eration, and PCB waste disposal (US EPA 2014b).</w:t>
      </w:r>
      <w:r>
        <w:t xml:space="preserve"> Furthermore, thirteen states have laws that limit the manufacture, sale, and/or distribution of mercury-containing fever thermometers</w:t>
      </w:r>
      <w:r w:rsidR="00BD4F71">
        <w:t xml:space="preserve"> (US EPA 2014b)</w:t>
      </w:r>
      <w:r>
        <w:t>.</w:t>
      </w:r>
      <w:r w:rsidR="00BD4F71">
        <w:t xml:space="preserve"> </w:t>
      </w:r>
    </w:p>
    <w:p w:rsidR="008F187A" w:rsidRDefault="008F187A" w:rsidP="008F187A">
      <w:r>
        <w:t>Nevertheless, given the historical prevalence of mercury thermometers, it is likely that a significant amount of mercury remains in thermometers in homes in the United States.</w:t>
      </w:r>
    </w:p>
    <w:p w:rsidR="008F187A" w:rsidRDefault="008F187A" w:rsidP="004F1F34">
      <w:pPr>
        <w:pStyle w:val="Heading2"/>
      </w:pPr>
      <w:r>
        <w:t>Activity Data</w:t>
      </w:r>
    </w:p>
    <w:p w:rsidR="008F187A" w:rsidRDefault="007D4EF4" w:rsidP="008F187A">
      <w:r>
        <w:t xml:space="preserve">Data from </w:t>
      </w:r>
      <w:r w:rsidR="007107AA">
        <w:t xml:space="preserve">NEWMOA’s IMERC database </w:t>
      </w:r>
      <w:r w:rsidR="00E263F2">
        <w:t xml:space="preserve">suggests that there were </w:t>
      </w:r>
      <w:r w:rsidR="00FF08D4">
        <w:t xml:space="preserve">713 lbs. </w:t>
      </w:r>
      <w:r w:rsidR="00E263F2">
        <w:t xml:space="preserve">of mercury used in </w:t>
      </w:r>
      <w:r w:rsidR="00FF08D4">
        <w:t xml:space="preserve">thermometers in </w:t>
      </w:r>
      <w:r w:rsidR="00E263F2">
        <w:t>2007</w:t>
      </w:r>
      <w:r w:rsidR="00BD4F71">
        <w:t xml:space="preserve"> (NEWMOA 2008)</w:t>
      </w:r>
      <w:r w:rsidR="008F187A">
        <w:t xml:space="preserve">. </w:t>
      </w:r>
      <w:r w:rsidR="00E263F2">
        <w:t xml:space="preserve">We assume that this </w:t>
      </w:r>
      <w:r w:rsidR="006B1700">
        <w:t xml:space="preserve">value </w:t>
      </w:r>
      <w:r w:rsidR="00E263F2">
        <w:t>is held constant each year through 2011.</w:t>
      </w:r>
      <w:r w:rsidR="006B1700">
        <w:t xml:space="preserve"> </w:t>
      </w:r>
    </w:p>
    <w:p w:rsidR="003A70BB" w:rsidRDefault="003A70BB" w:rsidP="003A70BB">
      <w:r>
        <w:t>The US EPA assumes that the average lifespan of a glass thermometer is 5 years</w:t>
      </w:r>
      <w:r w:rsidR="00E263F2">
        <w:t>, and that 5% of glass thermometers are broken each year</w:t>
      </w:r>
      <w:r w:rsidR="00BD4F71">
        <w:t xml:space="preserve"> (Leopold 2002)</w:t>
      </w:r>
      <w:r>
        <w:t>.</w:t>
      </w:r>
      <w:r w:rsidR="00E263F2">
        <w:rPr>
          <w:rStyle w:val="FootnoteReference"/>
        </w:rPr>
        <w:footnoteReference w:id="1"/>
      </w:r>
      <w:r>
        <w:t xml:space="preserve"> </w:t>
      </w:r>
      <w:r w:rsidR="00E263F2">
        <w:t xml:space="preserve">Therefore, if </w:t>
      </w:r>
      <w:r w:rsidR="00FF08D4">
        <w:t>713</w:t>
      </w:r>
      <w:r w:rsidR="00E263F2">
        <w:t xml:space="preserve"> </w:t>
      </w:r>
      <w:r w:rsidR="00FF08D4">
        <w:t xml:space="preserve">lbs. </w:t>
      </w:r>
      <w:r w:rsidR="00E263F2">
        <w:t xml:space="preserve">of mercury are used in thermometers each year </w:t>
      </w:r>
      <w:r>
        <w:t>there would be an estimated</w:t>
      </w:r>
      <w:r w:rsidR="00E263F2">
        <w:t xml:space="preserve"> </w:t>
      </w:r>
      <w:r w:rsidR="00FF08D4">
        <w:t>3,228</w:t>
      </w:r>
      <w:r>
        <w:t xml:space="preserve"> </w:t>
      </w:r>
      <w:r w:rsidR="00FF08D4">
        <w:t xml:space="preserve">lbs. </w:t>
      </w:r>
      <w:r>
        <w:t xml:space="preserve">of mercury </w:t>
      </w:r>
      <w:r w:rsidR="00E263F2">
        <w:t>remaining in thermometers in 2011 (accounting for the breakage rate each year)</w:t>
      </w:r>
      <w:r>
        <w:t xml:space="preserve">. </w:t>
      </w:r>
    </w:p>
    <w:p w:rsidR="00840E68" w:rsidRDefault="00840E68" w:rsidP="003A70BB">
      <w:r>
        <w:t>King et al. (2008) estimate that during the period 2000-2006 there were 350 lbs. of mercury from thermometers collected in recycling programs.</w:t>
      </w:r>
    </w:p>
    <w:p w:rsidR="00840E68" w:rsidRDefault="00840E68" w:rsidP="003A70BB">
      <w:r>
        <w:t xml:space="preserve">Therefore, there were </w:t>
      </w:r>
      <w:r w:rsidR="00FF08D4">
        <w:t>2,878 lbs. (</w:t>
      </w:r>
      <w:r w:rsidR="00D94E67">
        <w:t>1.44 tons</w:t>
      </w:r>
      <w:r w:rsidR="00FF08D4">
        <w:t>)</w:t>
      </w:r>
      <w:r w:rsidR="00D94E67">
        <w:t xml:space="preserve"> of mercury available for release in 2011.</w:t>
      </w:r>
    </w:p>
    <w:p w:rsidR="00840E68" w:rsidRDefault="00840E68" w:rsidP="00840E68">
      <w:pPr>
        <w:pStyle w:val="Heading2"/>
      </w:pPr>
      <w:r>
        <w:t>Allocation Approach</w:t>
      </w:r>
    </w:p>
    <w:p w:rsidR="00840E68" w:rsidRPr="00E12090" w:rsidRDefault="00840E68" w:rsidP="00840E68">
      <w:r>
        <w:t>The national-level mercury emissions from thermometers are allocated to the county level based on population.</w:t>
      </w:r>
    </w:p>
    <w:p w:rsidR="00F93D7C" w:rsidRDefault="00F93D7C" w:rsidP="00F93D7C">
      <w:pPr>
        <w:pStyle w:val="Heading2"/>
      </w:pPr>
      <w:r>
        <w:t>Emission Factor</w:t>
      </w:r>
    </w:p>
    <w:p w:rsidR="00F93D7C" w:rsidRDefault="00F93D7C" w:rsidP="00F93D7C">
      <w:r>
        <w:t xml:space="preserve">Cain et al. </w:t>
      </w:r>
      <w:r w:rsidR="00BD4F71">
        <w:t xml:space="preserve">(2007) </w:t>
      </w:r>
      <w:r>
        <w:t>estimate that 10% of mercury from thermometers is emitted to the ai</w:t>
      </w:r>
      <w:r w:rsidR="00D94E67">
        <w:t>r before disposal in a landfill, and Leopold (2002) estimates that 5% of thermometers are broken each year. Therefore the emission factor is estimated to be 10 lbs. of mercury emissions per ton of mercury in thermometers.</w:t>
      </w:r>
    </w:p>
    <w:p w:rsidR="00F93D7C" w:rsidRDefault="00F93D7C" w:rsidP="00F93D7C">
      <w:pPr>
        <w:pStyle w:val="Heading2"/>
      </w:pPr>
      <w:r>
        <w:t>Example Calculation</w:t>
      </w:r>
    </w:p>
    <w:p w:rsidR="00F93D7C" w:rsidRDefault="00D94E67" w:rsidP="00F93D7C">
      <w:pPr>
        <w:jc w:val="center"/>
      </w:pPr>
      <w:r>
        <w:t xml:space="preserve">1.44 tons </w:t>
      </w:r>
      <w:r w:rsidR="00F93D7C">
        <w:t xml:space="preserve">of mercury in broken thermometers × </w:t>
      </w:r>
      <w:r>
        <w:t xml:space="preserve">10 lbs. emissions per ton </w:t>
      </w:r>
      <w:r w:rsidR="00F93D7C">
        <w:t xml:space="preserve">= </w:t>
      </w:r>
      <w:r w:rsidR="00E263F2">
        <w:t>1</w:t>
      </w:r>
      <w:r>
        <w:t>4</w:t>
      </w:r>
      <w:r w:rsidR="00E263F2">
        <w:t>.</w:t>
      </w:r>
      <w:r>
        <w:t>4</w:t>
      </w:r>
      <w:r w:rsidR="00F93D7C">
        <w:t xml:space="preserve"> </w:t>
      </w:r>
      <w:r w:rsidR="003A70BB">
        <w:t>lbs.</w:t>
      </w:r>
      <w:r w:rsidR="00F93D7C">
        <w:t xml:space="preserve"> of emissions</w:t>
      </w:r>
    </w:p>
    <w:p w:rsidR="00D94E67" w:rsidRDefault="00D94E67" w:rsidP="00D94E67">
      <w:r>
        <w:lastRenderedPageBreak/>
        <w:t>Boise County, ID has 7,028 people, or 0.0023% of the national population. The mercury emissions from broken thermometers for Boise County are estimated by the following:</w:t>
      </w:r>
    </w:p>
    <w:p w:rsidR="00D94E67" w:rsidRDefault="00D94E67" w:rsidP="00D94E67">
      <w:pPr>
        <w:jc w:val="center"/>
      </w:pPr>
      <w:r>
        <w:t>14.4 lbs. national emissions × 0.0023% = 0.00033 lbs. emissions</w:t>
      </w:r>
    </w:p>
    <w:p w:rsidR="00BD4F71" w:rsidRDefault="00BD4F71">
      <w:pPr>
        <w:spacing w:line="276" w:lineRule="auto"/>
      </w:pPr>
      <w:r>
        <w:br w:type="page"/>
      </w:r>
    </w:p>
    <w:p w:rsidR="00E80576" w:rsidRDefault="00E80576" w:rsidP="00E80576">
      <w:pPr>
        <w:pStyle w:val="Heading1"/>
      </w:pPr>
      <w:r>
        <w:lastRenderedPageBreak/>
        <w:t>Fluorescent Lamp Recycling</w:t>
      </w:r>
    </w:p>
    <w:p w:rsidR="00E80576" w:rsidRDefault="00D94E67" w:rsidP="00E80576">
      <w:pPr>
        <w:rPr>
          <w:szCs w:val="22"/>
        </w:rPr>
      </w:pPr>
      <w:r>
        <w:rPr>
          <w:szCs w:val="22"/>
        </w:rPr>
        <w:t xml:space="preserve">In addition to emissions of mercury from the breakage of fluorescent light bulbs (SCC 2861000000), there are a small amount of emissions from recycling fluorescent bulbs. </w:t>
      </w:r>
    </w:p>
    <w:p w:rsidR="00E80576" w:rsidRDefault="00E80576" w:rsidP="00E80576">
      <w:pPr>
        <w:pStyle w:val="Heading2"/>
      </w:pPr>
      <w:r>
        <w:t>Activity Data</w:t>
      </w:r>
    </w:p>
    <w:p w:rsidR="00E80576" w:rsidRDefault="00E80576" w:rsidP="00E80576">
      <w:pPr>
        <w:rPr>
          <w:szCs w:val="22"/>
        </w:rPr>
      </w:pPr>
      <w:r>
        <w:rPr>
          <w:szCs w:val="22"/>
        </w:rPr>
        <w:t xml:space="preserve">The most recent data from the Association of Lighting and Mercury Recyclers </w:t>
      </w:r>
      <w:r w:rsidR="00BD4F71">
        <w:rPr>
          <w:szCs w:val="22"/>
        </w:rPr>
        <w:t xml:space="preserve">(2004) </w:t>
      </w:r>
      <w:r>
        <w:rPr>
          <w:szCs w:val="22"/>
        </w:rPr>
        <w:t>estimates that an average of 527 million mercury-containing lamps, including CFLs and high impact discharge (HID) lamps, were discarded or recycled each year from businesses and institutions and 142 million bulbs were discarded or recycled each year from residential users, for a total of approximately 668 million bulbs per year during the period 2001-2003.</w:t>
      </w:r>
    </w:p>
    <w:p w:rsidR="00E80576" w:rsidRDefault="00E80576" w:rsidP="00E80576">
      <w:pPr>
        <w:rPr>
          <w:szCs w:val="22"/>
        </w:rPr>
      </w:pPr>
      <w:r>
        <w:rPr>
          <w:szCs w:val="22"/>
        </w:rPr>
        <w:t>The recycling rate for business and industrial use was 22.6% and for residential use it was 2.1% over the same period. The U.S. Department of Energy’s CFL Market Profile indicates that for the period of 2007-2009 there were an average of 335 million compact fluorescent lamps (CFLs) sold each year</w:t>
      </w:r>
      <w:r w:rsidR="00BD4F71">
        <w:rPr>
          <w:szCs w:val="22"/>
        </w:rPr>
        <w:t xml:space="preserve"> (U.S. Department of Energy 2010)</w:t>
      </w:r>
      <w:r>
        <w:rPr>
          <w:szCs w:val="22"/>
        </w:rPr>
        <w:t>. This suggests that CFLs make up approximately half (50.1%) of the discarded or recycled bulbs. In addition, the USGS estimates that high-intensity discharge (HID) bulbs account for 4% of the mercury-containing bulbs in use, which would suggest 26.7 million HID bulbs discarded or recycled each year</w:t>
      </w:r>
      <w:r w:rsidR="00BD4F71">
        <w:rPr>
          <w:szCs w:val="22"/>
        </w:rPr>
        <w:t xml:space="preserve"> (</w:t>
      </w:r>
      <w:proofErr w:type="spellStart"/>
      <w:r w:rsidR="00BD4F71">
        <w:rPr>
          <w:szCs w:val="22"/>
        </w:rPr>
        <w:t>Goonan</w:t>
      </w:r>
      <w:proofErr w:type="spellEnd"/>
      <w:r w:rsidR="00BD4F71">
        <w:rPr>
          <w:szCs w:val="22"/>
        </w:rPr>
        <w:t xml:space="preserve"> 2006)</w:t>
      </w:r>
      <w:r>
        <w:rPr>
          <w:szCs w:val="22"/>
        </w:rPr>
        <w:t xml:space="preserve">. Linear fluorescent bulbs would make up the remainder of discarded or recycled mercury-containing bulbs, (306 million bulbs; 45.9%). </w:t>
      </w:r>
    </w:p>
    <w:p w:rsidR="00E80576" w:rsidRDefault="00E80576" w:rsidP="00E80576">
      <w:pPr>
        <w:rPr>
          <w:szCs w:val="22"/>
        </w:rPr>
      </w:pPr>
      <w:r>
        <w:rPr>
          <w:szCs w:val="22"/>
        </w:rPr>
        <w:t>Taking into account recycling</w:t>
      </w:r>
      <w:r w:rsidR="007D2DCB">
        <w:rPr>
          <w:szCs w:val="22"/>
        </w:rPr>
        <w:t xml:space="preserve"> rates</w:t>
      </w:r>
      <w:r>
        <w:rPr>
          <w:szCs w:val="22"/>
        </w:rPr>
        <w:t xml:space="preserve">, this suggests that there </w:t>
      </w:r>
      <w:r w:rsidR="00D94E67">
        <w:rPr>
          <w:szCs w:val="22"/>
        </w:rPr>
        <w:t>we</w:t>
      </w:r>
      <w:r>
        <w:rPr>
          <w:szCs w:val="22"/>
        </w:rPr>
        <w:t xml:space="preserve">re approximately 121 million </w:t>
      </w:r>
      <w:r w:rsidR="00D94E67">
        <w:rPr>
          <w:szCs w:val="22"/>
        </w:rPr>
        <w:t xml:space="preserve">mercury-containing </w:t>
      </w:r>
      <w:r>
        <w:rPr>
          <w:szCs w:val="22"/>
        </w:rPr>
        <w:t>lamps recycled</w:t>
      </w:r>
      <w:r w:rsidR="00D94E67">
        <w:rPr>
          <w:szCs w:val="22"/>
        </w:rPr>
        <w:t xml:space="preserve"> in 2011</w:t>
      </w:r>
      <w:r>
        <w:rPr>
          <w:szCs w:val="22"/>
        </w:rPr>
        <w:t>.</w:t>
      </w:r>
    </w:p>
    <w:p w:rsidR="00E80576" w:rsidRDefault="00E80576" w:rsidP="00E80576">
      <w:pPr>
        <w:pStyle w:val="Heading2"/>
      </w:pPr>
      <w:r>
        <w:t>Allocation Approach</w:t>
      </w:r>
    </w:p>
    <w:p w:rsidR="00E80576" w:rsidRDefault="00E80576" w:rsidP="00E80576">
      <w:pPr>
        <w:rPr>
          <w:szCs w:val="22"/>
        </w:rPr>
      </w:pPr>
      <w:r>
        <w:rPr>
          <w:szCs w:val="22"/>
        </w:rPr>
        <w:t xml:space="preserve">The national-level </w:t>
      </w:r>
      <w:r w:rsidR="00D94E67">
        <w:rPr>
          <w:szCs w:val="22"/>
        </w:rPr>
        <w:t xml:space="preserve">mercury </w:t>
      </w:r>
      <w:r>
        <w:rPr>
          <w:szCs w:val="22"/>
        </w:rPr>
        <w:t xml:space="preserve">emissions </w:t>
      </w:r>
      <w:r w:rsidR="00D94E67">
        <w:rPr>
          <w:szCs w:val="22"/>
        </w:rPr>
        <w:t xml:space="preserve">from the recycling of mercury-containing lamps </w:t>
      </w:r>
      <w:r>
        <w:rPr>
          <w:szCs w:val="22"/>
        </w:rPr>
        <w:t>are allocated to each county based on population.</w:t>
      </w:r>
    </w:p>
    <w:p w:rsidR="00E80576" w:rsidRPr="008F3BE4" w:rsidRDefault="00E80576" w:rsidP="00E80576">
      <w:pPr>
        <w:pStyle w:val="Heading2"/>
      </w:pPr>
      <w:r>
        <w:t>Emission Factor</w:t>
      </w:r>
    </w:p>
    <w:p w:rsidR="00E80576" w:rsidRPr="00442228" w:rsidRDefault="00D94E67" w:rsidP="00E80576">
      <w:pPr>
        <w:rPr>
          <w:szCs w:val="22"/>
        </w:rPr>
      </w:pPr>
      <w:r>
        <w:rPr>
          <w:szCs w:val="22"/>
        </w:rPr>
        <w:t>T</w:t>
      </w:r>
      <w:r w:rsidR="00E80576">
        <w:rPr>
          <w:szCs w:val="22"/>
        </w:rPr>
        <w:t xml:space="preserve">he US EPA </w:t>
      </w:r>
      <w:r>
        <w:rPr>
          <w:szCs w:val="22"/>
        </w:rPr>
        <w:t xml:space="preserve">(1997) </w:t>
      </w:r>
      <w:r w:rsidR="00E80576">
        <w:rPr>
          <w:szCs w:val="22"/>
        </w:rPr>
        <w:t>has estimated an emission factor from mercury-containing bulb recycling of 0.00088 mg/lamp (1.9 × 10</w:t>
      </w:r>
      <w:r w:rsidR="00E80576">
        <w:rPr>
          <w:sz w:val="24"/>
          <w:szCs w:val="22"/>
          <w:vertAlign w:val="superscript"/>
        </w:rPr>
        <w:t>-9</w:t>
      </w:r>
      <w:r w:rsidR="00E80576">
        <w:rPr>
          <w:sz w:val="24"/>
          <w:szCs w:val="22"/>
        </w:rPr>
        <w:t xml:space="preserve"> lb./lamp).</w:t>
      </w:r>
      <w:r w:rsidR="00E80576">
        <w:rPr>
          <w:szCs w:val="22"/>
        </w:rPr>
        <w:t xml:space="preserve"> </w:t>
      </w:r>
    </w:p>
    <w:p w:rsidR="00E80576" w:rsidRDefault="00E80576" w:rsidP="00E80576">
      <w:pPr>
        <w:pStyle w:val="Heading2"/>
      </w:pPr>
      <w:r>
        <w:t>Example Calculation</w:t>
      </w:r>
    </w:p>
    <w:p w:rsidR="00E80576" w:rsidRDefault="00E80576" w:rsidP="00E80576">
      <w:pPr>
        <w:rPr>
          <w:rFonts w:cs="Arial"/>
        </w:rPr>
      </w:pPr>
      <w:r>
        <w:rPr>
          <w:rFonts w:cs="Arial"/>
        </w:rPr>
        <w:t>Emissions from recycling of mercury-containing bulbs:</w:t>
      </w:r>
    </w:p>
    <w:p w:rsidR="00E80576" w:rsidRDefault="00E80576" w:rsidP="00E80576">
      <w:pPr>
        <w:jc w:val="center"/>
        <w:rPr>
          <w:sz w:val="24"/>
          <w:szCs w:val="22"/>
        </w:rPr>
      </w:pPr>
      <w:r>
        <w:rPr>
          <w:rFonts w:cs="Arial"/>
        </w:rPr>
        <w:t xml:space="preserve">121 million bulbs recycled </w:t>
      </w:r>
      <w:r>
        <w:t>×</w:t>
      </w:r>
      <w:r>
        <w:rPr>
          <w:rFonts w:cs="Arial"/>
        </w:rPr>
        <w:t xml:space="preserve"> </w:t>
      </w:r>
      <w:r>
        <w:rPr>
          <w:szCs w:val="22"/>
        </w:rPr>
        <w:t>1.9 × 10</w:t>
      </w:r>
      <w:r>
        <w:rPr>
          <w:sz w:val="24"/>
          <w:szCs w:val="22"/>
          <w:vertAlign w:val="superscript"/>
        </w:rPr>
        <w:t>-9</w:t>
      </w:r>
      <w:r>
        <w:rPr>
          <w:sz w:val="24"/>
          <w:szCs w:val="22"/>
        </w:rPr>
        <w:t xml:space="preserve"> lb./lamp = 0.23 lbs. mercury emissions</w:t>
      </w:r>
    </w:p>
    <w:p w:rsidR="00D94E67" w:rsidRDefault="00D94E67" w:rsidP="00906D3B">
      <w:pPr>
        <w:rPr>
          <w:rFonts w:cs="Arial"/>
        </w:rPr>
      </w:pPr>
      <w:r>
        <w:rPr>
          <w:rFonts w:cs="Arial"/>
        </w:rPr>
        <w:t>Cumberland County, ME has a population of 281,674 people, or 0.091% of the national population. The emissions from the recycling of mercury-containing bulbs in Cumberland County, ME were estimated by the following:</w:t>
      </w:r>
    </w:p>
    <w:p w:rsidR="00D94E67" w:rsidRDefault="00D94E67" w:rsidP="00CB0CDC">
      <w:pPr>
        <w:jc w:val="center"/>
        <w:rPr>
          <w:rFonts w:cs="Arial"/>
        </w:rPr>
      </w:pPr>
      <w:r>
        <w:rPr>
          <w:rFonts w:cs="Arial"/>
        </w:rPr>
        <w:t xml:space="preserve">0.23 lbs. mercury emissions </w:t>
      </w:r>
      <w:r>
        <w:t>×</w:t>
      </w:r>
      <w:r>
        <w:rPr>
          <w:rFonts w:cs="Arial"/>
        </w:rPr>
        <w:t xml:space="preserve"> 0.091%</w:t>
      </w:r>
      <w:r w:rsidR="00CB0CDC">
        <w:rPr>
          <w:rFonts w:cs="Arial"/>
        </w:rPr>
        <w:t xml:space="preserve"> = 0.00021 lbs. mercury emissions</w:t>
      </w:r>
    </w:p>
    <w:p w:rsidR="00CB0CDC" w:rsidRDefault="00CB0CDC" w:rsidP="00CB0CDC">
      <w:pPr>
        <w:rPr>
          <w:rFonts w:cs="Arial"/>
        </w:rPr>
      </w:pPr>
    </w:p>
    <w:p w:rsidR="00553E81" w:rsidRDefault="00553E81" w:rsidP="00553E81">
      <w:pPr>
        <w:pStyle w:val="Heading1"/>
      </w:pPr>
      <w:r w:rsidRPr="007B1DB7">
        <w:lastRenderedPageBreak/>
        <w:t>Batteries</w:t>
      </w:r>
    </w:p>
    <w:p w:rsidR="00C76958" w:rsidRPr="00C76958" w:rsidRDefault="00C76958" w:rsidP="00C76958">
      <w:r>
        <w:t>Mercury use in batteries has decreased from a peak of 1,000 tons per year in the early 1980s</w:t>
      </w:r>
      <w:r w:rsidR="00BD4F71">
        <w:t xml:space="preserve"> (USGS 2005)</w:t>
      </w:r>
      <w:r w:rsidR="007B1DB7">
        <w:t xml:space="preserve"> to les</w:t>
      </w:r>
      <w:r w:rsidR="00BD4F71">
        <w:t>s than one ton in the mid-1990s (Leopold 2002).</w:t>
      </w:r>
      <w:r w:rsidR="007B1DB7">
        <w:t xml:space="preserve"> The Mercury-Containing and Rechargeable Battery Management Act of 1996 (P.L. 104-142) phased out the use of most types of mercury containing batteries. The batteries that were manufactured before this statute was enacted are not expected to still be in use. In addition, the amount of mercury emissions to the air from batteries prior to disposal is also minimal. Therefore </w:t>
      </w:r>
      <w:r w:rsidR="00356AC4">
        <w:t xml:space="preserve">no mercury emissions </w:t>
      </w:r>
      <w:r w:rsidR="007B1DB7">
        <w:t xml:space="preserve">are expected </w:t>
      </w:r>
      <w:r w:rsidR="00356AC4">
        <w:t xml:space="preserve">to be emitted </w:t>
      </w:r>
      <w:r w:rsidR="007B1DB7">
        <w:t>to the air from batteries in 2011.</w:t>
      </w:r>
    </w:p>
    <w:p w:rsidR="009378AF" w:rsidRDefault="009378AF" w:rsidP="009378AF"/>
    <w:p w:rsidR="009378AF" w:rsidRDefault="009378AF" w:rsidP="009378AF"/>
    <w:p w:rsidR="009378AF" w:rsidRDefault="009378AF" w:rsidP="009378AF"/>
    <w:p w:rsidR="009378AF" w:rsidRDefault="009378AF" w:rsidP="009378AF"/>
    <w:p w:rsidR="009378AF" w:rsidRDefault="009378AF" w:rsidP="009378AF"/>
    <w:p w:rsidR="009378AF" w:rsidRDefault="009378AF">
      <w:pPr>
        <w:spacing w:line="276" w:lineRule="auto"/>
      </w:pPr>
      <w:r>
        <w:br w:type="page"/>
      </w:r>
    </w:p>
    <w:p w:rsidR="00553E81" w:rsidRDefault="009378AF" w:rsidP="009378AF">
      <w:pPr>
        <w:pStyle w:val="Heading1"/>
      </w:pPr>
      <w:r>
        <w:lastRenderedPageBreak/>
        <w:t>References</w:t>
      </w:r>
    </w:p>
    <w:p w:rsidR="00782EF2" w:rsidRPr="00BD4F71" w:rsidRDefault="00782EF2" w:rsidP="00BD4F71">
      <w:pPr>
        <w:pStyle w:val="FootnoteText"/>
        <w:ind w:left="360" w:hanging="360"/>
      </w:pPr>
      <w:proofErr w:type="spellStart"/>
      <w:r w:rsidRPr="00BD4F71">
        <w:t>Adegbembo</w:t>
      </w:r>
      <w:proofErr w:type="spellEnd"/>
      <w:r w:rsidRPr="00BD4F71">
        <w:t xml:space="preserve">, A.O., P.A. Watson, and S. </w:t>
      </w:r>
      <w:proofErr w:type="spellStart"/>
      <w:r w:rsidRPr="00BD4F71">
        <w:t>Rokni</w:t>
      </w:r>
      <w:proofErr w:type="spellEnd"/>
      <w:r w:rsidRPr="00BD4F71">
        <w:t>. 2004. Estimating the Weight of Dental Amalgam Restorations. Journal of the Canadian Dental Association, 70:30-30e.</w:t>
      </w:r>
    </w:p>
    <w:p w:rsidR="00707BF2" w:rsidRPr="00BD4F71" w:rsidRDefault="00707BF2" w:rsidP="00BD4F71">
      <w:pPr>
        <w:pStyle w:val="FootnoteText"/>
        <w:ind w:left="360" w:hanging="360"/>
      </w:pPr>
      <w:r w:rsidRPr="00BD4F71">
        <w:t>American Dental Association (ADA). 1998. Dental Amalgam: Update on Safety Concerns. Journal of the American Dental Association, 129:494:503.</w:t>
      </w:r>
    </w:p>
    <w:p w:rsidR="00ED35F2" w:rsidRPr="00BD4F71" w:rsidRDefault="00ED35F2" w:rsidP="00BD4F71">
      <w:pPr>
        <w:pStyle w:val="FootnoteText"/>
        <w:ind w:left="360" w:hanging="360"/>
      </w:pPr>
      <w:r w:rsidRPr="00BD4F71">
        <w:t>Animal Ark. 2012. Human Society Admits to Illegally Dumping Animal Remains.</w:t>
      </w:r>
    </w:p>
    <w:p w:rsidR="001724CF" w:rsidRPr="00BD4F71" w:rsidRDefault="001724CF" w:rsidP="00BD4F71">
      <w:pPr>
        <w:pStyle w:val="FootnoteText"/>
        <w:ind w:left="360" w:hanging="360"/>
      </w:pPr>
      <w:r w:rsidRPr="00BD4F71">
        <w:t xml:space="preserve">Association of Lighting and Mercury Recyclers. </w:t>
      </w:r>
      <w:hyperlink r:id="rId8" w:history="1">
        <w:r w:rsidRPr="004B0F1D">
          <w:rPr>
            <w:rStyle w:val="Hyperlink"/>
          </w:rPr>
          <w:t xml:space="preserve">2004. National Mercury-Lamp Recycling Rate and Availability of Lamp </w:t>
        </w:r>
        <w:r w:rsidR="00A46127" w:rsidRPr="004B0F1D">
          <w:rPr>
            <w:rStyle w:val="Hyperlink"/>
          </w:rPr>
          <w:t>Recycling</w:t>
        </w:r>
        <w:r w:rsidRPr="004B0F1D">
          <w:rPr>
            <w:rStyle w:val="Hyperlink"/>
          </w:rPr>
          <w:t xml:space="preserve"> Services in the U.S</w:t>
        </w:r>
      </w:hyperlink>
      <w:r w:rsidRPr="00BD4F71">
        <w:t>. last accessed May 201</w:t>
      </w:r>
      <w:r w:rsidR="00F96E6C">
        <w:t>9</w:t>
      </w:r>
      <w:r w:rsidRPr="00BD4F71">
        <w:t>.</w:t>
      </w:r>
    </w:p>
    <w:p w:rsidR="001724CF" w:rsidRPr="00BD4F71" w:rsidRDefault="004E4FFC" w:rsidP="00BD4F71">
      <w:pPr>
        <w:pStyle w:val="FootnoteText"/>
        <w:ind w:left="360" w:hanging="360"/>
      </w:pPr>
      <w:proofErr w:type="spellStart"/>
      <w:r w:rsidRPr="00BD4F71">
        <w:t>Aucott</w:t>
      </w:r>
      <w:proofErr w:type="spellEnd"/>
      <w:r w:rsidRPr="00BD4F71">
        <w:t xml:space="preserve">, M., M. </w:t>
      </w:r>
      <w:proofErr w:type="spellStart"/>
      <w:r w:rsidRPr="00BD4F71">
        <w:t>McLinden</w:t>
      </w:r>
      <w:proofErr w:type="spellEnd"/>
      <w:r w:rsidRPr="00BD4F71">
        <w:t xml:space="preserve">, and M. </w:t>
      </w:r>
      <w:proofErr w:type="spellStart"/>
      <w:r w:rsidRPr="00BD4F71">
        <w:t>Winka</w:t>
      </w:r>
      <w:proofErr w:type="spellEnd"/>
      <w:r w:rsidRPr="00BD4F71">
        <w:t xml:space="preserve">. </w:t>
      </w:r>
      <w:hyperlink r:id="rId9" w:history="1">
        <w:r w:rsidRPr="00F96E6C">
          <w:rPr>
            <w:rStyle w:val="Hyperlink"/>
          </w:rPr>
          <w:t>2004. Release of Mercury from Broken Fluorescent Bulbs. New Jersey Department of Environmental Protection. Environmental Assessment and Risk Analysis Element, Research Project Summary</w:t>
        </w:r>
      </w:hyperlink>
      <w:r w:rsidRPr="00BD4F71">
        <w:t>.</w:t>
      </w:r>
      <w:r w:rsidR="00BD4F71" w:rsidRPr="00BD4F71">
        <w:t xml:space="preserve"> last accessed May 201</w:t>
      </w:r>
      <w:r w:rsidR="00F96E6C">
        <w:t>9</w:t>
      </w:r>
      <w:r w:rsidR="00BD4F71" w:rsidRPr="00BD4F71">
        <w:t>.</w:t>
      </w:r>
    </w:p>
    <w:p w:rsidR="004E4FFC" w:rsidRPr="00BD4F71" w:rsidRDefault="004E4FFC" w:rsidP="00BD4F71">
      <w:pPr>
        <w:pStyle w:val="FootnoteText"/>
        <w:ind w:left="360" w:hanging="360"/>
      </w:pPr>
      <w:r w:rsidRPr="00BD4F71">
        <w:t xml:space="preserve">Cain, A., S. Disch, C. </w:t>
      </w:r>
      <w:proofErr w:type="spellStart"/>
      <w:r w:rsidRPr="00BD4F71">
        <w:t>Twaroski</w:t>
      </w:r>
      <w:proofErr w:type="spellEnd"/>
      <w:r w:rsidRPr="00BD4F71">
        <w:t xml:space="preserve">, J. </w:t>
      </w:r>
      <w:proofErr w:type="spellStart"/>
      <w:r w:rsidRPr="00BD4F71">
        <w:t>Reindl</w:t>
      </w:r>
      <w:proofErr w:type="spellEnd"/>
      <w:r w:rsidRPr="00BD4F71">
        <w:t>, and C.R. Case. 2007. Substance Flow Analysis of Mercury Intentionally Used in Products in the United States. Journal of Industrial Ecology, 11: 61-75.</w:t>
      </w:r>
    </w:p>
    <w:p w:rsidR="009378AF" w:rsidRPr="00BD4F71" w:rsidRDefault="009378AF" w:rsidP="00BD4F71">
      <w:pPr>
        <w:pStyle w:val="FootnoteText"/>
        <w:ind w:left="360" w:hanging="360"/>
      </w:pPr>
      <w:r w:rsidRPr="00BD4F71">
        <w:t xml:space="preserve">CDC. </w:t>
      </w:r>
      <w:hyperlink r:id="rId10" w:history="1">
        <w:r w:rsidRPr="00F96E6C">
          <w:rPr>
            <w:rStyle w:val="Hyperlink"/>
          </w:rPr>
          <w:t>2014. WONDER Database</w:t>
        </w:r>
      </w:hyperlink>
      <w:r w:rsidRPr="00BD4F71">
        <w:t>., last accessed May 201</w:t>
      </w:r>
      <w:r w:rsidR="00F96E6C">
        <w:t>9</w:t>
      </w:r>
      <w:r w:rsidRPr="00BD4F71">
        <w:t>.</w:t>
      </w:r>
    </w:p>
    <w:p w:rsidR="009378AF" w:rsidRPr="00BD4F71" w:rsidRDefault="00F96E6C" w:rsidP="00BD4F71">
      <w:pPr>
        <w:pStyle w:val="FootnoteText"/>
        <w:ind w:left="360" w:hanging="360"/>
      </w:pPr>
      <w:hyperlink r:id="rId11" w:history="1">
        <w:r w:rsidR="009378AF" w:rsidRPr="00F96E6C">
          <w:rPr>
            <w:rStyle w:val="Hyperlink"/>
          </w:rPr>
          <w:t>Cremation Association of North America (CANA)</w:t>
        </w:r>
      </w:hyperlink>
      <w:r w:rsidR="009378AF" w:rsidRPr="00BD4F71">
        <w:t>. 2011. Annual Statistics Report 2011.</w:t>
      </w:r>
      <w:r>
        <w:t xml:space="preserve">, </w:t>
      </w:r>
      <w:r w:rsidR="009378AF" w:rsidRPr="00BD4F71">
        <w:t>last accessed May 201</w:t>
      </w:r>
      <w:r>
        <w:t>9</w:t>
      </w:r>
      <w:r w:rsidR="009378AF" w:rsidRPr="00BD4F71">
        <w:t>.</w:t>
      </w:r>
    </w:p>
    <w:p w:rsidR="004E4FFC" w:rsidRPr="00BD4F71" w:rsidRDefault="004E4FFC" w:rsidP="00BD4F71">
      <w:pPr>
        <w:pStyle w:val="FootnoteText"/>
        <w:ind w:left="360" w:hanging="360"/>
      </w:pPr>
      <w:proofErr w:type="spellStart"/>
      <w:r w:rsidRPr="00BD4F71">
        <w:t>Goonan</w:t>
      </w:r>
      <w:proofErr w:type="spellEnd"/>
      <w:r w:rsidRPr="00BD4F71">
        <w:t>, T.G. 2006. Mercury Flow Through the Mercury-Containing Lamp Sector of the Economy of the United States. US Geological Survey Scientific Investigations Report 2006-5264.</w:t>
      </w:r>
    </w:p>
    <w:p w:rsidR="009378AF" w:rsidRPr="00BD4F71" w:rsidRDefault="009378AF" w:rsidP="00BD4F71">
      <w:pPr>
        <w:pStyle w:val="FootnoteText"/>
        <w:ind w:left="360" w:hanging="360"/>
      </w:pPr>
      <w:r w:rsidRPr="00BD4F71">
        <w:t xml:space="preserve">Griffith, C., et al. 2001. </w:t>
      </w:r>
      <w:hyperlink r:id="rId12" w:history="1">
        <w:r w:rsidRPr="00F96E6C">
          <w:rPr>
            <w:rStyle w:val="Hyperlink"/>
          </w:rPr>
          <w:t>Toxics in Vehicles: Mercury. A Report by Ecology Center, Great Lakes United, and University of Tennessee Center for Clean Products and Clean Technologies</w:t>
        </w:r>
      </w:hyperlink>
      <w:r w:rsidRPr="00BD4F71">
        <w:t>. last accessed May 201</w:t>
      </w:r>
      <w:r w:rsidR="00F96E6C">
        <w:t>9</w:t>
      </w:r>
      <w:r w:rsidRPr="00BD4F71">
        <w:t>.</w:t>
      </w:r>
    </w:p>
    <w:p w:rsidR="00ED35F2" w:rsidRPr="00BD4F71" w:rsidRDefault="00F96E6C" w:rsidP="00BD4F71">
      <w:pPr>
        <w:pStyle w:val="FootnoteText"/>
        <w:ind w:left="360" w:hanging="360"/>
        <w:rPr>
          <w:rStyle w:val="Hyperlink"/>
        </w:rPr>
      </w:pPr>
      <w:hyperlink r:id="rId13" w:history="1">
        <w:r w:rsidR="00ED35F2" w:rsidRPr="00F96E6C">
          <w:rPr>
            <w:rStyle w:val="Hyperlink"/>
          </w:rPr>
          <w:t>Human Society of the United States. 2014. Pets by the Numbers</w:t>
        </w:r>
      </w:hyperlink>
      <w:r w:rsidR="00ED35F2" w:rsidRPr="00BD4F71">
        <w:t>. last accessed May 201</w:t>
      </w:r>
      <w:r>
        <w:t>9</w:t>
      </w:r>
      <w:r w:rsidR="00ED35F2" w:rsidRPr="00BD4F71">
        <w:t>.</w:t>
      </w:r>
    </w:p>
    <w:p w:rsidR="004E4FFC" w:rsidRPr="00BD4F71" w:rsidRDefault="004E4FFC" w:rsidP="00BD4F71">
      <w:pPr>
        <w:pStyle w:val="FootnoteText"/>
        <w:ind w:left="360" w:hanging="360"/>
      </w:pPr>
      <w:r w:rsidRPr="00BD4F71">
        <w:t>Li, Y. and L. Jin. 2011. Environmental Release of Mercury from Broken Compact Fluorescent Lamps. Environmental Engineering Science, 28:687-691.</w:t>
      </w:r>
    </w:p>
    <w:p w:rsidR="00ED35F2" w:rsidRPr="00BD4F71" w:rsidRDefault="00ED35F2" w:rsidP="00BD4F71">
      <w:pPr>
        <w:pStyle w:val="FootnoteText"/>
        <w:ind w:left="360" w:hanging="360"/>
      </w:pPr>
      <w:r w:rsidRPr="00BD4F71">
        <w:t>Leopold, B.R. 2002. Use and Release of Mercury in the United States. U.S. Environmental Protection Agency. Report EPA/600/R-02/104.</w:t>
      </w:r>
    </w:p>
    <w:p w:rsidR="006B4BC5" w:rsidRPr="00BD4F71" w:rsidRDefault="006B4BC5" w:rsidP="00BD4F71">
      <w:pPr>
        <w:pStyle w:val="FootnoteText"/>
        <w:ind w:left="360" w:hanging="360"/>
      </w:pPr>
      <w:r w:rsidRPr="00BD4F71">
        <w:t xml:space="preserve">Lindberg, S.E., G.R. Southworth, M.A. Bogle, T.J. </w:t>
      </w:r>
      <w:proofErr w:type="spellStart"/>
      <w:r w:rsidRPr="00BD4F71">
        <w:t>Blasing</w:t>
      </w:r>
      <w:proofErr w:type="spellEnd"/>
      <w:r w:rsidRPr="00BD4F71">
        <w:t xml:space="preserve">, J. Owens, K. Roy, H. Zhang, T. </w:t>
      </w:r>
      <w:proofErr w:type="spellStart"/>
      <w:r w:rsidRPr="00BD4F71">
        <w:t>Kuiken</w:t>
      </w:r>
      <w:proofErr w:type="spellEnd"/>
      <w:r w:rsidRPr="00BD4F71">
        <w:t>, J. Price, D. Reinhart, and H. Sfeir. 2005. Airborne Emission of Mercury from Municipal Solid Waste. I: New Measurements from Six Operating Landfills in Florida. Journal of the Air and Waste Management Association, 55: 859-869.</w:t>
      </w:r>
    </w:p>
    <w:p w:rsidR="009378AF" w:rsidRPr="00BD4F71" w:rsidRDefault="009378AF" w:rsidP="00BD4F71">
      <w:pPr>
        <w:pStyle w:val="FootnoteText"/>
        <w:ind w:left="360" w:hanging="360"/>
      </w:pPr>
      <w:r w:rsidRPr="00BD4F71">
        <w:t>Lundquist, J.H. 2012. Mercury Emissions from the Cremation of Human Remains. Bay Area Air Quality Management District.</w:t>
      </w:r>
    </w:p>
    <w:p w:rsidR="004E4FFC" w:rsidRPr="00BD4F71" w:rsidRDefault="004E4FFC" w:rsidP="00BD4F71">
      <w:pPr>
        <w:pStyle w:val="FootnoteText"/>
        <w:ind w:left="360" w:hanging="360"/>
      </w:pPr>
      <w:r w:rsidRPr="00BD4F71">
        <w:t xml:space="preserve">National Electrical Manufacturers Association (NEMA). 2005. </w:t>
      </w:r>
      <w:hyperlink r:id="rId14" w:history="1">
        <w:r w:rsidRPr="00FC6ABF">
          <w:rPr>
            <w:rStyle w:val="Hyperlink"/>
          </w:rPr>
          <w:t>Fluorescent and other Mercury-Containing Lamps and the Environment</w:t>
        </w:r>
      </w:hyperlink>
      <w:r w:rsidRPr="00BD4F71">
        <w:t>.</w:t>
      </w:r>
      <w:r w:rsidR="00BD4F71" w:rsidRPr="00BD4F71">
        <w:t xml:space="preserve"> last accessed May 201</w:t>
      </w:r>
      <w:r w:rsidR="006541A4">
        <w:t>9</w:t>
      </w:r>
      <w:r w:rsidR="00BD4F71" w:rsidRPr="00BD4F71">
        <w:t>.</w:t>
      </w:r>
    </w:p>
    <w:p w:rsidR="00ED35F2" w:rsidRPr="00BD4F71" w:rsidRDefault="00ED35F2" w:rsidP="00BD4F71">
      <w:pPr>
        <w:pStyle w:val="FootnoteText"/>
        <w:ind w:left="360" w:hanging="360"/>
        <w:rPr>
          <w:rStyle w:val="Hyperlink"/>
        </w:rPr>
      </w:pPr>
      <w:r w:rsidRPr="00BD4F71">
        <w:t xml:space="preserve">National Geographic. 2014. </w:t>
      </w:r>
      <w:hyperlink r:id="rId15" w:history="1">
        <w:r w:rsidRPr="006541A4">
          <w:rPr>
            <w:rStyle w:val="Hyperlink"/>
          </w:rPr>
          <w:t>Domestic Cat</w:t>
        </w:r>
      </w:hyperlink>
      <w:r w:rsidRPr="00BD4F71">
        <w:t>. last accessed May 201</w:t>
      </w:r>
      <w:r w:rsidR="006541A4">
        <w:t>9</w:t>
      </w:r>
      <w:r w:rsidRPr="00BD4F71">
        <w:t>.</w:t>
      </w:r>
    </w:p>
    <w:p w:rsidR="004E4FFC" w:rsidRPr="00BD4F71" w:rsidRDefault="004E4FFC" w:rsidP="00BD4F71">
      <w:pPr>
        <w:pStyle w:val="FootnoteText"/>
        <w:ind w:left="360" w:hanging="360"/>
      </w:pPr>
      <w:r w:rsidRPr="00BD4F71">
        <w:t xml:space="preserve">National Institute of Dental and Craniofacial Research. 2013. </w:t>
      </w:r>
      <w:hyperlink r:id="rId16" w:history="1">
        <w:r w:rsidRPr="006541A4">
          <w:rPr>
            <w:rStyle w:val="Hyperlink"/>
          </w:rPr>
          <w:t>Dental Caries (Tooth Decay) in Adults (Age 20 to 64).</w:t>
        </w:r>
      </w:hyperlink>
      <w:r w:rsidRPr="00BD4F71">
        <w:t xml:space="preserve"> last accessed May 201</w:t>
      </w:r>
      <w:r w:rsidR="006541A4">
        <w:t>9</w:t>
      </w:r>
      <w:r w:rsidRPr="00BD4F71">
        <w:t>.</w:t>
      </w:r>
    </w:p>
    <w:p w:rsidR="00ED35F2" w:rsidRPr="00BD4F71" w:rsidRDefault="00ED35F2" w:rsidP="00BD4F71">
      <w:pPr>
        <w:pStyle w:val="FootnoteText"/>
        <w:ind w:left="360" w:hanging="360"/>
      </w:pPr>
      <w:r w:rsidRPr="00BD4F71">
        <w:t>Natural Resources Defense Council, Product Stewardship Institute, Clean Water Fund, and Mercury Policy Project. 2013. Turning Up the Heat II: Exposing the continued failures of the manufacturers</w:t>
      </w:r>
      <w:r w:rsidR="007D2DCB">
        <w:t>’ thermostat recycling program.</w:t>
      </w:r>
    </w:p>
    <w:p w:rsidR="009378AF" w:rsidRPr="00BD4F71" w:rsidRDefault="009378AF" w:rsidP="00BD4F71">
      <w:pPr>
        <w:pStyle w:val="FootnoteText"/>
        <w:ind w:left="360" w:hanging="360"/>
      </w:pPr>
      <w:r w:rsidRPr="00BD4F71">
        <w:lastRenderedPageBreak/>
        <w:t xml:space="preserve">NC Department of Environment and Natural Resources. 2011. Mercury Switch Removal Program 2011 Annual Report. </w:t>
      </w:r>
    </w:p>
    <w:p w:rsidR="00BD4F71" w:rsidRPr="00BD4F71" w:rsidRDefault="00BD4F71" w:rsidP="00BD4F71">
      <w:pPr>
        <w:pStyle w:val="FootnoteText"/>
        <w:ind w:left="360" w:hanging="360"/>
      </w:pPr>
      <w:r w:rsidRPr="00BD4F71">
        <w:t>Northeast Waste Management Officials’ Association (NEWMOA). 2008. Trends in Mercury Use in Products: Summary of the Interstate Mercury Education and Reduction Clearinghouse (IMERC) Mercury-added Products Database.</w:t>
      </w:r>
    </w:p>
    <w:p w:rsidR="00ED35F2" w:rsidRPr="00BD4F71" w:rsidRDefault="00ED35F2" w:rsidP="00BD4F71">
      <w:pPr>
        <w:ind w:left="360" w:hanging="360"/>
        <w:rPr>
          <w:sz w:val="20"/>
        </w:rPr>
      </w:pPr>
      <w:r w:rsidRPr="00BD4F71">
        <w:rPr>
          <w:sz w:val="20"/>
        </w:rPr>
        <w:t xml:space="preserve">Pet Loss Professionals Alliance (PLPA). 2013. </w:t>
      </w:r>
      <w:hyperlink r:id="rId17" w:history="1">
        <w:r w:rsidRPr="006541A4">
          <w:rPr>
            <w:rStyle w:val="Hyperlink"/>
            <w:sz w:val="20"/>
          </w:rPr>
          <w:t>Pet Loss Professionals Alliance Releases Finding of Inaugural Professional Survey</w:t>
        </w:r>
      </w:hyperlink>
      <w:r w:rsidRPr="00BD4F71">
        <w:rPr>
          <w:sz w:val="20"/>
        </w:rPr>
        <w:t>.</w:t>
      </w:r>
      <w:r w:rsidR="006541A4">
        <w:rPr>
          <w:sz w:val="20"/>
        </w:rPr>
        <w:t xml:space="preserve"> last accessed </w:t>
      </w:r>
      <w:r w:rsidRPr="00BD4F71">
        <w:rPr>
          <w:sz w:val="20"/>
        </w:rPr>
        <w:t>May 201</w:t>
      </w:r>
      <w:r w:rsidR="006541A4">
        <w:rPr>
          <w:sz w:val="20"/>
        </w:rPr>
        <w:t>9</w:t>
      </w:r>
      <w:r w:rsidRPr="00BD4F71">
        <w:rPr>
          <w:sz w:val="20"/>
        </w:rPr>
        <w:t>.</w:t>
      </w:r>
    </w:p>
    <w:p w:rsidR="00782EF2" w:rsidRPr="00BD4F71" w:rsidRDefault="00782EF2" w:rsidP="00BD4F71">
      <w:pPr>
        <w:ind w:left="360" w:hanging="360"/>
        <w:rPr>
          <w:sz w:val="20"/>
        </w:rPr>
      </w:pPr>
      <w:proofErr w:type="spellStart"/>
      <w:r w:rsidRPr="00BD4F71">
        <w:rPr>
          <w:sz w:val="20"/>
        </w:rPr>
        <w:t>Reindl</w:t>
      </w:r>
      <w:proofErr w:type="spellEnd"/>
      <w:r w:rsidRPr="00BD4F71">
        <w:rPr>
          <w:sz w:val="20"/>
        </w:rPr>
        <w:t xml:space="preserve">, J. 2012. </w:t>
      </w:r>
      <w:hyperlink r:id="rId18" w:history="1">
        <w:r w:rsidRPr="006541A4">
          <w:rPr>
            <w:rStyle w:val="Hyperlink"/>
            <w:sz w:val="20"/>
          </w:rPr>
          <w:t>Summary of References on Mercury Emissions from Crematoria</w:t>
        </w:r>
      </w:hyperlink>
      <w:r w:rsidRPr="00BD4F71">
        <w:rPr>
          <w:sz w:val="20"/>
        </w:rPr>
        <w:t>. last accessed May 201</w:t>
      </w:r>
      <w:r w:rsidR="006541A4">
        <w:rPr>
          <w:sz w:val="20"/>
        </w:rPr>
        <w:t>9</w:t>
      </w:r>
      <w:r w:rsidRPr="00BD4F71">
        <w:rPr>
          <w:sz w:val="20"/>
        </w:rPr>
        <w:t>.</w:t>
      </w:r>
    </w:p>
    <w:p w:rsidR="00ED35F2" w:rsidRPr="00BD4F71" w:rsidRDefault="00ED35F2" w:rsidP="00BD4F71">
      <w:pPr>
        <w:ind w:left="360" w:hanging="360"/>
        <w:rPr>
          <w:sz w:val="20"/>
        </w:rPr>
      </w:pPr>
      <w:r w:rsidRPr="00BD4F71">
        <w:rPr>
          <w:sz w:val="20"/>
        </w:rPr>
        <w:t xml:space="preserve">Richardson, G.M., R. Wilson, D. Allard, C. </w:t>
      </w:r>
      <w:proofErr w:type="spellStart"/>
      <w:r w:rsidRPr="00BD4F71">
        <w:rPr>
          <w:sz w:val="20"/>
        </w:rPr>
        <w:t>Purtill</w:t>
      </w:r>
      <w:proofErr w:type="spellEnd"/>
      <w:r w:rsidRPr="00BD4F71">
        <w:rPr>
          <w:sz w:val="20"/>
        </w:rPr>
        <w:t xml:space="preserve">, S. </w:t>
      </w:r>
      <w:proofErr w:type="spellStart"/>
      <w:r w:rsidRPr="00BD4F71">
        <w:rPr>
          <w:sz w:val="20"/>
        </w:rPr>
        <w:t>Douma</w:t>
      </w:r>
      <w:proofErr w:type="spellEnd"/>
      <w:r w:rsidRPr="00BD4F71">
        <w:rPr>
          <w:sz w:val="20"/>
        </w:rPr>
        <w:t xml:space="preserve">, and J. </w:t>
      </w:r>
      <w:proofErr w:type="spellStart"/>
      <w:r w:rsidRPr="00BD4F71">
        <w:rPr>
          <w:sz w:val="20"/>
        </w:rPr>
        <w:t>Graviere</w:t>
      </w:r>
      <w:proofErr w:type="spellEnd"/>
      <w:r w:rsidRPr="00BD4F71">
        <w:rPr>
          <w:sz w:val="20"/>
        </w:rPr>
        <w:t>. 2011. Mercury exposure and risks from dental amalgam in the US population, post-2000. Science of the Total Environment, 409:4257-4268.</w:t>
      </w:r>
    </w:p>
    <w:p w:rsidR="004E4FFC" w:rsidRPr="00BD4F71" w:rsidRDefault="004E4FFC" w:rsidP="00BD4F71">
      <w:pPr>
        <w:ind w:left="360" w:hanging="360"/>
        <w:rPr>
          <w:sz w:val="20"/>
        </w:rPr>
      </w:pPr>
      <w:proofErr w:type="spellStart"/>
      <w:r w:rsidRPr="00BD4F71">
        <w:rPr>
          <w:sz w:val="20"/>
        </w:rPr>
        <w:t>Singhvi</w:t>
      </w:r>
      <w:proofErr w:type="spellEnd"/>
      <w:r w:rsidRPr="00BD4F71">
        <w:rPr>
          <w:sz w:val="20"/>
        </w:rPr>
        <w:t xml:space="preserve">, R, A. Taneja, V. </w:t>
      </w:r>
      <w:proofErr w:type="spellStart"/>
      <w:r w:rsidRPr="00BD4F71">
        <w:rPr>
          <w:sz w:val="20"/>
        </w:rPr>
        <w:t>Kansal</w:t>
      </w:r>
      <w:proofErr w:type="spellEnd"/>
      <w:r w:rsidRPr="00BD4F71">
        <w:rPr>
          <w:sz w:val="20"/>
        </w:rPr>
        <w:t xml:space="preserve">, C.J. Gasser, and D.J. </w:t>
      </w:r>
      <w:proofErr w:type="spellStart"/>
      <w:r w:rsidRPr="00BD4F71">
        <w:rPr>
          <w:sz w:val="20"/>
        </w:rPr>
        <w:t>Kalnicky</w:t>
      </w:r>
      <w:proofErr w:type="spellEnd"/>
      <w:r w:rsidRPr="00BD4F71">
        <w:rPr>
          <w:sz w:val="20"/>
        </w:rPr>
        <w:t>. 2011. Determination of Total Metallic Mercury in Compact Fluorescent Lamps (CFLs). Environmental Forensics, 12:143-148.</w:t>
      </w:r>
    </w:p>
    <w:p w:rsidR="009378AF" w:rsidRPr="00BD4F71" w:rsidRDefault="009378AF" w:rsidP="00BD4F71">
      <w:pPr>
        <w:ind w:left="360" w:hanging="360"/>
        <w:rPr>
          <w:sz w:val="20"/>
        </w:rPr>
      </w:pPr>
      <w:r w:rsidRPr="00BD4F71">
        <w:rPr>
          <w:sz w:val="20"/>
        </w:rPr>
        <w:t>Quicksilver Caucus. 2012. Third Compendium of States’ Mercury Activities. The Environmental Council of the States.</w:t>
      </w:r>
    </w:p>
    <w:p w:rsidR="004E4FFC" w:rsidRPr="00BD4F71" w:rsidRDefault="009378AF" w:rsidP="00BD4F71">
      <w:pPr>
        <w:ind w:left="360" w:hanging="360"/>
        <w:rPr>
          <w:rStyle w:val="Hyperlink"/>
          <w:color w:val="auto"/>
          <w:sz w:val="20"/>
          <w:u w:val="none"/>
        </w:rPr>
      </w:pPr>
      <w:r w:rsidRPr="00BD4F71">
        <w:rPr>
          <w:sz w:val="20"/>
        </w:rPr>
        <w:t xml:space="preserve">US Census Bureau, </w:t>
      </w:r>
      <w:hyperlink r:id="rId19" w:history="1">
        <w:r w:rsidRPr="006541A4">
          <w:rPr>
            <w:rStyle w:val="Hyperlink"/>
            <w:sz w:val="20"/>
          </w:rPr>
          <w:t>County Business Patterns</w:t>
        </w:r>
      </w:hyperlink>
      <w:r w:rsidR="006541A4">
        <w:rPr>
          <w:sz w:val="20"/>
        </w:rPr>
        <w:t xml:space="preserve">, </w:t>
      </w:r>
      <w:r w:rsidR="001724CF" w:rsidRPr="00BD4F71">
        <w:rPr>
          <w:rStyle w:val="Hyperlink"/>
          <w:color w:val="auto"/>
          <w:sz w:val="20"/>
          <w:u w:val="none"/>
        </w:rPr>
        <w:t>last accessed May 201</w:t>
      </w:r>
      <w:r w:rsidR="006541A4">
        <w:rPr>
          <w:rStyle w:val="Hyperlink"/>
          <w:color w:val="auto"/>
          <w:sz w:val="20"/>
          <w:u w:val="none"/>
        </w:rPr>
        <w:t>9</w:t>
      </w:r>
      <w:r w:rsidR="001724CF" w:rsidRPr="00BD4F71">
        <w:rPr>
          <w:rStyle w:val="Hyperlink"/>
          <w:color w:val="auto"/>
          <w:sz w:val="20"/>
          <w:u w:val="none"/>
        </w:rPr>
        <w:t>.</w:t>
      </w:r>
    </w:p>
    <w:p w:rsidR="001724CF" w:rsidRPr="00BD4F71" w:rsidRDefault="004E4FFC" w:rsidP="00BD4F71">
      <w:pPr>
        <w:ind w:left="360" w:hanging="360"/>
        <w:rPr>
          <w:rStyle w:val="Hyperlink"/>
          <w:color w:val="auto"/>
          <w:sz w:val="20"/>
          <w:u w:val="none"/>
        </w:rPr>
      </w:pPr>
      <w:r w:rsidRPr="00BD4F71">
        <w:rPr>
          <w:sz w:val="20"/>
        </w:rPr>
        <w:t xml:space="preserve">U.S. Department of Energy. 2010. </w:t>
      </w:r>
      <w:hyperlink r:id="rId20" w:history="1">
        <w:r w:rsidRPr="006541A4">
          <w:rPr>
            <w:rStyle w:val="Hyperlink"/>
            <w:sz w:val="20"/>
          </w:rPr>
          <w:t>Energy Star CFL Market Profile: Data Trends and Market Insights</w:t>
        </w:r>
      </w:hyperlink>
      <w:r w:rsidRPr="00BD4F71">
        <w:rPr>
          <w:sz w:val="20"/>
        </w:rPr>
        <w:t xml:space="preserve">. </w:t>
      </w:r>
      <w:r w:rsidRPr="00BD4F71">
        <w:rPr>
          <w:rStyle w:val="Hyperlink"/>
          <w:color w:val="auto"/>
          <w:sz w:val="20"/>
          <w:u w:val="none"/>
        </w:rPr>
        <w:t>last accessed May 201</w:t>
      </w:r>
      <w:r w:rsidR="006541A4">
        <w:rPr>
          <w:rStyle w:val="Hyperlink"/>
          <w:color w:val="auto"/>
          <w:sz w:val="20"/>
          <w:u w:val="none"/>
        </w:rPr>
        <w:t>9</w:t>
      </w:r>
      <w:r w:rsidRPr="00BD4F71">
        <w:rPr>
          <w:rStyle w:val="Hyperlink"/>
          <w:color w:val="auto"/>
          <w:sz w:val="20"/>
          <w:u w:val="none"/>
        </w:rPr>
        <w:t>.</w:t>
      </w:r>
    </w:p>
    <w:p w:rsidR="001724CF" w:rsidRPr="00BD4F71" w:rsidRDefault="001724CF" w:rsidP="00BD4F71">
      <w:pPr>
        <w:ind w:left="360" w:hanging="360"/>
        <w:rPr>
          <w:rStyle w:val="Hyperlink"/>
          <w:color w:val="auto"/>
          <w:sz w:val="20"/>
          <w:u w:val="none"/>
        </w:rPr>
      </w:pPr>
      <w:r w:rsidRPr="00BD4F71">
        <w:rPr>
          <w:sz w:val="20"/>
        </w:rPr>
        <w:t xml:space="preserve">US </w:t>
      </w:r>
      <w:r w:rsidR="00ED35F2" w:rsidRPr="00BD4F71">
        <w:rPr>
          <w:sz w:val="20"/>
        </w:rPr>
        <w:t>EPA. 2014a</w:t>
      </w:r>
      <w:r w:rsidRPr="00BD4F71">
        <w:rPr>
          <w:sz w:val="20"/>
        </w:rPr>
        <w:t xml:space="preserve">. </w:t>
      </w:r>
      <w:hyperlink r:id="rId21" w:history="1">
        <w:r w:rsidRPr="006541A4">
          <w:rPr>
            <w:rStyle w:val="Hyperlink"/>
            <w:sz w:val="20"/>
          </w:rPr>
          <w:t>Landfill Methane Outreach Program</w:t>
        </w:r>
      </w:hyperlink>
      <w:r w:rsidRPr="00BD4F71">
        <w:rPr>
          <w:sz w:val="20"/>
        </w:rPr>
        <w:t xml:space="preserve">. </w:t>
      </w:r>
      <w:r w:rsidRPr="00BD4F71">
        <w:rPr>
          <w:rStyle w:val="Hyperlink"/>
          <w:color w:val="auto"/>
          <w:sz w:val="20"/>
          <w:u w:val="none"/>
        </w:rPr>
        <w:t>last accessed May 201</w:t>
      </w:r>
      <w:r w:rsidR="006541A4">
        <w:rPr>
          <w:rStyle w:val="Hyperlink"/>
          <w:color w:val="auto"/>
          <w:sz w:val="20"/>
          <w:u w:val="none"/>
        </w:rPr>
        <w:t>9</w:t>
      </w:r>
      <w:r w:rsidRPr="00BD4F71">
        <w:rPr>
          <w:rStyle w:val="Hyperlink"/>
          <w:color w:val="auto"/>
          <w:sz w:val="20"/>
          <w:u w:val="none"/>
        </w:rPr>
        <w:t>.</w:t>
      </w:r>
    </w:p>
    <w:p w:rsidR="002949F3" w:rsidRDefault="00ED35F2" w:rsidP="00BD4F71">
      <w:pPr>
        <w:ind w:left="360" w:hanging="360"/>
        <w:rPr>
          <w:sz w:val="20"/>
        </w:rPr>
      </w:pPr>
      <w:r w:rsidRPr="00BD4F71">
        <w:rPr>
          <w:sz w:val="20"/>
        </w:rPr>
        <w:t xml:space="preserve">US EPA. 2014b. </w:t>
      </w:r>
      <w:hyperlink r:id="rId22" w:history="1">
        <w:r w:rsidRPr="002949F3">
          <w:rPr>
            <w:rStyle w:val="Hyperlink"/>
            <w:sz w:val="20"/>
          </w:rPr>
          <w:t>Phase-Out of Mercury Thermometers Used in Industrial and Laboratory Settings</w:t>
        </w:r>
      </w:hyperlink>
      <w:r w:rsidRPr="00BD4F71">
        <w:rPr>
          <w:sz w:val="20"/>
        </w:rPr>
        <w:t xml:space="preserve">. </w:t>
      </w:r>
    </w:p>
    <w:p w:rsidR="00707BF2" w:rsidRPr="00BD4F71" w:rsidRDefault="00707BF2" w:rsidP="00BD4F71">
      <w:pPr>
        <w:ind w:left="360" w:hanging="360"/>
        <w:rPr>
          <w:rStyle w:val="Hyperlink"/>
          <w:color w:val="auto"/>
          <w:sz w:val="20"/>
          <w:u w:val="none"/>
        </w:rPr>
      </w:pPr>
      <w:r w:rsidRPr="00BD4F71">
        <w:rPr>
          <w:sz w:val="20"/>
        </w:rPr>
        <w:t xml:space="preserve">US EPA. 1997. </w:t>
      </w:r>
      <w:hyperlink r:id="rId23" w:history="1">
        <w:r w:rsidRPr="002949F3">
          <w:rPr>
            <w:rStyle w:val="Hyperlink"/>
            <w:sz w:val="20"/>
          </w:rPr>
          <w:t>Mercury Study Report to Congress, Volume II: An Inventory of Anthropogenic Mercury Emissions in the United States</w:t>
        </w:r>
      </w:hyperlink>
      <w:r w:rsidRPr="00BD4F71">
        <w:rPr>
          <w:sz w:val="20"/>
        </w:rPr>
        <w:t>.</w:t>
      </w:r>
      <w:r w:rsidR="002949F3">
        <w:rPr>
          <w:sz w:val="20"/>
        </w:rPr>
        <w:t xml:space="preserve"> </w:t>
      </w:r>
      <w:r w:rsidRPr="00BD4F71">
        <w:rPr>
          <w:rStyle w:val="Hyperlink"/>
          <w:color w:val="auto"/>
          <w:sz w:val="20"/>
          <w:u w:val="none"/>
        </w:rPr>
        <w:t>last accessed May 201</w:t>
      </w:r>
      <w:r w:rsidR="002949F3">
        <w:rPr>
          <w:rStyle w:val="Hyperlink"/>
          <w:color w:val="auto"/>
          <w:sz w:val="20"/>
          <w:u w:val="none"/>
        </w:rPr>
        <w:t>9</w:t>
      </w:r>
      <w:r w:rsidRPr="00BD4F71">
        <w:rPr>
          <w:rStyle w:val="Hyperlink"/>
          <w:color w:val="auto"/>
          <w:sz w:val="20"/>
          <w:u w:val="none"/>
        </w:rPr>
        <w:t>.</w:t>
      </w:r>
    </w:p>
    <w:p w:rsidR="00BD4F71" w:rsidRPr="00BD4F71" w:rsidRDefault="00BD4F71" w:rsidP="00BD4F71">
      <w:pPr>
        <w:ind w:left="360" w:hanging="360"/>
        <w:rPr>
          <w:sz w:val="20"/>
        </w:rPr>
      </w:pPr>
      <w:r w:rsidRPr="00BD4F71">
        <w:rPr>
          <w:sz w:val="20"/>
        </w:rPr>
        <w:t xml:space="preserve">USGS. 2005. </w:t>
      </w:r>
      <w:hyperlink r:id="rId24" w:history="1">
        <w:r w:rsidRPr="002949F3">
          <w:rPr>
            <w:rStyle w:val="Hyperlink"/>
            <w:sz w:val="20"/>
          </w:rPr>
          <w:t>Mercury End-Use Statistics</w:t>
        </w:r>
      </w:hyperlink>
      <w:r w:rsidRPr="00BD4F71">
        <w:rPr>
          <w:sz w:val="20"/>
        </w:rPr>
        <w:t>. last accessed May 201</w:t>
      </w:r>
      <w:r w:rsidR="002949F3">
        <w:rPr>
          <w:sz w:val="20"/>
        </w:rPr>
        <w:t>9</w:t>
      </w:r>
      <w:r w:rsidRPr="00BD4F71">
        <w:rPr>
          <w:sz w:val="20"/>
        </w:rPr>
        <w:t>.</w:t>
      </w:r>
    </w:p>
    <w:p w:rsidR="004E4FFC" w:rsidRPr="00BD4F71" w:rsidRDefault="004E4FFC" w:rsidP="00BD4F71">
      <w:pPr>
        <w:ind w:left="360" w:hanging="360"/>
        <w:rPr>
          <w:sz w:val="20"/>
        </w:rPr>
      </w:pPr>
      <w:proofErr w:type="spellStart"/>
      <w:r w:rsidRPr="00BD4F71">
        <w:rPr>
          <w:sz w:val="20"/>
        </w:rPr>
        <w:t>Vandeven</w:t>
      </w:r>
      <w:proofErr w:type="spellEnd"/>
      <w:r w:rsidRPr="00BD4F71">
        <w:rPr>
          <w:sz w:val="20"/>
        </w:rPr>
        <w:t>, J.A. and S.L. McGinnis. 2005. An Assessment of Mercury in the Form of Amalgam in Dental Wastewater in the United States. W</w:t>
      </w:r>
      <w:bookmarkStart w:id="5" w:name="_GoBack"/>
      <w:bookmarkEnd w:id="5"/>
      <w:r w:rsidRPr="00BD4F71">
        <w:rPr>
          <w:sz w:val="20"/>
        </w:rPr>
        <w:t>ater, Air, and Soil Pollution, 164:349-366.</w:t>
      </w:r>
    </w:p>
    <w:p w:rsidR="00ED35F2" w:rsidRPr="00BD4F71" w:rsidRDefault="00ED35F2" w:rsidP="00BD4F71">
      <w:pPr>
        <w:ind w:left="360" w:hanging="360"/>
        <w:rPr>
          <w:sz w:val="20"/>
        </w:rPr>
      </w:pPr>
      <w:r w:rsidRPr="00BD4F71">
        <w:rPr>
          <w:sz w:val="20"/>
        </w:rPr>
        <w:t>Virta, R. 2013. US Geological Survey. Personal communication with David Cooley, Abt Associates, August 21, 2013.</w:t>
      </w:r>
    </w:p>
    <w:sectPr w:rsidR="00ED35F2" w:rsidRPr="00BD4F71" w:rsidSect="00EE06F6">
      <w:headerReference w:type="default" r:id="rId25"/>
      <w:footerReference w:type="default" r:id="rId26"/>
      <w:headerReference w:type="first" r:id="rId27"/>
      <w:footerReference w:type="first" r:id="rId28"/>
      <w:pgSz w:w="12240" w:h="15840" w:code="1"/>
      <w:pgMar w:top="1440" w:right="1440" w:bottom="1440" w:left="1440" w:header="720"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ABF" w:rsidRDefault="00FC6ABF" w:rsidP="00553E81">
      <w:pPr>
        <w:spacing w:line="240" w:lineRule="auto"/>
      </w:pPr>
      <w:r>
        <w:separator/>
      </w:r>
    </w:p>
  </w:endnote>
  <w:endnote w:type="continuationSeparator" w:id="0">
    <w:p w:rsidR="00FC6ABF" w:rsidRDefault="00FC6ABF" w:rsidP="00553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ABF" w:rsidRDefault="00FC6AB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rsidR="00FC6ABF" w:rsidRDefault="00FC6A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ABF" w:rsidRDefault="00FC6ABF">
    <w:pP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ABF" w:rsidRDefault="00FC6ABF" w:rsidP="00553E81">
      <w:pPr>
        <w:spacing w:line="240" w:lineRule="auto"/>
      </w:pPr>
      <w:r>
        <w:separator/>
      </w:r>
    </w:p>
  </w:footnote>
  <w:footnote w:type="continuationSeparator" w:id="0">
    <w:p w:rsidR="00FC6ABF" w:rsidRDefault="00FC6ABF" w:rsidP="00553E81">
      <w:pPr>
        <w:spacing w:line="240" w:lineRule="auto"/>
      </w:pPr>
      <w:r>
        <w:continuationSeparator/>
      </w:r>
    </w:p>
  </w:footnote>
  <w:footnote w:id="1">
    <w:p w:rsidR="00FC6ABF" w:rsidRDefault="00FC6ABF" w:rsidP="00BD5FE6">
      <w:pPr>
        <w:pStyle w:val="FootnoteText"/>
        <w:spacing w:after="0"/>
      </w:pPr>
      <w:r>
        <w:rPr>
          <w:rStyle w:val="FootnoteReference"/>
        </w:rPr>
        <w:footnoteRef/>
      </w:r>
      <w:r>
        <w:t xml:space="preserve"> The US EPA does not explain what happens to the remaining 75% of unbroken thermometers after the estimated 5-year lifespan, but it does suggest that recycling, such as through Fisher Scientific’s thermometer trade-in program, may account for some of the remaining thermometers.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ABF" w:rsidRDefault="00FC6ABF" w:rsidP="002436C8">
    <w:pPr>
      <w:jc w:val="right"/>
    </w:pPr>
  </w:p>
  <w:p w:rsidR="00FC6ABF" w:rsidRDefault="00FC6A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ABF" w:rsidRDefault="00FC6ABF">
    <w:pPr>
      <w:pStyle w:val="Header"/>
    </w:pPr>
    <w:r>
      <w:rPr>
        <w:noProof/>
      </w:rPr>
      <w:drawing>
        <wp:anchor distT="0" distB="0" distL="114300" distR="114300" simplePos="0" relativeHeight="251656704" behindDoc="1" locked="0" layoutInCell="1" allowOverlap="1" wp14:anchorId="198A0266" wp14:editId="5E8ACC7C">
          <wp:simplePos x="0" y="0"/>
          <wp:positionH relativeFrom="page">
            <wp:posOffset>6035040</wp:posOffset>
          </wp:positionH>
          <wp:positionV relativeFrom="page">
            <wp:posOffset>344170</wp:posOffset>
          </wp:positionV>
          <wp:extent cx="1105535" cy="1097280"/>
          <wp:effectExtent l="0" t="0" r="0" b="7620"/>
          <wp:wrapTight wrapText="bothSides">
            <wp:wrapPolygon edited="0">
              <wp:start x="9305" y="0"/>
              <wp:lineTo x="6700" y="0"/>
              <wp:lineTo x="372" y="4500"/>
              <wp:lineTo x="0" y="7125"/>
              <wp:lineTo x="0" y="14250"/>
              <wp:lineTo x="1489" y="18000"/>
              <wp:lineTo x="2233" y="19125"/>
              <wp:lineTo x="7072" y="21375"/>
              <wp:lineTo x="9305" y="21375"/>
              <wp:lineTo x="11910" y="21375"/>
              <wp:lineTo x="14144" y="21375"/>
              <wp:lineTo x="19354" y="19125"/>
              <wp:lineTo x="21215" y="13875"/>
              <wp:lineTo x="21215" y="7125"/>
              <wp:lineTo x="20843" y="4500"/>
              <wp:lineTo x="14516" y="0"/>
              <wp:lineTo x="11910" y="0"/>
              <wp:lineTo x="9305" y="0"/>
            </wp:wrapPolygon>
          </wp:wrapTight>
          <wp:docPr id="1" name="Picture 2" descr="Ab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1097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F78DC"/>
    <w:multiLevelType w:val="hybridMultilevel"/>
    <w:tmpl w:val="9F96C8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8B7ECF"/>
    <w:multiLevelType w:val="hybridMultilevel"/>
    <w:tmpl w:val="83DE5E38"/>
    <w:lvl w:ilvl="0" w:tplc="1A3CD02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81"/>
    <w:rsid w:val="00010196"/>
    <w:rsid w:val="0003376F"/>
    <w:rsid w:val="000448E5"/>
    <w:rsid w:val="00050341"/>
    <w:rsid w:val="00076AF3"/>
    <w:rsid w:val="000772CF"/>
    <w:rsid w:val="00077AE1"/>
    <w:rsid w:val="00080433"/>
    <w:rsid w:val="000926B5"/>
    <w:rsid w:val="0009271C"/>
    <w:rsid w:val="00094216"/>
    <w:rsid w:val="000A2CF7"/>
    <w:rsid w:val="000B1290"/>
    <w:rsid w:val="000C21DB"/>
    <w:rsid w:val="00145964"/>
    <w:rsid w:val="001525A3"/>
    <w:rsid w:val="001724CF"/>
    <w:rsid w:val="00173021"/>
    <w:rsid w:val="00192926"/>
    <w:rsid w:val="00192D12"/>
    <w:rsid w:val="001B0B43"/>
    <w:rsid w:val="001B24C9"/>
    <w:rsid w:val="001B462D"/>
    <w:rsid w:val="001B5541"/>
    <w:rsid w:val="001B63D6"/>
    <w:rsid w:val="001C3595"/>
    <w:rsid w:val="001D407E"/>
    <w:rsid w:val="001D5874"/>
    <w:rsid w:val="001D6079"/>
    <w:rsid w:val="001D7A55"/>
    <w:rsid w:val="00216294"/>
    <w:rsid w:val="002436C8"/>
    <w:rsid w:val="00244C0D"/>
    <w:rsid w:val="002615F0"/>
    <w:rsid w:val="00261C4D"/>
    <w:rsid w:val="00264BB8"/>
    <w:rsid w:val="0026580C"/>
    <w:rsid w:val="0026657B"/>
    <w:rsid w:val="00270776"/>
    <w:rsid w:val="00273766"/>
    <w:rsid w:val="002949F3"/>
    <w:rsid w:val="002C1AE5"/>
    <w:rsid w:val="002C373D"/>
    <w:rsid w:val="002C46CB"/>
    <w:rsid w:val="002C7956"/>
    <w:rsid w:val="002D7BF5"/>
    <w:rsid w:val="002F0E8C"/>
    <w:rsid w:val="002F3655"/>
    <w:rsid w:val="00307D03"/>
    <w:rsid w:val="00313AFD"/>
    <w:rsid w:val="00331DD1"/>
    <w:rsid w:val="00334019"/>
    <w:rsid w:val="00340FF6"/>
    <w:rsid w:val="0034399C"/>
    <w:rsid w:val="0034450A"/>
    <w:rsid w:val="00356AC4"/>
    <w:rsid w:val="003676EF"/>
    <w:rsid w:val="003A58FD"/>
    <w:rsid w:val="003A70BB"/>
    <w:rsid w:val="003B64FB"/>
    <w:rsid w:val="003C64B2"/>
    <w:rsid w:val="003E78EE"/>
    <w:rsid w:val="004153AD"/>
    <w:rsid w:val="0042405D"/>
    <w:rsid w:val="0043098E"/>
    <w:rsid w:val="004345C0"/>
    <w:rsid w:val="00440771"/>
    <w:rsid w:val="00442228"/>
    <w:rsid w:val="004444AD"/>
    <w:rsid w:val="004559CC"/>
    <w:rsid w:val="004571E7"/>
    <w:rsid w:val="00466B3E"/>
    <w:rsid w:val="00473C86"/>
    <w:rsid w:val="00473EAA"/>
    <w:rsid w:val="00480066"/>
    <w:rsid w:val="00490EF7"/>
    <w:rsid w:val="0049211F"/>
    <w:rsid w:val="00494415"/>
    <w:rsid w:val="004968E8"/>
    <w:rsid w:val="004A0FF1"/>
    <w:rsid w:val="004A1457"/>
    <w:rsid w:val="004A163B"/>
    <w:rsid w:val="004A4E63"/>
    <w:rsid w:val="004A581A"/>
    <w:rsid w:val="004A733A"/>
    <w:rsid w:val="004B0F1D"/>
    <w:rsid w:val="004C7B07"/>
    <w:rsid w:val="004D37F6"/>
    <w:rsid w:val="004E4FFC"/>
    <w:rsid w:val="004F1A9C"/>
    <w:rsid w:val="004F1F34"/>
    <w:rsid w:val="00507324"/>
    <w:rsid w:val="00516995"/>
    <w:rsid w:val="00522663"/>
    <w:rsid w:val="00540DB2"/>
    <w:rsid w:val="00542BC7"/>
    <w:rsid w:val="00553E81"/>
    <w:rsid w:val="0055655B"/>
    <w:rsid w:val="00570728"/>
    <w:rsid w:val="00572A2F"/>
    <w:rsid w:val="005A17C1"/>
    <w:rsid w:val="005A4410"/>
    <w:rsid w:val="005B6249"/>
    <w:rsid w:val="005C511C"/>
    <w:rsid w:val="005E2788"/>
    <w:rsid w:val="005F2C98"/>
    <w:rsid w:val="005F3A28"/>
    <w:rsid w:val="005F4B20"/>
    <w:rsid w:val="00606F2B"/>
    <w:rsid w:val="00640F1B"/>
    <w:rsid w:val="006541A4"/>
    <w:rsid w:val="00664840"/>
    <w:rsid w:val="006760CC"/>
    <w:rsid w:val="006828C6"/>
    <w:rsid w:val="00695F22"/>
    <w:rsid w:val="006B1700"/>
    <w:rsid w:val="006B4BC5"/>
    <w:rsid w:val="006C0F99"/>
    <w:rsid w:val="006F28E0"/>
    <w:rsid w:val="00707BF2"/>
    <w:rsid w:val="00707F54"/>
    <w:rsid w:val="007107AA"/>
    <w:rsid w:val="00714191"/>
    <w:rsid w:val="00717EC8"/>
    <w:rsid w:val="00724C91"/>
    <w:rsid w:val="00732B41"/>
    <w:rsid w:val="007415BB"/>
    <w:rsid w:val="007417BF"/>
    <w:rsid w:val="0075370B"/>
    <w:rsid w:val="00755B02"/>
    <w:rsid w:val="007627E7"/>
    <w:rsid w:val="00782EF2"/>
    <w:rsid w:val="00786372"/>
    <w:rsid w:val="007B1DB7"/>
    <w:rsid w:val="007C3CEE"/>
    <w:rsid w:val="007D2DCB"/>
    <w:rsid w:val="007D4EF4"/>
    <w:rsid w:val="007E2EA2"/>
    <w:rsid w:val="007E4AA0"/>
    <w:rsid w:val="007F4C73"/>
    <w:rsid w:val="0080310E"/>
    <w:rsid w:val="0080421D"/>
    <w:rsid w:val="00811FF1"/>
    <w:rsid w:val="00820B8B"/>
    <w:rsid w:val="00820DD8"/>
    <w:rsid w:val="00822572"/>
    <w:rsid w:val="00822CE9"/>
    <w:rsid w:val="00827966"/>
    <w:rsid w:val="00840E68"/>
    <w:rsid w:val="00844273"/>
    <w:rsid w:val="008450F5"/>
    <w:rsid w:val="00852D1D"/>
    <w:rsid w:val="00856C35"/>
    <w:rsid w:val="00857A3E"/>
    <w:rsid w:val="00871620"/>
    <w:rsid w:val="00883F4C"/>
    <w:rsid w:val="00895B08"/>
    <w:rsid w:val="00896AFB"/>
    <w:rsid w:val="008A1FC4"/>
    <w:rsid w:val="008A742C"/>
    <w:rsid w:val="008B3446"/>
    <w:rsid w:val="008B3603"/>
    <w:rsid w:val="008C165E"/>
    <w:rsid w:val="008D3038"/>
    <w:rsid w:val="008F187A"/>
    <w:rsid w:val="00902710"/>
    <w:rsid w:val="00906D3B"/>
    <w:rsid w:val="009313FA"/>
    <w:rsid w:val="009378AF"/>
    <w:rsid w:val="0094135A"/>
    <w:rsid w:val="009629B5"/>
    <w:rsid w:val="009937A9"/>
    <w:rsid w:val="009A20DB"/>
    <w:rsid w:val="009B709A"/>
    <w:rsid w:val="00A04287"/>
    <w:rsid w:val="00A05940"/>
    <w:rsid w:val="00A06C98"/>
    <w:rsid w:val="00A35185"/>
    <w:rsid w:val="00A364F0"/>
    <w:rsid w:val="00A40F32"/>
    <w:rsid w:val="00A46127"/>
    <w:rsid w:val="00A47A81"/>
    <w:rsid w:val="00A672C5"/>
    <w:rsid w:val="00A81BF6"/>
    <w:rsid w:val="00A82D5E"/>
    <w:rsid w:val="00AA348D"/>
    <w:rsid w:val="00AA5141"/>
    <w:rsid w:val="00AB1530"/>
    <w:rsid w:val="00AC1FE4"/>
    <w:rsid w:val="00AC6EFB"/>
    <w:rsid w:val="00AC70C5"/>
    <w:rsid w:val="00AD228A"/>
    <w:rsid w:val="00AD4506"/>
    <w:rsid w:val="00AE3037"/>
    <w:rsid w:val="00AF39CD"/>
    <w:rsid w:val="00B00DAE"/>
    <w:rsid w:val="00B0235D"/>
    <w:rsid w:val="00B07C6E"/>
    <w:rsid w:val="00B2286D"/>
    <w:rsid w:val="00B25CC5"/>
    <w:rsid w:val="00B33289"/>
    <w:rsid w:val="00B403CF"/>
    <w:rsid w:val="00B46083"/>
    <w:rsid w:val="00B548E4"/>
    <w:rsid w:val="00B604F0"/>
    <w:rsid w:val="00B80D64"/>
    <w:rsid w:val="00B82C55"/>
    <w:rsid w:val="00B830C5"/>
    <w:rsid w:val="00BA4595"/>
    <w:rsid w:val="00BB24FD"/>
    <w:rsid w:val="00BB6795"/>
    <w:rsid w:val="00BC5A9F"/>
    <w:rsid w:val="00BD47D0"/>
    <w:rsid w:val="00BD4F71"/>
    <w:rsid w:val="00BD5FE6"/>
    <w:rsid w:val="00BE7224"/>
    <w:rsid w:val="00BF1DE7"/>
    <w:rsid w:val="00BF5222"/>
    <w:rsid w:val="00BF52D5"/>
    <w:rsid w:val="00C0203A"/>
    <w:rsid w:val="00C551D1"/>
    <w:rsid w:val="00C57518"/>
    <w:rsid w:val="00C649D9"/>
    <w:rsid w:val="00C76958"/>
    <w:rsid w:val="00C87676"/>
    <w:rsid w:val="00C94510"/>
    <w:rsid w:val="00CA3207"/>
    <w:rsid w:val="00CB0CDC"/>
    <w:rsid w:val="00CD1DF1"/>
    <w:rsid w:val="00CF4611"/>
    <w:rsid w:val="00D163B2"/>
    <w:rsid w:val="00D21508"/>
    <w:rsid w:val="00D22F88"/>
    <w:rsid w:val="00D23BA4"/>
    <w:rsid w:val="00D24B2E"/>
    <w:rsid w:val="00D351EE"/>
    <w:rsid w:val="00D41F71"/>
    <w:rsid w:val="00D47ACA"/>
    <w:rsid w:val="00D55305"/>
    <w:rsid w:val="00D60D19"/>
    <w:rsid w:val="00D924DB"/>
    <w:rsid w:val="00D94E67"/>
    <w:rsid w:val="00D952B3"/>
    <w:rsid w:val="00DC0940"/>
    <w:rsid w:val="00E01C02"/>
    <w:rsid w:val="00E12090"/>
    <w:rsid w:val="00E2421A"/>
    <w:rsid w:val="00E263F2"/>
    <w:rsid w:val="00E35F3C"/>
    <w:rsid w:val="00E50663"/>
    <w:rsid w:val="00E55390"/>
    <w:rsid w:val="00E567AE"/>
    <w:rsid w:val="00E618D5"/>
    <w:rsid w:val="00E76E68"/>
    <w:rsid w:val="00E80576"/>
    <w:rsid w:val="00E87778"/>
    <w:rsid w:val="00EA2E23"/>
    <w:rsid w:val="00EC4073"/>
    <w:rsid w:val="00ED1ED6"/>
    <w:rsid w:val="00ED2449"/>
    <w:rsid w:val="00ED35F2"/>
    <w:rsid w:val="00EE06F6"/>
    <w:rsid w:val="00EE602F"/>
    <w:rsid w:val="00EF36E8"/>
    <w:rsid w:val="00F270CF"/>
    <w:rsid w:val="00F36E6C"/>
    <w:rsid w:val="00F4606B"/>
    <w:rsid w:val="00F46560"/>
    <w:rsid w:val="00F5789C"/>
    <w:rsid w:val="00F57B40"/>
    <w:rsid w:val="00F6318F"/>
    <w:rsid w:val="00F81FF4"/>
    <w:rsid w:val="00F87CAA"/>
    <w:rsid w:val="00F93D7C"/>
    <w:rsid w:val="00F94450"/>
    <w:rsid w:val="00F961FC"/>
    <w:rsid w:val="00F96E6C"/>
    <w:rsid w:val="00FA5D08"/>
    <w:rsid w:val="00FC6ABF"/>
    <w:rsid w:val="00FD4F3D"/>
    <w:rsid w:val="00FE091D"/>
    <w:rsid w:val="00FE4557"/>
    <w:rsid w:val="00FF08D4"/>
    <w:rsid w:val="00FF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42DDB1"/>
  <w15:docId w15:val="{A9FD2254-376D-4248-B358-01426D75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D64"/>
    <w:pPr>
      <w:spacing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553E81"/>
    <w:pPr>
      <w:keepNext/>
      <w:keepLines/>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553E81"/>
    <w:pPr>
      <w:keepNext/>
      <w:keepLines/>
      <w:spacing w:before="200" w:after="120"/>
      <w:outlineLvl w:val="1"/>
    </w:pPr>
    <w:rPr>
      <w:rFonts w:eastAsiaTheme="majorEastAsia"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53E81"/>
    <w:pPr>
      <w:tabs>
        <w:tab w:val="center" w:pos="4320"/>
        <w:tab w:val="right" w:pos="8640"/>
      </w:tabs>
      <w:spacing w:line="192" w:lineRule="auto"/>
    </w:pPr>
    <w:rPr>
      <w:rFonts w:ascii="Arial" w:hAnsi="Arial"/>
      <w:b/>
      <w:sz w:val="18"/>
    </w:rPr>
  </w:style>
  <w:style w:type="character" w:customStyle="1" w:styleId="FooterChar">
    <w:name w:val="Footer Char"/>
    <w:basedOn w:val="DefaultParagraphFont"/>
    <w:link w:val="Footer"/>
    <w:rsid w:val="00553E81"/>
    <w:rPr>
      <w:rFonts w:ascii="Arial" w:eastAsia="Times New Roman" w:hAnsi="Arial" w:cs="Times New Roman"/>
      <w:b/>
      <w:sz w:val="18"/>
      <w:szCs w:val="20"/>
    </w:rPr>
  </w:style>
  <w:style w:type="paragraph" w:styleId="Header">
    <w:name w:val="header"/>
    <w:basedOn w:val="Normal"/>
    <w:link w:val="HeaderChar"/>
    <w:rsid w:val="00553E81"/>
    <w:pPr>
      <w:tabs>
        <w:tab w:val="center" w:pos="4680"/>
        <w:tab w:val="right" w:pos="9360"/>
      </w:tabs>
    </w:pPr>
  </w:style>
  <w:style w:type="character" w:customStyle="1" w:styleId="HeaderChar">
    <w:name w:val="Header Char"/>
    <w:basedOn w:val="DefaultParagraphFont"/>
    <w:link w:val="Header"/>
    <w:rsid w:val="00553E81"/>
    <w:rPr>
      <w:rFonts w:ascii="Times New Roman" w:eastAsia="Times New Roman" w:hAnsi="Times New Roman" w:cs="Times New Roman"/>
      <w:szCs w:val="20"/>
    </w:rPr>
  </w:style>
  <w:style w:type="character" w:styleId="PageNumber">
    <w:name w:val="page number"/>
    <w:basedOn w:val="DefaultParagraphFont"/>
    <w:rsid w:val="00553E81"/>
    <w:rPr>
      <w:rFonts w:ascii="Arial" w:hAnsi="Arial"/>
      <w:dstrike w:val="0"/>
      <w:color w:val="auto"/>
      <w:sz w:val="20"/>
      <w:vertAlign w:val="baseline"/>
    </w:rPr>
  </w:style>
  <w:style w:type="table" w:styleId="TableList5">
    <w:name w:val="Table List 5"/>
    <w:basedOn w:val="TableNormal"/>
    <w:rsid w:val="00553E81"/>
    <w:pPr>
      <w:spacing w:after="0" w:line="264"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553E81"/>
    <w:pPr>
      <w:spacing w:line="240" w:lineRule="auto"/>
    </w:pPr>
    <w:rPr>
      <w:sz w:val="20"/>
    </w:rPr>
  </w:style>
  <w:style w:type="character" w:customStyle="1" w:styleId="FootnoteTextChar">
    <w:name w:val="Footnote Text Char"/>
    <w:basedOn w:val="DefaultParagraphFont"/>
    <w:link w:val="FootnoteText"/>
    <w:rsid w:val="00553E8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53E81"/>
    <w:rPr>
      <w:vertAlign w:val="superscript"/>
    </w:rPr>
  </w:style>
  <w:style w:type="paragraph" w:styleId="Caption">
    <w:name w:val="caption"/>
    <w:basedOn w:val="Normal"/>
    <w:next w:val="Normal"/>
    <w:uiPriority w:val="35"/>
    <w:unhideWhenUsed/>
    <w:qFormat/>
    <w:rsid w:val="00553E81"/>
    <w:pPr>
      <w:spacing w:line="240" w:lineRule="auto"/>
    </w:pPr>
    <w:rPr>
      <w:b/>
      <w:bCs/>
      <w:sz w:val="18"/>
      <w:szCs w:val="18"/>
    </w:rPr>
  </w:style>
  <w:style w:type="character" w:styleId="Hyperlink">
    <w:name w:val="Hyperlink"/>
    <w:basedOn w:val="DefaultParagraphFont"/>
    <w:uiPriority w:val="99"/>
    <w:unhideWhenUsed/>
    <w:rsid w:val="00553E81"/>
    <w:rPr>
      <w:color w:val="0000FF"/>
      <w:u w:val="single"/>
    </w:rPr>
  </w:style>
  <w:style w:type="character" w:customStyle="1" w:styleId="Heading1Char">
    <w:name w:val="Heading 1 Char"/>
    <w:basedOn w:val="DefaultParagraphFont"/>
    <w:link w:val="Heading1"/>
    <w:uiPriority w:val="9"/>
    <w:rsid w:val="00553E81"/>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553E81"/>
    <w:rPr>
      <w:rFonts w:ascii="Times New Roman" w:eastAsiaTheme="majorEastAsia" w:hAnsi="Times New Roman" w:cstheme="majorBidi"/>
      <w:b/>
      <w:bCs/>
      <w:i/>
      <w:szCs w:val="26"/>
    </w:rPr>
  </w:style>
  <w:style w:type="character" w:styleId="FollowedHyperlink">
    <w:name w:val="FollowedHyperlink"/>
    <w:basedOn w:val="DefaultParagraphFont"/>
    <w:uiPriority w:val="99"/>
    <w:semiHidden/>
    <w:unhideWhenUsed/>
    <w:rsid w:val="00F87CAA"/>
    <w:rPr>
      <w:color w:val="800080" w:themeColor="followedHyperlink"/>
      <w:u w:val="single"/>
    </w:rPr>
  </w:style>
  <w:style w:type="paragraph" w:styleId="BalloonText">
    <w:name w:val="Balloon Text"/>
    <w:basedOn w:val="Normal"/>
    <w:link w:val="BalloonTextChar"/>
    <w:uiPriority w:val="99"/>
    <w:semiHidden/>
    <w:unhideWhenUsed/>
    <w:rsid w:val="00BB67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79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17EC8"/>
    <w:rPr>
      <w:sz w:val="16"/>
      <w:szCs w:val="16"/>
    </w:rPr>
  </w:style>
  <w:style w:type="paragraph" w:styleId="CommentText">
    <w:name w:val="annotation text"/>
    <w:basedOn w:val="Normal"/>
    <w:link w:val="CommentTextChar"/>
    <w:uiPriority w:val="99"/>
    <w:semiHidden/>
    <w:unhideWhenUsed/>
    <w:rsid w:val="00717EC8"/>
    <w:pPr>
      <w:spacing w:line="240" w:lineRule="auto"/>
    </w:pPr>
    <w:rPr>
      <w:sz w:val="20"/>
    </w:rPr>
  </w:style>
  <w:style w:type="character" w:customStyle="1" w:styleId="CommentTextChar">
    <w:name w:val="Comment Text Char"/>
    <w:basedOn w:val="DefaultParagraphFont"/>
    <w:link w:val="CommentText"/>
    <w:uiPriority w:val="99"/>
    <w:semiHidden/>
    <w:rsid w:val="00717E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7EC8"/>
    <w:rPr>
      <w:b/>
      <w:bCs/>
    </w:rPr>
  </w:style>
  <w:style w:type="character" w:customStyle="1" w:styleId="CommentSubjectChar">
    <w:name w:val="Comment Subject Char"/>
    <w:basedOn w:val="CommentTextChar"/>
    <w:link w:val="CommentSubject"/>
    <w:uiPriority w:val="99"/>
    <w:semiHidden/>
    <w:rsid w:val="00717EC8"/>
    <w:rPr>
      <w:rFonts w:ascii="Times New Roman" w:eastAsia="Times New Roman" w:hAnsi="Times New Roman" w:cs="Times New Roman"/>
      <w:b/>
      <w:bCs/>
      <w:sz w:val="20"/>
      <w:szCs w:val="20"/>
    </w:rPr>
  </w:style>
  <w:style w:type="paragraph" w:styleId="Revision">
    <w:name w:val="Revision"/>
    <w:hidden/>
    <w:uiPriority w:val="99"/>
    <w:semiHidden/>
    <w:rsid w:val="001B24C9"/>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qFormat/>
    <w:rsid w:val="004A581A"/>
    <w:rPr>
      <w:b/>
      <w:bCs/>
    </w:rPr>
  </w:style>
  <w:style w:type="paragraph" w:styleId="NoSpacing">
    <w:name w:val="No Spacing"/>
    <w:uiPriority w:val="1"/>
    <w:qFormat/>
    <w:rsid w:val="005F2C98"/>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367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63B"/>
    <w:pPr>
      <w:ind w:left="720"/>
      <w:contextualSpacing/>
    </w:pPr>
  </w:style>
  <w:style w:type="character" w:styleId="UnresolvedMention">
    <w:name w:val="Unresolved Mention"/>
    <w:basedOn w:val="DefaultParagraphFont"/>
    <w:uiPriority w:val="99"/>
    <w:semiHidden/>
    <w:unhideWhenUsed/>
    <w:rsid w:val="004B0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63142">
      <w:bodyDiv w:val="1"/>
      <w:marLeft w:val="0"/>
      <w:marRight w:val="0"/>
      <w:marTop w:val="0"/>
      <w:marBottom w:val="0"/>
      <w:divBdr>
        <w:top w:val="none" w:sz="0" w:space="0" w:color="auto"/>
        <w:left w:val="none" w:sz="0" w:space="0" w:color="auto"/>
        <w:bottom w:val="none" w:sz="0" w:space="0" w:color="auto"/>
        <w:right w:val="none" w:sz="0" w:space="0" w:color="auto"/>
      </w:divBdr>
    </w:div>
    <w:div w:id="143396662">
      <w:bodyDiv w:val="1"/>
      <w:marLeft w:val="0"/>
      <w:marRight w:val="0"/>
      <w:marTop w:val="0"/>
      <w:marBottom w:val="0"/>
      <w:divBdr>
        <w:top w:val="none" w:sz="0" w:space="0" w:color="auto"/>
        <w:left w:val="none" w:sz="0" w:space="0" w:color="auto"/>
        <w:bottom w:val="none" w:sz="0" w:space="0" w:color="auto"/>
        <w:right w:val="none" w:sz="0" w:space="0" w:color="auto"/>
      </w:divBdr>
    </w:div>
    <w:div w:id="398745659">
      <w:bodyDiv w:val="1"/>
      <w:marLeft w:val="0"/>
      <w:marRight w:val="0"/>
      <w:marTop w:val="0"/>
      <w:marBottom w:val="0"/>
      <w:divBdr>
        <w:top w:val="none" w:sz="0" w:space="0" w:color="auto"/>
        <w:left w:val="none" w:sz="0" w:space="0" w:color="auto"/>
        <w:bottom w:val="none" w:sz="0" w:space="0" w:color="auto"/>
        <w:right w:val="none" w:sz="0" w:space="0" w:color="auto"/>
      </w:divBdr>
    </w:div>
    <w:div w:id="413934765">
      <w:bodyDiv w:val="1"/>
      <w:marLeft w:val="0"/>
      <w:marRight w:val="0"/>
      <w:marTop w:val="0"/>
      <w:marBottom w:val="0"/>
      <w:divBdr>
        <w:top w:val="none" w:sz="0" w:space="0" w:color="auto"/>
        <w:left w:val="none" w:sz="0" w:space="0" w:color="auto"/>
        <w:bottom w:val="none" w:sz="0" w:space="0" w:color="auto"/>
        <w:right w:val="none" w:sz="0" w:space="0" w:color="auto"/>
      </w:divBdr>
    </w:div>
    <w:div w:id="694893378">
      <w:bodyDiv w:val="1"/>
      <w:marLeft w:val="0"/>
      <w:marRight w:val="0"/>
      <w:marTop w:val="0"/>
      <w:marBottom w:val="0"/>
      <w:divBdr>
        <w:top w:val="none" w:sz="0" w:space="0" w:color="auto"/>
        <w:left w:val="none" w:sz="0" w:space="0" w:color="auto"/>
        <w:bottom w:val="none" w:sz="0" w:space="0" w:color="auto"/>
        <w:right w:val="none" w:sz="0" w:space="0" w:color="auto"/>
      </w:divBdr>
    </w:div>
    <w:div w:id="750616127">
      <w:bodyDiv w:val="1"/>
      <w:marLeft w:val="0"/>
      <w:marRight w:val="0"/>
      <w:marTop w:val="0"/>
      <w:marBottom w:val="0"/>
      <w:divBdr>
        <w:top w:val="none" w:sz="0" w:space="0" w:color="auto"/>
        <w:left w:val="none" w:sz="0" w:space="0" w:color="auto"/>
        <w:bottom w:val="none" w:sz="0" w:space="0" w:color="auto"/>
        <w:right w:val="none" w:sz="0" w:space="0" w:color="auto"/>
      </w:divBdr>
    </w:div>
    <w:div w:id="779181904">
      <w:bodyDiv w:val="1"/>
      <w:marLeft w:val="0"/>
      <w:marRight w:val="0"/>
      <w:marTop w:val="0"/>
      <w:marBottom w:val="0"/>
      <w:divBdr>
        <w:top w:val="none" w:sz="0" w:space="0" w:color="auto"/>
        <w:left w:val="none" w:sz="0" w:space="0" w:color="auto"/>
        <w:bottom w:val="none" w:sz="0" w:space="0" w:color="auto"/>
        <w:right w:val="none" w:sz="0" w:space="0" w:color="auto"/>
      </w:divBdr>
    </w:div>
    <w:div w:id="962541703">
      <w:bodyDiv w:val="1"/>
      <w:marLeft w:val="0"/>
      <w:marRight w:val="0"/>
      <w:marTop w:val="0"/>
      <w:marBottom w:val="0"/>
      <w:divBdr>
        <w:top w:val="none" w:sz="0" w:space="0" w:color="auto"/>
        <w:left w:val="none" w:sz="0" w:space="0" w:color="auto"/>
        <w:bottom w:val="none" w:sz="0" w:space="0" w:color="auto"/>
        <w:right w:val="none" w:sz="0" w:space="0" w:color="auto"/>
      </w:divBdr>
    </w:div>
    <w:div w:id="981425900">
      <w:bodyDiv w:val="1"/>
      <w:marLeft w:val="0"/>
      <w:marRight w:val="0"/>
      <w:marTop w:val="0"/>
      <w:marBottom w:val="0"/>
      <w:divBdr>
        <w:top w:val="none" w:sz="0" w:space="0" w:color="auto"/>
        <w:left w:val="none" w:sz="0" w:space="0" w:color="auto"/>
        <w:bottom w:val="none" w:sz="0" w:space="0" w:color="auto"/>
        <w:right w:val="none" w:sz="0" w:space="0" w:color="auto"/>
      </w:divBdr>
    </w:div>
    <w:div w:id="1171217520">
      <w:bodyDiv w:val="1"/>
      <w:marLeft w:val="0"/>
      <w:marRight w:val="0"/>
      <w:marTop w:val="0"/>
      <w:marBottom w:val="0"/>
      <w:divBdr>
        <w:top w:val="none" w:sz="0" w:space="0" w:color="auto"/>
        <w:left w:val="none" w:sz="0" w:space="0" w:color="auto"/>
        <w:bottom w:val="none" w:sz="0" w:space="0" w:color="auto"/>
        <w:right w:val="none" w:sz="0" w:space="0" w:color="auto"/>
      </w:divBdr>
    </w:div>
    <w:div w:id="1174879384">
      <w:bodyDiv w:val="1"/>
      <w:marLeft w:val="0"/>
      <w:marRight w:val="0"/>
      <w:marTop w:val="0"/>
      <w:marBottom w:val="0"/>
      <w:divBdr>
        <w:top w:val="none" w:sz="0" w:space="0" w:color="auto"/>
        <w:left w:val="none" w:sz="0" w:space="0" w:color="auto"/>
        <w:bottom w:val="none" w:sz="0" w:space="0" w:color="auto"/>
        <w:right w:val="none" w:sz="0" w:space="0" w:color="auto"/>
      </w:divBdr>
    </w:div>
    <w:div w:id="1357467471">
      <w:bodyDiv w:val="1"/>
      <w:marLeft w:val="0"/>
      <w:marRight w:val="0"/>
      <w:marTop w:val="0"/>
      <w:marBottom w:val="0"/>
      <w:divBdr>
        <w:top w:val="none" w:sz="0" w:space="0" w:color="auto"/>
        <w:left w:val="none" w:sz="0" w:space="0" w:color="auto"/>
        <w:bottom w:val="none" w:sz="0" w:space="0" w:color="auto"/>
        <w:right w:val="none" w:sz="0" w:space="0" w:color="auto"/>
      </w:divBdr>
    </w:div>
    <w:div w:id="1584994977">
      <w:bodyDiv w:val="1"/>
      <w:marLeft w:val="0"/>
      <w:marRight w:val="0"/>
      <w:marTop w:val="0"/>
      <w:marBottom w:val="0"/>
      <w:divBdr>
        <w:top w:val="none" w:sz="0" w:space="0" w:color="auto"/>
        <w:left w:val="none" w:sz="0" w:space="0" w:color="auto"/>
        <w:bottom w:val="none" w:sz="0" w:space="0" w:color="auto"/>
        <w:right w:val="none" w:sz="0" w:space="0" w:color="auto"/>
      </w:divBdr>
    </w:div>
    <w:div w:id="1627855396">
      <w:bodyDiv w:val="1"/>
      <w:marLeft w:val="0"/>
      <w:marRight w:val="0"/>
      <w:marTop w:val="0"/>
      <w:marBottom w:val="0"/>
      <w:divBdr>
        <w:top w:val="none" w:sz="0" w:space="0" w:color="auto"/>
        <w:left w:val="none" w:sz="0" w:space="0" w:color="auto"/>
        <w:bottom w:val="none" w:sz="0" w:space="0" w:color="auto"/>
        <w:right w:val="none" w:sz="0" w:space="0" w:color="auto"/>
      </w:divBdr>
    </w:div>
    <w:div w:id="1953130760">
      <w:bodyDiv w:val="1"/>
      <w:marLeft w:val="0"/>
      <w:marRight w:val="0"/>
      <w:marTop w:val="0"/>
      <w:marBottom w:val="0"/>
      <w:divBdr>
        <w:top w:val="none" w:sz="0" w:space="0" w:color="auto"/>
        <w:left w:val="none" w:sz="0" w:space="0" w:color="auto"/>
        <w:bottom w:val="none" w:sz="0" w:space="0" w:color="auto"/>
        <w:right w:val="none" w:sz="0" w:space="0" w:color="auto"/>
      </w:divBdr>
    </w:div>
    <w:div w:id="1961257919">
      <w:bodyDiv w:val="1"/>
      <w:marLeft w:val="0"/>
      <w:marRight w:val="0"/>
      <w:marTop w:val="0"/>
      <w:marBottom w:val="0"/>
      <w:divBdr>
        <w:top w:val="none" w:sz="0" w:space="0" w:color="auto"/>
        <w:left w:val="none" w:sz="0" w:space="0" w:color="auto"/>
        <w:bottom w:val="none" w:sz="0" w:space="0" w:color="auto"/>
        <w:right w:val="none" w:sz="0" w:space="0" w:color="auto"/>
      </w:divBdr>
    </w:div>
    <w:div w:id="2054423528">
      <w:bodyDiv w:val="1"/>
      <w:marLeft w:val="0"/>
      <w:marRight w:val="0"/>
      <w:marTop w:val="0"/>
      <w:marBottom w:val="0"/>
      <w:divBdr>
        <w:top w:val="none" w:sz="0" w:space="0" w:color="auto"/>
        <w:left w:val="none" w:sz="0" w:space="0" w:color="auto"/>
        <w:bottom w:val="none" w:sz="0" w:space="0" w:color="auto"/>
        <w:right w:val="none" w:sz="0" w:space="0" w:color="auto"/>
      </w:divBdr>
    </w:div>
    <w:div w:id="21170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mprecycle.org/wp-content/uploads/2014/02/ALMR_capacity_statement.2004.-pdf.pdf" TargetMode="External"/><Relationship Id="rId13" Type="http://schemas.openxmlformats.org/officeDocument/2006/relationships/hyperlink" Target="https://www.humanesociety.org/all-our-fights/ending-pet-homelessness" TargetMode="External"/><Relationship Id="rId18" Type="http://schemas.openxmlformats.org/officeDocument/2006/relationships/hyperlink" Target="http://www.ejnet.org/crematoria/reindl.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pa.gov/lmop" TargetMode="External"/><Relationship Id="rId7" Type="http://schemas.openxmlformats.org/officeDocument/2006/relationships/endnotes" Target="endnotes.xml"/><Relationship Id="rId12" Type="http://schemas.openxmlformats.org/officeDocument/2006/relationships/hyperlink" Target="http://www.cleancarcampaign.org/pdfs/toxicsinvehicles_mercury.pdf" TargetMode="External"/><Relationship Id="rId17" Type="http://schemas.openxmlformats.org/officeDocument/2006/relationships/hyperlink" Target="https://connectingdirectors.com/40088-pet-loss-professionals-alliance-releases-findings-of-inaugural-professional-survey"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dcr.nih.gov/research/data-statistics/dental-caries/adults" TargetMode="External"/><Relationship Id="rId20" Type="http://schemas.openxmlformats.org/officeDocument/2006/relationships/hyperlink" Target="https://www.energystar.gov/ia/products/downloads/CFL_Market_Profile_201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emationassociation.org/page/Publications" TargetMode="External"/><Relationship Id="rId24" Type="http://schemas.openxmlformats.org/officeDocument/2006/relationships/hyperlink" Target="https://www.usgs.gov/energy-and-minerals/mineral-resources-program" TargetMode="External"/><Relationship Id="rId5" Type="http://schemas.openxmlformats.org/officeDocument/2006/relationships/webSettings" Target="webSettings.xml"/><Relationship Id="rId15" Type="http://schemas.openxmlformats.org/officeDocument/2006/relationships/hyperlink" Target="https://www.nationalgeographic.com/animals/mammals/d/domestic-cat/" TargetMode="External"/><Relationship Id="rId23" Type="http://schemas.openxmlformats.org/officeDocument/2006/relationships/hyperlink" Target="https://www.epa.gov/technical-air-pollution-resources" TargetMode="External"/><Relationship Id="rId28" Type="http://schemas.openxmlformats.org/officeDocument/2006/relationships/footer" Target="footer2.xml"/><Relationship Id="rId10" Type="http://schemas.openxmlformats.org/officeDocument/2006/relationships/hyperlink" Target="https://wonder.cdc.gov/" TargetMode="External"/><Relationship Id="rId19" Type="http://schemas.openxmlformats.org/officeDocument/2006/relationships/hyperlink" Target="https://www.census.gov/programs-surveys/cbp.html" TargetMode="External"/><Relationship Id="rId4" Type="http://schemas.openxmlformats.org/officeDocument/2006/relationships/settings" Target="settings.xml"/><Relationship Id="rId9" Type="http://schemas.openxmlformats.org/officeDocument/2006/relationships/hyperlink" Target="https://www.state.nj.us/dep/dsr/research/mercury-bulbs.pdf" TargetMode="External"/><Relationship Id="rId14" Type="http://schemas.openxmlformats.org/officeDocument/2006/relationships/hyperlink" Target="https://www.nema.org/Policy/Environmental-Stewardship/Lamps/Documents/Lamp%20Brochure.pdf" TargetMode="External"/><Relationship Id="rId22" Type="http://schemas.openxmlformats.org/officeDocument/2006/relationships/hyperlink" Target="https://www.epa.gov/mercury"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5C2CD-AC7E-49A9-B4A3-F256C28E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5402</Words>
  <Characters>30796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Cooley</dc:creator>
  <cp:lastModifiedBy>StClair, Aimee</cp:lastModifiedBy>
  <cp:revision>5</cp:revision>
  <cp:lastPrinted>2014-12-01T18:57:00Z</cp:lastPrinted>
  <dcterms:created xsi:type="dcterms:W3CDTF">2019-06-03T12:04:00Z</dcterms:created>
  <dcterms:modified xsi:type="dcterms:W3CDTF">2019-06-03T12:31:00Z</dcterms:modified>
</cp:coreProperties>
</file>