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642B64" w14:textId="77777777" w:rsidR="00D9363D" w:rsidRDefault="00B20A4D" w:rsidP="00982D3B">
      <w:pPr>
        <w:tabs>
          <w:tab w:val="right" w:pos="7507"/>
        </w:tabs>
        <w:rPr>
          <w:rFonts w:ascii="Times New Roman" w:hAnsi="Times New Roman"/>
        </w:rPr>
      </w:pPr>
      <w:r>
        <w:rPr>
          <w:rFonts w:ascii="Times New Roman" w:hAnsi="Times New Roman"/>
          <w:noProof/>
        </w:rPr>
        <w:object w:dxaOrig="1440" w:dyaOrig="1440" w14:anchorId="3DC007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162pt;margin-top:-9pt;width:87.1pt;height:34.1pt;z-index:251658240">
            <v:imagedata r:id="rId8" o:title=""/>
            <w10:wrap type="square"/>
          </v:shape>
          <o:OLEObject Type="Embed" ProgID="Word.Picture.8" ShapeID="_x0000_s1030" DrawAspect="Content" ObjectID="_1648555916" r:id="rId9"/>
        </w:object>
      </w:r>
    </w:p>
    <w:p w14:paraId="65E19130" w14:textId="77777777" w:rsidR="00D9363D" w:rsidRPr="00D9363D" w:rsidRDefault="00D9363D" w:rsidP="00D9363D">
      <w:pPr>
        <w:rPr>
          <w:rFonts w:ascii="Times New Roman" w:hAnsi="Times New Roman"/>
        </w:rPr>
      </w:pPr>
    </w:p>
    <w:p w14:paraId="198BD3ED" w14:textId="77777777" w:rsidR="00E00854" w:rsidRDefault="00E00854" w:rsidP="00D9363D">
      <w:pPr>
        <w:rPr>
          <w:rFonts w:ascii="Times New Roman" w:hAnsi="Times New Roman"/>
          <w:b/>
        </w:rPr>
      </w:pPr>
    </w:p>
    <w:p w14:paraId="244DFDBF" w14:textId="77777777" w:rsidR="00D9363D" w:rsidRPr="00D9363D" w:rsidRDefault="00D9363D" w:rsidP="00D9363D">
      <w:pPr>
        <w:rPr>
          <w:rFonts w:ascii="Times New Roman" w:hAnsi="Times New Roman"/>
          <w:b/>
        </w:rPr>
      </w:pPr>
      <w:r w:rsidRPr="00D9363D">
        <w:rPr>
          <w:rFonts w:ascii="Times New Roman" w:hAnsi="Times New Roman"/>
          <w:b/>
        </w:rPr>
        <w:t>MEMORANDUM</w:t>
      </w:r>
    </w:p>
    <w:p w14:paraId="5F0C4946" w14:textId="77777777" w:rsidR="00D9363D" w:rsidRPr="00D9363D" w:rsidRDefault="00D9363D" w:rsidP="00D9363D">
      <w:pPr>
        <w:rPr>
          <w:rFonts w:ascii="Times New Roman" w:hAnsi="Times New Roman"/>
        </w:rPr>
      </w:pPr>
    </w:p>
    <w:p w14:paraId="7563E7CE" w14:textId="77777777" w:rsidR="00D9363D" w:rsidRDefault="00D9363D" w:rsidP="00D9363D">
      <w:pPr>
        <w:rPr>
          <w:rFonts w:ascii="Times New Roman" w:hAnsi="Times New Roman"/>
        </w:rPr>
      </w:pPr>
      <w:r w:rsidRPr="00E00854">
        <w:rPr>
          <w:rFonts w:ascii="Times New Roman" w:hAnsi="Times New Roman"/>
          <w:b/>
        </w:rPr>
        <w:t>TO</w:t>
      </w:r>
      <w:r w:rsidRPr="00E00854">
        <w:rPr>
          <w:rFonts w:ascii="Times New Roman" w:hAnsi="Times New Roman"/>
        </w:rPr>
        <w:t>:</w:t>
      </w:r>
      <w:r w:rsidRPr="00E00854">
        <w:rPr>
          <w:rFonts w:ascii="Times New Roman" w:hAnsi="Times New Roman"/>
        </w:rPr>
        <w:tab/>
      </w:r>
      <w:r w:rsidRPr="00E00854">
        <w:rPr>
          <w:rFonts w:ascii="Times New Roman" w:hAnsi="Times New Roman"/>
        </w:rPr>
        <w:tab/>
      </w:r>
      <w:r w:rsidR="000E7EC3">
        <w:rPr>
          <w:rFonts w:ascii="Times New Roman" w:hAnsi="Times New Roman"/>
        </w:rPr>
        <w:t>Roy Huntley, US EPA</w:t>
      </w:r>
    </w:p>
    <w:p w14:paraId="14C0C0D3" w14:textId="77777777" w:rsidR="000E7EC3" w:rsidRDefault="000E7EC3" w:rsidP="00D9363D">
      <w:pPr>
        <w:rPr>
          <w:rFonts w:ascii="Times New Roman" w:hAnsi="Times New Roman"/>
        </w:rPr>
      </w:pPr>
      <w:r>
        <w:rPr>
          <w:rFonts w:ascii="Times New Roman" w:hAnsi="Times New Roman"/>
        </w:rPr>
        <w:tab/>
      </w:r>
      <w:r>
        <w:rPr>
          <w:rFonts w:ascii="Times New Roman" w:hAnsi="Times New Roman"/>
        </w:rPr>
        <w:tab/>
        <w:t>Jennifer Snyder, US EPA</w:t>
      </w:r>
    </w:p>
    <w:p w14:paraId="41B22336" w14:textId="77777777" w:rsidR="00D9363D" w:rsidRDefault="00D9363D" w:rsidP="00D9363D">
      <w:pPr>
        <w:tabs>
          <w:tab w:val="left" w:pos="1440"/>
        </w:tabs>
        <w:rPr>
          <w:rFonts w:ascii="Times New Roman" w:hAnsi="Times New Roman"/>
        </w:rPr>
      </w:pPr>
      <w:r w:rsidRPr="00E00854">
        <w:rPr>
          <w:rFonts w:ascii="Times New Roman" w:hAnsi="Times New Roman"/>
          <w:b/>
        </w:rPr>
        <w:t>FROM</w:t>
      </w:r>
      <w:r w:rsidRPr="00E00854">
        <w:rPr>
          <w:rFonts w:ascii="Times New Roman" w:hAnsi="Times New Roman"/>
        </w:rPr>
        <w:t>:</w:t>
      </w:r>
      <w:r w:rsidRPr="00E00854">
        <w:rPr>
          <w:rFonts w:ascii="Times New Roman" w:hAnsi="Times New Roman"/>
        </w:rPr>
        <w:tab/>
      </w:r>
      <w:r w:rsidR="00E00854" w:rsidRPr="00E00854">
        <w:rPr>
          <w:rFonts w:ascii="Times New Roman" w:hAnsi="Times New Roman"/>
        </w:rPr>
        <w:t xml:space="preserve">Mike Pring, </w:t>
      </w:r>
      <w:r w:rsidR="00661670">
        <w:rPr>
          <w:rFonts w:ascii="Times New Roman" w:hAnsi="Times New Roman"/>
        </w:rPr>
        <w:t>ERG</w:t>
      </w:r>
    </w:p>
    <w:p w14:paraId="69FDB02C" w14:textId="77777777" w:rsidR="00E85E62" w:rsidRDefault="000E7EC3" w:rsidP="00E85E62">
      <w:pPr>
        <w:tabs>
          <w:tab w:val="left" w:pos="1440"/>
        </w:tabs>
        <w:rPr>
          <w:rFonts w:ascii="Times New Roman" w:hAnsi="Times New Roman"/>
        </w:rPr>
      </w:pPr>
      <w:r>
        <w:rPr>
          <w:rFonts w:ascii="Times New Roman" w:hAnsi="Times New Roman"/>
        </w:rPr>
        <w:tab/>
        <w:t>Regi Oommen,</w:t>
      </w:r>
      <w:r w:rsidR="00661670">
        <w:rPr>
          <w:rFonts w:ascii="Times New Roman" w:hAnsi="Times New Roman"/>
        </w:rPr>
        <w:t xml:space="preserve"> ERG</w:t>
      </w:r>
    </w:p>
    <w:p w14:paraId="445C74DB" w14:textId="77777777" w:rsidR="00D9363D" w:rsidRDefault="00D9363D" w:rsidP="00D9363D">
      <w:pPr>
        <w:tabs>
          <w:tab w:val="left" w:pos="1440"/>
        </w:tabs>
        <w:rPr>
          <w:rFonts w:ascii="Times New Roman" w:hAnsi="Times New Roman"/>
        </w:rPr>
      </w:pPr>
      <w:r w:rsidRPr="00E00854">
        <w:rPr>
          <w:rFonts w:ascii="Times New Roman" w:hAnsi="Times New Roman"/>
          <w:b/>
        </w:rPr>
        <w:t>DATE</w:t>
      </w:r>
      <w:r w:rsidRPr="00E00854">
        <w:rPr>
          <w:rFonts w:ascii="Times New Roman" w:hAnsi="Times New Roman"/>
        </w:rPr>
        <w:t>:</w:t>
      </w:r>
      <w:r w:rsidRPr="00E00854">
        <w:rPr>
          <w:rFonts w:ascii="Times New Roman" w:hAnsi="Times New Roman"/>
        </w:rPr>
        <w:tab/>
      </w:r>
      <w:r w:rsidR="00B80B90">
        <w:rPr>
          <w:rFonts w:ascii="Times New Roman" w:hAnsi="Times New Roman"/>
        </w:rPr>
        <w:t>November</w:t>
      </w:r>
      <w:r w:rsidR="0003709C">
        <w:rPr>
          <w:rFonts w:ascii="Times New Roman" w:hAnsi="Times New Roman"/>
        </w:rPr>
        <w:t xml:space="preserve"> 21, 2014</w:t>
      </w:r>
    </w:p>
    <w:p w14:paraId="29FBCC7A" w14:textId="77777777" w:rsidR="00D9363D" w:rsidRPr="00E00854" w:rsidRDefault="00D9363D" w:rsidP="00D9363D">
      <w:pPr>
        <w:pBdr>
          <w:bottom w:val="single" w:sz="4" w:space="1" w:color="auto"/>
        </w:pBdr>
        <w:tabs>
          <w:tab w:val="left" w:pos="1080"/>
        </w:tabs>
        <w:ind w:left="1440" w:hanging="1440"/>
        <w:rPr>
          <w:rFonts w:ascii="Times New Roman" w:hAnsi="Times New Roman"/>
        </w:rPr>
      </w:pPr>
      <w:r w:rsidRPr="00E00854">
        <w:rPr>
          <w:rFonts w:ascii="Times New Roman" w:hAnsi="Times New Roman"/>
          <w:b/>
        </w:rPr>
        <w:t>SUBJECT</w:t>
      </w:r>
      <w:r w:rsidRPr="00E00854">
        <w:rPr>
          <w:rFonts w:ascii="Times New Roman" w:hAnsi="Times New Roman"/>
        </w:rPr>
        <w:t>:</w:t>
      </w:r>
      <w:r w:rsidRPr="00E00854">
        <w:rPr>
          <w:rFonts w:ascii="Times New Roman" w:hAnsi="Times New Roman"/>
        </w:rPr>
        <w:tab/>
      </w:r>
      <w:r w:rsidR="00325A30">
        <w:rPr>
          <w:rFonts w:ascii="Times New Roman" w:hAnsi="Times New Roman"/>
        </w:rPr>
        <w:t>Updates to default factors in the</w:t>
      </w:r>
      <w:r w:rsidR="002424F3">
        <w:rPr>
          <w:rFonts w:ascii="Times New Roman" w:hAnsi="Times New Roman"/>
        </w:rPr>
        <w:t xml:space="preserve"> EPA OAQPS Nonpoint Oil and Gas Emissions </w:t>
      </w:r>
      <w:r w:rsidR="00FB323A">
        <w:rPr>
          <w:rFonts w:ascii="Times New Roman" w:hAnsi="Times New Roman"/>
        </w:rPr>
        <w:t>Estimation</w:t>
      </w:r>
      <w:r w:rsidR="00325A30">
        <w:rPr>
          <w:rFonts w:ascii="Times New Roman" w:hAnsi="Times New Roman"/>
        </w:rPr>
        <w:t xml:space="preserve"> Tool</w:t>
      </w:r>
    </w:p>
    <w:p w14:paraId="3BE032C5" w14:textId="77777777" w:rsidR="00AC03CC" w:rsidRDefault="000E7EC3" w:rsidP="00AC03CC">
      <w:pPr>
        <w:spacing w:before="36"/>
        <w:rPr>
          <w:rFonts w:ascii="Times New Roman" w:hAnsi="Times New Roman"/>
          <w:color w:val="000000"/>
          <w:spacing w:val="-3"/>
          <w:w w:val="105"/>
        </w:rPr>
      </w:pPr>
      <w:r>
        <w:rPr>
          <w:rFonts w:ascii="Times New Roman" w:hAnsi="Times New Roman"/>
          <w:color w:val="000000"/>
          <w:spacing w:val="-3"/>
          <w:w w:val="105"/>
        </w:rPr>
        <w:t xml:space="preserve">The purpose of this memo is to summarize changes made to the </w:t>
      </w:r>
      <w:r w:rsidR="002424F3">
        <w:rPr>
          <w:rFonts w:ascii="Times New Roman" w:hAnsi="Times New Roman"/>
        </w:rPr>
        <w:t xml:space="preserve">EPA </w:t>
      </w:r>
      <w:r w:rsidR="00F31EF1">
        <w:rPr>
          <w:rFonts w:ascii="Times New Roman" w:hAnsi="Times New Roman"/>
        </w:rPr>
        <w:t>Office of Air Quality Planning and Standards (</w:t>
      </w:r>
      <w:r w:rsidR="002424F3">
        <w:rPr>
          <w:rFonts w:ascii="Times New Roman" w:hAnsi="Times New Roman"/>
        </w:rPr>
        <w:t>OAQPS</w:t>
      </w:r>
      <w:r w:rsidR="00F31EF1">
        <w:rPr>
          <w:rFonts w:ascii="Times New Roman" w:hAnsi="Times New Roman"/>
        </w:rPr>
        <w:t>)</w:t>
      </w:r>
      <w:r w:rsidR="002424F3">
        <w:rPr>
          <w:rFonts w:ascii="Times New Roman" w:hAnsi="Times New Roman"/>
        </w:rPr>
        <w:t xml:space="preserve"> Nonpoint Oil and Gas Emission </w:t>
      </w:r>
      <w:r w:rsidR="00FB323A">
        <w:rPr>
          <w:rFonts w:ascii="Times New Roman" w:hAnsi="Times New Roman"/>
        </w:rPr>
        <w:t>Estimation</w:t>
      </w:r>
      <w:r w:rsidR="00325A30">
        <w:rPr>
          <w:rFonts w:ascii="Times New Roman" w:hAnsi="Times New Roman"/>
        </w:rPr>
        <w:t xml:space="preserve"> Tool (</w:t>
      </w:r>
      <w:r w:rsidR="00FB323A">
        <w:rPr>
          <w:rFonts w:ascii="Times New Roman" w:hAnsi="Times New Roman"/>
        </w:rPr>
        <w:t>t</w:t>
      </w:r>
      <w:r w:rsidR="00325A30">
        <w:rPr>
          <w:rFonts w:ascii="Times New Roman" w:hAnsi="Times New Roman"/>
        </w:rPr>
        <w:t>ool)</w:t>
      </w:r>
      <w:r w:rsidR="002424F3">
        <w:rPr>
          <w:rFonts w:ascii="Times New Roman" w:hAnsi="Times New Roman"/>
        </w:rPr>
        <w:t xml:space="preserve"> activity and emission factor data as a result of </w:t>
      </w:r>
      <w:r w:rsidR="00661670">
        <w:rPr>
          <w:rFonts w:ascii="Times New Roman" w:hAnsi="Times New Roman"/>
        </w:rPr>
        <w:t>inclusion of data from</w:t>
      </w:r>
      <w:r w:rsidR="002424F3">
        <w:rPr>
          <w:rFonts w:ascii="Times New Roman" w:hAnsi="Times New Roman"/>
        </w:rPr>
        <w:t xml:space="preserve"> the </w:t>
      </w:r>
      <w:r w:rsidR="00325A30">
        <w:rPr>
          <w:rFonts w:ascii="Times New Roman" w:hAnsi="Times New Roman"/>
        </w:rPr>
        <w:t xml:space="preserve">EPA </w:t>
      </w:r>
      <w:r w:rsidR="00F31EF1">
        <w:rPr>
          <w:rFonts w:ascii="Times New Roman" w:hAnsi="Times New Roman"/>
        </w:rPr>
        <w:t>Office of Atmospheric Programs (</w:t>
      </w:r>
      <w:r w:rsidR="002424F3">
        <w:rPr>
          <w:rFonts w:ascii="Times New Roman" w:hAnsi="Times New Roman"/>
        </w:rPr>
        <w:t>OAP</w:t>
      </w:r>
      <w:r w:rsidR="00F31EF1">
        <w:rPr>
          <w:rFonts w:ascii="Times New Roman" w:hAnsi="Times New Roman"/>
        </w:rPr>
        <w:t>)</w:t>
      </w:r>
      <w:r w:rsidR="002424F3">
        <w:rPr>
          <w:rFonts w:ascii="Times New Roman" w:hAnsi="Times New Roman"/>
        </w:rPr>
        <w:t xml:space="preserve"> </w:t>
      </w:r>
      <w:r w:rsidR="0045657A">
        <w:rPr>
          <w:rFonts w:ascii="Times New Roman" w:hAnsi="Times New Roman"/>
          <w:color w:val="000000"/>
          <w:spacing w:val="-3"/>
          <w:w w:val="105"/>
        </w:rPr>
        <w:t xml:space="preserve">Inventory of Greenhouse Gas Emissions and Sinks (U.S. GHG Inventory) </w:t>
      </w:r>
      <w:r w:rsidR="002424F3">
        <w:rPr>
          <w:rFonts w:ascii="Times New Roman" w:hAnsi="Times New Roman"/>
        </w:rPr>
        <w:t>for the Natural Gas and Petroleum Systems sectors</w:t>
      </w:r>
      <w:r w:rsidR="00325A30">
        <w:rPr>
          <w:rFonts w:ascii="Times New Roman" w:hAnsi="Times New Roman"/>
        </w:rPr>
        <w:t>,</w:t>
      </w:r>
      <w:r w:rsidR="00EE5E2B">
        <w:rPr>
          <w:rFonts w:ascii="Times New Roman" w:hAnsi="Times New Roman"/>
        </w:rPr>
        <w:t xml:space="preserve"> and Subpart W of the Greenhouse Gas Reporting Rule</w:t>
      </w:r>
      <w:r>
        <w:rPr>
          <w:rFonts w:ascii="Times New Roman" w:hAnsi="Times New Roman"/>
          <w:color w:val="000000"/>
          <w:spacing w:val="-3"/>
          <w:w w:val="105"/>
        </w:rPr>
        <w:t>.</w:t>
      </w:r>
    </w:p>
    <w:p w14:paraId="2308903A" w14:textId="77777777" w:rsidR="00325A30" w:rsidRDefault="00325A30" w:rsidP="00AC03CC">
      <w:pPr>
        <w:spacing w:before="36"/>
        <w:rPr>
          <w:rFonts w:ascii="Times New Roman" w:hAnsi="Times New Roman"/>
          <w:color w:val="000000"/>
          <w:spacing w:val="-3"/>
          <w:w w:val="105"/>
        </w:rPr>
      </w:pPr>
    </w:p>
    <w:p w14:paraId="1A91C0B0" w14:textId="77777777" w:rsidR="00B52A74" w:rsidRDefault="00325A30" w:rsidP="00AC03CC">
      <w:pPr>
        <w:spacing w:before="36"/>
        <w:rPr>
          <w:rFonts w:ascii="Times New Roman" w:hAnsi="Times New Roman"/>
          <w:color w:val="000000"/>
          <w:spacing w:val="-3"/>
          <w:w w:val="105"/>
        </w:rPr>
      </w:pPr>
      <w:r>
        <w:rPr>
          <w:rFonts w:ascii="Times New Roman" w:hAnsi="Times New Roman"/>
          <w:color w:val="000000"/>
          <w:spacing w:val="-3"/>
          <w:w w:val="105"/>
        </w:rPr>
        <w:t xml:space="preserve">Where available, the </w:t>
      </w:r>
      <w:r w:rsidR="00FB323A">
        <w:rPr>
          <w:rFonts w:ascii="Times New Roman" w:hAnsi="Times New Roman"/>
          <w:color w:val="000000"/>
          <w:spacing w:val="-3"/>
          <w:w w:val="105"/>
        </w:rPr>
        <w:t>tool</w:t>
      </w:r>
      <w:r>
        <w:rPr>
          <w:rFonts w:ascii="Times New Roman" w:hAnsi="Times New Roman"/>
          <w:color w:val="000000"/>
          <w:spacing w:val="-3"/>
          <w:w w:val="105"/>
        </w:rPr>
        <w:t xml:space="preserve"> </w:t>
      </w:r>
      <w:r w:rsidR="005D14DC">
        <w:rPr>
          <w:rFonts w:ascii="Times New Roman" w:hAnsi="Times New Roman"/>
          <w:color w:val="000000"/>
          <w:spacing w:val="-3"/>
          <w:w w:val="105"/>
        </w:rPr>
        <w:t xml:space="preserve">currently </w:t>
      </w:r>
      <w:r>
        <w:rPr>
          <w:rFonts w:ascii="Times New Roman" w:hAnsi="Times New Roman"/>
          <w:color w:val="000000"/>
          <w:spacing w:val="-3"/>
          <w:w w:val="105"/>
        </w:rPr>
        <w:t>utilizes activity and emission factor</w:t>
      </w:r>
      <w:r w:rsidR="005D14DC">
        <w:rPr>
          <w:rFonts w:ascii="Times New Roman" w:hAnsi="Times New Roman"/>
          <w:color w:val="000000"/>
          <w:spacing w:val="-3"/>
          <w:w w:val="105"/>
        </w:rPr>
        <w:t xml:space="preserve"> data</w:t>
      </w:r>
      <w:r>
        <w:rPr>
          <w:rFonts w:ascii="Times New Roman" w:hAnsi="Times New Roman"/>
          <w:color w:val="000000"/>
          <w:spacing w:val="-3"/>
          <w:w w:val="105"/>
        </w:rPr>
        <w:t xml:space="preserve"> directly from state and local agencies to calculate emissions.  Where state</w:t>
      </w:r>
      <w:r w:rsidRPr="00325A30">
        <w:rPr>
          <w:rFonts w:ascii="Times New Roman" w:hAnsi="Times New Roman"/>
          <w:color w:val="000000"/>
          <w:spacing w:val="-3"/>
          <w:w w:val="105"/>
        </w:rPr>
        <w:t xml:space="preserve"> input </w:t>
      </w:r>
      <w:r>
        <w:rPr>
          <w:rFonts w:ascii="Times New Roman" w:hAnsi="Times New Roman"/>
          <w:color w:val="000000"/>
          <w:spacing w:val="-3"/>
          <w:w w:val="105"/>
        </w:rPr>
        <w:t xml:space="preserve">data </w:t>
      </w:r>
      <w:r w:rsidR="007D442A">
        <w:rPr>
          <w:rFonts w:ascii="Times New Roman" w:hAnsi="Times New Roman"/>
          <w:color w:val="000000"/>
          <w:spacing w:val="-3"/>
          <w:w w:val="105"/>
        </w:rPr>
        <w:t>are</w:t>
      </w:r>
      <w:r w:rsidRPr="00325A30">
        <w:rPr>
          <w:rFonts w:ascii="Times New Roman" w:hAnsi="Times New Roman"/>
          <w:color w:val="000000"/>
          <w:spacing w:val="-3"/>
          <w:w w:val="105"/>
        </w:rPr>
        <w:t xml:space="preserve"> not available, nationally-averaged </w:t>
      </w:r>
      <w:r w:rsidR="00365CFF">
        <w:rPr>
          <w:rFonts w:ascii="Times New Roman" w:hAnsi="Times New Roman"/>
          <w:color w:val="000000"/>
          <w:spacing w:val="-3"/>
          <w:w w:val="105"/>
        </w:rPr>
        <w:t xml:space="preserve">default </w:t>
      </w:r>
      <w:r w:rsidRPr="00325A30">
        <w:rPr>
          <w:rFonts w:ascii="Times New Roman" w:hAnsi="Times New Roman"/>
          <w:color w:val="000000"/>
          <w:spacing w:val="-3"/>
          <w:w w:val="105"/>
        </w:rPr>
        <w:t>data is used.  In most cases, this data was derived from work done in 2012 by the Central States Air Resource Agencies (</w:t>
      </w:r>
      <w:proofErr w:type="spellStart"/>
      <w:r w:rsidRPr="00325A30">
        <w:rPr>
          <w:rFonts w:ascii="Times New Roman" w:hAnsi="Times New Roman"/>
          <w:color w:val="000000"/>
          <w:spacing w:val="-3"/>
          <w:w w:val="105"/>
        </w:rPr>
        <w:t>CenSARA</w:t>
      </w:r>
      <w:proofErr w:type="spellEnd"/>
      <w:r w:rsidRPr="00325A30">
        <w:rPr>
          <w:rFonts w:ascii="Times New Roman" w:hAnsi="Times New Roman"/>
          <w:color w:val="000000"/>
          <w:spacing w:val="-3"/>
          <w:w w:val="105"/>
        </w:rPr>
        <w:t xml:space="preserve">) to develop </w:t>
      </w:r>
      <w:r w:rsidR="00661670">
        <w:rPr>
          <w:rFonts w:ascii="Times New Roman" w:hAnsi="Times New Roman"/>
          <w:color w:val="000000"/>
          <w:spacing w:val="-3"/>
          <w:w w:val="105"/>
        </w:rPr>
        <w:t xml:space="preserve">an </w:t>
      </w:r>
      <w:r w:rsidR="00661670" w:rsidRPr="00325A30">
        <w:rPr>
          <w:rFonts w:ascii="Times New Roman" w:hAnsi="Times New Roman"/>
          <w:color w:val="000000"/>
          <w:spacing w:val="-3"/>
          <w:w w:val="105"/>
        </w:rPr>
        <w:t>improved</w:t>
      </w:r>
      <w:r w:rsidRPr="00325A30">
        <w:rPr>
          <w:rFonts w:ascii="Times New Roman" w:hAnsi="Times New Roman"/>
          <w:color w:val="000000"/>
          <w:spacing w:val="-3"/>
          <w:w w:val="105"/>
        </w:rPr>
        <w:t xml:space="preserve"> area source (nonpoint) oil and gas emissions inventory for the</w:t>
      </w:r>
      <w:r>
        <w:rPr>
          <w:rFonts w:ascii="Times New Roman" w:hAnsi="Times New Roman"/>
          <w:color w:val="000000"/>
          <w:spacing w:val="-3"/>
          <w:w w:val="105"/>
        </w:rPr>
        <w:t>ir region</w:t>
      </w:r>
      <w:r w:rsidRPr="00325A30">
        <w:rPr>
          <w:rFonts w:ascii="Times New Roman" w:hAnsi="Times New Roman"/>
          <w:color w:val="000000"/>
          <w:spacing w:val="-3"/>
          <w:w w:val="105"/>
        </w:rPr>
        <w:t>.</w:t>
      </w:r>
      <w:r>
        <w:rPr>
          <w:rFonts w:ascii="Times New Roman" w:hAnsi="Times New Roman"/>
          <w:color w:val="000000"/>
          <w:spacing w:val="-3"/>
          <w:w w:val="105"/>
        </w:rPr>
        <w:t xml:space="preserve">  In order to supplement this</w:t>
      </w:r>
      <w:r w:rsidR="00D503D9">
        <w:rPr>
          <w:rFonts w:ascii="Times New Roman" w:hAnsi="Times New Roman"/>
          <w:color w:val="000000"/>
          <w:spacing w:val="-3"/>
          <w:w w:val="105"/>
        </w:rPr>
        <w:t xml:space="preserve"> data and provide more nationally averaged data, ERG </w:t>
      </w:r>
      <w:r w:rsidR="005D14DC">
        <w:rPr>
          <w:rFonts w:ascii="Times New Roman" w:hAnsi="Times New Roman"/>
          <w:color w:val="000000"/>
          <w:spacing w:val="-3"/>
          <w:w w:val="105"/>
        </w:rPr>
        <w:t xml:space="preserve">and EPA </w:t>
      </w:r>
      <w:r w:rsidR="00D503D9">
        <w:rPr>
          <w:rFonts w:ascii="Times New Roman" w:hAnsi="Times New Roman"/>
          <w:color w:val="000000"/>
          <w:spacing w:val="-3"/>
          <w:w w:val="105"/>
        </w:rPr>
        <w:t>analyzed information used in the</w:t>
      </w:r>
      <w:r w:rsidR="0045657A">
        <w:rPr>
          <w:rFonts w:ascii="Times New Roman" w:hAnsi="Times New Roman"/>
          <w:color w:val="000000"/>
          <w:spacing w:val="-3"/>
          <w:w w:val="105"/>
        </w:rPr>
        <w:t xml:space="preserve"> U.S. GHG Inventory </w:t>
      </w:r>
      <w:r w:rsidR="00D503D9">
        <w:rPr>
          <w:rFonts w:ascii="Times New Roman" w:hAnsi="Times New Roman"/>
        </w:rPr>
        <w:t xml:space="preserve">and Subpart W of the Greenhouse Gas Reporting Rule to ascertain if any additional sources of input data could be used in the </w:t>
      </w:r>
      <w:r w:rsidR="00FB323A">
        <w:rPr>
          <w:rFonts w:ascii="Times New Roman" w:hAnsi="Times New Roman"/>
          <w:color w:val="000000"/>
          <w:spacing w:val="-3"/>
          <w:w w:val="105"/>
        </w:rPr>
        <w:t>tool</w:t>
      </w:r>
      <w:r w:rsidR="00D503D9">
        <w:rPr>
          <w:rFonts w:ascii="Times New Roman" w:hAnsi="Times New Roman"/>
        </w:rPr>
        <w:t xml:space="preserve">.  As a result of this analysis, changes were made to </w:t>
      </w:r>
      <w:r w:rsidR="00661670">
        <w:rPr>
          <w:rFonts w:ascii="Times New Roman" w:hAnsi="Times New Roman"/>
        </w:rPr>
        <w:t>input data used to estimate emissions f</w:t>
      </w:r>
      <w:r w:rsidR="005D14DC">
        <w:rPr>
          <w:rFonts w:ascii="Times New Roman" w:hAnsi="Times New Roman"/>
        </w:rPr>
        <w:t>or</w:t>
      </w:r>
      <w:r w:rsidR="00661670">
        <w:rPr>
          <w:rFonts w:ascii="Times New Roman" w:hAnsi="Times New Roman"/>
        </w:rPr>
        <w:t xml:space="preserve"> </w:t>
      </w:r>
      <w:r w:rsidR="00D503D9">
        <w:rPr>
          <w:rFonts w:ascii="Times New Roman" w:hAnsi="Times New Roman"/>
        </w:rPr>
        <w:t>several source categories.</w:t>
      </w:r>
      <w:r w:rsidR="00661670">
        <w:rPr>
          <w:rFonts w:ascii="Times New Roman" w:hAnsi="Times New Roman"/>
        </w:rPr>
        <w:t xml:space="preserve">  </w:t>
      </w:r>
      <w:r w:rsidRPr="00325A30">
        <w:rPr>
          <w:rFonts w:ascii="Times New Roman" w:hAnsi="Times New Roman"/>
          <w:color w:val="000000"/>
          <w:spacing w:val="-3"/>
          <w:w w:val="105"/>
        </w:rPr>
        <w:t xml:space="preserve">Specifically, changes have been made to the </w:t>
      </w:r>
      <w:r w:rsidR="00152FB2">
        <w:rPr>
          <w:rFonts w:ascii="Times New Roman" w:hAnsi="Times New Roman"/>
          <w:color w:val="000000"/>
          <w:spacing w:val="-3"/>
          <w:w w:val="105"/>
        </w:rPr>
        <w:t>following source categories</w:t>
      </w:r>
      <w:r>
        <w:rPr>
          <w:rFonts w:ascii="Times New Roman" w:hAnsi="Times New Roman"/>
          <w:color w:val="000000"/>
          <w:spacing w:val="-3"/>
          <w:w w:val="105"/>
        </w:rPr>
        <w:t>:</w:t>
      </w:r>
    </w:p>
    <w:p w14:paraId="6499DB94" w14:textId="77777777" w:rsidR="00325A30" w:rsidRDefault="00325A30" w:rsidP="00AC03CC">
      <w:pPr>
        <w:spacing w:before="36"/>
        <w:rPr>
          <w:rFonts w:ascii="Times New Roman" w:hAnsi="Times New Roman"/>
          <w:color w:val="000000"/>
          <w:spacing w:val="-3"/>
          <w:w w:val="105"/>
        </w:rPr>
      </w:pPr>
    </w:p>
    <w:p w14:paraId="7D89AD14" w14:textId="77777777" w:rsidR="00325A30" w:rsidRDefault="00325A30" w:rsidP="00F31EF1">
      <w:pPr>
        <w:pStyle w:val="ListParagraph"/>
        <w:numPr>
          <w:ilvl w:val="0"/>
          <w:numId w:val="11"/>
        </w:numPr>
        <w:spacing w:before="36"/>
        <w:rPr>
          <w:rFonts w:ascii="Times New Roman" w:hAnsi="Times New Roman"/>
          <w:color w:val="000000"/>
          <w:spacing w:val="-3"/>
          <w:w w:val="105"/>
        </w:rPr>
      </w:pPr>
      <w:r w:rsidRPr="00F31EF1">
        <w:rPr>
          <w:rFonts w:ascii="Times New Roman" w:hAnsi="Times New Roman"/>
          <w:color w:val="000000"/>
          <w:spacing w:val="-3"/>
          <w:w w:val="105"/>
        </w:rPr>
        <w:t>Condensate Tanks;</w:t>
      </w:r>
    </w:p>
    <w:p w14:paraId="25C1E32F" w14:textId="77777777" w:rsidR="00F0264C" w:rsidRPr="00F31EF1" w:rsidRDefault="00F0264C" w:rsidP="00F31EF1">
      <w:pPr>
        <w:pStyle w:val="ListParagraph"/>
        <w:numPr>
          <w:ilvl w:val="0"/>
          <w:numId w:val="11"/>
        </w:numPr>
        <w:spacing w:before="36"/>
        <w:rPr>
          <w:rFonts w:ascii="Times New Roman" w:hAnsi="Times New Roman"/>
          <w:color w:val="000000"/>
          <w:spacing w:val="-3"/>
          <w:w w:val="105"/>
        </w:rPr>
      </w:pPr>
      <w:r>
        <w:rPr>
          <w:rFonts w:ascii="Times New Roman" w:hAnsi="Times New Roman"/>
          <w:color w:val="000000"/>
          <w:spacing w:val="-3"/>
          <w:w w:val="105"/>
        </w:rPr>
        <w:t>Liquids Unloading;</w:t>
      </w:r>
    </w:p>
    <w:p w14:paraId="1A3552ED" w14:textId="77777777" w:rsidR="00325A30" w:rsidRPr="00F31EF1" w:rsidRDefault="00325A30" w:rsidP="00F31EF1">
      <w:pPr>
        <w:pStyle w:val="ListParagraph"/>
        <w:numPr>
          <w:ilvl w:val="0"/>
          <w:numId w:val="11"/>
        </w:numPr>
        <w:spacing w:before="36"/>
        <w:rPr>
          <w:rFonts w:ascii="Times New Roman" w:hAnsi="Times New Roman"/>
          <w:color w:val="000000"/>
          <w:spacing w:val="-3"/>
          <w:w w:val="105"/>
        </w:rPr>
      </w:pPr>
      <w:r w:rsidRPr="00F31EF1">
        <w:rPr>
          <w:rFonts w:ascii="Times New Roman" w:hAnsi="Times New Roman"/>
          <w:color w:val="000000"/>
          <w:spacing w:val="-3"/>
          <w:w w:val="105"/>
        </w:rPr>
        <w:t>Pneumatic Devices;</w:t>
      </w:r>
      <w:r w:rsidR="00F31EF1">
        <w:rPr>
          <w:rFonts w:ascii="Times New Roman" w:hAnsi="Times New Roman"/>
          <w:color w:val="000000"/>
          <w:spacing w:val="-3"/>
          <w:w w:val="105"/>
        </w:rPr>
        <w:t xml:space="preserve"> and</w:t>
      </w:r>
    </w:p>
    <w:p w14:paraId="0ABB0134" w14:textId="77777777" w:rsidR="00325A30" w:rsidRPr="00F31EF1" w:rsidRDefault="00325A30" w:rsidP="00F31EF1">
      <w:pPr>
        <w:pStyle w:val="ListParagraph"/>
        <w:numPr>
          <w:ilvl w:val="0"/>
          <w:numId w:val="11"/>
        </w:numPr>
        <w:spacing w:before="36"/>
        <w:rPr>
          <w:rFonts w:ascii="Times New Roman" w:hAnsi="Times New Roman"/>
          <w:color w:val="000000"/>
          <w:spacing w:val="-3"/>
          <w:w w:val="105"/>
        </w:rPr>
      </w:pPr>
      <w:r w:rsidRPr="00F31EF1">
        <w:rPr>
          <w:rFonts w:ascii="Times New Roman" w:hAnsi="Times New Roman"/>
          <w:color w:val="000000"/>
          <w:spacing w:val="-3"/>
          <w:w w:val="105"/>
        </w:rPr>
        <w:t>Well Completions.</w:t>
      </w:r>
    </w:p>
    <w:p w14:paraId="4329D6B9" w14:textId="77777777" w:rsidR="000E7EC3" w:rsidRDefault="000E7EC3" w:rsidP="00AC03CC">
      <w:pPr>
        <w:spacing w:before="36"/>
        <w:rPr>
          <w:rFonts w:ascii="Times New Roman" w:hAnsi="Times New Roman"/>
          <w:color w:val="000000"/>
          <w:spacing w:val="-3"/>
          <w:w w:val="105"/>
        </w:rPr>
      </w:pPr>
    </w:p>
    <w:p w14:paraId="371F3ED7" w14:textId="77777777" w:rsidR="00325A30" w:rsidRPr="009D7780" w:rsidRDefault="00325A30" w:rsidP="00AC03CC">
      <w:pPr>
        <w:spacing w:before="36"/>
        <w:rPr>
          <w:rFonts w:ascii="Times New Roman" w:hAnsi="Times New Roman"/>
          <w:color w:val="000000"/>
          <w:spacing w:val="-3"/>
          <w:w w:val="105"/>
        </w:rPr>
      </w:pPr>
      <w:r>
        <w:rPr>
          <w:rFonts w:ascii="Times New Roman" w:hAnsi="Times New Roman"/>
          <w:color w:val="000000"/>
          <w:spacing w:val="-3"/>
          <w:w w:val="105"/>
        </w:rPr>
        <w:t>A description of the revisions made to the input data for each of these categories is provided below.</w:t>
      </w:r>
      <w:r w:rsidR="00661670">
        <w:rPr>
          <w:rFonts w:ascii="Times New Roman" w:hAnsi="Times New Roman"/>
          <w:color w:val="000000"/>
          <w:spacing w:val="-3"/>
          <w:w w:val="105"/>
        </w:rPr>
        <w:t xml:space="preserve">  Note that these changes have only been implemented for counties not covered under </w:t>
      </w:r>
      <w:r w:rsidR="00661670" w:rsidRPr="009D7780">
        <w:rPr>
          <w:rFonts w:ascii="Times New Roman" w:hAnsi="Times New Roman"/>
          <w:color w:val="000000"/>
          <w:spacing w:val="-3"/>
          <w:w w:val="105"/>
        </w:rPr>
        <w:t xml:space="preserve">the </w:t>
      </w:r>
      <w:proofErr w:type="spellStart"/>
      <w:r w:rsidR="00661670" w:rsidRPr="009D7780">
        <w:rPr>
          <w:rFonts w:ascii="Times New Roman" w:hAnsi="Times New Roman"/>
          <w:color w:val="000000"/>
          <w:spacing w:val="-3"/>
          <w:w w:val="105"/>
        </w:rPr>
        <w:t>CenSARA</w:t>
      </w:r>
      <w:proofErr w:type="spellEnd"/>
      <w:r w:rsidR="00661670" w:rsidRPr="009D7780">
        <w:rPr>
          <w:rFonts w:ascii="Times New Roman" w:hAnsi="Times New Roman"/>
          <w:color w:val="000000"/>
          <w:spacing w:val="-3"/>
          <w:w w:val="105"/>
        </w:rPr>
        <w:t xml:space="preserve"> inventory efforts, or for those counties where states have not provided updated </w:t>
      </w:r>
      <w:r w:rsidR="005D14DC" w:rsidRPr="009D7780">
        <w:rPr>
          <w:rFonts w:ascii="Times New Roman" w:hAnsi="Times New Roman"/>
          <w:color w:val="000000"/>
          <w:spacing w:val="-3"/>
          <w:w w:val="105"/>
        </w:rPr>
        <w:t>activity and emission</w:t>
      </w:r>
      <w:r w:rsidR="00661670" w:rsidRPr="009D7780">
        <w:rPr>
          <w:rFonts w:ascii="Times New Roman" w:hAnsi="Times New Roman"/>
          <w:color w:val="000000"/>
          <w:spacing w:val="-3"/>
          <w:w w:val="105"/>
        </w:rPr>
        <w:t xml:space="preserve"> factor</w:t>
      </w:r>
      <w:r w:rsidR="005D14DC" w:rsidRPr="009D7780">
        <w:rPr>
          <w:rFonts w:ascii="Times New Roman" w:hAnsi="Times New Roman"/>
          <w:color w:val="000000"/>
          <w:spacing w:val="-3"/>
          <w:w w:val="105"/>
        </w:rPr>
        <w:t>s</w:t>
      </w:r>
      <w:r w:rsidR="00661670" w:rsidRPr="009D7780">
        <w:rPr>
          <w:rFonts w:ascii="Times New Roman" w:hAnsi="Times New Roman"/>
          <w:color w:val="000000"/>
          <w:spacing w:val="-3"/>
          <w:w w:val="105"/>
        </w:rPr>
        <w:t xml:space="preserve"> to EPA.</w:t>
      </w:r>
    </w:p>
    <w:p w14:paraId="44BA8A75" w14:textId="77777777" w:rsidR="00325A30" w:rsidRPr="009D7780" w:rsidRDefault="00325A30" w:rsidP="00AC03CC">
      <w:pPr>
        <w:spacing w:before="36"/>
        <w:rPr>
          <w:rFonts w:ascii="Times New Roman" w:hAnsi="Times New Roman"/>
          <w:color w:val="000000"/>
          <w:spacing w:val="-3"/>
          <w:w w:val="105"/>
        </w:rPr>
      </w:pPr>
    </w:p>
    <w:p w14:paraId="435E87DD" w14:textId="77777777" w:rsidR="000E7EC3" w:rsidRPr="009D7780" w:rsidRDefault="002424F3" w:rsidP="00AC03CC">
      <w:pPr>
        <w:spacing w:before="36"/>
        <w:rPr>
          <w:rFonts w:ascii="Times New Roman" w:hAnsi="Times New Roman"/>
          <w:b/>
          <w:color w:val="000000"/>
          <w:spacing w:val="-3"/>
          <w:w w:val="105"/>
          <w:u w:val="single"/>
        </w:rPr>
      </w:pPr>
      <w:r w:rsidRPr="009D7780">
        <w:rPr>
          <w:rFonts w:ascii="Times New Roman" w:hAnsi="Times New Roman"/>
          <w:b/>
          <w:color w:val="000000"/>
          <w:spacing w:val="-3"/>
          <w:w w:val="105"/>
          <w:u w:val="single"/>
        </w:rPr>
        <w:t>Condensate Tanks</w:t>
      </w:r>
    </w:p>
    <w:p w14:paraId="1C8F0F91" w14:textId="77777777" w:rsidR="002424F3" w:rsidRPr="009D7780" w:rsidRDefault="002424F3" w:rsidP="002424F3">
      <w:pPr>
        <w:spacing w:before="36"/>
        <w:rPr>
          <w:rFonts w:ascii="Times New Roman" w:hAnsi="Times New Roman"/>
          <w:color w:val="000000"/>
          <w:spacing w:val="-3"/>
          <w:w w:val="105"/>
        </w:rPr>
      </w:pPr>
    </w:p>
    <w:p w14:paraId="3754DED4" w14:textId="77777777" w:rsidR="009D7780" w:rsidRPr="009D7780" w:rsidRDefault="009D7780" w:rsidP="009D7780">
      <w:pPr>
        <w:spacing w:before="36"/>
        <w:rPr>
          <w:rFonts w:ascii="Times New Roman" w:hAnsi="Times New Roman"/>
        </w:rPr>
      </w:pPr>
      <w:r w:rsidRPr="009D7780">
        <w:rPr>
          <w:rFonts w:ascii="Times New Roman" w:hAnsi="Times New Roman"/>
          <w:color w:val="000000"/>
          <w:spacing w:val="-3"/>
        </w:rPr>
        <w:t>The following control parameters</w:t>
      </w:r>
      <w:r w:rsidR="006A7B7C">
        <w:rPr>
          <w:rFonts w:ascii="Times New Roman" w:hAnsi="Times New Roman"/>
          <w:color w:val="000000"/>
          <w:spacing w:val="-3"/>
        </w:rPr>
        <w:t xml:space="preserve"> used in the </w:t>
      </w:r>
      <w:r w:rsidR="0045657A">
        <w:rPr>
          <w:rFonts w:ascii="Times New Roman" w:hAnsi="Times New Roman"/>
          <w:color w:val="000000"/>
          <w:spacing w:val="-3"/>
          <w:w w:val="105"/>
        </w:rPr>
        <w:t>U.S. GHG Inventory</w:t>
      </w:r>
      <w:r w:rsidR="0045657A" w:rsidRPr="009D7780">
        <w:rPr>
          <w:rFonts w:ascii="Times New Roman" w:hAnsi="Times New Roman"/>
          <w:color w:val="000000"/>
          <w:spacing w:val="-3"/>
        </w:rPr>
        <w:t xml:space="preserve"> </w:t>
      </w:r>
      <w:r w:rsidRPr="009D7780">
        <w:rPr>
          <w:rFonts w:ascii="Times New Roman" w:hAnsi="Times New Roman"/>
          <w:color w:val="000000"/>
          <w:spacing w:val="-3"/>
        </w:rPr>
        <w:t xml:space="preserve">have been used in the </w:t>
      </w:r>
      <w:r w:rsidR="00FB323A">
        <w:rPr>
          <w:rFonts w:ascii="Times New Roman" w:hAnsi="Times New Roman"/>
          <w:color w:val="000000"/>
          <w:spacing w:val="-3"/>
          <w:w w:val="105"/>
        </w:rPr>
        <w:t>tool</w:t>
      </w:r>
      <w:r w:rsidRPr="009D7780">
        <w:rPr>
          <w:rFonts w:ascii="Times New Roman" w:hAnsi="Times New Roman"/>
          <w:color w:val="000000"/>
          <w:spacing w:val="-3"/>
        </w:rPr>
        <w:t xml:space="preserve"> as default data to estimate emissions from condensate tanks:</w:t>
      </w:r>
    </w:p>
    <w:p w14:paraId="4DF54AD9" w14:textId="77777777" w:rsidR="009D7780" w:rsidRPr="009D7780" w:rsidRDefault="009D7780" w:rsidP="009D7780">
      <w:pPr>
        <w:spacing w:before="36"/>
        <w:rPr>
          <w:rFonts w:ascii="Times New Roman" w:hAnsi="Times New Roman"/>
        </w:rPr>
      </w:pPr>
      <w:r w:rsidRPr="009D7780">
        <w:rPr>
          <w:rFonts w:ascii="Times New Roman" w:hAnsi="Times New Roman"/>
          <w:color w:val="000000"/>
          <w:spacing w:val="-3"/>
        </w:rPr>
        <w:t> </w:t>
      </w:r>
    </w:p>
    <w:p w14:paraId="56454CE2" w14:textId="77777777" w:rsidR="009D7780" w:rsidRPr="009D7780" w:rsidRDefault="009D7780" w:rsidP="009D7780">
      <w:pPr>
        <w:pStyle w:val="ListParagraph"/>
        <w:numPr>
          <w:ilvl w:val="0"/>
          <w:numId w:val="13"/>
        </w:numPr>
        <w:spacing w:before="36"/>
        <w:ind w:left="720"/>
        <w:rPr>
          <w:rFonts w:ascii="Times New Roman" w:hAnsi="Times New Roman"/>
        </w:rPr>
      </w:pPr>
      <w:r w:rsidRPr="009D7780">
        <w:rPr>
          <w:rFonts w:ascii="Times New Roman" w:hAnsi="Times New Roman"/>
          <w:color w:val="000000"/>
          <w:spacing w:val="-3"/>
        </w:rPr>
        <w:lastRenderedPageBreak/>
        <w:t>50% of condensate tanks are controlled;</w:t>
      </w:r>
      <w:r w:rsidR="007848F6">
        <w:rPr>
          <w:rFonts w:ascii="Times New Roman" w:hAnsi="Times New Roman"/>
          <w:color w:val="000000"/>
          <w:spacing w:val="-3"/>
        </w:rPr>
        <w:t xml:space="preserve"> and</w:t>
      </w:r>
    </w:p>
    <w:p w14:paraId="3BA36314" w14:textId="77777777" w:rsidR="009D7780" w:rsidRPr="009D7780" w:rsidRDefault="009D7780" w:rsidP="009D7780">
      <w:pPr>
        <w:pStyle w:val="ListParagraph"/>
        <w:numPr>
          <w:ilvl w:val="0"/>
          <w:numId w:val="13"/>
        </w:numPr>
        <w:spacing w:before="36"/>
        <w:ind w:left="720"/>
        <w:rPr>
          <w:rFonts w:ascii="Times New Roman" w:hAnsi="Times New Roman"/>
        </w:rPr>
      </w:pPr>
      <w:r w:rsidRPr="009D7780">
        <w:rPr>
          <w:rFonts w:ascii="Times New Roman" w:hAnsi="Times New Roman"/>
          <w:color w:val="000000"/>
          <w:spacing w:val="-3"/>
        </w:rPr>
        <w:t>For controlled tanks, the control efficiency is 80% (represents the combined overall control efficiency, combining capture and control)</w:t>
      </w:r>
      <w:r w:rsidR="007848F6">
        <w:rPr>
          <w:rFonts w:ascii="Times New Roman" w:hAnsi="Times New Roman"/>
          <w:color w:val="000000"/>
          <w:spacing w:val="-3"/>
        </w:rPr>
        <w:t>.</w:t>
      </w:r>
    </w:p>
    <w:p w14:paraId="061CBC1A" w14:textId="77777777" w:rsidR="009D7780" w:rsidRPr="009D7780" w:rsidRDefault="009D7780" w:rsidP="009D7780">
      <w:pPr>
        <w:spacing w:before="36"/>
        <w:rPr>
          <w:rFonts w:ascii="Times New Roman" w:hAnsi="Times New Roman"/>
        </w:rPr>
      </w:pPr>
      <w:r w:rsidRPr="009D7780">
        <w:rPr>
          <w:rFonts w:ascii="Times New Roman" w:hAnsi="Times New Roman"/>
          <w:color w:val="000000"/>
          <w:spacing w:val="-3"/>
        </w:rPr>
        <w:t> </w:t>
      </w:r>
    </w:p>
    <w:p w14:paraId="1768F003" w14:textId="77777777" w:rsidR="00F0264C" w:rsidRPr="009D7780" w:rsidRDefault="00F0264C" w:rsidP="00F0264C">
      <w:pPr>
        <w:spacing w:before="36"/>
        <w:rPr>
          <w:rFonts w:ascii="Times New Roman" w:hAnsi="Times New Roman"/>
          <w:b/>
          <w:color w:val="000000"/>
          <w:spacing w:val="-3"/>
          <w:w w:val="105"/>
          <w:u w:val="single"/>
        </w:rPr>
      </w:pPr>
      <w:r w:rsidRPr="009D7780">
        <w:rPr>
          <w:rFonts w:ascii="Times New Roman" w:hAnsi="Times New Roman"/>
          <w:b/>
          <w:color w:val="000000"/>
          <w:spacing w:val="-3"/>
          <w:w w:val="105"/>
          <w:u w:val="single"/>
        </w:rPr>
        <w:t>Liquids Unloading</w:t>
      </w:r>
    </w:p>
    <w:p w14:paraId="2FCC7044" w14:textId="77777777" w:rsidR="00F0264C" w:rsidRPr="009D7780" w:rsidRDefault="00F0264C" w:rsidP="00F0264C">
      <w:pPr>
        <w:spacing w:before="36"/>
        <w:rPr>
          <w:rFonts w:ascii="Times New Roman" w:hAnsi="Times New Roman"/>
          <w:color w:val="000000"/>
          <w:spacing w:val="-3"/>
          <w:w w:val="105"/>
        </w:rPr>
      </w:pPr>
    </w:p>
    <w:p w14:paraId="50FBBDFD" w14:textId="77777777" w:rsidR="00AE3627" w:rsidRDefault="0045657A" w:rsidP="00AE3627">
      <w:pPr>
        <w:spacing w:before="36"/>
        <w:rPr>
          <w:rFonts w:ascii="Times New Roman" w:hAnsi="Times New Roman"/>
        </w:rPr>
      </w:pPr>
      <w:r>
        <w:rPr>
          <w:rFonts w:ascii="Times New Roman" w:hAnsi="Times New Roman"/>
          <w:color w:val="000000"/>
          <w:spacing w:val="-3"/>
          <w:w w:val="105"/>
        </w:rPr>
        <w:t xml:space="preserve">The U.S. GHG Inventory </w:t>
      </w:r>
      <w:r w:rsidR="00B520F7">
        <w:rPr>
          <w:rFonts w:ascii="Times New Roman" w:hAnsi="Times New Roman"/>
          <w:color w:val="000000"/>
          <w:spacing w:val="-3"/>
          <w:w w:val="105"/>
        </w:rPr>
        <w:t xml:space="preserve">was recently updated to reflect current information on emissions from </w:t>
      </w:r>
      <w:r w:rsidR="00781E8B">
        <w:rPr>
          <w:rFonts w:ascii="Times New Roman" w:hAnsi="Times New Roman"/>
          <w:color w:val="000000"/>
          <w:spacing w:val="-3"/>
          <w:w w:val="105"/>
        </w:rPr>
        <w:t>l</w:t>
      </w:r>
      <w:r w:rsidR="00B520F7">
        <w:rPr>
          <w:rFonts w:ascii="Times New Roman" w:hAnsi="Times New Roman"/>
          <w:color w:val="000000"/>
          <w:spacing w:val="-3"/>
          <w:w w:val="105"/>
        </w:rPr>
        <w:t xml:space="preserve">iquids </w:t>
      </w:r>
      <w:r w:rsidR="00781E8B">
        <w:rPr>
          <w:rFonts w:ascii="Times New Roman" w:hAnsi="Times New Roman"/>
          <w:color w:val="000000"/>
          <w:spacing w:val="-3"/>
          <w:w w:val="105"/>
        </w:rPr>
        <w:t>u</w:t>
      </w:r>
      <w:r w:rsidR="00B520F7">
        <w:rPr>
          <w:rFonts w:ascii="Times New Roman" w:hAnsi="Times New Roman"/>
          <w:color w:val="000000"/>
          <w:spacing w:val="-3"/>
          <w:w w:val="105"/>
        </w:rPr>
        <w:t>nloading.  Specifically, EPA analyzed a report issued in September of 2012 by the American Petroleum Institute (API) and America’s Natural Gas Alliance (ANGA) entitled “Characterizing Pivotal Sources of Methane Emissions from Natural Gas Production”.  Using data presented in the report,</w:t>
      </w:r>
      <w:r w:rsidR="006A7B7C">
        <w:rPr>
          <w:rFonts w:ascii="Times New Roman" w:hAnsi="Times New Roman"/>
          <w:color w:val="000000"/>
          <w:spacing w:val="-3"/>
          <w:w w:val="105"/>
        </w:rPr>
        <w:t xml:space="preserve"> </w:t>
      </w:r>
      <w:r w:rsidR="00B520F7">
        <w:rPr>
          <w:rFonts w:ascii="Times New Roman" w:hAnsi="Times New Roman"/>
          <w:color w:val="000000"/>
          <w:spacing w:val="-3"/>
          <w:w w:val="105"/>
        </w:rPr>
        <w:t xml:space="preserve">EPA developed updated vent rates for liquids unloading activities based on </w:t>
      </w:r>
      <w:r w:rsidR="00AE3627">
        <w:rPr>
          <w:rFonts w:ascii="Times New Roman" w:hAnsi="Times New Roman"/>
          <w:color w:val="000000"/>
          <w:spacing w:val="-3"/>
          <w:w w:val="105"/>
        </w:rPr>
        <w:t>U.S. Energy Information Administration (EIA)</w:t>
      </w:r>
      <w:r w:rsidR="00C22E1A" w:rsidRPr="00C22E1A">
        <w:rPr>
          <w:rFonts w:ascii="Times New Roman" w:hAnsi="Times New Roman"/>
          <w:color w:val="000000"/>
          <w:spacing w:val="-3"/>
          <w:w w:val="105"/>
        </w:rPr>
        <w:t xml:space="preserve"> </w:t>
      </w:r>
      <w:r w:rsidR="00C22E1A">
        <w:rPr>
          <w:rFonts w:ascii="Times New Roman" w:hAnsi="Times New Roman"/>
          <w:color w:val="000000"/>
          <w:spacing w:val="-3"/>
          <w:w w:val="105"/>
        </w:rPr>
        <w:t>Supply Region</w:t>
      </w:r>
      <w:r w:rsidR="001341D3">
        <w:rPr>
          <w:rFonts w:ascii="Times New Roman" w:hAnsi="Times New Roman"/>
          <w:color w:val="000000"/>
          <w:spacing w:val="-3"/>
          <w:w w:val="105"/>
        </w:rPr>
        <w:t>s</w:t>
      </w:r>
      <w:r w:rsidR="00B520F7">
        <w:rPr>
          <w:rFonts w:ascii="Times New Roman" w:hAnsi="Times New Roman"/>
          <w:color w:val="000000"/>
          <w:spacing w:val="-3"/>
          <w:w w:val="105"/>
        </w:rPr>
        <w:t xml:space="preserve">.  </w:t>
      </w:r>
      <w:r w:rsidR="00AE3627" w:rsidRPr="006B1C27">
        <w:rPr>
          <w:rFonts w:ascii="Times New Roman" w:hAnsi="Times New Roman"/>
        </w:rPr>
        <w:t>Figure 1 below</w:t>
      </w:r>
      <w:r w:rsidR="00AE3627">
        <w:rPr>
          <w:rFonts w:ascii="Times New Roman" w:hAnsi="Times New Roman"/>
        </w:rPr>
        <w:t xml:space="preserve"> shows the six EIA Supply Regions used in the </w:t>
      </w:r>
      <w:r w:rsidR="0003709C">
        <w:rPr>
          <w:rFonts w:ascii="Times New Roman" w:hAnsi="Times New Roman"/>
          <w:color w:val="000000"/>
          <w:spacing w:val="-3"/>
          <w:w w:val="105"/>
        </w:rPr>
        <w:t>U.S. GHG Inventory</w:t>
      </w:r>
      <w:r w:rsidR="00AE3627">
        <w:rPr>
          <w:rFonts w:ascii="Times New Roman" w:hAnsi="Times New Roman"/>
        </w:rPr>
        <w:t>.</w:t>
      </w:r>
    </w:p>
    <w:p w14:paraId="64B47238" w14:textId="77777777" w:rsidR="007D442A" w:rsidRDefault="007D442A" w:rsidP="007D442A">
      <w:pPr>
        <w:pStyle w:val="Tabletitle-GHGPreamble"/>
        <w:jc w:val="center"/>
        <w:rPr>
          <w:rFonts w:ascii="Times New Roman" w:hAnsi="Times New Roman" w:cs="Times New Roman"/>
        </w:rPr>
      </w:pPr>
    </w:p>
    <w:p w14:paraId="798EA9FA" w14:textId="77777777" w:rsidR="007D442A" w:rsidRDefault="007D442A" w:rsidP="007D442A">
      <w:pPr>
        <w:pStyle w:val="Tabletitle-GHGPreamble"/>
        <w:jc w:val="center"/>
        <w:rPr>
          <w:rFonts w:ascii="Times New Roman" w:hAnsi="Times New Roman" w:cs="Times New Roman"/>
        </w:rPr>
      </w:pPr>
      <w:r>
        <w:rPr>
          <w:rFonts w:ascii="Times New Roman" w:hAnsi="Times New Roman" w:cs="Times New Roman"/>
        </w:rPr>
        <w:t>Figure 1. EIA Supply Region Map</w:t>
      </w:r>
    </w:p>
    <w:p w14:paraId="711BE1A4" w14:textId="77777777" w:rsidR="00AE3627" w:rsidRDefault="00AE3627" w:rsidP="00AE3627">
      <w:pPr>
        <w:spacing w:before="36"/>
        <w:rPr>
          <w:rFonts w:ascii="Times New Roman" w:hAnsi="Times New Roman"/>
          <w:color w:val="000000"/>
          <w:spacing w:val="-3"/>
          <w:w w:val="105"/>
        </w:rPr>
      </w:pPr>
      <w:r w:rsidRPr="00F31EF1">
        <w:rPr>
          <w:rFonts w:ascii="Times New Roman" w:hAnsi="Times New Roman"/>
          <w:noProof/>
          <w:color w:val="000000"/>
          <w:spacing w:val="-3"/>
          <w:w w:val="105"/>
        </w:rPr>
        <w:drawing>
          <wp:inline distT="0" distB="0" distL="0" distR="0" wp14:anchorId="0ADFB4F9" wp14:editId="432E5859">
            <wp:extent cx="5943600" cy="3879395"/>
            <wp:effectExtent l="19050" t="19050" r="19050" b="2585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943600" cy="3879395"/>
                    </a:xfrm>
                    <a:prstGeom prst="rect">
                      <a:avLst/>
                    </a:prstGeom>
                    <a:noFill/>
                    <a:ln w="9525">
                      <a:solidFill>
                        <a:schemeClr val="tx1"/>
                      </a:solidFill>
                      <a:miter lim="800000"/>
                      <a:headEnd/>
                      <a:tailEnd/>
                    </a:ln>
                  </pic:spPr>
                </pic:pic>
              </a:graphicData>
            </a:graphic>
          </wp:inline>
        </w:drawing>
      </w:r>
    </w:p>
    <w:p w14:paraId="55AC3A4D" w14:textId="77777777" w:rsidR="00B520F7" w:rsidRDefault="00B520F7" w:rsidP="00C22E1A">
      <w:pPr>
        <w:pStyle w:val="Tabletitle-GHGPreamble"/>
        <w:jc w:val="center"/>
        <w:rPr>
          <w:rFonts w:ascii="Times New Roman" w:hAnsi="Times New Roman" w:cs="Times New Roman"/>
        </w:rPr>
      </w:pPr>
    </w:p>
    <w:p w14:paraId="4B458133" w14:textId="77777777" w:rsidR="00C22E1A" w:rsidRPr="0045657A" w:rsidRDefault="00C22E1A" w:rsidP="00C22E1A">
      <w:pPr>
        <w:pStyle w:val="Tabletitle-GHGPreamble"/>
        <w:rPr>
          <w:rFonts w:ascii="Times New Roman" w:hAnsi="Times New Roman" w:cs="Times New Roman"/>
          <w:b w:val="0"/>
        </w:rPr>
        <w:sectPr w:rsidR="00C22E1A" w:rsidRPr="0045657A" w:rsidSect="006A7B7C">
          <w:footerReference w:type="default" r:id="rId11"/>
          <w:pgSz w:w="12240" w:h="15840"/>
          <w:pgMar w:top="1440" w:right="1440" w:bottom="1440" w:left="1440" w:header="720" w:footer="720" w:gutter="0"/>
          <w:cols w:space="720"/>
          <w:docGrid w:linePitch="360"/>
        </w:sectPr>
      </w:pPr>
      <w:r w:rsidRPr="0045657A">
        <w:rPr>
          <w:rFonts w:ascii="Times New Roman" w:hAnsi="Times New Roman" w:cs="Times New Roman"/>
          <w:b w:val="0"/>
        </w:rPr>
        <w:t>Table 1 below shows the vent rates</w:t>
      </w:r>
      <w:r w:rsidR="006A7B7C" w:rsidRPr="0045657A">
        <w:rPr>
          <w:rFonts w:ascii="Times New Roman" w:hAnsi="Times New Roman" w:cs="Times New Roman"/>
          <w:b w:val="0"/>
        </w:rPr>
        <w:t xml:space="preserve"> </w:t>
      </w:r>
      <w:r w:rsidR="00411C00" w:rsidRPr="0045657A">
        <w:rPr>
          <w:rFonts w:ascii="Times New Roman" w:hAnsi="Times New Roman" w:cs="Times New Roman"/>
          <w:b w:val="0"/>
        </w:rPr>
        <w:t xml:space="preserve">by EIA Supply Region </w:t>
      </w:r>
      <w:r w:rsidR="006A7B7C" w:rsidRPr="0045657A">
        <w:rPr>
          <w:rFonts w:ascii="Times New Roman" w:hAnsi="Times New Roman" w:cs="Times New Roman"/>
          <w:b w:val="0"/>
        </w:rPr>
        <w:t xml:space="preserve">for each venting scenario used in the </w:t>
      </w:r>
      <w:r w:rsidR="0045657A" w:rsidRPr="0045657A">
        <w:rPr>
          <w:rFonts w:ascii="Times New Roman" w:hAnsi="Times New Roman"/>
          <w:b w:val="0"/>
          <w:color w:val="000000"/>
          <w:spacing w:val="-3"/>
          <w:w w:val="105"/>
        </w:rPr>
        <w:t>U.S. GHG Inventory</w:t>
      </w:r>
      <w:r w:rsidRPr="0045657A">
        <w:rPr>
          <w:rFonts w:ascii="Times New Roman" w:hAnsi="Times New Roman" w:cs="Times New Roman"/>
          <w:b w:val="0"/>
        </w:rPr>
        <w:t>.</w:t>
      </w:r>
    </w:p>
    <w:p w14:paraId="447A6A94" w14:textId="77777777" w:rsidR="00F0264C" w:rsidRDefault="00F0264C" w:rsidP="002424F3">
      <w:pPr>
        <w:spacing w:before="36"/>
        <w:rPr>
          <w:rFonts w:ascii="Times New Roman" w:hAnsi="Times New Roman"/>
          <w:color w:val="000000"/>
          <w:spacing w:val="-3"/>
          <w:w w:val="105"/>
        </w:rPr>
      </w:pPr>
    </w:p>
    <w:p w14:paraId="27577C92" w14:textId="77777777" w:rsidR="00F0264C" w:rsidRDefault="00F0264C" w:rsidP="00F0264C">
      <w:pPr>
        <w:pStyle w:val="Tabletitle-GHGPreamble"/>
        <w:jc w:val="center"/>
        <w:rPr>
          <w:rFonts w:ascii="Times New Roman" w:hAnsi="Times New Roman" w:cs="Times New Roman"/>
        </w:rPr>
      </w:pPr>
      <w:r w:rsidRPr="00BE00D1">
        <w:rPr>
          <w:rFonts w:ascii="Times New Roman" w:hAnsi="Times New Roman" w:cs="Times New Roman"/>
        </w:rPr>
        <w:t xml:space="preserve">Table </w:t>
      </w:r>
      <w:r>
        <w:rPr>
          <w:rFonts w:ascii="Times New Roman" w:hAnsi="Times New Roman" w:cs="Times New Roman"/>
        </w:rPr>
        <w:t xml:space="preserve">1. Liquids Unloading Vent Rates from the </w:t>
      </w:r>
      <w:r w:rsidR="0003709C">
        <w:rPr>
          <w:rFonts w:ascii="Times New Roman" w:hAnsi="Times New Roman"/>
          <w:color w:val="000000"/>
          <w:spacing w:val="-3"/>
          <w:w w:val="105"/>
        </w:rPr>
        <w:t>U.S. GHG Inventory</w:t>
      </w:r>
    </w:p>
    <w:tbl>
      <w:tblPr>
        <w:tblW w:w="9475" w:type="dxa"/>
        <w:jc w:val="center"/>
        <w:tblLayout w:type="fixed"/>
        <w:tblLook w:val="04A0" w:firstRow="1" w:lastRow="0" w:firstColumn="1" w:lastColumn="0" w:noHBand="0" w:noVBand="1"/>
      </w:tblPr>
      <w:tblGrid>
        <w:gridCol w:w="1868"/>
        <w:gridCol w:w="1901"/>
        <w:gridCol w:w="1902"/>
        <w:gridCol w:w="1902"/>
        <w:gridCol w:w="1902"/>
      </w:tblGrid>
      <w:tr w:rsidR="006A7B7C" w:rsidRPr="00A37940" w14:paraId="7C9CAD73" w14:textId="77777777" w:rsidTr="006A7B7C">
        <w:trPr>
          <w:trHeight w:val="630"/>
          <w:jc w:val="center"/>
        </w:trPr>
        <w:tc>
          <w:tcPr>
            <w:tcW w:w="1868"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6252A77B" w14:textId="77777777" w:rsidR="006A7B7C" w:rsidRPr="009D44D8" w:rsidRDefault="006A7B7C" w:rsidP="00AE3627">
            <w:pPr>
              <w:jc w:val="center"/>
              <w:rPr>
                <w:rFonts w:ascii="Times New Roman" w:hAnsi="Times New Roman"/>
                <w:b/>
                <w:bCs/>
                <w:color w:val="000000"/>
              </w:rPr>
            </w:pPr>
            <w:r>
              <w:rPr>
                <w:rFonts w:ascii="Times New Roman" w:hAnsi="Times New Roman"/>
                <w:b/>
                <w:bCs/>
                <w:color w:val="000000"/>
              </w:rPr>
              <w:t xml:space="preserve">EIA Supply </w:t>
            </w:r>
            <w:r w:rsidRPr="002605A8">
              <w:rPr>
                <w:rFonts w:ascii="Times New Roman" w:hAnsi="Times New Roman"/>
                <w:b/>
                <w:bCs/>
                <w:color w:val="000000"/>
              </w:rPr>
              <w:t>Region</w:t>
            </w:r>
          </w:p>
        </w:tc>
        <w:tc>
          <w:tcPr>
            <w:tcW w:w="1901" w:type="dxa"/>
            <w:tcBorders>
              <w:top w:val="single" w:sz="4" w:space="0" w:color="auto"/>
              <w:left w:val="single" w:sz="4" w:space="0" w:color="auto"/>
              <w:bottom w:val="single" w:sz="4" w:space="0" w:color="auto"/>
              <w:right w:val="single" w:sz="4" w:space="0" w:color="auto"/>
            </w:tcBorders>
            <w:shd w:val="clear" w:color="000000" w:fill="BFBFBF"/>
            <w:vAlign w:val="center"/>
          </w:tcPr>
          <w:p w14:paraId="17F00D9A" w14:textId="77777777" w:rsidR="006A7B7C" w:rsidRPr="009D44D8" w:rsidRDefault="006A7B7C" w:rsidP="009D44D8">
            <w:pPr>
              <w:jc w:val="center"/>
              <w:rPr>
                <w:rFonts w:ascii="Times New Roman" w:hAnsi="Times New Roman"/>
                <w:b/>
                <w:bCs/>
                <w:color w:val="000000"/>
              </w:rPr>
            </w:pPr>
            <w:r w:rsidRPr="009D44D8">
              <w:rPr>
                <w:rFonts w:ascii="Times New Roman" w:hAnsi="Times New Roman"/>
                <w:b/>
                <w:bCs/>
                <w:color w:val="000000"/>
              </w:rPr>
              <w:t>Wells venting with plunger lift (%)</w:t>
            </w:r>
          </w:p>
        </w:tc>
        <w:tc>
          <w:tcPr>
            <w:tcW w:w="1902" w:type="dxa"/>
            <w:tcBorders>
              <w:top w:val="single" w:sz="4" w:space="0" w:color="auto"/>
              <w:left w:val="single" w:sz="4" w:space="0" w:color="auto"/>
              <w:bottom w:val="single" w:sz="4" w:space="0" w:color="auto"/>
              <w:right w:val="single" w:sz="4" w:space="0" w:color="auto"/>
            </w:tcBorders>
            <w:shd w:val="clear" w:color="000000" w:fill="BFBFBF"/>
            <w:vAlign w:val="center"/>
          </w:tcPr>
          <w:p w14:paraId="6F468058" w14:textId="77777777" w:rsidR="006A7B7C" w:rsidRPr="009D44D8" w:rsidRDefault="006A7B7C" w:rsidP="009D44D8">
            <w:pPr>
              <w:jc w:val="center"/>
              <w:rPr>
                <w:rFonts w:ascii="Times New Roman" w:hAnsi="Times New Roman"/>
                <w:b/>
                <w:bCs/>
                <w:color w:val="000000"/>
              </w:rPr>
            </w:pPr>
            <w:r w:rsidRPr="009D44D8">
              <w:rPr>
                <w:rFonts w:ascii="Times New Roman" w:hAnsi="Times New Roman"/>
                <w:b/>
                <w:bCs/>
                <w:color w:val="000000"/>
              </w:rPr>
              <w:t>Wells venting without plunger lift (%)</w:t>
            </w:r>
          </w:p>
        </w:tc>
        <w:tc>
          <w:tcPr>
            <w:tcW w:w="1902" w:type="dxa"/>
            <w:tcBorders>
              <w:top w:val="single" w:sz="4" w:space="0" w:color="auto"/>
              <w:left w:val="single" w:sz="4" w:space="0" w:color="auto"/>
              <w:bottom w:val="single" w:sz="4" w:space="0" w:color="auto"/>
              <w:right w:val="single" w:sz="4" w:space="0" w:color="auto"/>
            </w:tcBorders>
            <w:shd w:val="clear" w:color="000000" w:fill="BFBFBF"/>
            <w:vAlign w:val="center"/>
          </w:tcPr>
          <w:p w14:paraId="7EB6A108" w14:textId="77777777" w:rsidR="006A7B7C" w:rsidRPr="009D44D8" w:rsidRDefault="006A7B7C" w:rsidP="00AE3627">
            <w:pPr>
              <w:jc w:val="center"/>
              <w:rPr>
                <w:rFonts w:ascii="Times New Roman" w:hAnsi="Times New Roman"/>
                <w:b/>
                <w:bCs/>
                <w:color w:val="000000"/>
              </w:rPr>
            </w:pPr>
            <w:r w:rsidRPr="009D44D8">
              <w:rPr>
                <w:rFonts w:ascii="Times New Roman" w:hAnsi="Times New Roman"/>
                <w:b/>
                <w:bCs/>
                <w:color w:val="000000"/>
              </w:rPr>
              <w:t>Vent Rate for Wells with Plunger Lift (</w:t>
            </w:r>
            <w:proofErr w:type="spellStart"/>
            <w:r w:rsidRPr="009D44D8">
              <w:rPr>
                <w:rFonts w:ascii="Times New Roman" w:hAnsi="Times New Roman"/>
                <w:b/>
                <w:bCs/>
                <w:color w:val="000000"/>
              </w:rPr>
              <w:t>scf</w:t>
            </w:r>
            <w:proofErr w:type="spellEnd"/>
            <w:r w:rsidRPr="009D44D8">
              <w:rPr>
                <w:rFonts w:ascii="Times New Roman" w:hAnsi="Times New Roman"/>
                <w:b/>
                <w:bCs/>
                <w:color w:val="000000"/>
              </w:rPr>
              <w:t>/</w:t>
            </w:r>
            <w:proofErr w:type="spellStart"/>
            <w:r w:rsidRPr="009D44D8">
              <w:rPr>
                <w:rFonts w:ascii="Times New Roman" w:hAnsi="Times New Roman"/>
                <w:b/>
                <w:bCs/>
                <w:color w:val="000000"/>
              </w:rPr>
              <w:t>yr</w:t>
            </w:r>
            <w:proofErr w:type="spellEnd"/>
            <w:r w:rsidRPr="009D44D8">
              <w:rPr>
                <w:rFonts w:ascii="Times New Roman" w:hAnsi="Times New Roman"/>
                <w:b/>
                <w:bCs/>
                <w:color w:val="000000"/>
              </w:rPr>
              <w:t xml:space="preserve">/well) </w:t>
            </w:r>
            <w:r w:rsidRPr="009D44D8">
              <w:rPr>
                <w:rFonts w:ascii="Times New Roman" w:hAnsi="Times New Roman"/>
                <w:b/>
                <w:bCs/>
                <w:color w:val="000000"/>
                <w:vertAlign w:val="superscript"/>
              </w:rPr>
              <w:t>a</w:t>
            </w:r>
          </w:p>
        </w:tc>
        <w:tc>
          <w:tcPr>
            <w:tcW w:w="1902" w:type="dxa"/>
            <w:tcBorders>
              <w:top w:val="single" w:sz="4" w:space="0" w:color="auto"/>
              <w:left w:val="single" w:sz="4" w:space="0" w:color="auto"/>
              <w:bottom w:val="single" w:sz="4" w:space="0" w:color="auto"/>
              <w:right w:val="single" w:sz="4" w:space="0" w:color="auto"/>
            </w:tcBorders>
            <w:shd w:val="clear" w:color="000000" w:fill="BFBFBF"/>
            <w:vAlign w:val="center"/>
          </w:tcPr>
          <w:p w14:paraId="3F4CB3DB" w14:textId="77777777" w:rsidR="006A7B7C" w:rsidRPr="009D44D8" w:rsidRDefault="006A7B7C" w:rsidP="00AE3627">
            <w:pPr>
              <w:jc w:val="center"/>
              <w:rPr>
                <w:rFonts w:ascii="Times New Roman" w:hAnsi="Times New Roman"/>
                <w:b/>
                <w:bCs/>
                <w:color w:val="000000"/>
              </w:rPr>
            </w:pPr>
            <w:r w:rsidRPr="009D44D8">
              <w:rPr>
                <w:rFonts w:ascii="Times New Roman" w:hAnsi="Times New Roman"/>
                <w:b/>
                <w:bCs/>
                <w:color w:val="000000"/>
              </w:rPr>
              <w:t>Vent Rate for Wells without Plunger Lift (</w:t>
            </w:r>
            <w:proofErr w:type="spellStart"/>
            <w:r w:rsidRPr="009D44D8">
              <w:rPr>
                <w:rFonts w:ascii="Times New Roman" w:hAnsi="Times New Roman"/>
                <w:b/>
                <w:bCs/>
                <w:color w:val="000000"/>
              </w:rPr>
              <w:t>scf</w:t>
            </w:r>
            <w:proofErr w:type="spellEnd"/>
            <w:r w:rsidRPr="009D44D8">
              <w:rPr>
                <w:rFonts w:ascii="Times New Roman" w:hAnsi="Times New Roman"/>
                <w:b/>
                <w:bCs/>
                <w:color w:val="000000"/>
              </w:rPr>
              <w:t>/</w:t>
            </w:r>
            <w:proofErr w:type="spellStart"/>
            <w:r w:rsidRPr="009D44D8">
              <w:rPr>
                <w:rFonts w:ascii="Times New Roman" w:hAnsi="Times New Roman"/>
                <w:b/>
                <w:bCs/>
                <w:color w:val="000000"/>
              </w:rPr>
              <w:t>yr</w:t>
            </w:r>
            <w:proofErr w:type="spellEnd"/>
            <w:r w:rsidRPr="009D44D8">
              <w:rPr>
                <w:rFonts w:ascii="Times New Roman" w:hAnsi="Times New Roman"/>
                <w:b/>
                <w:bCs/>
                <w:color w:val="000000"/>
              </w:rPr>
              <w:t xml:space="preserve">/well) </w:t>
            </w:r>
            <w:r w:rsidRPr="009D44D8">
              <w:rPr>
                <w:rFonts w:ascii="Times New Roman" w:hAnsi="Times New Roman"/>
                <w:b/>
                <w:bCs/>
                <w:color w:val="000000"/>
                <w:vertAlign w:val="superscript"/>
              </w:rPr>
              <w:t>a</w:t>
            </w:r>
          </w:p>
        </w:tc>
      </w:tr>
      <w:tr w:rsidR="006A7B7C" w:rsidRPr="00A37940" w14:paraId="63B7CA03" w14:textId="77777777" w:rsidTr="006A7B7C">
        <w:trPr>
          <w:trHeight w:val="315"/>
          <w:jc w:val="center"/>
        </w:trPr>
        <w:tc>
          <w:tcPr>
            <w:tcW w:w="1868" w:type="dxa"/>
            <w:tcBorders>
              <w:left w:val="single" w:sz="4" w:space="0" w:color="auto"/>
              <w:bottom w:val="single" w:sz="4" w:space="0" w:color="auto"/>
              <w:right w:val="single" w:sz="4" w:space="0" w:color="auto"/>
            </w:tcBorders>
            <w:shd w:val="clear" w:color="auto" w:fill="auto"/>
            <w:noWrap/>
            <w:vAlign w:val="center"/>
            <w:hideMark/>
          </w:tcPr>
          <w:p w14:paraId="21B70D44" w14:textId="77777777" w:rsidR="006A7B7C" w:rsidRPr="009D44D8" w:rsidRDefault="006A7B7C" w:rsidP="00AE3627">
            <w:pPr>
              <w:jc w:val="center"/>
              <w:rPr>
                <w:rFonts w:ascii="Times New Roman" w:hAnsi="Times New Roman"/>
              </w:rPr>
            </w:pPr>
            <w:r w:rsidRPr="009D44D8">
              <w:rPr>
                <w:rFonts w:ascii="Times New Roman" w:hAnsi="Times New Roman"/>
              </w:rPr>
              <w:t>North East</w:t>
            </w:r>
          </w:p>
        </w:tc>
        <w:tc>
          <w:tcPr>
            <w:tcW w:w="1901" w:type="dxa"/>
            <w:tcBorders>
              <w:left w:val="single" w:sz="4" w:space="0" w:color="auto"/>
              <w:bottom w:val="single" w:sz="4" w:space="0" w:color="auto"/>
              <w:right w:val="single" w:sz="4" w:space="0" w:color="auto"/>
            </w:tcBorders>
            <w:shd w:val="clear" w:color="auto" w:fill="auto"/>
            <w:vAlign w:val="center"/>
          </w:tcPr>
          <w:p w14:paraId="0684A02E" w14:textId="77777777" w:rsidR="006A7B7C" w:rsidRPr="009D44D8" w:rsidRDefault="006A7B7C" w:rsidP="00AE3627">
            <w:pPr>
              <w:jc w:val="center"/>
              <w:rPr>
                <w:rFonts w:ascii="Times New Roman" w:hAnsi="Times New Roman"/>
              </w:rPr>
            </w:pPr>
            <w:r w:rsidRPr="009D44D8">
              <w:rPr>
                <w:rFonts w:ascii="Times New Roman" w:hAnsi="Times New Roman"/>
              </w:rPr>
              <w:t>4.3</w:t>
            </w:r>
          </w:p>
        </w:tc>
        <w:tc>
          <w:tcPr>
            <w:tcW w:w="1902" w:type="dxa"/>
            <w:tcBorders>
              <w:left w:val="single" w:sz="4" w:space="0" w:color="auto"/>
              <w:bottom w:val="single" w:sz="4" w:space="0" w:color="auto"/>
              <w:right w:val="single" w:sz="4" w:space="0" w:color="auto"/>
            </w:tcBorders>
            <w:shd w:val="clear" w:color="auto" w:fill="auto"/>
            <w:vAlign w:val="center"/>
          </w:tcPr>
          <w:p w14:paraId="2901BA36" w14:textId="77777777" w:rsidR="006A7B7C" w:rsidRPr="009D44D8" w:rsidRDefault="006A7B7C" w:rsidP="00B520F7">
            <w:pPr>
              <w:jc w:val="center"/>
              <w:rPr>
                <w:rFonts w:ascii="Times New Roman" w:hAnsi="Times New Roman"/>
              </w:rPr>
            </w:pPr>
            <w:r w:rsidRPr="009D44D8">
              <w:rPr>
                <w:rFonts w:ascii="Times New Roman" w:hAnsi="Times New Roman"/>
              </w:rPr>
              <w:t>11.26</w:t>
            </w:r>
          </w:p>
        </w:tc>
        <w:tc>
          <w:tcPr>
            <w:tcW w:w="1902" w:type="dxa"/>
            <w:tcBorders>
              <w:left w:val="single" w:sz="4" w:space="0" w:color="auto"/>
              <w:bottom w:val="single" w:sz="4" w:space="0" w:color="auto"/>
              <w:right w:val="single" w:sz="4" w:space="0" w:color="auto"/>
            </w:tcBorders>
            <w:shd w:val="clear" w:color="auto" w:fill="auto"/>
            <w:vAlign w:val="center"/>
          </w:tcPr>
          <w:p w14:paraId="4251779E" w14:textId="77777777" w:rsidR="006A7B7C" w:rsidRPr="009D44D8" w:rsidRDefault="006A7B7C" w:rsidP="00AE3627">
            <w:pPr>
              <w:jc w:val="center"/>
              <w:rPr>
                <w:rFonts w:ascii="Times New Roman" w:hAnsi="Times New Roman"/>
              </w:rPr>
            </w:pPr>
            <w:r w:rsidRPr="009D44D8">
              <w:rPr>
                <w:rFonts w:ascii="Times New Roman" w:hAnsi="Times New Roman"/>
              </w:rPr>
              <w:t>314,626</w:t>
            </w:r>
          </w:p>
        </w:tc>
        <w:tc>
          <w:tcPr>
            <w:tcW w:w="1902" w:type="dxa"/>
            <w:tcBorders>
              <w:left w:val="single" w:sz="4" w:space="0" w:color="auto"/>
              <w:bottom w:val="single" w:sz="4" w:space="0" w:color="auto"/>
              <w:right w:val="single" w:sz="4" w:space="0" w:color="auto"/>
            </w:tcBorders>
            <w:shd w:val="clear" w:color="auto" w:fill="auto"/>
            <w:vAlign w:val="center"/>
          </w:tcPr>
          <w:p w14:paraId="4A66C59C" w14:textId="77777777" w:rsidR="006A7B7C" w:rsidRPr="009D44D8" w:rsidRDefault="006A7B7C" w:rsidP="00AE3627">
            <w:pPr>
              <w:jc w:val="center"/>
              <w:rPr>
                <w:rFonts w:ascii="Times New Roman" w:hAnsi="Times New Roman"/>
              </w:rPr>
            </w:pPr>
            <w:r w:rsidRPr="009D44D8">
              <w:rPr>
                <w:rFonts w:ascii="Times New Roman" w:hAnsi="Times New Roman"/>
              </w:rPr>
              <w:t>166,174</w:t>
            </w:r>
          </w:p>
        </w:tc>
      </w:tr>
      <w:tr w:rsidR="006A7B7C" w:rsidRPr="00A37940" w14:paraId="3F9334E5" w14:textId="77777777" w:rsidTr="006A7B7C">
        <w:trPr>
          <w:trHeight w:val="315"/>
          <w:jc w:val="center"/>
        </w:trPr>
        <w:tc>
          <w:tcPr>
            <w:tcW w:w="1868" w:type="dxa"/>
            <w:tcBorders>
              <w:left w:val="single" w:sz="4" w:space="0" w:color="auto"/>
              <w:bottom w:val="single" w:sz="4" w:space="0" w:color="auto"/>
              <w:right w:val="single" w:sz="4" w:space="0" w:color="auto"/>
            </w:tcBorders>
            <w:shd w:val="clear" w:color="auto" w:fill="auto"/>
            <w:noWrap/>
            <w:vAlign w:val="center"/>
            <w:hideMark/>
          </w:tcPr>
          <w:p w14:paraId="1CCDB4DA" w14:textId="77777777" w:rsidR="006A7B7C" w:rsidRPr="009D44D8" w:rsidRDefault="006A7B7C" w:rsidP="00AE3627">
            <w:pPr>
              <w:jc w:val="center"/>
              <w:rPr>
                <w:rFonts w:ascii="Times New Roman" w:hAnsi="Times New Roman"/>
              </w:rPr>
            </w:pPr>
            <w:r w:rsidRPr="009D44D8">
              <w:rPr>
                <w:rFonts w:ascii="Times New Roman" w:hAnsi="Times New Roman"/>
              </w:rPr>
              <w:t>Midcontinent</w:t>
            </w:r>
          </w:p>
        </w:tc>
        <w:tc>
          <w:tcPr>
            <w:tcW w:w="1901" w:type="dxa"/>
            <w:tcBorders>
              <w:left w:val="single" w:sz="4" w:space="0" w:color="auto"/>
              <w:bottom w:val="single" w:sz="4" w:space="0" w:color="auto"/>
              <w:right w:val="single" w:sz="4" w:space="0" w:color="auto"/>
            </w:tcBorders>
            <w:shd w:val="clear" w:color="auto" w:fill="auto"/>
            <w:vAlign w:val="center"/>
          </w:tcPr>
          <w:p w14:paraId="1A9FC7EB" w14:textId="77777777" w:rsidR="006A7B7C" w:rsidRPr="009D44D8" w:rsidRDefault="006A7B7C" w:rsidP="009D44D8">
            <w:pPr>
              <w:jc w:val="center"/>
              <w:rPr>
                <w:rFonts w:ascii="Times New Roman" w:hAnsi="Times New Roman"/>
              </w:rPr>
            </w:pPr>
            <w:r w:rsidRPr="009D44D8">
              <w:rPr>
                <w:rFonts w:ascii="Times New Roman" w:hAnsi="Times New Roman"/>
              </w:rPr>
              <w:t>2.33</w:t>
            </w:r>
          </w:p>
        </w:tc>
        <w:tc>
          <w:tcPr>
            <w:tcW w:w="1902" w:type="dxa"/>
            <w:tcBorders>
              <w:left w:val="single" w:sz="4" w:space="0" w:color="auto"/>
              <w:bottom w:val="single" w:sz="4" w:space="0" w:color="auto"/>
              <w:right w:val="single" w:sz="4" w:space="0" w:color="auto"/>
            </w:tcBorders>
            <w:shd w:val="clear" w:color="auto" w:fill="auto"/>
            <w:vAlign w:val="center"/>
          </w:tcPr>
          <w:p w14:paraId="7EC5491A" w14:textId="77777777" w:rsidR="006A7B7C" w:rsidRPr="009D44D8" w:rsidRDefault="006A7B7C" w:rsidP="00B520F7">
            <w:pPr>
              <w:jc w:val="center"/>
              <w:rPr>
                <w:rFonts w:ascii="Times New Roman" w:hAnsi="Times New Roman"/>
              </w:rPr>
            </w:pPr>
            <w:r w:rsidRPr="009D44D8">
              <w:rPr>
                <w:rFonts w:ascii="Times New Roman" w:hAnsi="Times New Roman"/>
              </w:rPr>
              <w:t>4.14</w:t>
            </w:r>
          </w:p>
        </w:tc>
        <w:tc>
          <w:tcPr>
            <w:tcW w:w="1902" w:type="dxa"/>
            <w:tcBorders>
              <w:left w:val="single" w:sz="4" w:space="0" w:color="auto"/>
              <w:bottom w:val="single" w:sz="4" w:space="0" w:color="auto"/>
              <w:right w:val="single" w:sz="4" w:space="0" w:color="auto"/>
            </w:tcBorders>
            <w:shd w:val="clear" w:color="auto" w:fill="auto"/>
            <w:vAlign w:val="center"/>
          </w:tcPr>
          <w:p w14:paraId="71925644" w14:textId="77777777" w:rsidR="006A7B7C" w:rsidRPr="009D44D8" w:rsidRDefault="006A7B7C" w:rsidP="00AE3627">
            <w:pPr>
              <w:jc w:val="center"/>
              <w:rPr>
                <w:rFonts w:ascii="Times New Roman" w:hAnsi="Times New Roman"/>
              </w:rPr>
            </w:pPr>
            <w:r w:rsidRPr="009D44D8">
              <w:rPr>
                <w:rFonts w:ascii="Times New Roman" w:hAnsi="Times New Roman"/>
              </w:rPr>
              <w:t>1,379,958</w:t>
            </w:r>
          </w:p>
        </w:tc>
        <w:tc>
          <w:tcPr>
            <w:tcW w:w="1902" w:type="dxa"/>
            <w:tcBorders>
              <w:left w:val="single" w:sz="4" w:space="0" w:color="auto"/>
              <w:bottom w:val="single" w:sz="4" w:space="0" w:color="auto"/>
              <w:right w:val="single" w:sz="4" w:space="0" w:color="auto"/>
            </w:tcBorders>
            <w:shd w:val="clear" w:color="auto" w:fill="auto"/>
            <w:vAlign w:val="center"/>
          </w:tcPr>
          <w:p w14:paraId="1604573B" w14:textId="77777777" w:rsidR="006A7B7C" w:rsidRPr="009D44D8" w:rsidRDefault="006A7B7C" w:rsidP="00AE3627">
            <w:pPr>
              <w:jc w:val="center"/>
              <w:rPr>
                <w:rFonts w:ascii="Times New Roman" w:hAnsi="Times New Roman"/>
              </w:rPr>
            </w:pPr>
            <w:r w:rsidRPr="009D44D8">
              <w:rPr>
                <w:rFonts w:ascii="Times New Roman" w:hAnsi="Times New Roman"/>
              </w:rPr>
              <w:t>230,199</w:t>
            </w:r>
          </w:p>
        </w:tc>
      </w:tr>
      <w:tr w:rsidR="006A7B7C" w:rsidRPr="00A37940" w14:paraId="76422B0A" w14:textId="77777777" w:rsidTr="006A7B7C">
        <w:trPr>
          <w:trHeight w:val="315"/>
          <w:jc w:val="center"/>
        </w:trPr>
        <w:tc>
          <w:tcPr>
            <w:tcW w:w="1868" w:type="dxa"/>
            <w:tcBorders>
              <w:left w:val="single" w:sz="4" w:space="0" w:color="auto"/>
              <w:bottom w:val="single" w:sz="4" w:space="0" w:color="auto"/>
              <w:right w:val="single" w:sz="4" w:space="0" w:color="auto"/>
            </w:tcBorders>
            <w:shd w:val="clear" w:color="auto" w:fill="auto"/>
            <w:noWrap/>
            <w:vAlign w:val="center"/>
            <w:hideMark/>
          </w:tcPr>
          <w:p w14:paraId="0D611374" w14:textId="77777777" w:rsidR="006A7B7C" w:rsidRPr="009D44D8" w:rsidRDefault="006A7B7C" w:rsidP="00AE3627">
            <w:pPr>
              <w:jc w:val="center"/>
              <w:rPr>
                <w:rFonts w:ascii="Times New Roman" w:hAnsi="Times New Roman"/>
              </w:rPr>
            </w:pPr>
            <w:r w:rsidRPr="009D44D8">
              <w:rPr>
                <w:rFonts w:ascii="Times New Roman" w:hAnsi="Times New Roman"/>
              </w:rPr>
              <w:t>Rocky Mountain</w:t>
            </w:r>
          </w:p>
        </w:tc>
        <w:tc>
          <w:tcPr>
            <w:tcW w:w="1901" w:type="dxa"/>
            <w:tcBorders>
              <w:left w:val="single" w:sz="4" w:space="0" w:color="auto"/>
              <w:bottom w:val="single" w:sz="4" w:space="0" w:color="auto"/>
              <w:right w:val="single" w:sz="4" w:space="0" w:color="auto"/>
            </w:tcBorders>
            <w:shd w:val="clear" w:color="auto" w:fill="auto"/>
            <w:vAlign w:val="center"/>
          </w:tcPr>
          <w:p w14:paraId="60340FF2" w14:textId="77777777" w:rsidR="006A7B7C" w:rsidRPr="009D44D8" w:rsidRDefault="006A7B7C" w:rsidP="009D44D8">
            <w:pPr>
              <w:jc w:val="center"/>
              <w:rPr>
                <w:rFonts w:ascii="Times New Roman" w:hAnsi="Times New Roman"/>
              </w:rPr>
            </w:pPr>
            <w:r w:rsidRPr="009D44D8">
              <w:rPr>
                <w:rFonts w:ascii="Times New Roman" w:hAnsi="Times New Roman"/>
              </w:rPr>
              <w:t>12.88</w:t>
            </w:r>
          </w:p>
        </w:tc>
        <w:tc>
          <w:tcPr>
            <w:tcW w:w="1902" w:type="dxa"/>
            <w:tcBorders>
              <w:left w:val="single" w:sz="4" w:space="0" w:color="auto"/>
              <w:bottom w:val="single" w:sz="4" w:space="0" w:color="auto"/>
              <w:right w:val="single" w:sz="4" w:space="0" w:color="auto"/>
            </w:tcBorders>
            <w:shd w:val="clear" w:color="auto" w:fill="auto"/>
            <w:vAlign w:val="center"/>
          </w:tcPr>
          <w:p w14:paraId="4854A9B4" w14:textId="77777777" w:rsidR="006A7B7C" w:rsidRPr="009D44D8" w:rsidRDefault="006A7B7C" w:rsidP="00B520F7">
            <w:pPr>
              <w:jc w:val="center"/>
              <w:rPr>
                <w:rFonts w:ascii="Times New Roman" w:hAnsi="Times New Roman"/>
              </w:rPr>
            </w:pPr>
            <w:r w:rsidRPr="009D44D8">
              <w:rPr>
                <w:rFonts w:ascii="Times New Roman" w:hAnsi="Times New Roman"/>
              </w:rPr>
              <w:t>1.52</w:t>
            </w:r>
          </w:p>
        </w:tc>
        <w:tc>
          <w:tcPr>
            <w:tcW w:w="1902" w:type="dxa"/>
            <w:tcBorders>
              <w:left w:val="single" w:sz="4" w:space="0" w:color="auto"/>
              <w:bottom w:val="single" w:sz="4" w:space="0" w:color="auto"/>
              <w:right w:val="single" w:sz="4" w:space="0" w:color="auto"/>
            </w:tcBorders>
            <w:shd w:val="clear" w:color="auto" w:fill="auto"/>
            <w:vAlign w:val="center"/>
          </w:tcPr>
          <w:p w14:paraId="72FF42B8" w14:textId="77777777" w:rsidR="006A7B7C" w:rsidRPr="009D44D8" w:rsidRDefault="006A7B7C" w:rsidP="00AE3627">
            <w:pPr>
              <w:jc w:val="center"/>
              <w:rPr>
                <w:rFonts w:ascii="Times New Roman" w:hAnsi="Times New Roman"/>
              </w:rPr>
            </w:pPr>
            <w:r w:rsidRPr="009D44D8">
              <w:rPr>
                <w:rFonts w:ascii="Times New Roman" w:hAnsi="Times New Roman"/>
              </w:rPr>
              <w:t>154,300</w:t>
            </w:r>
          </w:p>
        </w:tc>
        <w:tc>
          <w:tcPr>
            <w:tcW w:w="1902" w:type="dxa"/>
            <w:tcBorders>
              <w:left w:val="single" w:sz="4" w:space="0" w:color="auto"/>
              <w:bottom w:val="single" w:sz="4" w:space="0" w:color="auto"/>
              <w:right w:val="single" w:sz="4" w:space="0" w:color="auto"/>
            </w:tcBorders>
            <w:shd w:val="clear" w:color="auto" w:fill="auto"/>
            <w:vAlign w:val="center"/>
          </w:tcPr>
          <w:p w14:paraId="45AF6F00" w14:textId="77777777" w:rsidR="006A7B7C" w:rsidRPr="009D44D8" w:rsidRDefault="006A7B7C" w:rsidP="00AE3627">
            <w:pPr>
              <w:jc w:val="center"/>
              <w:rPr>
                <w:rFonts w:ascii="Times New Roman" w:hAnsi="Times New Roman"/>
              </w:rPr>
            </w:pPr>
            <w:r w:rsidRPr="009D44D8">
              <w:rPr>
                <w:rFonts w:ascii="Times New Roman" w:hAnsi="Times New Roman"/>
              </w:rPr>
              <w:t>2,579,444</w:t>
            </w:r>
          </w:p>
        </w:tc>
      </w:tr>
      <w:tr w:rsidR="006A7B7C" w:rsidRPr="00A37940" w14:paraId="1FBAC446" w14:textId="77777777" w:rsidTr="006A7B7C">
        <w:trPr>
          <w:trHeight w:val="315"/>
          <w:jc w:val="center"/>
        </w:trPr>
        <w:tc>
          <w:tcPr>
            <w:tcW w:w="1868" w:type="dxa"/>
            <w:tcBorders>
              <w:left w:val="single" w:sz="4" w:space="0" w:color="auto"/>
              <w:bottom w:val="single" w:sz="4" w:space="0" w:color="auto"/>
              <w:right w:val="single" w:sz="4" w:space="0" w:color="auto"/>
            </w:tcBorders>
            <w:shd w:val="clear" w:color="auto" w:fill="auto"/>
            <w:noWrap/>
            <w:vAlign w:val="center"/>
            <w:hideMark/>
          </w:tcPr>
          <w:p w14:paraId="637A08E1" w14:textId="77777777" w:rsidR="006A7B7C" w:rsidRPr="009D44D8" w:rsidRDefault="006A7B7C" w:rsidP="00AE3627">
            <w:pPr>
              <w:jc w:val="center"/>
              <w:rPr>
                <w:rFonts w:ascii="Times New Roman" w:hAnsi="Times New Roman"/>
              </w:rPr>
            </w:pPr>
            <w:r w:rsidRPr="009D44D8">
              <w:rPr>
                <w:rFonts w:ascii="Times New Roman" w:hAnsi="Times New Roman"/>
              </w:rPr>
              <w:t>South West</w:t>
            </w:r>
          </w:p>
        </w:tc>
        <w:tc>
          <w:tcPr>
            <w:tcW w:w="1901" w:type="dxa"/>
            <w:tcBorders>
              <w:left w:val="single" w:sz="4" w:space="0" w:color="auto"/>
              <w:bottom w:val="single" w:sz="4" w:space="0" w:color="auto"/>
              <w:right w:val="single" w:sz="4" w:space="0" w:color="auto"/>
            </w:tcBorders>
            <w:shd w:val="clear" w:color="auto" w:fill="auto"/>
            <w:vAlign w:val="center"/>
          </w:tcPr>
          <w:p w14:paraId="5BB38F74" w14:textId="77777777" w:rsidR="006A7B7C" w:rsidRPr="009D44D8" w:rsidRDefault="006A7B7C" w:rsidP="009D44D8">
            <w:pPr>
              <w:jc w:val="center"/>
              <w:rPr>
                <w:rFonts w:ascii="Times New Roman" w:hAnsi="Times New Roman"/>
              </w:rPr>
            </w:pPr>
            <w:r w:rsidRPr="009D44D8">
              <w:rPr>
                <w:rFonts w:ascii="Times New Roman" w:hAnsi="Times New Roman"/>
              </w:rPr>
              <w:t>3.32</w:t>
            </w:r>
          </w:p>
        </w:tc>
        <w:tc>
          <w:tcPr>
            <w:tcW w:w="1902" w:type="dxa"/>
            <w:tcBorders>
              <w:left w:val="single" w:sz="4" w:space="0" w:color="auto"/>
              <w:bottom w:val="single" w:sz="4" w:space="0" w:color="auto"/>
              <w:right w:val="single" w:sz="4" w:space="0" w:color="auto"/>
            </w:tcBorders>
            <w:shd w:val="clear" w:color="auto" w:fill="auto"/>
            <w:vAlign w:val="center"/>
          </w:tcPr>
          <w:p w14:paraId="12934EAD" w14:textId="77777777" w:rsidR="006A7B7C" w:rsidRPr="009D44D8" w:rsidRDefault="006A7B7C" w:rsidP="00B520F7">
            <w:pPr>
              <w:jc w:val="center"/>
              <w:rPr>
                <w:rFonts w:ascii="Times New Roman" w:hAnsi="Times New Roman"/>
              </w:rPr>
            </w:pPr>
            <w:r w:rsidRPr="009D44D8">
              <w:rPr>
                <w:rFonts w:ascii="Times New Roman" w:hAnsi="Times New Roman"/>
              </w:rPr>
              <w:t>19.47</w:t>
            </w:r>
          </w:p>
        </w:tc>
        <w:tc>
          <w:tcPr>
            <w:tcW w:w="1902" w:type="dxa"/>
            <w:tcBorders>
              <w:left w:val="single" w:sz="4" w:space="0" w:color="auto"/>
              <w:bottom w:val="single" w:sz="4" w:space="0" w:color="auto"/>
              <w:right w:val="single" w:sz="4" w:space="0" w:color="auto"/>
            </w:tcBorders>
            <w:shd w:val="clear" w:color="auto" w:fill="auto"/>
            <w:vAlign w:val="center"/>
          </w:tcPr>
          <w:p w14:paraId="383E0E27" w14:textId="77777777" w:rsidR="006A7B7C" w:rsidRPr="009D44D8" w:rsidRDefault="006A7B7C" w:rsidP="00AE3627">
            <w:pPr>
              <w:jc w:val="center"/>
              <w:rPr>
                <w:rFonts w:ascii="Times New Roman" w:hAnsi="Times New Roman"/>
              </w:rPr>
            </w:pPr>
            <w:r w:rsidRPr="009D44D8">
              <w:rPr>
                <w:rFonts w:ascii="Times New Roman" w:hAnsi="Times New Roman"/>
              </w:rPr>
              <w:t>3,547</w:t>
            </w:r>
          </w:p>
        </w:tc>
        <w:tc>
          <w:tcPr>
            <w:tcW w:w="1902" w:type="dxa"/>
            <w:tcBorders>
              <w:left w:val="single" w:sz="4" w:space="0" w:color="auto"/>
              <w:bottom w:val="single" w:sz="4" w:space="0" w:color="auto"/>
              <w:right w:val="single" w:sz="4" w:space="0" w:color="auto"/>
            </w:tcBorders>
            <w:shd w:val="clear" w:color="auto" w:fill="auto"/>
            <w:vAlign w:val="center"/>
          </w:tcPr>
          <w:p w14:paraId="3FB1B6B3" w14:textId="77777777" w:rsidR="006A7B7C" w:rsidRPr="009D44D8" w:rsidRDefault="006A7B7C" w:rsidP="00AE3627">
            <w:pPr>
              <w:jc w:val="center"/>
              <w:rPr>
                <w:rFonts w:ascii="Times New Roman" w:hAnsi="Times New Roman"/>
              </w:rPr>
            </w:pPr>
            <w:r w:rsidRPr="009D44D8">
              <w:rPr>
                <w:rFonts w:ascii="Times New Roman" w:hAnsi="Times New Roman"/>
              </w:rPr>
              <w:t>96,748</w:t>
            </w:r>
          </w:p>
        </w:tc>
      </w:tr>
      <w:tr w:rsidR="006A7B7C" w:rsidRPr="00A37940" w14:paraId="08192A57" w14:textId="77777777" w:rsidTr="006A7B7C">
        <w:trPr>
          <w:trHeight w:val="315"/>
          <w:jc w:val="center"/>
        </w:trPr>
        <w:tc>
          <w:tcPr>
            <w:tcW w:w="1868" w:type="dxa"/>
            <w:tcBorders>
              <w:left w:val="single" w:sz="4" w:space="0" w:color="auto"/>
              <w:bottom w:val="single" w:sz="4" w:space="0" w:color="auto"/>
              <w:right w:val="single" w:sz="4" w:space="0" w:color="auto"/>
            </w:tcBorders>
            <w:shd w:val="clear" w:color="auto" w:fill="auto"/>
            <w:noWrap/>
            <w:vAlign w:val="center"/>
            <w:hideMark/>
          </w:tcPr>
          <w:p w14:paraId="5B0883B3" w14:textId="77777777" w:rsidR="006A7B7C" w:rsidRPr="009D44D8" w:rsidRDefault="006A7B7C" w:rsidP="00AE3627">
            <w:pPr>
              <w:jc w:val="center"/>
              <w:rPr>
                <w:rFonts w:ascii="Times New Roman" w:hAnsi="Times New Roman"/>
              </w:rPr>
            </w:pPr>
            <w:r w:rsidRPr="009D44D8">
              <w:rPr>
                <w:rFonts w:ascii="Times New Roman" w:hAnsi="Times New Roman"/>
              </w:rPr>
              <w:t>West Coast</w:t>
            </w:r>
          </w:p>
        </w:tc>
        <w:tc>
          <w:tcPr>
            <w:tcW w:w="1901" w:type="dxa"/>
            <w:tcBorders>
              <w:left w:val="single" w:sz="4" w:space="0" w:color="auto"/>
              <w:bottom w:val="single" w:sz="4" w:space="0" w:color="auto"/>
              <w:right w:val="single" w:sz="4" w:space="0" w:color="auto"/>
            </w:tcBorders>
            <w:shd w:val="clear" w:color="auto" w:fill="auto"/>
            <w:vAlign w:val="center"/>
          </w:tcPr>
          <w:p w14:paraId="70B154CC" w14:textId="77777777" w:rsidR="006A7B7C" w:rsidRPr="009D44D8" w:rsidRDefault="006A7B7C" w:rsidP="009D44D8">
            <w:pPr>
              <w:jc w:val="center"/>
              <w:rPr>
                <w:rFonts w:ascii="Times New Roman" w:hAnsi="Times New Roman"/>
              </w:rPr>
            </w:pPr>
            <w:r w:rsidRPr="009D44D8">
              <w:rPr>
                <w:rFonts w:ascii="Times New Roman" w:hAnsi="Times New Roman"/>
              </w:rPr>
              <w:t>7.59</w:t>
            </w:r>
          </w:p>
        </w:tc>
        <w:tc>
          <w:tcPr>
            <w:tcW w:w="1902" w:type="dxa"/>
            <w:tcBorders>
              <w:left w:val="single" w:sz="4" w:space="0" w:color="auto"/>
              <w:bottom w:val="single" w:sz="4" w:space="0" w:color="auto"/>
              <w:right w:val="single" w:sz="4" w:space="0" w:color="auto"/>
            </w:tcBorders>
            <w:shd w:val="clear" w:color="auto" w:fill="auto"/>
            <w:vAlign w:val="center"/>
          </w:tcPr>
          <w:p w14:paraId="5E0F1017" w14:textId="77777777" w:rsidR="006A7B7C" w:rsidRPr="009D44D8" w:rsidRDefault="006A7B7C" w:rsidP="00B520F7">
            <w:pPr>
              <w:jc w:val="center"/>
              <w:rPr>
                <w:rFonts w:ascii="Times New Roman" w:hAnsi="Times New Roman"/>
              </w:rPr>
            </w:pPr>
            <w:r w:rsidRPr="009D44D8">
              <w:rPr>
                <w:rFonts w:ascii="Times New Roman" w:hAnsi="Times New Roman"/>
              </w:rPr>
              <w:t>6.80</w:t>
            </w:r>
          </w:p>
        </w:tc>
        <w:tc>
          <w:tcPr>
            <w:tcW w:w="1902" w:type="dxa"/>
            <w:tcBorders>
              <w:left w:val="single" w:sz="4" w:space="0" w:color="auto"/>
              <w:bottom w:val="single" w:sz="4" w:space="0" w:color="auto"/>
              <w:right w:val="single" w:sz="4" w:space="0" w:color="auto"/>
            </w:tcBorders>
            <w:shd w:val="clear" w:color="auto" w:fill="auto"/>
            <w:vAlign w:val="center"/>
          </w:tcPr>
          <w:p w14:paraId="02E93779" w14:textId="77777777" w:rsidR="006A7B7C" w:rsidRPr="009D44D8" w:rsidRDefault="006A7B7C" w:rsidP="00AE3627">
            <w:pPr>
              <w:jc w:val="center"/>
              <w:rPr>
                <w:rFonts w:ascii="Times New Roman" w:hAnsi="Times New Roman"/>
              </w:rPr>
            </w:pPr>
            <w:r w:rsidRPr="009D44D8">
              <w:rPr>
                <w:rFonts w:ascii="Times New Roman" w:hAnsi="Times New Roman"/>
              </w:rPr>
              <w:t>345,343</w:t>
            </w:r>
          </w:p>
        </w:tc>
        <w:tc>
          <w:tcPr>
            <w:tcW w:w="1902" w:type="dxa"/>
            <w:tcBorders>
              <w:left w:val="single" w:sz="4" w:space="0" w:color="auto"/>
              <w:bottom w:val="single" w:sz="4" w:space="0" w:color="auto"/>
              <w:right w:val="single" w:sz="4" w:space="0" w:color="auto"/>
            </w:tcBorders>
            <w:shd w:val="clear" w:color="auto" w:fill="auto"/>
            <w:vAlign w:val="center"/>
          </w:tcPr>
          <w:p w14:paraId="4801CCC3" w14:textId="77777777" w:rsidR="006A7B7C" w:rsidRPr="009D44D8" w:rsidRDefault="006A7B7C" w:rsidP="00AE3627">
            <w:pPr>
              <w:jc w:val="center"/>
              <w:rPr>
                <w:rFonts w:ascii="Times New Roman" w:hAnsi="Times New Roman"/>
              </w:rPr>
            </w:pPr>
            <w:r w:rsidRPr="009D44D8">
              <w:rPr>
                <w:rFonts w:ascii="Times New Roman" w:hAnsi="Times New Roman"/>
              </w:rPr>
              <w:t>304,048</w:t>
            </w:r>
          </w:p>
        </w:tc>
      </w:tr>
      <w:tr w:rsidR="006A7B7C" w:rsidRPr="00A37940" w14:paraId="448AAA8E" w14:textId="77777777" w:rsidTr="006A7B7C">
        <w:trPr>
          <w:trHeight w:val="315"/>
          <w:jc w:val="center"/>
        </w:trPr>
        <w:tc>
          <w:tcPr>
            <w:tcW w:w="1868" w:type="dxa"/>
            <w:tcBorders>
              <w:left w:val="single" w:sz="4" w:space="0" w:color="auto"/>
              <w:bottom w:val="single" w:sz="4" w:space="0" w:color="auto"/>
              <w:right w:val="single" w:sz="4" w:space="0" w:color="auto"/>
            </w:tcBorders>
            <w:shd w:val="clear" w:color="auto" w:fill="auto"/>
            <w:noWrap/>
            <w:vAlign w:val="center"/>
            <w:hideMark/>
          </w:tcPr>
          <w:p w14:paraId="4879F963" w14:textId="77777777" w:rsidR="006A7B7C" w:rsidRPr="009D44D8" w:rsidRDefault="006A7B7C" w:rsidP="00AE3627">
            <w:pPr>
              <w:jc w:val="center"/>
              <w:rPr>
                <w:rFonts w:ascii="Times New Roman" w:hAnsi="Times New Roman"/>
              </w:rPr>
            </w:pPr>
            <w:r w:rsidRPr="009D44D8">
              <w:rPr>
                <w:rFonts w:ascii="Times New Roman" w:hAnsi="Times New Roman"/>
              </w:rPr>
              <w:t>Gulf Coast</w:t>
            </w:r>
          </w:p>
        </w:tc>
        <w:tc>
          <w:tcPr>
            <w:tcW w:w="1901" w:type="dxa"/>
            <w:tcBorders>
              <w:left w:val="single" w:sz="4" w:space="0" w:color="auto"/>
              <w:bottom w:val="single" w:sz="4" w:space="0" w:color="auto"/>
              <w:right w:val="single" w:sz="4" w:space="0" w:color="auto"/>
            </w:tcBorders>
            <w:shd w:val="clear" w:color="auto" w:fill="auto"/>
            <w:vAlign w:val="center"/>
          </w:tcPr>
          <w:p w14:paraId="0A612422" w14:textId="77777777" w:rsidR="006A7B7C" w:rsidRPr="009D44D8" w:rsidRDefault="006A7B7C" w:rsidP="009D44D8">
            <w:pPr>
              <w:jc w:val="center"/>
              <w:rPr>
                <w:rFonts w:ascii="Times New Roman" w:hAnsi="Times New Roman"/>
              </w:rPr>
            </w:pPr>
            <w:r w:rsidRPr="009D44D8">
              <w:rPr>
                <w:rFonts w:ascii="Times New Roman" w:hAnsi="Times New Roman"/>
              </w:rPr>
              <w:t>2.32</w:t>
            </w:r>
          </w:p>
        </w:tc>
        <w:tc>
          <w:tcPr>
            <w:tcW w:w="1902" w:type="dxa"/>
            <w:tcBorders>
              <w:left w:val="single" w:sz="4" w:space="0" w:color="auto"/>
              <w:bottom w:val="single" w:sz="4" w:space="0" w:color="auto"/>
              <w:right w:val="single" w:sz="4" w:space="0" w:color="auto"/>
            </w:tcBorders>
            <w:shd w:val="clear" w:color="auto" w:fill="auto"/>
            <w:vAlign w:val="center"/>
          </w:tcPr>
          <w:p w14:paraId="4BB3E5AC" w14:textId="77777777" w:rsidR="006A7B7C" w:rsidRPr="009D44D8" w:rsidRDefault="006A7B7C" w:rsidP="00B520F7">
            <w:pPr>
              <w:jc w:val="center"/>
              <w:rPr>
                <w:rFonts w:ascii="Times New Roman" w:hAnsi="Times New Roman"/>
              </w:rPr>
            </w:pPr>
            <w:r w:rsidRPr="009D44D8">
              <w:rPr>
                <w:rFonts w:ascii="Times New Roman" w:hAnsi="Times New Roman"/>
              </w:rPr>
              <w:t>7.08</w:t>
            </w:r>
          </w:p>
        </w:tc>
        <w:tc>
          <w:tcPr>
            <w:tcW w:w="1902" w:type="dxa"/>
            <w:tcBorders>
              <w:left w:val="single" w:sz="4" w:space="0" w:color="auto"/>
              <w:bottom w:val="single" w:sz="4" w:space="0" w:color="auto"/>
              <w:right w:val="single" w:sz="4" w:space="0" w:color="auto"/>
            </w:tcBorders>
            <w:shd w:val="clear" w:color="auto" w:fill="auto"/>
            <w:vAlign w:val="center"/>
          </w:tcPr>
          <w:p w14:paraId="4F7ECF99" w14:textId="77777777" w:rsidR="006A7B7C" w:rsidRPr="009D44D8" w:rsidRDefault="006A7B7C" w:rsidP="00AE3627">
            <w:pPr>
              <w:jc w:val="center"/>
              <w:rPr>
                <w:rFonts w:ascii="Times New Roman" w:hAnsi="Times New Roman"/>
              </w:rPr>
            </w:pPr>
            <w:r w:rsidRPr="009D44D8">
              <w:rPr>
                <w:rFonts w:ascii="Times New Roman" w:hAnsi="Times New Roman"/>
              </w:rPr>
              <w:t>70,021</w:t>
            </w:r>
          </w:p>
        </w:tc>
        <w:tc>
          <w:tcPr>
            <w:tcW w:w="1902" w:type="dxa"/>
            <w:tcBorders>
              <w:left w:val="single" w:sz="4" w:space="0" w:color="auto"/>
              <w:bottom w:val="single" w:sz="4" w:space="0" w:color="auto"/>
              <w:right w:val="single" w:sz="4" w:space="0" w:color="auto"/>
            </w:tcBorders>
            <w:shd w:val="clear" w:color="auto" w:fill="auto"/>
            <w:vAlign w:val="center"/>
          </w:tcPr>
          <w:p w14:paraId="4EEF11CC" w14:textId="77777777" w:rsidR="006A7B7C" w:rsidRPr="009D44D8" w:rsidRDefault="006A7B7C" w:rsidP="00AE3627">
            <w:pPr>
              <w:jc w:val="center"/>
              <w:rPr>
                <w:rFonts w:ascii="Times New Roman" w:hAnsi="Times New Roman"/>
              </w:rPr>
            </w:pPr>
            <w:r w:rsidRPr="009D44D8">
              <w:rPr>
                <w:rFonts w:ascii="Times New Roman" w:hAnsi="Times New Roman"/>
              </w:rPr>
              <w:t>300,592</w:t>
            </w:r>
          </w:p>
        </w:tc>
      </w:tr>
    </w:tbl>
    <w:p w14:paraId="16BDF58F" w14:textId="77777777" w:rsidR="00F0264C" w:rsidRPr="00F0264C" w:rsidRDefault="00F0264C" w:rsidP="00F0264C">
      <w:pPr>
        <w:pStyle w:val="Tabletitle-GHGPreamble"/>
        <w:rPr>
          <w:rFonts w:ascii="Times New Roman" w:hAnsi="Times New Roman" w:cs="Times New Roman"/>
          <w:b w:val="0"/>
        </w:rPr>
      </w:pPr>
      <w:r w:rsidRPr="00F0264C">
        <w:rPr>
          <w:rFonts w:ascii="Times New Roman" w:hAnsi="Times New Roman" w:cs="Times New Roman"/>
          <w:b w:val="0"/>
          <w:vertAlign w:val="superscript"/>
        </w:rPr>
        <w:t xml:space="preserve">a </w:t>
      </w:r>
      <w:r w:rsidRPr="00F0264C">
        <w:rPr>
          <w:rFonts w:ascii="Times New Roman" w:hAnsi="Times New Roman" w:cs="Times New Roman"/>
          <w:b w:val="0"/>
        </w:rPr>
        <w:t>Whole gas vent rates.</w:t>
      </w:r>
    </w:p>
    <w:p w14:paraId="10823EFA" w14:textId="77777777" w:rsidR="0045657A" w:rsidRDefault="0045657A" w:rsidP="006A7B7C">
      <w:pPr>
        <w:pStyle w:val="Tabletitle-GHGPreamble"/>
        <w:rPr>
          <w:rFonts w:ascii="Times New Roman" w:hAnsi="Times New Roman"/>
          <w:b w:val="0"/>
          <w:color w:val="000000"/>
          <w:spacing w:val="-3"/>
          <w:w w:val="105"/>
        </w:rPr>
      </w:pPr>
    </w:p>
    <w:p w14:paraId="6FB6AFFE" w14:textId="77777777" w:rsidR="006A7B7C" w:rsidRDefault="00411C00" w:rsidP="006A7B7C">
      <w:pPr>
        <w:pStyle w:val="Tabletitle-GHGPreamble"/>
        <w:rPr>
          <w:rFonts w:ascii="Times New Roman" w:hAnsi="Times New Roman"/>
          <w:b w:val="0"/>
          <w:color w:val="000000"/>
          <w:spacing w:val="-3"/>
          <w:w w:val="105"/>
        </w:rPr>
      </w:pPr>
      <w:r>
        <w:rPr>
          <w:rFonts w:ascii="Times New Roman" w:hAnsi="Times New Roman"/>
          <w:b w:val="0"/>
          <w:color w:val="000000"/>
          <w:spacing w:val="-3"/>
          <w:w w:val="105"/>
        </w:rPr>
        <w:t xml:space="preserve">In order to utilize this information </w:t>
      </w:r>
      <w:r w:rsidR="00C400FE">
        <w:rPr>
          <w:rFonts w:ascii="Times New Roman" w:hAnsi="Times New Roman"/>
          <w:b w:val="0"/>
          <w:color w:val="000000"/>
          <w:spacing w:val="-3"/>
          <w:w w:val="105"/>
        </w:rPr>
        <w:t>under</w:t>
      </w:r>
      <w:r>
        <w:rPr>
          <w:rFonts w:ascii="Times New Roman" w:hAnsi="Times New Roman"/>
          <w:b w:val="0"/>
          <w:color w:val="000000"/>
          <w:spacing w:val="-3"/>
          <w:w w:val="105"/>
        </w:rPr>
        <w:t xml:space="preserve"> the</w:t>
      </w:r>
      <w:r w:rsidR="0045657A">
        <w:rPr>
          <w:rFonts w:ascii="Times New Roman" w:hAnsi="Times New Roman"/>
          <w:b w:val="0"/>
          <w:color w:val="000000"/>
          <w:spacing w:val="-3"/>
          <w:w w:val="105"/>
        </w:rPr>
        <w:t xml:space="preserve"> current </w:t>
      </w:r>
      <w:r w:rsidR="00C400FE">
        <w:rPr>
          <w:rFonts w:ascii="Times New Roman" w:hAnsi="Times New Roman"/>
          <w:b w:val="0"/>
          <w:color w:val="000000"/>
          <w:spacing w:val="-3"/>
          <w:w w:val="105"/>
        </w:rPr>
        <w:t>structure and methodology used</w:t>
      </w:r>
      <w:r w:rsidR="0045657A">
        <w:rPr>
          <w:rFonts w:ascii="Times New Roman" w:hAnsi="Times New Roman"/>
          <w:b w:val="0"/>
          <w:color w:val="000000"/>
          <w:spacing w:val="-3"/>
          <w:w w:val="105"/>
        </w:rPr>
        <w:t xml:space="preserve"> </w:t>
      </w:r>
      <w:r w:rsidR="00C400FE">
        <w:rPr>
          <w:rFonts w:ascii="Times New Roman" w:hAnsi="Times New Roman"/>
          <w:b w:val="0"/>
          <w:color w:val="000000"/>
          <w:spacing w:val="-3"/>
          <w:w w:val="105"/>
        </w:rPr>
        <w:t>in</w:t>
      </w:r>
      <w:r w:rsidR="0045657A">
        <w:rPr>
          <w:rFonts w:ascii="Times New Roman" w:hAnsi="Times New Roman"/>
          <w:b w:val="0"/>
          <w:color w:val="000000"/>
          <w:spacing w:val="-3"/>
          <w:w w:val="105"/>
        </w:rPr>
        <w:t xml:space="preserve"> </w:t>
      </w:r>
      <w:r w:rsidR="0045657A" w:rsidRPr="00FB323A">
        <w:rPr>
          <w:rFonts w:ascii="Times New Roman" w:hAnsi="Times New Roman"/>
          <w:b w:val="0"/>
          <w:color w:val="000000"/>
          <w:spacing w:val="-3"/>
          <w:w w:val="105"/>
        </w:rPr>
        <w:t>the</w:t>
      </w:r>
      <w:r w:rsidRPr="00FB323A">
        <w:rPr>
          <w:rFonts w:ascii="Times New Roman" w:hAnsi="Times New Roman"/>
          <w:b w:val="0"/>
          <w:color w:val="000000"/>
          <w:spacing w:val="-3"/>
          <w:w w:val="105"/>
        </w:rPr>
        <w:t xml:space="preserve"> </w:t>
      </w:r>
      <w:r w:rsidR="00FB323A" w:rsidRPr="00FB323A">
        <w:rPr>
          <w:rFonts w:ascii="Times New Roman" w:hAnsi="Times New Roman"/>
          <w:b w:val="0"/>
          <w:color w:val="000000"/>
          <w:spacing w:val="-3"/>
          <w:w w:val="105"/>
        </w:rPr>
        <w:t>tool</w:t>
      </w:r>
      <w:r w:rsidRPr="00FB323A">
        <w:rPr>
          <w:rFonts w:ascii="Times New Roman" w:hAnsi="Times New Roman"/>
          <w:b w:val="0"/>
          <w:color w:val="000000"/>
          <w:spacing w:val="-3"/>
          <w:w w:val="105"/>
        </w:rPr>
        <w:t>, a weighted</w:t>
      </w:r>
      <w:r>
        <w:rPr>
          <w:rFonts w:ascii="Times New Roman" w:hAnsi="Times New Roman"/>
          <w:b w:val="0"/>
          <w:color w:val="000000"/>
          <w:spacing w:val="-3"/>
          <w:w w:val="105"/>
        </w:rPr>
        <w:t xml:space="preserve"> vent rate is required for all wells in a county</w:t>
      </w:r>
      <w:r w:rsidR="00C400FE">
        <w:rPr>
          <w:rFonts w:ascii="Times New Roman" w:hAnsi="Times New Roman"/>
          <w:b w:val="0"/>
          <w:color w:val="000000"/>
          <w:spacing w:val="-3"/>
          <w:w w:val="105"/>
        </w:rPr>
        <w:t>.  This is needed</w:t>
      </w:r>
      <w:r w:rsidR="0045657A">
        <w:rPr>
          <w:rFonts w:ascii="Times New Roman" w:hAnsi="Times New Roman"/>
          <w:b w:val="0"/>
          <w:color w:val="000000"/>
          <w:spacing w:val="-3"/>
          <w:w w:val="105"/>
        </w:rPr>
        <w:t xml:space="preserve"> as the</w:t>
      </w:r>
      <w:r w:rsidR="00FB323A">
        <w:rPr>
          <w:rFonts w:ascii="Times New Roman" w:hAnsi="Times New Roman"/>
          <w:b w:val="0"/>
          <w:color w:val="000000"/>
          <w:spacing w:val="-3"/>
          <w:w w:val="105"/>
        </w:rPr>
        <w:t xml:space="preserve"> tool </w:t>
      </w:r>
      <w:r w:rsidR="0045657A">
        <w:rPr>
          <w:rFonts w:ascii="Times New Roman" w:hAnsi="Times New Roman"/>
          <w:b w:val="0"/>
          <w:color w:val="000000"/>
          <w:spacing w:val="-3"/>
          <w:w w:val="105"/>
        </w:rPr>
        <w:t xml:space="preserve">does not </w:t>
      </w:r>
      <w:r w:rsidR="00FB323A">
        <w:rPr>
          <w:rFonts w:ascii="Times New Roman" w:hAnsi="Times New Roman"/>
          <w:b w:val="0"/>
          <w:color w:val="000000"/>
          <w:spacing w:val="-3"/>
          <w:w w:val="105"/>
        </w:rPr>
        <w:t xml:space="preserve">contain distinct counts of </w:t>
      </w:r>
      <w:r w:rsidR="0045657A">
        <w:rPr>
          <w:rFonts w:ascii="Times New Roman" w:hAnsi="Times New Roman"/>
          <w:b w:val="0"/>
          <w:color w:val="000000"/>
          <w:spacing w:val="-3"/>
          <w:w w:val="105"/>
        </w:rPr>
        <w:t>wells with plunger lifts, and wells without</w:t>
      </w:r>
      <w:r>
        <w:rPr>
          <w:rFonts w:ascii="Times New Roman" w:hAnsi="Times New Roman"/>
          <w:b w:val="0"/>
          <w:color w:val="000000"/>
          <w:spacing w:val="-3"/>
          <w:w w:val="105"/>
        </w:rPr>
        <w:t>.</w:t>
      </w:r>
      <w:r w:rsidR="0045657A">
        <w:rPr>
          <w:rFonts w:ascii="Times New Roman" w:hAnsi="Times New Roman"/>
          <w:b w:val="0"/>
          <w:color w:val="000000"/>
          <w:spacing w:val="-3"/>
          <w:w w:val="105"/>
        </w:rPr>
        <w:t xml:space="preserve">  </w:t>
      </w:r>
      <w:r w:rsidR="00FB323A">
        <w:rPr>
          <w:rFonts w:ascii="Times New Roman" w:hAnsi="Times New Roman"/>
          <w:b w:val="0"/>
          <w:color w:val="000000"/>
          <w:spacing w:val="-3"/>
          <w:w w:val="105"/>
        </w:rPr>
        <w:t xml:space="preserve">Calculation of a weighted vent rate </w:t>
      </w:r>
      <w:r w:rsidR="0045657A">
        <w:rPr>
          <w:rFonts w:ascii="Times New Roman" w:hAnsi="Times New Roman"/>
          <w:b w:val="0"/>
          <w:color w:val="000000"/>
          <w:spacing w:val="-3"/>
          <w:w w:val="105"/>
        </w:rPr>
        <w:t>is accomplished using the data in Table 1.</w:t>
      </w:r>
      <w:r>
        <w:rPr>
          <w:rFonts w:ascii="Times New Roman" w:hAnsi="Times New Roman"/>
          <w:b w:val="0"/>
          <w:color w:val="000000"/>
          <w:spacing w:val="-3"/>
          <w:w w:val="105"/>
        </w:rPr>
        <w:t xml:space="preserve">  For example, </w:t>
      </w:r>
      <w:r w:rsidR="00335648">
        <w:rPr>
          <w:rFonts w:ascii="Times New Roman" w:hAnsi="Times New Roman"/>
          <w:b w:val="0"/>
          <w:color w:val="000000"/>
          <w:spacing w:val="-3"/>
          <w:w w:val="105"/>
        </w:rPr>
        <w:t>the</w:t>
      </w:r>
      <w:r>
        <w:rPr>
          <w:rFonts w:ascii="Times New Roman" w:hAnsi="Times New Roman"/>
          <w:b w:val="0"/>
          <w:color w:val="000000"/>
          <w:spacing w:val="-3"/>
          <w:w w:val="105"/>
        </w:rPr>
        <w:t xml:space="preserve"> updated default liquids unloading vent rate for the North East EIA Supply Region is calculated as follows:</w:t>
      </w:r>
    </w:p>
    <w:p w14:paraId="4E8AA5CC" w14:textId="77777777" w:rsidR="00411C00" w:rsidRDefault="00B20A4D" w:rsidP="006A7B7C">
      <w:pPr>
        <w:pStyle w:val="Tabletitle-GHGPreamble"/>
        <w:rPr>
          <w:rFonts w:ascii="Times New Roman" w:hAnsi="Times New Roman"/>
          <w:b w:val="0"/>
          <w:color w:val="000000"/>
          <w:spacing w:val="-3"/>
          <w:w w:val="105"/>
        </w:rPr>
      </w:pPr>
      <w:r>
        <w:rPr>
          <w:rFonts w:ascii="Times New Roman" w:hAnsi="Times New Roman"/>
          <w:b w:val="0"/>
          <w:noProof/>
          <w:color w:val="000000"/>
          <w:spacing w:val="-3"/>
        </w:rPr>
        <w:object w:dxaOrig="1440" w:dyaOrig="1440" w14:anchorId="64002865">
          <v:shape id="_x0000_s1033" type="#_x0000_t75" style="position:absolute;margin-left:-2.6pt;margin-top:12pt;width:384.55pt;height:34.6pt;z-index:251660288">
            <v:imagedata r:id="rId12" o:title=""/>
          </v:shape>
          <o:OLEObject Type="Embed" ProgID="Equation.3" ShapeID="_x0000_s1033" DrawAspect="Content" ObjectID="_1648555917" r:id="rId13"/>
        </w:object>
      </w:r>
    </w:p>
    <w:p w14:paraId="38076D22" w14:textId="77777777" w:rsidR="005F7FB6" w:rsidRDefault="005F7FB6" w:rsidP="006A7B7C">
      <w:pPr>
        <w:pStyle w:val="Tabletitle-GHGPreamble"/>
        <w:rPr>
          <w:rFonts w:ascii="Times New Roman" w:hAnsi="Times New Roman"/>
          <w:b w:val="0"/>
          <w:color w:val="000000"/>
          <w:spacing w:val="-3"/>
          <w:w w:val="105"/>
        </w:rPr>
      </w:pPr>
    </w:p>
    <w:p w14:paraId="0FF28C05" w14:textId="77777777" w:rsidR="005F7FB6" w:rsidRDefault="005F7FB6" w:rsidP="006A7B7C">
      <w:pPr>
        <w:pStyle w:val="Tabletitle-GHGPreamble"/>
        <w:rPr>
          <w:rFonts w:ascii="Times New Roman" w:hAnsi="Times New Roman"/>
          <w:b w:val="0"/>
          <w:color w:val="000000"/>
          <w:spacing w:val="-3"/>
          <w:w w:val="105"/>
        </w:rPr>
      </w:pPr>
    </w:p>
    <w:p w14:paraId="66F2470C" w14:textId="77777777" w:rsidR="005F7FB6" w:rsidRPr="00335648" w:rsidRDefault="00335648" w:rsidP="006A7B7C">
      <w:pPr>
        <w:pStyle w:val="Tabletitle-GHGPreamble"/>
        <w:rPr>
          <w:rFonts w:ascii="Times New Roman" w:hAnsi="Times New Roman" w:cs="Times New Roman"/>
          <w:b w:val="0"/>
          <w:color w:val="000000"/>
          <w:spacing w:val="-3"/>
          <w:w w:val="105"/>
        </w:rPr>
      </w:pPr>
      <w:r w:rsidRPr="003B736A">
        <w:rPr>
          <w:position w:val="-14"/>
        </w:rPr>
        <w:object w:dxaOrig="1300" w:dyaOrig="380" w14:anchorId="751A9144">
          <v:shape id="_x0000_i1027" type="#_x0000_t75" style="width:65.75pt;height:18.8pt" o:ole="">
            <v:imagedata r:id="rId14" o:title=""/>
          </v:shape>
          <o:OLEObject Type="Embed" ProgID="Equation.3" ShapeID="_x0000_i1027" DrawAspect="Content" ObjectID="_1648555914" r:id="rId15"/>
        </w:object>
      </w:r>
      <w:r>
        <w:rPr>
          <w:b w:val="0"/>
        </w:rPr>
        <w:t xml:space="preserve">= </w:t>
      </w:r>
      <w:r w:rsidRPr="00335648">
        <w:rPr>
          <w:rFonts w:ascii="Times New Roman" w:hAnsi="Times New Roman" w:cs="Times New Roman"/>
          <w:b w:val="0"/>
        </w:rPr>
        <w:t xml:space="preserve">32,421 </w:t>
      </w:r>
      <w:r w:rsidRPr="00335648">
        <w:rPr>
          <w:rFonts w:ascii="Times New Roman" w:hAnsi="Times New Roman"/>
          <w:b w:val="0"/>
          <w:color w:val="000000"/>
        </w:rPr>
        <w:t>(</w:t>
      </w:r>
      <w:proofErr w:type="spellStart"/>
      <w:r w:rsidRPr="00335648">
        <w:rPr>
          <w:rFonts w:ascii="Times New Roman" w:hAnsi="Times New Roman"/>
          <w:b w:val="0"/>
          <w:color w:val="000000"/>
        </w:rPr>
        <w:t>scf</w:t>
      </w:r>
      <w:proofErr w:type="spellEnd"/>
      <w:r w:rsidRPr="00335648">
        <w:rPr>
          <w:rFonts w:ascii="Times New Roman" w:hAnsi="Times New Roman"/>
          <w:b w:val="0"/>
          <w:color w:val="000000"/>
        </w:rPr>
        <w:t>/</w:t>
      </w:r>
      <w:proofErr w:type="spellStart"/>
      <w:r w:rsidRPr="00335648">
        <w:rPr>
          <w:rFonts w:ascii="Times New Roman" w:hAnsi="Times New Roman"/>
          <w:b w:val="0"/>
          <w:color w:val="000000"/>
        </w:rPr>
        <w:t>yr</w:t>
      </w:r>
      <w:proofErr w:type="spellEnd"/>
      <w:r w:rsidRPr="00335648">
        <w:rPr>
          <w:rFonts w:ascii="Times New Roman" w:hAnsi="Times New Roman"/>
          <w:b w:val="0"/>
          <w:color w:val="000000"/>
        </w:rPr>
        <w:t>/well)</w:t>
      </w:r>
    </w:p>
    <w:p w14:paraId="779C9024" w14:textId="77777777" w:rsidR="00335648" w:rsidRDefault="00335648" w:rsidP="006A7B7C">
      <w:pPr>
        <w:pStyle w:val="Tabletitle-GHGPreamble"/>
        <w:rPr>
          <w:rFonts w:ascii="Times New Roman" w:hAnsi="Times New Roman"/>
          <w:b w:val="0"/>
          <w:color w:val="000000"/>
          <w:spacing w:val="-3"/>
          <w:w w:val="105"/>
        </w:rPr>
      </w:pPr>
    </w:p>
    <w:p w14:paraId="4C52ADCA" w14:textId="77777777" w:rsidR="00411C00" w:rsidRPr="003B3443" w:rsidRDefault="00411C00" w:rsidP="006A7B7C">
      <w:pPr>
        <w:pStyle w:val="Tabletitle-GHGPreamble"/>
        <w:rPr>
          <w:rFonts w:ascii="Times New Roman" w:hAnsi="Times New Roman"/>
          <w:b w:val="0"/>
          <w:color w:val="000000"/>
          <w:spacing w:val="-3"/>
          <w:w w:val="105"/>
        </w:rPr>
      </w:pPr>
      <w:r w:rsidRPr="003B3443">
        <w:rPr>
          <w:rFonts w:ascii="Times New Roman" w:hAnsi="Times New Roman"/>
          <w:b w:val="0"/>
          <w:color w:val="000000"/>
          <w:spacing w:val="-3"/>
          <w:w w:val="105"/>
        </w:rPr>
        <w:t>Table 2 shows the</w:t>
      </w:r>
      <w:r w:rsidR="00C400FE">
        <w:rPr>
          <w:rFonts w:ascii="Times New Roman" w:hAnsi="Times New Roman"/>
          <w:b w:val="0"/>
          <w:color w:val="000000"/>
          <w:spacing w:val="-3"/>
          <w:w w:val="105"/>
        </w:rPr>
        <w:t xml:space="preserve"> resultant</w:t>
      </w:r>
      <w:r w:rsidRPr="003B3443">
        <w:rPr>
          <w:rFonts w:ascii="Times New Roman" w:hAnsi="Times New Roman"/>
          <w:b w:val="0"/>
          <w:color w:val="000000"/>
          <w:spacing w:val="-3"/>
          <w:w w:val="105"/>
        </w:rPr>
        <w:t xml:space="preserve"> updated default vent rates used in the </w:t>
      </w:r>
      <w:r w:rsidR="00FB323A">
        <w:rPr>
          <w:rFonts w:ascii="Times New Roman" w:hAnsi="Times New Roman"/>
          <w:b w:val="0"/>
          <w:color w:val="000000"/>
          <w:spacing w:val="-3"/>
          <w:w w:val="105"/>
        </w:rPr>
        <w:t>tool</w:t>
      </w:r>
      <w:r w:rsidRPr="003B3443">
        <w:rPr>
          <w:rFonts w:ascii="Times New Roman" w:hAnsi="Times New Roman"/>
          <w:b w:val="0"/>
          <w:color w:val="000000"/>
          <w:spacing w:val="-3"/>
          <w:w w:val="105"/>
        </w:rPr>
        <w:t xml:space="preserve"> </w:t>
      </w:r>
      <w:r w:rsidRPr="003B3443">
        <w:rPr>
          <w:rFonts w:ascii="Times New Roman" w:hAnsi="Times New Roman"/>
          <w:b w:val="0"/>
        </w:rPr>
        <w:t>(data from the West Coast Region has been used for the State of Alaska)</w:t>
      </w:r>
      <w:r w:rsidRPr="003B3443">
        <w:rPr>
          <w:rFonts w:ascii="Times New Roman" w:hAnsi="Times New Roman"/>
          <w:b w:val="0"/>
          <w:color w:val="000000"/>
          <w:spacing w:val="-3"/>
          <w:w w:val="105"/>
        </w:rPr>
        <w:t>.</w:t>
      </w:r>
      <w:r w:rsidR="003B3443">
        <w:rPr>
          <w:rFonts w:ascii="Times New Roman" w:hAnsi="Times New Roman"/>
          <w:b w:val="0"/>
          <w:color w:val="000000"/>
          <w:spacing w:val="-3"/>
          <w:w w:val="105"/>
        </w:rPr>
        <w:t xml:space="preserve"> </w:t>
      </w:r>
      <w:r w:rsidR="00C400FE">
        <w:rPr>
          <w:rFonts w:ascii="Times New Roman" w:hAnsi="Times New Roman"/>
          <w:b w:val="0"/>
          <w:color w:val="000000"/>
          <w:spacing w:val="-3"/>
          <w:w w:val="105"/>
        </w:rPr>
        <w:t>As there are annual vent rates, w</w:t>
      </w:r>
      <w:r w:rsidR="003B3443" w:rsidRPr="003B3443">
        <w:rPr>
          <w:rFonts w:ascii="Times New Roman" w:hAnsi="Times New Roman"/>
          <w:b w:val="0"/>
        </w:rPr>
        <w:t xml:space="preserve">here this information is used in the tool, the frequency of liquids </w:t>
      </w:r>
      <w:r w:rsidR="003B3443" w:rsidRPr="003B3443">
        <w:rPr>
          <w:rFonts w:ascii="Times New Roman" w:hAnsi="Times New Roman" w:cs="Times New Roman"/>
          <w:b w:val="0"/>
        </w:rPr>
        <w:t>unloading venting has been set equal to one</w:t>
      </w:r>
      <w:r w:rsidR="003B3443">
        <w:rPr>
          <w:rFonts w:ascii="Times New Roman" w:hAnsi="Times New Roman" w:cs="Times New Roman"/>
          <w:b w:val="0"/>
        </w:rPr>
        <w:t xml:space="preserve"> event per year</w:t>
      </w:r>
      <w:r w:rsidR="0045657A">
        <w:rPr>
          <w:rFonts w:ascii="Times New Roman" w:hAnsi="Times New Roman" w:cs="Times New Roman"/>
          <w:b w:val="0"/>
        </w:rPr>
        <w:t>.</w:t>
      </w:r>
      <w:r w:rsidR="00FB323A">
        <w:rPr>
          <w:rFonts w:ascii="Times New Roman" w:hAnsi="Times New Roman" w:cs="Times New Roman"/>
          <w:b w:val="0"/>
        </w:rPr>
        <w:t xml:space="preserve">  Additionally, as these rates reflect some level of control (through the use of plunger lifts), where this information is used in the </w:t>
      </w:r>
      <w:r w:rsidR="00FB323A">
        <w:rPr>
          <w:rFonts w:ascii="Times New Roman" w:hAnsi="Times New Roman"/>
          <w:b w:val="0"/>
          <w:color w:val="000000"/>
          <w:spacing w:val="-3"/>
          <w:w w:val="105"/>
        </w:rPr>
        <w:t>tool</w:t>
      </w:r>
      <w:r w:rsidR="00FB323A">
        <w:rPr>
          <w:rFonts w:ascii="Times New Roman" w:hAnsi="Times New Roman" w:cs="Times New Roman"/>
          <w:b w:val="0"/>
        </w:rPr>
        <w:t>, a value of “NA” is used for the control method, and no additional reduction from use of controls has been applied.</w:t>
      </w:r>
      <w:r w:rsidR="0045657A">
        <w:rPr>
          <w:rFonts w:ascii="Times New Roman" w:hAnsi="Times New Roman" w:cs="Times New Roman"/>
          <w:b w:val="0"/>
        </w:rPr>
        <w:t xml:space="preserve">  S</w:t>
      </w:r>
      <w:r w:rsidR="003B3443">
        <w:rPr>
          <w:rFonts w:ascii="Times New Roman" w:hAnsi="Times New Roman" w:cs="Times New Roman"/>
          <w:b w:val="0"/>
        </w:rPr>
        <w:t xml:space="preserve">ee the </w:t>
      </w:r>
      <w:r w:rsidR="00FB323A">
        <w:rPr>
          <w:rFonts w:ascii="Times New Roman" w:hAnsi="Times New Roman"/>
          <w:b w:val="0"/>
          <w:color w:val="000000"/>
          <w:spacing w:val="-3"/>
          <w:w w:val="105"/>
        </w:rPr>
        <w:t>tool</w:t>
      </w:r>
      <w:r w:rsidR="003B3443">
        <w:rPr>
          <w:rFonts w:ascii="Times New Roman" w:hAnsi="Times New Roman" w:cs="Times New Roman"/>
          <w:b w:val="0"/>
        </w:rPr>
        <w:t xml:space="preserve"> documentation for detailed information on the methodology used to estimate emissions for liquids unloading</w:t>
      </w:r>
      <w:r w:rsidR="003B3443" w:rsidRPr="003B3443">
        <w:rPr>
          <w:rFonts w:ascii="Times New Roman" w:hAnsi="Times New Roman" w:cs="Times New Roman"/>
          <w:b w:val="0"/>
        </w:rPr>
        <w:t>.</w:t>
      </w:r>
    </w:p>
    <w:p w14:paraId="1AE1E9D7" w14:textId="77777777" w:rsidR="006A7B7C" w:rsidRPr="006A7B7C" w:rsidRDefault="006A7B7C" w:rsidP="006A7B7C">
      <w:pPr>
        <w:pStyle w:val="Tabletitle-GHGPreamble"/>
        <w:rPr>
          <w:rFonts w:ascii="Times New Roman" w:hAnsi="Times New Roman"/>
          <w:b w:val="0"/>
          <w:color w:val="000000"/>
          <w:spacing w:val="-3"/>
          <w:w w:val="105"/>
        </w:rPr>
      </w:pPr>
    </w:p>
    <w:p w14:paraId="67D48D35" w14:textId="77777777" w:rsidR="006A7B7C" w:rsidRDefault="006A7B7C" w:rsidP="006A7B7C">
      <w:pPr>
        <w:pStyle w:val="Tabletitle-GHGPreamble"/>
        <w:jc w:val="center"/>
        <w:rPr>
          <w:rFonts w:ascii="Times New Roman" w:hAnsi="Times New Roman" w:cs="Times New Roman"/>
        </w:rPr>
      </w:pPr>
      <w:r w:rsidRPr="00BE00D1">
        <w:rPr>
          <w:rFonts w:ascii="Times New Roman" w:hAnsi="Times New Roman" w:cs="Times New Roman"/>
        </w:rPr>
        <w:t xml:space="preserve">Table </w:t>
      </w:r>
      <w:r>
        <w:rPr>
          <w:rFonts w:ascii="Times New Roman" w:hAnsi="Times New Roman" w:cs="Times New Roman"/>
        </w:rPr>
        <w:t xml:space="preserve">2. </w:t>
      </w:r>
      <w:r w:rsidR="00411C00">
        <w:rPr>
          <w:rFonts w:ascii="Times New Roman" w:hAnsi="Times New Roman" w:cs="Times New Roman"/>
        </w:rPr>
        <w:t>Default</w:t>
      </w:r>
      <w:r>
        <w:rPr>
          <w:rFonts w:ascii="Times New Roman" w:hAnsi="Times New Roman" w:cs="Times New Roman"/>
        </w:rPr>
        <w:t xml:space="preserve"> Liquids Unloading Vent Rates for the Tool</w:t>
      </w:r>
    </w:p>
    <w:tbl>
      <w:tblPr>
        <w:tblW w:w="6723" w:type="dxa"/>
        <w:jc w:val="center"/>
        <w:tblLayout w:type="fixed"/>
        <w:tblLook w:val="04A0" w:firstRow="1" w:lastRow="0" w:firstColumn="1" w:lastColumn="0" w:noHBand="0" w:noVBand="1"/>
      </w:tblPr>
      <w:tblGrid>
        <w:gridCol w:w="1868"/>
        <w:gridCol w:w="1701"/>
        <w:gridCol w:w="3154"/>
      </w:tblGrid>
      <w:tr w:rsidR="006A7B7C" w:rsidRPr="00A37940" w14:paraId="15E46FBE" w14:textId="77777777" w:rsidTr="00C400FE">
        <w:trPr>
          <w:trHeight w:val="630"/>
          <w:tblHeader/>
          <w:jc w:val="center"/>
        </w:trPr>
        <w:tc>
          <w:tcPr>
            <w:tcW w:w="1868"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603A1B9E" w14:textId="77777777" w:rsidR="006A7B7C" w:rsidRPr="009D44D8" w:rsidRDefault="006A7B7C" w:rsidP="001E5783">
            <w:pPr>
              <w:jc w:val="center"/>
              <w:rPr>
                <w:rFonts w:ascii="Times New Roman" w:hAnsi="Times New Roman"/>
                <w:b/>
                <w:bCs/>
                <w:color w:val="000000"/>
              </w:rPr>
            </w:pPr>
            <w:r>
              <w:rPr>
                <w:rFonts w:ascii="Times New Roman" w:hAnsi="Times New Roman"/>
                <w:b/>
                <w:bCs/>
                <w:color w:val="000000"/>
              </w:rPr>
              <w:t xml:space="preserve">EIA Supply </w:t>
            </w:r>
            <w:r w:rsidRPr="002605A8">
              <w:rPr>
                <w:rFonts w:ascii="Times New Roman" w:hAnsi="Times New Roman"/>
                <w:b/>
                <w:bCs/>
                <w:color w:val="000000"/>
              </w:rPr>
              <w:t>Region</w:t>
            </w:r>
          </w:p>
        </w:tc>
        <w:tc>
          <w:tcPr>
            <w:tcW w:w="1701" w:type="dxa"/>
            <w:tcBorders>
              <w:top w:val="single" w:sz="4" w:space="0" w:color="auto"/>
              <w:left w:val="single" w:sz="4" w:space="0" w:color="auto"/>
              <w:bottom w:val="single" w:sz="4" w:space="0" w:color="auto"/>
              <w:right w:val="single" w:sz="4" w:space="0" w:color="auto"/>
            </w:tcBorders>
            <w:shd w:val="clear" w:color="000000" w:fill="BFBFBF"/>
            <w:vAlign w:val="center"/>
          </w:tcPr>
          <w:p w14:paraId="304275C9" w14:textId="77777777" w:rsidR="006A7B7C" w:rsidRPr="009D44D8" w:rsidRDefault="006A7B7C" w:rsidP="001E5783">
            <w:pPr>
              <w:jc w:val="center"/>
              <w:rPr>
                <w:rFonts w:ascii="Times New Roman" w:hAnsi="Times New Roman"/>
                <w:b/>
                <w:bCs/>
                <w:color w:val="000000"/>
              </w:rPr>
            </w:pPr>
            <w:r w:rsidRPr="009D44D8">
              <w:rPr>
                <w:rFonts w:ascii="Times New Roman" w:hAnsi="Times New Roman"/>
                <w:b/>
                <w:bCs/>
                <w:color w:val="000000"/>
              </w:rPr>
              <w:t>Gas Well Count</w:t>
            </w:r>
          </w:p>
        </w:tc>
        <w:tc>
          <w:tcPr>
            <w:tcW w:w="3154" w:type="dxa"/>
            <w:tcBorders>
              <w:top w:val="single" w:sz="4" w:space="0" w:color="auto"/>
              <w:left w:val="nil"/>
              <w:bottom w:val="single" w:sz="4" w:space="0" w:color="auto"/>
              <w:right w:val="single" w:sz="4" w:space="0" w:color="auto"/>
            </w:tcBorders>
            <w:shd w:val="clear" w:color="000000" w:fill="BFBFBF"/>
            <w:vAlign w:val="center"/>
            <w:hideMark/>
          </w:tcPr>
          <w:p w14:paraId="00AD5D64" w14:textId="77777777" w:rsidR="006A7B7C" w:rsidRPr="009D44D8" w:rsidRDefault="003F2842" w:rsidP="001E5783">
            <w:pPr>
              <w:jc w:val="center"/>
              <w:rPr>
                <w:rFonts w:ascii="Times New Roman" w:hAnsi="Times New Roman"/>
                <w:b/>
                <w:bCs/>
                <w:color w:val="000000"/>
              </w:rPr>
            </w:pPr>
            <w:r>
              <w:rPr>
                <w:rFonts w:ascii="Times New Roman" w:hAnsi="Times New Roman"/>
                <w:b/>
                <w:bCs/>
                <w:color w:val="000000"/>
              </w:rPr>
              <w:t>Default</w:t>
            </w:r>
            <w:r w:rsidR="006A7B7C" w:rsidRPr="009D44D8">
              <w:rPr>
                <w:rFonts w:ascii="Times New Roman" w:hAnsi="Times New Roman"/>
                <w:b/>
                <w:bCs/>
                <w:color w:val="000000"/>
              </w:rPr>
              <w:t xml:space="preserve"> Vent Rate for all Wells (scf/yr/well) </w:t>
            </w:r>
            <w:r w:rsidR="006A7B7C" w:rsidRPr="009D44D8">
              <w:rPr>
                <w:rFonts w:ascii="Times New Roman" w:hAnsi="Times New Roman"/>
                <w:b/>
                <w:bCs/>
                <w:color w:val="000000"/>
                <w:vertAlign w:val="superscript"/>
              </w:rPr>
              <w:t>a</w:t>
            </w:r>
          </w:p>
        </w:tc>
      </w:tr>
      <w:tr w:rsidR="006A7B7C" w:rsidRPr="00A37940" w14:paraId="3A69F362" w14:textId="77777777" w:rsidTr="00C400FE">
        <w:trPr>
          <w:trHeight w:val="315"/>
          <w:jc w:val="center"/>
        </w:trPr>
        <w:tc>
          <w:tcPr>
            <w:tcW w:w="1868" w:type="dxa"/>
            <w:tcBorders>
              <w:left w:val="single" w:sz="4" w:space="0" w:color="auto"/>
              <w:bottom w:val="single" w:sz="4" w:space="0" w:color="auto"/>
              <w:right w:val="single" w:sz="4" w:space="0" w:color="auto"/>
            </w:tcBorders>
            <w:shd w:val="clear" w:color="auto" w:fill="auto"/>
            <w:noWrap/>
            <w:vAlign w:val="center"/>
            <w:hideMark/>
          </w:tcPr>
          <w:p w14:paraId="779F7828" w14:textId="77777777" w:rsidR="006A7B7C" w:rsidRPr="009D44D8" w:rsidRDefault="006A7B7C" w:rsidP="001E5783">
            <w:pPr>
              <w:jc w:val="center"/>
              <w:rPr>
                <w:rFonts w:ascii="Times New Roman" w:hAnsi="Times New Roman"/>
              </w:rPr>
            </w:pPr>
            <w:r w:rsidRPr="009D44D8">
              <w:rPr>
                <w:rFonts w:ascii="Times New Roman" w:hAnsi="Times New Roman"/>
              </w:rPr>
              <w:t>North East</w:t>
            </w:r>
          </w:p>
        </w:tc>
        <w:tc>
          <w:tcPr>
            <w:tcW w:w="1701" w:type="dxa"/>
            <w:tcBorders>
              <w:left w:val="single" w:sz="4" w:space="0" w:color="auto"/>
              <w:bottom w:val="single" w:sz="4" w:space="0" w:color="auto"/>
              <w:right w:val="single" w:sz="4" w:space="0" w:color="auto"/>
            </w:tcBorders>
            <w:shd w:val="clear" w:color="auto" w:fill="auto"/>
            <w:vAlign w:val="center"/>
          </w:tcPr>
          <w:p w14:paraId="3BD17B59" w14:textId="77777777" w:rsidR="006A7B7C" w:rsidRPr="009D44D8" w:rsidRDefault="006A7B7C" w:rsidP="001E5783">
            <w:pPr>
              <w:jc w:val="center"/>
              <w:rPr>
                <w:rFonts w:ascii="Times New Roman" w:hAnsi="Times New Roman"/>
                <w:color w:val="000000"/>
              </w:rPr>
            </w:pPr>
            <w:r w:rsidRPr="009D44D8">
              <w:rPr>
                <w:rFonts w:ascii="Times New Roman" w:hAnsi="Times New Roman"/>
                <w:color w:val="000000"/>
              </w:rPr>
              <w:t>153,773</w:t>
            </w:r>
          </w:p>
        </w:tc>
        <w:tc>
          <w:tcPr>
            <w:tcW w:w="3154" w:type="dxa"/>
            <w:tcBorders>
              <w:top w:val="nil"/>
              <w:left w:val="nil"/>
              <w:bottom w:val="single" w:sz="4" w:space="0" w:color="auto"/>
              <w:right w:val="single" w:sz="4" w:space="0" w:color="auto"/>
            </w:tcBorders>
            <w:shd w:val="clear" w:color="auto" w:fill="auto"/>
            <w:vAlign w:val="center"/>
            <w:hideMark/>
          </w:tcPr>
          <w:p w14:paraId="6E75DB46" w14:textId="77777777" w:rsidR="006A7B7C" w:rsidRPr="009D44D8" w:rsidRDefault="006A7B7C" w:rsidP="001E5783">
            <w:pPr>
              <w:jc w:val="center"/>
              <w:rPr>
                <w:rFonts w:ascii="Times New Roman" w:hAnsi="Times New Roman"/>
                <w:color w:val="000000"/>
              </w:rPr>
            </w:pPr>
            <w:r w:rsidRPr="009D44D8">
              <w:rPr>
                <w:rFonts w:ascii="Times New Roman" w:hAnsi="Times New Roman"/>
                <w:color w:val="000000"/>
              </w:rPr>
              <w:t>32,421</w:t>
            </w:r>
          </w:p>
        </w:tc>
      </w:tr>
      <w:tr w:rsidR="006A7B7C" w:rsidRPr="00A37940" w14:paraId="5E1AEA02" w14:textId="77777777" w:rsidTr="00C400FE">
        <w:trPr>
          <w:trHeight w:val="315"/>
          <w:jc w:val="center"/>
        </w:trPr>
        <w:tc>
          <w:tcPr>
            <w:tcW w:w="1868" w:type="dxa"/>
            <w:tcBorders>
              <w:left w:val="single" w:sz="4" w:space="0" w:color="auto"/>
              <w:bottom w:val="single" w:sz="4" w:space="0" w:color="auto"/>
              <w:right w:val="single" w:sz="4" w:space="0" w:color="auto"/>
            </w:tcBorders>
            <w:shd w:val="clear" w:color="auto" w:fill="auto"/>
            <w:noWrap/>
            <w:vAlign w:val="center"/>
            <w:hideMark/>
          </w:tcPr>
          <w:p w14:paraId="0DAAC042" w14:textId="77777777" w:rsidR="006A7B7C" w:rsidRPr="009D44D8" w:rsidRDefault="006A7B7C" w:rsidP="001E5783">
            <w:pPr>
              <w:jc w:val="center"/>
              <w:rPr>
                <w:rFonts w:ascii="Times New Roman" w:hAnsi="Times New Roman"/>
              </w:rPr>
            </w:pPr>
            <w:r w:rsidRPr="009D44D8">
              <w:rPr>
                <w:rFonts w:ascii="Times New Roman" w:hAnsi="Times New Roman"/>
              </w:rPr>
              <w:t>Midcontinent</w:t>
            </w:r>
          </w:p>
        </w:tc>
        <w:tc>
          <w:tcPr>
            <w:tcW w:w="1701" w:type="dxa"/>
            <w:tcBorders>
              <w:left w:val="single" w:sz="4" w:space="0" w:color="auto"/>
              <w:bottom w:val="single" w:sz="4" w:space="0" w:color="auto"/>
              <w:right w:val="single" w:sz="4" w:space="0" w:color="auto"/>
            </w:tcBorders>
            <w:shd w:val="clear" w:color="auto" w:fill="auto"/>
            <w:vAlign w:val="center"/>
          </w:tcPr>
          <w:p w14:paraId="6A9E6CA8" w14:textId="77777777" w:rsidR="006A7B7C" w:rsidRPr="009D44D8" w:rsidRDefault="006A7B7C" w:rsidP="001E5783">
            <w:pPr>
              <w:jc w:val="center"/>
              <w:rPr>
                <w:rFonts w:ascii="Times New Roman" w:hAnsi="Times New Roman"/>
                <w:color w:val="000000"/>
              </w:rPr>
            </w:pPr>
            <w:r w:rsidRPr="009D44D8">
              <w:rPr>
                <w:rFonts w:ascii="Times New Roman" w:hAnsi="Times New Roman"/>
                <w:color w:val="000000"/>
              </w:rPr>
              <w:t>87,193</w:t>
            </w:r>
          </w:p>
        </w:tc>
        <w:tc>
          <w:tcPr>
            <w:tcW w:w="3154" w:type="dxa"/>
            <w:tcBorders>
              <w:top w:val="nil"/>
              <w:left w:val="nil"/>
              <w:bottom w:val="single" w:sz="4" w:space="0" w:color="auto"/>
              <w:right w:val="single" w:sz="4" w:space="0" w:color="auto"/>
            </w:tcBorders>
            <w:shd w:val="clear" w:color="auto" w:fill="auto"/>
            <w:vAlign w:val="center"/>
            <w:hideMark/>
          </w:tcPr>
          <w:p w14:paraId="5ABB4A36" w14:textId="77777777" w:rsidR="006A7B7C" w:rsidRPr="009D44D8" w:rsidRDefault="006A7B7C" w:rsidP="001E5783">
            <w:pPr>
              <w:jc w:val="center"/>
              <w:rPr>
                <w:rFonts w:ascii="Times New Roman" w:hAnsi="Times New Roman"/>
                <w:color w:val="000000"/>
              </w:rPr>
            </w:pPr>
            <w:r w:rsidRPr="009D44D8">
              <w:rPr>
                <w:rFonts w:ascii="Times New Roman" w:hAnsi="Times New Roman"/>
                <w:color w:val="000000"/>
              </w:rPr>
              <w:t>41,659</w:t>
            </w:r>
          </w:p>
        </w:tc>
      </w:tr>
      <w:tr w:rsidR="006A7B7C" w:rsidRPr="00A37940" w14:paraId="2B8C3E49" w14:textId="77777777" w:rsidTr="00C400FE">
        <w:trPr>
          <w:trHeight w:val="315"/>
          <w:jc w:val="center"/>
        </w:trPr>
        <w:tc>
          <w:tcPr>
            <w:tcW w:w="1868" w:type="dxa"/>
            <w:tcBorders>
              <w:left w:val="single" w:sz="4" w:space="0" w:color="auto"/>
              <w:bottom w:val="single" w:sz="4" w:space="0" w:color="auto"/>
              <w:right w:val="single" w:sz="4" w:space="0" w:color="auto"/>
            </w:tcBorders>
            <w:shd w:val="clear" w:color="auto" w:fill="auto"/>
            <w:noWrap/>
            <w:vAlign w:val="center"/>
            <w:hideMark/>
          </w:tcPr>
          <w:p w14:paraId="49903A40" w14:textId="77777777" w:rsidR="006A7B7C" w:rsidRPr="009D44D8" w:rsidRDefault="006A7B7C" w:rsidP="001E5783">
            <w:pPr>
              <w:jc w:val="center"/>
              <w:rPr>
                <w:rFonts w:ascii="Times New Roman" w:hAnsi="Times New Roman"/>
              </w:rPr>
            </w:pPr>
            <w:r w:rsidRPr="009D44D8">
              <w:rPr>
                <w:rFonts w:ascii="Times New Roman" w:hAnsi="Times New Roman"/>
              </w:rPr>
              <w:t>Rocky Mountain</w:t>
            </w:r>
          </w:p>
        </w:tc>
        <w:tc>
          <w:tcPr>
            <w:tcW w:w="1701" w:type="dxa"/>
            <w:tcBorders>
              <w:left w:val="single" w:sz="4" w:space="0" w:color="auto"/>
              <w:bottom w:val="single" w:sz="4" w:space="0" w:color="auto"/>
              <w:right w:val="single" w:sz="4" w:space="0" w:color="auto"/>
            </w:tcBorders>
            <w:shd w:val="clear" w:color="auto" w:fill="auto"/>
            <w:vAlign w:val="center"/>
          </w:tcPr>
          <w:p w14:paraId="3D1775D4" w14:textId="77777777" w:rsidR="006A7B7C" w:rsidRPr="009D44D8" w:rsidRDefault="006A7B7C" w:rsidP="001E5783">
            <w:pPr>
              <w:jc w:val="center"/>
              <w:rPr>
                <w:rFonts w:ascii="Times New Roman" w:hAnsi="Times New Roman"/>
                <w:color w:val="000000"/>
              </w:rPr>
            </w:pPr>
            <w:r w:rsidRPr="009D44D8">
              <w:rPr>
                <w:rFonts w:ascii="Times New Roman" w:hAnsi="Times New Roman"/>
                <w:color w:val="000000"/>
              </w:rPr>
              <w:t>58,285</w:t>
            </w:r>
          </w:p>
        </w:tc>
        <w:tc>
          <w:tcPr>
            <w:tcW w:w="3154" w:type="dxa"/>
            <w:tcBorders>
              <w:top w:val="nil"/>
              <w:left w:val="nil"/>
              <w:bottom w:val="single" w:sz="4" w:space="0" w:color="auto"/>
              <w:right w:val="single" w:sz="4" w:space="0" w:color="auto"/>
            </w:tcBorders>
            <w:shd w:val="clear" w:color="auto" w:fill="auto"/>
            <w:vAlign w:val="center"/>
            <w:hideMark/>
          </w:tcPr>
          <w:p w14:paraId="481011EB" w14:textId="77777777" w:rsidR="006A7B7C" w:rsidRPr="009D44D8" w:rsidRDefault="006A7B7C" w:rsidP="001E5783">
            <w:pPr>
              <w:jc w:val="center"/>
              <w:rPr>
                <w:rFonts w:ascii="Times New Roman" w:hAnsi="Times New Roman"/>
                <w:color w:val="000000"/>
              </w:rPr>
            </w:pPr>
            <w:r w:rsidRPr="009D44D8">
              <w:rPr>
                <w:rFonts w:ascii="Times New Roman" w:hAnsi="Times New Roman"/>
                <w:color w:val="000000"/>
              </w:rPr>
              <w:t>59,047</w:t>
            </w:r>
          </w:p>
        </w:tc>
      </w:tr>
      <w:tr w:rsidR="006A7B7C" w:rsidRPr="00A37940" w14:paraId="133BAA3B" w14:textId="77777777" w:rsidTr="00C400FE">
        <w:trPr>
          <w:trHeight w:val="315"/>
          <w:jc w:val="center"/>
        </w:trPr>
        <w:tc>
          <w:tcPr>
            <w:tcW w:w="1868" w:type="dxa"/>
            <w:tcBorders>
              <w:left w:val="single" w:sz="4" w:space="0" w:color="auto"/>
              <w:bottom w:val="single" w:sz="4" w:space="0" w:color="auto"/>
              <w:right w:val="single" w:sz="4" w:space="0" w:color="auto"/>
            </w:tcBorders>
            <w:shd w:val="clear" w:color="auto" w:fill="auto"/>
            <w:noWrap/>
            <w:vAlign w:val="center"/>
            <w:hideMark/>
          </w:tcPr>
          <w:p w14:paraId="3E3E4F29" w14:textId="77777777" w:rsidR="006A7B7C" w:rsidRPr="009D44D8" w:rsidRDefault="006A7B7C" w:rsidP="001E5783">
            <w:pPr>
              <w:jc w:val="center"/>
              <w:rPr>
                <w:rFonts w:ascii="Times New Roman" w:hAnsi="Times New Roman"/>
              </w:rPr>
            </w:pPr>
            <w:r w:rsidRPr="009D44D8">
              <w:rPr>
                <w:rFonts w:ascii="Times New Roman" w:hAnsi="Times New Roman"/>
              </w:rPr>
              <w:t>South West</w:t>
            </w:r>
          </w:p>
        </w:tc>
        <w:tc>
          <w:tcPr>
            <w:tcW w:w="1701" w:type="dxa"/>
            <w:tcBorders>
              <w:left w:val="single" w:sz="4" w:space="0" w:color="auto"/>
              <w:bottom w:val="single" w:sz="4" w:space="0" w:color="auto"/>
              <w:right w:val="single" w:sz="4" w:space="0" w:color="auto"/>
            </w:tcBorders>
            <w:shd w:val="clear" w:color="auto" w:fill="auto"/>
            <w:vAlign w:val="center"/>
          </w:tcPr>
          <w:p w14:paraId="776FAD29" w14:textId="77777777" w:rsidR="006A7B7C" w:rsidRPr="009D44D8" w:rsidRDefault="006A7B7C" w:rsidP="001E5783">
            <w:pPr>
              <w:jc w:val="center"/>
              <w:rPr>
                <w:rFonts w:ascii="Times New Roman" w:hAnsi="Times New Roman"/>
                <w:color w:val="000000"/>
              </w:rPr>
            </w:pPr>
            <w:r w:rsidRPr="009D44D8">
              <w:rPr>
                <w:rFonts w:ascii="Times New Roman" w:hAnsi="Times New Roman"/>
                <w:color w:val="000000"/>
              </w:rPr>
              <w:t>41,919</w:t>
            </w:r>
          </w:p>
        </w:tc>
        <w:tc>
          <w:tcPr>
            <w:tcW w:w="3154" w:type="dxa"/>
            <w:tcBorders>
              <w:top w:val="nil"/>
              <w:left w:val="nil"/>
              <w:bottom w:val="single" w:sz="4" w:space="0" w:color="auto"/>
              <w:right w:val="single" w:sz="4" w:space="0" w:color="auto"/>
            </w:tcBorders>
            <w:shd w:val="clear" w:color="auto" w:fill="auto"/>
            <w:vAlign w:val="center"/>
            <w:hideMark/>
          </w:tcPr>
          <w:p w14:paraId="1252F2DC" w14:textId="77777777" w:rsidR="006A7B7C" w:rsidRPr="009D44D8" w:rsidRDefault="006A7B7C" w:rsidP="001E5783">
            <w:pPr>
              <w:jc w:val="center"/>
              <w:rPr>
                <w:rFonts w:ascii="Times New Roman" w:hAnsi="Times New Roman"/>
                <w:color w:val="000000"/>
              </w:rPr>
            </w:pPr>
            <w:r w:rsidRPr="009D44D8">
              <w:rPr>
                <w:rFonts w:ascii="Times New Roman" w:hAnsi="Times New Roman"/>
                <w:color w:val="000000"/>
              </w:rPr>
              <w:t>18,956</w:t>
            </w:r>
          </w:p>
        </w:tc>
      </w:tr>
      <w:tr w:rsidR="006A7B7C" w:rsidRPr="00A37940" w14:paraId="6F82116C" w14:textId="77777777" w:rsidTr="00C400FE">
        <w:trPr>
          <w:trHeight w:val="315"/>
          <w:jc w:val="center"/>
        </w:trPr>
        <w:tc>
          <w:tcPr>
            <w:tcW w:w="1868" w:type="dxa"/>
            <w:tcBorders>
              <w:left w:val="single" w:sz="4" w:space="0" w:color="auto"/>
              <w:bottom w:val="single" w:sz="4" w:space="0" w:color="auto"/>
              <w:right w:val="single" w:sz="4" w:space="0" w:color="auto"/>
            </w:tcBorders>
            <w:shd w:val="clear" w:color="auto" w:fill="auto"/>
            <w:noWrap/>
            <w:vAlign w:val="center"/>
            <w:hideMark/>
          </w:tcPr>
          <w:p w14:paraId="72FE57C5" w14:textId="77777777" w:rsidR="006A7B7C" w:rsidRPr="009D44D8" w:rsidRDefault="006A7B7C" w:rsidP="001E5783">
            <w:pPr>
              <w:jc w:val="center"/>
              <w:rPr>
                <w:rFonts w:ascii="Times New Roman" w:hAnsi="Times New Roman"/>
              </w:rPr>
            </w:pPr>
            <w:r w:rsidRPr="009D44D8">
              <w:rPr>
                <w:rFonts w:ascii="Times New Roman" w:hAnsi="Times New Roman"/>
              </w:rPr>
              <w:lastRenderedPageBreak/>
              <w:t>West Coast</w:t>
            </w:r>
          </w:p>
        </w:tc>
        <w:tc>
          <w:tcPr>
            <w:tcW w:w="1701" w:type="dxa"/>
            <w:tcBorders>
              <w:left w:val="single" w:sz="4" w:space="0" w:color="auto"/>
              <w:bottom w:val="single" w:sz="4" w:space="0" w:color="auto"/>
              <w:right w:val="single" w:sz="4" w:space="0" w:color="auto"/>
            </w:tcBorders>
            <w:shd w:val="clear" w:color="auto" w:fill="auto"/>
            <w:vAlign w:val="center"/>
          </w:tcPr>
          <w:p w14:paraId="227A2591" w14:textId="77777777" w:rsidR="006A7B7C" w:rsidRPr="009D44D8" w:rsidRDefault="006A7B7C" w:rsidP="001E5783">
            <w:pPr>
              <w:jc w:val="center"/>
              <w:rPr>
                <w:rFonts w:ascii="Times New Roman" w:hAnsi="Times New Roman"/>
                <w:color w:val="000000"/>
              </w:rPr>
            </w:pPr>
            <w:r w:rsidRPr="009D44D8">
              <w:rPr>
                <w:rFonts w:ascii="Times New Roman" w:hAnsi="Times New Roman"/>
                <w:color w:val="000000"/>
              </w:rPr>
              <w:t>1,516</w:t>
            </w:r>
          </w:p>
        </w:tc>
        <w:tc>
          <w:tcPr>
            <w:tcW w:w="3154" w:type="dxa"/>
            <w:tcBorders>
              <w:top w:val="nil"/>
              <w:left w:val="nil"/>
              <w:bottom w:val="single" w:sz="4" w:space="0" w:color="auto"/>
              <w:right w:val="single" w:sz="4" w:space="0" w:color="auto"/>
            </w:tcBorders>
            <w:shd w:val="clear" w:color="auto" w:fill="auto"/>
            <w:vAlign w:val="center"/>
            <w:hideMark/>
          </w:tcPr>
          <w:p w14:paraId="42FFEF09" w14:textId="77777777" w:rsidR="006A7B7C" w:rsidRPr="009D44D8" w:rsidRDefault="006A7B7C" w:rsidP="001E5783">
            <w:pPr>
              <w:jc w:val="center"/>
              <w:rPr>
                <w:rFonts w:ascii="Times New Roman" w:hAnsi="Times New Roman"/>
                <w:color w:val="000000"/>
              </w:rPr>
            </w:pPr>
            <w:r w:rsidRPr="009D44D8">
              <w:rPr>
                <w:rFonts w:ascii="Times New Roman" w:hAnsi="Times New Roman"/>
                <w:color w:val="000000"/>
              </w:rPr>
              <w:t>46,884</w:t>
            </w:r>
          </w:p>
        </w:tc>
      </w:tr>
      <w:tr w:rsidR="006A7B7C" w:rsidRPr="00A37940" w14:paraId="4298E209" w14:textId="77777777" w:rsidTr="00C400FE">
        <w:trPr>
          <w:trHeight w:val="315"/>
          <w:jc w:val="center"/>
        </w:trPr>
        <w:tc>
          <w:tcPr>
            <w:tcW w:w="1868" w:type="dxa"/>
            <w:tcBorders>
              <w:left w:val="single" w:sz="4" w:space="0" w:color="auto"/>
              <w:bottom w:val="single" w:sz="4" w:space="0" w:color="auto"/>
              <w:right w:val="single" w:sz="4" w:space="0" w:color="auto"/>
            </w:tcBorders>
            <w:shd w:val="clear" w:color="auto" w:fill="auto"/>
            <w:noWrap/>
            <w:vAlign w:val="center"/>
            <w:hideMark/>
          </w:tcPr>
          <w:p w14:paraId="6BE33E50" w14:textId="77777777" w:rsidR="006A7B7C" w:rsidRPr="009D44D8" w:rsidRDefault="006A7B7C" w:rsidP="001E5783">
            <w:pPr>
              <w:jc w:val="center"/>
              <w:rPr>
                <w:rFonts w:ascii="Times New Roman" w:hAnsi="Times New Roman"/>
              </w:rPr>
            </w:pPr>
            <w:r w:rsidRPr="009D44D8">
              <w:rPr>
                <w:rFonts w:ascii="Times New Roman" w:hAnsi="Times New Roman"/>
              </w:rPr>
              <w:t>Gulf Coast</w:t>
            </w:r>
          </w:p>
        </w:tc>
        <w:tc>
          <w:tcPr>
            <w:tcW w:w="1701" w:type="dxa"/>
            <w:tcBorders>
              <w:left w:val="single" w:sz="4" w:space="0" w:color="auto"/>
              <w:bottom w:val="single" w:sz="4" w:space="0" w:color="auto"/>
              <w:right w:val="single" w:sz="4" w:space="0" w:color="auto"/>
            </w:tcBorders>
            <w:shd w:val="clear" w:color="auto" w:fill="auto"/>
            <w:vAlign w:val="center"/>
          </w:tcPr>
          <w:p w14:paraId="07DA7A6D" w14:textId="77777777" w:rsidR="006A7B7C" w:rsidRPr="009D44D8" w:rsidRDefault="006A7B7C" w:rsidP="001E5783">
            <w:pPr>
              <w:jc w:val="center"/>
              <w:rPr>
                <w:rFonts w:ascii="Times New Roman" w:hAnsi="Times New Roman"/>
                <w:color w:val="000000"/>
              </w:rPr>
            </w:pPr>
            <w:r w:rsidRPr="009D44D8">
              <w:rPr>
                <w:rFonts w:ascii="Times New Roman" w:hAnsi="Times New Roman"/>
                <w:color w:val="000000"/>
              </w:rPr>
              <w:t>71,629</w:t>
            </w:r>
          </w:p>
        </w:tc>
        <w:tc>
          <w:tcPr>
            <w:tcW w:w="3154" w:type="dxa"/>
            <w:tcBorders>
              <w:top w:val="nil"/>
              <w:left w:val="nil"/>
              <w:bottom w:val="single" w:sz="4" w:space="0" w:color="auto"/>
              <w:right w:val="single" w:sz="4" w:space="0" w:color="auto"/>
            </w:tcBorders>
            <w:shd w:val="clear" w:color="auto" w:fill="auto"/>
            <w:vAlign w:val="center"/>
            <w:hideMark/>
          </w:tcPr>
          <w:p w14:paraId="639768B5" w14:textId="77777777" w:rsidR="006A7B7C" w:rsidRPr="009D44D8" w:rsidRDefault="006A7B7C" w:rsidP="001E5783">
            <w:pPr>
              <w:jc w:val="center"/>
              <w:rPr>
                <w:rFonts w:ascii="Times New Roman" w:hAnsi="Times New Roman"/>
                <w:color w:val="000000"/>
              </w:rPr>
            </w:pPr>
            <w:r w:rsidRPr="009D44D8">
              <w:rPr>
                <w:rFonts w:ascii="Times New Roman" w:hAnsi="Times New Roman"/>
                <w:color w:val="000000"/>
              </w:rPr>
              <w:t>22,913</w:t>
            </w:r>
          </w:p>
        </w:tc>
      </w:tr>
    </w:tbl>
    <w:p w14:paraId="7E245DE4" w14:textId="77777777" w:rsidR="006A7B7C" w:rsidRPr="00F0264C" w:rsidRDefault="006A7B7C" w:rsidP="006A7B7C">
      <w:pPr>
        <w:pStyle w:val="Tabletitle-GHGPreamble"/>
        <w:ind w:left="1350"/>
        <w:rPr>
          <w:rFonts w:ascii="Times New Roman" w:hAnsi="Times New Roman" w:cs="Times New Roman"/>
          <w:b w:val="0"/>
        </w:rPr>
      </w:pPr>
      <w:r w:rsidRPr="00F0264C">
        <w:rPr>
          <w:rFonts w:ascii="Times New Roman" w:hAnsi="Times New Roman" w:cs="Times New Roman"/>
          <w:b w:val="0"/>
          <w:vertAlign w:val="superscript"/>
        </w:rPr>
        <w:t xml:space="preserve">a </w:t>
      </w:r>
      <w:r w:rsidRPr="00F0264C">
        <w:rPr>
          <w:rFonts w:ascii="Times New Roman" w:hAnsi="Times New Roman" w:cs="Times New Roman"/>
          <w:b w:val="0"/>
        </w:rPr>
        <w:t>Whole gas vent rates.</w:t>
      </w:r>
    </w:p>
    <w:p w14:paraId="5432DFE0" w14:textId="77777777" w:rsidR="006A7B7C" w:rsidRDefault="006A7B7C" w:rsidP="00AC03CC">
      <w:pPr>
        <w:spacing w:before="36"/>
        <w:rPr>
          <w:rFonts w:ascii="Times New Roman" w:hAnsi="Times New Roman"/>
          <w:b/>
          <w:color w:val="000000"/>
          <w:spacing w:val="-3"/>
          <w:w w:val="105"/>
          <w:u w:val="single"/>
        </w:rPr>
      </w:pPr>
    </w:p>
    <w:p w14:paraId="3EC36B84" w14:textId="77777777" w:rsidR="000E7EC3" w:rsidRPr="00BE00D1" w:rsidRDefault="002424F3" w:rsidP="00AC03CC">
      <w:pPr>
        <w:spacing w:before="36"/>
        <w:rPr>
          <w:rFonts w:ascii="Times New Roman" w:hAnsi="Times New Roman"/>
          <w:b/>
          <w:color w:val="000000"/>
          <w:spacing w:val="-3"/>
          <w:w w:val="105"/>
          <w:u w:val="single"/>
        </w:rPr>
      </w:pPr>
      <w:r w:rsidRPr="00BE00D1">
        <w:rPr>
          <w:rFonts w:ascii="Times New Roman" w:hAnsi="Times New Roman"/>
          <w:b/>
          <w:color w:val="000000"/>
          <w:spacing w:val="-3"/>
          <w:w w:val="105"/>
          <w:u w:val="single"/>
        </w:rPr>
        <w:t>Pneumatic Devices</w:t>
      </w:r>
    </w:p>
    <w:p w14:paraId="6A008A4E" w14:textId="77777777" w:rsidR="00B05A45" w:rsidRPr="00BE00D1" w:rsidRDefault="00B05A45" w:rsidP="00AC03CC">
      <w:pPr>
        <w:spacing w:before="36"/>
        <w:rPr>
          <w:rFonts w:ascii="Times New Roman" w:hAnsi="Times New Roman"/>
          <w:color w:val="000000"/>
          <w:spacing w:val="-3"/>
          <w:w w:val="105"/>
        </w:rPr>
      </w:pPr>
    </w:p>
    <w:p w14:paraId="31C6CCFF" w14:textId="77777777" w:rsidR="00BE00D1" w:rsidRPr="00BE00D1" w:rsidRDefault="00BE00D1" w:rsidP="00AC03CC">
      <w:pPr>
        <w:spacing w:before="36"/>
        <w:rPr>
          <w:rFonts w:ascii="Times New Roman" w:hAnsi="Times New Roman"/>
          <w:color w:val="000000"/>
          <w:spacing w:val="-3"/>
          <w:w w:val="105"/>
        </w:rPr>
      </w:pPr>
      <w:r>
        <w:rPr>
          <w:rFonts w:ascii="Times New Roman" w:hAnsi="Times New Roman"/>
        </w:rPr>
        <w:t>Subpart W of the Greenhouse Gas Reporting Rule prescribes b</w:t>
      </w:r>
      <w:r>
        <w:rPr>
          <w:rFonts w:ascii="Times New Roman" w:hAnsi="Times New Roman"/>
          <w:color w:val="000000"/>
          <w:spacing w:val="-3"/>
          <w:w w:val="105"/>
        </w:rPr>
        <w:t xml:space="preserve">leed rates for low bleed, high bleed, and intermittent bleed devices that are to be used by reporters to estimate emissions.  These rates, shown in Table </w:t>
      </w:r>
      <w:r w:rsidR="006A7B7C">
        <w:rPr>
          <w:rFonts w:ascii="Times New Roman" w:hAnsi="Times New Roman"/>
          <w:color w:val="000000"/>
          <w:spacing w:val="-3"/>
          <w:w w:val="105"/>
        </w:rPr>
        <w:t>3</w:t>
      </w:r>
      <w:r>
        <w:rPr>
          <w:rFonts w:ascii="Times New Roman" w:hAnsi="Times New Roman"/>
          <w:color w:val="000000"/>
          <w:spacing w:val="-3"/>
          <w:w w:val="105"/>
        </w:rPr>
        <w:t xml:space="preserve"> below, have been incorporated </w:t>
      </w:r>
      <w:r w:rsidRPr="00FB323A">
        <w:rPr>
          <w:rFonts w:ascii="Times New Roman" w:hAnsi="Times New Roman"/>
          <w:color w:val="000000"/>
          <w:spacing w:val="-3"/>
          <w:w w:val="105"/>
        </w:rPr>
        <w:t xml:space="preserve">into the </w:t>
      </w:r>
      <w:r w:rsidR="00FB323A" w:rsidRPr="00FB323A">
        <w:rPr>
          <w:rFonts w:ascii="Times New Roman" w:hAnsi="Times New Roman"/>
          <w:color w:val="000000"/>
          <w:spacing w:val="-3"/>
          <w:w w:val="105"/>
        </w:rPr>
        <w:t>tool</w:t>
      </w:r>
      <w:r w:rsidRPr="00FB323A">
        <w:rPr>
          <w:rFonts w:ascii="Times New Roman" w:hAnsi="Times New Roman"/>
          <w:color w:val="000000"/>
          <w:spacing w:val="-3"/>
          <w:w w:val="105"/>
        </w:rPr>
        <w:t xml:space="preserve"> </w:t>
      </w:r>
      <w:r w:rsidR="00365CFF" w:rsidRPr="00FB323A">
        <w:rPr>
          <w:rFonts w:ascii="Times New Roman" w:hAnsi="Times New Roman"/>
          <w:color w:val="000000"/>
          <w:spacing w:val="-3"/>
          <w:w w:val="105"/>
        </w:rPr>
        <w:t>as</w:t>
      </w:r>
      <w:r w:rsidR="00365CFF">
        <w:rPr>
          <w:rFonts w:ascii="Times New Roman" w:hAnsi="Times New Roman"/>
          <w:color w:val="000000"/>
          <w:spacing w:val="-3"/>
          <w:w w:val="105"/>
        </w:rPr>
        <w:t xml:space="preserve"> default </w:t>
      </w:r>
      <w:r w:rsidR="006B01A6">
        <w:rPr>
          <w:rFonts w:ascii="Times New Roman" w:hAnsi="Times New Roman"/>
          <w:color w:val="000000"/>
          <w:spacing w:val="-3"/>
          <w:w w:val="105"/>
        </w:rPr>
        <w:t>bleed</w:t>
      </w:r>
      <w:r w:rsidR="00365CFF">
        <w:rPr>
          <w:rFonts w:ascii="Times New Roman" w:hAnsi="Times New Roman"/>
          <w:color w:val="000000"/>
          <w:spacing w:val="-3"/>
          <w:w w:val="105"/>
        </w:rPr>
        <w:t xml:space="preserve"> rates </w:t>
      </w:r>
      <w:r>
        <w:rPr>
          <w:rFonts w:ascii="Times New Roman" w:hAnsi="Times New Roman"/>
          <w:color w:val="000000"/>
          <w:spacing w:val="-3"/>
          <w:w w:val="105"/>
        </w:rPr>
        <w:t xml:space="preserve">for pneumatic devices used </w:t>
      </w:r>
      <w:r w:rsidR="00F31EF1">
        <w:rPr>
          <w:rFonts w:ascii="Times New Roman" w:hAnsi="Times New Roman"/>
          <w:color w:val="000000"/>
          <w:spacing w:val="-3"/>
          <w:w w:val="105"/>
        </w:rPr>
        <w:t>at oil and</w:t>
      </w:r>
      <w:r>
        <w:rPr>
          <w:rFonts w:ascii="Times New Roman" w:hAnsi="Times New Roman"/>
          <w:color w:val="000000"/>
          <w:spacing w:val="-3"/>
          <w:w w:val="105"/>
        </w:rPr>
        <w:t xml:space="preserve"> gas </w:t>
      </w:r>
      <w:r w:rsidR="00F31EF1">
        <w:rPr>
          <w:rFonts w:ascii="Times New Roman" w:hAnsi="Times New Roman"/>
          <w:color w:val="000000"/>
          <w:spacing w:val="-3"/>
          <w:w w:val="105"/>
        </w:rPr>
        <w:t>wells</w:t>
      </w:r>
      <w:r>
        <w:rPr>
          <w:rFonts w:ascii="Times New Roman" w:hAnsi="Times New Roman"/>
          <w:color w:val="000000"/>
          <w:spacing w:val="-3"/>
          <w:w w:val="105"/>
        </w:rPr>
        <w:t>.</w:t>
      </w:r>
    </w:p>
    <w:p w14:paraId="32B31360" w14:textId="77777777" w:rsidR="00BE00D1" w:rsidRPr="00BE00D1" w:rsidRDefault="00BE00D1" w:rsidP="00AC03CC">
      <w:pPr>
        <w:spacing w:before="36"/>
        <w:rPr>
          <w:rFonts w:ascii="Times New Roman" w:hAnsi="Times New Roman"/>
          <w:color w:val="000000"/>
          <w:spacing w:val="-3"/>
          <w:w w:val="105"/>
        </w:rPr>
      </w:pPr>
    </w:p>
    <w:p w14:paraId="1AFB2152" w14:textId="77777777" w:rsidR="00BE00D1" w:rsidRDefault="00BE00D1" w:rsidP="00EA1684">
      <w:pPr>
        <w:pStyle w:val="Tabletitle-GHGPreamble"/>
        <w:ind w:left="1080" w:right="1080"/>
        <w:jc w:val="center"/>
        <w:rPr>
          <w:rFonts w:ascii="Times New Roman" w:hAnsi="Times New Roman" w:cs="Times New Roman"/>
        </w:rPr>
      </w:pPr>
      <w:r w:rsidRPr="00BE00D1">
        <w:rPr>
          <w:rFonts w:ascii="Times New Roman" w:hAnsi="Times New Roman" w:cs="Times New Roman"/>
        </w:rPr>
        <w:t xml:space="preserve">Table </w:t>
      </w:r>
      <w:r w:rsidR="006A7B7C">
        <w:rPr>
          <w:rFonts w:ascii="Times New Roman" w:hAnsi="Times New Roman" w:cs="Times New Roman"/>
        </w:rPr>
        <w:t>3</w:t>
      </w:r>
      <w:r w:rsidR="002605A8">
        <w:rPr>
          <w:rFonts w:ascii="Times New Roman" w:hAnsi="Times New Roman" w:cs="Times New Roman"/>
        </w:rPr>
        <w:t xml:space="preserve">. </w:t>
      </w:r>
      <w:r w:rsidRPr="00BE00D1">
        <w:rPr>
          <w:rFonts w:ascii="Times New Roman" w:hAnsi="Times New Roman" w:cs="Times New Roman"/>
        </w:rPr>
        <w:t xml:space="preserve">Whole Gas </w:t>
      </w:r>
      <w:r w:rsidR="00B845AB">
        <w:rPr>
          <w:rFonts w:ascii="Times New Roman" w:hAnsi="Times New Roman" w:cs="Times New Roman"/>
        </w:rPr>
        <w:t>Bleed Rates</w:t>
      </w:r>
      <w:r w:rsidRPr="00BE00D1">
        <w:rPr>
          <w:rFonts w:ascii="Times New Roman" w:hAnsi="Times New Roman" w:cs="Times New Roman"/>
        </w:rPr>
        <w:t xml:space="preserve"> for </w:t>
      </w:r>
      <w:r w:rsidR="00B845AB">
        <w:rPr>
          <w:rFonts w:ascii="Times New Roman" w:hAnsi="Times New Roman" w:cs="Times New Roman"/>
        </w:rPr>
        <w:t>Pneumatic Devices from Subpart W of the Greenhouse Gas Reporting Rule</w:t>
      </w:r>
    </w:p>
    <w:tbl>
      <w:tblPr>
        <w:tblW w:w="7200" w:type="dxa"/>
        <w:jc w:val="center"/>
        <w:tblLook w:val="04A0" w:firstRow="1" w:lastRow="0" w:firstColumn="1" w:lastColumn="0" w:noHBand="0" w:noVBand="1"/>
      </w:tblPr>
      <w:tblGrid>
        <w:gridCol w:w="4728"/>
        <w:gridCol w:w="2472"/>
      </w:tblGrid>
      <w:tr w:rsidR="00A37940" w:rsidRPr="00A37940" w14:paraId="2B46DFB0" w14:textId="77777777" w:rsidTr="00A37940">
        <w:trPr>
          <w:trHeight w:val="630"/>
          <w:jc w:val="center"/>
        </w:trPr>
        <w:tc>
          <w:tcPr>
            <w:tcW w:w="4728" w:type="dxa"/>
            <w:tcBorders>
              <w:top w:val="single" w:sz="4" w:space="0" w:color="auto"/>
              <w:left w:val="single" w:sz="4" w:space="0" w:color="auto"/>
              <w:bottom w:val="single" w:sz="4" w:space="0" w:color="auto"/>
              <w:right w:val="single" w:sz="4" w:space="0" w:color="auto"/>
            </w:tcBorders>
            <w:shd w:val="clear" w:color="000000" w:fill="BFBFBF"/>
            <w:vAlign w:val="bottom"/>
            <w:hideMark/>
          </w:tcPr>
          <w:p w14:paraId="2F39F94B" w14:textId="77777777" w:rsidR="00A37940" w:rsidRPr="00A37940" w:rsidRDefault="00A37940" w:rsidP="00A37940">
            <w:pPr>
              <w:jc w:val="center"/>
              <w:rPr>
                <w:rFonts w:ascii="Times New Roman" w:hAnsi="Times New Roman"/>
                <w:b/>
                <w:bCs/>
                <w:color w:val="000000"/>
              </w:rPr>
            </w:pPr>
            <w:r w:rsidRPr="00A37940">
              <w:rPr>
                <w:rFonts w:ascii="Times New Roman" w:hAnsi="Times New Roman"/>
                <w:b/>
                <w:bCs/>
                <w:color w:val="000000"/>
              </w:rPr>
              <w:t>Onshore petroleum and natural gas production</w:t>
            </w:r>
          </w:p>
        </w:tc>
        <w:tc>
          <w:tcPr>
            <w:tcW w:w="2472" w:type="dxa"/>
            <w:tcBorders>
              <w:top w:val="single" w:sz="4" w:space="0" w:color="auto"/>
              <w:left w:val="nil"/>
              <w:bottom w:val="single" w:sz="4" w:space="0" w:color="auto"/>
              <w:right w:val="single" w:sz="4" w:space="0" w:color="auto"/>
            </w:tcBorders>
            <w:shd w:val="clear" w:color="000000" w:fill="BFBFBF"/>
            <w:vAlign w:val="bottom"/>
            <w:hideMark/>
          </w:tcPr>
          <w:p w14:paraId="5E1D760E" w14:textId="77777777" w:rsidR="00A37940" w:rsidRPr="00A37940" w:rsidRDefault="001341D3" w:rsidP="00A37940">
            <w:pPr>
              <w:jc w:val="center"/>
              <w:rPr>
                <w:rFonts w:ascii="Times New Roman" w:hAnsi="Times New Roman"/>
                <w:b/>
                <w:bCs/>
                <w:color w:val="000000"/>
              </w:rPr>
            </w:pPr>
            <w:r>
              <w:rPr>
                <w:rFonts w:ascii="Times New Roman" w:hAnsi="Times New Roman"/>
                <w:b/>
                <w:bCs/>
                <w:color w:val="000000"/>
              </w:rPr>
              <w:t>Bleed Rate</w:t>
            </w:r>
            <w:r w:rsidR="00A37940" w:rsidRPr="00A37940">
              <w:rPr>
                <w:rFonts w:ascii="Times New Roman" w:hAnsi="Times New Roman"/>
                <w:b/>
                <w:bCs/>
                <w:color w:val="000000"/>
              </w:rPr>
              <w:t xml:space="preserve"> (scf/hour/component)</w:t>
            </w:r>
          </w:p>
        </w:tc>
      </w:tr>
      <w:tr w:rsidR="00A37940" w:rsidRPr="00A37940" w14:paraId="5AD9302C" w14:textId="77777777" w:rsidTr="00A37940">
        <w:trPr>
          <w:trHeight w:val="315"/>
          <w:jc w:val="center"/>
        </w:trPr>
        <w:tc>
          <w:tcPr>
            <w:tcW w:w="4728" w:type="dxa"/>
            <w:tcBorders>
              <w:top w:val="nil"/>
              <w:left w:val="single" w:sz="4" w:space="0" w:color="auto"/>
              <w:bottom w:val="single" w:sz="4" w:space="0" w:color="auto"/>
              <w:right w:val="single" w:sz="4" w:space="0" w:color="auto"/>
            </w:tcBorders>
            <w:shd w:val="clear" w:color="auto" w:fill="auto"/>
            <w:noWrap/>
            <w:hideMark/>
          </w:tcPr>
          <w:p w14:paraId="59002C4B" w14:textId="77777777" w:rsidR="00A37940" w:rsidRPr="00A37940" w:rsidRDefault="00A37940" w:rsidP="00A37940">
            <w:pPr>
              <w:rPr>
                <w:rFonts w:ascii="Times New Roman" w:hAnsi="Times New Roman"/>
                <w:color w:val="000000"/>
              </w:rPr>
            </w:pPr>
            <w:r w:rsidRPr="00A37940">
              <w:rPr>
                <w:rFonts w:ascii="Times New Roman" w:hAnsi="Times New Roman"/>
                <w:color w:val="000000"/>
              </w:rPr>
              <w:t>Low Bleed Pneumatic Devices</w:t>
            </w:r>
          </w:p>
        </w:tc>
        <w:tc>
          <w:tcPr>
            <w:tcW w:w="2472" w:type="dxa"/>
            <w:tcBorders>
              <w:top w:val="nil"/>
              <w:left w:val="nil"/>
              <w:bottom w:val="single" w:sz="4" w:space="0" w:color="auto"/>
              <w:right w:val="single" w:sz="4" w:space="0" w:color="auto"/>
            </w:tcBorders>
            <w:shd w:val="clear" w:color="auto" w:fill="auto"/>
            <w:vAlign w:val="center"/>
            <w:hideMark/>
          </w:tcPr>
          <w:p w14:paraId="76B00C6A" w14:textId="77777777" w:rsidR="00A37940" w:rsidRPr="00A37940" w:rsidRDefault="00A37940" w:rsidP="00A37940">
            <w:pPr>
              <w:jc w:val="center"/>
              <w:rPr>
                <w:rFonts w:ascii="Times New Roman" w:hAnsi="Times New Roman"/>
                <w:color w:val="000000"/>
              </w:rPr>
            </w:pPr>
            <w:r w:rsidRPr="00A37940">
              <w:rPr>
                <w:rFonts w:ascii="Times New Roman" w:hAnsi="Times New Roman"/>
                <w:color w:val="000000"/>
              </w:rPr>
              <w:t>1.39</w:t>
            </w:r>
          </w:p>
        </w:tc>
      </w:tr>
      <w:tr w:rsidR="00A37940" w:rsidRPr="00A37940" w14:paraId="7BDD47B5" w14:textId="77777777" w:rsidTr="00A37940">
        <w:trPr>
          <w:trHeight w:val="315"/>
          <w:jc w:val="center"/>
        </w:trPr>
        <w:tc>
          <w:tcPr>
            <w:tcW w:w="4728" w:type="dxa"/>
            <w:tcBorders>
              <w:top w:val="nil"/>
              <w:left w:val="single" w:sz="4" w:space="0" w:color="auto"/>
              <w:bottom w:val="single" w:sz="4" w:space="0" w:color="auto"/>
              <w:right w:val="single" w:sz="4" w:space="0" w:color="auto"/>
            </w:tcBorders>
            <w:shd w:val="clear" w:color="auto" w:fill="auto"/>
            <w:noWrap/>
            <w:hideMark/>
          </w:tcPr>
          <w:p w14:paraId="5919F6F4" w14:textId="77777777" w:rsidR="00A37940" w:rsidRPr="00A37940" w:rsidRDefault="00A37940" w:rsidP="00A37940">
            <w:pPr>
              <w:rPr>
                <w:rFonts w:ascii="Times New Roman" w:hAnsi="Times New Roman"/>
                <w:color w:val="000000"/>
              </w:rPr>
            </w:pPr>
            <w:r w:rsidRPr="00A37940">
              <w:rPr>
                <w:rFonts w:ascii="Times New Roman" w:hAnsi="Times New Roman"/>
                <w:color w:val="000000"/>
              </w:rPr>
              <w:t>High Bleed Pneumatic Devices</w:t>
            </w:r>
          </w:p>
        </w:tc>
        <w:tc>
          <w:tcPr>
            <w:tcW w:w="2472" w:type="dxa"/>
            <w:tcBorders>
              <w:top w:val="nil"/>
              <w:left w:val="nil"/>
              <w:bottom w:val="single" w:sz="4" w:space="0" w:color="auto"/>
              <w:right w:val="single" w:sz="4" w:space="0" w:color="auto"/>
            </w:tcBorders>
            <w:shd w:val="clear" w:color="auto" w:fill="auto"/>
            <w:vAlign w:val="center"/>
            <w:hideMark/>
          </w:tcPr>
          <w:p w14:paraId="5423C8DA" w14:textId="77777777" w:rsidR="00A37940" w:rsidRPr="00A37940" w:rsidRDefault="00A37940" w:rsidP="00A37940">
            <w:pPr>
              <w:jc w:val="center"/>
              <w:rPr>
                <w:rFonts w:ascii="Times New Roman" w:hAnsi="Times New Roman"/>
                <w:color w:val="000000"/>
              </w:rPr>
            </w:pPr>
            <w:r w:rsidRPr="00A37940">
              <w:rPr>
                <w:rFonts w:ascii="Times New Roman" w:hAnsi="Times New Roman"/>
                <w:color w:val="000000"/>
              </w:rPr>
              <w:t>37.3</w:t>
            </w:r>
          </w:p>
        </w:tc>
      </w:tr>
      <w:tr w:rsidR="00A37940" w:rsidRPr="00A37940" w14:paraId="2D3E6CC7" w14:textId="77777777" w:rsidTr="00A37940">
        <w:trPr>
          <w:trHeight w:val="315"/>
          <w:jc w:val="center"/>
        </w:trPr>
        <w:tc>
          <w:tcPr>
            <w:tcW w:w="4728" w:type="dxa"/>
            <w:tcBorders>
              <w:top w:val="nil"/>
              <w:left w:val="single" w:sz="4" w:space="0" w:color="auto"/>
              <w:bottom w:val="single" w:sz="4" w:space="0" w:color="auto"/>
              <w:right w:val="single" w:sz="4" w:space="0" w:color="auto"/>
            </w:tcBorders>
            <w:shd w:val="clear" w:color="auto" w:fill="auto"/>
            <w:noWrap/>
            <w:hideMark/>
          </w:tcPr>
          <w:p w14:paraId="7314D5E6" w14:textId="77777777" w:rsidR="00A37940" w:rsidRPr="00A37940" w:rsidRDefault="00A37940" w:rsidP="00A37940">
            <w:pPr>
              <w:rPr>
                <w:rFonts w:ascii="Times New Roman" w:hAnsi="Times New Roman"/>
                <w:color w:val="000000"/>
              </w:rPr>
            </w:pPr>
            <w:r w:rsidRPr="00A37940">
              <w:rPr>
                <w:rFonts w:ascii="Times New Roman" w:hAnsi="Times New Roman"/>
                <w:color w:val="000000"/>
              </w:rPr>
              <w:t>Intermittent Bleed Pneumatic Devices</w:t>
            </w:r>
          </w:p>
        </w:tc>
        <w:tc>
          <w:tcPr>
            <w:tcW w:w="2472" w:type="dxa"/>
            <w:tcBorders>
              <w:top w:val="nil"/>
              <w:left w:val="nil"/>
              <w:bottom w:val="single" w:sz="4" w:space="0" w:color="auto"/>
              <w:right w:val="single" w:sz="4" w:space="0" w:color="auto"/>
            </w:tcBorders>
            <w:shd w:val="clear" w:color="auto" w:fill="auto"/>
            <w:vAlign w:val="center"/>
            <w:hideMark/>
          </w:tcPr>
          <w:p w14:paraId="015ECF2C" w14:textId="77777777" w:rsidR="00A37940" w:rsidRPr="00A37940" w:rsidRDefault="00A37940" w:rsidP="00A37940">
            <w:pPr>
              <w:jc w:val="center"/>
              <w:rPr>
                <w:rFonts w:ascii="Times New Roman" w:hAnsi="Times New Roman"/>
                <w:color w:val="000000"/>
              </w:rPr>
            </w:pPr>
            <w:r w:rsidRPr="00A37940">
              <w:rPr>
                <w:rFonts w:ascii="Times New Roman" w:hAnsi="Times New Roman"/>
                <w:color w:val="000000"/>
              </w:rPr>
              <w:t>13.5</w:t>
            </w:r>
          </w:p>
        </w:tc>
      </w:tr>
    </w:tbl>
    <w:p w14:paraId="4EDFE50F" w14:textId="77777777" w:rsidR="00A37940" w:rsidRPr="00BE00D1" w:rsidRDefault="00A37940" w:rsidP="00A37940">
      <w:pPr>
        <w:pStyle w:val="Tabletitle-GHGPreamble"/>
        <w:jc w:val="center"/>
        <w:rPr>
          <w:rFonts w:ascii="Times New Roman" w:hAnsi="Times New Roman" w:cs="Times New Roman"/>
          <w:color w:val="000000"/>
          <w:spacing w:val="-3"/>
          <w:w w:val="105"/>
        </w:rPr>
      </w:pPr>
    </w:p>
    <w:p w14:paraId="7E6362D3" w14:textId="77777777" w:rsidR="0045657A" w:rsidRDefault="00BE00D1" w:rsidP="00AC03CC">
      <w:pPr>
        <w:spacing w:before="36"/>
        <w:rPr>
          <w:rFonts w:ascii="Times New Roman" w:hAnsi="Times New Roman"/>
          <w:color w:val="000000"/>
          <w:spacing w:val="-3"/>
          <w:w w:val="105"/>
        </w:rPr>
      </w:pPr>
      <w:r w:rsidRPr="00D0424A">
        <w:rPr>
          <w:rFonts w:ascii="Times New Roman" w:hAnsi="Times New Roman"/>
          <w:color w:val="000000"/>
          <w:spacing w:val="-3"/>
          <w:w w:val="105"/>
        </w:rPr>
        <w:t xml:space="preserve">In addition to updated bleed rates, the </w:t>
      </w:r>
      <w:r w:rsidR="0045657A">
        <w:rPr>
          <w:rFonts w:ascii="Times New Roman" w:hAnsi="Times New Roman"/>
          <w:color w:val="000000"/>
          <w:spacing w:val="-3"/>
          <w:w w:val="105"/>
        </w:rPr>
        <w:t>U.S. GHG Inventory</w:t>
      </w:r>
      <w:r w:rsidR="0045657A" w:rsidRPr="00D0424A">
        <w:rPr>
          <w:rFonts w:ascii="Times New Roman" w:hAnsi="Times New Roman"/>
        </w:rPr>
        <w:t xml:space="preserve"> </w:t>
      </w:r>
      <w:r w:rsidR="002605A8" w:rsidRPr="00D0424A">
        <w:rPr>
          <w:rFonts w:ascii="Times New Roman" w:hAnsi="Times New Roman"/>
        </w:rPr>
        <w:t xml:space="preserve">utilizes per-well </w:t>
      </w:r>
      <w:r w:rsidR="00C400FE">
        <w:rPr>
          <w:rFonts w:ascii="Times New Roman" w:hAnsi="Times New Roman"/>
        </w:rPr>
        <w:t xml:space="preserve">pneumatic device </w:t>
      </w:r>
      <w:r w:rsidR="002605A8" w:rsidRPr="00D0424A">
        <w:rPr>
          <w:rFonts w:ascii="Times New Roman" w:hAnsi="Times New Roman"/>
        </w:rPr>
        <w:t xml:space="preserve"> counts </w:t>
      </w:r>
      <w:r w:rsidR="00781E8B" w:rsidRPr="00D0424A">
        <w:rPr>
          <w:rFonts w:ascii="Times New Roman" w:hAnsi="Times New Roman"/>
          <w:color w:val="000000"/>
          <w:spacing w:val="-3"/>
          <w:w w:val="105"/>
        </w:rPr>
        <w:t xml:space="preserve">that may be used in </w:t>
      </w:r>
      <w:r w:rsidR="00781E8B" w:rsidRPr="00FB323A">
        <w:rPr>
          <w:rFonts w:ascii="Times New Roman" w:hAnsi="Times New Roman"/>
          <w:color w:val="000000"/>
          <w:spacing w:val="-3"/>
          <w:w w:val="105"/>
        </w:rPr>
        <w:t xml:space="preserve">the </w:t>
      </w:r>
      <w:r w:rsidR="00FB323A" w:rsidRPr="00FB323A">
        <w:rPr>
          <w:rFonts w:ascii="Times New Roman" w:hAnsi="Times New Roman"/>
          <w:color w:val="000000"/>
          <w:spacing w:val="-3"/>
          <w:w w:val="105"/>
        </w:rPr>
        <w:t>tool</w:t>
      </w:r>
      <w:r w:rsidR="00781E8B" w:rsidRPr="00FB323A">
        <w:rPr>
          <w:rFonts w:ascii="Times New Roman" w:hAnsi="Times New Roman"/>
          <w:color w:val="000000"/>
          <w:spacing w:val="-3"/>
          <w:w w:val="105"/>
        </w:rPr>
        <w:t xml:space="preserve">.  </w:t>
      </w:r>
      <w:r w:rsidR="00D0424A" w:rsidRPr="00FB323A">
        <w:rPr>
          <w:rFonts w:ascii="Times New Roman" w:hAnsi="Times New Roman"/>
          <w:color w:val="000000"/>
          <w:spacing w:val="-3"/>
          <w:w w:val="105"/>
        </w:rPr>
        <w:t>For</w:t>
      </w:r>
      <w:r w:rsidR="00D0424A" w:rsidRPr="00D0424A">
        <w:rPr>
          <w:rFonts w:ascii="Times New Roman" w:hAnsi="Times New Roman"/>
          <w:color w:val="000000"/>
          <w:spacing w:val="-3"/>
          <w:w w:val="105"/>
        </w:rPr>
        <w:t xml:space="preserve"> gas wells, the</w:t>
      </w:r>
      <w:r w:rsidR="00D0424A">
        <w:rPr>
          <w:rFonts w:ascii="Times New Roman" w:hAnsi="Times New Roman"/>
          <w:color w:val="000000"/>
          <w:spacing w:val="-3"/>
          <w:w w:val="105"/>
        </w:rPr>
        <w:t xml:space="preserve"> total</w:t>
      </w:r>
      <w:r w:rsidR="00D0424A" w:rsidRPr="00D0424A">
        <w:rPr>
          <w:rFonts w:ascii="Times New Roman" w:hAnsi="Times New Roman"/>
          <w:color w:val="000000"/>
          <w:spacing w:val="-3"/>
          <w:w w:val="105"/>
        </w:rPr>
        <w:t xml:space="preserve"> device counts in the U.S. GHG Inventory were used to derive default device counts</w:t>
      </w:r>
      <w:r w:rsidR="00D0424A">
        <w:rPr>
          <w:rFonts w:ascii="Times New Roman" w:hAnsi="Times New Roman"/>
          <w:color w:val="000000"/>
          <w:spacing w:val="-3"/>
          <w:w w:val="105"/>
        </w:rPr>
        <w:t xml:space="preserve"> by device type to be used</w:t>
      </w:r>
      <w:r w:rsidR="00D0424A" w:rsidRPr="00D0424A">
        <w:rPr>
          <w:rFonts w:ascii="Times New Roman" w:hAnsi="Times New Roman"/>
          <w:color w:val="000000"/>
          <w:spacing w:val="-3"/>
          <w:w w:val="105"/>
        </w:rPr>
        <w:t xml:space="preserve"> in the </w:t>
      </w:r>
      <w:r w:rsidR="00FB323A" w:rsidRPr="00FB323A">
        <w:rPr>
          <w:rFonts w:ascii="Times New Roman" w:hAnsi="Times New Roman"/>
          <w:color w:val="000000"/>
          <w:spacing w:val="-3"/>
          <w:w w:val="105"/>
        </w:rPr>
        <w:t>tool</w:t>
      </w:r>
      <w:r w:rsidR="00D0424A" w:rsidRPr="00D0424A">
        <w:rPr>
          <w:rFonts w:ascii="Times New Roman" w:hAnsi="Times New Roman"/>
          <w:color w:val="000000"/>
          <w:spacing w:val="-3"/>
          <w:w w:val="105"/>
        </w:rPr>
        <w:t>, based on the total number of devices from the U.S. GHG Inventory and a distribution between low, intermittent, and high bleed devices from the CenSARA inventory</w:t>
      </w:r>
      <w:r w:rsidR="00D0424A">
        <w:rPr>
          <w:rFonts w:ascii="Times New Roman" w:hAnsi="Times New Roman"/>
          <w:color w:val="000000"/>
          <w:spacing w:val="-3"/>
          <w:w w:val="105"/>
        </w:rPr>
        <w:t xml:space="preserve"> and survey effort</w:t>
      </w:r>
      <w:r w:rsidR="0045657A">
        <w:rPr>
          <w:rFonts w:ascii="Times New Roman" w:hAnsi="Times New Roman"/>
          <w:color w:val="000000"/>
          <w:spacing w:val="-3"/>
          <w:w w:val="105"/>
        </w:rPr>
        <w:t>.</w:t>
      </w:r>
    </w:p>
    <w:p w14:paraId="45D3303D" w14:textId="77777777" w:rsidR="0045657A" w:rsidRDefault="0045657A" w:rsidP="00AC03CC">
      <w:pPr>
        <w:spacing w:before="36"/>
        <w:rPr>
          <w:rFonts w:ascii="Times New Roman" w:hAnsi="Times New Roman"/>
          <w:color w:val="000000"/>
          <w:spacing w:val="-3"/>
          <w:w w:val="105"/>
        </w:rPr>
      </w:pPr>
      <w:r>
        <w:rPr>
          <w:rFonts w:ascii="Times New Roman" w:hAnsi="Times New Roman"/>
          <w:color w:val="000000"/>
          <w:spacing w:val="-3"/>
          <w:w w:val="105"/>
        </w:rPr>
        <w:t xml:space="preserve"> </w:t>
      </w:r>
    </w:p>
    <w:p w14:paraId="51EE6A1A" w14:textId="77777777" w:rsidR="0045657A" w:rsidRDefault="002605A8" w:rsidP="0045657A">
      <w:pPr>
        <w:spacing w:before="36"/>
        <w:rPr>
          <w:rFonts w:ascii="Times New Roman" w:hAnsi="Times New Roman"/>
          <w:color w:val="000000"/>
          <w:spacing w:val="-3"/>
          <w:w w:val="105"/>
        </w:rPr>
      </w:pPr>
      <w:r w:rsidRPr="00D0424A">
        <w:rPr>
          <w:rFonts w:ascii="Times New Roman" w:hAnsi="Times New Roman"/>
          <w:color w:val="000000"/>
          <w:spacing w:val="-3"/>
          <w:w w:val="105"/>
        </w:rPr>
        <w:t>The</w:t>
      </w:r>
      <w:r w:rsidR="00F31EF1" w:rsidRPr="00D0424A">
        <w:rPr>
          <w:rFonts w:ascii="Times New Roman" w:hAnsi="Times New Roman"/>
          <w:color w:val="000000"/>
          <w:spacing w:val="-3"/>
          <w:w w:val="105"/>
        </w:rPr>
        <w:t xml:space="preserve"> updated </w:t>
      </w:r>
      <w:r w:rsidR="00365CFF" w:rsidRPr="00D0424A">
        <w:rPr>
          <w:rFonts w:ascii="Times New Roman" w:hAnsi="Times New Roman"/>
          <w:color w:val="000000"/>
          <w:spacing w:val="-3"/>
          <w:w w:val="105"/>
        </w:rPr>
        <w:t xml:space="preserve">default </w:t>
      </w:r>
      <w:r w:rsidR="00F31EF1" w:rsidRPr="00D0424A">
        <w:rPr>
          <w:rFonts w:ascii="Times New Roman" w:hAnsi="Times New Roman"/>
          <w:color w:val="000000"/>
          <w:spacing w:val="-3"/>
          <w:w w:val="105"/>
        </w:rPr>
        <w:t>device</w:t>
      </w:r>
      <w:r w:rsidRPr="00D0424A">
        <w:rPr>
          <w:rFonts w:ascii="Times New Roman" w:hAnsi="Times New Roman"/>
          <w:color w:val="000000"/>
          <w:spacing w:val="-3"/>
          <w:w w:val="105"/>
        </w:rPr>
        <w:t xml:space="preserve"> counts are shown in Table </w:t>
      </w:r>
      <w:r w:rsidR="006A7B7C" w:rsidRPr="00D0424A">
        <w:rPr>
          <w:rFonts w:ascii="Times New Roman" w:hAnsi="Times New Roman"/>
          <w:color w:val="000000"/>
          <w:spacing w:val="-3"/>
          <w:w w:val="105"/>
        </w:rPr>
        <w:t>4</w:t>
      </w:r>
      <w:r w:rsidRPr="00D0424A">
        <w:rPr>
          <w:rFonts w:ascii="Times New Roman" w:hAnsi="Times New Roman"/>
          <w:color w:val="000000"/>
          <w:spacing w:val="-3"/>
          <w:w w:val="105"/>
        </w:rPr>
        <w:t xml:space="preserve"> below for each EIA Supply Region.</w:t>
      </w:r>
      <w:r w:rsidR="0045657A">
        <w:rPr>
          <w:rFonts w:ascii="Times New Roman" w:hAnsi="Times New Roman"/>
          <w:color w:val="000000"/>
          <w:spacing w:val="-3"/>
          <w:w w:val="105"/>
        </w:rPr>
        <w:t xml:space="preserve"> (Note that for oil wells, the total device counts by device type will be updated in future inventories as EPA has identified an error for</w:t>
      </w:r>
      <w:r w:rsidR="00A82F3D">
        <w:rPr>
          <w:rFonts w:ascii="Times New Roman" w:hAnsi="Times New Roman"/>
          <w:color w:val="000000"/>
          <w:spacing w:val="-3"/>
          <w:w w:val="105"/>
        </w:rPr>
        <w:t xml:space="preserve"> the</w:t>
      </w:r>
      <w:r w:rsidR="0045657A">
        <w:rPr>
          <w:rFonts w:ascii="Times New Roman" w:hAnsi="Times New Roman"/>
          <w:color w:val="000000"/>
          <w:spacing w:val="-3"/>
          <w:w w:val="105"/>
        </w:rPr>
        <w:t xml:space="preserve"> oil well</w:t>
      </w:r>
      <w:r w:rsidR="00A82F3D">
        <w:rPr>
          <w:rFonts w:ascii="Times New Roman" w:hAnsi="Times New Roman"/>
          <w:color w:val="000000"/>
          <w:spacing w:val="-3"/>
          <w:w w:val="105"/>
        </w:rPr>
        <w:t xml:space="preserve"> device count</w:t>
      </w:r>
      <w:r w:rsidR="0045657A">
        <w:rPr>
          <w:rFonts w:ascii="Times New Roman" w:hAnsi="Times New Roman"/>
          <w:color w:val="000000"/>
          <w:spacing w:val="-3"/>
          <w:w w:val="105"/>
        </w:rPr>
        <w:t>s shown in Table 4.)</w:t>
      </w:r>
    </w:p>
    <w:p w14:paraId="42694E66" w14:textId="77777777" w:rsidR="0045657A" w:rsidRPr="00D0424A" w:rsidRDefault="0045657A" w:rsidP="00AC03CC">
      <w:pPr>
        <w:spacing w:before="36"/>
        <w:rPr>
          <w:rFonts w:ascii="Times New Roman" w:hAnsi="Times New Roman"/>
          <w:color w:val="000000"/>
          <w:spacing w:val="-3"/>
          <w:w w:val="105"/>
        </w:rPr>
      </w:pPr>
    </w:p>
    <w:p w14:paraId="5CF1688F" w14:textId="77777777" w:rsidR="002605A8" w:rsidRDefault="002605A8" w:rsidP="00EA1684">
      <w:pPr>
        <w:pStyle w:val="Tabletitle-GHGPreamble"/>
        <w:ind w:left="450" w:right="450"/>
        <w:jc w:val="center"/>
        <w:rPr>
          <w:rFonts w:ascii="Times New Roman" w:hAnsi="Times New Roman" w:cs="Times New Roman"/>
        </w:rPr>
      </w:pPr>
      <w:r w:rsidRPr="00BE00D1">
        <w:rPr>
          <w:rFonts w:ascii="Times New Roman" w:hAnsi="Times New Roman" w:cs="Times New Roman"/>
        </w:rPr>
        <w:t xml:space="preserve">Table </w:t>
      </w:r>
      <w:r w:rsidR="006A7B7C">
        <w:rPr>
          <w:rFonts w:ascii="Times New Roman" w:hAnsi="Times New Roman" w:cs="Times New Roman"/>
        </w:rPr>
        <w:t>4</w:t>
      </w:r>
      <w:r>
        <w:rPr>
          <w:rFonts w:ascii="Times New Roman" w:hAnsi="Times New Roman" w:cs="Times New Roman"/>
        </w:rPr>
        <w:t xml:space="preserve">. Pneumatic Device Counts for Oil and Gas Wells from the </w:t>
      </w:r>
      <w:r w:rsidR="0003709C">
        <w:rPr>
          <w:rFonts w:ascii="Times New Roman" w:hAnsi="Times New Roman"/>
          <w:color w:val="000000"/>
          <w:spacing w:val="-3"/>
          <w:w w:val="105"/>
        </w:rPr>
        <w:t>U.S. GHG Inventory</w:t>
      </w:r>
    </w:p>
    <w:tbl>
      <w:tblPr>
        <w:tblW w:w="8546" w:type="dxa"/>
        <w:jc w:val="center"/>
        <w:tblLook w:val="04A0" w:firstRow="1" w:lastRow="0" w:firstColumn="1" w:lastColumn="0" w:noHBand="0" w:noVBand="1"/>
      </w:tblPr>
      <w:tblGrid>
        <w:gridCol w:w="1660"/>
        <w:gridCol w:w="940"/>
        <w:gridCol w:w="1000"/>
        <w:gridCol w:w="1483"/>
        <w:gridCol w:w="980"/>
        <w:gridCol w:w="1000"/>
        <w:gridCol w:w="1483"/>
      </w:tblGrid>
      <w:tr w:rsidR="002605A8" w:rsidRPr="002605A8" w14:paraId="0B44BE38" w14:textId="77777777" w:rsidTr="00C400FE">
        <w:trPr>
          <w:trHeight w:val="315"/>
          <w:tblHeader/>
          <w:jc w:val="center"/>
        </w:trPr>
        <w:tc>
          <w:tcPr>
            <w:tcW w:w="1660" w:type="dxa"/>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3445170F" w14:textId="77777777" w:rsidR="002605A8" w:rsidRPr="002605A8" w:rsidRDefault="006B1C27" w:rsidP="006B1C27">
            <w:pPr>
              <w:jc w:val="center"/>
              <w:rPr>
                <w:rFonts w:ascii="Times New Roman" w:hAnsi="Times New Roman"/>
                <w:b/>
                <w:bCs/>
                <w:color w:val="000000"/>
              </w:rPr>
            </w:pPr>
            <w:r>
              <w:rPr>
                <w:rFonts w:ascii="Times New Roman" w:hAnsi="Times New Roman"/>
                <w:b/>
                <w:bCs/>
                <w:color w:val="000000"/>
              </w:rPr>
              <w:t xml:space="preserve">EIA Supply </w:t>
            </w:r>
            <w:r w:rsidR="002605A8" w:rsidRPr="002605A8">
              <w:rPr>
                <w:rFonts w:ascii="Times New Roman" w:hAnsi="Times New Roman"/>
                <w:b/>
                <w:bCs/>
                <w:color w:val="000000"/>
              </w:rPr>
              <w:t>Region</w:t>
            </w:r>
          </w:p>
        </w:tc>
        <w:tc>
          <w:tcPr>
            <w:tcW w:w="3423" w:type="dxa"/>
            <w:gridSpan w:val="3"/>
            <w:tcBorders>
              <w:top w:val="single" w:sz="4" w:space="0" w:color="auto"/>
              <w:left w:val="nil"/>
              <w:bottom w:val="single" w:sz="4" w:space="0" w:color="auto"/>
              <w:right w:val="single" w:sz="4" w:space="0" w:color="auto"/>
            </w:tcBorders>
            <w:shd w:val="clear" w:color="000000" w:fill="BFBFBF"/>
            <w:noWrap/>
            <w:vAlign w:val="bottom"/>
            <w:hideMark/>
          </w:tcPr>
          <w:p w14:paraId="59925D82" w14:textId="77777777" w:rsidR="002605A8" w:rsidRPr="002605A8" w:rsidRDefault="002605A8" w:rsidP="006B1C27">
            <w:pPr>
              <w:jc w:val="center"/>
              <w:rPr>
                <w:rFonts w:ascii="Times New Roman" w:hAnsi="Times New Roman"/>
                <w:b/>
                <w:bCs/>
                <w:color w:val="000000"/>
              </w:rPr>
            </w:pPr>
            <w:r w:rsidRPr="002605A8">
              <w:rPr>
                <w:rFonts w:ascii="Times New Roman" w:hAnsi="Times New Roman"/>
                <w:b/>
                <w:bCs/>
                <w:color w:val="000000"/>
              </w:rPr>
              <w:t>Oil Well Device Counts</w:t>
            </w:r>
          </w:p>
        </w:tc>
        <w:tc>
          <w:tcPr>
            <w:tcW w:w="3463" w:type="dxa"/>
            <w:gridSpan w:val="3"/>
            <w:tcBorders>
              <w:top w:val="single" w:sz="4" w:space="0" w:color="auto"/>
              <w:left w:val="nil"/>
              <w:bottom w:val="single" w:sz="4" w:space="0" w:color="auto"/>
              <w:right w:val="single" w:sz="4" w:space="0" w:color="auto"/>
            </w:tcBorders>
            <w:shd w:val="clear" w:color="000000" w:fill="BFBFBF"/>
            <w:noWrap/>
            <w:vAlign w:val="bottom"/>
            <w:hideMark/>
          </w:tcPr>
          <w:p w14:paraId="5F1A33DE" w14:textId="77777777" w:rsidR="002605A8" w:rsidRPr="002605A8" w:rsidRDefault="002605A8" w:rsidP="006B1C27">
            <w:pPr>
              <w:jc w:val="center"/>
              <w:rPr>
                <w:rFonts w:ascii="Times New Roman" w:hAnsi="Times New Roman"/>
                <w:b/>
                <w:bCs/>
                <w:color w:val="000000"/>
              </w:rPr>
            </w:pPr>
            <w:r w:rsidRPr="002605A8">
              <w:rPr>
                <w:rFonts w:ascii="Times New Roman" w:hAnsi="Times New Roman"/>
                <w:b/>
                <w:bCs/>
                <w:color w:val="000000"/>
              </w:rPr>
              <w:t>Gas Well Device Counts</w:t>
            </w:r>
          </w:p>
        </w:tc>
      </w:tr>
      <w:tr w:rsidR="002605A8" w:rsidRPr="002605A8" w14:paraId="104F3810" w14:textId="77777777" w:rsidTr="00C400FE">
        <w:trPr>
          <w:trHeight w:val="630"/>
          <w:tblHeader/>
          <w:jc w:val="center"/>
        </w:trPr>
        <w:tc>
          <w:tcPr>
            <w:tcW w:w="1660" w:type="dxa"/>
            <w:vMerge/>
            <w:tcBorders>
              <w:top w:val="single" w:sz="4" w:space="0" w:color="auto"/>
              <w:left w:val="single" w:sz="4" w:space="0" w:color="auto"/>
              <w:bottom w:val="single" w:sz="4" w:space="0" w:color="000000"/>
              <w:right w:val="single" w:sz="4" w:space="0" w:color="auto"/>
            </w:tcBorders>
            <w:vAlign w:val="center"/>
            <w:hideMark/>
          </w:tcPr>
          <w:p w14:paraId="67421367" w14:textId="77777777" w:rsidR="002605A8" w:rsidRPr="002605A8" w:rsidRDefault="002605A8" w:rsidP="006B1C27">
            <w:pPr>
              <w:jc w:val="center"/>
              <w:rPr>
                <w:rFonts w:ascii="Times New Roman" w:hAnsi="Times New Roman"/>
                <w:b/>
                <w:bCs/>
                <w:color w:val="000000"/>
              </w:rPr>
            </w:pPr>
          </w:p>
        </w:tc>
        <w:tc>
          <w:tcPr>
            <w:tcW w:w="940" w:type="dxa"/>
            <w:tcBorders>
              <w:top w:val="nil"/>
              <w:left w:val="nil"/>
              <w:bottom w:val="single" w:sz="4" w:space="0" w:color="auto"/>
              <w:right w:val="single" w:sz="4" w:space="0" w:color="auto"/>
            </w:tcBorders>
            <w:shd w:val="clear" w:color="000000" w:fill="BFBFBF"/>
            <w:vAlign w:val="center"/>
            <w:hideMark/>
          </w:tcPr>
          <w:p w14:paraId="6CEF44EF" w14:textId="77777777" w:rsidR="002605A8" w:rsidRPr="002605A8" w:rsidRDefault="002605A8" w:rsidP="006B1C27">
            <w:pPr>
              <w:jc w:val="center"/>
              <w:rPr>
                <w:rFonts w:ascii="Times New Roman" w:hAnsi="Times New Roman"/>
                <w:b/>
                <w:bCs/>
                <w:color w:val="000000"/>
              </w:rPr>
            </w:pPr>
            <w:r w:rsidRPr="002605A8">
              <w:rPr>
                <w:rFonts w:ascii="Times New Roman" w:hAnsi="Times New Roman"/>
                <w:b/>
                <w:bCs/>
                <w:color w:val="000000"/>
              </w:rPr>
              <w:t>Low Bleed</w:t>
            </w:r>
          </w:p>
        </w:tc>
        <w:tc>
          <w:tcPr>
            <w:tcW w:w="1000" w:type="dxa"/>
            <w:tcBorders>
              <w:top w:val="nil"/>
              <w:left w:val="nil"/>
              <w:bottom w:val="single" w:sz="4" w:space="0" w:color="auto"/>
              <w:right w:val="single" w:sz="4" w:space="0" w:color="auto"/>
            </w:tcBorders>
            <w:shd w:val="clear" w:color="000000" w:fill="BFBFBF"/>
            <w:vAlign w:val="center"/>
            <w:hideMark/>
          </w:tcPr>
          <w:p w14:paraId="323481F5" w14:textId="77777777" w:rsidR="002605A8" w:rsidRPr="002605A8" w:rsidRDefault="002605A8" w:rsidP="006B1C27">
            <w:pPr>
              <w:jc w:val="center"/>
              <w:rPr>
                <w:rFonts w:ascii="Times New Roman" w:hAnsi="Times New Roman"/>
                <w:b/>
                <w:bCs/>
                <w:color w:val="000000"/>
              </w:rPr>
            </w:pPr>
            <w:r w:rsidRPr="002605A8">
              <w:rPr>
                <w:rFonts w:ascii="Times New Roman" w:hAnsi="Times New Roman"/>
                <w:b/>
                <w:bCs/>
                <w:color w:val="000000"/>
              </w:rPr>
              <w:t>High Bleed</w:t>
            </w:r>
          </w:p>
        </w:tc>
        <w:tc>
          <w:tcPr>
            <w:tcW w:w="1483" w:type="dxa"/>
            <w:tcBorders>
              <w:top w:val="nil"/>
              <w:left w:val="nil"/>
              <w:bottom w:val="single" w:sz="4" w:space="0" w:color="auto"/>
              <w:right w:val="single" w:sz="4" w:space="0" w:color="auto"/>
            </w:tcBorders>
            <w:shd w:val="clear" w:color="000000" w:fill="BFBFBF"/>
            <w:vAlign w:val="center"/>
            <w:hideMark/>
          </w:tcPr>
          <w:p w14:paraId="236A54AB" w14:textId="77777777" w:rsidR="002605A8" w:rsidRPr="002605A8" w:rsidRDefault="002605A8" w:rsidP="006B1C27">
            <w:pPr>
              <w:jc w:val="center"/>
              <w:rPr>
                <w:rFonts w:ascii="Times New Roman" w:hAnsi="Times New Roman"/>
                <w:b/>
                <w:bCs/>
                <w:color w:val="000000"/>
              </w:rPr>
            </w:pPr>
            <w:r w:rsidRPr="002605A8">
              <w:rPr>
                <w:rFonts w:ascii="Times New Roman" w:hAnsi="Times New Roman"/>
                <w:b/>
                <w:bCs/>
                <w:color w:val="000000"/>
              </w:rPr>
              <w:t>Intermittent</w:t>
            </w:r>
            <w:r w:rsidR="00EA1684">
              <w:rPr>
                <w:rFonts w:ascii="Times New Roman" w:hAnsi="Times New Roman"/>
                <w:b/>
                <w:bCs/>
                <w:color w:val="000000"/>
              </w:rPr>
              <w:t xml:space="preserve"> Bleed</w:t>
            </w:r>
          </w:p>
        </w:tc>
        <w:tc>
          <w:tcPr>
            <w:tcW w:w="980" w:type="dxa"/>
            <w:tcBorders>
              <w:top w:val="nil"/>
              <w:left w:val="nil"/>
              <w:bottom w:val="single" w:sz="4" w:space="0" w:color="auto"/>
              <w:right w:val="single" w:sz="4" w:space="0" w:color="auto"/>
            </w:tcBorders>
            <w:shd w:val="clear" w:color="000000" w:fill="BFBFBF"/>
            <w:vAlign w:val="center"/>
            <w:hideMark/>
          </w:tcPr>
          <w:p w14:paraId="413EF498" w14:textId="77777777" w:rsidR="002605A8" w:rsidRPr="002605A8" w:rsidRDefault="002605A8" w:rsidP="006B1C27">
            <w:pPr>
              <w:jc w:val="center"/>
              <w:rPr>
                <w:rFonts w:ascii="Times New Roman" w:hAnsi="Times New Roman"/>
                <w:b/>
                <w:bCs/>
                <w:color w:val="000000"/>
              </w:rPr>
            </w:pPr>
            <w:r w:rsidRPr="002605A8">
              <w:rPr>
                <w:rFonts w:ascii="Times New Roman" w:hAnsi="Times New Roman"/>
                <w:b/>
                <w:bCs/>
                <w:color w:val="000000"/>
              </w:rPr>
              <w:t>Low Bleed</w:t>
            </w:r>
          </w:p>
        </w:tc>
        <w:tc>
          <w:tcPr>
            <w:tcW w:w="1000" w:type="dxa"/>
            <w:tcBorders>
              <w:top w:val="nil"/>
              <w:left w:val="nil"/>
              <w:bottom w:val="single" w:sz="4" w:space="0" w:color="auto"/>
              <w:right w:val="single" w:sz="4" w:space="0" w:color="auto"/>
            </w:tcBorders>
            <w:shd w:val="clear" w:color="000000" w:fill="BFBFBF"/>
            <w:vAlign w:val="center"/>
            <w:hideMark/>
          </w:tcPr>
          <w:p w14:paraId="273A4835" w14:textId="77777777" w:rsidR="002605A8" w:rsidRPr="002605A8" w:rsidRDefault="002605A8" w:rsidP="006B1C27">
            <w:pPr>
              <w:jc w:val="center"/>
              <w:rPr>
                <w:rFonts w:ascii="Times New Roman" w:hAnsi="Times New Roman"/>
                <w:b/>
                <w:bCs/>
                <w:color w:val="000000"/>
              </w:rPr>
            </w:pPr>
            <w:r w:rsidRPr="002605A8">
              <w:rPr>
                <w:rFonts w:ascii="Times New Roman" w:hAnsi="Times New Roman"/>
                <w:b/>
                <w:bCs/>
                <w:color w:val="000000"/>
              </w:rPr>
              <w:t>High Bleed</w:t>
            </w:r>
          </w:p>
        </w:tc>
        <w:tc>
          <w:tcPr>
            <w:tcW w:w="1483" w:type="dxa"/>
            <w:tcBorders>
              <w:top w:val="nil"/>
              <w:left w:val="nil"/>
              <w:bottom w:val="single" w:sz="4" w:space="0" w:color="auto"/>
              <w:right w:val="single" w:sz="4" w:space="0" w:color="auto"/>
            </w:tcBorders>
            <w:shd w:val="clear" w:color="000000" w:fill="BFBFBF"/>
            <w:vAlign w:val="center"/>
            <w:hideMark/>
          </w:tcPr>
          <w:p w14:paraId="01F0DCB2" w14:textId="77777777" w:rsidR="002605A8" w:rsidRPr="002605A8" w:rsidRDefault="00EA1684" w:rsidP="006B1C27">
            <w:pPr>
              <w:jc w:val="center"/>
              <w:rPr>
                <w:rFonts w:ascii="Times New Roman" w:hAnsi="Times New Roman"/>
                <w:b/>
                <w:bCs/>
                <w:color w:val="000000"/>
              </w:rPr>
            </w:pPr>
            <w:r w:rsidRPr="002605A8">
              <w:rPr>
                <w:rFonts w:ascii="Times New Roman" w:hAnsi="Times New Roman"/>
                <w:b/>
                <w:bCs/>
                <w:color w:val="000000"/>
              </w:rPr>
              <w:t>Intermittent</w:t>
            </w:r>
            <w:r>
              <w:rPr>
                <w:rFonts w:ascii="Times New Roman" w:hAnsi="Times New Roman"/>
                <w:b/>
                <w:bCs/>
                <w:color w:val="000000"/>
              </w:rPr>
              <w:t xml:space="preserve"> Bleed</w:t>
            </w:r>
          </w:p>
        </w:tc>
      </w:tr>
      <w:tr w:rsidR="002605A8" w:rsidRPr="002605A8" w14:paraId="054DE4AB" w14:textId="77777777" w:rsidTr="00411C00">
        <w:trPr>
          <w:trHeight w:val="315"/>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4A267569" w14:textId="77777777" w:rsidR="002605A8" w:rsidRPr="002605A8" w:rsidRDefault="002605A8" w:rsidP="00A37940">
            <w:pPr>
              <w:rPr>
                <w:rFonts w:ascii="Times New Roman" w:hAnsi="Times New Roman"/>
                <w:color w:val="000000"/>
              </w:rPr>
            </w:pPr>
            <w:r w:rsidRPr="002605A8">
              <w:rPr>
                <w:rFonts w:ascii="Times New Roman" w:hAnsi="Times New Roman"/>
                <w:color w:val="000000"/>
              </w:rPr>
              <w:t>North East</w:t>
            </w:r>
          </w:p>
        </w:tc>
        <w:tc>
          <w:tcPr>
            <w:tcW w:w="940" w:type="dxa"/>
            <w:tcBorders>
              <w:top w:val="nil"/>
              <w:left w:val="nil"/>
              <w:bottom w:val="single" w:sz="4" w:space="0" w:color="auto"/>
              <w:right w:val="single" w:sz="4" w:space="0" w:color="auto"/>
            </w:tcBorders>
            <w:shd w:val="clear" w:color="auto" w:fill="auto"/>
            <w:noWrap/>
            <w:vAlign w:val="center"/>
            <w:hideMark/>
          </w:tcPr>
          <w:p w14:paraId="40732572" w14:textId="77777777" w:rsidR="002605A8" w:rsidRPr="002605A8" w:rsidRDefault="002605A8" w:rsidP="006B1C27">
            <w:pPr>
              <w:jc w:val="center"/>
              <w:rPr>
                <w:rFonts w:ascii="Times New Roman" w:hAnsi="Times New Roman"/>
                <w:color w:val="000000"/>
              </w:rPr>
            </w:pPr>
            <w:r w:rsidRPr="002605A8">
              <w:rPr>
                <w:rFonts w:ascii="Times New Roman" w:hAnsi="Times New Roman"/>
                <w:color w:val="000000"/>
              </w:rPr>
              <w:t>0.762</w:t>
            </w:r>
          </w:p>
        </w:tc>
        <w:tc>
          <w:tcPr>
            <w:tcW w:w="1000" w:type="dxa"/>
            <w:tcBorders>
              <w:top w:val="nil"/>
              <w:left w:val="nil"/>
              <w:bottom w:val="single" w:sz="4" w:space="0" w:color="auto"/>
              <w:right w:val="single" w:sz="4" w:space="0" w:color="auto"/>
            </w:tcBorders>
            <w:shd w:val="clear" w:color="auto" w:fill="auto"/>
            <w:noWrap/>
            <w:vAlign w:val="center"/>
            <w:hideMark/>
          </w:tcPr>
          <w:p w14:paraId="1C705A43" w14:textId="77777777" w:rsidR="002605A8" w:rsidRPr="002605A8" w:rsidRDefault="002605A8" w:rsidP="006B1C27">
            <w:pPr>
              <w:jc w:val="center"/>
              <w:rPr>
                <w:rFonts w:ascii="Times New Roman" w:hAnsi="Times New Roman"/>
                <w:color w:val="000000"/>
              </w:rPr>
            </w:pPr>
            <w:r w:rsidRPr="002605A8">
              <w:rPr>
                <w:rFonts w:ascii="Times New Roman" w:hAnsi="Times New Roman"/>
                <w:color w:val="000000"/>
              </w:rPr>
              <w:t>0.762</w:t>
            </w:r>
          </w:p>
        </w:tc>
        <w:tc>
          <w:tcPr>
            <w:tcW w:w="1483" w:type="dxa"/>
            <w:tcBorders>
              <w:top w:val="nil"/>
              <w:left w:val="nil"/>
              <w:bottom w:val="single" w:sz="4" w:space="0" w:color="auto"/>
              <w:right w:val="single" w:sz="4" w:space="0" w:color="auto"/>
            </w:tcBorders>
            <w:shd w:val="clear" w:color="auto" w:fill="auto"/>
            <w:noWrap/>
            <w:vAlign w:val="center"/>
            <w:hideMark/>
          </w:tcPr>
          <w:p w14:paraId="1D4379A2" w14:textId="77777777" w:rsidR="002605A8" w:rsidRPr="002605A8" w:rsidRDefault="002605A8" w:rsidP="006B1C27">
            <w:pPr>
              <w:jc w:val="center"/>
              <w:rPr>
                <w:rFonts w:ascii="Times New Roman" w:hAnsi="Times New Roman"/>
                <w:color w:val="000000"/>
              </w:rPr>
            </w:pPr>
            <w:r w:rsidRPr="002605A8">
              <w:rPr>
                <w:rFonts w:ascii="Times New Roman" w:hAnsi="Times New Roman"/>
                <w:color w:val="000000"/>
              </w:rPr>
              <w:t>0</w:t>
            </w:r>
          </w:p>
        </w:tc>
        <w:tc>
          <w:tcPr>
            <w:tcW w:w="980" w:type="dxa"/>
            <w:tcBorders>
              <w:top w:val="nil"/>
              <w:left w:val="nil"/>
              <w:bottom w:val="single" w:sz="4" w:space="0" w:color="auto"/>
              <w:right w:val="single" w:sz="4" w:space="0" w:color="auto"/>
            </w:tcBorders>
            <w:shd w:val="clear" w:color="auto" w:fill="auto"/>
            <w:noWrap/>
            <w:vAlign w:val="center"/>
            <w:hideMark/>
          </w:tcPr>
          <w:p w14:paraId="409E05A8" w14:textId="77777777" w:rsidR="002605A8" w:rsidRPr="002605A8" w:rsidRDefault="002605A8" w:rsidP="006B1C27">
            <w:pPr>
              <w:jc w:val="center"/>
              <w:rPr>
                <w:rFonts w:ascii="Times New Roman" w:hAnsi="Times New Roman"/>
                <w:color w:val="000000"/>
              </w:rPr>
            </w:pPr>
            <w:r w:rsidRPr="002605A8">
              <w:rPr>
                <w:rFonts w:ascii="Times New Roman" w:hAnsi="Times New Roman"/>
                <w:color w:val="000000"/>
              </w:rPr>
              <w:t>0.144</w:t>
            </w:r>
          </w:p>
        </w:tc>
        <w:tc>
          <w:tcPr>
            <w:tcW w:w="1000" w:type="dxa"/>
            <w:tcBorders>
              <w:top w:val="nil"/>
              <w:left w:val="nil"/>
              <w:bottom w:val="single" w:sz="4" w:space="0" w:color="auto"/>
              <w:right w:val="single" w:sz="4" w:space="0" w:color="auto"/>
            </w:tcBorders>
            <w:shd w:val="clear" w:color="auto" w:fill="auto"/>
            <w:noWrap/>
            <w:vAlign w:val="center"/>
            <w:hideMark/>
          </w:tcPr>
          <w:p w14:paraId="094BD4A7" w14:textId="77777777" w:rsidR="002605A8" w:rsidRPr="002605A8" w:rsidRDefault="002605A8" w:rsidP="006B1C27">
            <w:pPr>
              <w:jc w:val="center"/>
              <w:rPr>
                <w:rFonts w:ascii="Times New Roman" w:hAnsi="Times New Roman"/>
                <w:color w:val="000000"/>
              </w:rPr>
            </w:pPr>
            <w:r w:rsidRPr="002605A8">
              <w:rPr>
                <w:rFonts w:ascii="Times New Roman" w:hAnsi="Times New Roman"/>
                <w:color w:val="000000"/>
              </w:rPr>
              <w:t>0.222</w:t>
            </w:r>
          </w:p>
        </w:tc>
        <w:tc>
          <w:tcPr>
            <w:tcW w:w="1483" w:type="dxa"/>
            <w:tcBorders>
              <w:top w:val="nil"/>
              <w:left w:val="nil"/>
              <w:bottom w:val="single" w:sz="4" w:space="0" w:color="auto"/>
              <w:right w:val="single" w:sz="4" w:space="0" w:color="auto"/>
            </w:tcBorders>
            <w:shd w:val="clear" w:color="auto" w:fill="auto"/>
            <w:noWrap/>
            <w:vAlign w:val="center"/>
            <w:hideMark/>
          </w:tcPr>
          <w:p w14:paraId="3D29BD3F" w14:textId="77777777" w:rsidR="002605A8" w:rsidRPr="002605A8" w:rsidRDefault="002605A8" w:rsidP="006B1C27">
            <w:pPr>
              <w:jc w:val="center"/>
              <w:rPr>
                <w:rFonts w:ascii="Times New Roman" w:hAnsi="Times New Roman"/>
                <w:color w:val="000000"/>
              </w:rPr>
            </w:pPr>
            <w:r w:rsidRPr="002605A8">
              <w:rPr>
                <w:rFonts w:ascii="Times New Roman" w:hAnsi="Times New Roman"/>
                <w:color w:val="000000"/>
              </w:rPr>
              <w:t>0.120</w:t>
            </w:r>
          </w:p>
        </w:tc>
      </w:tr>
      <w:tr w:rsidR="002605A8" w:rsidRPr="002605A8" w14:paraId="31106668" w14:textId="77777777" w:rsidTr="00411C00">
        <w:trPr>
          <w:trHeight w:val="315"/>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184A323D" w14:textId="77777777" w:rsidR="002605A8" w:rsidRPr="002605A8" w:rsidRDefault="002605A8" w:rsidP="00A37940">
            <w:pPr>
              <w:rPr>
                <w:rFonts w:ascii="Times New Roman" w:hAnsi="Times New Roman"/>
                <w:color w:val="000000"/>
              </w:rPr>
            </w:pPr>
            <w:r w:rsidRPr="002605A8">
              <w:rPr>
                <w:rFonts w:ascii="Times New Roman" w:hAnsi="Times New Roman"/>
                <w:color w:val="000000"/>
              </w:rPr>
              <w:t>Midcontinent</w:t>
            </w:r>
          </w:p>
        </w:tc>
        <w:tc>
          <w:tcPr>
            <w:tcW w:w="940" w:type="dxa"/>
            <w:tcBorders>
              <w:top w:val="nil"/>
              <w:left w:val="nil"/>
              <w:bottom w:val="single" w:sz="4" w:space="0" w:color="auto"/>
              <w:right w:val="single" w:sz="4" w:space="0" w:color="auto"/>
            </w:tcBorders>
            <w:shd w:val="clear" w:color="auto" w:fill="auto"/>
            <w:noWrap/>
            <w:vAlign w:val="center"/>
            <w:hideMark/>
          </w:tcPr>
          <w:p w14:paraId="717617E3" w14:textId="77777777" w:rsidR="002605A8" w:rsidRPr="002605A8" w:rsidRDefault="002605A8" w:rsidP="006B1C27">
            <w:pPr>
              <w:jc w:val="center"/>
              <w:rPr>
                <w:rFonts w:ascii="Times New Roman" w:hAnsi="Times New Roman"/>
                <w:color w:val="000000"/>
              </w:rPr>
            </w:pPr>
            <w:r w:rsidRPr="002605A8">
              <w:rPr>
                <w:rFonts w:ascii="Times New Roman" w:hAnsi="Times New Roman"/>
                <w:color w:val="000000"/>
              </w:rPr>
              <w:t>0.762</w:t>
            </w:r>
          </w:p>
        </w:tc>
        <w:tc>
          <w:tcPr>
            <w:tcW w:w="1000" w:type="dxa"/>
            <w:tcBorders>
              <w:top w:val="nil"/>
              <w:left w:val="nil"/>
              <w:bottom w:val="single" w:sz="4" w:space="0" w:color="auto"/>
              <w:right w:val="single" w:sz="4" w:space="0" w:color="auto"/>
            </w:tcBorders>
            <w:shd w:val="clear" w:color="auto" w:fill="auto"/>
            <w:noWrap/>
            <w:vAlign w:val="center"/>
            <w:hideMark/>
          </w:tcPr>
          <w:p w14:paraId="5A7F557A" w14:textId="77777777" w:rsidR="002605A8" w:rsidRPr="002605A8" w:rsidRDefault="002605A8" w:rsidP="006B1C27">
            <w:pPr>
              <w:jc w:val="center"/>
              <w:rPr>
                <w:rFonts w:ascii="Times New Roman" w:hAnsi="Times New Roman"/>
                <w:color w:val="000000"/>
              </w:rPr>
            </w:pPr>
            <w:r w:rsidRPr="002605A8">
              <w:rPr>
                <w:rFonts w:ascii="Times New Roman" w:hAnsi="Times New Roman"/>
                <w:color w:val="000000"/>
              </w:rPr>
              <w:t>0.762</w:t>
            </w:r>
          </w:p>
        </w:tc>
        <w:tc>
          <w:tcPr>
            <w:tcW w:w="1483" w:type="dxa"/>
            <w:tcBorders>
              <w:top w:val="nil"/>
              <w:left w:val="nil"/>
              <w:bottom w:val="single" w:sz="4" w:space="0" w:color="auto"/>
              <w:right w:val="single" w:sz="4" w:space="0" w:color="auto"/>
            </w:tcBorders>
            <w:shd w:val="clear" w:color="auto" w:fill="auto"/>
            <w:noWrap/>
            <w:vAlign w:val="center"/>
            <w:hideMark/>
          </w:tcPr>
          <w:p w14:paraId="61FF0674" w14:textId="77777777" w:rsidR="002605A8" w:rsidRPr="002605A8" w:rsidRDefault="002605A8" w:rsidP="006B1C27">
            <w:pPr>
              <w:jc w:val="center"/>
              <w:rPr>
                <w:rFonts w:ascii="Times New Roman" w:hAnsi="Times New Roman"/>
                <w:color w:val="000000"/>
              </w:rPr>
            </w:pPr>
            <w:r w:rsidRPr="002605A8">
              <w:rPr>
                <w:rFonts w:ascii="Times New Roman" w:hAnsi="Times New Roman"/>
                <w:color w:val="000000"/>
              </w:rPr>
              <w:t>0</w:t>
            </w:r>
          </w:p>
        </w:tc>
        <w:tc>
          <w:tcPr>
            <w:tcW w:w="980" w:type="dxa"/>
            <w:tcBorders>
              <w:top w:val="nil"/>
              <w:left w:val="nil"/>
              <w:bottom w:val="single" w:sz="4" w:space="0" w:color="auto"/>
              <w:right w:val="single" w:sz="4" w:space="0" w:color="auto"/>
            </w:tcBorders>
            <w:shd w:val="clear" w:color="auto" w:fill="auto"/>
            <w:noWrap/>
            <w:vAlign w:val="center"/>
            <w:hideMark/>
          </w:tcPr>
          <w:p w14:paraId="0FA787E1" w14:textId="77777777" w:rsidR="002605A8" w:rsidRPr="002605A8" w:rsidRDefault="002605A8" w:rsidP="006B1C27">
            <w:pPr>
              <w:jc w:val="center"/>
              <w:rPr>
                <w:rFonts w:ascii="Times New Roman" w:hAnsi="Times New Roman"/>
                <w:color w:val="000000"/>
              </w:rPr>
            </w:pPr>
            <w:r w:rsidRPr="002605A8">
              <w:rPr>
                <w:rFonts w:ascii="Times New Roman" w:hAnsi="Times New Roman"/>
                <w:color w:val="000000"/>
              </w:rPr>
              <w:t>0.460</w:t>
            </w:r>
          </w:p>
        </w:tc>
        <w:tc>
          <w:tcPr>
            <w:tcW w:w="1000" w:type="dxa"/>
            <w:tcBorders>
              <w:top w:val="nil"/>
              <w:left w:val="nil"/>
              <w:bottom w:val="single" w:sz="4" w:space="0" w:color="auto"/>
              <w:right w:val="single" w:sz="4" w:space="0" w:color="auto"/>
            </w:tcBorders>
            <w:shd w:val="clear" w:color="auto" w:fill="auto"/>
            <w:noWrap/>
            <w:vAlign w:val="center"/>
            <w:hideMark/>
          </w:tcPr>
          <w:p w14:paraId="29148042" w14:textId="77777777" w:rsidR="002605A8" w:rsidRPr="002605A8" w:rsidRDefault="002605A8" w:rsidP="006B1C27">
            <w:pPr>
              <w:jc w:val="center"/>
              <w:rPr>
                <w:rFonts w:ascii="Times New Roman" w:hAnsi="Times New Roman"/>
                <w:color w:val="000000"/>
              </w:rPr>
            </w:pPr>
            <w:r w:rsidRPr="002605A8">
              <w:rPr>
                <w:rFonts w:ascii="Times New Roman" w:hAnsi="Times New Roman"/>
                <w:color w:val="000000"/>
              </w:rPr>
              <w:t>0.709</w:t>
            </w:r>
          </w:p>
        </w:tc>
        <w:tc>
          <w:tcPr>
            <w:tcW w:w="1483" w:type="dxa"/>
            <w:tcBorders>
              <w:top w:val="nil"/>
              <w:left w:val="nil"/>
              <w:bottom w:val="single" w:sz="4" w:space="0" w:color="auto"/>
              <w:right w:val="single" w:sz="4" w:space="0" w:color="auto"/>
            </w:tcBorders>
            <w:shd w:val="clear" w:color="auto" w:fill="auto"/>
            <w:noWrap/>
            <w:vAlign w:val="center"/>
            <w:hideMark/>
          </w:tcPr>
          <w:p w14:paraId="12891C53" w14:textId="77777777" w:rsidR="002605A8" w:rsidRPr="002605A8" w:rsidRDefault="002605A8" w:rsidP="006B1C27">
            <w:pPr>
              <w:jc w:val="center"/>
              <w:rPr>
                <w:rFonts w:ascii="Times New Roman" w:hAnsi="Times New Roman"/>
                <w:color w:val="000000"/>
              </w:rPr>
            </w:pPr>
            <w:r w:rsidRPr="002605A8">
              <w:rPr>
                <w:rFonts w:ascii="Times New Roman" w:hAnsi="Times New Roman"/>
                <w:color w:val="000000"/>
              </w:rPr>
              <w:t>0.382</w:t>
            </w:r>
          </w:p>
        </w:tc>
      </w:tr>
      <w:tr w:rsidR="002605A8" w:rsidRPr="002605A8" w14:paraId="05536701" w14:textId="77777777" w:rsidTr="00411C00">
        <w:trPr>
          <w:trHeight w:val="315"/>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5D357DD8" w14:textId="77777777" w:rsidR="002605A8" w:rsidRPr="002605A8" w:rsidRDefault="002605A8" w:rsidP="00A37940">
            <w:pPr>
              <w:rPr>
                <w:rFonts w:ascii="Times New Roman" w:hAnsi="Times New Roman"/>
                <w:color w:val="000000"/>
              </w:rPr>
            </w:pPr>
            <w:r w:rsidRPr="002605A8">
              <w:rPr>
                <w:rFonts w:ascii="Times New Roman" w:hAnsi="Times New Roman"/>
                <w:color w:val="000000"/>
              </w:rPr>
              <w:t>Rocky Mountain</w:t>
            </w:r>
          </w:p>
        </w:tc>
        <w:tc>
          <w:tcPr>
            <w:tcW w:w="940" w:type="dxa"/>
            <w:tcBorders>
              <w:top w:val="nil"/>
              <w:left w:val="nil"/>
              <w:bottom w:val="single" w:sz="4" w:space="0" w:color="auto"/>
              <w:right w:val="single" w:sz="4" w:space="0" w:color="auto"/>
            </w:tcBorders>
            <w:shd w:val="clear" w:color="auto" w:fill="auto"/>
            <w:noWrap/>
            <w:vAlign w:val="center"/>
            <w:hideMark/>
          </w:tcPr>
          <w:p w14:paraId="6829AE0B" w14:textId="77777777" w:rsidR="002605A8" w:rsidRPr="002605A8" w:rsidRDefault="002605A8" w:rsidP="006B1C27">
            <w:pPr>
              <w:jc w:val="center"/>
              <w:rPr>
                <w:rFonts w:ascii="Times New Roman" w:hAnsi="Times New Roman"/>
                <w:color w:val="000000"/>
              </w:rPr>
            </w:pPr>
            <w:r w:rsidRPr="002605A8">
              <w:rPr>
                <w:rFonts w:ascii="Times New Roman" w:hAnsi="Times New Roman"/>
                <w:color w:val="000000"/>
              </w:rPr>
              <w:t>0.762</w:t>
            </w:r>
          </w:p>
        </w:tc>
        <w:tc>
          <w:tcPr>
            <w:tcW w:w="1000" w:type="dxa"/>
            <w:tcBorders>
              <w:top w:val="nil"/>
              <w:left w:val="nil"/>
              <w:bottom w:val="single" w:sz="4" w:space="0" w:color="auto"/>
              <w:right w:val="single" w:sz="4" w:space="0" w:color="auto"/>
            </w:tcBorders>
            <w:shd w:val="clear" w:color="auto" w:fill="auto"/>
            <w:noWrap/>
            <w:vAlign w:val="center"/>
            <w:hideMark/>
          </w:tcPr>
          <w:p w14:paraId="2206CF63" w14:textId="77777777" w:rsidR="002605A8" w:rsidRPr="002605A8" w:rsidRDefault="002605A8" w:rsidP="006B1C27">
            <w:pPr>
              <w:jc w:val="center"/>
              <w:rPr>
                <w:rFonts w:ascii="Times New Roman" w:hAnsi="Times New Roman"/>
                <w:color w:val="000000"/>
              </w:rPr>
            </w:pPr>
            <w:r w:rsidRPr="002605A8">
              <w:rPr>
                <w:rFonts w:ascii="Times New Roman" w:hAnsi="Times New Roman"/>
                <w:color w:val="000000"/>
              </w:rPr>
              <w:t>0.762</w:t>
            </w:r>
          </w:p>
        </w:tc>
        <w:tc>
          <w:tcPr>
            <w:tcW w:w="1483" w:type="dxa"/>
            <w:tcBorders>
              <w:top w:val="nil"/>
              <w:left w:val="nil"/>
              <w:bottom w:val="single" w:sz="4" w:space="0" w:color="auto"/>
              <w:right w:val="single" w:sz="4" w:space="0" w:color="auto"/>
            </w:tcBorders>
            <w:shd w:val="clear" w:color="auto" w:fill="auto"/>
            <w:noWrap/>
            <w:vAlign w:val="center"/>
            <w:hideMark/>
          </w:tcPr>
          <w:p w14:paraId="7A4ED850" w14:textId="77777777" w:rsidR="002605A8" w:rsidRPr="002605A8" w:rsidRDefault="002605A8" w:rsidP="006B1C27">
            <w:pPr>
              <w:jc w:val="center"/>
              <w:rPr>
                <w:rFonts w:ascii="Times New Roman" w:hAnsi="Times New Roman"/>
                <w:color w:val="000000"/>
              </w:rPr>
            </w:pPr>
            <w:r w:rsidRPr="002605A8">
              <w:rPr>
                <w:rFonts w:ascii="Times New Roman" w:hAnsi="Times New Roman"/>
                <w:color w:val="000000"/>
              </w:rPr>
              <w:t>0</w:t>
            </w:r>
          </w:p>
        </w:tc>
        <w:tc>
          <w:tcPr>
            <w:tcW w:w="980" w:type="dxa"/>
            <w:tcBorders>
              <w:top w:val="nil"/>
              <w:left w:val="nil"/>
              <w:bottom w:val="single" w:sz="4" w:space="0" w:color="auto"/>
              <w:right w:val="single" w:sz="4" w:space="0" w:color="auto"/>
            </w:tcBorders>
            <w:shd w:val="clear" w:color="auto" w:fill="auto"/>
            <w:noWrap/>
            <w:vAlign w:val="center"/>
            <w:hideMark/>
          </w:tcPr>
          <w:p w14:paraId="3DCD5C9D" w14:textId="77777777" w:rsidR="002605A8" w:rsidRPr="002605A8" w:rsidRDefault="002605A8" w:rsidP="006B1C27">
            <w:pPr>
              <w:jc w:val="center"/>
              <w:rPr>
                <w:rFonts w:ascii="Times New Roman" w:hAnsi="Times New Roman"/>
                <w:color w:val="000000"/>
              </w:rPr>
            </w:pPr>
            <w:r w:rsidRPr="002605A8">
              <w:rPr>
                <w:rFonts w:ascii="Times New Roman" w:hAnsi="Times New Roman"/>
                <w:color w:val="000000"/>
              </w:rPr>
              <w:t>0.434</w:t>
            </w:r>
          </w:p>
        </w:tc>
        <w:tc>
          <w:tcPr>
            <w:tcW w:w="1000" w:type="dxa"/>
            <w:tcBorders>
              <w:top w:val="nil"/>
              <w:left w:val="nil"/>
              <w:bottom w:val="single" w:sz="4" w:space="0" w:color="auto"/>
              <w:right w:val="single" w:sz="4" w:space="0" w:color="auto"/>
            </w:tcBorders>
            <w:shd w:val="clear" w:color="auto" w:fill="auto"/>
            <w:noWrap/>
            <w:vAlign w:val="center"/>
            <w:hideMark/>
          </w:tcPr>
          <w:p w14:paraId="0A66CE14" w14:textId="77777777" w:rsidR="002605A8" w:rsidRPr="002605A8" w:rsidRDefault="002605A8" w:rsidP="006B1C27">
            <w:pPr>
              <w:jc w:val="center"/>
              <w:rPr>
                <w:rFonts w:ascii="Times New Roman" w:hAnsi="Times New Roman"/>
                <w:color w:val="000000"/>
              </w:rPr>
            </w:pPr>
            <w:r w:rsidRPr="002605A8">
              <w:rPr>
                <w:rFonts w:ascii="Times New Roman" w:hAnsi="Times New Roman"/>
                <w:color w:val="000000"/>
              </w:rPr>
              <w:t>0.669</w:t>
            </w:r>
          </w:p>
        </w:tc>
        <w:tc>
          <w:tcPr>
            <w:tcW w:w="1483" w:type="dxa"/>
            <w:tcBorders>
              <w:top w:val="nil"/>
              <w:left w:val="nil"/>
              <w:bottom w:val="single" w:sz="4" w:space="0" w:color="auto"/>
              <w:right w:val="single" w:sz="4" w:space="0" w:color="auto"/>
            </w:tcBorders>
            <w:shd w:val="clear" w:color="auto" w:fill="auto"/>
            <w:noWrap/>
            <w:vAlign w:val="center"/>
            <w:hideMark/>
          </w:tcPr>
          <w:p w14:paraId="24FC7CFB" w14:textId="77777777" w:rsidR="002605A8" w:rsidRPr="002605A8" w:rsidRDefault="002605A8" w:rsidP="006B1C27">
            <w:pPr>
              <w:jc w:val="center"/>
              <w:rPr>
                <w:rFonts w:ascii="Times New Roman" w:hAnsi="Times New Roman"/>
                <w:color w:val="000000"/>
              </w:rPr>
            </w:pPr>
            <w:r w:rsidRPr="002605A8">
              <w:rPr>
                <w:rFonts w:ascii="Times New Roman" w:hAnsi="Times New Roman"/>
                <w:color w:val="000000"/>
              </w:rPr>
              <w:t>0.360</w:t>
            </w:r>
          </w:p>
        </w:tc>
      </w:tr>
      <w:tr w:rsidR="002605A8" w:rsidRPr="002605A8" w14:paraId="3C829D16" w14:textId="77777777" w:rsidTr="00411C00">
        <w:trPr>
          <w:trHeight w:val="315"/>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6BA33F38" w14:textId="77777777" w:rsidR="002605A8" w:rsidRPr="002605A8" w:rsidRDefault="002605A8" w:rsidP="00A37940">
            <w:pPr>
              <w:rPr>
                <w:rFonts w:ascii="Times New Roman" w:hAnsi="Times New Roman"/>
                <w:color w:val="000000"/>
              </w:rPr>
            </w:pPr>
            <w:r w:rsidRPr="002605A8">
              <w:rPr>
                <w:rFonts w:ascii="Times New Roman" w:hAnsi="Times New Roman"/>
                <w:color w:val="000000"/>
              </w:rPr>
              <w:t>South West</w:t>
            </w:r>
          </w:p>
        </w:tc>
        <w:tc>
          <w:tcPr>
            <w:tcW w:w="940" w:type="dxa"/>
            <w:tcBorders>
              <w:top w:val="nil"/>
              <w:left w:val="nil"/>
              <w:bottom w:val="single" w:sz="4" w:space="0" w:color="auto"/>
              <w:right w:val="single" w:sz="4" w:space="0" w:color="auto"/>
            </w:tcBorders>
            <w:shd w:val="clear" w:color="auto" w:fill="auto"/>
            <w:noWrap/>
            <w:vAlign w:val="center"/>
            <w:hideMark/>
          </w:tcPr>
          <w:p w14:paraId="70BD2779" w14:textId="77777777" w:rsidR="002605A8" w:rsidRPr="002605A8" w:rsidRDefault="002605A8" w:rsidP="006B1C27">
            <w:pPr>
              <w:jc w:val="center"/>
              <w:rPr>
                <w:rFonts w:ascii="Times New Roman" w:hAnsi="Times New Roman"/>
                <w:color w:val="000000"/>
              </w:rPr>
            </w:pPr>
            <w:r w:rsidRPr="002605A8">
              <w:rPr>
                <w:rFonts w:ascii="Times New Roman" w:hAnsi="Times New Roman"/>
                <w:color w:val="000000"/>
              </w:rPr>
              <w:t>0.762</w:t>
            </w:r>
          </w:p>
        </w:tc>
        <w:tc>
          <w:tcPr>
            <w:tcW w:w="1000" w:type="dxa"/>
            <w:tcBorders>
              <w:top w:val="nil"/>
              <w:left w:val="nil"/>
              <w:bottom w:val="single" w:sz="4" w:space="0" w:color="auto"/>
              <w:right w:val="single" w:sz="4" w:space="0" w:color="auto"/>
            </w:tcBorders>
            <w:shd w:val="clear" w:color="auto" w:fill="auto"/>
            <w:noWrap/>
            <w:vAlign w:val="center"/>
            <w:hideMark/>
          </w:tcPr>
          <w:p w14:paraId="23A04EF6" w14:textId="77777777" w:rsidR="002605A8" w:rsidRPr="002605A8" w:rsidRDefault="002605A8" w:rsidP="006B1C27">
            <w:pPr>
              <w:jc w:val="center"/>
              <w:rPr>
                <w:rFonts w:ascii="Times New Roman" w:hAnsi="Times New Roman"/>
                <w:color w:val="000000"/>
              </w:rPr>
            </w:pPr>
            <w:r w:rsidRPr="002605A8">
              <w:rPr>
                <w:rFonts w:ascii="Times New Roman" w:hAnsi="Times New Roman"/>
                <w:color w:val="000000"/>
              </w:rPr>
              <w:t>0.762</w:t>
            </w:r>
          </w:p>
        </w:tc>
        <w:tc>
          <w:tcPr>
            <w:tcW w:w="1483" w:type="dxa"/>
            <w:tcBorders>
              <w:top w:val="nil"/>
              <w:left w:val="nil"/>
              <w:bottom w:val="single" w:sz="4" w:space="0" w:color="auto"/>
              <w:right w:val="single" w:sz="4" w:space="0" w:color="auto"/>
            </w:tcBorders>
            <w:shd w:val="clear" w:color="auto" w:fill="auto"/>
            <w:noWrap/>
            <w:vAlign w:val="center"/>
            <w:hideMark/>
          </w:tcPr>
          <w:p w14:paraId="5801EC89" w14:textId="77777777" w:rsidR="002605A8" w:rsidRPr="002605A8" w:rsidRDefault="002605A8" w:rsidP="006B1C27">
            <w:pPr>
              <w:jc w:val="center"/>
              <w:rPr>
                <w:rFonts w:ascii="Times New Roman" w:hAnsi="Times New Roman"/>
                <w:color w:val="000000"/>
              </w:rPr>
            </w:pPr>
            <w:r w:rsidRPr="002605A8">
              <w:rPr>
                <w:rFonts w:ascii="Times New Roman" w:hAnsi="Times New Roman"/>
                <w:color w:val="000000"/>
              </w:rPr>
              <w:t>0</w:t>
            </w:r>
          </w:p>
        </w:tc>
        <w:tc>
          <w:tcPr>
            <w:tcW w:w="980" w:type="dxa"/>
            <w:tcBorders>
              <w:top w:val="nil"/>
              <w:left w:val="nil"/>
              <w:bottom w:val="single" w:sz="4" w:space="0" w:color="auto"/>
              <w:right w:val="single" w:sz="4" w:space="0" w:color="auto"/>
            </w:tcBorders>
            <w:shd w:val="clear" w:color="auto" w:fill="auto"/>
            <w:noWrap/>
            <w:vAlign w:val="center"/>
            <w:hideMark/>
          </w:tcPr>
          <w:p w14:paraId="5CDC344F" w14:textId="77777777" w:rsidR="002605A8" w:rsidRPr="002605A8" w:rsidRDefault="002605A8" w:rsidP="006B1C27">
            <w:pPr>
              <w:jc w:val="center"/>
              <w:rPr>
                <w:rFonts w:ascii="Times New Roman" w:hAnsi="Times New Roman"/>
                <w:color w:val="000000"/>
              </w:rPr>
            </w:pPr>
            <w:r w:rsidRPr="002605A8">
              <w:rPr>
                <w:rFonts w:ascii="Times New Roman" w:hAnsi="Times New Roman"/>
                <w:color w:val="000000"/>
              </w:rPr>
              <w:t>0.394</w:t>
            </w:r>
          </w:p>
        </w:tc>
        <w:tc>
          <w:tcPr>
            <w:tcW w:w="1000" w:type="dxa"/>
            <w:tcBorders>
              <w:top w:val="nil"/>
              <w:left w:val="nil"/>
              <w:bottom w:val="single" w:sz="4" w:space="0" w:color="auto"/>
              <w:right w:val="single" w:sz="4" w:space="0" w:color="auto"/>
            </w:tcBorders>
            <w:shd w:val="clear" w:color="auto" w:fill="auto"/>
            <w:noWrap/>
            <w:vAlign w:val="center"/>
            <w:hideMark/>
          </w:tcPr>
          <w:p w14:paraId="06CFB429" w14:textId="77777777" w:rsidR="002605A8" w:rsidRPr="002605A8" w:rsidRDefault="002605A8" w:rsidP="006B1C27">
            <w:pPr>
              <w:jc w:val="center"/>
              <w:rPr>
                <w:rFonts w:ascii="Times New Roman" w:hAnsi="Times New Roman"/>
                <w:color w:val="000000"/>
              </w:rPr>
            </w:pPr>
            <w:r w:rsidRPr="002605A8">
              <w:rPr>
                <w:rFonts w:ascii="Times New Roman" w:hAnsi="Times New Roman"/>
                <w:color w:val="000000"/>
              </w:rPr>
              <w:t>0.607</w:t>
            </w:r>
          </w:p>
        </w:tc>
        <w:tc>
          <w:tcPr>
            <w:tcW w:w="1483" w:type="dxa"/>
            <w:tcBorders>
              <w:top w:val="nil"/>
              <w:left w:val="nil"/>
              <w:bottom w:val="single" w:sz="4" w:space="0" w:color="auto"/>
              <w:right w:val="single" w:sz="4" w:space="0" w:color="auto"/>
            </w:tcBorders>
            <w:shd w:val="clear" w:color="auto" w:fill="auto"/>
            <w:noWrap/>
            <w:vAlign w:val="center"/>
            <w:hideMark/>
          </w:tcPr>
          <w:p w14:paraId="693F4D3A" w14:textId="77777777" w:rsidR="002605A8" w:rsidRPr="002605A8" w:rsidRDefault="002605A8" w:rsidP="006B1C27">
            <w:pPr>
              <w:jc w:val="center"/>
              <w:rPr>
                <w:rFonts w:ascii="Times New Roman" w:hAnsi="Times New Roman"/>
                <w:color w:val="000000"/>
              </w:rPr>
            </w:pPr>
            <w:r w:rsidRPr="002605A8">
              <w:rPr>
                <w:rFonts w:ascii="Times New Roman" w:hAnsi="Times New Roman"/>
                <w:color w:val="000000"/>
              </w:rPr>
              <w:t>0.327</w:t>
            </w:r>
          </w:p>
        </w:tc>
      </w:tr>
      <w:tr w:rsidR="002605A8" w:rsidRPr="002605A8" w14:paraId="70C13C66" w14:textId="77777777" w:rsidTr="00411C00">
        <w:trPr>
          <w:trHeight w:val="315"/>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79D127DC" w14:textId="77777777" w:rsidR="002605A8" w:rsidRPr="002605A8" w:rsidRDefault="002605A8" w:rsidP="00A37940">
            <w:pPr>
              <w:rPr>
                <w:rFonts w:ascii="Times New Roman" w:hAnsi="Times New Roman"/>
                <w:color w:val="000000"/>
              </w:rPr>
            </w:pPr>
            <w:r w:rsidRPr="002605A8">
              <w:rPr>
                <w:rFonts w:ascii="Times New Roman" w:hAnsi="Times New Roman"/>
                <w:color w:val="000000"/>
              </w:rPr>
              <w:lastRenderedPageBreak/>
              <w:t>West Coast</w:t>
            </w:r>
          </w:p>
        </w:tc>
        <w:tc>
          <w:tcPr>
            <w:tcW w:w="940" w:type="dxa"/>
            <w:tcBorders>
              <w:top w:val="nil"/>
              <w:left w:val="nil"/>
              <w:bottom w:val="single" w:sz="4" w:space="0" w:color="auto"/>
              <w:right w:val="single" w:sz="4" w:space="0" w:color="auto"/>
            </w:tcBorders>
            <w:shd w:val="clear" w:color="auto" w:fill="auto"/>
            <w:noWrap/>
            <w:vAlign w:val="center"/>
            <w:hideMark/>
          </w:tcPr>
          <w:p w14:paraId="67F31F13" w14:textId="77777777" w:rsidR="002605A8" w:rsidRPr="002605A8" w:rsidRDefault="002605A8" w:rsidP="006B1C27">
            <w:pPr>
              <w:jc w:val="center"/>
              <w:rPr>
                <w:rFonts w:ascii="Times New Roman" w:hAnsi="Times New Roman"/>
                <w:color w:val="000000"/>
              </w:rPr>
            </w:pPr>
            <w:r w:rsidRPr="002605A8">
              <w:rPr>
                <w:rFonts w:ascii="Times New Roman" w:hAnsi="Times New Roman"/>
                <w:color w:val="000000"/>
              </w:rPr>
              <w:t>0.762</w:t>
            </w:r>
          </w:p>
        </w:tc>
        <w:tc>
          <w:tcPr>
            <w:tcW w:w="1000" w:type="dxa"/>
            <w:tcBorders>
              <w:top w:val="nil"/>
              <w:left w:val="nil"/>
              <w:bottom w:val="single" w:sz="4" w:space="0" w:color="auto"/>
              <w:right w:val="single" w:sz="4" w:space="0" w:color="auto"/>
            </w:tcBorders>
            <w:shd w:val="clear" w:color="auto" w:fill="auto"/>
            <w:noWrap/>
            <w:vAlign w:val="center"/>
            <w:hideMark/>
          </w:tcPr>
          <w:p w14:paraId="74FC1B5A" w14:textId="77777777" w:rsidR="002605A8" w:rsidRPr="002605A8" w:rsidRDefault="002605A8" w:rsidP="006B1C27">
            <w:pPr>
              <w:jc w:val="center"/>
              <w:rPr>
                <w:rFonts w:ascii="Times New Roman" w:hAnsi="Times New Roman"/>
                <w:color w:val="000000"/>
              </w:rPr>
            </w:pPr>
            <w:r w:rsidRPr="002605A8">
              <w:rPr>
                <w:rFonts w:ascii="Times New Roman" w:hAnsi="Times New Roman"/>
                <w:color w:val="000000"/>
              </w:rPr>
              <w:t>0.762</w:t>
            </w:r>
          </w:p>
        </w:tc>
        <w:tc>
          <w:tcPr>
            <w:tcW w:w="1483" w:type="dxa"/>
            <w:tcBorders>
              <w:top w:val="nil"/>
              <w:left w:val="nil"/>
              <w:bottom w:val="single" w:sz="4" w:space="0" w:color="auto"/>
              <w:right w:val="single" w:sz="4" w:space="0" w:color="auto"/>
            </w:tcBorders>
            <w:shd w:val="clear" w:color="auto" w:fill="auto"/>
            <w:noWrap/>
            <w:vAlign w:val="center"/>
            <w:hideMark/>
          </w:tcPr>
          <w:p w14:paraId="06B24AC7" w14:textId="77777777" w:rsidR="002605A8" w:rsidRPr="002605A8" w:rsidRDefault="002605A8" w:rsidP="006B1C27">
            <w:pPr>
              <w:jc w:val="center"/>
              <w:rPr>
                <w:rFonts w:ascii="Times New Roman" w:hAnsi="Times New Roman"/>
                <w:color w:val="000000"/>
              </w:rPr>
            </w:pPr>
            <w:r w:rsidRPr="002605A8">
              <w:rPr>
                <w:rFonts w:ascii="Times New Roman" w:hAnsi="Times New Roman"/>
                <w:color w:val="000000"/>
              </w:rPr>
              <w:t>0</w:t>
            </w:r>
          </w:p>
        </w:tc>
        <w:tc>
          <w:tcPr>
            <w:tcW w:w="980" w:type="dxa"/>
            <w:tcBorders>
              <w:top w:val="nil"/>
              <w:left w:val="nil"/>
              <w:bottom w:val="single" w:sz="4" w:space="0" w:color="auto"/>
              <w:right w:val="single" w:sz="4" w:space="0" w:color="auto"/>
            </w:tcBorders>
            <w:shd w:val="clear" w:color="auto" w:fill="auto"/>
            <w:noWrap/>
            <w:vAlign w:val="center"/>
            <w:hideMark/>
          </w:tcPr>
          <w:p w14:paraId="00EB6A2C" w14:textId="77777777" w:rsidR="002605A8" w:rsidRPr="002605A8" w:rsidRDefault="002605A8" w:rsidP="006B1C27">
            <w:pPr>
              <w:jc w:val="center"/>
              <w:rPr>
                <w:rFonts w:ascii="Times New Roman" w:hAnsi="Times New Roman"/>
                <w:color w:val="000000"/>
              </w:rPr>
            </w:pPr>
            <w:r w:rsidRPr="002605A8">
              <w:rPr>
                <w:rFonts w:ascii="Times New Roman" w:hAnsi="Times New Roman"/>
                <w:color w:val="000000"/>
              </w:rPr>
              <w:t>0.297</w:t>
            </w:r>
          </w:p>
        </w:tc>
        <w:tc>
          <w:tcPr>
            <w:tcW w:w="1000" w:type="dxa"/>
            <w:tcBorders>
              <w:top w:val="nil"/>
              <w:left w:val="nil"/>
              <w:bottom w:val="single" w:sz="4" w:space="0" w:color="auto"/>
              <w:right w:val="single" w:sz="4" w:space="0" w:color="auto"/>
            </w:tcBorders>
            <w:shd w:val="clear" w:color="auto" w:fill="auto"/>
            <w:noWrap/>
            <w:vAlign w:val="center"/>
            <w:hideMark/>
          </w:tcPr>
          <w:p w14:paraId="6254BE19" w14:textId="77777777" w:rsidR="002605A8" w:rsidRPr="002605A8" w:rsidRDefault="002605A8" w:rsidP="006B1C27">
            <w:pPr>
              <w:jc w:val="center"/>
              <w:rPr>
                <w:rFonts w:ascii="Times New Roman" w:hAnsi="Times New Roman"/>
                <w:color w:val="000000"/>
              </w:rPr>
            </w:pPr>
            <w:r w:rsidRPr="002605A8">
              <w:rPr>
                <w:rFonts w:ascii="Times New Roman" w:hAnsi="Times New Roman"/>
                <w:color w:val="000000"/>
              </w:rPr>
              <w:t>0.458</w:t>
            </w:r>
          </w:p>
        </w:tc>
        <w:tc>
          <w:tcPr>
            <w:tcW w:w="1483" w:type="dxa"/>
            <w:tcBorders>
              <w:top w:val="nil"/>
              <w:left w:val="nil"/>
              <w:bottom w:val="single" w:sz="4" w:space="0" w:color="auto"/>
              <w:right w:val="single" w:sz="4" w:space="0" w:color="auto"/>
            </w:tcBorders>
            <w:shd w:val="clear" w:color="auto" w:fill="auto"/>
            <w:noWrap/>
            <w:vAlign w:val="center"/>
            <w:hideMark/>
          </w:tcPr>
          <w:p w14:paraId="680DB40D" w14:textId="77777777" w:rsidR="002605A8" w:rsidRPr="002605A8" w:rsidRDefault="002605A8" w:rsidP="006B1C27">
            <w:pPr>
              <w:jc w:val="center"/>
              <w:rPr>
                <w:rFonts w:ascii="Times New Roman" w:hAnsi="Times New Roman"/>
                <w:color w:val="000000"/>
              </w:rPr>
            </w:pPr>
            <w:r w:rsidRPr="002605A8">
              <w:rPr>
                <w:rFonts w:ascii="Times New Roman" w:hAnsi="Times New Roman"/>
                <w:color w:val="000000"/>
              </w:rPr>
              <w:t>0.247</w:t>
            </w:r>
          </w:p>
        </w:tc>
      </w:tr>
      <w:tr w:rsidR="002605A8" w:rsidRPr="002605A8" w14:paraId="33E9A30B" w14:textId="77777777" w:rsidTr="00411C00">
        <w:trPr>
          <w:trHeight w:val="315"/>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4037018D" w14:textId="77777777" w:rsidR="002605A8" w:rsidRPr="002605A8" w:rsidRDefault="002605A8" w:rsidP="00A37940">
            <w:pPr>
              <w:rPr>
                <w:rFonts w:ascii="Times New Roman" w:hAnsi="Times New Roman"/>
                <w:color w:val="000000"/>
              </w:rPr>
            </w:pPr>
            <w:r w:rsidRPr="002605A8">
              <w:rPr>
                <w:rFonts w:ascii="Times New Roman" w:hAnsi="Times New Roman"/>
                <w:color w:val="000000"/>
              </w:rPr>
              <w:t>Gulf Coast</w:t>
            </w:r>
          </w:p>
        </w:tc>
        <w:tc>
          <w:tcPr>
            <w:tcW w:w="940" w:type="dxa"/>
            <w:tcBorders>
              <w:top w:val="nil"/>
              <w:left w:val="nil"/>
              <w:bottom w:val="single" w:sz="4" w:space="0" w:color="auto"/>
              <w:right w:val="single" w:sz="4" w:space="0" w:color="auto"/>
            </w:tcBorders>
            <w:shd w:val="clear" w:color="auto" w:fill="auto"/>
            <w:noWrap/>
            <w:vAlign w:val="center"/>
            <w:hideMark/>
          </w:tcPr>
          <w:p w14:paraId="194358AA" w14:textId="77777777" w:rsidR="002605A8" w:rsidRPr="002605A8" w:rsidRDefault="002605A8" w:rsidP="006B1C27">
            <w:pPr>
              <w:jc w:val="center"/>
              <w:rPr>
                <w:rFonts w:ascii="Times New Roman" w:hAnsi="Times New Roman"/>
                <w:color w:val="000000"/>
              </w:rPr>
            </w:pPr>
            <w:r w:rsidRPr="002605A8">
              <w:rPr>
                <w:rFonts w:ascii="Times New Roman" w:hAnsi="Times New Roman"/>
                <w:color w:val="000000"/>
              </w:rPr>
              <w:t>0.762</w:t>
            </w:r>
          </w:p>
        </w:tc>
        <w:tc>
          <w:tcPr>
            <w:tcW w:w="1000" w:type="dxa"/>
            <w:tcBorders>
              <w:top w:val="nil"/>
              <w:left w:val="nil"/>
              <w:bottom w:val="single" w:sz="4" w:space="0" w:color="auto"/>
              <w:right w:val="single" w:sz="4" w:space="0" w:color="auto"/>
            </w:tcBorders>
            <w:shd w:val="clear" w:color="auto" w:fill="auto"/>
            <w:noWrap/>
            <w:vAlign w:val="center"/>
            <w:hideMark/>
          </w:tcPr>
          <w:p w14:paraId="47AD2E73" w14:textId="77777777" w:rsidR="002605A8" w:rsidRPr="002605A8" w:rsidRDefault="002605A8" w:rsidP="006B1C27">
            <w:pPr>
              <w:jc w:val="center"/>
              <w:rPr>
                <w:rFonts w:ascii="Times New Roman" w:hAnsi="Times New Roman"/>
                <w:color w:val="000000"/>
              </w:rPr>
            </w:pPr>
            <w:r w:rsidRPr="002605A8">
              <w:rPr>
                <w:rFonts w:ascii="Times New Roman" w:hAnsi="Times New Roman"/>
                <w:color w:val="000000"/>
              </w:rPr>
              <w:t>0.762</w:t>
            </w:r>
          </w:p>
        </w:tc>
        <w:tc>
          <w:tcPr>
            <w:tcW w:w="1483" w:type="dxa"/>
            <w:tcBorders>
              <w:top w:val="nil"/>
              <w:left w:val="nil"/>
              <w:bottom w:val="single" w:sz="4" w:space="0" w:color="auto"/>
              <w:right w:val="single" w:sz="4" w:space="0" w:color="auto"/>
            </w:tcBorders>
            <w:shd w:val="clear" w:color="auto" w:fill="auto"/>
            <w:noWrap/>
            <w:vAlign w:val="center"/>
            <w:hideMark/>
          </w:tcPr>
          <w:p w14:paraId="59DBD08F" w14:textId="77777777" w:rsidR="002605A8" w:rsidRPr="002605A8" w:rsidRDefault="002605A8" w:rsidP="006B1C27">
            <w:pPr>
              <w:jc w:val="center"/>
              <w:rPr>
                <w:rFonts w:ascii="Times New Roman" w:hAnsi="Times New Roman"/>
                <w:color w:val="000000"/>
              </w:rPr>
            </w:pPr>
            <w:r w:rsidRPr="002605A8">
              <w:rPr>
                <w:rFonts w:ascii="Times New Roman" w:hAnsi="Times New Roman"/>
                <w:color w:val="000000"/>
              </w:rPr>
              <w:t>0</w:t>
            </w:r>
          </w:p>
        </w:tc>
        <w:tc>
          <w:tcPr>
            <w:tcW w:w="980" w:type="dxa"/>
            <w:tcBorders>
              <w:top w:val="nil"/>
              <w:left w:val="nil"/>
              <w:bottom w:val="single" w:sz="4" w:space="0" w:color="auto"/>
              <w:right w:val="single" w:sz="4" w:space="0" w:color="auto"/>
            </w:tcBorders>
            <w:shd w:val="clear" w:color="auto" w:fill="auto"/>
            <w:noWrap/>
            <w:vAlign w:val="center"/>
            <w:hideMark/>
          </w:tcPr>
          <w:p w14:paraId="60DCF588" w14:textId="77777777" w:rsidR="002605A8" w:rsidRPr="002605A8" w:rsidRDefault="002605A8" w:rsidP="006B1C27">
            <w:pPr>
              <w:jc w:val="center"/>
              <w:rPr>
                <w:rFonts w:ascii="Times New Roman" w:hAnsi="Times New Roman"/>
                <w:color w:val="000000"/>
              </w:rPr>
            </w:pPr>
            <w:r w:rsidRPr="002605A8">
              <w:rPr>
                <w:rFonts w:ascii="Times New Roman" w:hAnsi="Times New Roman"/>
                <w:color w:val="000000"/>
              </w:rPr>
              <w:t>0.206</w:t>
            </w:r>
          </w:p>
        </w:tc>
        <w:tc>
          <w:tcPr>
            <w:tcW w:w="1000" w:type="dxa"/>
            <w:tcBorders>
              <w:top w:val="nil"/>
              <w:left w:val="nil"/>
              <w:bottom w:val="single" w:sz="4" w:space="0" w:color="auto"/>
              <w:right w:val="single" w:sz="4" w:space="0" w:color="auto"/>
            </w:tcBorders>
            <w:shd w:val="clear" w:color="auto" w:fill="auto"/>
            <w:noWrap/>
            <w:vAlign w:val="center"/>
            <w:hideMark/>
          </w:tcPr>
          <w:p w14:paraId="17C45EB7" w14:textId="77777777" w:rsidR="002605A8" w:rsidRPr="002605A8" w:rsidRDefault="002605A8" w:rsidP="006B1C27">
            <w:pPr>
              <w:jc w:val="center"/>
              <w:rPr>
                <w:rFonts w:ascii="Times New Roman" w:hAnsi="Times New Roman"/>
                <w:color w:val="000000"/>
              </w:rPr>
            </w:pPr>
            <w:r w:rsidRPr="002605A8">
              <w:rPr>
                <w:rFonts w:ascii="Times New Roman" w:hAnsi="Times New Roman"/>
                <w:color w:val="000000"/>
              </w:rPr>
              <w:t>0.318</w:t>
            </w:r>
          </w:p>
        </w:tc>
        <w:tc>
          <w:tcPr>
            <w:tcW w:w="1483" w:type="dxa"/>
            <w:tcBorders>
              <w:top w:val="nil"/>
              <w:left w:val="nil"/>
              <w:bottom w:val="single" w:sz="4" w:space="0" w:color="auto"/>
              <w:right w:val="single" w:sz="4" w:space="0" w:color="auto"/>
            </w:tcBorders>
            <w:shd w:val="clear" w:color="auto" w:fill="auto"/>
            <w:noWrap/>
            <w:vAlign w:val="center"/>
            <w:hideMark/>
          </w:tcPr>
          <w:p w14:paraId="63725311" w14:textId="77777777" w:rsidR="002605A8" w:rsidRPr="002605A8" w:rsidRDefault="002605A8" w:rsidP="006B1C27">
            <w:pPr>
              <w:jc w:val="center"/>
              <w:rPr>
                <w:rFonts w:ascii="Times New Roman" w:hAnsi="Times New Roman"/>
                <w:color w:val="000000"/>
              </w:rPr>
            </w:pPr>
            <w:r w:rsidRPr="002605A8">
              <w:rPr>
                <w:rFonts w:ascii="Times New Roman" w:hAnsi="Times New Roman"/>
                <w:color w:val="000000"/>
              </w:rPr>
              <w:t>0.171</w:t>
            </w:r>
          </w:p>
        </w:tc>
      </w:tr>
    </w:tbl>
    <w:p w14:paraId="2520BE1B" w14:textId="77777777" w:rsidR="002424F3" w:rsidRDefault="002424F3" w:rsidP="002424F3">
      <w:pPr>
        <w:spacing w:before="36"/>
        <w:jc w:val="center"/>
        <w:rPr>
          <w:rFonts w:ascii="Times New Roman" w:hAnsi="Times New Roman"/>
          <w:color w:val="000000"/>
          <w:spacing w:val="-3"/>
          <w:w w:val="105"/>
        </w:rPr>
      </w:pPr>
    </w:p>
    <w:p w14:paraId="7429D4DE" w14:textId="77777777" w:rsidR="00196225" w:rsidRPr="00B05A45" w:rsidRDefault="002424F3" w:rsidP="00AC03CC">
      <w:pPr>
        <w:spacing w:before="36"/>
        <w:rPr>
          <w:rFonts w:ascii="Times New Roman" w:hAnsi="Times New Roman"/>
          <w:b/>
          <w:color w:val="000000"/>
          <w:spacing w:val="-3"/>
          <w:w w:val="105"/>
        </w:rPr>
      </w:pPr>
      <w:r>
        <w:rPr>
          <w:rFonts w:ascii="Times New Roman" w:hAnsi="Times New Roman"/>
          <w:b/>
          <w:color w:val="000000"/>
          <w:spacing w:val="-3"/>
          <w:w w:val="105"/>
          <w:u w:val="single"/>
        </w:rPr>
        <w:t>Well Completions</w:t>
      </w:r>
    </w:p>
    <w:p w14:paraId="03D8384C" w14:textId="77777777" w:rsidR="002424F3" w:rsidRDefault="002424F3" w:rsidP="002424F3">
      <w:pPr>
        <w:spacing w:before="36"/>
        <w:rPr>
          <w:rFonts w:ascii="Times New Roman" w:hAnsi="Times New Roman"/>
          <w:color w:val="000000"/>
          <w:spacing w:val="-3"/>
          <w:w w:val="105"/>
        </w:rPr>
      </w:pPr>
    </w:p>
    <w:p w14:paraId="18F4619A" w14:textId="77777777" w:rsidR="002424F3" w:rsidRDefault="00365CFF" w:rsidP="002424F3">
      <w:pPr>
        <w:spacing w:before="36"/>
        <w:rPr>
          <w:rFonts w:ascii="Times New Roman" w:hAnsi="Times New Roman"/>
          <w:color w:val="000000"/>
          <w:spacing w:val="-3"/>
          <w:w w:val="105"/>
        </w:rPr>
      </w:pPr>
      <w:r w:rsidRPr="00E6117D">
        <w:rPr>
          <w:rFonts w:ascii="Times New Roman" w:hAnsi="Times New Roman"/>
          <w:color w:val="000000"/>
          <w:spacing w:val="-3"/>
          <w:w w:val="105"/>
          <w:highlight w:val="yellow"/>
        </w:rPr>
        <w:t xml:space="preserve">Limited data is available in the literature for estimating emissions from oil well completions.  At this time, and until such information becomes available, EPA has determined not to </w:t>
      </w:r>
      <w:r w:rsidR="0045657A" w:rsidRPr="00E6117D">
        <w:rPr>
          <w:rFonts w:ascii="Times New Roman" w:hAnsi="Times New Roman"/>
          <w:color w:val="000000"/>
          <w:spacing w:val="-3"/>
          <w:w w:val="105"/>
          <w:highlight w:val="yellow"/>
        </w:rPr>
        <w:t xml:space="preserve">develop default </w:t>
      </w:r>
      <w:r w:rsidRPr="00E6117D">
        <w:rPr>
          <w:rFonts w:ascii="Times New Roman" w:hAnsi="Times New Roman"/>
          <w:color w:val="000000"/>
          <w:spacing w:val="-3"/>
          <w:w w:val="105"/>
          <w:highlight w:val="yellow"/>
        </w:rPr>
        <w:t xml:space="preserve">estimate emissions from oil well completions in the </w:t>
      </w:r>
      <w:r w:rsidR="00FB323A" w:rsidRPr="00E6117D">
        <w:rPr>
          <w:rFonts w:ascii="Times New Roman" w:hAnsi="Times New Roman"/>
          <w:color w:val="000000"/>
          <w:spacing w:val="-3"/>
          <w:w w:val="105"/>
          <w:highlight w:val="yellow"/>
        </w:rPr>
        <w:t>tool</w:t>
      </w:r>
      <w:r w:rsidRPr="00E6117D">
        <w:rPr>
          <w:rFonts w:ascii="Times New Roman" w:hAnsi="Times New Roman"/>
          <w:color w:val="000000"/>
          <w:spacing w:val="-3"/>
          <w:w w:val="105"/>
          <w:highlight w:val="yellow"/>
        </w:rPr>
        <w:t>.</w:t>
      </w:r>
      <w:r w:rsidR="0045657A" w:rsidRPr="00E6117D">
        <w:rPr>
          <w:rFonts w:ascii="Times New Roman" w:hAnsi="Times New Roman"/>
          <w:color w:val="000000"/>
          <w:spacing w:val="-3"/>
          <w:w w:val="105"/>
          <w:highlight w:val="yellow"/>
        </w:rPr>
        <w:t xml:space="preserve">  </w:t>
      </w:r>
      <w:r w:rsidR="00A82F3D" w:rsidRPr="00E6117D">
        <w:rPr>
          <w:rFonts w:ascii="Times New Roman" w:hAnsi="Times New Roman"/>
          <w:color w:val="000000"/>
          <w:spacing w:val="-3"/>
          <w:w w:val="105"/>
          <w:highlight w:val="yellow"/>
        </w:rPr>
        <w:t>However, w</w:t>
      </w:r>
      <w:r w:rsidR="0045657A" w:rsidRPr="00E6117D">
        <w:rPr>
          <w:rFonts w:ascii="Times New Roman" w:hAnsi="Times New Roman"/>
          <w:color w:val="000000"/>
          <w:spacing w:val="-3"/>
          <w:w w:val="105"/>
          <w:highlight w:val="yellow"/>
        </w:rPr>
        <w:t xml:space="preserve">here state data on oil well completion emissions has been provided, this </w:t>
      </w:r>
      <w:r w:rsidR="00A82F3D" w:rsidRPr="00E6117D">
        <w:rPr>
          <w:rFonts w:ascii="Times New Roman" w:hAnsi="Times New Roman"/>
          <w:color w:val="000000"/>
          <w:spacing w:val="-3"/>
          <w:w w:val="105"/>
          <w:highlight w:val="yellow"/>
        </w:rPr>
        <w:t>data</w:t>
      </w:r>
      <w:r w:rsidR="0045657A" w:rsidRPr="00E6117D">
        <w:rPr>
          <w:rFonts w:ascii="Times New Roman" w:hAnsi="Times New Roman"/>
          <w:color w:val="000000"/>
          <w:spacing w:val="-3"/>
          <w:w w:val="105"/>
          <w:highlight w:val="yellow"/>
        </w:rPr>
        <w:t xml:space="preserve"> has been used in the </w:t>
      </w:r>
      <w:r w:rsidR="00FB323A" w:rsidRPr="00E6117D">
        <w:rPr>
          <w:rFonts w:ascii="Times New Roman" w:hAnsi="Times New Roman"/>
          <w:color w:val="000000"/>
          <w:spacing w:val="-3"/>
          <w:w w:val="105"/>
          <w:highlight w:val="yellow"/>
        </w:rPr>
        <w:t>tool</w:t>
      </w:r>
      <w:r w:rsidR="0045657A" w:rsidRPr="00E6117D">
        <w:rPr>
          <w:rFonts w:ascii="Times New Roman" w:hAnsi="Times New Roman"/>
          <w:color w:val="000000"/>
          <w:spacing w:val="-3"/>
          <w:w w:val="105"/>
          <w:highlight w:val="yellow"/>
        </w:rPr>
        <w:t>.</w:t>
      </w:r>
    </w:p>
    <w:p w14:paraId="725107F1" w14:textId="77777777" w:rsidR="0045657A" w:rsidRDefault="0045657A" w:rsidP="00AC03CC">
      <w:pPr>
        <w:spacing w:before="36"/>
        <w:rPr>
          <w:rFonts w:ascii="Times New Roman" w:hAnsi="Times New Roman"/>
          <w:color w:val="000000"/>
          <w:spacing w:val="-3"/>
          <w:w w:val="105"/>
        </w:rPr>
      </w:pPr>
    </w:p>
    <w:p w14:paraId="29AA8ED4" w14:textId="77777777" w:rsidR="00544ECF" w:rsidRPr="007016CB" w:rsidRDefault="00365CFF" w:rsidP="00AC03CC">
      <w:pPr>
        <w:spacing w:before="36"/>
        <w:rPr>
          <w:rFonts w:ascii="Times New Roman" w:hAnsi="Times New Roman"/>
          <w:color w:val="000000"/>
          <w:spacing w:val="-3"/>
          <w:w w:val="105"/>
        </w:rPr>
      </w:pPr>
      <w:r>
        <w:rPr>
          <w:rFonts w:ascii="Times New Roman" w:hAnsi="Times New Roman"/>
          <w:color w:val="000000"/>
          <w:spacing w:val="-3"/>
          <w:w w:val="105"/>
        </w:rPr>
        <w:t>Emissions from unconventional gas well completions are currently estimated using a default vent rate of 9,000 (MCF/completion).  This data has not been revised.  However, the default vent rate for conventional gas well completions has been updated to reflect a</w:t>
      </w:r>
      <w:r w:rsidR="004137A9">
        <w:rPr>
          <w:rFonts w:ascii="Times New Roman" w:hAnsi="Times New Roman"/>
          <w:color w:val="000000"/>
          <w:spacing w:val="-3"/>
          <w:w w:val="105"/>
        </w:rPr>
        <w:t>n uncontrolled</w:t>
      </w:r>
      <w:r>
        <w:rPr>
          <w:rFonts w:ascii="Times New Roman" w:hAnsi="Times New Roman"/>
          <w:color w:val="000000"/>
          <w:spacing w:val="-3"/>
          <w:w w:val="105"/>
        </w:rPr>
        <w:t xml:space="preserve"> vent rate of </w:t>
      </w:r>
      <w:r w:rsidRPr="00365CFF">
        <w:rPr>
          <w:rFonts w:ascii="Times New Roman" w:hAnsi="Times New Roman"/>
          <w:color w:val="000000"/>
          <w:spacing w:val="-3"/>
          <w:w w:val="105"/>
        </w:rPr>
        <w:t>1</w:t>
      </w:r>
      <w:r w:rsidR="007016CB">
        <w:rPr>
          <w:rFonts w:ascii="Times New Roman" w:hAnsi="Times New Roman"/>
          <w:color w:val="000000"/>
          <w:spacing w:val="-3"/>
          <w:w w:val="105"/>
        </w:rPr>
        <w:t>,</w:t>
      </w:r>
      <w:r w:rsidRPr="00365CFF">
        <w:rPr>
          <w:rFonts w:ascii="Times New Roman" w:hAnsi="Times New Roman"/>
          <w:color w:val="000000"/>
          <w:spacing w:val="-3"/>
          <w:w w:val="105"/>
        </w:rPr>
        <w:t>884</w:t>
      </w:r>
      <w:r>
        <w:rPr>
          <w:rFonts w:ascii="Times New Roman" w:hAnsi="Times New Roman"/>
          <w:color w:val="000000"/>
          <w:spacing w:val="-3"/>
          <w:w w:val="105"/>
        </w:rPr>
        <w:t xml:space="preserve"> </w:t>
      </w:r>
      <w:r w:rsidRPr="007016CB">
        <w:rPr>
          <w:rFonts w:ascii="Times New Roman" w:hAnsi="Times New Roman"/>
          <w:color w:val="000000"/>
          <w:spacing w:val="-3"/>
          <w:w w:val="105"/>
        </w:rPr>
        <w:t>(ft</w:t>
      </w:r>
      <w:r w:rsidRPr="007016CB">
        <w:rPr>
          <w:rFonts w:ascii="Times New Roman" w:hAnsi="Times New Roman"/>
          <w:color w:val="000000"/>
          <w:spacing w:val="-3"/>
          <w:w w:val="105"/>
          <w:vertAlign w:val="superscript"/>
        </w:rPr>
        <w:t>3</w:t>
      </w:r>
      <w:r w:rsidRPr="007016CB">
        <w:rPr>
          <w:rFonts w:ascii="Times New Roman" w:hAnsi="Times New Roman"/>
          <w:color w:val="000000"/>
          <w:spacing w:val="-3"/>
          <w:w w:val="105"/>
        </w:rPr>
        <w:t>/completion).</w:t>
      </w:r>
      <w:r w:rsidR="007016CB" w:rsidRPr="007016CB">
        <w:rPr>
          <w:rFonts w:ascii="Times New Roman" w:hAnsi="Times New Roman"/>
          <w:color w:val="000000"/>
          <w:spacing w:val="-3"/>
          <w:w w:val="105"/>
        </w:rPr>
        <w:t xml:space="preserve">  This factor is based on a controlled (flared) </w:t>
      </w:r>
      <w:r w:rsidR="004137A9">
        <w:rPr>
          <w:rFonts w:ascii="Times New Roman" w:hAnsi="Times New Roman"/>
          <w:color w:val="000000"/>
          <w:spacing w:val="-3"/>
          <w:w w:val="105"/>
        </w:rPr>
        <w:t>vent rate</w:t>
      </w:r>
      <w:r w:rsidR="007016CB" w:rsidRPr="007016CB">
        <w:rPr>
          <w:rFonts w:ascii="Times New Roman" w:hAnsi="Times New Roman"/>
          <w:color w:val="000000"/>
          <w:spacing w:val="-3"/>
          <w:w w:val="105"/>
        </w:rPr>
        <w:t xml:space="preserve"> of 733 (ft</w:t>
      </w:r>
      <w:r w:rsidR="007016CB" w:rsidRPr="007016CB">
        <w:rPr>
          <w:rFonts w:ascii="Times New Roman" w:hAnsi="Times New Roman"/>
          <w:color w:val="000000"/>
          <w:spacing w:val="-3"/>
          <w:w w:val="105"/>
          <w:vertAlign w:val="superscript"/>
        </w:rPr>
        <w:t>3</w:t>
      </w:r>
      <w:r w:rsidR="007016CB" w:rsidRPr="007016CB">
        <w:rPr>
          <w:rFonts w:ascii="Times New Roman" w:hAnsi="Times New Roman"/>
          <w:color w:val="000000"/>
          <w:spacing w:val="-3"/>
          <w:w w:val="105"/>
        </w:rPr>
        <w:t xml:space="preserve">/completion) used in the </w:t>
      </w:r>
      <w:r w:rsidR="0003709C" w:rsidRPr="00D0424A">
        <w:rPr>
          <w:rFonts w:ascii="Times New Roman" w:hAnsi="Times New Roman"/>
          <w:color w:val="000000"/>
          <w:spacing w:val="-3"/>
          <w:w w:val="105"/>
        </w:rPr>
        <w:t>U.S. GHG Inventory</w:t>
      </w:r>
      <w:r w:rsidR="007016CB" w:rsidRPr="007016CB">
        <w:rPr>
          <w:rFonts w:ascii="Times New Roman" w:hAnsi="Times New Roman"/>
          <w:color w:val="000000"/>
          <w:spacing w:val="-3"/>
          <w:w w:val="105"/>
        </w:rPr>
        <w:t xml:space="preserve">, back-calculated to reflect the following default control assumptions used in the </w:t>
      </w:r>
      <w:r w:rsidR="00FB323A" w:rsidRPr="00FB323A">
        <w:rPr>
          <w:rFonts w:ascii="Times New Roman" w:hAnsi="Times New Roman"/>
          <w:color w:val="000000"/>
          <w:spacing w:val="-3"/>
          <w:w w:val="105"/>
        </w:rPr>
        <w:t>tool</w:t>
      </w:r>
      <w:r w:rsidR="007016CB" w:rsidRPr="007016CB">
        <w:rPr>
          <w:rFonts w:ascii="Times New Roman" w:hAnsi="Times New Roman"/>
          <w:color w:val="000000"/>
          <w:spacing w:val="-3"/>
          <w:w w:val="105"/>
        </w:rPr>
        <w:t>:</w:t>
      </w:r>
    </w:p>
    <w:p w14:paraId="0F36329C" w14:textId="77777777" w:rsidR="007016CB" w:rsidRPr="007016CB" w:rsidRDefault="007016CB" w:rsidP="00AC03CC">
      <w:pPr>
        <w:spacing w:before="36"/>
        <w:rPr>
          <w:rFonts w:ascii="Times New Roman" w:hAnsi="Times New Roman"/>
          <w:color w:val="000000"/>
          <w:spacing w:val="-3"/>
          <w:w w:val="105"/>
        </w:rPr>
      </w:pPr>
    </w:p>
    <w:p w14:paraId="2D404B1D" w14:textId="77777777" w:rsidR="007016CB" w:rsidRPr="007016CB" w:rsidRDefault="007016CB" w:rsidP="007016CB">
      <w:pPr>
        <w:pStyle w:val="ListParagraph"/>
        <w:numPr>
          <w:ilvl w:val="0"/>
          <w:numId w:val="12"/>
        </w:numPr>
        <w:rPr>
          <w:rFonts w:ascii="Times New Roman" w:hAnsi="Times New Roman"/>
        </w:rPr>
      </w:pPr>
      <w:r w:rsidRPr="007016CB">
        <w:rPr>
          <w:rFonts w:ascii="Times New Roman" w:hAnsi="Times New Roman"/>
        </w:rPr>
        <w:t>28.43% of completions are flared</w:t>
      </w:r>
      <w:r>
        <w:rPr>
          <w:rFonts w:ascii="Times New Roman" w:hAnsi="Times New Roman"/>
        </w:rPr>
        <w:t>;</w:t>
      </w:r>
    </w:p>
    <w:p w14:paraId="168E531B" w14:textId="77777777" w:rsidR="007016CB" w:rsidRPr="007016CB" w:rsidRDefault="007016CB" w:rsidP="007016CB">
      <w:pPr>
        <w:pStyle w:val="ListParagraph"/>
        <w:numPr>
          <w:ilvl w:val="0"/>
          <w:numId w:val="12"/>
        </w:numPr>
        <w:rPr>
          <w:rFonts w:ascii="Times New Roman" w:hAnsi="Times New Roman"/>
        </w:rPr>
      </w:pPr>
      <w:r w:rsidRPr="007016CB">
        <w:rPr>
          <w:rFonts w:ascii="Times New Roman" w:hAnsi="Times New Roman"/>
        </w:rPr>
        <w:t xml:space="preserve">98% </w:t>
      </w:r>
      <w:r>
        <w:rPr>
          <w:rFonts w:ascii="Times New Roman" w:hAnsi="Times New Roman"/>
        </w:rPr>
        <w:t xml:space="preserve">flare </w:t>
      </w:r>
      <w:r w:rsidRPr="007016CB">
        <w:rPr>
          <w:rFonts w:ascii="Times New Roman" w:hAnsi="Times New Roman"/>
        </w:rPr>
        <w:t>control efficiency</w:t>
      </w:r>
      <w:r>
        <w:rPr>
          <w:rFonts w:ascii="Times New Roman" w:hAnsi="Times New Roman"/>
        </w:rPr>
        <w:t>;</w:t>
      </w:r>
    </w:p>
    <w:p w14:paraId="6D16F5CB" w14:textId="77777777" w:rsidR="007016CB" w:rsidRPr="007016CB" w:rsidRDefault="007016CB" w:rsidP="007016CB">
      <w:pPr>
        <w:pStyle w:val="ListParagraph"/>
        <w:numPr>
          <w:ilvl w:val="0"/>
          <w:numId w:val="12"/>
        </w:numPr>
        <w:rPr>
          <w:rFonts w:ascii="Times New Roman" w:hAnsi="Times New Roman"/>
        </w:rPr>
      </w:pPr>
      <w:r w:rsidRPr="007016CB">
        <w:rPr>
          <w:rFonts w:ascii="Times New Roman" w:hAnsi="Times New Roman"/>
        </w:rPr>
        <w:t xml:space="preserve">90% </w:t>
      </w:r>
      <w:r>
        <w:rPr>
          <w:rFonts w:ascii="Times New Roman" w:hAnsi="Times New Roman"/>
        </w:rPr>
        <w:t xml:space="preserve">flare </w:t>
      </w:r>
      <w:r w:rsidRPr="007016CB">
        <w:rPr>
          <w:rFonts w:ascii="Times New Roman" w:hAnsi="Times New Roman"/>
        </w:rPr>
        <w:t>capture efficiency</w:t>
      </w:r>
      <w:r>
        <w:rPr>
          <w:rFonts w:ascii="Times New Roman" w:hAnsi="Times New Roman"/>
        </w:rPr>
        <w:t>;</w:t>
      </w:r>
      <w:r w:rsidR="007848F6">
        <w:rPr>
          <w:rFonts w:ascii="Times New Roman" w:hAnsi="Times New Roman"/>
        </w:rPr>
        <w:t xml:space="preserve"> and</w:t>
      </w:r>
    </w:p>
    <w:p w14:paraId="24E0556C" w14:textId="77777777" w:rsidR="007016CB" w:rsidRDefault="007016CB" w:rsidP="007016CB">
      <w:pPr>
        <w:pStyle w:val="ListParagraph"/>
        <w:numPr>
          <w:ilvl w:val="0"/>
          <w:numId w:val="12"/>
        </w:numPr>
        <w:rPr>
          <w:rFonts w:ascii="Times New Roman" w:hAnsi="Times New Roman"/>
        </w:rPr>
      </w:pPr>
      <w:r w:rsidRPr="007016CB">
        <w:rPr>
          <w:rFonts w:ascii="Times New Roman" w:hAnsi="Times New Roman"/>
        </w:rPr>
        <w:t xml:space="preserve">36% </w:t>
      </w:r>
      <w:r>
        <w:rPr>
          <w:rFonts w:ascii="Times New Roman" w:hAnsi="Times New Roman"/>
        </w:rPr>
        <w:t>of</w:t>
      </w:r>
      <w:r w:rsidRPr="007016CB">
        <w:rPr>
          <w:rFonts w:ascii="Times New Roman" w:hAnsi="Times New Roman"/>
        </w:rPr>
        <w:t xml:space="preserve"> completions</w:t>
      </w:r>
      <w:r>
        <w:rPr>
          <w:rFonts w:ascii="Times New Roman" w:hAnsi="Times New Roman"/>
        </w:rPr>
        <w:t xml:space="preserve"> are “Green Completions” and have no emissions.</w:t>
      </w:r>
    </w:p>
    <w:p w14:paraId="4D39E0A2" w14:textId="77777777" w:rsidR="007016CB" w:rsidRDefault="007016CB" w:rsidP="007016CB">
      <w:pPr>
        <w:rPr>
          <w:rFonts w:ascii="Times New Roman" w:hAnsi="Times New Roman"/>
        </w:rPr>
      </w:pPr>
    </w:p>
    <w:p w14:paraId="406B7CDF" w14:textId="77777777" w:rsidR="007016CB" w:rsidRDefault="007016CB" w:rsidP="007016CB">
      <w:pPr>
        <w:rPr>
          <w:rFonts w:ascii="Times New Roman" w:hAnsi="Times New Roman"/>
        </w:rPr>
      </w:pPr>
      <w:r>
        <w:rPr>
          <w:rFonts w:ascii="Times New Roman" w:hAnsi="Times New Roman"/>
        </w:rPr>
        <w:t>Therefore, the</w:t>
      </w:r>
      <w:r w:rsidR="004137A9">
        <w:rPr>
          <w:rFonts w:ascii="Times New Roman" w:hAnsi="Times New Roman"/>
        </w:rPr>
        <w:t xml:space="preserve"> default</w:t>
      </w:r>
      <w:r>
        <w:rPr>
          <w:rFonts w:ascii="Times New Roman" w:hAnsi="Times New Roman"/>
        </w:rPr>
        <w:t xml:space="preserve"> uncontrolled </w:t>
      </w:r>
      <w:r w:rsidR="006A7B7C">
        <w:rPr>
          <w:rFonts w:ascii="Times New Roman" w:hAnsi="Times New Roman"/>
        </w:rPr>
        <w:t>vent</w:t>
      </w:r>
      <w:r>
        <w:rPr>
          <w:rFonts w:ascii="Times New Roman" w:hAnsi="Times New Roman"/>
        </w:rPr>
        <w:t xml:space="preserve"> rate is:</w:t>
      </w:r>
    </w:p>
    <w:p w14:paraId="76A23E91" w14:textId="77777777" w:rsidR="007016CB" w:rsidRDefault="00B20A4D" w:rsidP="007016CB">
      <w:pPr>
        <w:rPr>
          <w:rFonts w:ascii="Times New Roman" w:hAnsi="Times New Roman"/>
        </w:rPr>
      </w:pPr>
      <w:r>
        <w:rPr>
          <w:rFonts w:ascii="Times New Roman" w:hAnsi="Times New Roman"/>
          <w:noProof/>
        </w:rPr>
        <w:object w:dxaOrig="1440" w:dyaOrig="1440" w14:anchorId="1743D118">
          <v:shape id="_x0000_s1031" type="#_x0000_t75" style="position:absolute;margin-left:-.55pt;margin-top:12.9pt;width:290.25pt;height:34.6pt;z-index:251659264">
            <v:imagedata r:id="rId16" o:title=""/>
          </v:shape>
          <o:OLEObject Type="Embed" ProgID="Equation.3" ShapeID="_x0000_s1031" DrawAspect="Content" ObjectID="_1648555918" r:id="rId17"/>
        </w:object>
      </w:r>
    </w:p>
    <w:p w14:paraId="49472C6C" w14:textId="77777777" w:rsidR="00B85AFE" w:rsidRDefault="00B85AFE" w:rsidP="007016CB">
      <w:pPr>
        <w:rPr>
          <w:rFonts w:ascii="Times New Roman" w:hAnsi="Times New Roman"/>
        </w:rPr>
      </w:pPr>
    </w:p>
    <w:p w14:paraId="4A800CDE" w14:textId="77777777" w:rsidR="00B85AFE" w:rsidRDefault="00B85AFE" w:rsidP="007016CB">
      <w:pPr>
        <w:rPr>
          <w:rFonts w:ascii="Times New Roman" w:hAnsi="Times New Roman"/>
        </w:rPr>
      </w:pPr>
    </w:p>
    <w:p w14:paraId="2D7A6E20" w14:textId="77777777" w:rsidR="00B85AFE" w:rsidRDefault="00B85AFE" w:rsidP="007016CB">
      <w:pPr>
        <w:rPr>
          <w:rFonts w:ascii="Times New Roman" w:hAnsi="Times New Roman"/>
        </w:rPr>
      </w:pPr>
    </w:p>
    <w:p w14:paraId="4CDF946C" w14:textId="77777777" w:rsidR="00B85AFE" w:rsidRDefault="00B85AFE" w:rsidP="007016CB">
      <w:pPr>
        <w:rPr>
          <w:rFonts w:ascii="Times New Roman" w:hAnsi="Times New Roman"/>
        </w:rPr>
      </w:pPr>
    </w:p>
    <w:p w14:paraId="384DC20F" w14:textId="77777777" w:rsidR="007016CB" w:rsidRPr="007016CB" w:rsidRDefault="006A7B7C" w:rsidP="007016CB">
      <w:pPr>
        <w:rPr>
          <w:rFonts w:ascii="Times New Roman" w:hAnsi="Times New Roman"/>
        </w:rPr>
      </w:pPr>
      <w:r w:rsidRPr="001E5783">
        <w:rPr>
          <w:position w:val="-14"/>
        </w:rPr>
        <w:object w:dxaOrig="2060" w:dyaOrig="380" w14:anchorId="1FB95512">
          <v:shape id="_x0000_i1029" type="#_x0000_t75" style="width:106.45pt;height:19.4pt" o:ole="">
            <v:imagedata r:id="rId18" o:title=""/>
          </v:shape>
          <o:OLEObject Type="Embed" ProgID="Equation.3" ShapeID="_x0000_i1029" DrawAspect="Content" ObjectID="_1648555915" r:id="rId19"/>
        </w:object>
      </w:r>
      <w:r>
        <w:t xml:space="preserve"> </w:t>
      </w:r>
      <w:r>
        <w:rPr>
          <w:rFonts w:ascii="Times New Roman" w:hAnsi="Times New Roman"/>
        </w:rPr>
        <w:t>= 1,884</w:t>
      </w:r>
      <w:r w:rsidR="007016CB">
        <w:rPr>
          <w:rFonts w:ascii="Times New Roman" w:hAnsi="Times New Roman"/>
        </w:rPr>
        <w:t xml:space="preserve"> </w:t>
      </w:r>
      <w:r w:rsidR="007016CB" w:rsidRPr="007016CB">
        <w:rPr>
          <w:rFonts w:ascii="Times New Roman" w:hAnsi="Times New Roman"/>
          <w:color w:val="000000"/>
          <w:spacing w:val="-3"/>
          <w:w w:val="105"/>
        </w:rPr>
        <w:t>(ft</w:t>
      </w:r>
      <w:r w:rsidR="007016CB" w:rsidRPr="007016CB">
        <w:rPr>
          <w:rFonts w:ascii="Times New Roman" w:hAnsi="Times New Roman"/>
          <w:color w:val="000000"/>
          <w:spacing w:val="-3"/>
          <w:w w:val="105"/>
          <w:vertAlign w:val="superscript"/>
        </w:rPr>
        <w:t>3</w:t>
      </w:r>
      <w:r w:rsidR="007016CB" w:rsidRPr="007016CB">
        <w:rPr>
          <w:rFonts w:ascii="Times New Roman" w:hAnsi="Times New Roman"/>
          <w:color w:val="000000"/>
          <w:spacing w:val="-3"/>
          <w:w w:val="105"/>
        </w:rPr>
        <w:t>/completion)</w:t>
      </w:r>
    </w:p>
    <w:p w14:paraId="1A1A9696" w14:textId="77777777" w:rsidR="007016CB" w:rsidRDefault="007016CB" w:rsidP="00AC03CC">
      <w:pPr>
        <w:spacing w:before="36"/>
        <w:rPr>
          <w:rFonts w:ascii="Times New Roman" w:hAnsi="Times New Roman"/>
          <w:color w:val="000000"/>
          <w:spacing w:val="-3"/>
          <w:w w:val="105"/>
        </w:rPr>
      </w:pPr>
    </w:p>
    <w:p w14:paraId="090FC9DE" w14:textId="77777777" w:rsidR="007016CB" w:rsidRPr="007016CB" w:rsidRDefault="007016CB" w:rsidP="00AC03CC">
      <w:pPr>
        <w:spacing w:before="36"/>
        <w:rPr>
          <w:rFonts w:ascii="Times New Roman" w:hAnsi="Times New Roman"/>
          <w:color w:val="000000"/>
          <w:spacing w:val="-3"/>
          <w:w w:val="105"/>
        </w:rPr>
      </w:pPr>
    </w:p>
    <w:sectPr w:rsidR="007016CB" w:rsidRPr="007016CB" w:rsidSect="00A8795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49DFDA" w14:textId="77777777" w:rsidR="00B20A4D" w:rsidRDefault="00B20A4D" w:rsidP="00A0509A">
      <w:r>
        <w:separator/>
      </w:r>
    </w:p>
  </w:endnote>
  <w:endnote w:type="continuationSeparator" w:id="0">
    <w:p w14:paraId="65B92A46" w14:textId="77777777" w:rsidR="00B20A4D" w:rsidRDefault="00B20A4D" w:rsidP="00A05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27860"/>
      <w:docPartObj>
        <w:docPartGallery w:val="Page Numbers (Bottom of Page)"/>
        <w:docPartUnique/>
      </w:docPartObj>
    </w:sdtPr>
    <w:sdtEndPr/>
    <w:sdtContent>
      <w:p w14:paraId="4430EA50" w14:textId="77777777" w:rsidR="007848F6" w:rsidRDefault="00FA18A4">
        <w:pPr>
          <w:pStyle w:val="Footer"/>
          <w:jc w:val="center"/>
        </w:pPr>
        <w:r>
          <w:fldChar w:fldCharType="begin"/>
        </w:r>
        <w:r>
          <w:instrText xml:space="preserve"> PAGE   \* MERGEFORMAT </w:instrText>
        </w:r>
        <w:r>
          <w:fldChar w:fldCharType="separate"/>
        </w:r>
        <w:r w:rsidR="00F715E3">
          <w:rPr>
            <w:noProof/>
          </w:rPr>
          <w:t>1</w:t>
        </w:r>
        <w:r>
          <w:rPr>
            <w:noProof/>
          </w:rPr>
          <w:fldChar w:fldCharType="end"/>
        </w:r>
      </w:p>
    </w:sdtContent>
  </w:sdt>
  <w:p w14:paraId="2399CF8A" w14:textId="77777777" w:rsidR="007848F6" w:rsidRDefault="007848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E2C16D" w14:textId="77777777" w:rsidR="00B20A4D" w:rsidRDefault="00B20A4D" w:rsidP="00A0509A">
      <w:r>
        <w:separator/>
      </w:r>
    </w:p>
  </w:footnote>
  <w:footnote w:type="continuationSeparator" w:id="0">
    <w:p w14:paraId="67AB5CB2" w14:textId="77777777" w:rsidR="00B20A4D" w:rsidRDefault="00B20A4D" w:rsidP="00A050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637EA"/>
    <w:multiLevelType w:val="hybridMultilevel"/>
    <w:tmpl w:val="7B804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184A76"/>
    <w:multiLevelType w:val="hybridMultilevel"/>
    <w:tmpl w:val="C08C5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B147C5"/>
    <w:multiLevelType w:val="hybridMultilevel"/>
    <w:tmpl w:val="29F642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3EE3312"/>
    <w:multiLevelType w:val="hybridMultilevel"/>
    <w:tmpl w:val="09EAA4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5C27668"/>
    <w:multiLevelType w:val="hybridMultilevel"/>
    <w:tmpl w:val="8FE864A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4C6A4C7F"/>
    <w:multiLevelType w:val="hybridMultilevel"/>
    <w:tmpl w:val="EE189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722CF9"/>
    <w:multiLevelType w:val="hybridMultilevel"/>
    <w:tmpl w:val="2390A7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F382522"/>
    <w:multiLevelType w:val="multilevel"/>
    <w:tmpl w:val="69788E70"/>
    <w:lvl w:ilvl="0">
      <w:start w:val="1"/>
      <w:numFmt w:val="bullet"/>
      <w:lvlText w:val=""/>
      <w:lvlJc w:val="left"/>
      <w:pPr>
        <w:tabs>
          <w:tab w:val="decimal" w:pos="504"/>
        </w:tabs>
        <w:ind w:left="720"/>
      </w:pPr>
      <w:rPr>
        <w:rFonts w:ascii="Symbol" w:hAnsi="Symbol"/>
        <w:strike w:val="0"/>
        <w:color w:val="000000"/>
        <w:spacing w:val="-4"/>
        <w:w w:val="105"/>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3935BBE"/>
    <w:multiLevelType w:val="hybridMultilevel"/>
    <w:tmpl w:val="9962C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0C7D3C"/>
    <w:multiLevelType w:val="hybridMultilevel"/>
    <w:tmpl w:val="53CC13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F9E5C2D"/>
    <w:multiLevelType w:val="multilevel"/>
    <w:tmpl w:val="E73A5EC2"/>
    <w:lvl w:ilvl="0">
      <w:start w:val="1"/>
      <w:numFmt w:val="bullet"/>
      <w:lvlText w:val=""/>
      <w:lvlJc w:val="left"/>
      <w:pPr>
        <w:tabs>
          <w:tab w:val="decimal" w:pos="432"/>
        </w:tabs>
        <w:ind w:left="720"/>
      </w:pPr>
      <w:rPr>
        <w:rFonts w:ascii="Symbol" w:hAnsi="Symbol"/>
        <w:strike w:val="0"/>
        <w:color w:val="000000"/>
        <w:spacing w:val="18"/>
        <w:w w:val="105"/>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7890894"/>
    <w:multiLevelType w:val="hybridMultilevel"/>
    <w:tmpl w:val="9B0801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9480FF9"/>
    <w:multiLevelType w:val="multilevel"/>
    <w:tmpl w:val="0F42C996"/>
    <w:lvl w:ilvl="0">
      <w:start w:val="5"/>
      <w:numFmt w:val="upperRoman"/>
      <w:lvlText w:val="%1."/>
      <w:lvlJc w:val="left"/>
      <w:pPr>
        <w:tabs>
          <w:tab w:val="decimal" w:pos="792"/>
        </w:tabs>
        <w:ind w:left="720"/>
      </w:pPr>
      <w:rPr>
        <w:rFonts w:ascii="Times New Roman" w:hAnsi="Times New Roman"/>
        <w:b/>
        <w:strike w:val="0"/>
        <w:color w:val="000000"/>
        <w:spacing w:val="36"/>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7"/>
  </w:num>
  <w:num w:numId="3">
    <w:abstractNumId w:val="12"/>
  </w:num>
  <w:num w:numId="4">
    <w:abstractNumId w:val="9"/>
  </w:num>
  <w:num w:numId="5">
    <w:abstractNumId w:val="2"/>
  </w:num>
  <w:num w:numId="6">
    <w:abstractNumId w:val="4"/>
  </w:num>
  <w:num w:numId="7">
    <w:abstractNumId w:val="5"/>
  </w:num>
  <w:num w:numId="8">
    <w:abstractNumId w:val="3"/>
  </w:num>
  <w:num w:numId="9">
    <w:abstractNumId w:val="11"/>
  </w:num>
  <w:num w:numId="10">
    <w:abstractNumId w:val="8"/>
  </w:num>
  <w:num w:numId="11">
    <w:abstractNumId w:val="1"/>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09A"/>
    <w:rsid w:val="000126C2"/>
    <w:rsid w:val="000202EC"/>
    <w:rsid w:val="00033EDE"/>
    <w:rsid w:val="0003709C"/>
    <w:rsid w:val="000535EF"/>
    <w:rsid w:val="000546E0"/>
    <w:rsid w:val="00086C1B"/>
    <w:rsid w:val="0009431C"/>
    <w:rsid w:val="00097735"/>
    <w:rsid w:val="000B0AC5"/>
    <w:rsid w:val="000B3E4A"/>
    <w:rsid w:val="000C7C18"/>
    <w:rsid w:val="000E2195"/>
    <w:rsid w:val="000E7EC3"/>
    <w:rsid w:val="0011486D"/>
    <w:rsid w:val="001341D3"/>
    <w:rsid w:val="001405B5"/>
    <w:rsid w:val="001456BE"/>
    <w:rsid w:val="00152FB2"/>
    <w:rsid w:val="0018441A"/>
    <w:rsid w:val="00196225"/>
    <w:rsid w:val="001A3E9E"/>
    <w:rsid w:val="001A671E"/>
    <w:rsid w:val="001D7E1E"/>
    <w:rsid w:val="00214530"/>
    <w:rsid w:val="00233E90"/>
    <w:rsid w:val="00234BA6"/>
    <w:rsid w:val="002424F3"/>
    <w:rsid w:val="002444AF"/>
    <w:rsid w:val="00251A23"/>
    <w:rsid w:val="002605A8"/>
    <w:rsid w:val="00265673"/>
    <w:rsid w:val="00274561"/>
    <w:rsid w:val="002841EE"/>
    <w:rsid w:val="002B04BB"/>
    <w:rsid w:val="002C2187"/>
    <w:rsid w:val="003061C7"/>
    <w:rsid w:val="003220A1"/>
    <w:rsid w:val="00324585"/>
    <w:rsid w:val="00325A30"/>
    <w:rsid w:val="00335648"/>
    <w:rsid w:val="00365CFF"/>
    <w:rsid w:val="0036689B"/>
    <w:rsid w:val="0036778F"/>
    <w:rsid w:val="00396B3A"/>
    <w:rsid w:val="003A24B2"/>
    <w:rsid w:val="003A36EE"/>
    <w:rsid w:val="003B3443"/>
    <w:rsid w:val="003C553A"/>
    <w:rsid w:val="003E48BA"/>
    <w:rsid w:val="003E52B3"/>
    <w:rsid w:val="003F2842"/>
    <w:rsid w:val="00411C00"/>
    <w:rsid w:val="004137A9"/>
    <w:rsid w:val="0045657A"/>
    <w:rsid w:val="00471E0B"/>
    <w:rsid w:val="004B0573"/>
    <w:rsid w:val="004E633E"/>
    <w:rsid w:val="005043F5"/>
    <w:rsid w:val="00526428"/>
    <w:rsid w:val="00532A99"/>
    <w:rsid w:val="00544ECF"/>
    <w:rsid w:val="00575EC9"/>
    <w:rsid w:val="0059640A"/>
    <w:rsid w:val="005A5737"/>
    <w:rsid w:val="005A66E6"/>
    <w:rsid w:val="005C2A53"/>
    <w:rsid w:val="005D14DC"/>
    <w:rsid w:val="005F229C"/>
    <w:rsid w:val="005F3BD1"/>
    <w:rsid w:val="005F60E4"/>
    <w:rsid w:val="005F7FB6"/>
    <w:rsid w:val="00605CF8"/>
    <w:rsid w:val="00622AC5"/>
    <w:rsid w:val="0062530A"/>
    <w:rsid w:val="00654134"/>
    <w:rsid w:val="00661670"/>
    <w:rsid w:val="00676EF0"/>
    <w:rsid w:val="00686F2C"/>
    <w:rsid w:val="0069375D"/>
    <w:rsid w:val="006A7B7C"/>
    <w:rsid w:val="006B01A6"/>
    <w:rsid w:val="006B1C27"/>
    <w:rsid w:val="006B690C"/>
    <w:rsid w:val="006E2917"/>
    <w:rsid w:val="007016CB"/>
    <w:rsid w:val="00736FEA"/>
    <w:rsid w:val="00737BA5"/>
    <w:rsid w:val="007711D1"/>
    <w:rsid w:val="00781E8B"/>
    <w:rsid w:val="007848F6"/>
    <w:rsid w:val="007B57DE"/>
    <w:rsid w:val="007D442A"/>
    <w:rsid w:val="007E0F7A"/>
    <w:rsid w:val="007E1F4E"/>
    <w:rsid w:val="007F6852"/>
    <w:rsid w:val="00807015"/>
    <w:rsid w:val="00811665"/>
    <w:rsid w:val="00817200"/>
    <w:rsid w:val="008338F3"/>
    <w:rsid w:val="00860C58"/>
    <w:rsid w:val="00876FDE"/>
    <w:rsid w:val="0089182E"/>
    <w:rsid w:val="008E0194"/>
    <w:rsid w:val="00937B42"/>
    <w:rsid w:val="00961647"/>
    <w:rsid w:val="009707BF"/>
    <w:rsid w:val="009760B3"/>
    <w:rsid w:val="00982D3B"/>
    <w:rsid w:val="009C29BD"/>
    <w:rsid w:val="009D3519"/>
    <w:rsid w:val="009D44D8"/>
    <w:rsid w:val="009D7780"/>
    <w:rsid w:val="009E6197"/>
    <w:rsid w:val="009F5365"/>
    <w:rsid w:val="00A0509A"/>
    <w:rsid w:val="00A261F1"/>
    <w:rsid w:val="00A35D4D"/>
    <w:rsid w:val="00A37940"/>
    <w:rsid w:val="00A645C7"/>
    <w:rsid w:val="00A6759B"/>
    <w:rsid w:val="00A75D5C"/>
    <w:rsid w:val="00A82F3D"/>
    <w:rsid w:val="00A8549F"/>
    <w:rsid w:val="00A8795F"/>
    <w:rsid w:val="00AB0D93"/>
    <w:rsid w:val="00AB3A93"/>
    <w:rsid w:val="00AC03CC"/>
    <w:rsid w:val="00AC1607"/>
    <w:rsid w:val="00AD75DC"/>
    <w:rsid w:val="00AE054E"/>
    <w:rsid w:val="00AE31A8"/>
    <w:rsid w:val="00AE3627"/>
    <w:rsid w:val="00AF4041"/>
    <w:rsid w:val="00B05A45"/>
    <w:rsid w:val="00B15EA2"/>
    <w:rsid w:val="00B20A4D"/>
    <w:rsid w:val="00B520F7"/>
    <w:rsid w:val="00B52A74"/>
    <w:rsid w:val="00B650B1"/>
    <w:rsid w:val="00B80B90"/>
    <w:rsid w:val="00B845AB"/>
    <w:rsid w:val="00B85AFE"/>
    <w:rsid w:val="00B91BC5"/>
    <w:rsid w:val="00B939A3"/>
    <w:rsid w:val="00B94290"/>
    <w:rsid w:val="00BE00D1"/>
    <w:rsid w:val="00C02D74"/>
    <w:rsid w:val="00C176C7"/>
    <w:rsid w:val="00C215E0"/>
    <w:rsid w:val="00C22E1A"/>
    <w:rsid w:val="00C351C8"/>
    <w:rsid w:val="00C400FE"/>
    <w:rsid w:val="00C62B4A"/>
    <w:rsid w:val="00C8385D"/>
    <w:rsid w:val="00C9375D"/>
    <w:rsid w:val="00CA5E7E"/>
    <w:rsid w:val="00CC066F"/>
    <w:rsid w:val="00CE5D47"/>
    <w:rsid w:val="00CF1098"/>
    <w:rsid w:val="00D0424A"/>
    <w:rsid w:val="00D21DCA"/>
    <w:rsid w:val="00D503D9"/>
    <w:rsid w:val="00D57D06"/>
    <w:rsid w:val="00D70877"/>
    <w:rsid w:val="00D8043F"/>
    <w:rsid w:val="00D9363D"/>
    <w:rsid w:val="00DA0761"/>
    <w:rsid w:val="00DA3287"/>
    <w:rsid w:val="00DB69C5"/>
    <w:rsid w:val="00DE7DD5"/>
    <w:rsid w:val="00DF392B"/>
    <w:rsid w:val="00E00854"/>
    <w:rsid w:val="00E01A32"/>
    <w:rsid w:val="00E357C7"/>
    <w:rsid w:val="00E41917"/>
    <w:rsid w:val="00E4506D"/>
    <w:rsid w:val="00E514DD"/>
    <w:rsid w:val="00E5662B"/>
    <w:rsid w:val="00E6117D"/>
    <w:rsid w:val="00E65B8F"/>
    <w:rsid w:val="00E85E62"/>
    <w:rsid w:val="00EA1684"/>
    <w:rsid w:val="00EB0448"/>
    <w:rsid w:val="00EB211B"/>
    <w:rsid w:val="00EB4AA6"/>
    <w:rsid w:val="00ED72D4"/>
    <w:rsid w:val="00EE5E2B"/>
    <w:rsid w:val="00EE617F"/>
    <w:rsid w:val="00F0264C"/>
    <w:rsid w:val="00F04683"/>
    <w:rsid w:val="00F21E90"/>
    <w:rsid w:val="00F26495"/>
    <w:rsid w:val="00F31EF1"/>
    <w:rsid w:val="00F56A43"/>
    <w:rsid w:val="00F5761C"/>
    <w:rsid w:val="00F658DF"/>
    <w:rsid w:val="00F715E3"/>
    <w:rsid w:val="00F7208C"/>
    <w:rsid w:val="00F817F5"/>
    <w:rsid w:val="00F838CE"/>
    <w:rsid w:val="00FA18A4"/>
    <w:rsid w:val="00FB323A"/>
    <w:rsid w:val="00FC0C37"/>
    <w:rsid w:val="00FC53FD"/>
    <w:rsid w:val="00FC69D2"/>
    <w:rsid w:val="00FE1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729E6D"/>
  <w15:docId w15:val="{380A4617-C206-4FBB-930C-3C175F6DE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09A"/>
    <w:pPr>
      <w:spacing w:after="0"/>
    </w:pPr>
    <w:rPr>
      <w:rFonts w:ascii="Calibri" w:eastAsia="Times New Roman"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0509A"/>
    <w:pPr>
      <w:spacing w:after="0"/>
    </w:pPr>
    <w:rPr>
      <w:rFonts w:ascii="Calibri" w:eastAsia="Calibri" w:hAnsi="Calibri" w:cs="Times New Roman"/>
    </w:rPr>
  </w:style>
  <w:style w:type="paragraph" w:styleId="Header">
    <w:name w:val="header"/>
    <w:basedOn w:val="Normal"/>
    <w:link w:val="HeaderChar"/>
    <w:unhideWhenUsed/>
    <w:rsid w:val="00A0509A"/>
    <w:pPr>
      <w:tabs>
        <w:tab w:val="center" w:pos="4680"/>
        <w:tab w:val="right" w:pos="9360"/>
      </w:tabs>
    </w:pPr>
  </w:style>
  <w:style w:type="character" w:customStyle="1" w:styleId="HeaderChar">
    <w:name w:val="Header Char"/>
    <w:basedOn w:val="DefaultParagraphFont"/>
    <w:link w:val="Header"/>
    <w:rsid w:val="00A0509A"/>
    <w:rPr>
      <w:rFonts w:ascii="Calibri" w:eastAsia="Times New Roman" w:hAnsi="Calibri" w:cs="Times New Roman"/>
      <w:sz w:val="24"/>
      <w:szCs w:val="24"/>
    </w:rPr>
  </w:style>
  <w:style w:type="paragraph" w:styleId="Footer">
    <w:name w:val="footer"/>
    <w:basedOn w:val="Normal"/>
    <w:link w:val="FooterChar"/>
    <w:uiPriority w:val="99"/>
    <w:unhideWhenUsed/>
    <w:rsid w:val="00A0509A"/>
    <w:pPr>
      <w:tabs>
        <w:tab w:val="center" w:pos="4680"/>
        <w:tab w:val="right" w:pos="9360"/>
      </w:tabs>
    </w:pPr>
  </w:style>
  <w:style w:type="character" w:customStyle="1" w:styleId="FooterChar">
    <w:name w:val="Footer Char"/>
    <w:basedOn w:val="DefaultParagraphFont"/>
    <w:link w:val="Footer"/>
    <w:uiPriority w:val="99"/>
    <w:rsid w:val="00A0509A"/>
    <w:rPr>
      <w:rFonts w:ascii="Calibri" w:eastAsia="Times New Roman" w:hAnsi="Calibri" w:cs="Times New Roman"/>
      <w:sz w:val="24"/>
      <w:szCs w:val="24"/>
    </w:rPr>
  </w:style>
  <w:style w:type="paragraph" w:styleId="ListParagraph">
    <w:name w:val="List Paragraph"/>
    <w:basedOn w:val="Normal"/>
    <w:uiPriority w:val="34"/>
    <w:qFormat/>
    <w:rsid w:val="005A66E6"/>
    <w:pPr>
      <w:ind w:left="720"/>
      <w:contextualSpacing/>
    </w:pPr>
  </w:style>
  <w:style w:type="character" w:styleId="Hyperlink">
    <w:name w:val="Hyperlink"/>
    <w:basedOn w:val="DefaultParagraphFont"/>
    <w:uiPriority w:val="99"/>
    <w:unhideWhenUsed/>
    <w:rsid w:val="00274561"/>
    <w:rPr>
      <w:color w:val="0000FF" w:themeColor="hyperlink"/>
      <w:u w:val="single"/>
    </w:rPr>
  </w:style>
  <w:style w:type="character" w:styleId="FollowedHyperlink">
    <w:name w:val="FollowedHyperlink"/>
    <w:basedOn w:val="DefaultParagraphFont"/>
    <w:uiPriority w:val="99"/>
    <w:semiHidden/>
    <w:unhideWhenUsed/>
    <w:rsid w:val="00274561"/>
    <w:rPr>
      <w:color w:val="800080" w:themeColor="followedHyperlink"/>
      <w:u w:val="single"/>
    </w:rPr>
  </w:style>
  <w:style w:type="paragraph" w:styleId="FootnoteText">
    <w:name w:val="footnote text"/>
    <w:basedOn w:val="Normal"/>
    <w:link w:val="FootnoteTextChar"/>
    <w:uiPriority w:val="99"/>
    <w:semiHidden/>
    <w:unhideWhenUsed/>
    <w:rsid w:val="0036689B"/>
    <w:rPr>
      <w:sz w:val="20"/>
      <w:szCs w:val="20"/>
    </w:rPr>
  </w:style>
  <w:style w:type="character" w:customStyle="1" w:styleId="FootnoteTextChar">
    <w:name w:val="Footnote Text Char"/>
    <w:basedOn w:val="DefaultParagraphFont"/>
    <w:link w:val="FootnoteText"/>
    <w:uiPriority w:val="99"/>
    <w:semiHidden/>
    <w:rsid w:val="0036689B"/>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36689B"/>
    <w:rPr>
      <w:vertAlign w:val="superscript"/>
    </w:rPr>
  </w:style>
  <w:style w:type="paragraph" w:customStyle="1" w:styleId="ReportBullet">
    <w:name w:val="Report Bullet"/>
    <w:basedOn w:val="Normal"/>
    <w:uiPriority w:val="99"/>
    <w:rsid w:val="00196225"/>
    <w:pPr>
      <w:spacing w:after="60"/>
    </w:pPr>
  </w:style>
  <w:style w:type="paragraph" w:styleId="BalloonText">
    <w:name w:val="Balloon Text"/>
    <w:basedOn w:val="Normal"/>
    <w:link w:val="BalloonTextChar"/>
    <w:uiPriority w:val="99"/>
    <w:semiHidden/>
    <w:unhideWhenUsed/>
    <w:rsid w:val="002424F3"/>
    <w:rPr>
      <w:rFonts w:ascii="Tahoma" w:hAnsi="Tahoma" w:cs="Tahoma"/>
      <w:sz w:val="16"/>
      <w:szCs w:val="16"/>
    </w:rPr>
  </w:style>
  <w:style w:type="character" w:customStyle="1" w:styleId="BalloonTextChar">
    <w:name w:val="Balloon Text Char"/>
    <w:basedOn w:val="DefaultParagraphFont"/>
    <w:link w:val="BalloonText"/>
    <w:uiPriority w:val="99"/>
    <w:semiHidden/>
    <w:rsid w:val="002424F3"/>
    <w:rPr>
      <w:rFonts w:ascii="Tahoma" w:eastAsia="Times New Roman" w:hAnsi="Tahoma" w:cs="Tahoma"/>
      <w:sz w:val="16"/>
      <w:szCs w:val="16"/>
    </w:rPr>
  </w:style>
  <w:style w:type="paragraph" w:customStyle="1" w:styleId="Tabletitle-GHGPreamble">
    <w:name w:val="_Table title-GHG Preamble"/>
    <w:link w:val="Tabletitle-GHGPreambleChar"/>
    <w:uiPriority w:val="97"/>
    <w:unhideWhenUsed/>
    <w:rsid w:val="00BE00D1"/>
    <w:pPr>
      <w:keepNext/>
      <w:spacing w:before="80" w:after="80"/>
      <w:outlineLvl w:val="0"/>
    </w:pPr>
    <w:rPr>
      <w:rFonts w:ascii="Courier New" w:eastAsia="Times New Roman" w:hAnsi="Courier New" w:cs="Courier New"/>
      <w:b/>
      <w:bCs/>
      <w:sz w:val="24"/>
      <w:szCs w:val="24"/>
    </w:rPr>
  </w:style>
  <w:style w:type="character" w:customStyle="1" w:styleId="Tabletitle-GHGPreambleChar">
    <w:name w:val="_Table title-GHG Preamble Char"/>
    <w:basedOn w:val="DefaultParagraphFont"/>
    <w:link w:val="Tabletitle-GHGPreamble"/>
    <w:uiPriority w:val="97"/>
    <w:rsid w:val="00BE00D1"/>
    <w:rPr>
      <w:rFonts w:ascii="Courier New" w:eastAsia="Times New Roman" w:hAnsi="Courier New" w:cs="Courier New"/>
      <w:b/>
      <w:bCs/>
      <w:sz w:val="24"/>
      <w:szCs w:val="24"/>
    </w:rPr>
  </w:style>
  <w:style w:type="paragraph" w:customStyle="1" w:styleId="Table-preamble">
    <w:name w:val="_Table-preamble"/>
    <w:basedOn w:val="Normal"/>
    <w:link w:val="Table-preambleChar"/>
    <w:uiPriority w:val="99"/>
    <w:unhideWhenUsed/>
    <w:rsid w:val="00BE00D1"/>
    <w:rPr>
      <w:rFonts w:ascii="Courier New" w:hAnsi="Courier New" w:cs="Courier New"/>
      <w:sz w:val="20"/>
    </w:rPr>
  </w:style>
  <w:style w:type="character" w:customStyle="1" w:styleId="Table-preambleChar">
    <w:name w:val="_Table-preamble Char"/>
    <w:basedOn w:val="DefaultParagraphFont"/>
    <w:link w:val="Table-preamble"/>
    <w:uiPriority w:val="99"/>
    <w:rsid w:val="00BE00D1"/>
    <w:rPr>
      <w:rFonts w:ascii="Courier New" w:eastAsia="Times New Roman" w:hAnsi="Courier New" w:cs="Courier New"/>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335244">
      <w:bodyDiv w:val="1"/>
      <w:marLeft w:val="0"/>
      <w:marRight w:val="0"/>
      <w:marTop w:val="0"/>
      <w:marBottom w:val="0"/>
      <w:divBdr>
        <w:top w:val="none" w:sz="0" w:space="0" w:color="auto"/>
        <w:left w:val="none" w:sz="0" w:space="0" w:color="auto"/>
        <w:bottom w:val="none" w:sz="0" w:space="0" w:color="auto"/>
        <w:right w:val="none" w:sz="0" w:space="0" w:color="auto"/>
      </w:divBdr>
    </w:div>
    <w:div w:id="229578172">
      <w:bodyDiv w:val="1"/>
      <w:marLeft w:val="0"/>
      <w:marRight w:val="0"/>
      <w:marTop w:val="0"/>
      <w:marBottom w:val="0"/>
      <w:divBdr>
        <w:top w:val="none" w:sz="0" w:space="0" w:color="auto"/>
        <w:left w:val="none" w:sz="0" w:space="0" w:color="auto"/>
        <w:bottom w:val="none" w:sz="0" w:space="0" w:color="auto"/>
        <w:right w:val="none" w:sz="0" w:space="0" w:color="auto"/>
      </w:divBdr>
    </w:div>
    <w:div w:id="911353350">
      <w:bodyDiv w:val="1"/>
      <w:marLeft w:val="0"/>
      <w:marRight w:val="0"/>
      <w:marTop w:val="0"/>
      <w:marBottom w:val="0"/>
      <w:divBdr>
        <w:top w:val="none" w:sz="0" w:space="0" w:color="auto"/>
        <w:left w:val="none" w:sz="0" w:space="0" w:color="auto"/>
        <w:bottom w:val="none" w:sz="0" w:space="0" w:color="auto"/>
        <w:right w:val="none" w:sz="0" w:space="0" w:color="auto"/>
      </w:divBdr>
    </w:div>
    <w:div w:id="1012336094">
      <w:bodyDiv w:val="1"/>
      <w:marLeft w:val="0"/>
      <w:marRight w:val="0"/>
      <w:marTop w:val="0"/>
      <w:marBottom w:val="0"/>
      <w:divBdr>
        <w:top w:val="none" w:sz="0" w:space="0" w:color="auto"/>
        <w:left w:val="none" w:sz="0" w:space="0" w:color="auto"/>
        <w:bottom w:val="none" w:sz="0" w:space="0" w:color="auto"/>
        <w:right w:val="none" w:sz="0" w:space="0" w:color="auto"/>
      </w:divBdr>
    </w:div>
    <w:div w:id="1129590231">
      <w:bodyDiv w:val="1"/>
      <w:marLeft w:val="0"/>
      <w:marRight w:val="0"/>
      <w:marTop w:val="0"/>
      <w:marBottom w:val="0"/>
      <w:divBdr>
        <w:top w:val="none" w:sz="0" w:space="0" w:color="auto"/>
        <w:left w:val="none" w:sz="0" w:space="0" w:color="auto"/>
        <w:bottom w:val="none" w:sz="0" w:space="0" w:color="auto"/>
        <w:right w:val="none" w:sz="0" w:space="0" w:color="auto"/>
      </w:divBdr>
    </w:div>
    <w:div w:id="1290161689">
      <w:bodyDiv w:val="1"/>
      <w:marLeft w:val="0"/>
      <w:marRight w:val="0"/>
      <w:marTop w:val="0"/>
      <w:marBottom w:val="0"/>
      <w:divBdr>
        <w:top w:val="none" w:sz="0" w:space="0" w:color="auto"/>
        <w:left w:val="none" w:sz="0" w:space="0" w:color="auto"/>
        <w:bottom w:val="none" w:sz="0" w:space="0" w:color="auto"/>
        <w:right w:val="none" w:sz="0" w:space="0" w:color="auto"/>
      </w:divBdr>
    </w:div>
    <w:div w:id="1565943892">
      <w:bodyDiv w:val="1"/>
      <w:marLeft w:val="0"/>
      <w:marRight w:val="0"/>
      <w:marTop w:val="0"/>
      <w:marBottom w:val="0"/>
      <w:divBdr>
        <w:top w:val="none" w:sz="0" w:space="0" w:color="auto"/>
        <w:left w:val="none" w:sz="0" w:space="0" w:color="auto"/>
        <w:bottom w:val="none" w:sz="0" w:space="0" w:color="auto"/>
        <w:right w:val="none" w:sz="0" w:space="0" w:color="auto"/>
      </w:divBdr>
    </w:div>
    <w:div w:id="1579711422">
      <w:bodyDiv w:val="1"/>
      <w:marLeft w:val="60"/>
      <w:marRight w:val="60"/>
      <w:marTop w:val="60"/>
      <w:marBottom w:val="15"/>
      <w:divBdr>
        <w:top w:val="none" w:sz="0" w:space="0" w:color="auto"/>
        <w:left w:val="none" w:sz="0" w:space="0" w:color="auto"/>
        <w:bottom w:val="none" w:sz="0" w:space="0" w:color="auto"/>
        <w:right w:val="none" w:sz="0" w:space="0" w:color="auto"/>
      </w:divBdr>
      <w:divsChild>
        <w:div w:id="111554803">
          <w:marLeft w:val="0"/>
          <w:marRight w:val="0"/>
          <w:marTop w:val="0"/>
          <w:marBottom w:val="0"/>
          <w:divBdr>
            <w:top w:val="none" w:sz="0" w:space="0" w:color="auto"/>
            <w:left w:val="none" w:sz="0" w:space="0" w:color="auto"/>
            <w:bottom w:val="none" w:sz="0" w:space="0" w:color="auto"/>
            <w:right w:val="none" w:sz="0" w:space="0" w:color="auto"/>
          </w:divBdr>
        </w:div>
        <w:div w:id="1962101918">
          <w:marLeft w:val="0"/>
          <w:marRight w:val="0"/>
          <w:marTop w:val="0"/>
          <w:marBottom w:val="0"/>
          <w:divBdr>
            <w:top w:val="none" w:sz="0" w:space="0" w:color="auto"/>
            <w:left w:val="none" w:sz="0" w:space="0" w:color="auto"/>
            <w:bottom w:val="none" w:sz="0" w:space="0" w:color="auto"/>
            <w:right w:val="none" w:sz="0" w:space="0" w:color="auto"/>
          </w:divBdr>
        </w:div>
        <w:div w:id="1811820786">
          <w:marLeft w:val="0"/>
          <w:marRight w:val="0"/>
          <w:marTop w:val="0"/>
          <w:marBottom w:val="0"/>
          <w:divBdr>
            <w:top w:val="none" w:sz="0" w:space="0" w:color="auto"/>
            <w:left w:val="none" w:sz="0" w:space="0" w:color="auto"/>
            <w:bottom w:val="none" w:sz="0" w:space="0" w:color="auto"/>
            <w:right w:val="none" w:sz="0" w:space="0" w:color="auto"/>
          </w:divBdr>
        </w:div>
        <w:div w:id="989092205">
          <w:marLeft w:val="0"/>
          <w:marRight w:val="0"/>
          <w:marTop w:val="0"/>
          <w:marBottom w:val="0"/>
          <w:divBdr>
            <w:top w:val="none" w:sz="0" w:space="0" w:color="auto"/>
            <w:left w:val="none" w:sz="0" w:space="0" w:color="auto"/>
            <w:bottom w:val="none" w:sz="0" w:space="0" w:color="auto"/>
            <w:right w:val="none" w:sz="0" w:space="0" w:color="auto"/>
          </w:divBdr>
        </w:div>
      </w:divsChild>
    </w:div>
    <w:div w:id="2007629884">
      <w:bodyDiv w:val="1"/>
      <w:marLeft w:val="0"/>
      <w:marRight w:val="0"/>
      <w:marTop w:val="0"/>
      <w:marBottom w:val="0"/>
      <w:divBdr>
        <w:top w:val="none" w:sz="0" w:space="0" w:color="auto"/>
        <w:left w:val="none" w:sz="0" w:space="0" w:color="auto"/>
        <w:bottom w:val="none" w:sz="0" w:space="0" w:color="auto"/>
        <w:right w:val="none" w:sz="0" w:space="0" w:color="auto"/>
      </w:divBdr>
      <w:divsChild>
        <w:div w:id="1606229127">
          <w:marLeft w:val="0"/>
          <w:marRight w:val="0"/>
          <w:marTop w:val="0"/>
          <w:marBottom w:val="0"/>
          <w:divBdr>
            <w:top w:val="none" w:sz="0" w:space="0" w:color="auto"/>
            <w:left w:val="none" w:sz="0" w:space="0" w:color="auto"/>
            <w:bottom w:val="none" w:sz="0" w:space="0" w:color="auto"/>
            <w:right w:val="none" w:sz="0" w:space="0" w:color="auto"/>
          </w:divBdr>
        </w:div>
      </w:divsChild>
    </w:div>
    <w:div w:id="2137484421">
      <w:bodyDiv w:val="1"/>
      <w:marLeft w:val="54"/>
      <w:marRight w:val="54"/>
      <w:marTop w:val="54"/>
      <w:marBottom w:val="14"/>
      <w:divBdr>
        <w:top w:val="none" w:sz="0" w:space="0" w:color="auto"/>
        <w:left w:val="none" w:sz="0" w:space="0" w:color="auto"/>
        <w:bottom w:val="none" w:sz="0" w:space="0" w:color="auto"/>
        <w:right w:val="none" w:sz="0" w:space="0" w:color="auto"/>
      </w:divBdr>
      <w:divsChild>
        <w:div w:id="2142846395">
          <w:marLeft w:val="0"/>
          <w:marRight w:val="0"/>
          <w:marTop w:val="0"/>
          <w:marBottom w:val="0"/>
          <w:divBdr>
            <w:top w:val="none" w:sz="0" w:space="0" w:color="auto"/>
            <w:left w:val="none" w:sz="0" w:space="0" w:color="auto"/>
            <w:bottom w:val="none" w:sz="0" w:space="0" w:color="auto"/>
            <w:right w:val="none" w:sz="0" w:space="0" w:color="auto"/>
          </w:divBdr>
        </w:div>
        <w:div w:id="1006858146">
          <w:marLeft w:val="0"/>
          <w:marRight w:val="0"/>
          <w:marTop w:val="0"/>
          <w:marBottom w:val="0"/>
          <w:divBdr>
            <w:top w:val="none" w:sz="0" w:space="0" w:color="auto"/>
            <w:left w:val="none" w:sz="0" w:space="0" w:color="auto"/>
            <w:bottom w:val="none" w:sz="0" w:space="0" w:color="auto"/>
            <w:right w:val="none" w:sz="0" w:space="0" w:color="auto"/>
          </w:divBdr>
        </w:div>
        <w:div w:id="907543047">
          <w:marLeft w:val="0"/>
          <w:marRight w:val="0"/>
          <w:marTop w:val="0"/>
          <w:marBottom w:val="0"/>
          <w:divBdr>
            <w:top w:val="none" w:sz="0" w:space="0" w:color="auto"/>
            <w:left w:val="none" w:sz="0" w:space="0" w:color="auto"/>
            <w:bottom w:val="none" w:sz="0" w:space="0" w:color="auto"/>
            <w:right w:val="none" w:sz="0" w:space="0" w:color="auto"/>
          </w:divBdr>
        </w:div>
        <w:div w:id="1163350027">
          <w:marLeft w:val="0"/>
          <w:marRight w:val="0"/>
          <w:marTop w:val="0"/>
          <w:marBottom w:val="0"/>
          <w:divBdr>
            <w:top w:val="none" w:sz="0" w:space="0" w:color="auto"/>
            <w:left w:val="none" w:sz="0" w:space="0" w:color="auto"/>
            <w:bottom w:val="none" w:sz="0" w:space="0" w:color="auto"/>
            <w:right w:val="none" w:sz="0" w:space="0" w:color="auto"/>
          </w:divBdr>
        </w:div>
        <w:div w:id="1311327562">
          <w:marLeft w:val="0"/>
          <w:marRight w:val="0"/>
          <w:marTop w:val="0"/>
          <w:marBottom w:val="0"/>
          <w:divBdr>
            <w:top w:val="none" w:sz="0" w:space="0" w:color="auto"/>
            <w:left w:val="none" w:sz="0" w:space="0" w:color="auto"/>
            <w:bottom w:val="none" w:sz="0" w:space="0" w:color="auto"/>
            <w:right w:val="none" w:sz="0" w:space="0" w:color="auto"/>
          </w:divBdr>
        </w:div>
        <w:div w:id="9577637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2.bin"/><Relationship Id="rId18" Type="http://schemas.openxmlformats.org/officeDocument/2006/relationships/image" Target="media/image6.w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2.png"/><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98C7E7-9184-4984-A300-41D884E33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1231</Words>
  <Characters>7020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Eastern Research Group, Inc.</Company>
  <LinksUpToDate>false</LinksUpToDate>
  <CharactersWithSpaces>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MOR-JTisano</dc:creator>
  <cp:lastModifiedBy>Mike Pring</cp:lastModifiedBy>
  <cp:revision>2</cp:revision>
  <dcterms:created xsi:type="dcterms:W3CDTF">2020-04-16T19:25:00Z</dcterms:created>
  <dcterms:modified xsi:type="dcterms:W3CDTF">2020-04-16T19:25:00Z</dcterms:modified>
</cp:coreProperties>
</file>