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AD375" w14:textId="77777777" w:rsidR="00D9363D" w:rsidRDefault="00A22E7C" w:rsidP="00367C3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object w:dxaOrig="1440" w:dyaOrig="1440" w14:anchorId="23C00D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62pt;margin-top:-9pt;width:87.1pt;height:34.1pt;z-index:251658240">
            <v:imagedata r:id="rId8" o:title=""/>
            <w10:wrap type="square"/>
          </v:shape>
          <o:OLEObject Type="Embed" ProgID="Word.Picture.8" ShapeID="_x0000_s1030" DrawAspect="Content" ObjectID="_1648558432" r:id="rId9"/>
        </w:object>
      </w:r>
    </w:p>
    <w:p w14:paraId="443F07EB" w14:textId="77777777" w:rsidR="00D9363D" w:rsidRPr="00D9363D" w:rsidRDefault="00D9363D" w:rsidP="00367C3A">
      <w:pPr>
        <w:rPr>
          <w:rFonts w:ascii="Times New Roman" w:hAnsi="Times New Roman"/>
        </w:rPr>
      </w:pPr>
    </w:p>
    <w:p w14:paraId="411FA919" w14:textId="77777777" w:rsidR="00E00854" w:rsidRDefault="00E00854" w:rsidP="00367C3A">
      <w:pPr>
        <w:rPr>
          <w:rFonts w:ascii="Times New Roman" w:hAnsi="Times New Roman"/>
          <w:b/>
        </w:rPr>
      </w:pPr>
    </w:p>
    <w:p w14:paraId="76A6FF0B" w14:textId="77777777" w:rsidR="00D9363D" w:rsidRPr="00D9363D" w:rsidRDefault="00D9363D" w:rsidP="00367C3A">
      <w:pPr>
        <w:rPr>
          <w:rFonts w:ascii="Times New Roman" w:hAnsi="Times New Roman"/>
          <w:b/>
        </w:rPr>
      </w:pPr>
      <w:r w:rsidRPr="00D9363D">
        <w:rPr>
          <w:rFonts w:ascii="Times New Roman" w:hAnsi="Times New Roman"/>
          <w:b/>
        </w:rPr>
        <w:t>MEMORANDUM</w:t>
      </w:r>
    </w:p>
    <w:p w14:paraId="7F933676" w14:textId="77777777" w:rsidR="00D9363D" w:rsidRPr="00D9363D" w:rsidRDefault="00D9363D" w:rsidP="00367C3A">
      <w:pPr>
        <w:rPr>
          <w:rFonts w:ascii="Times New Roman" w:hAnsi="Times New Roman"/>
        </w:rPr>
      </w:pPr>
    </w:p>
    <w:p w14:paraId="4D9D5B9B" w14:textId="77777777" w:rsidR="000E7EC3" w:rsidRPr="00E00854" w:rsidRDefault="00D9363D" w:rsidP="00367C3A">
      <w:pPr>
        <w:rPr>
          <w:rFonts w:ascii="Times New Roman" w:hAnsi="Times New Roman"/>
        </w:rPr>
      </w:pPr>
      <w:r w:rsidRPr="00E00854">
        <w:rPr>
          <w:rFonts w:ascii="Times New Roman" w:hAnsi="Times New Roman"/>
          <w:b/>
        </w:rPr>
        <w:t>TO</w:t>
      </w:r>
      <w:r w:rsidRPr="00E00854">
        <w:rPr>
          <w:rFonts w:ascii="Times New Roman" w:hAnsi="Times New Roman"/>
        </w:rPr>
        <w:t>:</w:t>
      </w:r>
      <w:r w:rsidRPr="00E00854">
        <w:rPr>
          <w:rFonts w:ascii="Times New Roman" w:hAnsi="Times New Roman"/>
        </w:rPr>
        <w:tab/>
      </w:r>
      <w:r w:rsidRPr="00E00854">
        <w:rPr>
          <w:rFonts w:ascii="Times New Roman" w:hAnsi="Times New Roman"/>
        </w:rPr>
        <w:tab/>
      </w:r>
      <w:r w:rsidR="000E7EC3">
        <w:rPr>
          <w:rFonts w:ascii="Times New Roman" w:hAnsi="Times New Roman"/>
        </w:rPr>
        <w:t>Jennifer Snyder, US EPA</w:t>
      </w:r>
    </w:p>
    <w:p w14:paraId="28D02433" w14:textId="77777777" w:rsidR="00D9363D" w:rsidRDefault="00D9363D" w:rsidP="00367C3A">
      <w:pPr>
        <w:tabs>
          <w:tab w:val="left" w:pos="1440"/>
        </w:tabs>
        <w:rPr>
          <w:rFonts w:ascii="Times New Roman" w:hAnsi="Times New Roman"/>
        </w:rPr>
      </w:pPr>
      <w:r w:rsidRPr="00E00854">
        <w:rPr>
          <w:rFonts w:ascii="Times New Roman" w:hAnsi="Times New Roman"/>
          <w:b/>
        </w:rPr>
        <w:t>FROM</w:t>
      </w:r>
      <w:r w:rsidRPr="00E00854">
        <w:rPr>
          <w:rFonts w:ascii="Times New Roman" w:hAnsi="Times New Roman"/>
        </w:rPr>
        <w:t>:</w:t>
      </w:r>
      <w:r w:rsidRPr="00E00854">
        <w:rPr>
          <w:rFonts w:ascii="Times New Roman" w:hAnsi="Times New Roman"/>
        </w:rPr>
        <w:tab/>
      </w:r>
      <w:r w:rsidR="00E00854" w:rsidRPr="00E00854">
        <w:rPr>
          <w:rFonts w:ascii="Times New Roman" w:hAnsi="Times New Roman"/>
        </w:rPr>
        <w:t xml:space="preserve">Mike Pring, </w:t>
      </w:r>
      <w:r w:rsidRPr="00E00854">
        <w:rPr>
          <w:rFonts w:ascii="Times New Roman" w:hAnsi="Times New Roman"/>
        </w:rPr>
        <w:t>Eastern Research Group, Inc. (ERG)</w:t>
      </w:r>
    </w:p>
    <w:p w14:paraId="540978AA" w14:textId="77777777" w:rsidR="00E85E62" w:rsidRDefault="000E7EC3" w:rsidP="00367C3A">
      <w:pPr>
        <w:tabs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Regi Oommen, </w:t>
      </w:r>
      <w:r w:rsidR="00E85E62" w:rsidRPr="00E00854">
        <w:rPr>
          <w:rFonts w:ascii="Times New Roman" w:hAnsi="Times New Roman"/>
        </w:rPr>
        <w:t>Eastern Research Group, Inc. (ERG)</w:t>
      </w:r>
    </w:p>
    <w:p w14:paraId="0A66FE2F" w14:textId="4B825CDD" w:rsidR="00D9363D" w:rsidRPr="00E00854" w:rsidRDefault="00D9363D" w:rsidP="00367C3A">
      <w:pPr>
        <w:tabs>
          <w:tab w:val="left" w:pos="1440"/>
        </w:tabs>
        <w:rPr>
          <w:rFonts w:ascii="Times New Roman" w:hAnsi="Times New Roman"/>
        </w:rPr>
      </w:pPr>
      <w:r w:rsidRPr="00E00854">
        <w:rPr>
          <w:rFonts w:ascii="Times New Roman" w:hAnsi="Times New Roman"/>
          <w:b/>
        </w:rPr>
        <w:t>DATE</w:t>
      </w:r>
      <w:r w:rsidRPr="00E00854">
        <w:rPr>
          <w:rFonts w:ascii="Times New Roman" w:hAnsi="Times New Roman"/>
        </w:rPr>
        <w:t>:</w:t>
      </w:r>
      <w:r w:rsidRPr="00E00854">
        <w:rPr>
          <w:rFonts w:ascii="Times New Roman" w:hAnsi="Times New Roman"/>
        </w:rPr>
        <w:tab/>
      </w:r>
      <w:r w:rsidR="00AF72E0">
        <w:rPr>
          <w:rFonts w:ascii="Times New Roman" w:hAnsi="Times New Roman"/>
        </w:rPr>
        <w:t xml:space="preserve">April </w:t>
      </w:r>
      <w:r w:rsidR="00C43B05">
        <w:rPr>
          <w:rFonts w:ascii="Times New Roman" w:hAnsi="Times New Roman"/>
        </w:rPr>
        <w:t>11</w:t>
      </w:r>
      <w:r w:rsidR="007756D3">
        <w:rPr>
          <w:rFonts w:ascii="Times New Roman" w:hAnsi="Times New Roman"/>
        </w:rPr>
        <w:t>, 201</w:t>
      </w:r>
      <w:r w:rsidR="00367C3A">
        <w:rPr>
          <w:rFonts w:ascii="Times New Roman" w:hAnsi="Times New Roman"/>
        </w:rPr>
        <w:t>9</w:t>
      </w:r>
    </w:p>
    <w:p w14:paraId="2C31FE2F" w14:textId="22906842" w:rsidR="00D9363D" w:rsidRPr="00E00854" w:rsidRDefault="00D9363D" w:rsidP="00367C3A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</w:rPr>
      </w:pPr>
      <w:r w:rsidRPr="00E00854">
        <w:rPr>
          <w:rFonts w:ascii="Times New Roman" w:hAnsi="Times New Roman"/>
          <w:b/>
        </w:rPr>
        <w:t>SUBJECT</w:t>
      </w:r>
      <w:r w:rsidRPr="00E00854">
        <w:rPr>
          <w:rFonts w:ascii="Times New Roman" w:hAnsi="Times New Roman"/>
        </w:rPr>
        <w:t>:</w:t>
      </w:r>
      <w:r w:rsidRPr="00E00854">
        <w:rPr>
          <w:rFonts w:ascii="Times New Roman" w:hAnsi="Times New Roman"/>
        </w:rPr>
        <w:tab/>
      </w:r>
      <w:r w:rsidR="000E7EC3">
        <w:rPr>
          <w:rFonts w:ascii="Times New Roman" w:hAnsi="Times New Roman"/>
        </w:rPr>
        <w:t>Summary of Revisions to</w:t>
      </w:r>
      <w:r w:rsidR="001C2E9A">
        <w:rPr>
          <w:rFonts w:ascii="Times New Roman" w:hAnsi="Times New Roman"/>
        </w:rPr>
        <w:t xml:space="preserve"> the</w:t>
      </w:r>
      <w:r w:rsidR="000E7EC3">
        <w:rPr>
          <w:rFonts w:ascii="Times New Roman" w:hAnsi="Times New Roman"/>
        </w:rPr>
        <w:t xml:space="preserve"> </w:t>
      </w:r>
      <w:r w:rsidR="001C2E9A">
        <w:rPr>
          <w:rFonts w:ascii="Times New Roman" w:hAnsi="Times New Roman"/>
        </w:rPr>
        <w:t xml:space="preserve">Nonpoint </w:t>
      </w:r>
      <w:r w:rsidR="000E7EC3">
        <w:rPr>
          <w:rFonts w:ascii="Times New Roman" w:hAnsi="Times New Roman"/>
        </w:rPr>
        <w:t xml:space="preserve">Oil and </w:t>
      </w:r>
      <w:r w:rsidR="001C2E9A">
        <w:rPr>
          <w:rFonts w:ascii="Times New Roman" w:hAnsi="Times New Roman"/>
        </w:rPr>
        <w:t>Gas</w:t>
      </w:r>
      <w:r w:rsidR="00DF392B">
        <w:rPr>
          <w:rFonts w:ascii="Times New Roman" w:hAnsi="Times New Roman"/>
        </w:rPr>
        <w:t xml:space="preserve"> Emissions Estimation</w:t>
      </w:r>
      <w:r w:rsidR="000E7EC3">
        <w:rPr>
          <w:rFonts w:ascii="Times New Roman" w:hAnsi="Times New Roman"/>
        </w:rPr>
        <w:t xml:space="preserve"> Tool</w:t>
      </w:r>
      <w:r w:rsidR="007756D3">
        <w:rPr>
          <w:rFonts w:ascii="Times New Roman" w:hAnsi="Times New Roman"/>
        </w:rPr>
        <w:t xml:space="preserve"> – 201</w:t>
      </w:r>
      <w:r w:rsidR="00367C3A">
        <w:rPr>
          <w:rFonts w:ascii="Times New Roman" w:hAnsi="Times New Roman"/>
        </w:rPr>
        <w:t>7</w:t>
      </w:r>
      <w:r w:rsidR="007756D3">
        <w:rPr>
          <w:rFonts w:ascii="Times New Roman" w:hAnsi="Times New Roman"/>
        </w:rPr>
        <w:t xml:space="preserve"> NEI Version 1</w:t>
      </w:r>
    </w:p>
    <w:p w14:paraId="14F111E4" w14:textId="7A1E8A88" w:rsidR="00AC03CC" w:rsidRDefault="000E7EC3" w:rsidP="00367C3A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The purpose of this memo</w:t>
      </w:r>
      <w:r w:rsidR="00563BCB">
        <w:rPr>
          <w:rFonts w:ascii="Times New Roman" w:hAnsi="Times New Roman"/>
          <w:color w:val="000000"/>
          <w:spacing w:val="-3"/>
          <w:w w:val="105"/>
        </w:rPr>
        <w:t>randum</w:t>
      </w:r>
      <w:r>
        <w:rPr>
          <w:rFonts w:ascii="Times New Roman" w:hAnsi="Times New Roman"/>
          <w:color w:val="000000"/>
          <w:spacing w:val="-3"/>
          <w:w w:val="105"/>
        </w:rPr>
        <w:t xml:space="preserve"> is to summarize </w:t>
      </w:r>
      <w:r w:rsidR="00AF72E0">
        <w:rPr>
          <w:rFonts w:ascii="Times New Roman" w:hAnsi="Times New Roman"/>
          <w:color w:val="000000"/>
          <w:spacing w:val="-3"/>
          <w:w w:val="105"/>
        </w:rPr>
        <w:t>additional</w:t>
      </w:r>
      <w:r>
        <w:rPr>
          <w:rFonts w:ascii="Times New Roman" w:hAnsi="Times New Roman"/>
          <w:color w:val="000000"/>
          <w:spacing w:val="-3"/>
          <w:w w:val="105"/>
        </w:rPr>
        <w:t xml:space="preserve"> changes that have been made to the</w:t>
      </w:r>
      <w:r w:rsidR="00AF72E0">
        <w:rPr>
          <w:rFonts w:ascii="Times New Roman" w:hAnsi="Times New Roman"/>
          <w:color w:val="000000"/>
          <w:spacing w:val="-3"/>
          <w:w w:val="105"/>
        </w:rPr>
        <w:t xml:space="preserve"> 2017</w:t>
      </w:r>
      <w:r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1C2E9A">
        <w:rPr>
          <w:rFonts w:ascii="Times New Roman" w:hAnsi="Times New Roman"/>
        </w:rPr>
        <w:t xml:space="preserve">Nonpoint Oil and Gas Emissions Estimation Tool (Tool) </w:t>
      </w:r>
      <w:r>
        <w:rPr>
          <w:rFonts w:ascii="Times New Roman" w:hAnsi="Times New Roman"/>
          <w:color w:val="000000"/>
          <w:spacing w:val="-3"/>
          <w:w w:val="105"/>
        </w:rPr>
        <w:t>since</w:t>
      </w:r>
      <w:r w:rsidR="00AF72E0">
        <w:rPr>
          <w:rFonts w:ascii="Times New Roman" w:hAnsi="Times New Roman"/>
          <w:color w:val="000000"/>
          <w:spacing w:val="-3"/>
          <w:w w:val="105"/>
        </w:rPr>
        <w:t xml:space="preserve"> the February 14, 2019 </w:t>
      </w:r>
      <w:r w:rsidR="001B0B85">
        <w:rPr>
          <w:rFonts w:ascii="Times New Roman" w:hAnsi="Times New Roman"/>
          <w:color w:val="000000"/>
          <w:spacing w:val="-3"/>
          <w:w w:val="105"/>
        </w:rPr>
        <w:t>Summary of R</w:t>
      </w:r>
      <w:r w:rsidR="00AF72E0">
        <w:rPr>
          <w:rFonts w:ascii="Times New Roman" w:hAnsi="Times New Roman"/>
          <w:color w:val="000000"/>
          <w:spacing w:val="-3"/>
          <w:w w:val="105"/>
        </w:rPr>
        <w:t>evision</w:t>
      </w:r>
      <w:r w:rsidR="001B0B85">
        <w:rPr>
          <w:rFonts w:ascii="Times New Roman" w:hAnsi="Times New Roman"/>
          <w:color w:val="000000"/>
          <w:spacing w:val="-3"/>
          <w:w w:val="105"/>
        </w:rPr>
        <w:t>s</w:t>
      </w:r>
      <w:r w:rsidR="00AF72E0">
        <w:rPr>
          <w:rFonts w:ascii="Times New Roman" w:hAnsi="Times New Roman"/>
          <w:color w:val="000000"/>
          <w:spacing w:val="-3"/>
          <w:w w:val="105"/>
        </w:rPr>
        <w:t xml:space="preserve"> memo</w:t>
      </w:r>
      <w:r>
        <w:rPr>
          <w:rFonts w:ascii="Times New Roman" w:hAnsi="Times New Roman"/>
          <w:color w:val="000000"/>
          <w:spacing w:val="-3"/>
          <w:w w:val="105"/>
        </w:rPr>
        <w:t>.</w:t>
      </w:r>
    </w:p>
    <w:p w14:paraId="7F480FDF" w14:textId="77777777" w:rsidR="000E7EC3" w:rsidRDefault="000E7EC3" w:rsidP="00367C3A">
      <w:pPr>
        <w:rPr>
          <w:rFonts w:ascii="Times New Roman" w:hAnsi="Times New Roman"/>
          <w:color w:val="000000"/>
          <w:spacing w:val="-3"/>
          <w:w w:val="105"/>
        </w:rPr>
      </w:pPr>
    </w:p>
    <w:p w14:paraId="4CCA0F4F" w14:textId="77777777" w:rsidR="000E7EC3" w:rsidRPr="00B05A45" w:rsidRDefault="000E7EC3" w:rsidP="00367C3A">
      <w:pPr>
        <w:rPr>
          <w:rFonts w:ascii="Times New Roman" w:hAnsi="Times New Roman"/>
          <w:b/>
          <w:color w:val="000000"/>
          <w:spacing w:val="-3"/>
          <w:w w:val="105"/>
          <w:u w:val="single"/>
        </w:rPr>
      </w:pPr>
      <w:r w:rsidRPr="00B05A45">
        <w:rPr>
          <w:rFonts w:ascii="Times New Roman" w:hAnsi="Times New Roman"/>
          <w:b/>
          <w:color w:val="000000"/>
          <w:spacing w:val="-3"/>
          <w:w w:val="105"/>
          <w:u w:val="single"/>
        </w:rPr>
        <w:t xml:space="preserve">Emission </w:t>
      </w:r>
      <w:r w:rsidR="007756D3">
        <w:rPr>
          <w:rFonts w:ascii="Times New Roman" w:hAnsi="Times New Roman"/>
          <w:b/>
          <w:color w:val="000000"/>
          <w:spacing w:val="-3"/>
          <w:w w:val="105"/>
          <w:u w:val="single"/>
        </w:rPr>
        <w:t>Factor</w:t>
      </w:r>
      <w:r w:rsidR="009B60EF">
        <w:rPr>
          <w:rFonts w:ascii="Times New Roman" w:hAnsi="Times New Roman"/>
          <w:b/>
          <w:color w:val="000000"/>
          <w:spacing w:val="-3"/>
          <w:w w:val="105"/>
          <w:u w:val="single"/>
        </w:rPr>
        <w:t xml:space="preserve"> and Basin Factor</w:t>
      </w:r>
      <w:r w:rsidR="00B05A45">
        <w:rPr>
          <w:rFonts w:ascii="Times New Roman" w:hAnsi="Times New Roman"/>
          <w:b/>
          <w:color w:val="000000"/>
          <w:spacing w:val="-3"/>
          <w:w w:val="105"/>
          <w:u w:val="single"/>
        </w:rPr>
        <w:t xml:space="preserve"> Update</w:t>
      </w:r>
      <w:r w:rsidRPr="00B05A45">
        <w:rPr>
          <w:rFonts w:ascii="Times New Roman" w:hAnsi="Times New Roman"/>
          <w:b/>
          <w:color w:val="000000"/>
          <w:spacing w:val="-3"/>
          <w:w w:val="105"/>
          <w:u w:val="single"/>
        </w:rPr>
        <w:t>s</w:t>
      </w:r>
    </w:p>
    <w:p w14:paraId="0BE57269" w14:textId="77777777" w:rsidR="00367C3A" w:rsidRDefault="00367C3A" w:rsidP="00367C3A">
      <w:pPr>
        <w:rPr>
          <w:rFonts w:ascii="Times New Roman" w:hAnsi="Times New Roman"/>
          <w:color w:val="000000"/>
          <w:spacing w:val="-3"/>
          <w:w w:val="105"/>
        </w:rPr>
      </w:pPr>
    </w:p>
    <w:p w14:paraId="614B03AF" w14:textId="44F169BA" w:rsidR="0032375E" w:rsidRDefault="005125C5" w:rsidP="00367C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"/>
          <w:w w:val="105"/>
        </w:rPr>
        <w:t>The GHGRP Subpart W updates discussed during the March 14, 2019 Committee conference call have been incorporated into the Tool. See “</w:t>
      </w:r>
      <w:r>
        <w:rPr>
          <w:rFonts w:ascii="Times New Roman" w:hAnsi="Times New Roman"/>
        </w:rPr>
        <w:t>Summary of Analysis of 2017 GHGRP Subpart W Data for Use in the 2017 NEI Nonpoint Oil and Gas Emission Estimation Tool” memo dated March 14, 2019.</w:t>
      </w:r>
    </w:p>
    <w:p w14:paraId="202E7C77" w14:textId="77777777" w:rsidR="00D06B32" w:rsidRDefault="00D06B32" w:rsidP="00367C3A">
      <w:pPr>
        <w:rPr>
          <w:rFonts w:ascii="Times New Roman" w:hAnsi="Times New Roman"/>
          <w:color w:val="000000"/>
        </w:rPr>
      </w:pPr>
    </w:p>
    <w:p w14:paraId="0CD36733" w14:textId="77777777" w:rsidR="00196225" w:rsidRDefault="00544ECF" w:rsidP="00367C3A">
      <w:pPr>
        <w:rPr>
          <w:rFonts w:ascii="Times New Roman" w:hAnsi="Times New Roman"/>
          <w:b/>
          <w:color w:val="000000"/>
          <w:spacing w:val="-3"/>
          <w:w w:val="105"/>
          <w:u w:val="single"/>
        </w:rPr>
      </w:pPr>
      <w:r w:rsidRPr="00B05A45">
        <w:rPr>
          <w:rFonts w:ascii="Times New Roman" w:hAnsi="Times New Roman"/>
          <w:b/>
          <w:color w:val="000000"/>
          <w:spacing w:val="-3"/>
          <w:w w:val="105"/>
          <w:u w:val="single"/>
        </w:rPr>
        <w:t>Tool Updates</w:t>
      </w:r>
    </w:p>
    <w:p w14:paraId="02769723" w14:textId="77777777" w:rsidR="00367C3A" w:rsidRDefault="00367C3A" w:rsidP="00367C3A">
      <w:pPr>
        <w:rPr>
          <w:rFonts w:ascii="Times New Roman" w:hAnsi="Times New Roman"/>
          <w:color w:val="000000"/>
          <w:spacing w:val="-3"/>
          <w:w w:val="105"/>
        </w:rPr>
      </w:pPr>
    </w:p>
    <w:p w14:paraId="032C42BD" w14:textId="6E0D603C" w:rsidR="00AF72E0" w:rsidRDefault="00AF72E0" w:rsidP="00AF72E0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1) </w:t>
      </w:r>
      <w:r w:rsidR="005125C5">
        <w:rPr>
          <w:rFonts w:ascii="Times New Roman" w:hAnsi="Times New Roman"/>
          <w:color w:val="000000"/>
          <w:spacing w:val="-3"/>
          <w:w w:val="105"/>
        </w:rPr>
        <w:t>An SCC has been added for Coalbed Methane Dewatering Pump Engines (</w:t>
      </w:r>
      <w:r w:rsidR="005125C5" w:rsidRPr="005125C5">
        <w:rPr>
          <w:rFonts w:ascii="Times New Roman" w:hAnsi="Times New Roman"/>
          <w:color w:val="000000"/>
          <w:spacing w:val="-3"/>
          <w:w w:val="105"/>
        </w:rPr>
        <w:t>2310023000</w:t>
      </w:r>
      <w:r w:rsidR="005125C5">
        <w:rPr>
          <w:rFonts w:ascii="Times New Roman" w:hAnsi="Times New Roman"/>
          <w:color w:val="000000"/>
          <w:spacing w:val="-3"/>
          <w:w w:val="105"/>
        </w:rPr>
        <w:t>).</w:t>
      </w:r>
    </w:p>
    <w:p w14:paraId="1231CE0B" w14:textId="1BBA335F" w:rsidR="005125C5" w:rsidRDefault="005125C5" w:rsidP="00AF72E0">
      <w:pPr>
        <w:rPr>
          <w:rFonts w:ascii="Times New Roman" w:hAnsi="Times New Roman"/>
          <w:color w:val="000000"/>
          <w:spacing w:val="-3"/>
          <w:w w:val="105"/>
        </w:rPr>
      </w:pPr>
    </w:p>
    <w:p w14:paraId="51517FE7" w14:textId="3EE52017" w:rsidR="005125C5" w:rsidRDefault="005125C5" w:rsidP="00AF72E0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2) The SCC codes used for Artificial Lift Engines and Associated Gas Venting have been revised from the 2014 Tool as follows:</w:t>
      </w:r>
    </w:p>
    <w:p w14:paraId="770CEB71" w14:textId="45B14D21" w:rsidR="001B0B85" w:rsidRDefault="001B0B85" w:rsidP="00AF72E0">
      <w:pPr>
        <w:rPr>
          <w:rFonts w:ascii="Times New Roman" w:hAnsi="Times New Roman"/>
          <w:color w:val="000000"/>
          <w:spacing w:val="-3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39"/>
        <w:gridCol w:w="1351"/>
        <w:gridCol w:w="3325"/>
      </w:tblGrid>
      <w:tr w:rsidR="005125C5" w14:paraId="4DE56A3D" w14:textId="77777777" w:rsidTr="005125C5">
        <w:tc>
          <w:tcPr>
            <w:tcW w:w="1435" w:type="dxa"/>
            <w:shd w:val="clear" w:color="auto" w:fill="BFBFBF" w:themeFill="background1" w:themeFillShade="BF"/>
          </w:tcPr>
          <w:p w14:paraId="0D263786" w14:textId="6A409E66" w:rsidR="005125C5" w:rsidRPr="005125C5" w:rsidRDefault="005125C5" w:rsidP="00AF72E0">
            <w:pPr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  <w:t>2014 SCC</w:t>
            </w:r>
          </w:p>
        </w:tc>
        <w:tc>
          <w:tcPr>
            <w:tcW w:w="3239" w:type="dxa"/>
            <w:shd w:val="clear" w:color="auto" w:fill="BFBFBF" w:themeFill="background1" w:themeFillShade="BF"/>
          </w:tcPr>
          <w:p w14:paraId="0E2CDA63" w14:textId="39A8DF86" w:rsidR="005125C5" w:rsidRPr="005125C5" w:rsidRDefault="005125C5" w:rsidP="00AF72E0">
            <w:pPr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  <w:t>2014 SCC Description</w:t>
            </w:r>
          </w:p>
        </w:tc>
        <w:tc>
          <w:tcPr>
            <w:tcW w:w="1351" w:type="dxa"/>
            <w:shd w:val="clear" w:color="auto" w:fill="BFBFBF" w:themeFill="background1" w:themeFillShade="BF"/>
          </w:tcPr>
          <w:p w14:paraId="69C2BF1C" w14:textId="5AC88ED7" w:rsidR="005125C5" w:rsidRPr="005125C5" w:rsidRDefault="005125C5" w:rsidP="00AF72E0">
            <w:pPr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  <w:t>2017 SCC</w:t>
            </w:r>
          </w:p>
        </w:tc>
        <w:tc>
          <w:tcPr>
            <w:tcW w:w="3325" w:type="dxa"/>
            <w:shd w:val="clear" w:color="auto" w:fill="BFBFBF" w:themeFill="background1" w:themeFillShade="BF"/>
          </w:tcPr>
          <w:p w14:paraId="6F2A8962" w14:textId="77DC2422" w:rsidR="005125C5" w:rsidRPr="005125C5" w:rsidRDefault="005125C5" w:rsidP="00AF72E0">
            <w:pPr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b/>
                <w:color w:val="000000"/>
                <w:spacing w:val="-3"/>
                <w:w w:val="105"/>
                <w:sz w:val="22"/>
                <w:szCs w:val="22"/>
              </w:rPr>
              <w:t>2017 SCC Description</w:t>
            </w:r>
          </w:p>
        </w:tc>
      </w:tr>
      <w:tr w:rsidR="005125C5" w14:paraId="3810086D" w14:textId="77777777" w:rsidTr="005125C5">
        <w:tc>
          <w:tcPr>
            <w:tcW w:w="1435" w:type="dxa"/>
            <w:vAlign w:val="center"/>
          </w:tcPr>
          <w:p w14:paraId="752986E4" w14:textId="0D1E378A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2310000330</w:t>
            </w:r>
          </w:p>
        </w:tc>
        <w:tc>
          <w:tcPr>
            <w:tcW w:w="3239" w:type="dxa"/>
            <w:vAlign w:val="center"/>
          </w:tcPr>
          <w:p w14:paraId="5528C5C6" w14:textId="53D0B83B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Oil &amp; Gas </w:t>
            </w:r>
            <w:proofErr w:type="spellStart"/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Expl</w:t>
            </w:r>
            <w:proofErr w:type="spellEnd"/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&amp; Prod /All Processes /Artificial Lift</w:t>
            </w:r>
          </w:p>
        </w:tc>
        <w:tc>
          <w:tcPr>
            <w:tcW w:w="1351" w:type="dxa"/>
            <w:vAlign w:val="center"/>
          </w:tcPr>
          <w:p w14:paraId="18381AF8" w14:textId="39576D9D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2310011600</w:t>
            </w:r>
          </w:p>
        </w:tc>
        <w:tc>
          <w:tcPr>
            <w:tcW w:w="3325" w:type="dxa"/>
            <w:vAlign w:val="center"/>
          </w:tcPr>
          <w:p w14:paraId="3B6F4DFF" w14:textId="6A14E950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Oil and Gas: Onshore Oil Production/Artificial Lift Engines</w:t>
            </w:r>
          </w:p>
        </w:tc>
      </w:tr>
      <w:tr w:rsidR="005125C5" w14:paraId="007EAA44" w14:textId="77777777" w:rsidTr="005125C5">
        <w:tc>
          <w:tcPr>
            <w:tcW w:w="1435" w:type="dxa"/>
            <w:vAlign w:val="center"/>
          </w:tcPr>
          <w:p w14:paraId="5A2020CD" w14:textId="5B457329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2310011000</w:t>
            </w:r>
          </w:p>
        </w:tc>
        <w:tc>
          <w:tcPr>
            <w:tcW w:w="3239" w:type="dxa"/>
            <w:vAlign w:val="center"/>
          </w:tcPr>
          <w:p w14:paraId="1D974532" w14:textId="0938865B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On Shore Crude Oil Production All Processes</w:t>
            </w:r>
          </w:p>
        </w:tc>
        <w:tc>
          <w:tcPr>
            <w:tcW w:w="1351" w:type="dxa"/>
            <w:vAlign w:val="center"/>
          </w:tcPr>
          <w:p w14:paraId="4F465825" w14:textId="3F4794A1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2310011001</w:t>
            </w:r>
          </w:p>
        </w:tc>
        <w:tc>
          <w:tcPr>
            <w:tcW w:w="3325" w:type="dxa"/>
            <w:vAlign w:val="center"/>
          </w:tcPr>
          <w:p w14:paraId="58B05A22" w14:textId="381DB3EA" w:rsidR="005125C5" w:rsidRPr="005125C5" w:rsidRDefault="005125C5" w:rsidP="005125C5">
            <w:pPr>
              <w:rPr>
                <w:rFonts w:ascii="Times New Roman" w:hAnsi="Times New Roman"/>
                <w:color w:val="000000"/>
                <w:spacing w:val="-3"/>
                <w:w w:val="105"/>
                <w:sz w:val="22"/>
                <w:szCs w:val="22"/>
              </w:rPr>
            </w:pPr>
            <w:r w:rsidRPr="005125C5">
              <w:rPr>
                <w:rFonts w:ascii="Times New Roman" w:hAnsi="Times New Roman"/>
                <w:color w:val="000000"/>
                <w:sz w:val="22"/>
                <w:szCs w:val="22"/>
              </w:rPr>
              <w:t>Oil and Gas: Onshore Oil Production/Associated Gas Venting</w:t>
            </w:r>
          </w:p>
        </w:tc>
      </w:tr>
    </w:tbl>
    <w:p w14:paraId="3CBC6ED3" w14:textId="67DD96B8" w:rsidR="0032375E" w:rsidRDefault="0032375E" w:rsidP="001B0B85">
      <w:pPr>
        <w:rPr>
          <w:rFonts w:ascii="Times New Roman" w:hAnsi="Times New Roman"/>
          <w:color w:val="000000"/>
        </w:rPr>
      </w:pPr>
    </w:p>
    <w:p w14:paraId="3AEBEEBB" w14:textId="37BB54AD" w:rsidR="001B0B85" w:rsidRDefault="001B0B85" w:rsidP="001B0B85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3) </w:t>
      </w:r>
      <w:r w:rsidRPr="001B0B85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default</w:t>
      </w:r>
      <w:r w:rsidRPr="001B0B85">
        <w:rPr>
          <w:rFonts w:ascii="Times New Roman" w:hAnsi="Times New Roman"/>
          <w:color w:val="000000"/>
        </w:rPr>
        <w:t xml:space="preserve"> emission factor of (736 MCF/completion)</w:t>
      </w:r>
      <w:r>
        <w:rPr>
          <w:rFonts w:ascii="Times New Roman" w:hAnsi="Times New Roman"/>
          <w:color w:val="000000"/>
        </w:rPr>
        <w:t xml:space="preserve"> has been added</w:t>
      </w:r>
      <w:r w:rsidRPr="001B0B85">
        <w:rPr>
          <w:rFonts w:ascii="Times New Roman" w:hAnsi="Times New Roman"/>
          <w:color w:val="000000"/>
        </w:rPr>
        <w:t xml:space="preserve"> for conventional oil well completions based on the </w:t>
      </w:r>
      <w:proofErr w:type="spellStart"/>
      <w:r w:rsidRPr="001B0B85">
        <w:rPr>
          <w:rFonts w:ascii="Times New Roman" w:hAnsi="Times New Roman"/>
          <w:color w:val="000000"/>
        </w:rPr>
        <w:t>CenSARA</w:t>
      </w:r>
      <w:proofErr w:type="spellEnd"/>
      <w:r w:rsidRPr="001B0B85">
        <w:rPr>
          <w:rFonts w:ascii="Times New Roman" w:hAnsi="Times New Roman"/>
          <w:color w:val="000000"/>
        </w:rPr>
        <w:t xml:space="preserve"> study average</w:t>
      </w:r>
      <w:r>
        <w:rPr>
          <w:rFonts w:ascii="Times New Roman" w:hAnsi="Times New Roman"/>
          <w:color w:val="000000"/>
        </w:rPr>
        <w:t>.</w:t>
      </w:r>
      <w:r w:rsidRPr="001B0B85">
        <w:rPr>
          <w:rFonts w:ascii="Times New Roman" w:hAnsi="Times New Roman"/>
          <w:color w:val="000000"/>
        </w:rPr>
        <w:t xml:space="preserve"> No</w:t>
      </w:r>
      <w:r>
        <w:rPr>
          <w:rFonts w:ascii="Times New Roman" w:hAnsi="Times New Roman"/>
          <w:color w:val="000000"/>
        </w:rPr>
        <w:t xml:space="preserve"> default</w:t>
      </w:r>
      <w:r w:rsidRPr="001B0B85">
        <w:rPr>
          <w:rFonts w:ascii="Times New Roman" w:hAnsi="Times New Roman"/>
          <w:color w:val="000000"/>
        </w:rPr>
        <w:t xml:space="preserve"> emission factor was used for conventional oil well completions for 2011 and 2014 as EPA was studying this source type under the NSPS OOOO/</w:t>
      </w:r>
      <w:proofErr w:type="spellStart"/>
      <w:r w:rsidRPr="001B0B85">
        <w:rPr>
          <w:rFonts w:ascii="Times New Roman" w:hAnsi="Times New Roman"/>
          <w:color w:val="000000"/>
        </w:rPr>
        <w:t>OOOOa</w:t>
      </w:r>
      <w:proofErr w:type="spellEnd"/>
      <w:r w:rsidRPr="001B0B85">
        <w:rPr>
          <w:rFonts w:ascii="Times New Roman" w:hAnsi="Times New Roman"/>
          <w:color w:val="000000"/>
        </w:rPr>
        <w:t xml:space="preserve"> revisions.</w:t>
      </w:r>
      <w:r>
        <w:rPr>
          <w:rFonts w:ascii="Times New Roman" w:hAnsi="Times New Roman"/>
          <w:color w:val="000000"/>
        </w:rPr>
        <w:t xml:space="preserve"> This emission factor </w:t>
      </w:r>
      <w:r w:rsidR="00CF5215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>s used where no county-specific data was available.</w:t>
      </w:r>
    </w:p>
    <w:p w14:paraId="6AAFB765" w14:textId="77777777" w:rsidR="001B0B85" w:rsidRDefault="001B0B85" w:rsidP="001B0B85">
      <w:pPr>
        <w:rPr>
          <w:rFonts w:ascii="Times New Roman" w:hAnsi="Times New Roman"/>
          <w:color w:val="000000"/>
          <w:spacing w:val="-3"/>
          <w:w w:val="105"/>
        </w:rPr>
      </w:pPr>
    </w:p>
    <w:p w14:paraId="34B0B868" w14:textId="159A02DF" w:rsidR="001B0B85" w:rsidRPr="001B0B85" w:rsidRDefault="001B0B85" w:rsidP="001B0B85">
      <w:pPr>
        <w:rPr>
          <w:rFonts w:ascii="Times New Roman" w:hAnsi="Times New Roman"/>
          <w:color w:val="000000"/>
          <w:spacing w:val="-3"/>
          <w:w w:val="105"/>
        </w:rPr>
      </w:pPr>
      <w:r w:rsidRPr="004D3211">
        <w:rPr>
          <w:rFonts w:ascii="Times New Roman" w:hAnsi="Times New Roman"/>
          <w:color w:val="000000"/>
          <w:spacing w:val="-3"/>
          <w:w w:val="105"/>
          <w:highlight w:val="yellow"/>
        </w:rPr>
        <w:t xml:space="preserve">4) </w:t>
      </w:r>
      <w:r w:rsidRPr="004D3211">
        <w:rPr>
          <w:rFonts w:ascii="Times New Roman" w:hAnsi="Times New Roman"/>
          <w:color w:val="000000"/>
          <w:highlight w:val="yellow"/>
        </w:rPr>
        <w:t>A default emission factor of (1,602 MCF/completion) has been added for unconventional oil well completions based on the “</w:t>
      </w:r>
      <w:r w:rsidRPr="004D3211">
        <w:rPr>
          <w:rFonts w:ascii="Times New Roman" w:hAnsi="Times New Roman"/>
          <w:color w:val="212121"/>
          <w:highlight w:val="yellow"/>
        </w:rPr>
        <w:t>Draft Inventory of U.S. Greenhouse Gas Emissions and Sinks: 1990-2017</w:t>
      </w:r>
      <w:r w:rsidRPr="004D3211">
        <w:rPr>
          <w:rFonts w:ascii="Times New Roman" w:hAnsi="Times New Roman"/>
          <w:color w:val="000000"/>
          <w:highlight w:val="yellow"/>
        </w:rPr>
        <w:t xml:space="preserve">“. </w:t>
      </w:r>
      <w:r w:rsidRPr="004D3211">
        <w:rPr>
          <w:rFonts w:ascii="Times New Roman" w:hAnsi="Times New Roman"/>
          <w:color w:val="000000"/>
          <w:spacing w:val="-3"/>
          <w:w w:val="105"/>
          <w:highlight w:val="yellow"/>
        </w:rPr>
        <w:t>Th</w:t>
      </w:r>
      <w:r w:rsidR="00CF5215" w:rsidRPr="004D3211">
        <w:rPr>
          <w:rFonts w:ascii="Times New Roman" w:hAnsi="Times New Roman"/>
          <w:color w:val="000000"/>
          <w:spacing w:val="-3"/>
          <w:w w:val="105"/>
          <w:highlight w:val="yellow"/>
        </w:rPr>
        <w:t>is</w:t>
      </w:r>
      <w:r w:rsidRPr="004D3211">
        <w:rPr>
          <w:rFonts w:ascii="Times New Roman" w:hAnsi="Times New Roman"/>
          <w:color w:val="000000"/>
          <w:spacing w:val="-3"/>
          <w:w w:val="105"/>
          <w:highlight w:val="yellow"/>
        </w:rPr>
        <w:t xml:space="preserve"> emission factor was based on an analysis of GHGRP Subpart W data</w:t>
      </w:r>
      <w:r w:rsidR="00CF5215" w:rsidRPr="004D3211">
        <w:rPr>
          <w:rFonts w:ascii="Times New Roman" w:hAnsi="Times New Roman"/>
          <w:color w:val="000000"/>
          <w:spacing w:val="-3"/>
          <w:w w:val="105"/>
          <w:highlight w:val="yellow"/>
        </w:rPr>
        <w:t xml:space="preserve"> and is</w:t>
      </w:r>
      <w:r w:rsidRPr="004D3211">
        <w:rPr>
          <w:rFonts w:ascii="Times New Roman" w:hAnsi="Times New Roman"/>
          <w:color w:val="000000"/>
          <w:highlight w:val="yellow"/>
        </w:rPr>
        <w:t xml:space="preserve"> used where no county-specific data was available.</w:t>
      </w:r>
    </w:p>
    <w:sectPr w:rsidR="001B0B85" w:rsidRPr="001B0B85" w:rsidSect="00A8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848BF" w14:textId="77777777" w:rsidR="00A22E7C" w:rsidRDefault="00A22E7C" w:rsidP="00A0509A">
      <w:r>
        <w:separator/>
      </w:r>
    </w:p>
  </w:endnote>
  <w:endnote w:type="continuationSeparator" w:id="0">
    <w:p w14:paraId="048D9935" w14:textId="77777777" w:rsidR="00A22E7C" w:rsidRDefault="00A22E7C" w:rsidP="00A0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8C7BA" w14:textId="77777777" w:rsidR="00A22E7C" w:rsidRDefault="00A22E7C" w:rsidP="00A0509A">
      <w:r>
        <w:separator/>
      </w:r>
    </w:p>
  </w:footnote>
  <w:footnote w:type="continuationSeparator" w:id="0">
    <w:p w14:paraId="6A812529" w14:textId="77777777" w:rsidR="00A22E7C" w:rsidRDefault="00A22E7C" w:rsidP="00A0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494A"/>
    <w:multiLevelType w:val="hybridMultilevel"/>
    <w:tmpl w:val="CB22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0871"/>
    <w:multiLevelType w:val="hybridMultilevel"/>
    <w:tmpl w:val="133653C6"/>
    <w:lvl w:ilvl="0" w:tplc="A42C9C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45B0E"/>
    <w:multiLevelType w:val="hybridMultilevel"/>
    <w:tmpl w:val="0234D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CB6098"/>
    <w:multiLevelType w:val="hybridMultilevel"/>
    <w:tmpl w:val="D5A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F63B7"/>
    <w:multiLevelType w:val="hybridMultilevel"/>
    <w:tmpl w:val="BDA26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147C5"/>
    <w:multiLevelType w:val="hybridMultilevel"/>
    <w:tmpl w:val="29F64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E3312"/>
    <w:multiLevelType w:val="hybridMultilevel"/>
    <w:tmpl w:val="09EAA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C27668"/>
    <w:multiLevelType w:val="hybridMultilevel"/>
    <w:tmpl w:val="8FE864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A6E1398"/>
    <w:multiLevelType w:val="hybridMultilevel"/>
    <w:tmpl w:val="A606C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61C8C"/>
    <w:multiLevelType w:val="hybridMultilevel"/>
    <w:tmpl w:val="01740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A4C7F"/>
    <w:multiLevelType w:val="hybridMultilevel"/>
    <w:tmpl w:val="EE18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82522"/>
    <w:multiLevelType w:val="multilevel"/>
    <w:tmpl w:val="69788E70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0C7D3C"/>
    <w:multiLevelType w:val="hybridMultilevel"/>
    <w:tmpl w:val="53CC1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9E5C2D"/>
    <w:multiLevelType w:val="multilevel"/>
    <w:tmpl w:val="E73A5EC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8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890894"/>
    <w:multiLevelType w:val="hybridMultilevel"/>
    <w:tmpl w:val="9B080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480FF9"/>
    <w:multiLevelType w:val="multilevel"/>
    <w:tmpl w:val="0F42C996"/>
    <w:lvl w:ilvl="0">
      <w:start w:val="5"/>
      <w:numFmt w:val="upperRoman"/>
      <w:lvlText w:val="%1."/>
      <w:lvlJc w:val="left"/>
      <w:pPr>
        <w:tabs>
          <w:tab w:val="decimal" w:pos="792"/>
        </w:tabs>
        <w:ind w:left="720"/>
      </w:pPr>
      <w:rPr>
        <w:rFonts w:ascii="Times New Roman" w:hAnsi="Times New Roman"/>
        <w:b/>
        <w:strike w:val="0"/>
        <w:color w:val="000000"/>
        <w:spacing w:val="3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2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14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  <w:num w:numId="14">
    <w:abstractNumId w:val="3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9A"/>
    <w:rsid w:val="00001B8A"/>
    <w:rsid w:val="000126C2"/>
    <w:rsid w:val="00017EEB"/>
    <w:rsid w:val="00033EDE"/>
    <w:rsid w:val="000535EF"/>
    <w:rsid w:val="000546E0"/>
    <w:rsid w:val="00075739"/>
    <w:rsid w:val="00086C1B"/>
    <w:rsid w:val="0009431C"/>
    <w:rsid w:val="00097735"/>
    <w:rsid w:val="000A7178"/>
    <w:rsid w:val="000B0AC5"/>
    <w:rsid w:val="000B3E4A"/>
    <w:rsid w:val="000C7C18"/>
    <w:rsid w:val="000E2195"/>
    <w:rsid w:val="000E7EC3"/>
    <w:rsid w:val="0010158C"/>
    <w:rsid w:val="001405B5"/>
    <w:rsid w:val="001754C2"/>
    <w:rsid w:val="0018441A"/>
    <w:rsid w:val="00196225"/>
    <w:rsid w:val="001A671E"/>
    <w:rsid w:val="001B0B85"/>
    <w:rsid w:val="001C2E9A"/>
    <w:rsid w:val="001D7E1E"/>
    <w:rsid w:val="0020278F"/>
    <w:rsid w:val="00214530"/>
    <w:rsid w:val="00216D0B"/>
    <w:rsid w:val="0023292A"/>
    <w:rsid w:val="00233E90"/>
    <w:rsid w:val="00234BA6"/>
    <w:rsid w:val="00251A23"/>
    <w:rsid w:val="00274561"/>
    <w:rsid w:val="002A23BF"/>
    <w:rsid w:val="002B0204"/>
    <w:rsid w:val="002C2187"/>
    <w:rsid w:val="002F2279"/>
    <w:rsid w:val="00303B47"/>
    <w:rsid w:val="003220A1"/>
    <w:rsid w:val="0032375E"/>
    <w:rsid w:val="00324585"/>
    <w:rsid w:val="003553DF"/>
    <w:rsid w:val="0036689B"/>
    <w:rsid w:val="0036778F"/>
    <w:rsid w:val="00367C3A"/>
    <w:rsid w:val="00376D9D"/>
    <w:rsid w:val="00396B3A"/>
    <w:rsid w:val="003A24B2"/>
    <w:rsid w:val="003A36EE"/>
    <w:rsid w:val="003C553A"/>
    <w:rsid w:val="003D7243"/>
    <w:rsid w:val="003E52B3"/>
    <w:rsid w:val="00420410"/>
    <w:rsid w:val="00443ECC"/>
    <w:rsid w:val="00456FC0"/>
    <w:rsid w:val="00471E0B"/>
    <w:rsid w:val="00475AF3"/>
    <w:rsid w:val="004C3F84"/>
    <w:rsid w:val="004D3211"/>
    <w:rsid w:val="004E633E"/>
    <w:rsid w:val="005043F5"/>
    <w:rsid w:val="005125C5"/>
    <w:rsid w:val="00537A05"/>
    <w:rsid w:val="00544ECF"/>
    <w:rsid w:val="00545E4E"/>
    <w:rsid w:val="00563BCB"/>
    <w:rsid w:val="00575EC9"/>
    <w:rsid w:val="00586D58"/>
    <w:rsid w:val="0059640A"/>
    <w:rsid w:val="005A66E6"/>
    <w:rsid w:val="005B1078"/>
    <w:rsid w:val="005F229C"/>
    <w:rsid w:val="005F3BD1"/>
    <w:rsid w:val="005F4562"/>
    <w:rsid w:val="005F60E4"/>
    <w:rsid w:val="00603B9A"/>
    <w:rsid w:val="00622AC5"/>
    <w:rsid w:val="0062530A"/>
    <w:rsid w:val="00654134"/>
    <w:rsid w:val="00676EF0"/>
    <w:rsid w:val="00686F2C"/>
    <w:rsid w:val="006B690C"/>
    <w:rsid w:val="006C4A9A"/>
    <w:rsid w:val="006D68F5"/>
    <w:rsid w:val="006E2917"/>
    <w:rsid w:val="00730F67"/>
    <w:rsid w:val="00750C35"/>
    <w:rsid w:val="007711D1"/>
    <w:rsid w:val="007756D3"/>
    <w:rsid w:val="007964EC"/>
    <w:rsid w:val="007A2D67"/>
    <w:rsid w:val="007B57DE"/>
    <w:rsid w:val="007D5089"/>
    <w:rsid w:val="007E0F7A"/>
    <w:rsid w:val="007E1F4E"/>
    <w:rsid w:val="007F6852"/>
    <w:rsid w:val="00817200"/>
    <w:rsid w:val="008277CB"/>
    <w:rsid w:val="008338F3"/>
    <w:rsid w:val="0085125C"/>
    <w:rsid w:val="00860C58"/>
    <w:rsid w:val="00871C5E"/>
    <w:rsid w:val="008753D0"/>
    <w:rsid w:val="00876FDE"/>
    <w:rsid w:val="0089182E"/>
    <w:rsid w:val="00937B42"/>
    <w:rsid w:val="00950D2C"/>
    <w:rsid w:val="009707BF"/>
    <w:rsid w:val="009760B3"/>
    <w:rsid w:val="00982D3B"/>
    <w:rsid w:val="009A73B0"/>
    <w:rsid w:val="009B34AF"/>
    <w:rsid w:val="009B60EF"/>
    <w:rsid w:val="009C29BD"/>
    <w:rsid w:val="009D3519"/>
    <w:rsid w:val="009D35D2"/>
    <w:rsid w:val="009E6197"/>
    <w:rsid w:val="009F5365"/>
    <w:rsid w:val="00A0509A"/>
    <w:rsid w:val="00A16858"/>
    <w:rsid w:val="00A22E7C"/>
    <w:rsid w:val="00A261F1"/>
    <w:rsid w:val="00A32238"/>
    <w:rsid w:val="00A645C7"/>
    <w:rsid w:val="00A6759B"/>
    <w:rsid w:val="00A77E00"/>
    <w:rsid w:val="00A8549F"/>
    <w:rsid w:val="00A866EB"/>
    <w:rsid w:val="00A8795F"/>
    <w:rsid w:val="00AC03CC"/>
    <w:rsid w:val="00AC1607"/>
    <w:rsid w:val="00AC4523"/>
    <w:rsid w:val="00AD75DC"/>
    <w:rsid w:val="00AE054E"/>
    <w:rsid w:val="00AE31A8"/>
    <w:rsid w:val="00AF72E0"/>
    <w:rsid w:val="00B00622"/>
    <w:rsid w:val="00B05A45"/>
    <w:rsid w:val="00B12ABD"/>
    <w:rsid w:val="00B15EA2"/>
    <w:rsid w:val="00B55C12"/>
    <w:rsid w:val="00B650B1"/>
    <w:rsid w:val="00B71479"/>
    <w:rsid w:val="00B875E5"/>
    <w:rsid w:val="00B91BC5"/>
    <w:rsid w:val="00B939A3"/>
    <w:rsid w:val="00B94290"/>
    <w:rsid w:val="00BB2048"/>
    <w:rsid w:val="00BB242A"/>
    <w:rsid w:val="00BB5F0B"/>
    <w:rsid w:val="00C02D74"/>
    <w:rsid w:val="00C15C88"/>
    <w:rsid w:val="00C351C8"/>
    <w:rsid w:val="00C4180C"/>
    <w:rsid w:val="00C43B05"/>
    <w:rsid w:val="00C54EB3"/>
    <w:rsid w:val="00C62B4A"/>
    <w:rsid w:val="00C8385D"/>
    <w:rsid w:val="00C9375D"/>
    <w:rsid w:val="00CA1E81"/>
    <w:rsid w:val="00CA365E"/>
    <w:rsid w:val="00CB3CBB"/>
    <w:rsid w:val="00CC066F"/>
    <w:rsid w:val="00CF0C55"/>
    <w:rsid w:val="00CF1098"/>
    <w:rsid w:val="00CF5215"/>
    <w:rsid w:val="00D06B32"/>
    <w:rsid w:val="00D16F5B"/>
    <w:rsid w:val="00D21DCA"/>
    <w:rsid w:val="00D22753"/>
    <w:rsid w:val="00D71FC5"/>
    <w:rsid w:val="00D9363D"/>
    <w:rsid w:val="00DA0761"/>
    <w:rsid w:val="00DA0978"/>
    <w:rsid w:val="00DA3287"/>
    <w:rsid w:val="00DB69C5"/>
    <w:rsid w:val="00DD1FA8"/>
    <w:rsid w:val="00DD414A"/>
    <w:rsid w:val="00DE7DD5"/>
    <w:rsid w:val="00DF392B"/>
    <w:rsid w:val="00E00854"/>
    <w:rsid w:val="00E01A32"/>
    <w:rsid w:val="00E25DFD"/>
    <w:rsid w:val="00E357C7"/>
    <w:rsid w:val="00E41917"/>
    <w:rsid w:val="00E4506D"/>
    <w:rsid w:val="00E514DD"/>
    <w:rsid w:val="00E52005"/>
    <w:rsid w:val="00E65B8F"/>
    <w:rsid w:val="00E65E50"/>
    <w:rsid w:val="00E85E62"/>
    <w:rsid w:val="00E86795"/>
    <w:rsid w:val="00EA51D6"/>
    <w:rsid w:val="00EB211B"/>
    <w:rsid w:val="00EB4AA6"/>
    <w:rsid w:val="00ED72D4"/>
    <w:rsid w:val="00EE065E"/>
    <w:rsid w:val="00EE617F"/>
    <w:rsid w:val="00F04683"/>
    <w:rsid w:val="00F21E90"/>
    <w:rsid w:val="00F26495"/>
    <w:rsid w:val="00F56A43"/>
    <w:rsid w:val="00F658DF"/>
    <w:rsid w:val="00F7208C"/>
    <w:rsid w:val="00F72691"/>
    <w:rsid w:val="00F817F5"/>
    <w:rsid w:val="00F937AE"/>
    <w:rsid w:val="00FA135C"/>
    <w:rsid w:val="00FC0C37"/>
    <w:rsid w:val="00FC3D9C"/>
    <w:rsid w:val="00FE1316"/>
    <w:rsid w:val="00FF16C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334AE"/>
  <w15:docId w15:val="{16F0B9F7-BDC6-4EB4-A838-8FE31A88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9A"/>
    <w:pPr>
      <w:spacing w:after="0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B0B8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9A"/>
    <w:pPr>
      <w:spacing w:after="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A0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509A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09A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6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5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5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668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689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6689B"/>
    <w:rPr>
      <w:vertAlign w:val="superscript"/>
    </w:rPr>
  </w:style>
  <w:style w:type="paragraph" w:customStyle="1" w:styleId="ReportBullet">
    <w:name w:val="Report Bullet"/>
    <w:basedOn w:val="Normal"/>
    <w:uiPriority w:val="99"/>
    <w:rsid w:val="00196225"/>
    <w:pPr>
      <w:spacing w:after="60"/>
    </w:pPr>
  </w:style>
  <w:style w:type="paragraph" w:customStyle="1" w:styleId="Tabletitle-GHGPreamble">
    <w:name w:val="_Table title-GHG Preamble"/>
    <w:link w:val="Tabletitle-GHGPreambleChar"/>
    <w:uiPriority w:val="97"/>
    <w:unhideWhenUsed/>
    <w:rsid w:val="009B60EF"/>
    <w:pPr>
      <w:keepNext/>
      <w:spacing w:before="80" w:after="80"/>
      <w:outlineLvl w:val="0"/>
    </w:pPr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Tabletitle-GHGPreambleChar">
    <w:name w:val="_Table title-GHG Preamble Char"/>
    <w:basedOn w:val="DefaultParagraphFont"/>
    <w:link w:val="Tabletitle-GHGPreamble"/>
    <w:uiPriority w:val="97"/>
    <w:rsid w:val="009B60EF"/>
    <w:rPr>
      <w:rFonts w:ascii="Courier New" w:eastAsia="Times New Roman" w:hAnsi="Courier New" w:cs="Courier New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BC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37A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2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4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4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0B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421">
      <w:bodyDiv w:val="1"/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1C826-F57B-4E89-BE70-8A717611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MOR-JTisano</dc:creator>
  <cp:lastModifiedBy>Mike Pring</cp:lastModifiedBy>
  <cp:revision>2</cp:revision>
  <dcterms:created xsi:type="dcterms:W3CDTF">2020-04-16T20:03:00Z</dcterms:created>
  <dcterms:modified xsi:type="dcterms:W3CDTF">2020-04-16T20:03:00Z</dcterms:modified>
</cp:coreProperties>
</file>