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EB0B" w14:textId="77777777" w:rsidR="00D360C1" w:rsidRPr="00A6061A" w:rsidRDefault="00D00C99" w:rsidP="00387957">
      <w:pPr>
        <w:pStyle w:val="Title"/>
      </w:pPr>
      <w:r>
        <w:t>AGRICULTURAL TILLING</w:t>
      </w:r>
    </w:p>
    <w:p w14:paraId="4ADDEB0C" w14:textId="77777777" w:rsidR="00D360C1" w:rsidRPr="00886F17" w:rsidRDefault="00D360C1" w:rsidP="00387957">
      <w:pPr>
        <w:pStyle w:val="Heading1"/>
      </w:pPr>
      <w:r w:rsidRPr="00886F17">
        <w:t>Source Category Description</w:t>
      </w:r>
    </w:p>
    <w:p w14:paraId="4ADDEB0D" w14:textId="77777777" w:rsidR="00A95570" w:rsidRDefault="00715263" w:rsidP="00D360C1">
      <w:pPr>
        <w:widowControl/>
        <w:tabs>
          <w:tab w:val="left" w:pos="0"/>
        </w:tabs>
        <w:rPr>
          <w:szCs w:val="20"/>
        </w:rPr>
      </w:pPr>
      <w:r w:rsidRPr="00715263">
        <w:rPr>
          <w:szCs w:val="20"/>
        </w:rPr>
        <w:t xml:space="preserve">Fugitive dust emissions from agricultural tilling include the airborne soil particulate emissions produced during the preparation of agricultural lands for planting.  Fugitive dust emissions from agricultural tilling </w:t>
      </w:r>
      <w:r w:rsidR="002B5BB8">
        <w:rPr>
          <w:szCs w:val="20"/>
        </w:rPr>
        <w:t>are</w:t>
      </w:r>
      <w:r w:rsidRPr="00715263">
        <w:rPr>
          <w:szCs w:val="20"/>
        </w:rPr>
        <w:t xml:space="preserve"> estimated for PM10-PRI, PM10-FIL, PM25-P</w:t>
      </w:r>
      <w:r w:rsidR="00413875">
        <w:rPr>
          <w:szCs w:val="20"/>
        </w:rPr>
        <w:t>RI, and PM25-FIL. Since there are</w:t>
      </w:r>
      <w:r w:rsidRPr="00715263">
        <w:rPr>
          <w:szCs w:val="20"/>
        </w:rPr>
        <w:t xml:space="preserve"> no PM-CON emissions for this category, PM10-PRI emissions are equal to PM10-FIL emissions and PM25-PRI emissions are equal to PM25-FIL.</w:t>
      </w:r>
      <w:r w:rsidR="00A95570">
        <w:rPr>
          <w:szCs w:val="20"/>
        </w:rPr>
        <w:t xml:space="preserve"> The total emissions for 2014 from agricultural tilling are </w:t>
      </w:r>
      <w:r w:rsidR="0009370B">
        <w:rPr>
          <w:szCs w:val="20"/>
        </w:rPr>
        <w:t>3,717,211</w:t>
      </w:r>
      <w:r w:rsidR="00A95570">
        <w:rPr>
          <w:szCs w:val="20"/>
        </w:rPr>
        <w:t xml:space="preserve"> tons for PM1</w:t>
      </w:r>
      <w:r w:rsidR="0009370B">
        <w:rPr>
          <w:szCs w:val="20"/>
        </w:rPr>
        <w:t>0-FIL, 3,717,211</w:t>
      </w:r>
      <w:r w:rsidR="00A95570">
        <w:rPr>
          <w:szCs w:val="20"/>
        </w:rPr>
        <w:t xml:space="preserve"> tons for PM10-PRI, </w:t>
      </w:r>
      <w:r w:rsidR="0009370B">
        <w:rPr>
          <w:szCs w:val="20"/>
        </w:rPr>
        <w:t>743,442 tons for PM25-FIL, and 743,442</w:t>
      </w:r>
      <w:r w:rsidR="00A95570">
        <w:rPr>
          <w:szCs w:val="20"/>
        </w:rPr>
        <w:t xml:space="preserve"> tons for PM25-PRI.</w:t>
      </w:r>
    </w:p>
    <w:p w14:paraId="4ADDEB0E" w14:textId="77777777" w:rsidR="00D360C1" w:rsidRPr="003E3AC3" w:rsidRDefault="00D360C1" w:rsidP="00D360C1">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D360C1" w:rsidRPr="003E3AC3" w14:paraId="4ADDEB14" w14:textId="77777777" w:rsidTr="00BB33FE">
        <w:trPr>
          <w:trHeight w:val="265"/>
          <w:jc w:val="center"/>
        </w:trPr>
        <w:tc>
          <w:tcPr>
            <w:tcW w:w="1222" w:type="dxa"/>
            <w:shd w:val="clear" w:color="auto" w:fill="BFBFBF" w:themeFill="background1" w:themeFillShade="BF"/>
            <w:noWrap/>
          </w:tcPr>
          <w:p w14:paraId="4ADDEB0F" w14:textId="77777777" w:rsidR="00D360C1" w:rsidRPr="003E3AC3" w:rsidRDefault="00D360C1" w:rsidP="00052E59">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tcPr>
          <w:p w14:paraId="4ADDEB10"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1943" w:type="dxa"/>
            <w:shd w:val="clear" w:color="auto" w:fill="BFBFBF" w:themeFill="background1" w:themeFillShade="BF"/>
            <w:noWrap/>
          </w:tcPr>
          <w:p w14:paraId="4ADDEB11"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604" w:type="dxa"/>
            <w:shd w:val="clear" w:color="auto" w:fill="BFBFBF" w:themeFill="background1" w:themeFillShade="BF"/>
            <w:noWrap/>
          </w:tcPr>
          <w:p w14:paraId="4ADDEB12"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971" w:type="dxa"/>
            <w:shd w:val="clear" w:color="auto" w:fill="BFBFBF" w:themeFill="background1" w:themeFillShade="BF"/>
            <w:noWrap/>
          </w:tcPr>
          <w:p w14:paraId="4ADDEB13"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715263" w:rsidRPr="003E3AC3" w14:paraId="4ADDEB1A" w14:textId="77777777" w:rsidTr="00ED598D">
        <w:trPr>
          <w:trHeight w:val="567"/>
          <w:jc w:val="center"/>
        </w:trPr>
        <w:tc>
          <w:tcPr>
            <w:tcW w:w="1222" w:type="dxa"/>
            <w:vAlign w:val="center"/>
          </w:tcPr>
          <w:p w14:paraId="4ADDEB15" w14:textId="77777777" w:rsidR="00715263" w:rsidRPr="007F1FC4"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sidRPr="007F1FC4">
              <w:rPr>
                <w:szCs w:val="20"/>
              </w:rPr>
              <w:t>2801000003</w:t>
            </w:r>
          </w:p>
        </w:tc>
        <w:tc>
          <w:tcPr>
            <w:tcW w:w="2267" w:type="dxa"/>
            <w:vAlign w:val="center"/>
          </w:tcPr>
          <w:p w14:paraId="4ADDEB16" w14:textId="77777777" w:rsidR="00715263" w:rsidRPr="007F1FC4" w:rsidRDefault="00715263" w:rsidP="00C81B48">
            <w:pPr>
              <w:spacing w:after="0"/>
              <w:jc w:val="center"/>
              <w:rPr>
                <w:szCs w:val="20"/>
              </w:rPr>
            </w:pPr>
            <w:r w:rsidRPr="007F1FC4">
              <w:rPr>
                <w:szCs w:val="20"/>
              </w:rPr>
              <w:t>Miscellaneous Area Sources</w:t>
            </w:r>
          </w:p>
        </w:tc>
        <w:tc>
          <w:tcPr>
            <w:tcW w:w="1943" w:type="dxa"/>
            <w:vAlign w:val="center"/>
          </w:tcPr>
          <w:p w14:paraId="4ADDEB17" w14:textId="77777777" w:rsidR="00715263" w:rsidRPr="007F1FC4" w:rsidRDefault="00715263" w:rsidP="00C81B48">
            <w:pPr>
              <w:spacing w:after="0"/>
              <w:jc w:val="center"/>
              <w:rPr>
                <w:szCs w:val="20"/>
              </w:rPr>
            </w:pPr>
            <w:r w:rsidRPr="007F1FC4">
              <w:rPr>
                <w:szCs w:val="20"/>
              </w:rPr>
              <w:t>Agriculture Production - Crops</w:t>
            </w:r>
          </w:p>
        </w:tc>
        <w:tc>
          <w:tcPr>
            <w:tcW w:w="1604" w:type="dxa"/>
            <w:vAlign w:val="center"/>
          </w:tcPr>
          <w:p w14:paraId="4ADDEB18" w14:textId="77777777" w:rsidR="00715263" w:rsidRPr="007F1FC4" w:rsidRDefault="00715263" w:rsidP="00C81B48">
            <w:pPr>
              <w:spacing w:after="0"/>
              <w:jc w:val="center"/>
              <w:rPr>
                <w:szCs w:val="20"/>
              </w:rPr>
            </w:pPr>
            <w:r w:rsidRPr="007F1FC4">
              <w:rPr>
                <w:szCs w:val="20"/>
              </w:rPr>
              <w:t>Agriculture - Crops</w:t>
            </w:r>
          </w:p>
        </w:tc>
        <w:tc>
          <w:tcPr>
            <w:tcW w:w="1971" w:type="dxa"/>
            <w:vAlign w:val="center"/>
          </w:tcPr>
          <w:p w14:paraId="4ADDEB19" w14:textId="77777777" w:rsidR="00715263" w:rsidRPr="007F1FC4" w:rsidRDefault="00715263" w:rsidP="00C81B48">
            <w:pPr>
              <w:spacing w:after="0"/>
              <w:jc w:val="center"/>
              <w:rPr>
                <w:szCs w:val="20"/>
              </w:rPr>
            </w:pPr>
            <w:r w:rsidRPr="007F1FC4">
              <w:rPr>
                <w:szCs w:val="20"/>
              </w:rPr>
              <w:t>Tilling</w:t>
            </w:r>
          </w:p>
        </w:tc>
      </w:tr>
    </w:tbl>
    <w:p w14:paraId="4ADDEB1B" w14:textId="77777777" w:rsidR="00D360C1" w:rsidRDefault="00D360C1" w:rsidP="00052E59"/>
    <w:p w14:paraId="4ADDEB1C" w14:textId="77777777" w:rsidR="00D360C1" w:rsidRDefault="00D360C1" w:rsidP="00052E59">
      <w:pPr>
        <w:pStyle w:val="Heading1"/>
      </w:pPr>
      <w:r w:rsidRPr="00052E59">
        <w:t>Overview</w:t>
      </w:r>
      <w:r>
        <w:t xml:space="preserve"> of Calculations</w:t>
      </w:r>
    </w:p>
    <w:p w14:paraId="4ADDEB1D" w14:textId="77777777" w:rsidR="002958BB" w:rsidRPr="002958BB" w:rsidRDefault="00D00C99" w:rsidP="00D360C1">
      <w:pPr>
        <w:widowControl/>
        <w:tabs>
          <w:tab w:val="left" w:pos="0"/>
        </w:tabs>
        <w:rPr>
          <w:szCs w:val="20"/>
        </w:rPr>
      </w:pPr>
      <w:r w:rsidRPr="006703A3">
        <w:rPr>
          <w:szCs w:val="20"/>
        </w:rPr>
        <w:t>The calculations for estimating emissions from agricultural tilling involve</w:t>
      </w:r>
      <w:r w:rsidR="006703A3" w:rsidRPr="006703A3">
        <w:rPr>
          <w:szCs w:val="20"/>
        </w:rPr>
        <w:t xml:space="preserve">s </w:t>
      </w:r>
      <w:r w:rsidRPr="006703A3">
        <w:rPr>
          <w:szCs w:val="20"/>
        </w:rPr>
        <w:t xml:space="preserve">distributing </w:t>
      </w:r>
      <w:r w:rsidR="00413875">
        <w:rPr>
          <w:szCs w:val="20"/>
        </w:rPr>
        <w:t>state</w:t>
      </w:r>
      <w:r w:rsidRPr="006703A3">
        <w:rPr>
          <w:szCs w:val="20"/>
        </w:rPr>
        <w:t>-level tilling data by tilling type (conservation, no</w:t>
      </w:r>
      <w:r w:rsidR="006703A3" w:rsidRPr="006703A3">
        <w:rPr>
          <w:szCs w:val="20"/>
        </w:rPr>
        <w:t xml:space="preserve">-till, and conventional) </w:t>
      </w:r>
      <w:r w:rsidR="00413875">
        <w:rPr>
          <w:szCs w:val="20"/>
        </w:rPr>
        <w:t>to the county level and</w:t>
      </w:r>
      <w:r w:rsidR="006703A3" w:rsidRPr="006703A3">
        <w:rPr>
          <w:szCs w:val="20"/>
        </w:rPr>
        <w:t xml:space="preserve"> calculating a ratio of conservation, no-till, and conventional tilling for each county</w:t>
      </w:r>
      <w:r w:rsidR="00413875">
        <w:rPr>
          <w:szCs w:val="20"/>
        </w:rPr>
        <w:t>.</w:t>
      </w:r>
      <w:r w:rsidR="006703A3" w:rsidRPr="006703A3">
        <w:rPr>
          <w:szCs w:val="20"/>
        </w:rPr>
        <w:t xml:space="preserve"> </w:t>
      </w:r>
      <w:r w:rsidR="00413875">
        <w:rPr>
          <w:szCs w:val="20"/>
        </w:rPr>
        <w:t>T</w:t>
      </w:r>
      <w:r w:rsidR="006703A3" w:rsidRPr="006703A3">
        <w:rPr>
          <w:szCs w:val="20"/>
        </w:rPr>
        <w:t xml:space="preserve">hat ratio </w:t>
      </w:r>
      <w:r w:rsidR="00413875">
        <w:rPr>
          <w:szCs w:val="20"/>
        </w:rPr>
        <w:t xml:space="preserve">is used </w:t>
      </w:r>
      <w:r w:rsidR="006703A3" w:rsidRPr="006703A3">
        <w:rPr>
          <w:szCs w:val="20"/>
        </w:rPr>
        <w:t xml:space="preserve">to </w:t>
      </w:r>
      <w:r w:rsidR="00413875">
        <w:rPr>
          <w:szCs w:val="20"/>
        </w:rPr>
        <w:t xml:space="preserve">estimate the type of tillage for each </w:t>
      </w:r>
      <w:r w:rsidR="006703A3" w:rsidRPr="006703A3">
        <w:rPr>
          <w:szCs w:val="20"/>
        </w:rPr>
        <w:t>crop type for each tilling type</w:t>
      </w:r>
      <w:r w:rsidR="00413875">
        <w:rPr>
          <w:szCs w:val="20"/>
        </w:rPr>
        <w:t xml:space="preserve"> in each county. The type of tillage is used to develop </w:t>
      </w:r>
      <w:r w:rsidR="006703A3" w:rsidRPr="006703A3">
        <w:rPr>
          <w:szCs w:val="20"/>
        </w:rPr>
        <w:t>a county-level emission</w:t>
      </w:r>
      <w:r w:rsidR="00413875">
        <w:rPr>
          <w:szCs w:val="20"/>
        </w:rPr>
        <w:t>s</w:t>
      </w:r>
      <w:r w:rsidR="006703A3" w:rsidRPr="006703A3">
        <w:rPr>
          <w:szCs w:val="20"/>
        </w:rPr>
        <w:t xml:space="preserve"> factor for each crop type and tilling type, </w:t>
      </w:r>
      <w:r w:rsidR="00413875">
        <w:rPr>
          <w:szCs w:val="20"/>
        </w:rPr>
        <w:t xml:space="preserve">which is used to calculate county-level </w:t>
      </w:r>
      <w:r w:rsidR="006703A3" w:rsidRPr="006703A3">
        <w:rPr>
          <w:szCs w:val="20"/>
        </w:rPr>
        <w:t xml:space="preserve">PM10-FIL, PM10-PRI, PM25-FIL, and PM25-PRI emissions. </w:t>
      </w:r>
      <w:r w:rsidR="002958BB" w:rsidRPr="006703A3">
        <w:rPr>
          <w:szCs w:val="20"/>
        </w:rPr>
        <w:t xml:space="preserve">Sources of data and calculations for the </w:t>
      </w:r>
      <w:r w:rsidRPr="006703A3">
        <w:rPr>
          <w:szCs w:val="20"/>
        </w:rPr>
        <w:t xml:space="preserve">acres tilled by conservation type and acres of crops harvested </w:t>
      </w:r>
      <w:r w:rsidR="00052E59" w:rsidRPr="006703A3">
        <w:rPr>
          <w:szCs w:val="20"/>
        </w:rPr>
        <w:t xml:space="preserve">are discussed in section </w:t>
      </w:r>
      <w:r w:rsidR="00052E59" w:rsidRPr="006703A3">
        <w:rPr>
          <w:szCs w:val="20"/>
        </w:rPr>
        <w:fldChar w:fldCharType="begin"/>
      </w:r>
      <w:r w:rsidR="00052E59" w:rsidRPr="006703A3">
        <w:rPr>
          <w:szCs w:val="20"/>
        </w:rPr>
        <w:instrText xml:space="preserve"> REF _Ref477177316 \r \h </w:instrText>
      </w:r>
      <w:r w:rsidR="00715263" w:rsidRPr="006703A3">
        <w:rPr>
          <w:szCs w:val="20"/>
        </w:rPr>
        <w:instrText xml:space="preserve"> \* MERGEFORMAT </w:instrText>
      </w:r>
      <w:r w:rsidR="00052E59" w:rsidRPr="006703A3">
        <w:rPr>
          <w:szCs w:val="20"/>
        </w:rPr>
      </w:r>
      <w:r w:rsidR="00052E59" w:rsidRPr="006703A3">
        <w:rPr>
          <w:szCs w:val="20"/>
        </w:rPr>
        <w:fldChar w:fldCharType="separate"/>
      </w:r>
      <w:r w:rsidR="00C4472E" w:rsidRPr="006703A3">
        <w:rPr>
          <w:szCs w:val="20"/>
        </w:rPr>
        <w:t>C</w:t>
      </w:r>
      <w:r w:rsidR="00052E59" w:rsidRPr="006703A3">
        <w:rPr>
          <w:szCs w:val="20"/>
        </w:rPr>
        <w:fldChar w:fldCharType="end"/>
      </w:r>
      <w:r w:rsidR="002958BB" w:rsidRPr="006703A3">
        <w:rPr>
          <w:szCs w:val="20"/>
        </w:rPr>
        <w:t>.</w:t>
      </w:r>
      <w:r w:rsidR="00052E59" w:rsidRPr="006703A3">
        <w:rPr>
          <w:szCs w:val="20"/>
        </w:rPr>
        <w:t xml:space="preserve"> The process of allocating </w:t>
      </w:r>
      <w:r w:rsidRPr="006703A3">
        <w:rPr>
          <w:szCs w:val="20"/>
        </w:rPr>
        <w:t>tilling data by type</w:t>
      </w:r>
      <w:r w:rsidR="004062A6" w:rsidRPr="006703A3">
        <w:rPr>
          <w:szCs w:val="20"/>
        </w:rPr>
        <w:t xml:space="preserve"> </w:t>
      </w:r>
      <w:r w:rsidR="00052E59" w:rsidRPr="006703A3">
        <w:rPr>
          <w:szCs w:val="20"/>
        </w:rPr>
        <w:t xml:space="preserve">to the county level is discussed in section </w:t>
      </w:r>
      <w:r w:rsidR="00052E59" w:rsidRPr="006703A3">
        <w:rPr>
          <w:szCs w:val="20"/>
        </w:rPr>
        <w:fldChar w:fldCharType="begin"/>
      </w:r>
      <w:r w:rsidR="00052E59" w:rsidRPr="006703A3">
        <w:rPr>
          <w:szCs w:val="20"/>
        </w:rPr>
        <w:instrText xml:space="preserve"> REF _Ref477177506 \r \h </w:instrText>
      </w:r>
      <w:r w:rsidR="00715263" w:rsidRPr="006703A3">
        <w:rPr>
          <w:szCs w:val="20"/>
        </w:rPr>
        <w:instrText xml:space="preserve"> \* MERGEFORMAT </w:instrText>
      </w:r>
      <w:r w:rsidR="00052E59" w:rsidRPr="006703A3">
        <w:rPr>
          <w:szCs w:val="20"/>
        </w:rPr>
      </w:r>
      <w:r w:rsidR="00052E59" w:rsidRPr="006703A3">
        <w:rPr>
          <w:szCs w:val="20"/>
        </w:rPr>
        <w:fldChar w:fldCharType="separate"/>
      </w:r>
      <w:r w:rsidR="00C4472E" w:rsidRPr="006703A3">
        <w:rPr>
          <w:szCs w:val="20"/>
        </w:rPr>
        <w:t>D</w:t>
      </w:r>
      <w:r w:rsidR="00052E59" w:rsidRPr="006703A3">
        <w:rPr>
          <w:szCs w:val="20"/>
        </w:rPr>
        <w:fldChar w:fldCharType="end"/>
      </w:r>
      <w:r w:rsidR="00052E59" w:rsidRPr="006703A3">
        <w:rPr>
          <w:szCs w:val="20"/>
        </w:rPr>
        <w:t xml:space="preserve">. </w:t>
      </w:r>
      <w:r w:rsidR="00413875">
        <w:rPr>
          <w:szCs w:val="20"/>
        </w:rPr>
        <w:t>The calculations of the e</w:t>
      </w:r>
      <w:r w:rsidR="00052E59" w:rsidRPr="006703A3">
        <w:rPr>
          <w:szCs w:val="20"/>
        </w:rPr>
        <w:t>mission</w:t>
      </w:r>
      <w:r w:rsidR="00680037" w:rsidRPr="006703A3">
        <w:rPr>
          <w:szCs w:val="20"/>
        </w:rPr>
        <w:t>s</w:t>
      </w:r>
      <w:r w:rsidR="00052E59" w:rsidRPr="006703A3">
        <w:rPr>
          <w:szCs w:val="20"/>
        </w:rPr>
        <w:t xml:space="preserve"> factors are discussed in section</w:t>
      </w:r>
      <w:r w:rsidR="00B259AF" w:rsidRPr="006703A3">
        <w:rPr>
          <w:szCs w:val="20"/>
        </w:rPr>
        <w:t xml:space="preserve"> </w:t>
      </w:r>
      <w:r w:rsidR="00B259AF" w:rsidRPr="006703A3">
        <w:rPr>
          <w:szCs w:val="20"/>
        </w:rPr>
        <w:fldChar w:fldCharType="begin"/>
      </w:r>
      <w:r w:rsidR="00B259AF" w:rsidRPr="006703A3">
        <w:rPr>
          <w:szCs w:val="20"/>
        </w:rPr>
        <w:instrText xml:space="preserve"> REF _Ref477187901 \r \h </w:instrText>
      </w:r>
      <w:r w:rsidR="00715263" w:rsidRPr="006703A3">
        <w:rPr>
          <w:szCs w:val="20"/>
        </w:rPr>
        <w:instrText xml:space="preserve"> \* MERGEFORMAT </w:instrText>
      </w:r>
      <w:r w:rsidR="00B259AF" w:rsidRPr="006703A3">
        <w:rPr>
          <w:szCs w:val="20"/>
        </w:rPr>
      </w:r>
      <w:r w:rsidR="00B259AF" w:rsidRPr="006703A3">
        <w:rPr>
          <w:szCs w:val="20"/>
        </w:rPr>
        <w:fldChar w:fldCharType="separate"/>
      </w:r>
      <w:r w:rsidR="00C4472E" w:rsidRPr="006703A3">
        <w:rPr>
          <w:szCs w:val="20"/>
        </w:rPr>
        <w:t>E</w:t>
      </w:r>
      <w:r w:rsidR="00B259AF" w:rsidRPr="006703A3">
        <w:rPr>
          <w:szCs w:val="20"/>
        </w:rPr>
        <w:fldChar w:fldCharType="end"/>
      </w:r>
      <w:r w:rsidR="00052E59" w:rsidRPr="006703A3">
        <w:rPr>
          <w:szCs w:val="20"/>
        </w:rPr>
        <w:t xml:space="preserve">. </w:t>
      </w:r>
      <w:r w:rsidR="008E2445" w:rsidRPr="006703A3">
        <w:rPr>
          <w:szCs w:val="20"/>
        </w:rPr>
        <w:t xml:space="preserve">The estimation of emissions from </w:t>
      </w:r>
      <w:r w:rsidRPr="006703A3">
        <w:rPr>
          <w:szCs w:val="20"/>
        </w:rPr>
        <w:t xml:space="preserve">agricultural tilling </w:t>
      </w:r>
      <w:r w:rsidR="008E2445" w:rsidRPr="006703A3">
        <w:rPr>
          <w:szCs w:val="20"/>
        </w:rPr>
        <w:t xml:space="preserve">is discussed in section </w:t>
      </w:r>
      <w:r w:rsidR="008E2445" w:rsidRPr="006703A3">
        <w:rPr>
          <w:szCs w:val="20"/>
        </w:rPr>
        <w:fldChar w:fldCharType="begin"/>
      </w:r>
      <w:r w:rsidR="008E2445" w:rsidRPr="006703A3">
        <w:rPr>
          <w:szCs w:val="20"/>
        </w:rPr>
        <w:instrText xml:space="preserve"> REF _Ref477177564 \r \h </w:instrText>
      </w:r>
      <w:r w:rsidR="00715263" w:rsidRPr="006703A3">
        <w:rPr>
          <w:szCs w:val="20"/>
        </w:rPr>
        <w:instrText xml:space="preserve"> \* MERGEFORMAT </w:instrText>
      </w:r>
      <w:r w:rsidR="008E2445" w:rsidRPr="006703A3">
        <w:rPr>
          <w:szCs w:val="20"/>
        </w:rPr>
      </w:r>
      <w:r w:rsidR="008E2445" w:rsidRPr="006703A3">
        <w:rPr>
          <w:szCs w:val="20"/>
        </w:rPr>
        <w:fldChar w:fldCharType="separate"/>
      </w:r>
      <w:r w:rsidR="00C4472E" w:rsidRPr="006703A3">
        <w:rPr>
          <w:szCs w:val="20"/>
        </w:rPr>
        <w:t>G</w:t>
      </w:r>
      <w:r w:rsidR="008E2445" w:rsidRPr="006703A3">
        <w:rPr>
          <w:szCs w:val="20"/>
        </w:rPr>
        <w:fldChar w:fldCharType="end"/>
      </w:r>
      <w:r w:rsidR="008E2445" w:rsidRPr="006703A3">
        <w:rPr>
          <w:szCs w:val="20"/>
        </w:rPr>
        <w:t>.</w:t>
      </w:r>
    </w:p>
    <w:p w14:paraId="4ADDEB1E" w14:textId="77777777" w:rsidR="00B97E6E" w:rsidRDefault="00B97E6E" w:rsidP="00052E59">
      <w:pPr>
        <w:pStyle w:val="Heading1"/>
      </w:pPr>
      <w:bookmarkStart w:id="0" w:name="_Ref477177316"/>
      <w:r w:rsidRPr="00886F17">
        <w:t>Activity Data</w:t>
      </w:r>
      <w:bookmarkEnd w:id="0"/>
    </w:p>
    <w:p w14:paraId="4ADDEB1F" w14:textId="66B1DFF3" w:rsidR="00DA6A52" w:rsidRDefault="00715263" w:rsidP="0035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E3A88">
        <w:rPr>
          <w:szCs w:val="20"/>
        </w:rPr>
        <w:t xml:space="preserve">The basis of agricultural tilling emission estimates is the number of acres of crops tilled in each county by crop type and tillage type.  These data </w:t>
      </w:r>
      <w:r w:rsidR="002B5BB8">
        <w:rPr>
          <w:szCs w:val="20"/>
        </w:rPr>
        <w:t>are</w:t>
      </w:r>
      <w:r w:rsidRPr="00EE3A88">
        <w:rPr>
          <w:szCs w:val="20"/>
        </w:rPr>
        <w:t xml:space="preserve"> obtained from the </w:t>
      </w:r>
      <w:r w:rsidRPr="00EE3A88">
        <w:rPr>
          <w:i/>
          <w:szCs w:val="20"/>
        </w:rPr>
        <w:t>201</w:t>
      </w:r>
      <w:r w:rsidR="004C7E65">
        <w:rPr>
          <w:i/>
          <w:szCs w:val="20"/>
        </w:rPr>
        <w:t>7</w:t>
      </w:r>
      <w:r w:rsidRPr="00EE3A88">
        <w:rPr>
          <w:i/>
          <w:szCs w:val="20"/>
        </w:rPr>
        <w:t xml:space="preserve"> Census of Agriculture </w:t>
      </w:r>
      <w:r w:rsidRPr="00EE3A88">
        <w:rPr>
          <w:szCs w:val="20"/>
        </w:rPr>
        <w:t>developed by the United States Department of Agriculture.</w:t>
      </w:r>
      <w:bookmarkStart w:id="1" w:name="_Ref478461335"/>
      <w:r>
        <w:rPr>
          <w:rStyle w:val="EndnoteReference"/>
          <w:szCs w:val="20"/>
        </w:rPr>
        <w:endnoteReference w:id="2"/>
      </w:r>
      <w:bookmarkEnd w:id="1"/>
      <w:r w:rsidRPr="00EE3A88">
        <w:rPr>
          <w:szCs w:val="20"/>
        </w:rPr>
        <w:t xml:space="preserve"> The USDA Census of Agriculture reports acres harvested for a given crop at the county level, but does not provide tilling data for each crop type at the county level. </w:t>
      </w:r>
    </w:p>
    <w:p w14:paraId="4ADDEB20" w14:textId="77777777" w:rsidR="00DA6A52" w:rsidRDefault="00DA6A52" w:rsidP="00DA6A52">
      <w:pPr>
        <w:rPr>
          <w:szCs w:val="20"/>
        </w:rPr>
      </w:pPr>
      <w:r w:rsidRPr="00EE3A88">
        <w:rPr>
          <w:szCs w:val="20"/>
        </w:rPr>
        <w:t xml:space="preserve">The USDA Census of Agriculture redacts some county level data to avoid disclosing data for individual farms. Missing county-level data for acres harvested by crop type and tilling type </w:t>
      </w:r>
      <w:r>
        <w:rPr>
          <w:szCs w:val="20"/>
        </w:rPr>
        <w:t>ar</w:t>
      </w:r>
      <w:r w:rsidRPr="00EE3A88">
        <w:rPr>
          <w:szCs w:val="20"/>
        </w:rPr>
        <w:t>e calculated using the difference between the state and national level reported data and the sum of the count</w:t>
      </w:r>
      <w:r>
        <w:rPr>
          <w:szCs w:val="20"/>
        </w:rPr>
        <w:t>y</w:t>
      </w:r>
      <w:r w:rsidRPr="00EE3A88">
        <w:rPr>
          <w:szCs w:val="20"/>
        </w:rPr>
        <w:t>-level data by state.</w:t>
      </w:r>
      <w:r>
        <w:rPr>
          <w:szCs w:val="20"/>
        </w:rPr>
        <w:t xml:space="preserve"> </w:t>
      </w:r>
    </w:p>
    <w:p w14:paraId="4ADDEB21" w14:textId="77777777" w:rsidR="00DA6A52" w:rsidRDefault="00DA6A52" w:rsidP="00DA6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When county level tilling data are unavailable, the total state level tilling data by tilling type, conservation, no-till, and conventional are distributed to the county level for each crop. The difference between the county-level data for acres harvested by crop tilling type and the state-level data for acres harvested by crop tilling are equally distributed to the counties without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DA6A52" w:rsidRPr="00E94684" w14:paraId="4ADDEB24" w14:textId="77777777" w:rsidTr="00750F45">
        <w:trPr>
          <w:trHeight w:val="585"/>
        </w:trPr>
        <w:tc>
          <w:tcPr>
            <w:tcW w:w="8748" w:type="dxa"/>
          </w:tcPr>
          <w:p w14:paraId="4ADDEB22" w14:textId="77777777" w:rsidR="00DA6A52" w:rsidRPr="00E94684" w:rsidRDefault="00D97F8F" w:rsidP="00750F45">
            <w:pPr>
              <w:widowControl/>
              <w:autoSpaceDE/>
              <w:autoSpaceDN/>
              <w:adjustRightInd/>
              <w:spacing w:before="120" w:after="120"/>
              <w:rPr>
                <w:szCs w:val="20"/>
              </w:rPr>
            </w:pPr>
            <m:oMathPara>
              <m:oMathParaPr>
                <m:jc m:val="center"/>
              </m:oMathParaPr>
              <m:oMath>
                <m:sSub>
                  <m:sSubPr>
                    <m:ctrlPr>
                      <w:rPr>
                        <w:rFonts w:ascii="Cambria Math" w:hAnsi="Cambria Math"/>
                        <w:i/>
                      </w:rPr>
                    </m:ctrlPr>
                  </m:sSubPr>
                  <m:e>
                    <m:r>
                      <w:rPr>
                        <w:rFonts w:ascii="Cambria Math" w:hAnsi="Cambria Math"/>
                        <w:szCs w:val="20"/>
                      </w:rPr>
                      <m:t>a</m:t>
                    </m:r>
                  </m:e>
                  <m:sub>
                    <m:r>
                      <w:rPr>
                        <w:rFonts w:ascii="Cambria Math" w:hAnsi="Cambria Math"/>
                        <w:szCs w:val="20"/>
                      </w:rPr>
                      <m:t>m,t</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a</m:t>
                        </m:r>
                      </m:e>
                      <m:sub>
                        <m:r>
                          <w:rPr>
                            <w:rFonts w:ascii="Cambria Math" w:hAnsi="Cambria Math"/>
                            <w:szCs w:val="20"/>
                          </w:rPr>
                          <m:t>s,t</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e>
                    </m:nary>
                  </m:num>
                  <m:den>
                    <m:sSub>
                      <m:sSubPr>
                        <m:ctrlPr>
                          <w:rPr>
                            <w:rFonts w:ascii="Cambria Math" w:hAnsi="Cambria Math"/>
                            <w:i/>
                          </w:rPr>
                        </m:ctrlPr>
                      </m:sSubPr>
                      <m:e>
                        <m:r>
                          <w:rPr>
                            <w:rFonts w:ascii="Cambria Math" w:hAnsi="Cambria Math"/>
                            <w:szCs w:val="20"/>
                          </w:rPr>
                          <m:t>C</m:t>
                        </m:r>
                      </m:e>
                      <m:sub>
                        <m:r>
                          <w:rPr>
                            <w:rFonts w:ascii="Cambria Math" w:hAnsi="Cambria Math"/>
                            <w:szCs w:val="20"/>
                          </w:rPr>
                          <m:t>m,t</m:t>
                        </m:r>
                      </m:sub>
                    </m:sSub>
                  </m:den>
                </m:f>
              </m:oMath>
            </m:oMathPara>
          </w:p>
        </w:tc>
        <w:tc>
          <w:tcPr>
            <w:tcW w:w="828" w:type="dxa"/>
          </w:tcPr>
          <w:p w14:paraId="4ADDEB23" w14:textId="77777777" w:rsidR="00DA6A52" w:rsidRPr="00E94684" w:rsidRDefault="00DA6A52" w:rsidP="00750F45">
            <w:pPr>
              <w:pStyle w:val="ListParagraph"/>
              <w:widowControl/>
              <w:numPr>
                <w:ilvl w:val="0"/>
                <w:numId w:val="10"/>
              </w:numPr>
              <w:autoSpaceDE/>
              <w:autoSpaceDN/>
              <w:adjustRightInd/>
              <w:spacing w:before="120" w:after="120"/>
              <w:jc w:val="right"/>
              <w:rPr>
                <w:szCs w:val="20"/>
              </w:rPr>
            </w:pPr>
          </w:p>
        </w:tc>
      </w:tr>
    </w:tbl>
    <w:p w14:paraId="4ADDEB25" w14:textId="77777777" w:rsidR="00DA6A52" w:rsidRPr="00E94684" w:rsidRDefault="00DA6A52" w:rsidP="00DA6A52">
      <w:pPr>
        <w:widowControl/>
        <w:tabs>
          <w:tab w:val="left" w:pos="0"/>
        </w:tabs>
        <w:rPr>
          <w:szCs w:val="20"/>
        </w:rPr>
      </w:pPr>
      <w:r w:rsidRPr="00E94684">
        <w:rPr>
          <w:szCs w:val="20"/>
        </w:rPr>
        <w:t>Where:</w:t>
      </w:r>
    </w:p>
    <w:p w14:paraId="4ADDEB26" w14:textId="77777777" w:rsidR="00DA6A52" w:rsidRPr="00E94684" w:rsidRDefault="00DA6A52" w:rsidP="00DA6A52">
      <w:pPr>
        <w:pStyle w:val="NoSpacing"/>
        <w:tabs>
          <w:tab w:val="clear" w:pos="1584"/>
          <w:tab w:val="left" w:pos="1620"/>
          <w:tab w:val="left" w:pos="1800"/>
        </w:tabs>
        <w:ind w:left="1620"/>
        <w:rPr>
          <w:i/>
        </w:rPr>
      </w:pPr>
      <w:r w:rsidRPr="00E94684">
        <w:rPr>
          <w:i/>
        </w:rPr>
        <w:tab/>
      </w:r>
      <w:r>
        <w:rPr>
          <w:i/>
          <w:szCs w:val="20"/>
        </w:rPr>
        <w:t>a</w:t>
      </w:r>
      <w:r>
        <w:rPr>
          <w:i/>
          <w:szCs w:val="20"/>
          <w:vertAlign w:val="subscript"/>
        </w:rPr>
        <w:t>m,t</w:t>
      </w:r>
      <w:r w:rsidRPr="00E94684">
        <w:rPr>
          <w:i/>
          <w:vertAlign w:val="subscript"/>
        </w:rPr>
        <w:t xml:space="preserve"> </w:t>
      </w:r>
      <w:r w:rsidRPr="00E94684">
        <w:rPr>
          <w:i/>
          <w:vertAlign w:val="subscript"/>
        </w:rPr>
        <w:tab/>
      </w:r>
      <w:r w:rsidRPr="00E94684">
        <w:rPr>
          <w:i/>
        </w:rPr>
        <w:t xml:space="preserve">= </w:t>
      </w:r>
      <w:r w:rsidRPr="00E94684">
        <w:rPr>
          <w:i/>
        </w:rPr>
        <w:tab/>
      </w:r>
      <w:r>
        <w:rPr>
          <w:szCs w:val="20"/>
        </w:rPr>
        <w:t xml:space="preserve">County-level land tilled by crop tilling type, </w:t>
      </w:r>
      <w:r>
        <w:rPr>
          <w:i/>
          <w:szCs w:val="20"/>
        </w:rPr>
        <w:t>t</w:t>
      </w:r>
      <w:r>
        <w:rPr>
          <w:szCs w:val="20"/>
        </w:rPr>
        <w:t xml:space="preserve">, for counties missing tilling data, </w:t>
      </w:r>
      <w:r>
        <w:rPr>
          <w:i/>
          <w:szCs w:val="20"/>
        </w:rPr>
        <w:t>m</w:t>
      </w:r>
      <w:r>
        <w:rPr>
          <w:szCs w:val="20"/>
        </w:rPr>
        <w:t>, in acres</w:t>
      </w:r>
      <w:r w:rsidRPr="00E94684">
        <w:t xml:space="preserve"> </w:t>
      </w:r>
    </w:p>
    <w:p w14:paraId="4ADDEB27" w14:textId="77777777" w:rsidR="00DA6A52" w:rsidRPr="00E94684" w:rsidRDefault="00DA6A52" w:rsidP="00DA6A52">
      <w:pPr>
        <w:pStyle w:val="NoSpacing"/>
        <w:tabs>
          <w:tab w:val="clear" w:pos="1584"/>
          <w:tab w:val="left" w:pos="1620"/>
          <w:tab w:val="left" w:pos="1800"/>
        </w:tabs>
        <w:ind w:left="1620"/>
      </w:pPr>
      <w:r w:rsidRPr="00E94684">
        <w:rPr>
          <w:i/>
        </w:rPr>
        <w:tab/>
      </w:r>
      <w:r>
        <w:rPr>
          <w:i/>
          <w:szCs w:val="20"/>
        </w:rPr>
        <w:t>a</w:t>
      </w:r>
      <w:r>
        <w:rPr>
          <w:i/>
          <w:szCs w:val="20"/>
          <w:vertAlign w:val="subscript"/>
        </w:rPr>
        <w:t>s,t</w:t>
      </w:r>
      <w:r w:rsidRPr="00E94684">
        <w:rPr>
          <w:i/>
          <w:vertAlign w:val="subscript"/>
        </w:rPr>
        <w:tab/>
      </w:r>
      <w:r w:rsidRPr="00E94684">
        <w:rPr>
          <w:i/>
        </w:rPr>
        <w:t xml:space="preserve">= </w:t>
      </w:r>
      <w:r w:rsidRPr="00E94684">
        <w:rPr>
          <w:i/>
        </w:rPr>
        <w:tab/>
      </w:r>
      <w:r>
        <w:rPr>
          <w:szCs w:val="20"/>
        </w:rPr>
        <w:t>Land tilled by crop tilling type</w:t>
      </w:r>
      <w:r>
        <w:rPr>
          <w:i/>
          <w:szCs w:val="20"/>
        </w:rPr>
        <w:t xml:space="preserve"> t</w:t>
      </w:r>
      <w:r>
        <w:rPr>
          <w:szCs w:val="20"/>
        </w:rPr>
        <w:t xml:space="preserve"> in state </w:t>
      </w:r>
      <w:r>
        <w:rPr>
          <w:i/>
          <w:szCs w:val="20"/>
        </w:rPr>
        <w:t>s</w:t>
      </w:r>
      <w:r>
        <w:rPr>
          <w:szCs w:val="20"/>
        </w:rPr>
        <w:t>, in acres</w:t>
      </w:r>
    </w:p>
    <w:p w14:paraId="4ADDEB28" w14:textId="77777777" w:rsidR="00DA6A52" w:rsidRDefault="00DA6A52" w:rsidP="00DA6A52">
      <w:pPr>
        <w:pStyle w:val="NoSpacing"/>
        <w:tabs>
          <w:tab w:val="clear" w:pos="1584"/>
          <w:tab w:val="left" w:pos="1620"/>
          <w:tab w:val="left" w:pos="1800"/>
        </w:tabs>
        <w:ind w:left="1620"/>
      </w:pPr>
      <w:r w:rsidRPr="00E94684">
        <w:rPr>
          <w:i/>
        </w:rPr>
        <w:tab/>
      </w:r>
      <w:r>
        <w:rPr>
          <w:i/>
          <w:szCs w:val="20"/>
        </w:rPr>
        <w:t>a</w:t>
      </w:r>
      <w:r>
        <w:rPr>
          <w:i/>
          <w:szCs w:val="20"/>
          <w:vertAlign w:val="subscript"/>
        </w:rPr>
        <w:t>c,t</w:t>
      </w:r>
      <w:r w:rsidRPr="00E94684">
        <w:rPr>
          <w:i/>
          <w:vertAlign w:val="subscript"/>
        </w:rPr>
        <w:tab/>
      </w:r>
      <w:r w:rsidRPr="00E94684">
        <w:rPr>
          <w:i/>
        </w:rPr>
        <w:t xml:space="preserve">= </w:t>
      </w:r>
      <w:r w:rsidRPr="00E94684">
        <w:rPr>
          <w:i/>
        </w:rPr>
        <w:tab/>
      </w:r>
      <w:r>
        <w:rPr>
          <w:szCs w:val="20"/>
        </w:rPr>
        <w:t>Sum of county-level land tilled by crop tilling type,</w:t>
      </w:r>
      <w:r>
        <w:rPr>
          <w:i/>
          <w:szCs w:val="20"/>
        </w:rPr>
        <w:t xml:space="preserve"> t</w:t>
      </w:r>
      <w:r>
        <w:rPr>
          <w:szCs w:val="20"/>
        </w:rPr>
        <w:t>, in acres</w:t>
      </w:r>
    </w:p>
    <w:p w14:paraId="4ADDEB29" w14:textId="77777777" w:rsidR="00DA6A52" w:rsidRDefault="00DA6A52" w:rsidP="00DA6A52">
      <w:pPr>
        <w:pStyle w:val="NoSpacing"/>
        <w:tabs>
          <w:tab w:val="clear" w:pos="1584"/>
          <w:tab w:val="left" w:pos="1620"/>
          <w:tab w:val="left" w:pos="1800"/>
        </w:tabs>
        <w:ind w:left="1620"/>
        <w:rPr>
          <w:i/>
          <w:szCs w:val="20"/>
        </w:rPr>
      </w:pPr>
      <w:r>
        <w:rPr>
          <w:i/>
          <w:szCs w:val="20"/>
        </w:rPr>
        <w:tab/>
        <w:t>C</w:t>
      </w:r>
      <w:r>
        <w:rPr>
          <w:i/>
          <w:szCs w:val="20"/>
          <w:vertAlign w:val="subscript"/>
        </w:rPr>
        <w:t>m,t</w:t>
      </w:r>
      <w:r>
        <w:rPr>
          <w:i/>
          <w:szCs w:val="20"/>
          <w:vertAlign w:val="subscript"/>
        </w:rPr>
        <w:tab/>
      </w:r>
      <w:r>
        <w:rPr>
          <w:szCs w:val="20"/>
        </w:rPr>
        <w:t>=</w:t>
      </w:r>
      <w:r>
        <w:rPr>
          <w:szCs w:val="20"/>
        </w:rPr>
        <w:tab/>
        <w:t>Number of counties missing county-level land tilled data by crop tilling type</w:t>
      </w:r>
      <w:r>
        <w:rPr>
          <w:i/>
          <w:szCs w:val="20"/>
        </w:rPr>
        <w:t>, t</w:t>
      </w:r>
    </w:p>
    <w:p w14:paraId="4ADDEB2A" w14:textId="77777777" w:rsidR="00DA6A52" w:rsidRDefault="00DA6A52" w:rsidP="0035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4ADDEB2B" w14:textId="77777777" w:rsidR="00DA6A52" w:rsidRPr="00DA6A52" w:rsidRDefault="00F77C3B" w:rsidP="00DA6A52">
      <w:pPr>
        <w:rPr>
          <w:szCs w:val="20"/>
        </w:rPr>
      </w:pPr>
      <w:r>
        <w:rPr>
          <w:szCs w:val="20"/>
        </w:rPr>
        <w:lastRenderedPageBreak/>
        <w:t xml:space="preserve">USDA </w:t>
      </w:r>
      <w:r w:rsidR="00DA6A52">
        <w:rPr>
          <w:szCs w:val="20"/>
        </w:rPr>
        <w:t xml:space="preserve">provides data on </w:t>
      </w:r>
      <w:r w:rsidR="001C1084">
        <w:rPr>
          <w:szCs w:val="20"/>
        </w:rPr>
        <w:t xml:space="preserve">the </w:t>
      </w:r>
      <w:r>
        <w:rPr>
          <w:szCs w:val="20"/>
        </w:rPr>
        <w:t xml:space="preserve">number of acres tilled by </w:t>
      </w:r>
      <w:r w:rsidR="001C1084">
        <w:rPr>
          <w:szCs w:val="20"/>
        </w:rPr>
        <w:t xml:space="preserve">tillage type (conservation, no-till, and conventional) </w:t>
      </w:r>
      <w:r>
        <w:rPr>
          <w:szCs w:val="20"/>
        </w:rPr>
        <w:t>in each</w:t>
      </w:r>
      <w:r w:rsidR="001C1084">
        <w:rPr>
          <w:szCs w:val="20"/>
        </w:rPr>
        <w:t xml:space="preserve"> county,</w:t>
      </w:r>
      <w:r w:rsidRPr="00DA6A52">
        <w:rPr>
          <w:rStyle w:val="EndnoteReference"/>
          <w:szCs w:val="20"/>
        </w:rPr>
        <w:endnoteReference w:id="3"/>
      </w:r>
      <w:r w:rsidR="001C1084">
        <w:rPr>
          <w:szCs w:val="20"/>
        </w:rPr>
        <w:t xml:space="preserve"> but not by </w:t>
      </w:r>
      <w:r>
        <w:rPr>
          <w:szCs w:val="20"/>
        </w:rPr>
        <w:t xml:space="preserve">tillage type and </w:t>
      </w:r>
      <w:r w:rsidR="001C1084">
        <w:rPr>
          <w:szCs w:val="20"/>
        </w:rPr>
        <w:t>crop type in each county. To estimate tillage by crop type in each county</w:t>
      </w:r>
      <w:r w:rsidR="00DA6A52">
        <w:t>,</w:t>
      </w:r>
      <w:r w:rsidR="001C1084">
        <w:t xml:space="preserve"> a ratio is determined based on the number of acres in each county tilled by each tillage type to the total acres tilled by all tillage types.</w:t>
      </w:r>
      <w:r w:rsidR="00DA6A52">
        <w:t xml:space="preserve"> </w:t>
      </w:r>
      <w:r w:rsidR="00DF4571">
        <w:t>This calculation uses either the data directly reported by USDA or the data gap-filled by equation 1.</w:t>
      </w:r>
      <w:r w:rsidR="00DA6A5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DA6A52" w:rsidRPr="00E94684" w14:paraId="4ADDEB2E" w14:textId="77777777" w:rsidTr="00750F45">
        <w:trPr>
          <w:trHeight w:val="585"/>
        </w:trPr>
        <w:tc>
          <w:tcPr>
            <w:tcW w:w="8748" w:type="dxa"/>
          </w:tcPr>
          <w:p w14:paraId="4ADDEB2C" w14:textId="77777777" w:rsidR="00DA6A52" w:rsidRPr="00F24FCB" w:rsidRDefault="00D97F8F" w:rsidP="00750F45">
            <w:pPr>
              <w:widowControl/>
              <w:autoSpaceDE/>
              <w:autoSpaceDN/>
              <w:adjustRightInd/>
              <w:rPr>
                <w:szCs w:val="20"/>
              </w:rPr>
            </w:pPr>
            <m:oMathPara>
              <m:oMathParaPr>
                <m:jc m:val="center"/>
              </m:oMathParaPr>
              <m:oMath>
                <m:sSub>
                  <m:sSubPr>
                    <m:ctrlPr>
                      <w:rPr>
                        <w:rFonts w:ascii="Cambria Math" w:hAnsi="Cambria Math"/>
                        <w:i/>
                      </w:rPr>
                    </m:ctrlPr>
                  </m:sSubPr>
                  <m:e>
                    <m:r>
                      <w:rPr>
                        <w:rFonts w:ascii="Cambria Math" w:hAnsi="Cambria Math"/>
                        <w:szCs w:val="20"/>
                      </w:rPr>
                      <m:t>r</m:t>
                    </m:r>
                  </m:e>
                  <m:sub>
                    <m:r>
                      <w:rPr>
                        <w:rFonts w:ascii="Cambria Math" w:hAnsi="Cambria Math"/>
                        <w:szCs w:val="20"/>
                      </w:rPr>
                      <m:t>c,t</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r>
                      <w:rPr>
                        <w:rFonts w:ascii="Cambria Math" w:hAnsi="Cambria Math"/>
                      </w:rPr>
                      <m:t xml:space="preserve"> (or </m:t>
                    </m:r>
                    <m:sSub>
                      <m:sSubPr>
                        <m:ctrlPr>
                          <w:rPr>
                            <w:rFonts w:ascii="Cambria Math" w:hAnsi="Cambria Math"/>
                            <w:i/>
                          </w:rPr>
                        </m:ctrlPr>
                      </m:sSubPr>
                      <m:e>
                        <m:r>
                          <w:rPr>
                            <w:rFonts w:ascii="Cambria Math" w:hAnsi="Cambria Math"/>
                          </w:rPr>
                          <m:t>a</m:t>
                        </m:r>
                      </m:e>
                      <m:sub>
                        <m:r>
                          <w:rPr>
                            <w:rFonts w:ascii="Cambria Math" w:hAnsi="Cambria Math"/>
                          </w:rPr>
                          <m:t>m,t</m:t>
                        </m:r>
                      </m:sub>
                    </m:sSub>
                    <m:r>
                      <w:rPr>
                        <w:rFonts w:ascii="Cambria Math" w:hAnsi="Cambria Math"/>
                      </w:rPr>
                      <m:t>)</m:t>
                    </m:r>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e>
                    </m:nary>
                    <m:r>
                      <w:rPr>
                        <w:rFonts w:ascii="Cambria Math" w:hAnsi="Cambria Math"/>
                      </w:rPr>
                      <m:t xml:space="preserve">(or </m:t>
                    </m:r>
                    <m:sSub>
                      <m:sSubPr>
                        <m:ctrlPr>
                          <w:rPr>
                            <w:rFonts w:ascii="Cambria Math" w:hAnsi="Cambria Math"/>
                            <w:i/>
                          </w:rPr>
                        </m:ctrlPr>
                      </m:sSubPr>
                      <m:e>
                        <m:r>
                          <w:rPr>
                            <w:rFonts w:ascii="Cambria Math" w:hAnsi="Cambria Math"/>
                          </w:rPr>
                          <m:t>a</m:t>
                        </m:r>
                      </m:e>
                      <m:sub>
                        <m:r>
                          <w:rPr>
                            <w:rFonts w:ascii="Cambria Math" w:hAnsi="Cambria Math"/>
                          </w:rPr>
                          <m:t>m,t</m:t>
                        </m:r>
                      </m:sub>
                    </m:sSub>
                    <m:r>
                      <w:rPr>
                        <w:rFonts w:ascii="Cambria Math" w:hAnsi="Cambria Math"/>
                      </w:rPr>
                      <m:t>)</m:t>
                    </m:r>
                  </m:den>
                </m:f>
              </m:oMath>
            </m:oMathPara>
          </w:p>
        </w:tc>
        <w:tc>
          <w:tcPr>
            <w:tcW w:w="828" w:type="dxa"/>
          </w:tcPr>
          <w:p w14:paraId="4ADDEB2D" w14:textId="77777777" w:rsidR="00DA6A52" w:rsidRPr="00E94684" w:rsidRDefault="00DA6A52" w:rsidP="00DF4571">
            <w:pPr>
              <w:pStyle w:val="ListParagraph"/>
              <w:widowControl/>
              <w:numPr>
                <w:ilvl w:val="0"/>
                <w:numId w:val="10"/>
              </w:numPr>
              <w:autoSpaceDE/>
              <w:autoSpaceDN/>
              <w:adjustRightInd/>
              <w:jc w:val="right"/>
              <w:rPr>
                <w:szCs w:val="20"/>
              </w:rPr>
            </w:pPr>
          </w:p>
        </w:tc>
      </w:tr>
    </w:tbl>
    <w:p w14:paraId="4ADDEB2F" w14:textId="77777777" w:rsidR="00DA6A52" w:rsidRPr="0035568E" w:rsidRDefault="00DA6A52" w:rsidP="00DA6A52">
      <w:pPr>
        <w:widowControl/>
        <w:tabs>
          <w:tab w:val="left" w:pos="0"/>
        </w:tabs>
        <w:rPr>
          <w:szCs w:val="20"/>
        </w:rPr>
      </w:pPr>
      <w:r w:rsidRPr="0035568E">
        <w:rPr>
          <w:szCs w:val="20"/>
        </w:rPr>
        <w:t>Where:</w:t>
      </w:r>
    </w:p>
    <w:p w14:paraId="4ADDEB30" w14:textId="77777777" w:rsidR="00DA6A52" w:rsidRPr="00DA6A52" w:rsidRDefault="00DA6A52" w:rsidP="00DA6A52">
      <w:pPr>
        <w:pStyle w:val="NoSpacing"/>
        <w:rPr>
          <w:i/>
        </w:rPr>
      </w:pPr>
      <w:r w:rsidRPr="0035568E">
        <w:rPr>
          <w:i/>
        </w:rPr>
        <w:tab/>
        <w:t>r</w:t>
      </w:r>
      <w:r>
        <w:rPr>
          <w:i/>
          <w:vertAlign w:val="subscript"/>
        </w:rPr>
        <w:t>c,t</w:t>
      </w:r>
      <w:r w:rsidRPr="0035568E">
        <w:rPr>
          <w:vertAlign w:val="subscript"/>
        </w:rPr>
        <w:tab/>
      </w:r>
      <w:r>
        <w:t xml:space="preserve">= </w:t>
      </w:r>
      <w:r>
        <w:tab/>
        <w:t>Ratio of crop tilling type</w:t>
      </w:r>
      <w:r w:rsidRPr="0035568E">
        <w:t xml:space="preserve"> </w:t>
      </w:r>
      <w:r w:rsidRPr="0035568E">
        <w:rPr>
          <w:i/>
        </w:rPr>
        <w:t>t</w:t>
      </w:r>
      <w:r w:rsidRPr="0035568E">
        <w:t xml:space="preserve"> to total all crop tilling types</w:t>
      </w:r>
      <w:r>
        <w:t xml:space="preserve"> in county </w:t>
      </w:r>
      <w:r>
        <w:rPr>
          <w:i/>
        </w:rPr>
        <w:t>c</w:t>
      </w:r>
    </w:p>
    <w:p w14:paraId="4ADDEB31" w14:textId="77777777" w:rsidR="00DA6A52" w:rsidRDefault="00DA6A52" w:rsidP="00DA6A52">
      <w:pPr>
        <w:pStyle w:val="NoSpacing"/>
      </w:pPr>
      <w:r w:rsidRPr="0035568E">
        <w:tab/>
      </w:r>
      <w:r w:rsidRPr="0035568E">
        <w:rPr>
          <w:i/>
        </w:rPr>
        <w:t>a</w:t>
      </w:r>
      <w:r>
        <w:rPr>
          <w:i/>
          <w:vertAlign w:val="subscript"/>
        </w:rPr>
        <w:t>c,t</w:t>
      </w:r>
      <w:r w:rsidRPr="0035568E">
        <w:tab/>
        <w:t>=</w:t>
      </w:r>
      <w:r w:rsidRPr="0035568E">
        <w:tab/>
      </w:r>
      <w:r>
        <w:t>L</w:t>
      </w:r>
      <w:r w:rsidRPr="0035568E">
        <w:t xml:space="preserve">and tilled by crop tilling type </w:t>
      </w:r>
      <w:r w:rsidRPr="0035568E">
        <w:rPr>
          <w:i/>
        </w:rPr>
        <w:t>t</w:t>
      </w:r>
      <w:r>
        <w:t xml:space="preserve"> in county </w:t>
      </w:r>
      <w:r>
        <w:rPr>
          <w:i/>
        </w:rPr>
        <w:t>c</w:t>
      </w:r>
      <w:r>
        <w:t>,</w:t>
      </w:r>
      <w:r w:rsidR="00DF4571">
        <w:t xml:space="preserve"> in acres </w:t>
      </w:r>
      <w:r w:rsidRPr="0035568E">
        <w:t xml:space="preserve"> </w:t>
      </w:r>
    </w:p>
    <w:p w14:paraId="4ADDEB32" w14:textId="77777777" w:rsidR="00DA6A52" w:rsidRPr="00C81B48" w:rsidRDefault="00DA6A52" w:rsidP="00DA6A52">
      <w:pPr>
        <w:pStyle w:val="NoSpacing"/>
        <w:rPr>
          <w:rFonts w:eastAsiaTheme="minorHAnsi"/>
        </w:rPr>
      </w:pPr>
      <w:r>
        <w:rPr>
          <w:i/>
        </w:rPr>
        <w:tab/>
      </w:r>
      <w:r>
        <w:rPr>
          <w:i/>
          <w:szCs w:val="20"/>
        </w:rPr>
        <w:t>a</w:t>
      </w:r>
      <w:r>
        <w:rPr>
          <w:i/>
          <w:szCs w:val="20"/>
          <w:vertAlign w:val="subscript"/>
        </w:rPr>
        <w:t>m,t</w:t>
      </w:r>
      <w:r>
        <w:rPr>
          <w:i/>
        </w:rPr>
        <w:tab/>
        <w:t>=</w:t>
      </w:r>
      <w:r>
        <w:rPr>
          <w:i/>
        </w:rPr>
        <w:tab/>
      </w:r>
      <w:r w:rsidRPr="00DA6A52">
        <w:t>L</w:t>
      </w:r>
      <w:r>
        <w:rPr>
          <w:szCs w:val="20"/>
        </w:rPr>
        <w:t xml:space="preserve">and tilled by crop tilling type </w:t>
      </w:r>
      <w:r>
        <w:rPr>
          <w:i/>
          <w:szCs w:val="20"/>
        </w:rPr>
        <w:t>t</w:t>
      </w:r>
      <w:r>
        <w:rPr>
          <w:szCs w:val="20"/>
        </w:rPr>
        <w:t xml:space="preserve"> for counties missing data, </w:t>
      </w:r>
      <w:r>
        <w:rPr>
          <w:i/>
          <w:szCs w:val="20"/>
        </w:rPr>
        <w:t>m</w:t>
      </w:r>
      <w:r>
        <w:rPr>
          <w:szCs w:val="20"/>
        </w:rPr>
        <w:t>, in acres</w:t>
      </w:r>
      <w:r w:rsidRPr="00E94684">
        <w:t xml:space="preserve"> </w:t>
      </w:r>
    </w:p>
    <w:p w14:paraId="4ADDEB33" w14:textId="77777777" w:rsidR="00DA6A52" w:rsidRPr="00282A60" w:rsidRDefault="00DA6A52" w:rsidP="00DA6A52">
      <w:pPr>
        <w:tabs>
          <w:tab w:val="left" w:pos="270"/>
          <w:tab w:val="left" w:pos="990"/>
          <w:tab w:val="left" w:pos="1260"/>
        </w:tabs>
        <w:spacing w:after="0"/>
        <w:rPr>
          <w:szCs w:val="20"/>
        </w:rPr>
      </w:pPr>
    </w:p>
    <w:p w14:paraId="4ADDEB34" w14:textId="49F924C6" w:rsidR="00DA6A52" w:rsidRPr="00282A60" w:rsidRDefault="00DA6A52" w:rsidP="00DA6A52">
      <w:pPr>
        <w:tabs>
          <w:tab w:val="left" w:pos="270"/>
          <w:tab w:val="left" w:pos="990"/>
          <w:tab w:val="left" w:pos="1260"/>
        </w:tabs>
        <w:spacing w:after="0"/>
        <w:rPr>
          <w:szCs w:val="20"/>
        </w:rPr>
      </w:pPr>
      <w:r>
        <w:rPr>
          <w:szCs w:val="20"/>
        </w:rPr>
        <w:t>The</w:t>
      </w:r>
      <w:r w:rsidRPr="00282A60">
        <w:rPr>
          <w:szCs w:val="20"/>
        </w:rPr>
        <w:t xml:space="preserve"> ratio is then used to </w:t>
      </w:r>
      <w:r w:rsidR="00DF4571">
        <w:rPr>
          <w:szCs w:val="20"/>
        </w:rPr>
        <w:t>estimate</w:t>
      </w:r>
      <w:r w:rsidRPr="00282A60">
        <w:rPr>
          <w:szCs w:val="20"/>
        </w:rPr>
        <w:t xml:space="preserve"> the county-level acres harvested by crop type</w:t>
      </w:r>
      <w:r>
        <w:rPr>
          <w:szCs w:val="20"/>
        </w:rPr>
        <w:t xml:space="preserve"> from the </w:t>
      </w:r>
      <w:r w:rsidRPr="00EE3A88">
        <w:rPr>
          <w:i/>
          <w:szCs w:val="20"/>
        </w:rPr>
        <w:t>201</w:t>
      </w:r>
      <w:r w:rsidR="00D97F8F">
        <w:rPr>
          <w:i/>
          <w:szCs w:val="20"/>
        </w:rPr>
        <w:t>7</w:t>
      </w:r>
      <w:r w:rsidRPr="00EE3A88">
        <w:rPr>
          <w:i/>
          <w:szCs w:val="20"/>
        </w:rPr>
        <w:t xml:space="preserve"> Census of Agriculture</w:t>
      </w:r>
      <w:r w:rsidRPr="00282A60">
        <w:rPr>
          <w:szCs w:val="20"/>
        </w:rPr>
        <w:t xml:space="preserve"> to the tilling type (conservation, no-till, and conventional) at the county-level.</w:t>
      </w:r>
    </w:p>
    <w:p w14:paraId="4ADDEB35" w14:textId="77777777" w:rsidR="00DA6A52" w:rsidRPr="00282A60" w:rsidRDefault="00DA6A52" w:rsidP="00DA6A52">
      <w:pPr>
        <w:tabs>
          <w:tab w:val="left" w:pos="0"/>
        </w:tabs>
        <w:spacing w:after="0"/>
        <w:rPr>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DA6A52" w:rsidRPr="00E94684" w14:paraId="4ADDEB38" w14:textId="77777777" w:rsidTr="00750F45">
        <w:trPr>
          <w:trHeight w:val="585"/>
        </w:trPr>
        <w:tc>
          <w:tcPr>
            <w:tcW w:w="8748" w:type="dxa"/>
          </w:tcPr>
          <w:p w14:paraId="4ADDEB36" w14:textId="77777777" w:rsidR="00DA6A52" w:rsidRPr="00282A60" w:rsidRDefault="00D97F8F" w:rsidP="00750F45">
            <w:pPr>
              <w:widowControl/>
              <w:autoSpaceDE/>
              <w:autoSpaceDN/>
              <w:adjustRightInd/>
              <w:rPr>
                <w:szCs w:val="20"/>
              </w:rPr>
            </w:pPr>
            <m:oMathPara>
              <m:oMathParaPr>
                <m:jc m:val="center"/>
              </m:oMathParaPr>
              <m:oMath>
                <m:sSub>
                  <m:sSubPr>
                    <m:ctrlPr>
                      <w:rPr>
                        <w:rFonts w:ascii="Cambria Math" w:hAnsi="Cambria Math"/>
                        <w:i/>
                      </w:rPr>
                    </m:ctrlPr>
                  </m:sSubPr>
                  <m:e>
                    <m:r>
                      <w:rPr>
                        <w:rFonts w:ascii="Cambria Math" w:hAnsi="Cambria Math"/>
                        <w:szCs w:val="20"/>
                      </w:rPr>
                      <m:t>a</m:t>
                    </m:r>
                  </m:e>
                  <m:sub>
                    <m:r>
                      <w:rPr>
                        <w:rFonts w:ascii="Cambria Math" w:hAnsi="Cambria Math"/>
                        <w:szCs w:val="20"/>
                      </w:rPr>
                      <m:t>t,c,x</m:t>
                    </m:r>
                  </m:sub>
                </m:sSub>
                <m:r>
                  <w:rPr>
                    <w:rFonts w:ascii="Cambria Math" w:hAnsi="Cambria Math"/>
                    <w:szCs w:val="20"/>
                  </w:rPr>
                  <m:t xml:space="preserve">= </m:t>
                </m:r>
                <m:sSub>
                  <m:sSubPr>
                    <m:ctrlPr>
                      <w:rPr>
                        <w:rFonts w:ascii="Cambria Math" w:hAnsi="Cambria Math"/>
                        <w:i/>
                      </w:rPr>
                    </m:ctrlPr>
                  </m:sSubPr>
                  <m:e>
                    <m:r>
                      <w:rPr>
                        <w:rFonts w:ascii="Cambria Math" w:hAnsi="Cambria Math"/>
                        <w:szCs w:val="20"/>
                      </w:rPr>
                      <m:t>r</m:t>
                    </m:r>
                  </m:e>
                  <m:sub>
                    <m:r>
                      <w:rPr>
                        <w:rFonts w:ascii="Cambria Math" w:hAnsi="Cambria Math"/>
                        <w:szCs w:val="20"/>
                      </w:rPr>
                      <m:t>c,t</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c,x</m:t>
                    </m:r>
                  </m:sub>
                </m:sSub>
                <m:r>
                  <w:rPr>
                    <w:rFonts w:ascii="Cambria Math" w:hAnsi="Cambria Math"/>
                  </w:rPr>
                  <m:t xml:space="preserve"> </m:t>
                </m:r>
              </m:oMath>
            </m:oMathPara>
          </w:p>
        </w:tc>
        <w:tc>
          <w:tcPr>
            <w:tcW w:w="828" w:type="dxa"/>
          </w:tcPr>
          <w:p w14:paraId="4ADDEB37" w14:textId="77777777" w:rsidR="00DA6A52" w:rsidRPr="00282A60" w:rsidRDefault="00DA6A52" w:rsidP="00DF4571">
            <w:pPr>
              <w:pStyle w:val="ListParagraph"/>
              <w:widowControl/>
              <w:numPr>
                <w:ilvl w:val="0"/>
                <w:numId w:val="10"/>
              </w:numPr>
              <w:autoSpaceDE/>
              <w:autoSpaceDN/>
              <w:adjustRightInd/>
              <w:jc w:val="right"/>
              <w:rPr>
                <w:szCs w:val="20"/>
              </w:rPr>
            </w:pPr>
          </w:p>
        </w:tc>
      </w:tr>
    </w:tbl>
    <w:p w14:paraId="4ADDEB39" w14:textId="77777777" w:rsidR="00DA6A52" w:rsidRPr="00282A60" w:rsidRDefault="00DA6A52" w:rsidP="00DA6A52">
      <w:pPr>
        <w:widowControl/>
        <w:tabs>
          <w:tab w:val="left" w:pos="0"/>
        </w:tabs>
        <w:rPr>
          <w:szCs w:val="20"/>
        </w:rPr>
      </w:pPr>
      <w:r w:rsidRPr="00282A60">
        <w:rPr>
          <w:szCs w:val="20"/>
        </w:rPr>
        <w:t>Where:</w:t>
      </w:r>
    </w:p>
    <w:p w14:paraId="4ADDEB3A" w14:textId="77777777" w:rsidR="00DA6A52" w:rsidRPr="00282A60" w:rsidRDefault="00DA6A52" w:rsidP="00DA6A52">
      <w:pPr>
        <w:pStyle w:val="NoSpacing"/>
        <w:rPr>
          <w:rFonts w:eastAsiaTheme="minorHAnsi"/>
        </w:rPr>
      </w:pPr>
      <w:r w:rsidRPr="00282A60">
        <w:rPr>
          <w:i/>
        </w:rPr>
        <w:tab/>
        <w:t>a</w:t>
      </w:r>
      <w:r w:rsidRPr="00282A60">
        <w:rPr>
          <w:i/>
          <w:vertAlign w:val="subscript"/>
        </w:rPr>
        <w:t>t,c</w:t>
      </w:r>
      <w:r w:rsidR="00DF4571">
        <w:rPr>
          <w:i/>
          <w:vertAlign w:val="subscript"/>
        </w:rPr>
        <w:t>,x</w:t>
      </w:r>
      <w:r w:rsidRPr="00282A60">
        <w:rPr>
          <w:vertAlign w:val="subscript"/>
        </w:rPr>
        <w:tab/>
      </w:r>
      <w:r w:rsidRPr="00282A60">
        <w:t xml:space="preserve">= </w:t>
      </w:r>
      <w:r w:rsidRPr="00282A60">
        <w:tab/>
        <w:t xml:space="preserve">Land tilled by crop tilling type </w:t>
      </w:r>
      <w:r w:rsidRPr="00282A60">
        <w:rPr>
          <w:i/>
        </w:rPr>
        <w:t>t</w:t>
      </w:r>
      <w:r w:rsidRPr="00282A60">
        <w:t xml:space="preserve"> and crop type </w:t>
      </w:r>
      <w:r w:rsidR="00DF4571" w:rsidRPr="00DF4571">
        <w:rPr>
          <w:i/>
        </w:rPr>
        <w:t>x</w:t>
      </w:r>
      <w:r w:rsidR="00DF4571">
        <w:t xml:space="preserve"> in county </w:t>
      </w:r>
      <w:r w:rsidR="00DF4571">
        <w:rPr>
          <w:i/>
        </w:rPr>
        <w:t>c</w:t>
      </w:r>
      <w:r w:rsidRPr="00282A60">
        <w:t>, in acres</w:t>
      </w:r>
    </w:p>
    <w:p w14:paraId="4ADDEB3B" w14:textId="77777777" w:rsidR="00DF4571" w:rsidRPr="00DA6A52" w:rsidRDefault="00DF4571" w:rsidP="00DF4571">
      <w:pPr>
        <w:pStyle w:val="NoSpacing"/>
        <w:rPr>
          <w:i/>
        </w:rPr>
      </w:pPr>
      <w:r w:rsidRPr="0035568E">
        <w:rPr>
          <w:i/>
        </w:rPr>
        <w:tab/>
        <w:t>r</w:t>
      </w:r>
      <w:r>
        <w:rPr>
          <w:i/>
          <w:vertAlign w:val="subscript"/>
        </w:rPr>
        <w:t>c,t</w:t>
      </w:r>
      <w:r w:rsidRPr="0035568E">
        <w:rPr>
          <w:vertAlign w:val="subscript"/>
        </w:rPr>
        <w:tab/>
      </w:r>
      <w:r>
        <w:t xml:space="preserve">= </w:t>
      </w:r>
      <w:r>
        <w:tab/>
        <w:t>Ratio of crop tilling type</w:t>
      </w:r>
      <w:r w:rsidRPr="0035568E">
        <w:t xml:space="preserve"> </w:t>
      </w:r>
      <w:r w:rsidRPr="0035568E">
        <w:rPr>
          <w:i/>
        </w:rPr>
        <w:t>t</w:t>
      </w:r>
      <w:r w:rsidRPr="0035568E">
        <w:t xml:space="preserve"> to total all crop tilling types</w:t>
      </w:r>
      <w:r>
        <w:t xml:space="preserve"> in county </w:t>
      </w:r>
      <w:r>
        <w:rPr>
          <w:i/>
        </w:rPr>
        <w:t>c</w:t>
      </w:r>
    </w:p>
    <w:p w14:paraId="4ADDEB3C" w14:textId="77777777" w:rsidR="00DA6A52" w:rsidRDefault="00DA6A52" w:rsidP="00DA6A52">
      <w:pPr>
        <w:pStyle w:val="NoSpacing"/>
        <w:rPr>
          <w:rFonts w:eastAsiaTheme="minorHAnsi"/>
        </w:rPr>
      </w:pPr>
      <w:r w:rsidRPr="00282A60">
        <w:tab/>
      </w:r>
      <w:r w:rsidRPr="00282A60">
        <w:rPr>
          <w:i/>
        </w:rPr>
        <w:t>a</w:t>
      </w:r>
      <w:r w:rsidRPr="00282A60">
        <w:rPr>
          <w:i/>
          <w:vertAlign w:val="subscript"/>
        </w:rPr>
        <w:t>c</w:t>
      </w:r>
      <w:r w:rsidR="00DF4571">
        <w:rPr>
          <w:i/>
          <w:vertAlign w:val="subscript"/>
        </w:rPr>
        <w:t>,x</w:t>
      </w:r>
      <w:r w:rsidRPr="00282A60">
        <w:tab/>
        <w:t>=</w:t>
      </w:r>
      <w:r w:rsidRPr="00282A60">
        <w:tab/>
      </w:r>
      <w:r w:rsidR="00DF4571">
        <w:t xml:space="preserve">Acres harvested of crop type </w:t>
      </w:r>
      <w:r w:rsidR="00DF4571" w:rsidRPr="00DF4571">
        <w:rPr>
          <w:i/>
        </w:rPr>
        <w:t>x</w:t>
      </w:r>
      <w:r w:rsidR="00DF4571">
        <w:t xml:space="preserve"> in county </w:t>
      </w:r>
      <w:r w:rsidR="00DF4571" w:rsidRPr="00DF4571">
        <w:rPr>
          <w:i/>
        </w:rPr>
        <w:t>c</w:t>
      </w:r>
      <w:r w:rsidRPr="00282A60">
        <w:t>, in acres</w:t>
      </w:r>
    </w:p>
    <w:p w14:paraId="4ADDEB3D" w14:textId="77777777" w:rsidR="00DA6A52" w:rsidRDefault="00DA6A52" w:rsidP="0071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4ADDEB3E" w14:textId="24061148" w:rsidR="00715263" w:rsidRPr="00EE3A88" w:rsidRDefault="00715263" w:rsidP="0071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E3A88">
        <w:rPr>
          <w:szCs w:val="20"/>
        </w:rPr>
        <w:t xml:space="preserve">Tilling data for permanent pasture followed a different methodology. Conventional tilling data </w:t>
      </w:r>
      <w:r w:rsidR="00A95570">
        <w:rPr>
          <w:szCs w:val="20"/>
        </w:rPr>
        <w:t xml:space="preserve">are </w:t>
      </w:r>
      <w:r w:rsidRPr="00EE3A88">
        <w:rPr>
          <w:szCs w:val="20"/>
        </w:rPr>
        <w:t>available for the state of Utah.</w:t>
      </w:r>
      <w:r>
        <w:rPr>
          <w:rStyle w:val="EndnoteReference"/>
          <w:szCs w:val="20"/>
        </w:rPr>
        <w:endnoteReference w:id="4"/>
      </w:r>
      <w:r w:rsidRPr="00EE3A88">
        <w:rPr>
          <w:szCs w:val="20"/>
        </w:rPr>
        <w:t xml:space="preserve"> </w:t>
      </w:r>
      <w:r w:rsidR="00A95570">
        <w:rPr>
          <w:szCs w:val="20"/>
        </w:rPr>
        <w:t>F</w:t>
      </w:r>
      <w:r w:rsidR="00A95570" w:rsidRPr="00EE3A88">
        <w:rPr>
          <w:szCs w:val="20"/>
        </w:rPr>
        <w:t>or Utah</w:t>
      </w:r>
      <w:r w:rsidR="00A95570">
        <w:rPr>
          <w:szCs w:val="20"/>
        </w:rPr>
        <w:t>, a</w:t>
      </w:r>
      <w:r w:rsidRPr="00EE3A88">
        <w:rPr>
          <w:szCs w:val="20"/>
        </w:rPr>
        <w:t xml:space="preserve"> ratio of the conventional tilling acres to the total acres of permanent pasture </w:t>
      </w:r>
      <w:r w:rsidR="00A95570">
        <w:rPr>
          <w:szCs w:val="20"/>
        </w:rPr>
        <w:t>i</w:t>
      </w:r>
      <w:r w:rsidRPr="00EE3A88">
        <w:rPr>
          <w:szCs w:val="20"/>
        </w:rPr>
        <w:t xml:space="preserve">s developed (0.0023) and applied to the total acreage data for permanent pasture from the </w:t>
      </w:r>
      <w:r w:rsidRPr="00EE3A88">
        <w:rPr>
          <w:i/>
          <w:szCs w:val="20"/>
        </w:rPr>
        <w:t>201</w:t>
      </w:r>
      <w:r w:rsidR="004C7E65">
        <w:rPr>
          <w:i/>
          <w:szCs w:val="20"/>
        </w:rPr>
        <w:t>7</w:t>
      </w:r>
      <w:r w:rsidRPr="00EE3A88">
        <w:rPr>
          <w:i/>
          <w:szCs w:val="20"/>
        </w:rPr>
        <w:t xml:space="preserve"> Census of Agriculture</w:t>
      </w:r>
      <w:r w:rsidRPr="00EE3A88">
        <w:rPr>
          <w:szCs w:val="20"/>
        </w:rPr>
        <w:t xml:space="preserve"> to determine the number of conventional tilled permanent pasture acres by county in other states. It is assumed that the remainder of the permanent pasture acres is not tilled, so the remaining distribution of permanent pasture acres </w:t>
      </w:r>
      <w:r w:rsidR="00A95570">
        <w:rPr>
          <w:szCs w:val="20"/>
        </w:rPr>
        <w:t>is then</w:t>
      </w:r>
      <w:r w:rsidRPr="00EE3A88">
        <w:rPr>
          <w:szCs w:val="20"/>
        </w:rPr>
        <w:t xml:space="preserve"> distributed to no till acres and conservation tilling acres </w:t>
      </w:r>
      <w:r w:rsidR="002B5BB8">
        <w:rPr>
          <w:szCs w:val="20"/>
        </w:rPr>
        <w:t>are</w:t>
      </w:r>
      <w:r w:rsidRPr="00EE3A88">
        <w:rPr>
          <w:szCs w:val="20"/>
        </w:rPr>
        <w:t xml:space="preserve"> left as zero.</w:t>
      </w:r>
    </w:p>
    <w:p w14:paraId="4ADDEB3F" w14:textId="52D3BE5D" w:rsidR="00715263" w:rsidRPr="004C2ECF" w:rsidRDefault="00715263" w:rsidP="0071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4C2ECF">
        <w:rPr>
          <w:rStyle w:val="Hypertext"/>
        </w:rPr>
        <w:t>A summary of national-level acres tilled in 201</w:t>
      </w:r>
      <w:r w:rsidR="00D97F8F">
        <w:rPr>
          <w:rStyle w:val="Hypertext"/>
        </w:rPr>
        <w:t>7</w:t>
      </w:r>
      <w:r w:rsidRPr="004C2ECF">
        <w:rPr>
          <w:rStyle w:val="Hypertext"/>
        </w:rPr>
        <w:t xml:space="preserve"> for each tilling type are presented in </w:t>
      </w:r>
      <w:r w:rsidRPr="004C2ECF">
        <w:rPr>
          <w:rStyle w:val="Hypertext"/>
        </w:rPr>
        <w:fldChar w:fldCharType="begin"/>
      </w:r>
      <w:r w:rsidRPr="004C2ECF">
        <w:rPr>
          <w:rStyle w:val="Hypertext"/>
        </w:rPr>
        <w:instrText xml:space="preserve"> REF _Ref476044786 \h  \* MERGEFORMAT </w:instrText>
      </w:r>
      <w:r w:rsidRPr="004C2ECF">
        <w:rPr>
          <w:rStyle w:val="Hypertext"/>
        </w:rPr>
      </w:r>
      <w:r w:rsidRPr="004C2ECF">
        <w:rPr>
          <w:rStyle w:val="Hypertext"/>
        </w:rPr>
        <w:fldChar w:fldCharType="separate"/>
      </w:r>
      <w:r w:rsidRPr="004C2ECF">
        <w:rPr>
          <w:szCs w:val="20"/>
        </w:rPr>
        <w:t xml:space="preserve">Table </w:t>
      </w:r>
      <w:r>
        <w:rPr>
          <w:noProof/>
          <w:szCs w:val="20"/>
        </w:rPr>
        <w:t>1</w:t>
      </w:r>
      <w:r w:rsidRPr="004C2ECF">
        <w:rPr>
          <w:rStyle w:val="Hypertext"/>
        </w:rPr>
        <w:fldChar w:fldCharType="end"/>
      </w:r>
      <w:r w:rsidRPr="004C2ECF">
        <w:rPr>
          <w:rStyle w:val="Hypertext"/>
        </w:rPr>
        <w:t xml:space="preserve">. </w:t>
      </w:r>
    </w:p>
    <w:p w14:paraId="4ADDEB40" w14:textId="0D752532" w:rsidR="00715263" w:rsidRPr="004C2ECF" w:rsidRDefault="00715263" w:rsidP="006768F7">
      <w:pPr>
        <w:pStyle w:val="Caption"/>
        <w:keepNext/>
        <w:jc w:val="center"/>
        <w:rPr>
          <w:color w:val="auto"/>
          <w:sz w:val="20"/>
          <w:szCs w:val="20"/>
        </w:rPr>
      </w:pPr>
      <w:bookmarkStart w:id="2" w:name="_Ref476044786"/>
      <w:r w:rsidRPr="004C2ECF">
        <w:rPr>
          <w:color w:val="auto"/>
          <w:sz w:val="20"/>
          <w:szCs w:val="20"/>
        </w:rPr>
        <w:t xml:space="preserve">Table </w:t>
      </w:r>
      <w:r w:rsidRPr="004C2ECF">
        <w:rPr>
          <w:color w:val="auto"/>
          <w:sz w:val="20"/>
          <w:szCs w:val="20"/>
        </w:rPr>
        <w:fldChar w:fldCharType="begin"/>
      </w:r>
      <w:r w:rsidRPr="004C2ECF">
        <w:rPr>
          <w:color w:val="auto"/>
          <w:sz w:val="20"/>
          <w:szCs w:val="20"/>
        </w:rPr>
        <w:instrText xml:space="preserve"> SEQ Table \* ARABIC </w:instrText>
      </w:r>
      <w:r w:rsidRPr="004C2ECF">
        <w:rPr>
          <w:color w:val="auto"/>
          <w:sz w:val="20"/>
          <w:szCs w:val="20"/>
        </w:rPr>
        <w:fldChar w:fldCharType="separate"/>
      </w:r>
      <w:r>
        <w:rPr>
          <w:noProof/>
          <w:color w:val="auto"/>
          <w:sz w:val="20"/>
          <w:szCs w:val="20"/>
        </w:rPr>
        <w:t>1</w:t>
      </w:r>
      <w:r w:rsidRPr="004C2ECF">
        <w:rPr>
          <w:color w:val="auto"/>
          <w:sz w:val="20"/>
          <w:szCs w:val="20"/>
        </w:rPr>
        <w:fldChar w:fldCharType="end"/>
      </w:r>
      <w:bookmarkEnd w:id="2"/>
      <w:r w:rsidRPr="004C2ECF">
        <w:rPr>
          <w:color w:val="auto"/>
          <w:sz w:val="20"/>
          <w:szCs w:val="20"/>
        </w:rPr>
        <w:t>. Acres Tilled by Tillage Type, in 201</w:t>
      </w:r>
      <w:r w:rsidR="00D97F8F">
        <w:rPr>
          <w:color w:val="auto"/>
          <w:sz w:val="20"/>
          <w:szCs w:val="20"/>
        </w:rPr>
        <w:t>7</w:t>
      </w:r>
    </w:p>
    <w:tbl>
      <w:tblPr>
        <w:tblStyle w:val="TableGrid"/>
        <w:tblW w:w="0" w:type="auto"/>
        <w:jc w:val="center"/>
        <w:tblLayout w:type="fixed"/>
        <w:tblLook w:val="0000" w:firstRow="0" w:lastRow="0" w:firstColumn="0" w:lastColumn="0" w:noHBand="0" w:noVBand="0"/>
      </w:tblPr>
      <w:tblGrid>
        <w:gridCol w:w="2718"/>
        <w:gridCol w:w="2524"/>
        <w:gridCol w:w="20"/>
      </w:tblGrid>
      <w:tr w:rsidR="00715263" w:rsidRPr="00EE3A88" w14:paraId="4ADDEB43" w14:textId="77777777" w:rsidTr="00C81B48">
        <w:trPr>
          <w:jc w:val="center"/>
        </w:trPr>
        <w:tc>
          <w:tcPr>
            <w:tcW w:w="2718" w:type="dxa"/>
            <w:shd w:val="clear" w:color="auto" w:fill="BFBFBF" w:themeFill="background1" w:themeFillShade="BF"/>
            <w:vAlign w:val="center"/>
          </w:tcPr>
          <w:p w14:paraId="4ADDEB41"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jc w:val="center"/>
              <w:rPr>
                <w:b/>
                <w:bCs/>
                <w:szCs w:val="20"/>
              </w:rPr>
            </w:pPr>
            <w:r w:rsidRPr="00EE3A88">
              <w:rPr>
                <w:b/>
                <w:bCs/>
                <w:szCs w:val="20"/>
              </w:rPr>
              <w:t>Tillage System</w:t>
            </w:r>
          </w:p>
        </w:tc>
        <w:tc>
          <w:tcPr>
            <w:tcW w:w="2544" w:type="dxa"/>
            <w:gridSpan w:val="2"/>
            <w:shd w:val="clear" w:color="auto" w:fill="BFBFBF" w:themeFill="background1" w:themeFillShade="BF"/>
            <w:vAlign w:val="center"/>
          </w:tcPr>
          <w:p w14:paraId="4ADDEB42" w14:textId="176E51E0"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Cs w:val="20"/>
              </w:rPr>
            </w:pPr>
            <w:r w:rsidRPr="00EE3A88">
              <w:rPr>
                <w:b/>
                <w:bCs/>
                <w:szCs w:val="20"/>
              </w:rPr>
              <w:t>Actual National Number of Acres Tilled in 201</w:t>
            </w:r>
            <w:r w:rsidR="00D97F8F">
              <w:rPr>
                <w:b/>
                <w:bCs/>
                <w:szCs w:val="20"/>
              </w:rPr>
              <w:t>7</w:t>
            </w:r>
            <w:bookmarkStart w:id="3" w:name="_GoBack"/>
            <w:bookmarkEnd w:id="3"/>
            <w:r w:rsidRPr="00EE3A88">
              <w:rPr>
                <w:b/>
                <w:bCs/>
                <w:szCs w:val="20"/>
              </w:rPr>
              <w:t xml:space="preserve"> (million acres)</w:t>
            </w:r>
          </w:p>
        </w:tc>
      </w:tr>
      <w:tr w:rsidR="00715263" w:rsidRPr="00EE3A88" w14:paraId="4ADDEB46" w14:textId="77777777" w:rsidTr="00C81B48">
        <w:trPr>
          <w:gridAfter w:val="1"/>
          <w:wAfter w:w="20" w:type="dxa"/>
          <w:jc w:val="center"/>
        </w:trPr>
        <w:tc>
          <w:tcPr>
            <w:tcW w:w="2718" w:type="dxa"/>
          </w:tcPr>
          <w:p w14:paraId="4ADDEB44"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rPr>
                <w:szCs w:val="20"/>
              </w:rPr>
            </w:pPr>
            <w:r w:rsidRPr="00EE3A88">
              <w:rPr>
                <w:szCs w:val="20"/>
              </w:rPr>
              <w:t>No-Till</w:t>
            </w:r>
          </w:p>
        </w:tc>
        <w:tc>
          <w:tcPr>
            <w:tcW w:w="2524" w:type="dxa"/>
          </w:tcPr>
          <w:p w14:paraId="4ADDEB45"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jc w:val="right"/>
              <w:rPr>
                <w:szCs w:val="20"/>
              </w:rPr>
            </w:pPr>
            <w:r w:rsidRPr="00EE3A88">
              <w:rPr>
                <w:szCs w:val="20"/>
              </w:rPr>
              <w:t>658.07</w:t>
            </w:r>
          </w:p>
        </w:tc>
      </w:tr>
      <w:tr w:rsidR="00715263" w:rsidRPr="00EE3A88" w14:paraId="4ADDEB49" w14:textId="77777777" w:rsidTr="00C81B48">
        <w:trPr>
          <w:gridAfter w:val="1"/>
          <w:wAfter w:w="20" w:type="dxa"/>
          <w:trHeight w:hRule="exact" w:val="297"/>
          <w:jc w:val="center"/>
        </w:trPr>
        <w:tc>
          <w:tcPr>
            <w:tcW w:w="2718" w:type="dxa"/>
          </w:tcPr>
          <w:p w14:paraId="4ADDEB47"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rPr>
                <w:szCs w:val="20"/>
              </w:rPr>
            </w:pPr>
            <w:r w:rsidRPr="00EE3A88">
              <w:rPr>
                <w:szCs w:val="20"/>
              </w:rPr>
              <w:t xml:space="preserve">Conservation </w:t>
            </w:r>
          </w:p>
        </w:tc>
        <w:tc>
          <w:tcPr>
            <w:tcW w:w="2524" w:type="dxa"/>
          </w:tcPr>
          <w:p w14:paraId="4ADDEB48"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jc w:val="right"/>
              <w:rPr>
                <w:szCs w:val="20"/>
              </w:rPr>
            </w:pPr>
            <w:r w:rsidRPr="00EE3A88">
              <w:rPr>
                <w:szCs w:val="20"/>
              </w:rPr>
              <w:t>162.19</w:t>
            </w:r>
          </w:p>
        </w:tc>
      </w:tr>
      <w:tr w:rsidR="00715263" w:rsidRPr="00EE3A88" w14:paraId="4ADDEB4C" w14:textId="77777777" w:rsidTr="00C81B48">
        <w:trPr>
          <w:gridAfter w:val="1"/>
          <w:wAfter w:w="20" w:type="dxa"/>
          <w:jc w:val="center"/>
        </w:trPr>
        <w:tc>
          <w:tcPr>
            <w:tcW w:w="2718" w:type="dxa"/>
          </w:tcPr>
          <w:p w14:paraId="4ADDEB4A"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rPr>
                <w:szCs w:val="20"/>
              </w:rPr>
            </w:pPr>
            <w:r w:rsidRPr="00EE3A88">
              <w:rPr>
                <w:szCs w:val="20"/>
              </w:rPr>
              <w:t xml:space="preserve">Conventional </w:t>
            </w:r>
          </w:p>
        </w:tc>
        <w:tc>
          <w:tcPr>
            <w:tcW w:w="2524" w:type="dxa"/>
          </w:tcPr>
          <w:p w14:paraId="4ADDEB4B"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jc w:val="right"/>
              <w:rPr>
                <w:szCs w:val="20"/>
              </w:rPr>
            </w:pPr>
            <w:r w:rsidRPr="00EE3A88">
              <w:rPr>
                <w:szCs w:val="20"/>
              </w:rPr>
              <w:t>273.16</w:t>
            </w:r>
          </w:p>
        </w:tc>
      </w:tr>
      <w:tr w:rsidR="00715263" w:rsidRPr="00EE3A88" w14:paraId="4ADDEB4F" w14:textId="77777777" w:rsidTr="00C81B48">
        <w:trPr>
          <w:gridAfter w:val="1"/>
          <w:wAfter w:w="20" w:type="dxa"/>
          <w:jc w:val="center"/>
        </w:trPr>
        <w:tc>
          <w:tcPr>
            <w:tcW w:w="2718" w:type="dxa"/>
          </w:tcPr>
          <w:p w14:paraId="4ADDEB4D"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rPr>
                <w:b/>
                <w:szCs w:val="20"/>
              </w:rPr>
            </w:pPr>
            <w:r w:rsidRPr="00EE3A88">
              <w:rPr>
                <w:b/>
                <w:szCs w:val="20"/>
              </w:rPr>
              <w:t>Total</w:t>
            </w:r>
          </w:p>
        </w:tc>
        <w:tc>
          <w:tcPr>
            <w:tcW w:w="2524" w:type="dxa"/>
          </w:tcPr>
          <w:p w14:paraId="4ADDEB4E" w14:textId="77777777" w:rsidR="00715263" w:rsidRPr="00EE3A88" w:rsidRDefault="00715263" w:rsidP="00C8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1"/>
              <w:jc w:val="right"/>
              <w:rPr>
                <w:b/>
                <w:szCs w:val="20"/>
              </w:rPr>
            </w:pPr>
            <w:r w:rsidRPr="00EE3A88">
              <w:rPr>
                <w:b/>
                <w:szCs w:val="20"/>
              </w:rPr>
              <w:t>1,093.42</w:t>
            </w:r>
          </w:p>
        </w:tc>
      </w:tr>
    </w:tbl>
    <w:p w14:paraId="4ADDEB50" w14:textId="77777777" w:rsidR="00715263" w:rsidRPr="00715263" w:rsidRDefault="00715263" w:rsidP="00413875">
      <w:pPr>
        <w:ind w:left="1440" w:firstLine="720"/>
      </w:pPr>
      <w:r w:rsidRPr="00302C33">
        <w:rPr>
          <w:i/>
          <w:szCs w:val="20"/>
        </w:rPr>
        <w:t xml:space="preserve">Source: </w:t>
      </w:r>
      <w:r w:rsidRPr="00302C33">
        <w:t xml:space="preserve">Reference </w:t>
      </w:r>
      <w:r w:rsidR="00302C33" w:rsidRPr="00302C33">
        <w:fldChar w:fldCharType="begin"/>
      </w:r>
      <w:r w:rsidR="00302C33" w:rsidRPr="00302C33">
        <w:instrText xml:space="preserve"> NOTEREF _Ref478461335 \h </w:instrText>
      </w:r>
      <w:r w:rsidR="00302C33">
        <w:instrText xml:space="preserve"> \* MERGEFORMAT </w:instrText>
      </w:r>
      <w:r w:rsidR="00302C33" w:rsidRPr="00302C33">
        <w:fldChar w:fldCharType="separate"/>
      </w:r>
      <w:r w:rsidR="00302C33" w:rsidRPr="00302C33">
        <w:t>1</w:t>
      </w:r>
      <w:r w:rsidR="00302C33" w:rsidRPr="00302C33">
        <w:fldChar w:fldCharType="end"/>
      </w:r>
    </w:p>
    <w:p w14:paraId="4ADDEB51" w14:textId="77777777" w:rsidR="00DF4571" w:rsidRDefault="007D6365" w:rsidP="00DF4571">
      <w:pPr>
        <w:pStyle w:val="Heading1"/>
      </w:pPr>
      <w:bookmarkStart w:id="4" w:name="_Ref477177506"/>
      <w:r>
        <w:t>A</w:t>
      </w:r>
      <w:r w:rsidR="00B97E6E" w:rsidRPr="00203DFF">
        <w:t>llocation Procedure</w:t>
      </w:r>
      <w:bookmarkEnd w:id="4"/>
      <w:r w:rsidR="00B97E6E" w:rsidRPr="009820A2">
        <w:t xml:space="preserve"> </w:t>
      </w:r>
      <w:bookmarkStart w:id="5" w:name="_Ref477177456"/>
    </w:p>
    <w:p w14:paraId="4ADDEB52" w14:textId="77777777" w:rsidR="003D38C0" w:rsidRPr="003D38C0" w:rsidRDefault="00DF4571" w:rsidP="00DF4571">
      <w:r>
        <w:t>The activity data are reported at the county level. Allocation for this source category is not needed.</w:t>
      </w:r>
    </w:p>
    <w:p w14:paraId="4ADDEB53" w14:textId="77777777" w:rsidR="00B97E6E" w:rsidRDefault="00B97E6E" w:rsidP="003D38C0">
      <w:pPr>
        <w:pStyle w:val="Heading1"/>
      </w:pPr>
      <w:bookmarkStart w:id="6" w:name="_Ref477187901"/>
      <w:r w:rsidRPr="00886F17">
        <w:t>Emission</w:t>
      </w:r>
      <w:r w:rsidR="00680037">
        <w:t>s</w:t>
      </w:r>
      <w:r w:rsidRPr="00886F17">
        <w:t xml:space="preserve"> Factors</w:t>
      </w:r>
      <w:bookmarkEnd w:id="5"/>
      <w:bookmarkEnd w:id="6"/>
    </w:p>
    <w:p w14:paraId="4ADDEB54" w14:textId="77777777" w:rsidR="0035568E" w:rsidRPr="00282A60" w:rsidRDefault="0035568E" w:rsidP="0035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vertAlign w:val="superscript"/>
        </w:rPr>
      </w:pPr>
      <w:r w:rsidRPr="00282A60">
        <w:rPr>
          <w:szCs w:val="20"/>
        </w:rPr>
        <w:t xml:space="preserve">The county-level emissions factors for agricultural tilling are specific to the crop and tilling type (e.g. conventional tillage corn, no-till soybean, etc.) and </w:t>
      </w:r>
      <w:r w:rsidR="00282A60" w:rsidRPr="00282A60">
        <w:rPr>
          <w:szCs w:val="20"/>
        </w:rPr>
        <w:t>are</w:t>
      </w:r>
      <w:r w:rsidRPr="00282A60">
        <w:rPr>
          <w:szCs w:val="20"/>
        </w:rPr>
        <w:t xml:space="preserve"> calculated using the following equation.</w:t>
      </w:r>
      <w:bookmarkStart w:id="7" w:name="_Ref476302181"/>
      <w:r w:rsidRPr="00282A60">
        <w:rPr>
          <w:rStyle w:val="EndnoteReference"/>
          <w:szCs w:val="20"/>
        </w:rPr>
        <w:endnoteReference w:id="5"/>
      </w:r>
      <w:bookmarkEnd w:id="7"/>
      <w:r w:rsidRPr="00282A60">
        <w:rPr>
          <w:szCs w:val="20"/>
          <w:vertAlign w:val="superscript"/>
        </w:rPr>
        <w:t>,</w:t>
      </w:r>
      <w:bookmarkStart w:id="8" w:name="_Ref476302188"/>
      <w:r w:rsidRPr="00282A60">
        <w:rPr>
          <w:rStyle w:val="EndnoteReference"/>
          <w:szCs w:val="20"/>
        </w:rPr>
        <w:endnoteReference w:id="6"/>
      </w:r>
      <w:bookmarkEnd w:id="8"/>
      <w:r w:rsidRPr="00282A60">
        <w:rPr>
          <w:szCs w:val="20"/>
          <w:vertAlign w:val="superscrip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282A60" w:rsidRPr="00E94684" w14:paraId="4ADDEB57" w14:textId="77777777" w:rsidTr="00C81B48">
        <w:trPr>
          <w:trHeight w:val="585"/>
        </w:trPr>
        <w:tc>
          <w:tcPr>
            <w:tcW w:w="8748" w:type="dxa"/>
          </w:tcPr>
          <w:p w14:paraId="4ADDEB55" w14:textId="77777777" w:rsidR="00282A60" w:rsidRPr="00282A60" w:rsidRDefault="00D97F8F" w:rsidP="00C81B48">
            <w:pPr>
              <w:widowControl/>
              <w:autoSpaceDE/>
              <w:autoSpaceDN/>
              <w:adjustRightInd/>
              <w:rPr>
                <w:szCs w:val="20"/>
              </w:rPr>
            </w:pPr>
            <m:oMathPara>
              <m:oMathParaPr>
                <m:jc m:val="center"/>
              </m:oMathParaPr>
              <m:oMath>
                <m:sSub>
                  <m:sSubPr>
                    <m:ctrlPr>
                      <w:rPr>
                        <w:rFonts w:ascii="Cambria Math" w:hAnsi="Cambria Math"/>
                        <w:i/>
                      </w:rPr>
                    </m:ctrlPr>
                  </m:sSubPr>
                  <m:e>
                    <m:r>
                      <w:rPr>
                        <w:rFonts w:ascii="Cambria Math" w:hAnsi="Cambria Math"/>
                        <w:szCs w:val="20"/>
                      </w:rPr>
                      <m:t>EF</m:t>
                    </m:r>
                  </m:e>
                  <m:sub>
                    <m:r>
                      <w:rPr>
                        <w:rFonts w:ascii="Cambria Math" w:hAnsi="Cambria Math"/>
                        <w:szCs w:val="20"/>
                      </w:rPr>
                      <m:t>p,t,x,c</m:t>
                    </m:r>
                  </m:sub>
                </m:sSub>
                <m:r>
                  <w:rPr>
                    <w:rFonts w:ascii="Cambria Math" w:hAnsi="Cambria Math"/>
                    <w:szCs w:val="20"/>
                  </w:rPr>
                  <m:t>= c×k×</m:t>
                </m:r>
                <m:sSubSup>
                  <m:sSubSupPr>
                    <m:ctrlPr>
                      <w:rPr>
                        <w:rFonts w:ascii="Cambria Math" w:hAnsi="Cambria Math"/>
                        <w:i/>
                      </w:rPr>
                    </m:ctrlPr>
                  </m:sSubSupPr>
                  <m:e>
                    <m:r>
                      <w:rPr>
                        <w:rFonts w:ascii="Cambria Math" w:hAnsi="Cambria Math"/>
                        <w:szCs w:val="20"/>
                      </w:rPr>
                      <m:t>s</m:t>
                    </m:r>
                  </m:e>
                  <m:sub>
                    <m:r>
                      <w:rPr>
                        <w:rFonts w:ascii="Cambria Math" w:hAnsi="Cambria Math"/>
                        <w:szCs w:val="20"/>
                      </w:rPr>
                      <m:t>c</m:t>
                    </m:r>
                  </m:sub>
                  <m:sup>
                    <m:r>
                      <w:rPr>
                        <w:rFonts w:ascii="Cambria Math" w:hAnsi="Cambria Math"/>
                        <w:szCs w:val="20"/>
                      </w:rPr>
                      <m:t>0.6</m:t>
                    </m:r>
                  </m:sup>
                </m:sSubSup>
                <m:r>
                  <w:rPr>
                    <w:rFonts w:ascii="Cambria Math" w:hAnsi="Cambria Math"/>
                    <w:szCs w:val="20"/>
                  </w:rPr>
                  <m:t>×</m:t>
                </m:r>
                <m:sSub>
                  <m:sSubPr>
                    <m:ctrlPr>
                      <w:rPr>
                        <w:rFonts w:ascii="Cambria Math" w:hAnsi="Cambria Math"/>
                        <w:i/>
                      </w:rPr>
                    </m:ctrlPr>
                  </m:sSubPr>
                  <m:e>
                    <m:r>
                      <w:rPr>
                        <w:rFonts w:ascii="Cambria Math" w:hAnsi="Cambria Math"/>
                        <w:szCs w:val="20"/>
                      </w:rPr>
                      <m:t>p</m:t>
                    </m:r>
                  </m:e>
                  <m:sub>
                    <m:r>
                      <w:rPr>
                        <w:rFonts w:ascii="Cambria Math" w:hAnsi="Cambria Math"/>
                        <w:szCs w:val="20"/>
                      </w:rPr>
                      <m:t xml:space="preserve">t </m:t>
                    </m:r>
                  </m:sub>
                </m:sSub>
              </m:oMath>
            </m:oMathPara>
          </w:p>
        </w:tc>
        <w:tc>
          <w:tcPr>
            <w:tcW w:w="828" w:type="dxa"/>
          </w:tcPr>
          <w:p w14:paraId="4ADDEB56" w14:textId="77777777" w:rsidR="00282A60" w:rsidRPr="00282A60" w:rsidRDefault="00282A60" w:rsidP="00DF4571">
            <w:pPr>
              <w:pStyle w:val="ListParagraph"/>
              <w:widowControl/>
              <w:numPr>
                <w:ilvl w:val="0"/>
                <w:numId w:val="10"/>
              </w:numPr>
              <w:autoSpaceDE/>
              <w:autoSpaceDN/>
              <w:adjustRightInd/>
              <w:jc w:val="right"/>
              <w:rPr>
                <w:szCs w:val="20"/>
              </w:rPr>
            </w:pPr>
          </w:p>
        </w:tc>
      </w:tr>
    </w:tbl>
    <w:p w14:paraId="4ADDEB58" w14:textId="77777777" w:rsidR="0035568E" w:rsidRPr="00282A60" w:rsidRDefault="0035568E" w:rsidP="00282A60">
      <w:pPr>
        <w:widowControl/>
        <w:tabs>
          <w:tab w:val="left" w:pos="0"/>
        </w:tabs>
        <w:rPr>
          <w:szCs w:val="20"/>
        </w:rPr>
      </w:pPr>
      <w:r w:rsidRPr="00282A60">
        <w:rPr>
          <w:szCs w:val="20"/>
        </w:rPr>
        <w:t>Where:</w:t>
      </w:r>
    </w:p>
    <w:p w14:paraId="4ADDEB59" w14:textId="77777777" w:rsidR="0035568E" w:rsidRPr="00282A60" w:rsidRDefault="0035568E" w:rsidP="00282A60">
      <w:pPr>
        <w:pStyle w:val="NoSpacing"/>
      </w:pPr>
      <w:r w:rsidRPr="00282A60">
        <w:tab/>
      </w:r>
      <w:r w:rsidRPr="00282A60">
        <w:rPr>
          <w:i/>
        </w:rPr>
        <w:t>EF</w:t>
      </w:r>
      <w:r w:rsidRPr="00282A60">
        <w:rPr>
          <w:i/>
          <w:vertAlign w:val="subscript"/>
        </w:rPr>
        <w:t>p,t</w:t>
      </w:r>
      <w:r w:rsidR="00DF4571">
        <w:rPr>
          <w:i/>
          <w:vertAlign w:val="subscript"/>
        </w:rPr>
        <w:t>,x</w:t>
      </w:r>
      <w:r w:rsidRPr="00282A60">
        <w:rPr>
          <w:i/>
          <w:vertAlign w:val="subscript"/>
        </w:rPr>
        <w:t>,c</w:t>
      </w:r>
      <w:r w:rsidRPr="00282A60">
        <w:rPr>
          <w:i/>
        </w:rPr>
        <w:tab/>
      </w:r>
      <w:r w:rsidRPr="00282A60">
        <w:t>=</w:t>
      </w:r>
      <w:r w:rsidRPr="00282A60">
        <w:tab/>
        <w:t>Emission</w:t>
      </w:r>
      <w:r w:rsidR="00A029F5">
        <w:t>s</w:t>
      </w:r>
      <w:r w:rsidRPr="00282A60">
        <w:t xml:space="preserve"> factor for pollutant </w:t>
      </w:r>
      <w:r w:rsidRPr="00282A60">
        <w:rPr>
          <w:i/>
        </w:rPr>
        <w:t>p</w:t>
      </w:r>
      <w:r w:rsidRPr="00282A60">
        <w:t>, crop tilling type</w:t>
      </w:r>
      <w:r w:rsidRPr="00282A60">
        <w:rPr>
          <w:i/>
        </w:rPr>
        <w:t xml:space="preserve"> t</w:t>
      </w:r>
      <w:r w:rsidR="00DF4571">
        <w:t>, and crop type</w:t>
      </w:r>
      <w:r w:rsidRPr="00282A60">
        <w:t xml:space="preserve"> </w:t>
      </w:r>
      <w:r w:rsidR="00DF4571">
        <w:rPr>
          <w:i/>
        </w:rPr>
        <w:t>x</w:t>
      </w:r>
      <w:r w:rsidRPr="00282A60">
        <w:t xml:space="preserve"> </w:t>
      </w:r>
      <w:r w:rsidR="00DF4571">
        <w:t xml:space="preserve">in county </w:t>
      </w:r>
      <w:r w:rsidR="00DF4571" w:rsidRPr="00DF4571">
        <w:rPr>
          <w:i/>
        </w:rPr>
        <w:t>c</w:t>
      </w:r>
      <w:r w:rsidR="00DF4571">
        <w:t xml:space="preserve">, </w:t>
      </w:r>
      <w:r w:rsidRPr="00DF4571">
        <w:t>in</w:t>
      </w:r>
      <w:r w:rsidRPr="00282A60">
        <w:t xml:space="preserve"> lbs</w:t>
      </w:r>
      <w:r w:rsidR="000A7369">
        <w:t>.</w:t>
      </w:r>
      <w:r w:rsidRPr="00282A60">
        <w:t>/acre</w:t>
      </w:r>
    </w:p>
    <w:p w14:paraId="4ADDEB5A" w14:textId="77777777" w:rsidR="0035568E" w:rsidRPr="00282A60" w:rsidRDefault="0035568E" w:rsidP="00282A60">
      <w:pPr>
        <w:pStyle w:val="NoSpacing"/>
        <w:rPr>
          <w:i/>
        </w:rPr>
      </w:pPr>
      <w:r w:rsidRPr="00282A60">
        <w:tab/>
      </w:r>
      <w:r w:rsidRPr="00282A60">
        <w:rPr>
          <w:i/>
        </w:rPr>
        <w:t>c</w:t>
      </w:r>
      <w:r w:rsidRPr="00282A60">
        <w:rPr>
          <w:i/>
        </w:rPr>
        <w:tab/>
      </w:r>
      <w:r w:rsidRPr="00282A60">
        <w:t>=</w:t>
      </w:r>
      <w:r w:rsidRPr="00282A60">
        <w:tab/>
        <w:t>Constant 4.8 lbs</w:t>
      </w:r>
      <w:r w:rsidR="000A7369">
        <w:t>.</w:t>
      </w:r>
      <w:r w:rsidRPr="00282A60">
        <w:t>/acre-pass</w:t>
      </w:r>
    </w:p>
    <w:p w14:paraId="4ADDEB5B" w14:textId="77777777" w:rsidR="0035568E" w:rsidRPr="00282A60" w:rsidRDefault="0035568E" w:rsidP="00282A60">
      <w:pPr>
        <w:pStyle w:val="NoSpacing"/>
        <w:rPr>
          <w:i/>
        </w:rPr>
      </w:pPr>
      <w:r w:rsidRPr="00282A60">
        <w:rPr>
          <w:i/>
        </w:rPr>
        <w:tab/>
        <w:t>k</w:t>
      </w:r>
      <w:r w:rsidRPr="00282A60">
        <w:rPr>
          <w:i/>
        </w:rPr>
        <w:tab/>
      </w:r>
      <w:r w:rsidRPr="00282A60">
        <w:t>=</w:t>
      </w:r>
      <w:r w:rsidRPr="00282A60">
        <w:tab/>
        <w:t>Dimensionless particle size multiplier (PM</w:t>
      </w:r>
      <w:r w:rsidRPr="002B5BB8">
        <w:t>10</w:t>
      </w:r>
      <w:r w:rsidR="002B5BB8">
        <w:t>-FIL and PM10-PRI</w:t>
      </w:r>
      <w:r w:rsidR="00DF4571">
        <w:t xml:space="preserve"> </w:t>
      </w:r>
      <w:r w:rsidRPr="00282A60">
        <w:t>=</w:t>
      </w:r>
      <w:r w:rsidR="00DF4571">
        <w:t xml:space="preserve"> </w:t>
      </w:r>
      <w:r w:rsidRPr="00282A60">
        <w:t>0.21; PM</w:t>
      </w:r>
      <w:r w:rsidR="002B5BB8" w:rsidRPr="002B5BB8">
        <w:t>2</w:t>
      </w:r>
      <w:r w:rsidRPr="002B5BB8">
        <w:t>5</w:t>
      </w:r>
      <w:r w:rsidR="002B5BB8">
        <w:t>-FIL and PM25-PRI</w:t>
      </w:r>
      <w:r w:rsidR="00DF4571">
        <w:t xml:space="preserve"> </w:t>
      </w:r>
      <w:r w:rsidRPr="00282A60">
        <w:t>=</w:t>
      </w:r>
      <w:r w:rsidR="00DF4571">
        <w:t xml:space="preserve"> </w:t>
      </w:r>
      <w:r w:rsidRPr="00282A60">
        <w:t>0.042)</w:t>
      </w:r>
    </w:p>
    <w:p w14:paraId="4ADDEB5C" w14:textId="77777777" w:rsidR="0035568E" w:rsidRPr="00282A60" w:rsidRDefault="0035568E" w:rsidP="00282A60">
      <w:pPr>
        <w:pStyle w:val="NoSpacing"/>
        <w:rPr>
          <w:rFonts w:eastAsiaTheme="minorHAnsi"/>
        </w:rPr>
      </w:pPr>
      <w:r w:rsidRPr="00282A60">
        <w:rPr>
          <w:i/>
        </w:rPr>
        <w:tab/>
        <w:t>s</w:t>
      </w:r>
      <w:r w:rsidRPr="00282A60">
        <w:rPr>
          <w:i/>
          <w:vertAlign w:val="subscript"/>
        </w:rPr>
        <w:t>c</w:t>
      </w:r>
      <w:r w:rsidRPr="00282A60">
        <w:rPr>
          <w:i/>
        </w:rPr>
        <w:tab/>
      </w:r>
      <w:r w:rsidRPr="00282A60">
        <w:t>=</w:t>
      </w:r>
      <w:r w:rsidRPr="00282A60">
        <w:tab/>
        <w:t xml:space="preserve">Percent silt content of surface soil (%) in county </w:t>
      </w:r>
      <w:r w:rsidRPr="00282A60">
        <w:rPr>
          <w:i/>
        </w:rPr>
        <w:t>c</w:t>
      </w:r>
      <w:r w:rsidRPr="00282A60">
        <w:t>, defined as the mass fraction of particles smaller than 50 μm diameter found in surface soil</w:t>
      </w:r>
    </w:p>
    <w:p w14:paraId="4ADDEB5D" w14:textId="77777777" w:rsidR="00282A60" w:rsidRDefault="0035568E" w:rsidP="00282A60">
      <w:pPr>
        <w:pStyle w:val="NoSpacing"/>
        <w:rPr>
          <w:i/>
        </w:rPr>
      </w:pPr>
      <w:r w:rsidRPr="00282A60">
        <w:rPr>
          <w:i/>
        </w:rPr>
        <w:tab/>
        <w:t>p</w:t>
      </w:r>
      <w:r w:rsidRPr="00282A60">
        <w:rPr>
          <w:i/>
          <w:vertAlign w:val="subscript"/>
        </w:rPr>
        <w:t>t</w:t>
      </w:r>
      <w:r w:rsidRPr="00282A60">
        <w:rPr>
          <w:i/>
          <w:vertAlign w:val="subscript"/>
        </w:rPr>
        <w:tab/>
      </w:r>
      <w:r w:rsidRPr="00282A60">
        <w:t>=</w:t>
      </w:r>
      <w:r w:rsidRPr="00282A60">
        <w:tab/>
        <w:t xml:space="preserve">Number of passes or </w:t>
      </w:r>
      <w:r w:rsidR="000A7369">
        <w:t>tilling</w:t>
      </w:r>
      <w:r w:rsidR="000A7369" w:rsidRPr="00282A60">
        <w:t>s</w:t>
      </w:r>
      <w:r w:rsidRPr="00282A60">
        <w:t xml:space="preserve"> in a year by crop tilling type, </w:t>
      </w:r>
      <w:r w:rsidRPr="00282A60">
        <w:rPr>
          <w:i/>
        </w:rPr>
        <w:t>t</w:t>
      </w:r>
    </w:p>
    <w:p w14:paraId="4ADDEB5E" w14:textId="77777777" w:rsidR="00282A60" w:rsidRDefault="00282A60" w:rsidP="00282A60">
      <w:pPr>
        <w:pStyle w:val="NoSpacing"/>
        <w:rPr>
          <w:i/>
        </w:rPr>
      </w:pPr>
    </w:p>
    <w:p w14:paraId="4ADDEB5F" w14:textId="77777777" w:rsidR="00715263" w:rsidRPr="00EE3A88" w:rsidRDefault="00715263" w:rsidP="0071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E3A88">
        <w:rPr>
          <w:szCs w:val="20"/>
        </w:rPr>
        <w:t>The U.S. Department of Agriculture and the National Cooperative Soil Survey define silt content of surface soil as the percentage of particles (mass basis) of diameter smaller than 50 micrometers (µm) found in the surface soil.</w:t>
      </w:r>
      <w:r w:rsidRPr="00DD642F">
        <w:rPr>
          <w:rStyle w:val="FootnoteReference"/>
          <w:sz w:val="22"/>
          <w:szCs w:val="20"/>
        </w:rPr>
        <w:footnoteReference w:id="1"/>
      </w:r>
      <w:r w:rsidR="00DD642F">
        <w:rPr>
          <w:szCs w:val="20"/>
        </w:rPr>
        <w:t xml:space="preserve"> </w:t>
      </w:r>
      <w:r w:rsidRPr="00EE3A88">
        <w:rPr>
          <w:szCs w:val="20"/>
        </w:rPr>
        <w:t>The soil sample data used to estimate county-level, average silt content values are from the National Cooperative Soil Survey Microsoft Access Soil Characterization Database.</w:t>
      </w:r>
      <w:r>
        <w:rPr>
          <w:rStyle w:val="EndnoteReference"/>
          <w:szCs w:val="20"/>
        </w:rPr>
        <w:endnoteReference w:id="7"/>
      </w:r>
      <w:r>
        <w:rPr>
          <w:szCs w:val="20"/>
        </w:rPr>
        <w:t xml:space="preserve"> </w:t>
      </w:r>
      <w:r w:rsidRPr="00EE3A88">
        <w:rPr>
          <w:szCs w:val="20"/>
        </w:rPr>
        <w:t xml:space="preserve">This database contains the most commonly requested data from the National Cooperative Soil Survey Laboratories including data from the Kellogg Soil Survey Laboratory and cooperating universities. </w:t>
      </w:r>
    </w:p>
    <w:p w14:paraId="4ADDEB60" w14:textId="77777777" w:rsidR="00715263" w:rsidRDefault="00715263" w:rsidP="0071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E3A88">
        <w:rPr>
          <w:szCs w:val="20"/>
        </w:rPr>
        <w:t xml:space="preserve">EPA applied specific selection criteria to the database to ensure that all samples are comparable and relevant to this analysis. The selection criteria included selecting only samples taken inside the United States with a preparation code of S and a horizon top of zero centimeters or a master horizon of A or O. A preparation code of S signifies that the sample is the air-dried whole soil passing through a 3 inch sieve and a horizon top of zero or master horizon of A or O ensures that the sample is taken at the surface. </w:t>
      </w:r>
    </w:p>
    <w:p w14:paraId="4ADDEB61" w14:textId="77777777" w:rsidR="00E94684" w:rsidRDefault="00E94684" w:rsidP="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In some cases, the sample metadata did not indicate a county, but included latitude and longitude coordinates. In these cases, the state and county information </w:t>
      </w:r>
      <w:r w:rsidR="002B5BB8">
        <w:rPr>
          <w:szCs w:val="20"/>
        </w:rPr>
        <w:t>ar</w:t>
      </w:r>
      <w:r>
        <w:rPr>
          <w:szCs w:val="20"/>
        </w:rPr>
        <w:t xml:space="preserve">e determined based on the latitude and longitude coordinates and added to the sample entry in the database.  </w:t>
      </w:r>
    </w:p>
    <w:p w14:paraId="4ADDEB62" w14:textId="77777777" w:rsidR="00E94684" w:rsidRDefault="00E94684" w:rsidP="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average silt content for a county </w:t>
      </w:r>
      <w:r w:rsidR="00A95570">
        <w:rPr>
          <w:szCs w:val="20"/>
        </w:rPr>
        <w:t>i</w:t>
      </w:r>
      <w:r>
        <w:rPr>
          <w:szCs w:val="20"/>
        </w:rPr>
        <w:t xml:space="preserve">s calculated by summing the total silt content of all the samples in the county and dividing by the number of samples in the county. For counties without samples, the average silt content </w:t>
      </w:r>
      <w:r w:rsidR="00A95570">
        <w:rPr>
          <w:szCs w:val="20"/>
        </w:rPr>
        <w:t>is</w:t>
      </w:r>
      <w:r>
        <w:rPr>
          <w:szCs w:val="20"/>
        </w:rPr>
        <w:t xml:space="preserve"> calculated by summing the total silt content of soil samples in neighboring counties and dividing by the number of samples in the neighboring counties. If neighboring counties also lacked sample data, then the county </w:t>
      </w:r>
      <w:r w:rsidR="00A95570">
        <w:rPr>
          <w:szCs w:val="20"/>
        </w:rPr>
        <w:t>is</w:t>
      </w:r>
      <w:r>
        <w:rPr>
          <w:szCs w:val="20"/>
        </w:rPr>
        <w:t xml:space="preserve"> assigned the average silt value of soil samples within the state.</w:t>
      </w:r>
    </w:p>
    <w:p w14:paraId="4ADDEB63" w14:textId="77777777" w:rsidR="00E94684" w:rsidRDefault="00E94684" w:rsidP="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highlight w:val="yellow"/>
        </w:rPr>
        <w:fldChar w:fldCharType="begin"/>
      </w:r>
      <w:r>
        <w:rPr>
          <w:szCs w:val="20"/>
        </w:rPr>
        <w:instrText xml:space="preserve"> REF _Ref476044839 \h </w:instrText>
      </w:r>
      <w:r>
        <w:rPr>
          <w:szCs w:val="20"/>
          <w:highlight w:val="yellow"/>
        </w:rPr>
      </w:r>
      <w:r>
        <w:rPr>
          <w:szCs w:val="20"/>
          <w:highlight w:val="yellow"/>
        </w:rPr>
        <w:fldChar w:fldCharType="separate"/>
      </w:r>
      <w:r>
        <w:rPr>
          <w:szCs w:val="20"/>
        </w:rPr>
        <w:t xml:space="preserve">Table </w:t>
      </w:r>
      <w:r>
        <w:rPr>
          <w:noProof/>
          <w:szCs w:val="20"/>
        </w:rPr>
        <w:t>2</w:t>
      </w:r>
      <w:r>
        <w:rPr>
          <w:szCs w:val="20"/>
          <w:highlight w:val="yellow"/>
        </w:rPr>
        <w:fldChar w:fldCharType="end"/>
      </w:r>
      <w:r>
        <w:rPr>
          <w:szCs w:val="20"/>
        </w:rPr>
        <w:t xml:space="preserve"> shows the number of passes or tillings in a year for each crop for conservation use, no-till and conventional use.</w:t>
      </w:r>
      <w:bookmarkStart w:id="9" w:name="_Ref476306503"/>
      <w:r>
        <w:rPr>
          <w:rStyle w:val="EndnoteReference"/>
        </w:rPr>
        <w:endnoteReference w:id="8"/>
      </w:r>
      <w:bookmarkEnd w:id="9"/>
      <w:r>
        <w:rPr>
          <w:szCs w:val="20"/>
        </w:rPr>
        <w:t xml:space="preserve"> These values are used as </w:t>
      </w:r>
      <w:r>
        <w:rPr>
          <w:i/>
          <w:szCs w:val="20"/>
        </w:rPr>
        <w:t>p</w:t>
      </w:r>
      <w:r>
        <w:rPr>
          <w:i/>
          <w:szCs w:val="20"/>
          <w:vertAlign w:val="subscript"/>
        </w:rPr>
        <w:t>t</w:t>
      </w:r>
      <w:r>
        <w:rPr>
          <w:i/>
          <w:szCs w:val="20"/>
        </w:rPr>
        <w:t xml:space="preserve"> </w:t>
      </w:r>
      <w:r>
        <w:rPr>
          <w:szCs w:val="20"/>
        </w:rPr>
        <w:t>in equation 1 to estimate the county-level emission</w:t>
      </w:r>
      <w:r w:rsidR="00A029F5">
        <w:rPr>
          <w:szCs w:val="20"/>
        </w:rPr>
        <w:t>s</w:t>
      </w:r>
      <w:r>
        <w:rPr>
          <w:szCs w:val="20"/>
        </w:rPr>
        <w:t xml:space="preserve"> factors. Mulch till and ridge till tillage systems are classified as conservation use, while 0 to 15 percent residue and 15 to 30 percent residue tillage systems are classified as conventional use. </w:t>
      </w:r>
    </w:p>
    <w:p w14:paraId="4ADDEB64" w14:textId="77777777" w:rsidR="00E94684" w:rsidRDefault="00E94684" w:rsidP="006768F7">
      <w:pPr>
        <w:pStyle w:val="Caption"/>
        <w:keepNext/>
        <w:jc w:val="center"/>
        <w:rPr>
          <w:color w:val="auto"/>
          <w:sz w:val="20"/>
          <w:szCs w:val="20"/>
        </w:rPr>
      </w:pPr>
      <w:bookmarkStart w:id="10" w:name="_Ref476044839"/>
      <w:r>
        <w:rPr>
          <w:color w:val="auto"/>
          <w:sz w:val="20"/>
          <w:szCs w:val="20"/>
        </w:rPr>
        <w:t xml:space="preserve">Table </w:t>
      </w:r>
      <w:r>
        <w:fldChar w:fldCharType="begin"/>
      </w:r>
      <w:r>
        <w:rPr>
          <w:color w:val="auto"/>
          <w:sz w:val="20"/>
          <w:szCs w:val="20"/>
        </w:rPr>
        <w:instrText xml:space="preserve"> SEQ Table \* ARABIC </w:instrText>
      </w:r>
      <w:r>
        <w:fldChar w:fldCharType="separate"/>
      </w:r>
      <w:r>
        <w:rPr>
          <w:noProof/>
          <w:color w:val="auto"/>
          <w:sz w:val="20"/>
          <w:szCs w:val="20"/>
        </w:rPr>
        <w:t>2</w:t>
      </w:r>
      <w:r>
        <w:fldChar w:fldCharType="end"/>
      </w:r>
      <w:bookmarkEnd w:id="10"/>
      <w:r>
        <w:rPr>
          <w:color w:val="auto"/>
          <w:sz w:val="20"/>
          <w:szCs w:val="20"/>
        </w:rPr>
        <w:t>. Number of Passes or Tillings per Year.</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223"/>
        <w:gridCol w:w="2007"/>
        <w:gridCol w:w="1620"/>
        <w:gridCol w:w="1620"/>
      </w:tblGrid>
      <w:tr w:rsidR="00E94684" w14:paraId="4ADDEB69" w14:textId="77777777" w:rsidTr="00DD642F">
        <w:trPr>
          <w:tblHeader/>
          <w:jc w:val="center"/>
        </w:trPr>
        <w:tc>
          <w:tcPr>
            <w:tcW w:w="22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DEB65" w14:textId="77777777" w:rsidR="00E94684" w:rsidRDefault="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line="276" w:lineRule="auto"/>
              <w:jc w:val="center"/>
              <w:rPr>
                <w:b/>
                <w:bCs/>
                <w:szCs w:val="20"/>
              </w:rPr>
            </w:pPr>
            <w:r>
              <w:rPr>
                <w:b/>
                <w:bCs/>
                <w:szCs w:val="20"/>
              </w:rPr>
              <w:t>Crop</w:t>
            </w:r>
          </w:p>
        </w:tc>
        <w:tc>
          <w:tcPr>
            <w:tcW w:w="2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DEB66" w14:textId="77777777" w:rsidR="00E94684" w:rsidRDefault="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line="276" w:lineRule="auto"/>
              <w:jc w:val="center"/>
              <w:rPr>
                <w:b/>
                <w:bCs/>
                <w:szCs w:val="20"/>
              </w:rPr>
            </w:pPr>
            <w:r>
              <w:rPr>
                <w:b/>
                <w:bCs/>
                <w:szCs w:val="20"/>
              </w:rPr>
              <w:t>Conservation Use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DEB67" w14:textId="77777777" w:rsidR="00E94684" w:rsidRDefault="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line="276" w:lineRule="auto"/>
              <w:jc w:val="center"/>
              <w:rPr>
                <w:b/>
                <w:bCs/>
                <w:szCs w:val="20"/>
              </w:rPr>
            </w:pPr>
            <w:r>
              <w:rPr>
                <w:b/>
                <w:bCs/>
                <w:szCs w:val="20"/>
              </w:rPr>
              <w:t>No-Till</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DEB68" w14:textId="77777777" w:rsidR="00E94684" w:rsidRDefault="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line="276" w:lineRule="auto"/>
              <w:jc w:val="center"/>
              <w:rPr>
                <w:b/>
                <w:bCs/>
                <w:szCs w:val="20"/>
              </w:rPr>
            </w:pPr>
            <w:r>
              <w:rPr>
                <w:b/>
                <w:bCs/>
                <w:szCs w:val="20"/>
              </w:rPr>
              <w:t>Conventional Use</w:t>
            </w:r>
          </w:p>
        </w:tc>
      </w:tr>
      <w:tr w:rsidR="00E94684" w14:paraId="4ADDEB6E"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6A" w14:textId="77777777" w:rsidR="00E94684" w:rsidRDefault="00E94684">
            <w:pPr>
              <w:spacing w:after="0"/>
              <w:rPr>
                <w:szCs w:val="20"/>
              </w:rPr>
            </w:pPr>
            <w:r>
              <w:rPr>
                <w:szCs w:val="20"/>
              </w:rPr>
              <w:t>Barley</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6B"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6C"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6D" w14:textId="77777777" w:rsidR="00E94684" w:rsidRDefault="00E94684">
            <w:pPr>
              <w:spacing w:after="0"/>
              <w:jc w:val="center"/>
              <w:rPr>
                <w:szCs w:val="20"/>
              </w:rPr>
            </w:pPr>
            <w:r>
              <w:rPr>
                <w:szCs w:val="20"/>
              </w:rPr>
              <w:t>5</w:t>
            </w:r>
          </w:p>
        </w:tc>
      </w:tr>
      <w:tr w:rsidR="00E94684" w14:paraId="4ADDEB73"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6F" w14:textId="77777777" w:rsidR="00E94684" w:rsidRDefault="00E94684">
            <w:pPr>
              <w:spacing w:after="0"/>
              <w:rPr>
                <w:szCs w:val="20"/>
              </w:rPr>
            </w:pPr>
            <w:r>
              <w:rPr>
                <w:szCs w:val="20"/>
              </w:rPr>
              <w:t>Beans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70"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71"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72" w14:textId="77777777" w:rsidR="00E94684" w:rsidRDefault="00E94684">
            <w:pPr>
              <w:spacing w:after="0"/>
              <w:jc w:val="center"/>
              <w:rPr>
                <w:szCs w:val="20"/>
              </w:rPr>
            </w:pPr>
            <w:r>
              <w:rPr>
                <w:szCs w:val="20"/>
              </w:rPr>
              <w:t>3</w:t>
            </w:r>
          </w:p>
        </w:tc>
      </w:tr>
      <w:tr w:rsidR="00E94684" w14:paraId="4ADDEB78"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74" w14:textId="77777777" w:rsidR="00E94684" w:rsidRDefault="00E94684">
            <w:pPr>
              <w:spacing w:after="0"/>
              <w:rPr>
                <w:szCs w:val="20"/>
              </w:rPr>
            </w:pPr>
            <w:r>
              <w:rPr>
                <w:szCs w:val="20"/>
              </w:rPr>
              <w:t>Canola</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75"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76"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77" w14:textId="77777777" w:rsidR="00E94684" w:rsidRDefault="00E94684">
            <w:pPr>
              <w:spacing w:after="0"/>
              <w:jc w:val="center"/>
              <w:rPr>
                <w:szCs w:val="20"/>
              </w:rPr>
            </w:pPr>
            <w:r>
              <w:rPr>
                <w:szCs w:val="20"/>
              </w:rPr>
              <w:t>3</w:t>
            </w:r>
          </w:p>
        </w:tc>
      </w:tr>
      <w:tr w:rsidR="00E94684" w14:paraId="4ADDEB7D"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79" w14:textId="77777777" w:rsidR="00E94684" w:rsidRDefault="00E94684">
            <w:pPr>
              <w:spacing w:after="0"/>
              <w:rPr>
                <w:szCs w:val="20"/>
              </w:rPr>
            </w:pPr>
            <w:r>
              <w:rPr>
                <w:szCs w:val="20"/>
              </w:rPr>
              <w:t>Corn</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7A"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7B" w14:textId="77777777" w:rsidR="00E94684" w:rsidRDefault="00E94684">
            <w:pPr>
              <w:spacing w:after="0"/>
              <w:jc w:val="center"/>
              <w:rPr>
                <w:szCs w:val="20"/>
              </w:rPr>
            </w:pPr>
            <w:r>
              <w:rPr>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7C" w14:textId="77777777" w:rsidR="00E94684" w:rsidRDefault="00E94684">
            <w:pPr>
              <w:spacing w:after="0"/>
              <w:jc w:val="center"/>
              <w:rPr>
                <w:szCs w:val="20"/>
              </w:rPr>
            </w:pPr>
            <w:r>
              <w:rPr>
                <w:szCs w:val="20"/>
              </w:rPr>
              <w:t>2</w:t>
            </w:r>
          </w:p>
        </w:tc>
      </w:tr>
      <w:tr w:rsidR="00E94684" w14:paraId="4ADDEB82"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7E" w14:textId="77777777" w:rsidR="00E94684" w:rsidRDefault="00E94684">
            <w:pPr>
              <w:spacing w:after="0"/>
              <w:rPr>
                <w:szCs w:val="20"/>
              </w:rPr>
            </w:pPr>
            <w:r>
              <w:rPr>
                <w:szCs w:val="20"/>
              </w:rPr>
              <w:t>Cotton</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7F" w14:textId="77777777" w:rsidR="00E94684" w:rsidRDefault="00E94684">
            <w:pPr>
              <w:spacing w:after="0"/>
              <w:jc w:val="center"/>
              <w:rPr>
                <w:szCs w:val="20"/>
              </w:rPr>
            </w:pPr>
            <w:r>
              <w:rPr>
                <w:szCs w:val="20"/>
              </w:rPr>
              <w:t>5</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80" w14:textId="77777777" w:rsidR="00E94684" w:rsidRDefault="00E94684">
            <w:pPr>
              <w:spacing w:after="0"/>
              <w:jc w:val="center"/>
              <w:rPr>
                <w:szCs w:val="20"/>
              </w:rPr>
            </w:pPr>
            <w:r>
              <w:rPr>
                <w:szCs w:val="20"/>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81" w14:textId="77777777" w:rsidR="00E94684" w:rsidRDefault="00E94684">
            <w:pPr>
              <w:spacing w:after="0"/>
              <w:jc w:val="center"/>
              <w:rPr>
                <w:szCs w:val="20"/>
              </w:rPr>
            </w:pPr>
            <w:r>
              <w:rPr>
                <w:szCs w:val="20"/>
              </w:rPr>
              <w:t>8</w:t>
            </w:r>
          </w:p>
        </w:tc>
      </w:tr>
      <w:tr w:rsidR="00E94684" w14:paraId="4ADDEB87"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83" w14:textId="77777777" w:rsidR="00E94684" w:rsidRDefault="00E94684">
            <w:pPr>
              <w:spacing w:after="0"/>
              <w:rPr>
                <w:szCs w:val="20"/>
              </w:rPr>
            </w:pPr>
            <w:r>
              <w:rPr>
                <w:szCs w:val="20"/>
              </w:rPr>
              <w:t>Cover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84"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85"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86" w14:textId="77777777" w:rsidR="00E94684" w:rsidRDefault="00E94684">
            <w:pPr>
              <w:spacing w:after="0"/>
              <w:jc w:val="center"/>
              <w:rPr>
                <w:szCs w:val="20"/>
              </w:rPr>
            </w:pPr>
            <w:r>
              <w:rPr>
                <w:szCs w:val="20"/>
              </w:rPr>
              <w:t>1</w:t>
            </w:r>
          </w:p>
        </w:tc>
      </w:tr>
      <w:tr w:rsidR="00E94684" w14:paraId="4ADDEB8C"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88" w14:textId="77777777" w:rsidR="00E94684" w:rsidRDefault="00E94684">
            <w:pPr>
              <w:spacing w:after="0"/>
              <w:rPr>
                <w:szCs w:val="20"/>
              </w:rPr>
            </w:pPr>
            <w:r>
              <w:rPr>
                <w:szCs w:val="20"/>
              </w:rPr>
              <w:t>Fallow</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89"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8A"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8B" w14:textId="77777777" w:rsidR="00E94684" w:rsidRDefault="00E94684">
            <w:pPr>
              <w:spacing w:after="0"/>
              <w:jc w:val="center"/>
              <w:rPr>
                <w:szCs w:val="20"/>
              </w:rPr>
            </w:pPr>
            <w:r>
              <w:rPr>
                <w:szCs w:val="20"/>
              </w:rPr>
              <w:t>1</w:t>
            </w:r>
          </w:p>
        </w:tc>
      </w:tr>
      <w:tr w:rsidR="00E94684" w14:paraId="4ADDEB91"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8D" w14:textId="77777777" w:rsidR="00E94684" w:rsidRDefault="00E94684">
            <w:pPr>
              <w:spacing w:after="0"/>
              <w:rPr>
                <w:szCs w:val="20"/>
              </w:rPr>
            </w:pPr>
            <w:r>
              <w:rPr>
                <w:szCs w:val="20"/>
              </w:rPr>
              <w:lastRenderedPageBreak/>
              <w:t>Fall-seeded/Winter Wheat</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8E"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8F"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90" w14:textId="77777777" w:rsidR="00E94684" w:rsidRDefault="00E94684">
            <w:pPr>
              <w:spacing w:after="0"/>
              <w:jc w:val="center"/>
              <w:rPr>
                <w:szCs w:val="20"/>
              </w:rPr>
            </w:pPr>
            <w:r>
              <w:rPr>
                <w:szCs w:val="20"/>
              </w:rPr>
              <w:t>5</w:t>
            </w:r>
          </w:p>
        </w:tc>
      </w:tr>
      <w:tr w:rsidR="00E94684" w14:paraId="4ADDEB96"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92" w14:textId="77777777" w:rsidR="00E94684" w:rsidRDefault="00E94684">
            <w:pPr>
              <w:spacing w:after="0"/>
              <w:rPr>
                <w:szCs w:val="20"/>
              </w:rPr>
            </w:pPr>
            <w:r>
              <w:rPr>
                <w:szCs w:val="20"/>
              </w:rPr>
              <w:t>Forage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93"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94"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95" w14:textId="77777777" w:rsidR="00E94684" w:rsidRDefault="00E94684">
            <w:pPr>
              <w:spacing w:after="0"/>
              <w:jc w:val="center"/>
              <w:rPr>
                <w:szCs w:val="20"/>
              </w:rPr>
            </w:pPr>
            <w:r>
              <w:rPr>
                <w:szCs w:val="20"/>
              </w:rPr>
              <w:t>3</w:t>
            </w:r>
          </w:p>
        </w:tc>
      </w:tr>
      <w:tr w:rsidR="00E94684" w14:paraId="4ADDEB9B"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97" w14:textId="77777777" w:rsidR="00E94684" w:rsidRDefault="00E94684">
            <w:pPr>
              <w:spacing w:after="0"/>
              <w:rPr>
                <w:szCs w:val="20"/>
              </w:rPr>
            </w:pPr>
            <w:r>
              <w:rPr>
                <w:szCs w:val="20"/>
              </w:rPr>
              <w:t>Hay</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98"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99"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9A" w14:textId="77777777" w:rsidR="00E94684" w:rsidRDefault="00E94684">
            <w:pPr>
              <w:spacing w:after="0"/>
              <w:jc w:val="center"/>
              <w:rPr>
                <w:szCs w:val="20"/>
              </w:rPr>
            </w:pPr>
            <w:r>
              <w:rPr>
                <w:szCs w:val="20"/>
              </w:rPr>
              <w:t>3</w:t>
            </w:r>
          </w:p>
        </w:tc>
      </w:tr>
      <w:tr w:rsidR="00E94684" w14:paraId="4ADDEBA0"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9C" w14:textId="77777777" w:rsidR="00E94684" w:rsidRDefault="00E94684">
            <w:pPr>
              <w:spacing w:after="0"/>
              <w:rPr>
                <w:szCs w:val="20"/>
              </w:rPr>
            </w:pPr>
            <w:r>
              <w:rPr>
                <w:szCs w:val="20"/>
              </w:rPr>
              <w:t>Oats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9D"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9E"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9F" w14:textId="77777777" w:rsidR="00E94684" w:rsidRDefault="00E94684">
            <w:pPr>
              <w:spacing w:after="0"/>
              <w:jc w:val="center"/>
              <w:rPr>
                <w:szCs w:val="20"/>
              </w:rPr>
            </w:pPr>
            <w:r>
              <w:rPr>
                <w:szCs w:val="20"/>
              </w:rPr>
              <w:t>5</w:t>
            </w:r>
          </w:p>
        </w:tc>
      </w:tr>
      <w:tr w:rsidR="00E94684" w14:paraId="4ADDEBA5"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A1" w14:textId="77777777" w:rsidR="00E94684" w:rsidRDefault="00E94684">
            <w:pPr>
              <w:spacing w:after="0"/>
              <w:rPr>
                <w:szCs w:val="20"/>
              </w:rPr>
            </w:pPr>
            <w:r>
              <w:rPr>
                <w:szCs w:val="20"/>
              </w:rPr>
              <w:t>Peanuts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A2"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A3"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A4" w14:textId="77777777" w:rsidR="00E94684" w:rsidRDefault="00E94684">
            <w:pPr>
              <w:spacing w:after="0"/>
              <w:jc w:val="center"/>
              <w:rPr>
                <w:szCs w:val="20"/>
              </w:rPr>
            </w:pPr>
            <w:r>
              <w:rPr>
                <w:szCs w:val="20"/>
              </w:rPr>
              <w:t>3</w:t>
            </w:r>
          </w:p>
        </w:tc>
      </w:tr>
      <w:tr w:rsidR="00E94684" w14:paraId="4ADDEBAA"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A6" w14:textId="77777777" w:rsidR="00E94684" w:rsidRDefault="00E94684">
            <w:pPr>
              <w:spacing w:after="0"/>
              <w:rPr>
                <w:szCs w:val="20"/>
              </w:rPr>
            </w:pPr>
            <w:r>
              <w:rPr>
                <w:szCs w:val="20"/>
              </w:rPr>
              <w:t>Peas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A7"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A8"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A9" w14:textId="77777777" w:rsidR="00E94684" w:rsidRDefault="00E94684">
            <w:pPr>
              <w:spacing w:after="0"/>
              <w:jc w:val="center"/>
              <w:rPr>
                <w:szCs w:val="20"/>
              </w:rPr>
            </w:pPr>
            <w:r>
              <w:rPr>
                <w:szCs w:val="20"/>
              </w:rPr>
              <w:t>3</w:t>
            </w:r>
          </w:p>
        </w:tc>
      </w:tr>
      <w:tr w:rsidR="00E94684" w14:paraId="4ADDEBAF"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AB" w14:textId="77777777" w:rsidR="00E94684" w:rsidRDefault="00E94684">
            <w:pPr>
              <w:spacing w:after="0"/>
              <w:rPr>
                <w:szCs w:val="20"/>
              </w:rPr>
            </w:pPr>
            <w:r>
              <w:rPr>
                <w:szCs w:val="20"/>
              </w:rPr>
              <w:t>Permanent Pasture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AC" w14:textId="77777777" w:rsidR="00E94684" w:rsidRDefault="00E94684">
            <w:pPr>
              <w:spacing w:after="0"/>
              <w:jc w:val="center"/>
              <w:rPr>
                <w:szCs w:val="20"/>
              </w:rPr>
            </w:pPr>
            <w:r>
              <w:rPr>
                <w:szCs w:val="20"/>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AD" w14:textId="77777777" w:rsidR="00E94684" w:rsidRDefault="00E94684">
            <w:pPr>
              <w:spacing w:after="0"/>
              <w:jc w:val="center"/>
              <w:rPr>
                <w:szCs w:val="20"/>
              </w:rPr>
            </w:pPr>
            <w:r>
              <w:rPr>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AE" w14:textId="77777777" w:rsidR="00E94684" w:rsidRDefault="00E94684">
            <w:pPr>
              <w:spacing w:after="0"/>
              <w:jc w:val="center"/>
              <w:rPr>
                <w:szCs w:val="20"/>
              </w:rPr>
            </w:pPr>
            <w:r>
              <w:rPr>
                <w:szCs w:val="20"/>
              </w:rPr>
              <w:t>1</w:t>
            </w:r>
          </w:p>
        </w:tc>
      </w:tr>
      <w:tr w:rsidR="00E94684" w14:paraId="4ADDEBB4"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B0" w14:textId="77777777" w:rsidR="00E94684" w:rsidRDefault="00E94684">
            <w:pPr>
              <w:spacing w:after="0"/>
              <w:rPr>
                <w:szCs w:val="20"/>
              </w:rPr>
            </w:pPr>
            <w:r>
              <w:rPr>
                <w:szCs w:val="20"/>
              </w:rPr>
              <w:t>Potatoes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B1"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B2"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B3" w14:textId="77777777" w:rsidR="00E94684" w:rsidRDefault="00E94684">
            <w:pPr>
              <w:spacing w:after="0"/>
              <w:jc w:val="center"/>
              <w:rPr>
                <w:szCs w:val="20"/>
              </w:rPr>
            </w:pPr>
            <w:r>
              <w:rPr>
                <w:szCs w:val="20"/>
              </w:rPr>
              <w:t>3</w:t>
            </w:r>
          </w:p>
        </w:tc>
      </w:tr>
      <w:tr w:rsidR="00E94684" w14:paraId="4ADDEBB9"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B5" w14:textId="77777777" w:rsidR="00E94684" w:rsidRDefault="00E94684">
            <w:pPr>
              <w:spacing w:after="0"/>
              <w:rPr>
                <w:szCs w:val="20"/>
              </w:rPr>
            </w:pPr>
            <w:r>
              <w:rPr>
                <w:szCs w:val="20"/>
              </w:rPr>
              <w:t>Rice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B6" w14:textId="77777777" w:rsidR="00E94684" w:rsidRDefault="00E94684">
            <w:pPr>
              <w:spacing w:after="0"/>
              <w:jc w:val="center"/>
              <w:rPr>
                <w:szCs w:val="20"/>
              </w:rPr>
            </w:pPr>
            <w:r>
              <w:rPr>
                <w:szCs w:val="20"/>
              </w:rPr>
              <w:t>5</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B7" w14:textId="77777777" w:rsidR="00E94684" w:rsidRDefault="00E94684">
            <w:pPr>
              <w:spacing w:after="0"/>
              <w:jc w:val="center"/>
              <w:rPr>
                <w:szCs w:val="20"/>
              </w:rPr>
            </w:pPr>
            <w:r>
              <w:rPr>
                <w:szCs w:val="20"/>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B8" w14:textId="77777777" w:rsidR="00E94684" w:rsidRDefault="00E94684">
            <w:pPr>
              <w:spacing w:after="0"/>
              <w:jc w:val="center"/>
              <w:rPr>
                <w:szCs w:val="20"/>
              </w:rPr>
            </w:pPr>
            <w:r>
              <w:rPr>
                <w:szCs w:val="20"/>
              </w:rPr>
              <w:t>5</w:t>
            </w:r>
          </w:p>
        </w:tc>
      </w:tr>
      <w:tr w:rsidR="00E94684" w14:paraId="4ADDEBBE"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BA" w14:textId="77777777" w:rsidR="00E94684" w:rsidRDefault="00E94684">
            <w:pPr>
              <w:spacing w:after="0"/>
              <w:rPr>
                <w:szCs w:val="20"/>
              </w:rPr>
            </w:pPr>
            <w:r>
              <w:rPr>
                <w:szCs w:val="20"/>
              </w:rPr>
              <w:t>Rye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BB"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BC"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BD" w14:textId="77777777" w:rsidR="00E94684" w:rsidRDefault="00E94684">
            <w:pPr>
              <w:spacing w:after="0"/>
              <w:jc w:val="center"/>
              <w:rPr>
                <w:szCs w:val="20"/>
              </w:rPr>
            </w:pPr>
            <w:r>
              <w:rPr>
                <w:szCs w:val="20"/>
              </w:rPr>
              <w:t>5</w:t>
            </w:r>
          </w:p>
        </w:tc>
      </w:tr>
      <w:tr w:rsidR="00E94684" w14:paraId="4ADDEBC3"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BF" w14:textId="77777777" w:rsidR="00E94684" w:rsidRDefault="00E94684">
            <w:pPr>
              <w:spacing w:after="0"/>
              <w:rPr>
                <w:szCs w:val="20"/>
              </w:rPr>
            </w:pPr>
            <w:r>
              <w:rPr>
                <w:szCs w:val="20"/>
              </w:rPr>
              <w:t>Sorghum</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C0"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C1"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C2" w14:textId="77777777" w:rsidR="00E94684" w:rsidRDefault="00E94684">
            <w:pPr>
              <w:spacing w:after="0"/>
              <w:jc w:val="center"/>
              <w:rPr>
                <w:szCs w:val="20"/>
              </w:rPr>
            </w:pPr>
            <w:r>
              <w:rPr>
                <w:szCs w:val="20"/>
              </w:rPr>
              <w:t>6</w:t>
            </w:r>
          </w:p>
        </w:tc>
      </w:tr>
      <w:tr w:rsidR="00E94684" w14:paraId="4ADDEBC8"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C4" w14:textId="77777777" w:rsidR="00E94684" w:rsidRDefault="00E94684">
            <w:pPr>
              <w:spacing w:after="0"/>
              <w:rPr>
                <w:szCs w:val="20"/>
              </w:rPr>
            </w:pPr>
            <w:r>
              <w:rPr>
                <w:szCs w:val="20"/>
              </w:rPr>
              <w:t>Soybeans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C5"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C6" w14:textId="77777777" w:rsidR="00E94684" w:rsidRDefault="00E94684">
            <w:pPr>
              <w:spacing w:after="0"/>
              <w:jc w:val="center"/>
              <w:rPr>
                <w:szCs w:val="20"/>
              </w:rPr>
            </w:pPr>
            <w:r>
              <w:rPr>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C7" w14:textId="77777777" w:rsidR="00E94684" w:rsidRDefault="00E94684">
            <w:pPr>
              <w:spacing w:after="0"/>
              <w:jc w:val="center"/>
              <w:rPr>
                <w:szCs w:val="20"/>
              </w:rPr>
            </w:pPr>
            <w:r>
              <w:rPr>
                <w:szCs w:val="20"/>
              </w:rPr>
              <w:t>2</w:t>
            </w:r>
          </w:p>
        </w:tc>
      </w:tr>
      <w:tr w:rsidR="00E94684" w14:paraId="4ADDEBCD"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C9" w14:textId="77777777" w:rsidR="00E94684" w:rsidRDefault="00E94684">
            <w:pPr>
              <w:spacing w:after="0"/>
              <w:rPr>
                <w:szCs w:val="20"/>
              </w:rPr>
            </w:pPr>
            <w:r>
              <w:rPr>
                <w:szCs w:val="20"/>
              </w:rPr>
              <w:t>Spring Wheat</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CA"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CB" w14:textId="77777777" w:rsidR="00E94684" w:rsidRDefault="00E94684">
            <w:pPr>
              <w:spacing w:after="0"/>
              <w:jc w:val="center"/>
              <w:rPr>
                <w:szCs w:val="20"/>
              </w:rPr>
            </w:pPr>
            <w:r>
              <w:rPr>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CC" w14:textId="77777777" w:rsidR="00E94684" w:rsidRDefault="00E94684">
            <w:pPr>
              <w:spacing w:after="0"/>
              <w:jc w:val="center"/>
              <w:rPr>
                <w:szCs w:val="20"/>
              </w:rPr>
            </w:pPr>
            <w:r>
              <w:rPr>
                <w:szCs w:val="20"/>
              </w:rPr>
              <w:t>4</w:t>
            </w:r>
          </w:p>
        </w:tc>
      </w:tr>
      <w:tr w:rsidR="00E94684" w14:paraId="4ADDEBD2"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CE" w14:textId="77777777" w:rsidR="00E94684" w:rsidRDefault="00E94684">
            <w:pPr>
              <w:spacing w:after="0"/>
              <w:rPr>
                <w:szCs w:val="20"/>
              </w:rPr>
            </w:pPr>
            <w:r>
              <w:rPr>
                <w:szCs w:val="20"/>
              </w:rPr>
              <w:t>Sugarbeets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CF"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D0"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D1" w14:textId="77777777" w:rsidR="00E94684" w:rsidRDefault="00E94684">
            <w:pPr>
              <w:spacing w:after="0"/>
              <w:jc w:val="center"/>
              <w:rPr>
                <w:szCs w:val="20"/>
              </w:rPr>
            </w:pPr>
            <w:r>
              <w:rPr>
                <w:szCs w:val="20"/>
              </w:rPr>
              <w:t>3</w:t>
            </w:r>
          </w:p>
        </w:tc>
      </w:tr>
      <w:tr w:rsidR="00E94684" w14:paraId="4ADDEBD7"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D3" w14:textId="77777777" w:rsidR="00E94684" w:rsidRDefault="00E94684">
            <w:pPr>
              <w:spacing w:after="0"/>
              <w:rPr>
                <w:szCs w:val="20"/>
              </w:rPr>
            </w:pPr>
            <w:r>
              <w:rPr>
                <w:szCs w:val="20"/>
              </w:rPr>
              <w:t>Sugarcane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D4"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D5"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D6" w14:textId="77777777" w:rsidR="00E94684" w:rsidRDefault="00E94684">
            <w:pPr>
              <w:spacing w:after="0"/>
              <w:jc w:val="center"/>
              <w:rPr>
                <w:szCs w:val="20"/>
              </w:rPr>
            </w:pPr>
            <w:r>
              <w:rPr>
                <w:szCs w:val="20"/>
              </w:rPr>
              <w:t>3</w:t>
            </w:r>
          </w:p>
        </w:tc>
      </w:tr>
      <w:tr w:rsidR="00E94684" w14:paraId="4ADDEBDC"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D8" w14:textId="77777777" w:rsidR="00E94684" w:rsidRDefault="00E94684">
            <w:pPr>
              <w:spacing w:after="0"/>
              <w:rPr>
                <w:szCs w:val="20"/>
              </w:rPr>
            </w:pPr>
            <w:r>
              <w:rPr>
                <w:szCs w:val="20"/>
              </w:rPr>
              <w:t>Sunflowers</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D9"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DA"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DB" w14:textId="77777777" w:rsidR="00E94684" w:rsidRDefault="00E94684">
            <w:pPr>
              <w:spacing w:after="0"/>
              <w:jc w:val="center"/>
              <w:rPr>
                <w:szCs w:val="20"/>
              </w:rPr>
            </w:pPr>
            <w:r>
              <w:rPr>
                <w:szCs w:val="20"/>
              </w:rPr>
              <w:t>3</w:t>
            </w:r>
          </w:p>
        </w:tc>
      </w:tr>
      <w:tr w:rsidR="00E94684" w14:paraId="4ADDEBE1" w14:textId="77777777" w:rsidTr="00E94684">
        <w:trPr>
          <w:jc w:val="center"/>
        </w:trPr>
        <w:tc>
          <w:tcPr>
            <w:tcW w:w="2223" w:type="dxa"/>
            <w:tcBorders>
              <w:top w:val="single" w:sz="4" w:space="0" w:color="auto"/>
              <w:left w:val="single" w:sz="4" w:space="0" w:color="auto"/>
              <w:bottom w:val="single" w:sz="4" w:space="0" w:color="auto"/>
              <w:right w:val="single" w:sz="4" w:space="0" w:color="auto"/>
            </w:tcBorders>
            <w:vAlign w:val="bottom"/>
            <w:hideMark/>
          </w:tcPr>
          <w:p w14:paraId="4ADDEBDD" w14:textId="77777777" w:rsidR="00E94684" w:rsidRDefault="00E94684">
            <w:pPr>
              <w:spacing w:after="0"/>
              <w:rPr>
                <w:szCs w:val="20"/>
              </w:rPr>
            </w:pPr>
            <w:r>
              <w:rPr>
                <w:szCs w:val="20"/>
              </w:rPr>
              <w:t>Tobacco</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ADDEBDE"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ADDEBDF" w14:textId="77777777" w:rsidR="00E94684" w:rsidRDefault="00E94684">
            <w:pPr>
              <w:spacing w:after="0"/>
              <w:jc w:val="center"/>
              <w:rPr>
                <w:szCs w:val="20"/>
              </w:rPr>
            </w:pPr>
            <w:r>
              <w:rPr>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DEBE0" w14:textId="77777777" w:rsidR="00E94684" w:rsidRDefault="00E94684">
            <w:pPr>
              <w:spacing w:after="0"/>
              <w:jc w:val="center"/>
              <w:rPr>
                <w:szCs w:val="20"/>
              </w:rPr>
            </w:pPr>
            <w:r>
              <w:rPr>
                <w:szCs w:val="20"/>
              </w:rPr>
              <w:t>3</w:t>
            </w:r>
          </w:p>
        </w:tc>
      </w:tr>
    </w:tbl>
    <w:p w14:paraId="4ADDEBE2" w14:textId="77777777" w:rsidR="00E94684" w:rsidRPr="00E94684" w:rsidRDefault="00E94684" w:rsidP="00E94684">
      <w:pPr>
        <w:pStyle w:val="Style1"/>
        <w:rPr>
          <w:b w:val="0"/>
          <w:i w:val="0"/>
          <w:szCs w:val="22"/>
        </w:rPr>
      </w:pPr>
      <w:r>
        <w:t xml:space="preserve">  </w:t>
      </w:r>
      <w:r>
        <w:tab/>
        <w:t xml:space="preserve">     </w:t>
      </w:r>
      <w:r>
        <w:rPr>
          <w:b w:val="0"/>
        </w:rPr>
        <w:t>Source:</w:t>
      </w:r>
      <w:r>
        <w:rPr>
          <w:i w:val="0"/>
        </w:rPr>
        <w:t xml:space="preserve"> </w:t>
      </w:r>
      <w:r>
        <w:rPr>
          <w:b w:val="0"/>
          <w:i w:val="0"/>
        </w:rPr>
        <w:t>Woodard 1996</w:t>
      </w:r>
      <w:r>
        <w:fldChar w:fldCharType="begin"/>
      </w:r>
      <w:r>
        <w:rPr>
          <w:b w:val="0"/>
          <w:i w:val="0"/>
          <w:vertAlign w:val="superscript"/>
        </w:rPr>
        <w:instrText xml:space="preserve"> NOTEREF _Ref476306503 \h  \* MERGEFORMAT </w:instrText>
      </w:r>
      <w:r>
        <w:fldChar w:fldCharType="separate"/>
      </w:r>
      <w:r>
        <w:rPr>
          <w:b w:val="0"/>
          <w:i w:val="0"/>
          <w:vertAlign w:val="superscript"/>
        </w:rPr>
        <w:t>7</w:t>
      </w:r>
      <w:r>
        <w:fldChar w:fldCharType="end"/>
      </w:r>
    </w:p>
    <w:p w14:paraId="4ADDEBE3" w14:textId="77777777" w:rsidR="00B97E6E" w:rsidRPr="00886F17" w:rsidRDefault="00B97E6E" w:rsidP="00052E59">
      <w:pPr>
        <w:pStyle w:val="Heading1"/>
      </w:pPr>
      <w:r w:rsidRPr="00886F17">
        <w:t>Controls</w:t>
      </w:r>
    </w:p>
    <w:p w14:paraId="4ADDEBE4" w14:textId="77777777" w:rsidR="00B97E6E" w:rsidRDefault="00E94684"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94684">
        <w:rPr>
          <w:szCs w:val="20"/>
        </w:rPr>
        <w:t xml:space="preserve">There are no controls assumed for this category. </w:t>
      </w:r>
    </w:p>
    <w:p w14:paraId="4ADDEBE5" w14:textId="77777777" w:rsidR="00B97E6E" w:rsidRDefault="00B97E6E" w:rsidP="00052E59">
      <w:pPr>
        <w:pStyle w:val="Heading1"/>
      </w:pPr>
      <w:bookmarkStart w:id="11" w:name="_Ref477177564"/>
      <w:r w:rsidRPr="00886F17">
        <w:t>Emissions</w:t>
      </w:r>
      <w:bookmarkEnd w:id="11"/>
    </w:p>
    <w:p w14:paraId="4ADDEBE6" w14:textId="77777777" w:rsidR="006768F7" w:rsidRPr="00E75627" w:rsidRDefault="00E94684" w:rsidP="00E7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Particulate matter emissions from agricultural tilling </w:t>
      </w:r>
      <w:r w:rsidR="002B5BB8">
        <w:rPr>
          <w:szCs w:val="20"/>
        </w:rPr>
        <w:t>ar</w:t>
      </w:r>
      <w:r>
        <w:rPr>
          <w:szCs w:val="20"/>
        </w:rPr>
        <w:t>e computed by multiplying crop- and county-specific emissions factors by crop- and county-specific data on tilling activity.</w:t>
      </w:r>
      <w:r w:rsidR="00E75627">
        <w:rPr>
          <w:szCs w:val="20"/>
        </w:rPr>
        <w:t xml:space="preserve"> The emissions are then summed across all tilling types and crop types.</w:t>
      </w:r>
      <w:r w:rsidR="0035568E" w:rsidRPr="006768F7">
        <w:rPr>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6768F7" w:rsidRPr="006768F7" w14:paraId="4ADDEBE9" w14:textId="77777777" w:rsidTr="00C81B48">
        <w:trPr>
          <w:trHeight w:val="585"/>
        </w:trPr>
        <w:tc>
          <w:tcPr>
            <w:tcW w:w="8748" w:type="dxa"/>
          </w:tcPr>
          <w:p w14:paraId="4ADDEBE7" w14:textId="77777777" w:rsidR="006768F7" w:rsidRPr="006768F7" w:rsidRDefault="00D97F8F" w:rsidP="00E75627">
            <w:pPr>
              <w:widowControl/>
              <w:autoSpaceDE/>
              <w:autoSpaceDN/>
              <w:adjustRightInd/>
              <w:rPr>
                <w:szCs w:val="20"/>
              </w:rPr>
            </w:pPr>
            <m:oMathPara>
              <m:oMathParaPr>
                <m:jc m:val="center"/>
              </m:oMathParaPr>
              <m:oMath>
                <m:sSub>
                  <m:sSubPr>
                    <m:ctrlPr>
                      <w:rPr>
                        <w:rFonts w:ascii="Cambria Math" w:hAnsi="Cambria Math"/>
                        <w:i/>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nary>
                  <m:naryPr>
                    <m:chr m:val="∑"/>
                    <m:limLoc m:val="undOvr"/>
                    <m:ctrlPr>
                      <w:rPr>
                        <w:rFonts w:ascii="Cambria Math" w:hAnsi="Cambria Math"/>
                        <w:i/>
                      </w:rPr>
                    </m:ctrlPr>
                  </m:naryPr>
                  <m:sub>
                    <m:r>
                      <w:rPr>
                        <w:rFonts w:ascii="Cambria Math" w:hAnsi="Cambria Math"/>
                        <w:szCs w:val="20"/>
                      </w:rPr>
                      <m:t>t=1</m:t>
                    </m:r>
                  </m:sub>
                  <m:sup>
                    <m:r>
                      <w:rPr>
                        <w:rFonts w:ascii="Cambria Math" w:hAnsi="Cambria Math"/>
                        <w:szCs w:val="20"/>
                      </w:rPr>
                      <m:t>T</m:t>
                    </m:r>
                  </m:sup>
                  <m:e>
                    <m:nary>
                      <m:naryPr>
                        <m:chr m:val="∑"/>
                        <m:limLoc m:val="undOvr"/>
                        <m:ctrlPr>
                          <w:rPr>
                            <w:rFonts w:ascii="Cambria Math" w:hAnsi="Cambria Math"/>
                            <w:i/>
                          </w:rPr>
                        </m:ctrlPr>
                      </m:naryPr>
                      <m:sub>
                        <m:r>
                          <w:rPr>
                            <w:rFonts w:ascii="Cambria Math" w:hAnsi="Cambria Math"/>
                          </w:rPr>
                          <m:t>x=1</m:t>
                        </m:r>
                      </m:sub>
                      <m:sup>
                        <m:r>
                          <w:rPr>
                            <w:rFonts w:ascii="Cambria Math" w:hAnsi="Cambria Math"/>
                          </w:rPr>
                          <m:t>X</m:t>
                        </m:r>
                      </m:sup>
                      <m:e>
                        <m:sSub>
                          <m:sSubPr>
                            <m:ctrlPr>
                              <w:rPr>
                                <w:rFonts w:ascii="Cambria Math" w:hAnsi="Cambria Math"/>
                                <w:i/>
                              </w:rPr>
                            </m:ctrlPr>
                          </m:sSubPr>
                          <m:e>
                            <m:r>
                              <w:rPr>
                                <w:rFonts w:ascii="Cambria Math" w:hAnsi="Cambria Math"/>
                                <w:szCs w:val="20"/>
                              </w:rPr>
                              <m:t>EF</m:t>
                            </m:r>
                          </m:e>
                          <m:sub>
                            <m:r>
                              <w:rPr>
                                <w:rFonts w:ascii="Cambria Math" w:hAnsi="Cambria Math"/>
                                <w:szCs w:val="20"/>
                              </w:rPr>
                              <m:t>p,t,x,c</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t,c</m:t>
                            </m:r>
                          </m:sub>
                        </m:sSub>
                        <m:r>
                          <w:rPr>
                            <w:rFonts w:ascii="Cambria Math" w:hAnsi="Cambria Math"/>
                            <w:szCs w:val="20"/>
                          </w:rPr>
                          <m:t>×</m:t>
                        </m:r>
                        <m:f>
                          <m:fPr>
                            <m:ctrlPr>
                              <w:rPr>
                                <w:rFonts w:ascii="Cambria Math" w:hAnsi="Cambria Math"/>
                                <w:i/>
                              </w:rPr>
                            </m:ctrlPr>
                          </m:fPr>
                          <m:num>
                            <m:r>
                              <w:rPr>
                                <w:rFonts w:ascii="Cambria Math" w:hAnsi="Cambria Math"/>
                                <w:szCs w:val="20"/>
                              </w:rPr>
                              <m:t>1 ton</m:t>
                            </m:r>
                          </m:num>
                          <m:den>
                            <m:r>
                              <w:rPr>
                                <w:rFonts w:ascii="Cambria Math" w:hAnsi="Cambria Math"/>
                                <w:szCs w:val="20"/>
                              </w:rPr>
                              <m:t>2000 lb</m:t>
                            </m:r>
                          </m:den>
                        </m:f>
                      </m:e>
                    </m:nary>
                  </m:e>
                </m:nary>
              </m:oMath>
            </m:oMathPara>
          </w:p>
        </w:tc>
        <w:tc>
          <w:tcPr>
            <w:tcW w:w="828" w:type="dxa"/>
          </w:tcPr>
          <w:p w14:paraId="4ADDEBE8" w14:textId="77777777" w:rsidR="006768F7" w:rsidRPr="006768F7" w:rsidRDefault="006768F7" w:rsidP="00DF4571">
            <w:pPr>
              <w:pStyle w:val="ListParagraph"/>
              <w:widowControl/>
              <w:numPr>
                <w:ilvl w:val="0"/>
                <w:numId w:val="10"/>
              </w:numPr>
              <w:autoSpaceDE/>
              <w:autoSpaceDN/>
              <w:adjustRightInd/>
              <w:jc w:val="right"/>
              <w:rPr>
                <w:szCs w:val="20"/>
              </w:rPr>
            </w:pPr>
          </w:p>
        </w:tc>
      </w:tr>
    </w:tbl>
    <w:p w14:paraId="4ADDEBEA" w14:textId="77777777" w:rsidR="0035568E" w:rsidRPr="006768F7" w:rsidRDefault="0035568E" w:rsidP="00282A60">
      <w:pPr>
        <w:widowControl/>
        <w:tabs>
          <w:tab w:val="left" w:pos="0"/>
        </w:tabs>
        <w:rPr>
          <w:szCs w:val="20"/>
        </w:rPr>
      </w:pPr>
      <w:r w:rsidRPr="006768F7">
        <w:rPr>
          <w:szCs w:val="20"/>
        </w:rPr>
        <w:t>Where:</w:t>
      </w:r>
    </w:p>
    <w:p w14:paraId="4ADDEBEB" w14:textId="77777777" w:rsidR="0035568E" w:rsidRPr="006768F7" w:rsidRDefault="0035568E" w:rsidP="006768F7">
      <w:pPr>
        <w:pStyle w:val="NoSpacing"/>
      </w:pPr>
      <w:r w:rsidRPr="006768F7">
        <w:rPr>
          <w:i/>
        </w:rPr>
        <w:tab/>
        <w:t>E</w:t>
      </w:r>
      <w:r w:rsidRPr="006768F7">
        <w:rPr>
          <w:i/>
          <w:vertAlign w:val="subscript"/>
        </w:rPr>
        <w:t>p,c</w:t>
      </w:r>
      <w:r w:rsidRPr="006768F7">
        <w:rPr>
          <w:vertAlign w:val="subscript"/>
        </w:rPr>
        <w:tab/>
      </w:r>
      <w:r w:rsidRPr="006768F7">
        <w:t xml:space="preserve">= </w:t>
      </w:r>
      <w:r w:rsidRPr="006768F7">
        <w:tab/>
        <w:t xml:space="preserve">Annual total agricultural tilling county level emissions of pollutant </w:t>
      </w:r>
      <w:r w:rsidRPr="006768F7">
        <w:rPr>
          <w:i/>
        </w:rPr>
        <w:t>p</w:t>
      </w:r>
      <w:r w:rsidR="006768F7">
        <w:t xml:space="preserve"> </w:t>
      </w:r>
      <w:r w:rsidR="00E75627">
        <w:t xml:space="preserve">in county </w:t>
      </w:r>
      <w:r w:rsidR="00E75627">
        <w:rPr>
          <w:i/>
        </w:rPr>
        <w:t xml:space="preserve">c </w:t>
      </w:r>
      <w:r w:rsidR="006768F7">
        <w:t xml:space="preserve">from all crop tilling types, </w:t>
      </w:r>
      <w:r w:rsidRPr="006768F7">
        <w:t>in tons</w:t>
      </w:r>
    </w:p>
    <w:p w14:paraId="4ADDEBEC" w14:textId="77777777" w:rsidR="00E75627" w:rsidRPr="00282A60" w:rsidRDefault="00E75627" w:rsidP="00E75627">
      <w:pPr>
        <w:pStyle w:val="NoSpacing"/>
      </w:pPr>
      <w:r w:rsidRPr="00282A60">
        <w:tab/>
      </w:r>
      <w:r w:rsidRPr="00282A60">
        <w:rPr>
          <w:i/>
        </w:rPr>
        <w:t>EF</w:t>
      </w:r>
      <w:r w:rsidRPr="00282A60">
        <w:rPr>
          <w:i/>
          <w:vertAlign w:val="subscript"/>
        </w:rPr>
        <w:t>p,t</w:t>
      </w:r>
      <w:r>
        <w:rPr>
          <w:i/>
          <w:vertAlign w:val="subscript"/>
        </w:rPr>
        <w:t>,x</w:t>
      </w:r>
      <w:r w:rsidRPr="00282A60">
        <w:rPr>
          <w:i/>
          <w:vertAlign w:val="subscript"/>
        </w:rPr>
        <w:t>,c</w:t>
      </w:r>
      <w:r w:rsidRPr="00282A60">
        <w:rPr>
          <w:i/>
        </w:rPr>
        <w:tab/>
      </w:r>
      <w:r w:rsidRPr="00282A60">
        <w:t>=</w:t>
      </w:r>
      <w:r w:rsidRPr="00282A60">
        <w:tab/>
        <w:t>Emission</w:t>
      </w:r>
      <w:r>
        <w:t>s</w:t>
      </w:r>
      <w:r w:rsidRPr="00282A60">
        <w:t xml:space="preserve"> factor for pollutant </w:t>
      </w:r>
      <w:r w:rsidRPr="00282A60">
        <w:rPr>
          <w:i/>
        </w:rPr>
        <w:t>p</w:t>
      </w:r>
      <w:r w:rsidRPr="00282A60">
        <w:t>, crop tilling type</w:t>
      </w:r>
      <w:r w:rsidRPr="00282A60">
        <w:rPr>
          <w:i/>
        </w:rPr>
        <w:t xml:space="preserve"> t</w:t>
      </w:r>
      <w:r>
        <w:t>, and crop type</w:t>
      </w:r>
      <w:r w:rsidRPr="00282A60">
        <w:t xml:space="preserve"> </w:t>
      </w:r>
      <w:r>
        <w:rPr>
          <w:i/>
        </w:rPr>
        <w:t>x</w:t>
      </w:r>
      <w:r w:rsidRPr="00282A60">
        <w:t xml:space="preserve"> </w:t>
      </w:r>
      <w:r>
        <w:t xml:space="preserve">in county </w:t>
      </w:r>
      <w:r w:rsidRPr="00DF4571">
        <w:rPr>
          <w:i/>
        </w:rPr>
        <w:t>c</w:t>
      </w:r>
      <w:r>
        <w:t xml:space="preserve">, </w:t>
      </w:r>
      <w:r w:rsidRPr="00DF4571">
        <w:t>in</w:t>
      </w:r>
      <w:r w:rsidRPr="00282A60">
        <w:t xml:space="preserve"> lbs</w:t>
      </w:r>
      <w:r w:rsidR="000A7369">
        <w:t>.</w:t>
      </w:r>
      <w:r w:rsidRPr="00282A60">
        <w:t>/acre</w:t>
      </w:r>
    </w:p>
    <w:p w14:paraId="4ADDEBED" w14:textId="77777777" w:rsidR="0035568E" w:rsidRDefault="0035568E" w:rsidP="006768F7">
      <w:pPr>
        <w:pStyle w:val="NoSpacing"/>
      </w:pPr>
      <w:r w:rsidRPr="006768F7">
        <w:tab/>
      </w:r>
      <w:r w:rsidRPr="006768F7">
        <w:rPr>
          <w:i/>
        </w:rPr>
        <w:t>a</w:t>
      </w:r>
      <w:r w:rsidRPr="006768F7">
        <w:rPr>
          <w:i/>
          <w:vertAlign w:val="subscript"/>
        </w:rPr>
        <w:t>t,</w:t>
      </w:r>
      <w:r w:rsidR="00E75627">
        <w:rPr>
          <w:i/>
          <w:vertAlign w:val="subscript"/>
        </w:rPr>
        <w:t>x,</w:t>
      </w:r>
      <w:r w:rsidRPr="006768F7">
        <w:rPr>
          <w:i/>
          <w:vertAlign w:val="subscript"/>
        </w:rPr>
        <w:t>c</w:t>
      </w:r>
      <w:r w:rsidRPr="006768F7">
        <w:tab/>
        <w:t>=</w:t>
      </w:r>
      <w:r w:rsidRPr="006768F7">
        <w:tab/>
        <w:t xml:space="preserve">Land tilled by crop tilling type </w:t>
      </w:r>
      <w:r w:rsidRPr="006768F7">
        <w:rPr>
          <w:i/>
        </w:rPr>
        <w:t>t</w:t>
      </w:r>
      <w:r w:rsidRPr="006768F7">
        <w:t xml:space="preserve">, and crop type </w:t>
      </w:r>
      <w:r w:rsidR="00E75627" w:rsidRPr="00E75627">
        <w:rPr>
          <w:i/>
        </w:rPr>
        <w:t>x</w:t>
      </w:r>
      <w:r w:rsidR="00E75627">
        <w:t xml:space="preserve"> in county </w:t>
      </w:r>
      <w:r w:rsidR="00E75627">
        <w:rPr>
          <w:i/>
        </w:rPr>
        <w:t>c,</w:t>
      </w:r>
      <w:r w:rsidRPr="006768F7">
        <w:t xml:space="preserve"> in acres</w:t>
      </w:r>
    </w:p>
    <w:p w14:paraId="4ADDEBEE" w14:textId="77777777" w:rsidR="0035568E" w:rsidRPr="003733A0" w:rsidRDefault="0035568E" w:rsidP="00E94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4ADDEBEF" w14:textId="77777777" w:rsidR="00B97E6E" w:rsidRDefault="00B97E6E" w:rsidP="00052E59">
      <w:pPr>
        <w:pStyle w:val="Heading1"/>
      </w:pPr>
      <w:r>
        <w:t>Point Source Subtraction</w:t>
      </w:r>
    </w:p>
    <w:p w14:paraId="4ADDEBF0" w14:textId="77777777" w:rsidR="00B97E6E" w:rsidRDefault="00DD642F" w:rsidP="00B97E6E">
      <w:pPr>
        <w:widowControl/>
        <w:tabs>
          <w:tab w:val="left" w:pos="0"/>
        </w:tabs>
        <w:rPr>
          <w:szCs w:val="20"/>
        </w:rPr>
      </w:pPr>
      <w:r>
        <w:rPr>
          <w:szCs w:val="20"/>
        </w:rPr>
        <w:t>There are no point source-specific SCCs for agricultural tilling; therefore point source subtraction is not performed for this category.</w:t>
      </w:r>
    </w:p>
    <w:p w14:paraId="4ADDEBF1" w14:textId="77777777" w:rsidR="00B97E6E" w:rsidRPr="003E3AC3" w:rsidRDefault="00B97E6E" w:rsidP="00052E59">
      <w:pPr>
        <w:pStyle w:val="Heading1"/>
      </w:pPr>
      <w:r>
        <w:t>Sample</w:t>
      </w:r>
      <w:r w:rsidRPr="00036CF5">
        <w:t xml:space="preserve"> Calculations </w:t>
      </w:r>
    </w:p>
    <w:p w14:paraId="4ADDEBF2" w14:textId="77777777" w:rsidR="006768F7" w:rsidRDefault="00F24FCB"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Pr="006768F7">
        <w:t xml:space="preserve">Table </w:t>
      </w:r>
      <w:r>
        <w:rPr>
          <w:noProof/>
        </w:rPr>
        <w:t>3</w:t>
      </w:r>
      <w:r>
        <w:rPr>
          <w:szCs w:val="20"/>
        </w:rPr>
        <w:fldChar w:fldCharType="end"/>
      </w:r>
      <w:r>
        <w:rPr>
          <w:szCs w:val="20"/>
        </w:rPr>
        <w:t xml:space="preserve"> provides a sample calculation for PM10-FIL emissions for c</w:t>
      </w:r>
      <w:r w:rsidR="006768F7">
        <w:rPr>
          <w:szCs w:val="20"/>
        </w:rPr>
        <w:t>onservation tilling from corn</w:t>
      </w:r>
      <w:r>
        <w:rPr>
          <w:szCs w:val="20"/>
        </w:rPr>
        <w:t xml:space="preserve"> in Clay County, Alabama. For total PM10-FIL emissions, the calculations below would need to be repeated for all crop types for all three tilling types, and then summed in equation 5 for total emissions.</w:t>
      </w:r>
    </w:p>
    <w:p w14:paraId="4ADDEBF3" w14:textId="77777777" w:rsidR="00E75627" w:rsidRDefault="00E75627" w:rsidP="00B97E6E">
      <w:pPr>
        <w:widowControl/>
        <w:tabs>
          <w:tab w:val="left" w:pos="0"/>
        </w:tabs>
        <w:rPr>
          <w:szCs w:val="20"/>
        </w:rPr>
      </w:pPr>
    </w:p>
    <w:p w14:paraId="4ADDEBF4" w14:textId="77777777" w:rsidR="00E75627" w:rsidRDefault="00E75627" w:rsidP="00B97E6E">
      <w:pPr>
        <w:widowControl/>
        <w:tabs>
          <w:tab w:val="left" w:pos="0"/>
        </w:tabs>
        <w:rPr>
          <w:szCs w:val="20"/>
        </w:rPr>
      </w:pPr>
    </w:p>
    <w:p w14:paraId="4ADDEBF5" w14:textId="77777777" w:rsidR="0097139E" w:rsidRDefault="0097139E" w:rsidP="0097139E">
      <w:pPr>
        <w:pStyle w:val="TableCaption"/>
      </w:pPr>
      <w:bookmarkStart w:id="12" w:name="_Ref477187560"/>
      <w:r w:rsidRPr="006768F7">
        <w:lastRenderedPageBreak/>
        <w:t xml:space="preserve">Table </w:t>
      </w:r>
      <w:r w:rsidR="00D97F8F">
        <w:fldChar w:fldCharType="begin"/>
      </w:r>
      <w:r w:rsidR="00D97F8F">
        <w:instrText xml:space="preserve"> SEQ Table \* ARABIC </w:instrText>
      </w:r>
      <w:r w:rsidR="00D97F8F">
        <w:fldChar w:fldCharType="separate"/>
      </w:r>
      <w:r w:rsidR="00F24FCB">
        <w:rPr>
          <w:noProof/>
        </w:rPr>
        <w:t>3</w:t>
      </w:r>
      <w:r w:rsidR="00D97F8F">
        <w:rPr>
          <w:noProof/>
        </w:rPr>
        <w:fldChar w:fldCharType="end"/>
      </w:r>
      <w:bookmarkEnd w:id="12"/>
      <w:r w:rsidRPr="006768F7">
        <w:t xml:space="preserve">. Sample calculations for </w:t>
      </w:r>
      <w:r w:rsidR="006768F7" w:rsidRPr="006768F7">
        <w:t>PM10-FIL</w:t>
      </w:r>
      <w:r w:rsidRPr="006768F7">
        <w:t xml:space="preserve"> emissions from </w:t>
      </w:r>
      <w:r w:rsidR="00E75627">
        <w:t xml:space="preserve">conservation </w:t>
      </w:r>
      <w:r w:rsidR="006768F7" w:rsidRPr="006768F7">
        <w:t>tilling</w:t>
      </w:r>
      <w:r w:rsidRPr="006768F7">
        <w:t xml:space="preserve"> </w:t>
      </w:r>
      <w:r w:rsidR="00E75627">
        <w:t xml:space="preserve">from corn </w:t>
      </w:r>
      <w:r w:rsidRPr="006768F7">
        <w:t xml:space="preserve">in </w:t>
      </w:r>
      <w:r w:rsidR="006768F7" w:rsidRPr="006768F7">
        <w:t>Clay County, AL</w:t>
      </w:r>
      <w:r w:rsidRPr="006768F7">
        <w:t>.</w:t>
      </w:r>
    </w:p>
    <w:tbl>
      <w:tblPr>
        <w:tblStyle w:val="TableGrid"/>
        <w:tblW w:w="9702" w:type="dxa"/>
        <w:tblLook w:val="04A0" w:firstRow="1" w:lastRow="0" w:firstColumn="1" w:lastColumn="0" w:noHBand="0" w:noVBand="1"/>
      </w:tblPr>
      <w:tblGrid>
        <w:gridCol w:w="511"/>
        <w:gridCol w:w="3456"/>
        <w:gridCol w:w="3687"/>
        <w:gridCol w:w="2048"/>
      </w:tblGrid>
      <w:tr w:rsidR="00FE02FD" w:rsidRPr="00DF0B38" w14:paraId="4ADDEBFA" w14:textId="77777777" w:rsidTr="00E75627">
        <w:trPr>
          <w:cantSplit/>
          <w:tblHeader/>
        </w:trPr>
        <w:tc>
          <w:tcPr>
            <w:tcW w:w="511" w:type="dxa"/>
            <w:shd w:val="clear" w:color="auto" w:fill="BFBFBF" w:themeFill="background1" w:themeFillShade="BF"/>
            <w:vAlign w:val="center"/>
          </w:tcPr>
          <w:p w14:paraId="4ADDEBF6" w14:textId="77777777" w:rsidR="00DF0B38" w:rsidRPr="006768F7" w:rsidRDefault="00DF0B38" w:rsidP="00FE7F5B">
            <w:pPr>
              <w:widowControl/>
              <w:tabs>
                <w:tab w:val="left" w:pos="0"/>
              </w:tabs>
              <w:jc w:val="center"/>
              <w:rPr>
                <w:b/>
                <w:szCs w:val="20"/>
              </w:rPr>
            </w:pPr>
            <w:r w:rsidRPr="006768F7">
              <w:rPr>
                <w:b/>
                <w:szCs w:val="20"/>
              </w:rPr>
              <w:t>Eq. #</w:t>
            </w:r>
          </w:p>
        </w:tc>
        <w:tc>
          <w:tcPr>
            <w:tcW w:w="3456" w:type="dxa"/>
            <w:shd w:val="clear" w:color="auto" w:fill="BFBFBF" w:themeFill="background1" w:themeFillShade="BF"/>
            <w:vAlign w:val="center"/>
          </w:tcPr>
          <w:p w14:paraId="4ADDEBF7" w14:textId="77777777" w:rsidR="00DF0B38" w:rsidRPr="00E94684" w:rsidRDefault="00DF0B38" w:rsidP="00FE7F5B">
            <w:pPr>
              <w:widowControl/>
              <w:tabs>
                <w:tab w:val="left" w:pos="0"/>
              </w:tabs>
              <w:jc w:val="center"/>
              <w:rPr>
                <w:b/>
                <w:szCs w:val="20"/>
                <w:highlight w:val="yellow"/>
              </w:rPr>
            </w:pPr>
            <w:r w:rsidRPr="006768F7">
              <w:rPr>
                <w:b/>
                <w:szCs w:val="20"/>
              </w:rPr>
              <w:t>Equation</w:t>
            </w:r>
          </w:p>
        </w:tc>
        <w:tc>
          <w:tcPr>
            <w:tcW w:w="3687" w:type="dxa"/>
            <w:shd w:val="clear" w:color="auto" w:fill="BFBFBF" w:themeFill="background1" w:themeFillShade="BF"/>
            <w:vAlign w:val="center"/>
          </w:tcPr>
          <w:p w14:paraId="4ADDEBF8" w14:textId="77777777" w:rsidR="00DF0B38" w:rsidRPr="006768F7" w:rsidRDefault="00DF0B38" w:rsidP="006768F7">
            <w:pPr>
              <w:widowControl/>
              <w:tabs>
                <w:tab w:val="left" w:pos="0"/>
              </w:tabs>
              <w:jc w:val="center"/>
              <w:rPr>
                <w:b/>
                <w:szCs w:val="20"/>
              </w:rPr>
            </w:pPr>
            <w:r w:rsidRPr="006768F7">
              <w:rPr>
                <w:b/>
                <w:szCs w:val="20"/>
              </w:rPr>
              <w:t>Values</w:t>
            </w:r>
            <w:r w:rsidR="0097139E" w:rsidRPr="006768F7">
              <w:rPr>
                <w:b/>
                <w:szCs w:val="20"/>
              </w:rPr>
              <w:t xml:space="preserve"> for </w:t>
            </w:r>
            <w:r w:rsidR="006768F7" w:rsidRPr="006768F7">
              <w:rPr>
                <w:b/>
                <w:szCs w:val="20"/>
              </w:rPr>
              <w:t>Clay</w:t>
            </w:r>
            <w:r w:rsidR="0097139E" w:rsidRPr="006768F7">
              <w:rPr>
                <w:b/>
                <w:szCs w:val="20"/>
              </w:rPr>
              <w:t xml:space="preserve"> County, A</w:t>
            </w:r>
            <w:r w:rsidR="006768F7" w:rsidRPr="006768F7">
              <w:rPr>
                <w:b/>
                <w:szCs w:val="20"/>
              </w:rPr>
              <w:t>L</w:t>
            </w:r>
          </w:p>
        </w:tc>
        <w:tc>
          <w:tcPr>
            <w:tcW w:w="2048" w:type="dxa"/>
            <w:shd w:val="clear" w:color="auto" w:fill="BFBFBF" w:themeFill="background1" w:themeFillShade="BF"/>
            <w:vAlign w:val="center"/>
          </w:tcPr>
          <w:p w14:paraId="4ADDEBF9" w14:textId="77777777" w:rsidR="00DF0B38" w:rsidRPr="006768F7" w:rsidRDefault="00DF0B38" w:rsidP="00FE7F5B">
            <w:pPr>
              <w:widowControl/>
              <w:tabs>
                <w:tab w:val="left" w:pos="0"/>
              </w:tabs>
              <w:jc w:val="center"/>
              <w:rPr>
                <w:b/>
                <w:szCs w:val="20"/>
              </w:rPr>
            </w:pPr>
            <w:r w:rsidRPr="006768F7">
              <w:rPr>
                <w:b/>
                <w:szCs w:val="20"/>
              </w:rPr>
              <w:t>Result</w:t>
            </w:r>
          </w:p>
        </w:tc>
      </w:tr>
      <w:tr w:rsidR="00FE02FD" w14:paraId="4ADDEBFF" w14:textId="77777777" w:rsidTr="00E75627">
        <w:trPr>
          <w:cantSplit/>
        </w:trPr>
        <w:tc>
          <w:tcPr>
            <w:tcW w:w="511" w:type="dxa"/>
            <w:vAlign w:val="center"/>
          </w:tcPr>
          <w:p w14:paraId="4ADDEBFB" w14:textId="77777777" w:rsidR="0003373D" w:rsidRPr="006768F7" w:rsidRDefault="0056502F" w:rsidP="00FE7F5B">
            <w:pPr>
              <w:widowControl/>
              <w:tabs>
                <w:tab w:val="left" w:pos="0"/>
              </w:tabs>
              <w:spacing w:after="60"/>
              <w:jc w:val="center"/>
              <w:rPr>
                <w:szCs w:val="20"/>
              </w:rPr>
            </w:pPr>
            <w:r w:rsidRPr="006768F7">
              <w:rPr>
                <w:szCs w:val="20"/>
              </w:rPr>
              <w:t>1</w:t>
            </w:r>
          </w:p>
        </w:tc>
        <w:tc>
          <w:tcPr>
            <w:tcW w:w="3456" w:type="dxa"/>
            <w:vAlign w:val="center"/>
          </w:tcPr>
          <w:p w14:paraId="4ADDEBFC" w14:textId="77777777" w:rsidR="0003373D" w:rsidRPr="00E94684" w:rsidRDefault="00D97F8F" w:rsidP="00FE7F5B">
            <w:pPr>
              <w:widowControl/>
              <w:tabs>
                <w:tab w:val="left" w:pos="0"/>
              </w:tabs>
              <w:spacing w:after="60"/>
              <w:jc w:val="center"/>
              <w:rPr>
                <w:szCs w:val="20"/>
                <w:highlight w:val="yellow"/>
              </w:rPr>
            </w:pPr>
            <m:oMathPara>
              <m:oMath>
                <m:sSub>
                  <m:sSubPr>
                    <m:ctrlPr>
                      <w:rPr>
                        <w:rFonts w:ascii="Cambria Math" w:hAnsi="Cambria Math"/>
                        <w:i/>
                      </w:rPr>
                    </m:ctrlPr>
                  </m:sSubPr>
                  <m:e>
                    <m:r>
                      <w:rPr>
                        <w:rFonts w:ascii="Cambria Math" w:hAnsi="Cambria Math"/>
                        <w:szCs w:val="20"/>
                      </w:rPr>
                      <m:t>a</m:t>
                    </m:r>
                  </m:e>
                  <m:sub>
                    <m:r>
                      <w:rPr>
                        <w:rFonts w:ascii="Cambria Math" w:hAnsi="Cambria Math"/>
                        <w:szCs w:val="20"/>
                      </w:rPr>
                      <m:t>m,t</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a</m:t>
                        </m:r>
                      </m:e>
                      <m:sub>
                        <m:r>
                          <w:rPr>
                            <w:rFonts w:ascii="Cambria Math" w:hAnsi="Cambria Math"/>
                            <w:szCs w:val="20"/>
                          </w:rPr>
                          <m:t>s,t</m:t>
                        </m:r>
                      </m:sub>
                    </m:sSub>
                    <m:r>
                      <w:rPr>
                        <w:rFonts w:ascii="Cambria Math" w:hAnsi="Cambria Math"/>
                        <w:szCs w:val="20"/>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e>
                    </m:nary>
                  </m:num>
                  <m:den>
                    <m:sSub>
                      <m:sSubPr>
                        <m:ctrlPr>
                          <w:rPr>
                            <w:rFonts w:ascii="Cambria Math" w:hAnsi="Cambria Math"/>
                            <w:i/>
                          </w:rPr>
                        </m:ctrlPr>
                      </m:sSubPr>
                      <m:e>
                        <m:r>
                          <w:rPr>
                            <w:rFonts w:ascii="Cambria Math" w:hAnsi="Cambria Math"/>
                            <w:szCs w:val="20"/>
                          </w:rPr>
                          <m:t>C</m:t>
                        </m:r>
                      </m:e>
                      <m:sub>
                        <m:r>
                          <w:rPr>
                            <w:rFonts w:ascii="Cambria Math" w:hAnsi="Cambria Math"/>
                            <w:szCs w:val="20"/>
                          </w:rPr>
                          <m:t>m,t</m:t>
                        </m:r>
                      </m:sub>
                    </m:sSub>
                  </m:den>
                </m:f>
              </m:oMath>
            </m:oMathPara>
          </w:p>
        </w:tc>
        <w:tc>
          <w:tcPr>
            <w:tcW w:w="3687" w:type="dxa"/>
            <w:vAlign w:val="center"/>
          </w:tcPr>
          <w:p w14:paraId="4ADDEBFD" w14:textId="77777777" w:rsidR="0003373D" w:rsidRPr="00E94684" w:rsidRDefault="00D97F8F" w:rsidP="00FF6F12">
            <w:pPr>
              <w:widowControl/>
              <w:tabs>
                <w:tab w:val="left" w:pos="0"/>
              </w:tabs>
              <w:spacing w:after="60"/>
              <w:jc w:val="center"/>
              <w:rPr>
                <w:szCs w:val="20"/>
                <w:highlight w:val="yellow"/>
              </w:rPr>
            </w:pPr>
            <m:oMathPara>
              <m:oMath>
                <m:f>
                  <m:fPr>
                    <m:ctrlPr>
                      <w:rPr>
                        <w:rFonts w:ascii="Cambria Math" w:hAnsi="Cambria Math"/>
                        <w:i/>
                        <w:szCs w:val="20"/>
                      </w:rPr>
                    </m:ctrlPr>
                  </m:fPr>
                  <m:num>
                    <m:r>
                      <w:rPr>
                        <w:rFonts w:ascii="Cambria Math" w:hAnsi="Cambria Math"/>
                        <w:szCs w:val="20"/>
                      </w:rPr>
                      <m:t>311,942 acres-298,042 acres</m:t>
                    </m:r>
                  </m:num>
                  <m:den>
                    <m:r>
                      <w:rPr>
                        <w:rFonts w:ascii="Cambria Math" w:hAnsi="Cambria Math"/>
                        <w:szCs w:val="20"/>
                      </w:rPr>
                      <m:t>13 missing counties</m:t>
                    </m:r>
                  </m:den>
                </m:f>
              </m:oMath>
            </m:oMathPara>
          </w:p>
        </w:tc>
        <w:tc>
          <w:tcPr>
            <w:tcW w:w="2048" w:type="dxa"/>
          </w:tcPr>
          <w:p w14:paraId="4ADDEBFE" w14:textId="77777777" w:rsidR="0003373D" w:rsidRPr="00C81B48" w:rsidRDefault="00FF6F12" w:rsidP="00DF0B38">
            <w:pPr>
              <w:widowControl/>
              <w:tabs>
                <w:tab w:val="left" w:pos="0"/>
              </w:tabs>
              <w:spacing w:after="60"/>
              <w:rPr>
                <w:szCs w:val="20"/>
              </w:rPr>
            </w:pPr>
            <w:r w:rsidRPr="00C81B48">
              <w:rPr>
                <w:szCs w:val="20"/>
              </w:rPr>
              <w:t xml:space="preserve">1,069.23 acres </w:t>
            </w:r>
            <w:r w:rsidR="00C81B48" w:rsidRPr="00C81B48">
              <w:rPr>
                <w:szCs w:val="20"/>
              </w:rPr>
              <w:t xml:space="preserve">for </w:t>
            </w:r>
            <w:r w:rsidRPr="00C81B48">
              <w:rPr>
                <w:szCs w:val="20"/>
              </w:rPr>
              <w:t>conservation tilling</w:t>
            </w:r>
            <w:r w:rsidR="00C81B48" w:rsidRPr="00C81B48">
              <w:rPr>
                <w:szCs w:val="20"/>
              </w:rPr>
              <w:t xml:space="preserve"> in Clay County, AL</w:t>
            </w:r>
          </w:p>
        </w:tc>
      </w:tr>
      <w:tr w:rsidR="00FE02FD" w14:paraId="4ADDEC04" w14:textId="77777777" w:rsidTr="00E75627">
        <w:trPr>
          <w:cantSplit/>
        </w:trPr>
        <w:tc>
          <w:tcPr>
            <w:tcW w:w="511" w:type="dxa"/>
            <w:vAlign w:val="center"/>
          </w:tcPr>
          <w:p w14:paraId="4ADDEC00" w14:textId="77777777" w:rsidR="00DF0B38" w:rsidRPr="006768F7" w:rsidRDefault="0056502F" w:rsidP="00FE7F5B">
            <w:pPr>
              <w:widowControl/>
              <w:tabs>
                <w:tab w:val="left" w:pos="0"/>
              </w:tabs>
              <w:spacing w:after="60"/>
              <w:jc w:val="center"/>
              <w:rPr>
                <w:szCs w:val="20"/>
              </w:rPr>
            </w:pPr>
            <w:r w:rsidRPr="006768F7">
              <w:rPr>
                <w:szCs w:val="20"/>
              </w:rPr>
              <w:t>2</w:t>
            </w:r>
          </w:p>
        </w:tc>
        <w:tc>
          <w:tcPr>
            <w:tcW w:w="3456" w:type="dxa"/>
            <w:vAlign w:val="center"/>
          </w:tcPr>
          <w:p w14:paraId="4ADDEC01" w14:textId="77777777" w:rsidR="00DF0B38" w:rsidRPr="00E94684" w:rsidRDefault="00D97F8F" w:rsidP="00FE7F5B">
            <w:pPr>
              <w:widowControl/>
              <w:tabs>
                <w:tab w:val="left" w:pos="0"/>
              </w:tabs>
              <w:spacing w:after="60"/>
              <w:jc w:val="center"/>
              <w:rPr>
                <w:szCs w:val="20"/>
                <w:highlight w:val="yellow"/>
              </w:rPr>
            </w:pPr>
            <m:oMathPara>
              <m:oMath>
                <m:sSub>
                  <m:sSubPr>
                    <m:ctrlPr>
                      <w:rPr>
                        <w:rFonts w:ascii="Cambria Math" w:hAnsi="Cambria Math"/>
                        <w:i/>
                      </w:rPr>
                    </m:ctrlPr>
                  </m:sSubPr>
                  <m:e>
                    <m:r>
                      <w:rPr>
                        <w:rFonts w:ascii="Cambria Math" w:hAnsi="Cambria Math"/>
                        <w:szCs w:val="20"/>
                      </w:rPr>
                      <m:t>r</m:t>
                    </m:r>
                  </m:e>
                  <m:sub>
                    <m:r>
                      <w:rPr>
                        <w:rFonts w:ascii="Cambria Math" w:hAnsi="Cambria Math"/>
                        <w:szCs w:val="20"/>
                      </w:rPr>
                      <m:t>c,t</m:t>
                    </m:r>
                  </m:sub>
                </m:sSub>
                <m:r>
                  <w:rPr>
                    <w:rFonts w:ascii="Cambria Math" w:hAnsi="Cambria Math"/>
                    <w:szCs w:val="20"/>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r>
                      <w:rPr>
                        <w:rFonts w:ascii="Cambria Math" w:hAnsi="Cambria Math"/>
                      </w:rPr>
                      <m:t xml:space="preserve"> (or </m:t>
                    </m:r>
                    <m:sSub>
                      <m:sSubPr>
                        <m:ctrlPr>
                          <w:rPr>
                            <w:rFonts w:ascii="Cambria Math" w:hAnsi="Cambria Math"/>
                            <w:i/>
                          </w:rPr>
                        </m:ctrlPr>
                      </m:sSubPr>
                      <m:e>
                        <m:r>
                          <w:rPr>
                            <w:rFonts w:ascii="Cambria Math" w:hAnsi="Cambria Math"/>
                          </w:rPr>
                          <m:t>a</m:t>
                        </m:r>
                      </m:e>
                      <m:sub>
                        <m:r>
                          <w:rPr>
                            <w:rFonts w:ascii="Cambria Math" w:hAnsi="Cambria Math"/>
                          </w:rPr>
                          <m:t>m,t</m:t>
                        </m:r>
                      </m:sub>
                    </m:sSub>
                    <m:r>
                      <w:rPr>
                        <w:rFonts w:ascii="Cambria Math" w:hAnsi="Cambria Math"/>
                      </w:rPr>
                      <m:t>)</m:t>
                    </m:r>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szCs w:val="20"/>
                              </w:rPr>
                              <m:t>a</m:t>
                            </m:r>
                          </m:e>
                          <m:sub>
                            <m:r>
                              <w:rPr>
                                <w:rFonts w:ascii="Cambria Math" w:hAnsi="Cambria Math"/>
                                <w:szCs w:val="20"/>
                              </w:rPr>
                              <m:t>c,t</m:t>
                            </m:r>
                          </m:sub>
                        </m:sSub>
                      </m:e>
                    </m:nary>
                    <m:r>
                      <w:rPr>
                        <w:rFonts w:ascii="Cambria Math" w:hAnsi="Cambria Math"/>
                      </w:rPr>
                      <m:t xml:space="preserve">(or </m:t>
                    </m:r>
                    <m:sSub>
                      <m:sSubPr>
                        <m:ctrlPr>
                          <w:rPr>
                            <w:rFonts w:ascii="Cambria Math" w:hAnsi="Cambria Math"/>
                            <w:i/>
                          </w:rPr>
                        </m:ctrlPr>
                      </m:sSubPr>
                      <m:e>
                        <m:r>
                          <w:rPr>
                            <w:rFonts w:ascii="Cambria Math" w:hAnsi="Cambria Math"/>
                          </w:rPr>
                          <m:t>a</m:t>
                        </m:r>
                      </m:e>
                      <m:sub>
                        <m:r>
                          <w:rPr>
                            <w:rFonts w:ascii="Cambria Math" w:hAnsi="Cambria Math"/>
                          </w:rPr>
                          <m:t>m,t</m:t>
                        </m:r>
                      </m:sub>
                    </m:sSub>
                    <m:r>
                      <w:rPr>
                        <w:rFonts w:ascii="Cambria Math" w:hAnsi="Cambria Math"/>
                      </w:rPr>
                      <m:t>)</m:t>
                    </m:r>
                  </m:den>
                </m:f>
              </m:oMath>
            </m:oMathPara>
          </w:p>
        </w:tc>
        <w:tc>
          <w:tcPr>
            <w:tcW w:w="3687" w:type="dxa"/>
            <w:vAlign w:val="center"/>
          </w:tcPr>
          <w:p w14:paraId="4ADDEC02" w14:textId="77777777" w:rsidR="00DF0B38" w:rsidRPr="009B233A" w:rsidRDefault="00D97F8F" w:rsidP="009B233A">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1,069.23 acres</m:t>
                    </m:r>
                  </m:num>
                  <m:den>
                    <m:r>
                      <w:rPr>
                        <w:rFonts w:ascii="Cambria Math" w:hAnsi="Cambria Math"/>
                        <w:szCs w:val="20"/>
                      </w:rPr>
                      <m:t>1,489.23 acres</m:t>
                    </m:r>
                  </m:den>
                </m:f>
              </m:oMath>
            </m:oMathPara>
          </w:p>
        </w:tc>
        <w:tc>
          <w:tcPr>
            <w:tcW w:w="2048" w:type="dxa"/>
          </w:tcPr>
          <w:p w14:paraId="4ADDEC03" w14:textId="77777777" w:rsidR="00DF0B38" w:rsidRPr="00C81B48" w:rsidRDefault="00FF6F12" w:rsidP="00C81B48">
            <w:pPr>
              <w:widowControl/>
              <w:tabs>
                <w:tab w:val="left" w:pos="0"/>
              </w:tabs>
              <w:spacing w:after="60"/>
              <w:rPr>
                <w:szCs w:val="20"/>
              </w:rPr>
            </w:pPr>
            <w:r w:rsidRPr="00C81B48">
              <w:rPr>
                <w:szCs w:val="20"/>
              </w:rPr>
              <w:t>0.7</w:t>
            </w:r>
            <w:r w:rsidR="00C81B48" w:rsidRPr="00C81B48">
              <w:rPr>
                <w:szCs w:val="20"/>
              </w:rPr>
              <w:t>18 ratio of conservation tilling to all tilling for Clay County, AL</w:t>
            </w:r>
          </w:p>
        </w:tc>
      </w:tr>
      <w:tr w:rsidR="00676FE8" w14:paraId="4ADDEC09" w14:textId="77777777" w:rsidTr="00E75627">
        <w:trPr>
          <w:cantSplit/>
        </w:trPr>
        <w:tc>
          <w:tcPr>
            <w:tcW w:w="511" w:type="dxa"/>
            <w:vAlign w:val="center"/>
          </w:tcPr>
          <w:p w14:paraId="4ADDEC05" w14:textId="77777777" w:rsidR="00676FE8" w:rsidRPr="006768F7" w:rsidRDefault="00676FE8" w:rsidP="00BE0480">
            <w:pPr>
              <w:widowControl/>
              <w:tabs>
                <w:tab w:val="left" w:pos="0"/>
              </w:tabs>
              <w:spacing w:after="60"/>
              <w:jc w:val="center"/>
              <w:rPr>
                <w:szCs w:val="20"/>
              </w:rPr>
            </w:pPr>
            <w:r w:rsidRPr="006768F7">
              <w:rPr>
                <w:szCs w:val="20"/>
              </w:rPr>
              <w:t>3</w:t>
            </w:r>
          </w:p>
        </w:tc>
        <w:tc>
          <w:tcPr>
            <w:tcW w:w="3456" w:type="dxa"/>
            <w:vAlign w:val="center"/>
          </w:tcPr>
          <w:p w14:paraId="4ADDEC06" w14:textId="77777777" w:rsidR="00676FE8" w:rsidRPr="00E94684" w:rsidRDefault="00D97F8F">
            <w:pPr>
              <w:widowControl/>
              <w:tabs>
                <w:tab w:val="left" w:pos="0"/>
              </w:tabs>
              <w:spacing w:after="60"/>
              <w:jc w:val="center"/>
              <w:rPr>
                <w:szCs w:val="20"/>
                <w:highlight w:val="yellow"/>
              </w:rPr>
            </w:pPr>
            <m:oMathPara>
              <m:oMath>
                <m:sSub>
                  <m:sSubPr>
                    <m:ctrlPr>
                      <w:rPr>
                        <w:rFonts w:ascii="Cambria Math" w:hAnsi="Cambria Math"/>
                        <w:i/>
                      </w:rPr>
                    </m:ctrlPr>
                  </m:sSubPr>
                  <m:e>
                    <m:r>
                      <w:rPr>
                        <w:rFonts w:ascii="Cambria Math" w:hAnsi="Cambria Math"/>
                        <w:szCs w:val="20"/>
                      </w:rPr>
                      <m:t>a</m:t>
                    </m:r>
                  </m:e>
                  <m:sub>
                    <m:r>
                      <w:rPr>
                        <w:rFonts w:ascii="Cambria Math" w:hAnsi="Cambria Math"/>
                        <w:szCs w:val="20"/>
                      </w:rPr>
                      <m:t>t,c,x</m:t>
                    </m:r>
                  </m:sub>
                </m:sSub>
                <m:r>
                  <w:rPr>
                    <w:rFonts w:ascii="Cambria Math" w:hAnsi="Cambria Math"/>
                    <w:szCs w:val="20"/>
                  </w:rPr>
                  <m:t xml:space="preserve">= </m:t>
                </m:r>
                <m:sSub>
                  <m:sSubPr>
                    <m:ctrlPr>
                      <w:rPr>
                        <w:rFonts w:ascii="Cambria Math" w:hAnsi="Cambria Math"/>
                        <w:i/>
                      </w:rPr>
                    </m:ctrlPr>
                  </m:sSubPr>
                  <m:e>
                    <m:r>
                      <w:rPr>
                        <w:rFonts w:ascii="Cambria Math" w:hAnsi="Cambria Math"/>
                        <w:szCs w:val="20"/>
                      </w:rPr>
                      <m:t>r</m:t>
                    </m:r>
                  </m:e>
                  <m:sub>
                    <m:r>
                      <w:rPr>
                        <w:rFonts w:ascii="Cambria Math" w:hAnsi="Cambria Math"/>
                        <w:szCs w:val="20"/>
                      </w:rPr>
                      <m:t>c,t</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c,x</m:t>
                    </m:r>
                  </m:sub>
                </m:sSub>
                <m:r>
                  <w:rPr>
                    <w:rFonts w:ascii="Cambria Math" w:hAnsi="Cambria Math"/>
                  </w:rPr>
                  <m:t xml:space="preserve"> </m:t>
                </m:r>
              </m:oMath>
            </m:oMathPara>
          </w:p>
        </w:tc>
        <w:tc>
          <w:tcPr>
            <w:tcW w:w="3687" w:type="dxa"/>
            <w:vAlign w:val="center"/>
          </w:tcPr>
          <w:p w14:paraId="4ADDEC07" w14:textId="77777777" w:rsidR="00676FE8" w:rsidRPr="009B233A" w:rsidRDefault="00C81B48" w:rsidP="00C81B48">
            <w:pPr>
              <w:widowControl/>
              <w:tabs>
                <w:tab w:val="left" w:pos="0"/>
              </w:tabs>
              <w:spacing w:after="60"/>
              <w:jc w:val="center"/>
              <w:rPr>
                <w:szCs w:val="20"/>
              </w:rPr>
            </w:pPr>
            <m:oMathPara>
              <m:oMath>
                <m:r>
                  <w:rPr>
                    <w:rFonts w:ascii="Cambria Math" w:hAnsi="Cambria Math"/>
                    <w:szCs w:val="20"/>
                  </w:rPr>
                  <m:t>0.718×89 acres</m:t>
                </m:r>
              </m:oMath>
            </m:oMathPara>
          </w:p>
        </w:tc>
        <w:tc>
          <w:tcPr>
            <w:tcW w:w="2048" w:type="dxa"/>
          </w:tcPr>
          <w:p w14:paraId="4ADDEC08" w14:textId="77777777" w:rsidR="00676FE8" w:rsidRPr="00C81B48" w:rsidRDefault="00C81B48">
            <w:pPr>
              <w:widowControl/>
              <w:tabs>
                <w:tab w:val="left" w:pos="0"/>
              </w:tabs>
              <w:spacing w:after="60"/>
              <w:rPr>
                <w:szCs w:val="20"/>
              </w:rPr>
            </w:pPr>
            <w:r w:rsidRPr="00C81B48">
              <w:rPr>
                <w:szCs w:val="20"/>
              </w:rPr>
              <w:t>63.9 acres corn harvested using conservation tilling in Clay County, AL</w:t>
            </w:r>
          </w:p>
        </w:tc>
      </w:tr>
      <w:tr w:rsidR="00FE02FD" w14:paraId="4ADDEC0E" w14:textId="77777777" w:rsidTr="00E75627">
        <w:trPr>
          <w:cantSplit/>
        </w:trPr>
        <w:tc>
          <w:tcPr>
            <w:tcW w:w="511" w:type="dxa"/>
            <w:vAlign w:val="center"/>
          </w:tcPr>
          <w:p w14:paraId="4ADDEC0A" w14:textId="77777777" w:rsidR="00DF0B38" w:rsidRPr="006768F7" w:rsidRDefault="00676FE8" w:rsidP="00FE7F5B">
            <w:pPr>
              <w:widowControl/>
              <w:tabs>
                <w:tab w:val="left" w:pos="0"/>
              </w:tabs>
              <w:spacing w:after="60"/>
              <w:jc w:val="center"/>
              <w:rPr>
                <w:szCs w:val="20"/>
              </w:rPr>
            </w:pPr>
            <w:r w:rsidRPr="006768F7">
              <w:rPr>
                <w:szCs w:val="20"/>
              </w:rPr>
              <w:t>4</w:t>
            </w:r>
          </w:p>
        </w:tc>
        <w:tc>
          <w:tcPr>
            <w:tcW w:w="3456" w:type="dxa"/>
            <w:vAlign w:val="center"/>
          </w:tcPr>
          <w:p w14:paraId="4ADDEC0B" w14:textId="77777777" w:rsidR="00DF0B38" w:rsidRPr="00E94684" w:rsidRDefault="00D97F8F" w:rsidP="00FE7F5B">
            <w:pPr>
              <w:widowControl/>
              <w:tabs>
                <w:tab w:val="left" w:pos="0"/>
              </w:tabs>
              <w:spacing w:after="60"/>
              <w:jc w:val="center"/>
              <w:rPr>
                <w:szCs w:val="20"/>
                <w:highlight w:val="yellow"/>
              </w:rPr>
            </w:pPr>
            <m:oMathPara>
              <m:oMath>
                <m:sSub>
                  <m:sSubPr>
                    <m:ctrlPr>
                      <w:rPr>
                        <w:rFonts w:ascii="Cambria Math" w:hAnsi="Cambria Math"/>
                        <w:i/>
                      </w:rPr>
                    </m:ctrlPr>
                  </m:sSubPr>
                  <m:e>
                    <m:r>
                      <w:rPr>
                        <w:rFonts w:ascii="Cambria Math" w:hAnsi="Cambria Math"/>
                        <w:szCs w:val="20"/>
                      </w:rPr>
                      <m:t>EF</m:t>
                    </m:r>
                  </m:e>
                  <m:sub>
                    <m:r>
                      <w:rPr>
                        <w:rFonts w:ascii="Cambria Math" w:hAnsi="Cambria Math"/>
                        <w:szCs w:val="20"/>
                      </w:rPr>
                      <m:t>p,t,x,c</m:t>
                    </m:r>
                  </m:sub>
                </m:sSub>
                <m:r>
                  <w:rPr>
                    <w:rFonts w:ascii="Cambria Math" w:hAnsi="Cambria Math"/>
                    <w:szCs w:val="20"/>
                  </w:rPr>
                  <m:t>= c×k×</m:t>
                </m:r>
                <m:sSubSup>
                  <m:sSubSupPr>
                    <m:ctrlPr>
                      <w:rPr>
                        <w:rFonts w:ascii="Cambria Math" w:hAnsi="Cambria Math"/>
                        <w:i/>
                      </w:rPr>
                    </m:ctrlPr>
                  </m:sSubSupPr>
                  <m:e>
                    <m:r>
                      <w:rPr>
                        <w:rFonts w:ascii="Cambria Math" w:hAnsi="Cambria Math"/>
                        <w:szCs w:val="20"/>
                      </w:rPr>
                      <m:t>s</m:t>
                    </m:r>
                  </m:e>
                  <m:sub>
                    <m:r>
                      <w:rPr>
                        <w:rFonts w:ascii="Cambria Math" w:hAnsi="Cambria Math"/>
                        <w:szCs w:val="20"/>
                      </w:rPr>
                      <m:t>c</m:t>
                    </m:r>
                  </m:sub>
                  <m:sup>
                    <m:r>
                      <w:rPr>
                        <w:rFonts w:ascii="Cambria Math" w:hAnsi="Cambria Math"/>
                        <w:szCs w:val="20"/>
                      </w:rPr>
                      <m:t>0.6</m:t>
                    </m:r>
                  </m:sup>
                </m:sSubSup>
                <m:r>
                  <w:rPr>
                    <w:rFonts w:ascii="Cambria Math" w:hAnsi="Cambria Math"/>
                    <w:szCs w:val="20"/>
                  </w:rPr>
                  <m:t>×</m:t>
                </m:r>
                <m:sSub>
                  <m:sSubPr>
                    <m:ctrlPr>
                      <w:rPr>
                        <w:rFonts w:ascii="Cambria Math" w:hAnsi="Cambria Math"/>
                        <w:i/>
                      </w:rPr>
                    </m:ctrlPr>
                  </m:sSubPr>
                  <m:e>
                    <m:r>
                      <w:rPr>
                        <w:rFonts w:ascii="Cambria Math" w:hAnsi="Cambria Math"/>
                        <w:szCs w:val="20"/>
                      </w:rPr>
                      <m:t>p</m:t>
                    </m:r>
                  </m:e>
                  <m:sub>
                    <m:r>
                      <w:rPr>
                        <w:rFonts w:ascii="Cambria Math" w:hAnsi="Cambria Math"/>
                        <w:szCs w:val="20"/>
                      </w:rPr>
                      <m:t xml:space="preserve">t </m:t>
                    </m:r>
                  </m:sub>
                </m:sSub>
              </m:oMath>
            </m:oMathPara>
          </w:p>
        </w:tc>
        <w:tc>
          <w:tcPr>
            <w:tcW w:w="3687" w:type="dxa"/>
            <w:vAlign w:val="center"/>
          </w:tcPr>
          <w:p w14:paraId="4ADDEC0C" w14:textId="77777777" w:rsidR="00DF0B38" w:rsidRPr="00E94684" w:rsidRDefault="006768F7" w:rsidP="00C81B48">
            <w:pPr>
              <w:widowControl/>
              <w:tabs>
                <w:tab w:val="left" w:pos="0"/>
              </w:tabs>
              <w:spacing w:after="60"/>
              <w:jc w:val="center"/>
              <w:rPr>
                <w:szCs w:val="20"/>
                <w:highlight w:val="yellow"/>
              </w:rPr>
            </w:pPr>
            <m:oMath>
              <m:r>
                <w:rPr>
                  <w:rFonts w:ascii="Cambria Math" w:hAnsi="Cambria Math"/>
                  <w:szCs w:val="20"/>
                </w:rPr>
                <m:t>4.8</m:t>
              </m:r>
              <m:f>
                <m:fPr>
                  <m:ctrlPr>
                    <w:rPr>
                      <w:rFonts w:ascii="Cambria Math" w:hAnsi="Cambria Math"/>
                      <w:i/>
                      <w:szCs w:val="20"/>
                    </w:rPr>
                  </m:ctrlPr>
                </m:fPr>
                <m:num>
                  <m:r>
                    <w:rPr>
                      <w:rFonts w:ascii="Cambria Math" w:hAnsi="Cambria Math"/>
                      <w:szCs w:val="20"/>
                    </w:rPr>
                    <m:t>pounds</m:t>
                  </m:r>
                </m:num>
                <m:den>
                  <m:r>
                    <w:rPr>
                      <w:rFonts w:ascii="Cambria Math" w:hAnsi="Cambria Math"/>
                      <w:szCs w:val="20"/>
                    </w:rPr>
                    <m:t>acre-pass</m:t>
                  </m:r>
                </m:den>
              </m:f>
              <m:r>
                <w:rPr>
                  <w:rFonts w:ascii="Cambria Math" w:hAnsi="Cambria Math"/>
                  <w:szCs w:val="20"/>
                </w:rPr>
                <m:t>×0.21×</m:t>
              </m:r>
              <m:sSup>
                <m:sSupPr>
                  <m:ctrlPr>
                    <w:rPr>
                      <w:rFonts w:ascii="Cambria Math" w:hAnsi="Cambria Math"/>
                      <w:i/>
                    </w:rPr>
                  </m:ctrlPr>
                </m:sSupPr>
                <m:e>
                  <m:r>
                    <w:rPr>
                      <w:rFonts w:ascii="Cambria Math" w:hAnsi="Cambria Math"/>
                      <w:szCs w:val="20"/>
                    </w:rPr>
                    <m:t>28.93</m:t>
                  </m:r>
                </m:e>
                <m:sup>
                  <m:r>
                    <w:rPr>
                      <w:rFonts w:ascii="Cambria Math" w:hAnsi="Cambria Math"/>
                      <w:szCs w:val="20"/>
                    </w:rPr>
                    <m:t>0.6</m:t>
                  </m:r>
                </m:sup>
              </m:sSup>
              <m:r>
                <w:rPr>
                  <w:rFonts w:ascii="Cambria Math" w:hAnsi="Cambria Math"/>
                  <w:szCs w:val="20"/>
                </w:rPr>
                <m:t xml:space="preserve">×1 pass </m:t>
              </m:r>
            </m:oMath>
            <w:r>
              <w:rPr>
                <w:rFonts w:eastAsiaTheme="minorEastAsia"/>
                <w:szCs w:val="20"/>
              </w:rPr>
              <w:t xml:space="preserve"> </w:t>
            </w:r>
          </w:p>
        </w:tc>
        <w:tc>
          <w:tcPr>
            <w:tcW w:w="2048" w:type="dxa"/>
          </w:tcPr>
          <w:p w14:paraId="4ADDEC0D" w14:textId="77777777" w:rsidR="00DF0B38" w:rsidRPr="00C81B48" w:rsidRDefault="006768F7" w:rsidP="006768F7">
            <w:pPr>
              <w:widowControl/>
              <w:tabs>
                <w:tab w:val="left" w:pos="0"/>
              </w:tabs>
              <w:spacing w:after="60"/>
              <w:rPr>
                <w:szCs w:val="20"/>
              </w:rPr>
            </w:pPr>
            <w:r w:rsidRPr="00C81B48">
              <w:rPr>
                <w:szCs w:val="20"/>
              </w:rPr>
              <w:t xml:space="preserve">7.59 pounds per acre </w:t>
            </w:r>
            <w:r w:rsidR="00C81B48" w:rsidRPr="00C81B48">
              <w:rPr>
                <w:szCs w:val="20"/>
              </w:rPr>
              <w:t xml:space="preserve">for conservation tilling from corn in </w:t>
            </w:r>
            <w:r w:rsidRPr="00C81B48">
              <w:rPr>
                <w:szCs w:val="20"/>
              </w:rPr>
              <w:t>Clay</w:t>
            </w:r>
            <w:r w:rsidR="0003373D" w:rsidRPr="00C81B48">
              <w:rPr>
                <w:szCs w:val="20"/>
              </w:rPr>
              <w:t xml:space="preserve"> County, A</w:t>
            </w:r>
            <w:r w:rsidRPr="00C81B48">
              <w:rPr>
                <w:szCs w:val="20"/>
              </w:rPr>
              <w:t>L</w:t>
            </w:r>
          </w:p>
        </w:tc>
      </w:tr>
      <w:tr w:rsidR="00FE02FD" w14:paraId="4ADDEC13" w14:textId="77777777" w:rsidTr="00E75627">
        <w:trPr>
          <w:cantSplit/>
        </w:trPr>
        <w:tc>
          <w:tcPr>
            <w:tcW w:w="511" w:type="dxa"/>
            <w:vAlign w:val="center"/>
          </w:tcPr>
          <w:p w14:paraId="4ADDEC0F" w14:textId="77777777" w:rsidR="00DF0B38" w:rsidRPr="006768F7" w:rsidRDefault="00676FE8" w:rsidP="00FE7F5B">
            <w:pPr>
              <w:widowControl/>
              <w:tabs>
                <w:tab w:val="left" w:pos="0"/>
              </w:tabs>
              <w:spacing w:after="60"/>
              <w:jc w:val="center"/>
              <w:rPr>
                <w:szCs w:val="20"/>
              </w:rPr>
            </w:pPr>
            <w:r w:rsidRPr="006768F7">
              <w:rPr>
                <w:szCs w:val="20"/>
              </w:rPr>
              <w:t>5</w:t>
            </w:r>
          </w:p>
        </w:tc>
        <w:tc>
          <w:tcPr>
            <w:tcW w:w="3456" w:type="dxa"/>
            <w:vAlign w:val="center"/>
          </w:tcPr>
          <w:p w14:paraId="4ADDEC10" w14:textId="77777777" w:rsidR="00DF0B38" w:rsidRPr="00E94684" w:rsidRDefault="00D97F8F">
            <w:pPr>
              <w:widowControl/>
              <w:tabs>
                <w:tab w:val="left" w:pos="0"/>
                <w:tab w:val="center" w:pos="4320"/>
                <w:tab w:val="right" w:pos="8460"/>
              </w:tabs>
              <w:spacing w:after="60"/>
              <w:jc w:val="center"/>
              <w:rPr>
                <w:szCs w:val="20"/>
                <w:highlight w:val="yellow"/>
              </w:rPr>
            </w:pPr>
            <m:oMathPara>
              <m:oMath>
                <m:sSub>
                  <m:sSubPr>
                    <m:ctrlPr>
                      <w:rPr>
                        <w:rFonts w:ascii="Cambria Math" w:hAnsi="Cambria Math"/>
                        <w:i/>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nary>
                  <m:naryPr>
                    <m:chr m:val="∑"/>
                    <m:limLoc m:val="undOvr"/>
                    <m:ctrlPr>
                      <w:rPr>
                        <w:rFonts w:ascii="Cambria Math" w:hAnsi="Cambria Math"/>
                        <w:i/>
                      </w:rPr>
                    </m:ctrlPr>
                  </m:naryPr>
                  <m:sub>
                    <m:r>
                      <w:rPr>
                        <w:rFonts w:ascii="Cambria Math" w:hAnsi="Cambria Math"/>
                        <w:szCs w:val="20"/>
                      </w:rPr>
                      <m:t>t=1</m:t>
                    </m:r>
                  </m:sub>
                  <m:sup>
                    <m:r>
                      <w:rPr>
                        <w:rFonts w:ascii="Cambria Math" w:hAnsi="Cambria Math"/>
                        <w:szCs w:val="20"/>
                      </w:rPr>
                      <m:t>T</m:t>
                    </m:r>
                  </m:sup>
                  <m:e>
                    <m:nary>
                      <m:naryPr>
                        <m:chr m:val="∑"/>
                        <m:limLoc m:val="undOvr"/>
                        <m:ctrlPr>
                          <w:rPr>
                            <w:rFonts w:ascii="Cambria Math" w:hAnsi="Cambria Math"/>
                            <w:i/>
                          </w:rPr>
                        </m:ctrlPr>
                      </m:naryPr>
                      <m:sub>
                        <m:r>
                          <w:rPr>
                            <w:rFonts w:ascii="Cambria Math" w:hAnsi="Cambria Math"/>
                          </w:rPr>
                          <m:t>x=1</m:t>
                        </m:r>
                      </m:sub>
                      <m:sup>
                        <m:r>
                          <w:rPr>
                            <w:rFonts w:ascii="Cambria Math" w:hAnsi="Cambria Math"/>
                          </w:rPr>
                          <m:t>X</m:t>
                        </m:r>
                      </m:sup>
                      <m:e>
                        <m:sSub>
                          <m:sSubPr>
                            <m:ctrlPr>
                              <w:rPr>
                                <w:rFonts w:ascii="Cambria Math" w:hAnsi="Cambria Math"/>
                                <w:i/>
                              </w:rPr>
                            </m:ctrlPr>
                          </m:sSubPr>
                          <m:e>
                            <m:r>
                              <w:rPr>
                                <w:rFonts w:ascii="Cambria Math" w:hAnsi="Cambria Math"/>
                                <w:szCs w:val="20"/>
                              </w:rPr>
                              <m:t>EF</m:t>
                            </m:r>
                          </m:e>
                          <m:sub>
                            <m:r>
                              <w:rPr>
                                <w:rFonts w:ascii="Cambria Math" w:hAnsi="Cambria Math"/>
                                <w:szCs w:val="20"/>
                              </w:rPr>
                              <m:t>p,t,x,c</m:t>
                            </m:r>
                          </m:sub>
                        </m:sSub>
                        <m:r>
                          <w:rPr>
                            <w:rFonts w:ascii="Cambria Math" w:hAnsi="Cambria Math"/>
                            <w:szCs w:val="20"/>
                          </w:rPr>
                          <m:t>×</m:t>
                        </m:r>
                        <m:sSub>
                          <m:sSubPr>
                            <m:ctrlPr>
                              <w:rPr>
                                <w:rFonts w:ascii="Cambria Math" w:hAnsi="Cambria Math"/>
                                <w:i/>
                              </w:rPr>
                            </m:ctrlPr>
                          </m:sSubPr>
                          <m:e>
                            <m:r>
                              <w:rPr>
                                <w:rFonts w:ascii="Cambria Math" w:hAnsi="Cambria Math"/>
                                <w:szCs w:val="20"/>
                              </w:rPr>
                              <m:t>a</m:t>
                            </m:r>
                          </m:e>
                          <m:sub>
                            <m:r>
                              <w:rPr>
                                <w:rFonts w:ascii="Cambria Math" w:hAnsi="Cambria Math"/>
                                <w:szCs w:val="20"/>
                              </w:rPr>
                              <m:t>t,c</m:t>
                            </m:r>
                          </m:sub>
                        </m:sSub>
                        <m:r>
                          <w:rPr>
                            <w:rFonts w:ascii="Cambria Math" w:hAnsi="Cambria Math"/>
                            <w:szCs w:val="20"/>
                          </w:rPr>
                          <m:t>×</m:t>
                        </m:r>
                        <m:f>
                          <m:fPr>
                            <m:ctrlPr>
                              <w:rPr>
                                <w:rFonts w:ascii="Cambria Math" w:hAnsi="Cambria Math"/>
                                <w:i/>
                              </w:rPr>
                            </m:ctrlPr>
                          </m:fPr>
                          <m:num>
                            <m:r>
                              <w:rPr>
                                <w:rFonts w:ascii="Cambria Math" w:hAnsi="Cambria Math"/>
                                <w:szCs w:val="20"/>
                              </w:rPr>
                              <m:t>1 ton</m:t>
                            </m:r>
                          </m:num>
                          <m:den>
                            <m:r>
                              <w:rPr>
                                <w:rFonts w:ascii="Cambria Math" w:hAnsi="Cambria Math"/>
                                <w:szCs w:val="20"/>
                              </w:rPr>
                              <m:t>2000 lb</m:t>
                            </m:r>
                          </m:den>
                        </m:f>
                      </m:e>
                    </m:nary>
                  </m:e>
                </m:nary>
              </m:oMath>
            </m:oMathPara>
          </w:p>
        </w:tc>
        <w:tc>
          <w:tcPr>
            <w:tcW w:w="3687" w:type="dxa"/>
            <w:vAlign w:val="center"/>
          </w:tcPr>
          <w:p w14:paraId="4ADDEC11" w14:textId="77777777" w:rsidR="00DF0B38" w:rsidRPr="00E94684" w:rsidRDefault="006768F7" w:rsidP="006768F7">
            <w:pPr>
              <w:widowControl/>
              <w:tabs>
                <w:tab w:val="left" w:pos="0"/>
              </w:tabs>
              <w:spacing w:after="60"/>
              <w:jc w:val="center"/>
              <w:rPr>
                <w:szCs w:val="20"/>
                <w:highlight w:val="yellow"/>
              </w:rPr>
            </w:pPr>
            <m:oMathPara>
              <m:oMath>
                <m:r>
                  <w:rPr>
                    <w:rFonts w:ascii="Cambria Math" w:hAnsi="Cambria Math"/>
                    <w:szCs w:val="20"/>
                  </w:rPr>
                  <m:t>7.59</m:t>
                </m:r>
                <m:f>
                  <m:fPr>
                    <m:ctrlPr>
                      <w:rPr>
                        <w:rFonts w:ascii="Cambria Math" w:hAnsi="Cambria Math"/>
                        <w:i/>
                      </w:rPr>
                    </m:ctrlPr>
                  </m:fPr>
                  <m:num>
                    <m:r>
                      <w:rPr>
                        <w:rFonts w:ascii="Cambria Math" w:hAnsi="Cambria Math"/>
                        <w:szCs w:val="20"/>
                      </w:rPr>
                      <m:t>pounds</m:t>
                    </m:r>
                  </m:num>
                  <m:den>
                    <m:r>
                      <w:rPr>
                        <w:rFonts w:ascii="Cambria Math" w:hAnsi="Cambria Math"/>
                        <w:szCs w:val="20"/>
                      </w:rPr>
                      <m:t>acre</m:t>
                    </m:r>
                  </m:den>
                </m:f>
                <m:r>
                  <w:rPr>
                    <w:rFonts w:ascii="Cambria Math" w:hAnsi="Cambria Math"/>
                    <w:szCs w:val="20"/>
                  </w:rPr>
                  <m:t xml:space="preserve"> × 63.9 acres ×</m:t>
                </m:r>
                <m:f>
                  <m:fPr>
                    <m:ctrlPr>
                      <w:rPr>
                        <w:rFonts w:ascii="Cambria Math" w:hAnsi="Cambria Math"/>
                        <w:i/>
                      </w:rPr>
                    </m:ctrlPr>
                  </m:fPr>
                  <m:num>
                    <m:r>
                      <w:rPr>
                        <w:rFonts w:ascii="Cambria Math" w:hAnsi="Cambria Math"/>
                        <w:szCs w:val="20"/>
                      </w:rPr>
                      <m:t>1 ton</m:t>
                    </m:r>
                  </m:num>
                  <m:den>
                    <m:r>
                      <w:rPr>
                        <w:rFonts w:ascii="Cambria Math" w:hAnsi="Cambria Math"/>
                        <w:szCs w:val="20"/>
                      </w:rPr>
                      <m:t>2000 lb</m:t>
                    </m:r>
                  </m:den>
                </m:f>
              </m:oMath>
            </m:oMathPara>
          </w:p>
        </w:tc>
        <w:tc>
          <w:tcPr>
            <w:tcW w:w="2048" w:type="dxa"/>
          </w:tcPr>
          <w:p w14:paraId="4ADDEC12" w14:textId="77777777" w:rsidR="00DF0B38" w:rsidRPr="00C81B48" w:rsidRDefault="006768F7" w:rsidP="00C81B48">
            <w:pPr>
              <w:widowControl/>
              <w:tabs>
                <w:tab w:val="left" w:pos="0"/>
              </w:tabs>
              <w:spacing w:after="60"/>
              <w:rPr>
                <w:szCs w:val="20"/>
              </w:rPr>
            </w:pPr>
            <w:r w:rsidRPr="00C81B48">
              <w:rPr>
                <w:szCs w:val="20"/>
              </w:rPr>
              <w:t>0.24</w:t>
            </w:r>
            <w:r w:rsidR="00FE02FD" w:rsidRPr="00C81B48">
              <w:rPr>
                <w:szCs w:val="20"/>
              </w:rPr>
              <w:t xml:space="preserve"> tons </w:t>
            </w:r>
            <w:r w:rsidR="00C81B48" w:rsidRPr="00C81B48">
              <w:rPr>
                <w:szCs w:val="20"/>
              </w:rPr>
              <w:t>PM10-FIL emissions from conservation tilling for corn in Clay County, AL</w:t>
            </w:r>
            <w:r w:rsidR="00DB1EFF">
              <w:rPr>
                <w:szCs w:val="20"/>
              </w:rPr>
              <w:t>*</w:t>
            </w:r>
          </w:p>
        </w:tc>
      </w:tr>
    </w:tbl>
    <w:p w14:paraId="4ADDEC14" w14:textId="77777777" w:rsidR="00B97E6E" w:rsidRDefault="00DB1EFF" w:rsidP="00DB1EFF">
      <w:pPr>
        <w:widowControl/>
        <w:tabs>
          <w:tab w:val="left" w:pos="0"/>
        </w:tabs>
        <w:spacing w:before="60"/>
        <w:rPr>
          <w:szCs w:val="20"/>
        </w:rPr>
      </w:pPr>
      <w:r>
        <w:rPr>
          <w:szCs w:val="20"/>
        </w:rPr>
        <w:t xml:space="preserve">* Note that this calculation must be completed for all crop types and tilling types in the county to determine the total emissions for that county. </w:t>
      </w:r>
    </w:p>
    <w:p w14:paraId="4ADDEC15" w14:textId="77777777" w:rsidR="00B97E6E" w:rsidRDefault="00B97E6E" w:rsidP="00052E59">
      <w:pPr>
        <w:pStyle w:val="Heading1"/>
      </w:pPr>
      <w:r>
        <w:t>Changes from 2014 Methodology</w:t>
      </w:r>
    </w:p>
    <w:p w14:paraId="4ADDEC16" w14:textId="77777777" w:rsidR="00B97E6E" w:rsidRPr="00676FE8" w:rsidRDefault="00E94684" w:rsidP="00B97E6E">
      <w:pPr>
        <w:widowControl/>
        <w:tabs>
          <w:tab w:val="left" w:pos="0"/>
        </w:tabs>
        <w:rPr>
          <w:szCs w:val="20"/>
        </w:rPr>
      </w:pPr>
      <w:r>
        <w:rPr>
          <w:szCs w:val="20"/>
        </w:rPr>
        <w:t>There are no significant changes for this methodology from the methodology used for the 2014 NEI</w:t>
      </w:r>
      <w:r w:rsidR="00A40820">
        <w:rPr>
          <w:szCs w:val="20"/>
        </w:rPr>
        <w:t>.</w:t>
      </w:r>
    </w:p>
    <w:p w14:paraId="4ADDEC17"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4ADDEC18" w14:textId="77777777" w:rsidR="00B97E6E" w:rsidRPr="00E94684" w:rsidRDefault="00E94684" w:rsidP="00E94684">
      <w:pPr>
        <w:pStyle w:val="Style1"/>
        <w:rPr>
          <w:b w:val="0"/>
          <w:i w:val="0"/>
        </w:rPr>
      </w:pPr>
      <w:r>
        <w:rPr>
          <w:b w:val="0"/>
          <w:i w:val="0"/>
        </w:rPr>
        <w:t>Since insufficient data exists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w:t>
      </w:r>
      <w:r w:rsidR="00A029F5">
        <w:rPr>
          <w:b w:val="0"/>
          <w:i w:val="0"/>
        </w:rPr>
        <w:t>s</w:t>
      </w:r>
      <w:r>
        <w:rPr>
          <w:b w:val="0"/>
          <w:i w:val="0"/>
        </w:rPr>
        <w:t xml:space="preserve"> factor.  For each Puerto Rico and US Virgin Island county, the tons per capita emission</w:t>
      </w:r>
      <w:r w:rsidR="00A029F5">
        <w:rPr>
          <w:b w:val="0"/>
          <w:i w:val="0"/>
        </w:rPr>
        <w:t>s</w:t>
      </w:r>
      <w:r>
        <w:rPr>
          <w:b w:val="0"/>
          <w:i w:val="0"/>
        </w:rPr>
        <w:t xml:space="preserve"> factor is multiplied by the county population (from the same year as the inventory’s activity data) which served as the activity data. In these cases, the throughput (activity data) unit and the emissions denominator unit are “EACH”.</w:t>
      </w:r>
    </w:p>
    <w:p w14:paraId="4ADDEC19" w14:textId="77777777" w:rsidR="00A6061A" w:rsidRPr="007C3960" w:rsidRDefault="00BC47F1" w:rsidP="007D6365">
      <w:pPr>
        <w:pStyle w:val="Heading1"/>
        <w:spacing w:after="0"/>
      </w:pPr>
      <w:r>
        <w:t>References</w:t>
      </w:r>
    </w:p>
    <w:sectPr w:rsidR="00A6061A" w:rsidRPr="007C3960" w:rsidSect="007D6365">
      <w:footerReference w:type="default" r:id="rId12"/>
      <w:footnotePr>
        <w:numFmt w:val="chicago"/>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EC1C" w14:textId="77777777" w:rsidR="00C81B48" w:rsidRPr="005A2CA7" w:rsidRDefault="00C81B48" w:rsidP="005A2CA7">
      <w:pPr>
        <w:pStyle w:val="Footer"/>
      </w:pPr>
    </w:p>
  </w:endnote>
  <w:endnote w:type="continuationSeparator" w:id="0">
    <w:p w14:paraId="4ADDEC1D" w14:textId="77777777" w:rsidR="00C81B48" w:rsidRPr="00D05698" w:rsidRDefault="00C81B48" w:rsidP="00D05698">
      <w:pPr>
        <w:pStyle w:val="Footer"/>
      </w:pPr>
    </w:p>
  </w:endnote>
  <w:endnote w:type="continuationNotice" w:id="1">
    <w:p w14:paraId="4ADDEC1E" w14:textId="77777777" w:rsidR="00C81B48" w:rsidRDefault="00C81B48">
      <w:pPr>
        <w:spacing w:after="0"/>
      </w:pPr>
    </w:p>
  </w:endnote>
  <w:endnote w:id="2">
    <w:p w14:paraId="4ADDEC22" w14:textId="4C3E60FD" w:rsidR="00C81B48" w:rsidRDefault="00C81B48" w:rsidP="006160D8">
      <w:pPr>
        <w:pStyle w:val="References"/>
      </w:pPr>
      <w:r>
        <w:rPr>
          <w:rStyle w:val="EndnoteReference"/>
        </w:rPr>
        <w:endnoteRef/>
      </w:r>
      <w:r>
        <w:t xml:space="preserve"> </w:t>
      </w:r>
      <w:r w:rsidRPr="00125A0C">
        <w:t>U.S. Department of Agriculture.</w:t>
      </w:r>
      <w:r>
        <w:t xml:space="preserve"> </w:t>
      </w:r>
      <w:r w:rsidRPr="00EE3A88">
        <w:rPr>
          <w:i/>
        </w:rPr>
        <w:t>201</w:t>
      </w:r>
      <w:r w:rsidR="004C7E65">
        <w:rPr>
          <w:i/>
        </w:rPr>
        <w:t>7</w:t>
      </w:r>
      <w:r w:rsidRPr="00EE3A88">
        <w:rPr>
          <w:i/>
        </w:rPr>
        <w:t xml:space="preserve"> Census of Agriculture</w:t>
      </w:r>
      <w:r>
        <w:rPr>
          <w:i/>
        </w:rPr>
        <w:t>.</w:t>
      </w:r>
      <w:r w:rsidRPr="00EE3A88">
        <w:t xml:space="preserve"> </w:t>
      </w:r>
      <w:hyperlink r:id="rId1" w:history="1">
        <w:r w:rsidR="004C7E65">
          <w:rPr>
            <w:rStyle w:val="Hyperlink"/>
          </w:rPr>
          <w:t>https://www.nass.usda.gov/Publications/AgCensus/2017/index.php</w:t>
        </w:r>
      </w:hyperlink>
    </w:p>
  </w:endnote>
  <w:endnote w:id="3">
    <w:p w14:paraId="4ADDEC23" w14:textId="77777777" w:rsidR="00F77C3B" w:rsidRDefault="00F77C3B" w:rsidP="006160D8">
      <w:pPr>
        <w:pStyle w:val="References"/>
      </w:pPr>
      <w:r>
        <w:rPr>
          <w:rStyle w:val="EndnoteReference"/>
        </w:rPr>
        <w:endnoteRef/>
      </w:r>
      <w:r>
        <w:t xml:space="preserve"> Personal communication </w:t>
      </w:r>
      <w:r w:rsidRPr="00EE3A88">
        <w:t>from Christy Meyer, U.S. Department of Agriculture, National Agricultural Statistics Service to Marissa Hoer, Abt Associates, September 2015.</w:t>
      </w:r>
    </w:p>
  </w:endnote>
  <w:endnote w:id="4">
    <w:p w14:paraId="4ADDEC24" w14:textId="77777777" w:rsidR="00C81B48" w:rsidRDefault="00C81B48" w:rsidP="006160D8">
      <w:pPr>
        <w:pStyle w:val="References"/>
      </w:pPr>
      <w:r>
        <w:rPr>
          <w:rStyle w:val="EndnoteReference"/>
        </w:rPr>
        <w:endnoteRef/>
      </w:r>
      <w:r>
        <w:t xml:space="preserve"> Personal communication </w:t>
      </w:r>
      <w:r w:rsidRPr="00EE3A88">
        <w:t>from Greg Mortensen, Utah Department of Environmental Quality to Jonathan Dorn, Abt Associates, 2014_UtahDeptAg_DNR_Tilling_Stats.xlsx, February 2016.</w:t>
      </w:r>
    </w:p>
  </w:endnote>
  <w:endnote w:id="5">
    <w:p w14:paraId="4ADDEC25" w14:textId="77777777" w:rsidR="00C81B48" w:rsidRDefault="00C81B48" w:rsidP="006160D8">
      <w:pPr>
        <w:pStyle w:val="References"/>
        <w:rPr>
          <w:rFonts w:asciiTheme="minorHAnsi" w:eastAsiaTheme="minorHAnsi" w:hAnsiTheme="minorHAnsi" w:cstheme="minorBidi"/>
        </w:rPr>
      </w:pPr>
      <w:r>
        <w:rPr>
          <w:rStyle w:val="EndnoteReference"/>
        </w:rPr>
        <w:endnoteRef/>
      </w:r>
      <w:r w:rsidR="001A30AF">
        <w:t xml:space="preserve"> </w:t>
      </w:r>
      <w:r w:rsidR="001A30AF" w:rsidRPr="005800F4">
        <w:t>U.S. Environ</w:t>
      </w:r>
      <w:r w:rsidR="001A30AF">
        <w:t>mental Protection Agency.</w:t>
      </w:r>
      <w:r w:rsidR="001A30AF" w:rsidRPr="005800F4">
        <w:t xml:space="preserve"> </w:t>
      </w:r>
      <w:r w:rsidR="001A30AF">
        <w:t xml:space="preserve">1985. </w:t>
      </w:r>
      <w:r w:rsidR="001A30AF" w:rsidRPr="005800F4">
        <w:t>Compilation of A</w:t>
      </w:r>
      <w:r w:rsidR="001A30AF">
        <w:t>ir Pollutant Emission Factors, 4</w:t>
      </w:r>
      <w:r w:rsidR="001A30AF" w:rsidRPr="005800F4">
        <w:t>th Edition, AP-42, Volume I:  St</w:t>
      </w:r>
      <w:r w:rsidR="001A30AF">
        <w:t xml:space="preserve">ationary Point and Area Sources, page 11.2.2-1. </w:t>
      </w:r>
      <w:r w:rsidR="001A30AF" w:rsidRPr="005800F4">
        <w:t>Research Tria</w:t>
      </w:r>
      <w:r w:rsidR="001A30AF">
        <w:t xml:space="preserve">ngle Park, North Carolina. </w:t>
      </w:r>
    </w:p>
  </w:endnote>
  <w:endnote w:id="6">
    <w:p w14:paraId="4ADDEC26" w14:textId="77777777" w:rsidR="00C81B48" w:rsidRDefault="00C81B48" w:rsidP="006160D8">
      <w:pPr>
        <w:pStyle w:val="References"/>
      </w:pPr>
      <w:r>
        <w:rPr>
          <w:rStyle w:val="EndnoteReference"/>
        </w:rPr>
        <w:endnoteRef/>
      </w:r>
      <w:r w:rsidR="008F1C27">
        <w:t xml:space="preserve"> Midwest Research Institute. 1981. The Role of Agricultural Practices in Fugitive Dust Emissions, page 117. Prepared for California Air Resources Board. </w:t>
      </w:r>
    </w:p>
  </w:endnote>
  <w:endnote w:id="7">
    <w:p w14:paraId="4ADDEC27" w14:textId="77777777" w:rsidR="00C81B48" w:rsidRDefault="00C81B48" w:rsidP="006160D8">
      <w:pPr>
        <w:pStyle w:val="References"/>
      </w:pPr>
      <w:r>
        <w:rPr>
          <w:rStyle w:val="EndnoteReference"/>
        </w:rPr>
        <w:endnoteRef/>
      </w:r>
      <w:r>
        <w:t xml:space="preserve"> </w:t>
      </w:r>
      <w:r w:rsidRPr="00EE3A88">
        <w:t>U.S. Department of Agriculture, National Cooperative Soil Survey, NCSS Microsoft Access Soil Characterization Database</w:t>
      </w:r>
      <w:r>
        <w:t>.</w:t>
      </w:r>
      <w:r w:rsidRPr="00EE3A88">
        <w:t xml:space="preserve"> </w:t>
      </w:r>
      <w:hyperlink r:id="rId2" w:history="1">
        <w:r w:rsidRPr="00EE3A88">
          <w:rPr>
            <w:rStyle w:val="Hyperlink"/>
          </w:rPr>
          <w:t>http://ncsslabdatamart.sc.egov.usda.gov/</w:t>
        </w:r>
      </w:hyperlink>
      <w:r>
        <w:t xml:space="preserve"> </w:t>
      </w:r>
    </w:p>
  </w:endnote>
  <w:endnote w:id="8">
    <w:p w14:paraId="4ADDEC28" w14:textId="77777777" w:rsidR="00C81B48" w:rsidRDefault="00C81B48" w:rsidP="006160D8">
      <w:pPr>
        <w:pStyle w:val="References"/>
      </w:pPr>
      <w:r>
        <w:rPr>
          <w:rStyle w:val="EndnoteReference"/>
        </w:rPr>
        <w:endnoteRef/>
      </w:r>
      <w:r>
        <w:t xml:space="preserve"> Woodard, Kenneth R. 1996. </w:t>
      </w:r>
      <w:r>
        <w:rPr>
          <w:i/>
          <w:iCs/>
        </w:rPr>
        <w:t>Agricultural Activities Influencing Fine Particulate Matter Emissions</w:t>
      </w:r>
      <w:r>
        <w:t xml:space="preserve">, Midwest Research Institute; corn and soybean tilling passes updated based on data from Kansas and Iowa. </w:t>
      </w:r>
      <w:hyperlink r:id="rId3" w:history="1">
        <w:r>
          <w:rPr>
            <w:rStyle w:val="Hyperlink"/>
          </w:rPr>
          <w:t>https://www3.epa.gov/ttn/chief/old/ap42/ch09/s01/related/rel03_c09s01.pdf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506680"/>
      <w:docPartObj>
        <w:docPartGallery w:val="Page Numbers (Bottom of Page)"/>
        <w:docPartUnique/>
      </w:docPartObj>
    </w:sdtPr>
    <w:sdtEndPr>
      <w:rPr>
        <w:noProof/>
      </w:rPr>
    </w:sdtEndPr>
    <w:sdtContent>
      <w:p w14:paraId="4ADDEC1F" w14:textId="77777777" w:rsidR="006160D8" w:rsidRDefault="006160D8">
        <w:pPr>
          <w:pStyle w:val="Footer"/>
          <w:jc w:val="right"/>
        </w:pPr>
        <w:r>
          <w:fldChar w:fldCharType="begin"/>
        </w:r>
        <w:r>
          <w:instrText xml:space="preserve"> PAGE   \* MERGEFORMAT </w:instrText>
        </w:r>
        <w:r>
          <w:fldChar w:fldCharType="separate"/>
        </w:r>
        <w:r w:rsidR="0009370B">
          <w:rPr>
            <w:noProof/>
          </w:rPr>
          <w:t>1</w:t>
        </w:r>
        <w:r>
          <w:rPr>
            <w:noProof/>
          </w:rPr>
          <w:fldChar w:fldCharType="end"/>
        </w:r>
      </w:p>
    </w:sdtContent>
  </w:sdt>
  <w:p w14:paraId="4ADDEC20" w14:textId="77777777" w:rsidR="006160D8" w:rsidRDefault="0061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EC1A" w14:textId="77777777" w:rsidR="00C81B48" w:rsidRDefault="00C81B48" w:rsidP="005A2CA7">
      <w:r>
        <w:separator/>
      </w:r>
    </w:p>
  </w:footnote>
  <w:footnote w:type="continuationSeparator" w:id="0">
    <w:p w14:paraId="4ADDEC1B" w14:textId="77777777" w:rsidR="00C81B48" w:rsidRDefault="00C81B48" w:rsidP="005A2CA7">
      <w:r>
        <w:continuationSeparator/>
      </w:r>
    </w:p>
  </w:footnote>
  <w:footnote w:id="1">
    <w:p w14:paraId="4ADDEC21" w14:textId="77777777" w:rsidR="00C81B48" w:rsidRDefault="00C81B48" w:rsidP="00715263">
      <w:pPr>
        <w:pStyle w:val="FootnoteText"/>
      </w:pPr>
      <w:r w:rsidRPr="00302C33">
        <w:rPr>
          <w:rStyle w:val="FootnoteReference"/>
        </w:rPr>
        <w:footnoteRef/>
      </w:r>
      <w:r w:rsidRPr="00302C33">
        <w:t xml:space="preserve"> Note that this definition is different than the U.S. Environmental Protection Agency’s definition that includes all particles (mass basis) of diameter smaller than 75 micrometers.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6112E"/>
    <w:multiLevelType w:val="hybridMultilevel"/>
    <w:tmpl w:val="F34A252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C2D38"/>
    <w:multiLevelType w:val="hybridMultilevel"/>
    <w:tmpl w:val="EB84A58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E19F2"/>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129D5"/>
    <w:multiLevelType w:val="hybridMultilevel"/>
    <w:tmpl w:val="FF8EA95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77D2B"/>
    <w:multiLevelType w:val="hybridMultilevel"/>
    <w:tmpl w:val="4B5C6E2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21916"/>
    <w:multiLevelType w:val="hybridMultilevel"/>
    <w:tmpl w:val="43DCD2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5"/>
  </w:num>
  <w:num w:numId="4">
    <w:abstractNumId w:val="12"/>
  </w:num>
  <w:num w:numId="5">
    <w:abstractNumId w:val="2"/>
  </w:num>
  <w:num w:numId="6">
    <w:abstractNumId w:val="15"/>
  </w:num>
  <w:num w:numId="7">
    <w:abstractNumId w:val="22"/>
  </w:num>
  <w:num w:numId="8">
    <w:abstractNumId w:val="21"/>
  </w:num>
  <w:num w:numId="9">
    <w:abstractNumId w:val="17"/>
  </w:num>
  <w:num w:numId="10">
    <w:abstractNumId w:val="19"/>
  </w:num>
  <w:num w:numId="11">
    <w:abstractNumId w:val="10"/>
  </w:num>
  <w:num w:numId="12">
    <w:abstractNumId w:val="7"/>
  </w:num>
  <w:num w:numId="13">
    <w:abstractNumId w:val="4"/>
  </w:num>
  <w:num w:numId="14">
    <w:abstractNumId w:val="1"/>
  </w:num>
  <w:num w:numId="15">
    <w:abstractNumId w:val="20"/>
  </w:num>
  <w:num w:numId="16">
    <w:abstractNumId w:val="13"/>
  </w:num>
  <w:num w:numId="17">
    <w:abstractNumId w:val="0"/>
  </w:num>
  <w:num w:numId="18">
    <w:abstractNumId w:val="8"/>
  </w:num>
  <w:num w:numId="19">
    <w:abstractNumId w:val="11"/>
  </w:num>
  <w:num w:numId="20">
    <w:abstractNumId w:val="16"/>
  </w:num>
  <w:num w:numId="21">
    <w:abstractNumId w:val="14"/>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2E"/>
    <w:rsid w:val="00010E6C"/>
    <w:rsid w:val="00016464"/>
    <w:rsid w:val="00024A94"/>
    <w:rsid w:val="0003373D"/>
    <w:rsid w:val="00052E59"/>
    <w:rsid w:val="00060A69"/>
    <w:rsid w:val="00073181"/>
    <w:rsid w:val="00091662"/>
    <w:rsid w:val="0009370B"/>
    <w:rsid w:val="000A7369"/>
    <w:rsid w:val="000C0667"/>
    <w:rsid w:val="001071D0"/>
    <w:rsid w:val="00157738"/>
    <w:rsid w:val="00186E1E"/>
    <w:rsid w:val="001A09E7"/>
    <w:rsid w:val="001A19EB"/>
    <w:rsid w:val="001A30AF"/>
    <w:rsid w:val="001C1084"/>
    <w:rsid w:val="001D6A38"/>
    <w:rsid w:val="002005B7"/>
    <w:rsid w:val="002375F1"/>
    <w:rsid w:val="00282A60"/>
    <w:rsid w:val="002958BB"/>
    <w:rsid w:val="002B5BB8"/>
    <w:rsid w:val="002E5ADD"/>
    <w:rsid w:val="00302C33"/>
    <w:rsid w:val="003165C3"/>
    <w:rsid w:val="0033702E"/>
    <w:rsid w:val="00340DAC"/>
    <w:rsid w:val="003478A9"/>
    <w:rsid w:val="0035568E"/>
    <w:rsid w:val="00387957"/>
    <w:rsid w:val="003933F5"/>
    <w:rsid w:val="003D38C0"/>
    <w:rsid w:val="003D471D"/>
    <w:rsid w:val="003E35AF"/>
    <w:rsid w:val="003F3D3C"/>
    <w:rsid w:val="00402D36"/>
    <w:rsid w:val="004062A6"/>
    <w:rsid w:val="00413875"/>
    <w:rsid w:val="00433E3C"/>
    <w:rsid w:val="0044447B"/>
    <w:rsid w:val="00454AD5"/>
    <w:rsid w:val="00483052"/>
    <w:rsid w:val="004A1B25"/>
    <w:rsid w:val="004B0DDF"/>
    <w:rsid w:val="004C7E55"/>
    <w:rsid w:val="004C7E65"/>
    <w:rsid w:val="004E1CBE"/>
    <w:rsid w:val="004E5DDA"/>
    <w:rsid w:val="0056502F"/>
    <w:rsid w:val="00576E8A"/>
    <w:rsid w:val="005A2CA7"/>
    <w:rsid w:val="006160D8"/>
    <w:rsid w:val="00641FAE"/>
    <w:rsid w:val="00646D28"/>
    <w:rsid w:val="006703A3"/>
    <w:rsid w:val="006768F7"/>
    <w:rsid w:val="00676FE8"/>
    <w:rsid w:val="00680037"/>
    <w:rsid w:val="00697D2A"/>
    <w:rsid w:val="006B3338"/>
    <w:rsid w:val="006F5441"/>
    <w:rsid w:val="00705DD0"/>
    <w:rsid w:val="0071346C"/>
    <w:rsid w:val="00715263"/>
    <w:rsid w:val="0075019B"/>
    <w:rsid w:val="007614AA"/>
    <w:rsid w:val="007660D8"/>
    <w:rsid w:val="00770E9B"/>
    <w:rsid w:val="00780F50"/>
    <w:rsid w:val="007C3960"/>
    <w:rsid w:val="007D6365"/>
    <w:rsid w:val="007E28CD"/>
    <w:rsid w:val="007F53C1"/>
    <w:rsid w:val="00801C17"/>
    <w:rsid w:val="00824E07"/>
    <w:rsid w:val="00832CC9"/>
    <w:rsid w:val="00837710"/>
    <w:rsid w:val="00873FFC"/>
    <w:rsid w:val="008810A9"/>
    <w:rsid w:val="008A5821"/>
    <w:rsid w:val="008E1A37"/>
    <w:rsid w:val="008E2445"/>
    <w:rsid w:val="008F1C27"/>
    <w:rsid w:val="00944444"/>
    <w:rsid w:val="0097139E"/>
    <w:rsid w:val="0097551A"/>
    <w:rsid w:val="00986448"/>
    <w:rsid w:val="00994241"/>
    <w:rsid w:val="009B233A"/>
    <w:rsid w:val="009B3069"/>
    <w:rsid w:val="009C0F97"/>
    <w:rsid w:val="009D22C4"/>
    <w:rsid w:val="009F5C98"/>
    <w:rsid w:val="00A029F5"/>
    <w:rsid w:val="00A254EC"/>
    <w:rsid w:val="00A329DA"/>
    <w:rsid w:val="00A40820"/>
    <w:rsid w:val="00A4319E"/>
    <w:rsid w:val="00A54167"/>
    <w:rsid w:val="00A6061A"/>
    <w:rsid w:val="00A84DAA"/>
    <w:rsid w:val="00A95570"/>
    <w:rsid w:val="00AA771E"/>
    <w:rsid w:val="00AB23B5"/>
    <w:rsid w:val="00AD70B8"/>
    <w:rsid w:val="00AE30FA"/>
    <w:rsid w:val="00AE6CC9"/>
    <w:rsid w:val="00AF1787"/>
    <w:rsid w:val="00B24CB0"/>
    <w:rsid w:val="00B259AF"/>
    <w:rsid w:val="00B302A4"/>
    <w:rsid w:val="00B32469"/>
    <w:rsid w:val="00B97E6E"/>
    <w:rsid w:val="00BB33FE"/>
    <w:rsid w:val="00BC47F1"/>
    <w:rsid w:val="00BD21A4"/>
    <w:rsid w:val="00BD61EA"/>
    <w:rsid w:val="00BE0480"/>
    <w:rsid w:val="00C2093D"/>
    <w:rsid w:val="00C4472E"/>
    <w:rsid w:val="00C81B48"/>
    <w:rsid w:val="00C900AF"/>
    <w:rsid w:val="00CA6FB5"/>
    <w:rsid w:val="00CA76F8"/>
    <w:rsid w:val="00CA7B18"/>
    <w:rsid w:val="00D00C99"/>
    <w:rsid w:val="00D05698"/>
    <w:rsid w:val="00D360C1"/>
    <w:rsid w:val="00D74764"/>
    <w:rsid w:val="00D97F8F"/>
    <w:rsid w:val="00DA1272"/>
    <w:rsid w:val="00DA6A52"/>
    <w:rsid w:val="00DB1EFF"/>
    <w:rsid w:val="00DD642F"/>
    <w:rsid w:val="00DF0B38"/>
    <w:rsid w:val="00DF4571"/>
    <w:rsid w:val="00E10956"/>
    <w:rsid w:val="00E12236"/>
    <w:rsid w:val="00E267BB"/>
    <w:rsid w:val="00E438D7"/>
    <w:rsid w:val="00E576D3"/>
    <w:rsid w:val="00E61A28"/>
    <w:rsid w:val="00E7492B"/>
    <w:rsid w:val="00E75627"/>
    <w:rsid w:val="00E84363"/>
    <w:rsid w:val="00E900F8"/>
    <w:rsid w:val="00E91F7F"/>
    <w:rsid w:val="00E94684"/>
    <w:rsid w:val="00E95198"/>
    <w:rsid w:val="00EC0C41"/>
    <w:rsid w:val="00ED0BEB"/>
    <w:rsid w:val="00ED598D"/>
    <w:rsid w:val="00EE0E08"/>
    <w:rsid w:val="00EE7CB6"/>
    <w:rsid w:val="00EF4865"/>
    <w:rsid w:val="00F1596A"/>
    <w:rsid w:val="00F24FCB"/>
    <w:rsid w:val="00F33727"/>
    <w:rsid w:val="00F33E46"/>
    <w:rsid w:val="00F71199"/>
    <w:rsid w:val="00F77C3B"/>
    <w:rsid w:val="00FA6A41"/>
    <w:rsid w:val="00FB02D3"/>
    <w:rsid w:val="00FE02FD"/>
    <w:rsid w:val="00FE0BB2"/>
    <w:rsid w:val="00FE7F5B"/>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EB0B"/>
  <w15:docId w15:val="{C9E31D44-7DC7-4B05-8C3B-29AF9283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6160D8"/>
    <w:pPr>
      <w:tabs>
        <w:tab w:val="center" w:pos="4680"/>
        <w:tab w:val="right" w:pos="9360"/>
      </w:tabs>
      <w:spacing w:after="0"/>
    </w:pPr>
  </w:style>
  <w:style w:type="character" w:customStyle="1" w:styleId="HeaderChar">
    <w:name w:val="Header Char"/>
    <w:basedOn w:val="DefaultParagraphFont"/>
    <w:link w:val="Header"/>
    <w:uiPriority w:val="99"/>
    <w:rsid w:val="006160D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28719">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462045599">
      <w:bodyDiv w:val="1"/>
      <w:marLeft w:val="0"/>
      <w:marRight w:val="0"/>
      <w:marTop w:val="0"/>
      <w:marBottom w:val="0"/>
      <w:divBdr>
        <w:top w:val="none" w:sz="0" w:space="0" w:color="auto"/>
        <w:left w:val="none" w:sz="0" w:space="0" w:color="auto"/>
        <w:bottom w:val="none" w:sz="0" w:space="0" w:color="auto"/>
        <w:right w:val="none" w:sz="0" w:space="0" w:color="auto"/>
      </w:divBdr>
    </w:div>
    <w:div w:id="617834000">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901909350">
      <w:bodyDiv w:val="1"/>
      <w:marLeft w:val="0"/>
      <w:marRight w:val="0"/>
      <w:marTop w:val="0"/>
      <w:marBottom w:val="0"/>
      <w:divBdr>
        <w:top w:val="none" w:sz="0" w:space="0" w:color="auto"/>
        <w:left w:val="none" w:sz="0" w:space="0" w:color="auto"/>
        <w:bottom w:val="none" w:sz="0" w:space="0" w:color="auto"/>
        <w:right w:val="none" w:sz="0" w:space="0" w:color="auto"/>
      </w:divBdr>
    </w:div>
    <w:div w:id="1119564153">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2546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3.epa.gov/ttn/chief/old/ap42/ch09/s01/related/rel03_c09s01.pdf" TargetMode="External"/><Relationship Id="rId2" Type="http://schemas.openxmlformats.org/officeDocument/2006/relationships/hyperlink" Target="http://ncsslabdatamart.sc.egov.usda.gov/" TargetMode="External"/><Relationship Id="rId1" Type="http://schemas.openxmlformats.org/officeDocument/2006/relationships/hyperlink" Target="https://www.nass.usda.gov/Publications/AgCensus/2017/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purl.org/dc/elements/1.1/"/>
    <ds:schemaRef ds:uri="http://schemas.microsoft.com/office/2006/documentManagement/types"/>
    <ds:schemaRef ds:uri="http://www.w3.org/XML/1998/namespace"/>
    <ds:schemaRef ds:uri="4ffa91fb-a0ff-4ac5-b2db-65c790d184a4"/>
    <ds:schemaRef ds:uri="http://schemas.microsoft.com/office/infopath/2007/PartnerControls"/>
    <ds:schemaRef ds:uri="http://schemas.microsoft.com/office/2006/metadata/properties"/>
    <ds:schemaRef ds:uri="eae1606c-bbef-499f-bb66-c2dbf02f8e2b"/>
    <ds:schemaRef ds:uri="http://schemas.microsoft.com/sharepoint/v3"/>
    <ds:schemaRef ds:uri="http://purl.org/dc/terms/"/>
    <ds:schemaRef ds:uri="http://schemas.openxmlformats.org/package/2006/metadata/core-properties"/>
    <ds:schemaRef ds:uri="http://schemas.microsoft.com/sharepoint/v3/fields"/>
    <ds:schemaRef ds:uri="7d8dd676-26ca-4e08-b90f-b4e0026a58ac"/>
    <ds:schemaRef ds:uri="http://schemas.microsoft.com/sharepoint.v3"/>
    <ds:schemaRef ds:uri="http://purl.org/dc/dcmitype/"/>
  </ds:schemaRefs>
</ds:datastoreItem>
</file>

<file path=customXml/itemProps2.xml><?xml version="1.0" encoding="utf-8"?>
<ds:datastoreItem xmlns:ds="http://schemas.openxmlformats.org/officeDocument/2006/customXml" ds:itemID="{86B63B06-42A7-42D3-AC93-358283C2E516}"/>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5.xml><?xml version="1.0" encoding="utf-8"?>
<ds:datastoreItem xmlns:ds="http://schemas.openxmlformats.org/officeDocument/2006/customXml" ds:itemID="{E007963A-162D-44D3-B75C-5FA46F3A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Hoer</dc:creator>
  <cp:lastModifiedBy>Hannah Derrick</cp:lastModifiedBy>
  <cp:revision>4</cp:revision>
  <dcterms:created xsi:type="dcterms:W3CDTF">2020-04-02T19:32:00Z</dcterms:created>
  <dcterms:modified xsi:type="dcterms:W3CDTF">2020-04-03T13:32:00Z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