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0B01" w14:textId="1FFAE021" w:rsidR="00D360C1" w:rsidRPr="00A6061A" w:rsidRDefault="19FBF6E2" w:rsidP="00387957">
      <w:pPr>
        <w:pStyle w:val="Title"/>
      </w:pPr>
      <w:r>
        <w:t>GREENWASTE COMPOSTING</w:t>
      </w:r>
    </w:p>
    <w:p w14:paraId="7B5C1AD9" w14:textId="77777777" w:rsidR="00D360C1" w:rsidRPr="00886F17" w:rsidRDefault="19FBF6E2" w:rsidP="00387957">
      <w:pPr>
        <w:pStyle w:val="Heading1"/>
      </w:pPr>
      <w:r>
        <w:t>Source Category Description</w:t>
      </w:r>
    </w:p>
    <w:p w14:paraId="177EEFD8" w14:textId="1350E915" w:rsidR="00D360C1" w:rsidRDefault="19FBF6E2" w:rsidP="00D360C1">
      <w:pPr>
        <w:widowControl/>
        <w:tabs>
          <w:tab w:val="left" w:pos="0"/>
        </w:tabs>
        <w:rPr>
          <w:szCs w:val="20"/>
        </w:rPr>
      </w:pPr>
      <w:proofErr w:type="spellStart"/>
      <w:r>
        <w:t>Greenwaste</w:t>
      </w:r>
      <w:proofErr w:type="spellEnd"/>
      <w:r>
        <w:t xml:space="preserve"> composting includes the diversion of yard waste, food waste, and other biogenic waste from landfills to composting facilities. Estimates of emissions of volatile organic compounds (VOC), ammonia (NH3), and three hazardous air pollutants (HAPs), acetaldehyde; methanol; and naphthalene, from </w:t>
      </w:r>
      <w:proofErr w:type="spellStart"/>
      <w:r>
        <w:t>greenwaste</w:t>
      </w:r>
      <w:proofErr w:type="spellEnd"/>
      <w:r>
        <w:t xml:space="preserve"> composting are based on the amount of food and yard waste composted. Composting of biogenic waste is currently not included in emissions estimates for this category as activity data on this waste type is not available. In 2014, </w:t>
      </w:r>
      <w:proofErr w:type="spellStart"/>
      <w:r>
        <w:t>greenwaste</w:t>
      </w:r>
      <w:proofErr w:type="spellEnd"/>
      <w:r>
        <w:t xml:space="preserve"> composting in the US, Puerto Rico, and US Virgin Islands resulted in approximately 6,948 tons of NH3 and 49,162 tons of VOC emissions.</w:t>
      </w:r>
    </w:p>
    <w:p w14:paraId="7BC3F26E" w14:textId="306B1138" w:rsidR="00D360C1" w:rsidRPr="003E3AC3" w:rsidRDefault="19FBF6E2" w:rsidP="00D360C1">
      <w:pPr>
        <w:widowControl/>
        <w:tabs>
          <w:tab w:val="left" w:pos="0"/>
        </w:tabs>
        <w:rPr>
          <w:szCs w:val="20"/>
        </w:rPr>
      </w:pPr>
      <w:r>
        <w:t>For this source category, the following SCC is 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D360C1" w:rsidRPr="003E3AC3" w14:paraId="4D8BCE6B" w14:textId="77777777" w:rsidTr="19FBF6E2">
        <w:trPr>
          <w:trHeight w:val="265"/>
          <w:jc w:val="center"/>
        </w:trPr>
        <w:tc>
          <w:tcPr>
            <w:tcW w:w="1222" w:type="dxa"/>
            <w:shd w:val="clear" w:color="auto" w:fill="D9D9D9" w:themeFill="background1" w:themeFillShade="D9"/>
            <w:noWrap/>
          </w:tcPr>
          <w:p w14:paraId="2738524F" w14:textId="77777777" w:rsidR="00D360C1" w:rsidRPr="003E3AC3" w:rsidRDefault="19FBF6E2" w:rsidP="19FBF6E2">
            <w:pPr>
              <w:widowControl/>
              <w:tabs>
                <w:tab w:val="left" w:pos="0"/>
              </w:tabs>
              <w:spacing w:after="0"/>
              <w:rPr>
                <w:b/>
                <w:bCs/>
              </w:rPr>
            </w:pPr>
            <w:r w:rsidRPr="19FBF6E2">
              <w:rPr>
                <w:b/>
                <w:bCs/>
              </w:rPr>
              <w:t>SCC</w:t>
            </w:r>
          </w:p>
        </w:tc>
        <w:tc>
          <w:tcPr>
            <w:tcW w:w="2267" w:type="dxa"/>
            <w:shd w:val="clear" w:color="auto" w:fill="D9D9D9" w:themeFill="background1" w:themeFillShade="D9"/>
            <w:noWrap/>
          </w:tcPr>
          <w:p w14:paraId="36BA6D5A" w14:textId="77777777" w:rsidR="00D360C1" w:rsidRPr="003E3AC3" w:rsidRDefault="19FBF6E2" w:rsidP="19FBF6E2">
            <w:pPr>
              <w:widowControl/>
              <w:tabs>
                <w:tab w:val="left" w:pos="0"/>
              </w:tabs>
              <w:spacing w:after="0"/>
              <w:rPr>
                <w:b/>
                <w:bCs/>
              </w:rPr>
            </w:pPr>
            <w:r w:rsidRPr="19FBF6E2">
              <w:rPr>
                <w:b/>
                <w:bCs/>
              </w:rPr>
              <w:t>SCC Level 1</w:t>
            </w:r>
          </w:p>
        </w:tc>
        <w:tc>
          <w:tcPr>
            <w:tcW w:w="1943" w:type="dxa"/>
            <w:shd w:val="clear" w:color="auto" w:fill="D9D9D9" w:themeFill="background1" w:themeFillShade="D9"/>
            <w:noWrap/>
          </w:tcPr>
          <w:p w14:paraId="2901E891" w14:textId="77777777" w:rsidR="00D360C1" w:rsidRPr="003E3AC3" w:rsidRDefault="19FBF6E2" w:rsidP="19FBF6E2">
            <w:pPr>
              <w:widowControl/>
              <w:tabs>
                <w:tab w:val="left" w:pos="0"/>
              </w:tabs>
              <w:spacing w:after="0"/>
              <w:rPr>
                <w:b/>
                <w:bCs/>
              </w:rPr>
            </w:pPr>
            <w:r w:rsidRPr="19FBF6E2">
              <w:rPr>
                <w:b/>
                <w:bCs/>
              </w:rPr>
              <w:t>SCC Level 2</w:t>
            </w:r>
          </w:p>
        </w:tc>
        <w:tc>
          <w:tcPr>
            <w:tcW w:w="1604" w:type="dxa"/>
            <w:shd w:val="clear" w:color="auto" w:fill="D9D9D9" w:themeFill="background1" w:themeFillShade="D9"/>
            <w:noWrap/>
          </w:tcPr>
          <w:p w14:paraId="4943D878" w14:textId="77777777" w:rsidR="00D360C1" w:rsidRPr="003E3AC3" w:rsidRDefault="19FBF6E2" w:rsidP="19FBF6E2">
            <w:pPr>
              <w:widowControl/>
              <w:tabs>
                <w:tab w:val="left" w:pos="0"/>
              </w:tabs>
              <w:spacing w:after="0"/>
              <w:rPr>
                <w:b/>
                <w:bCs/>
              </w:rPr>
            </w:pPr>
            <w:r w:rsidRPr="19FBF6E2">
              <w:rPr>
                <w:b/>
                <w:bCs/>
              </w:rPr>
              <w:t>SCC Level 3</w:t>
            </w:r>
          </w:p>
        </w:tc>
        <w:tc>
          <w:tcPr>
            <w:tcW w:w="1971" w:type="dxa"/>
            <w:shd w:val="clear" w:color="auto" w:fill="D9D9D9" w:themeFill="background1" w:themeFillShade="D9"/>
            <w:noWrap/>
          </w:tcPr>
          <w:p w14:paraId="4AD44C9C" w14:textId="77777777" w:rsidR="00D360C1" w:rsidRPr="003E3AC3" w:rsidRDefault="19FBF6E2" w:rsidP="19FBF6E2">
            <w:pPr>
              <w:widowControl/>
              <w:tabs>
                <w:tab w:val="left" w:pos="0"/>
              </w:tabs>
              <w:spacing w:after="0"/>
              <w:rPr>
                <w:b/>
                <w:bCs/>
              </w:rPr>
            </w:pPr>
            <w:r w:rsidRPr="19FBF6E2">
              <w:rPr>
                <w:b/>
                <w:bCs/>
              </w:rPr>
              <w:t>SCC Level 4</w:t>
            </w:r>
          </w:p>
        </w:tc>
      </w:tr>
      <w:tr w:rsidR="00D360C1" w:rsidRPr="003E3AC3" w14:paraId="46135A5B" w14:textId="77777777" w:rsidTr="19FBF6E2">
        <w:trPr>
          <w:trHeight w:val="567"/>
          <w:jc w:val="center"/>
        </w:trPr>
        <w:tc>
          <w:tcPr>
            <w:tcW w:w="1222" w:type="dxa"/>
            <w:vAlign w:val="center"/>
          </w:tcPr>
          <w:p w14:paraId="077ABF3C" w14:textId="77777777" w:rsidR="00D360C1" w:rsidRPr="003733A0" w:rsidRDefault="19FBF6E2" w:rsidP="00052E59">
            <w:pPr>
              <w:spacing w:after="0"/>
              <w:rPr>
                <w:szCs w:val="20"/>
              </w:rPr>
            </w:pPr>
            <w:r>
              <w:t>2680003000</w:t>
            </w:r>
          </w:p>
        </w:tc>
        <w:tc>
          <w:tcPr>
            <w:tcW w:w="2267" w:type="dxa"/>
            <w:vAlign w:val="center"/>
          </w:tcPr>
          <w:p w14:paraId="0B07048B" w14:textId="77777777" w:rsidR="00D360C1" w:rsidRPr="003733A0" w:rsidRDefault="19FBF6E2" w:rsidP="00052E59">
            <w:pPr>
              <w:spacing w:after="0"/>
              <w:rPr>
                <w:szCs w:val="20"/>
              </w:rPr>
            </w:pPr>
            <w:r>
              <w:t>Waste Disposal, Treatment, and Recovery</w:t>
            </w:r>
          </w:p>
        </w:tc>
        <w:tc>
          <w:tcPr>
            <w:tcW w:w="1943" w:type="dxa"/>
            <w:vAlign w:val="center"/>
          </w:tcPr>
          <w:p w14:paraId="2745EE43" w14:textId="77777777" w:rsidR="00D360C1" w:rsidRPr="003733A0" w:rsidRDefault="19FBF6E2" w:rsidP="00052E59">
            <w:pPr>
              <w:spacing w:after="0"/>
              <w:rPr>
                <w:szCs w:val="20"/>
              </w:rPr>
            </w:pPr>
            <w:r>
              <w:t>Composting</w:t>
            </w:r>
          </w:p>
        </w:tc>
        <w:tc>
          <w:tcPr>
            <w:tcW w:w="1604" w:type="dxa"/>
            <w:vAlign w:val="center"/>
          </w:tcPr>
          <w:p w14:paraId="40D248CC" w14:textId="77777777" w:rsidR="00D360C1" w:rsidRPr="003733A0" w:rsidRDefault="19FBF6E2" w:rsidP="19FBF6E2">
            <w:pPr>
              <w:spacing w:after="0"/>
              <w:rPr>
                <w:color w:val="000000" w:themeColor="text1"/>
              </w:rPr>
            </w:pPr>
            <w:proofErr w:type="spellStart"/>
            <w:r w:rsidRPr="19FBF6E2">
              <w:rPr>
                <w:color w:val="000000" w:themeColor="text1"/>
              </w:rPr>
              <w:t>Greenwaste</w:t>
            </w:r>
            <w:proofErr w:type="spellEnd"/>
          </w:p>
        </w:tc>
        <w:tc>
          <w:tcPr>
            <w:tcW w:w="1971" w:type="dxa"/>
            <w:vAlign w:val="center"/>
          </w:tcPr>
          <w:p w14:paraId="5E3F8663" w14:textId="77777777" w:rsidR="00D360C1" w:rsidRPr="003733A0" w:rsidRDefault="19FBF6E2" w:rsidP="19FBF6E2">
            <w:pPr>
              <w:spacing w:after="0"/>
              <w:rPr>
                <w:color w:val="000000" w:themeColor="text1"/>
              </w:rPr>
            </w:pPr>
            <w:r w:rsidRPr="19FBF6E2">
              <w:rPr>
                <w:color w:val="000000" w:themeColor="text1"/>
              </w:rPr>
              <w:t>All Processes</w:t>
            </w:r>
          </w:p>
        </w:tc>
      </w:tr>
    </w:tbl>
    <w:p w14:paraId="6F7E3F74" w14:textId="77777777" w:rsidR="004E1CBE" w:rsidRDefault="004E1CBE" w:rsidP="00D36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595542A5" w14:textId="77777777" w:rsidR="00D360C1" w:rsidRDefault="19FBF6E2" w:rsidP="00052E59">
      <w:r>
        <w:t xml:space="preserve">Note that this source category does </w:t>
      </w:r>
      <w:r w:rsidRPr="19FBF6E2">
        <w:rPr>
          <w:u w:val="single"/>
        </w:rPr>
        <w:t>not</w:t>
      </w:r>
      <w:r>
        <w:t xml:space="preserve"> include the composting of </w:t>
      </w:r>
      <w:proofErr w:type="spellStart"/>
      <w:r>
        <w:t>biosolids</w:t>
      </w:r>
      <w:proofErr w:type="spellEnd"/>
      <w:r>
        <w:t xml:space="preserve"> from wastewater treatment plants or manure management facilities. There are separate SCCs for </w:t>
      </w:r>
      <w:proofErr w:type="spellStart"/>
      <w:r>
        <w:t>biosolids</w:t>
      </w:r>
      <w:proofErr w:type="spellEnd"/>
      <w:r>
        <w:t xml:space="preserve"> (2680001000) and for a mixture of </w:t>
      </w:r>
      <w:proofErr w:type="spellStart"/>
      <w:r>
        <w:t>greenwaste</w:t>
      </w:r>
      <w:proofErr w:type="spellEnd"/>
      <w:r>
        <w:t xml:space="preserve"> and </w:t>
      </w:r>
      <w:proofErr w:type="spellStart"/>
      <w:r>
        <w:t>biosolids</w:t>
      </w:r>
      <w:proofErr w:type="spellEnd"/>
      <w:r>
        <w:t xml:space="preserve"> (2680002000). EPA is not currently estimating emissions for these SCCs. If S/L/</w:t>
      </w:r>
      <w:proofErr w:type="spellStart"/>
      <w:r>
        <w:t>Ts</w:t>
      </w:r>
      <w:proofErr w:type="spellEnd"/>
      <w:r>
        <w:t xml:space="preserve"> report any emissions for the mixture SCC, emissions from the </w:t>
      </w:r>
      <w:proofErr w:type="spellStart"/>
      <w:r>
        <w:t>greenwaste</w:t>
      </w:r>
      <w:proofErr w:type="spellEnd"/>
      <w:r>
        <w:t xml:space="preserve"> portion of that mixture may be duplicative of some or all of the EPA emissions estimates described here. Note also that this source category estimates emissions from composting facilities but does </w:t>
      </w:r>
      <w:r w:rsidRPr="19FBF6E2">
        <w:rPr>
          <w:u w:val="single"/>
        </w:rPr>
        <w:t>not</w:t>
      </w:r>
      <w:r>
        <w:t xml:space="preserve"> estimate emissions from backyard composting. </w:t>
      </w:r>
    </w:p>
    <w:p w14:paraId="36EA975F" w14:textId="77777777" w:rsidR="00D360C1" w:rsidRDefault="19FBF6E2" w:rsidP="00052E59">
      <w:pPr>
        <w:pStyle w:val="Heading1"/>
      </w:pPr>
      <w:r>
        <w:t>Overview of Calculations</w:t>
      </w:r>
    </w:p>
    <w:p w14:paraId="60BDF2C6" w14:textId="0CDFF4C7" w:rsidR="002958BB" w:rsidRPr="002958BB" w:rsidRDefault="00D360C1" w:rsidP="00D360C1">
      <w:pPr>
        <w:widowControl/>
        <w:tabs>
          <w:tab w:val="left" w:pos="0"/>
        </w:tabs>
        <w:rPr>
          <w:szCs w:val="20"/>
        </w:rPr>
      </w:pPr>
      <w:r w:rsidRPr="19FBF6E2">
        <w:t xml:space="preserve">The calculations for </w:t>
      </w:r>
      <w:r w:rsidR="00BE0480" w:rsidRPr="19FBF6E2">
        <w:t xml:space="preserve">estimating </w:t>
      </w:r>
      <w:r w:rsidRPr="19FBF6E2">
        <w:t xml:space="preserve">the emissions from </w:t>
      </w:r>
      <w:proofErr w:type="spellStart"/>
      <w:r w:rsidRPr="19FBF6E2">
        <w:t>greenwaste</w:t>
      </w:r>
      <w:proofErr w:type="spellEnd"/>
      <w:r w:rsidRPr="19FBF6E2">
        <w:t xml:space="preserve"> composting involve </w:t>
      </w:r>
      <w:r w:rsidR="00BE0480" w:rsidRPr="19FBF6E2">
        <w:t xml:space="preserve">first </w:t>
      </w:r>
      <w:r w:rsidR="00052E59" w:rsidRPr="19FBF6E2">
        <w:t xml:space="preserve">estimating the </w:t>
      </w:r>
      <w:r w:rsidR="00060A69" w:rsidRPr="19FBF6E2">
        <w:t xml:space="preserve">amount of food and yard waste composted in each county. </w:t>
      </w:r>
      <w:r w:rsidR="006B3338" w:rsidRPr="19FBF6E2">
        <w:t>The amount of s</w:t>
      </w:r>
      <w:r w:rsidR="00060A69" w:rsidRPr="19FBF6E2">
        <w:t xml:space="preserve">tate-level food waste composted is available from </w:t>
      </w:r>
      <w:r w:rsidR="00AB6567" w:rsidRPr="19FBF6E2">
        <w:t>the</w:t>
      </w:r>
      <w:r w:rsidR="006B3338" w:rsidRPr="19FBF6E2">
        <w:t xml:space="preserve"> </w:t>
      </w:r>
      <w:r w:rsidR="00060A69" w:rsidRPr="19FBF6E2">
        <w:t>EPA</w:t>
      </w:r>
      <w:r w:rsidR="006B3338" w:rsidRPr="19FBF6E2">
        <w:t xml:space="preserve"> report</w:t>
      </w:r>
      <w:r w:rsidR="00AB6567" w:rsidRPr="19FBF6E2">
        <w:t xml:space="preserve"> </w:t>
      </w:r>
      <w:r w:rsidR="00AB6567" w:rsidRPr="19FBF6E2">
        <w:rPr>
          <w:i/>
          <w:iCs/>
        </w:rPr>
        <w:t>Food Waste Manag</w:t>
      </w:r>
      <w:r w:rsidR="004460CC">
        <w:rPr>
          <w:i/>
          <w:iCs/>
        </w:rPr>
        <w:t>ement in the United States, 2015</w:t>
      </w:r>
      <w:r w:rsidR="00060A69" w:rsidRPr="19FBF6E2">
        <w:t xml:space="preserve">. </w:t>
      </w:r>
      <w:r w:rsidR="006B3338" w:rsidRPr="19FBF6E2">
        <w:t>The amount of s</w:t>
      </w:r>
      <w:r w:rsidR="00060A69" w:rsidRPr="19FBF6E2">
        <w:t xml:space="preserve">tate-level yard waste composted is estimated by calculating the </w:t>
      </w:r>
      <w:r w:rsidR="00052E59" w:rsidRPr="19FBF6E2">
        <w:t>per-capita amount of yard waste composted</w:t>
      </w:r>
      <w:r w:rsidR="00060A69" w:rsidRPr="19FBF6E2">
        <w:t xml:space="preserve"> using national data</w:t>
      </w:r>
      <w:r w:rsidR="006B3338" w:rsidRPr="19FBF6E2">
        <w:t xml:space="preserve"> from </w:t>
      </w:r>
      <w:r w:rsidR="00AB6567" w:rsidRPr="19FBF6E2">
        <w:t xml:space="preserve">the </w:t>
      </w:r>
      <w:r w:rsidR="006B3338" w:rsidRPr="19FBF6E2">
        <w:t>EPA</w:t>
      </w:r>
      <w:r w:rsidR="00AB6567" w:rsidRPr="19FBF6E2">
        <w:t xml:space="preserve"> report</w:t>
      </w:r>
      <w:r w:rsidR="00AB6567" w:rsidRPr="19FBF6E2">
        <w:rPr>
          <w:i/>
          <w:iCs/>
        </w:rPr>
        <w:t xml:space="preserve"> Advancing Sustai</w:t>
      </w:r>
      <w:r w:rsidR="004460CC">
        <w:rPr>
          <w:i/>
          <w:iCs/>
        </w:rPr>
        <w:t>nable Materials Management: 2015</w:t>
      </w:r>
      <w:r w:rsidR="00AB6567" w:rsidRPr="19FBF6E2">
        <w:rPr>
          <w:i/>
          <w:iCs/>
        </w:rPr>
        <w:t xml:space="preserve"> Fact Sheet</w:t>
      </w:r>
      <w:r w:rsidR="00060A69" w:rsidRPr="19FBF6E2">
        <w:t>, and multiplying that by the state population.</w:t>
      </w:r>
      <w:r w:rsidR="00340DAC" w:rsidRPr="19FBF6E2">
        <w:t xml:space="preserve"> </w:t>
      </w:r>
      <w:r w:rsidR="00060A69" w:rsidRPr="19FBF6E2">
        <w:t xml:space="preserve">The state-level yard and food waste are </w:t>
      </w:r>
      <w:r w:rsidR="006B3338" w:rsidRPr="19FBF6E2">
        <w:t xml:space="preserve">summed together and </w:t>
      </w:r>
      <w:r w:rsidR="00340DAC" w:rsidRPr="19FBF6E2">
        <w:t xml:space="preserve">distributed to the counties based on the proportion of employment at solid waste landfills. </w:t>
      </w:r>
      <w:r w:rsidR="00052E59" w:rsidRPr="19FBF6E2">
        <w:t>Th</w:t>
      </w:r>
      <w:r w:rsidR="00AA771E" w:rsidRPr="19FBF6E2">
        <w:t xml:space="preserve">e </w:t>
      </w:r>
      <w:r w:rsidR="006B3338" w:rsidRPr="19FBF6E2">
        <w:t xml:space="preserve">total </w:t>
      </w:r>
      <w:r w:rsidR="00AA771E" w:rsidRPr="19FBF6E2">
        <w:t>amount</w:t>
      </w:r>
      <w:r w:rsidR="006B3338" w:rsidRPr="19FBF6E2">
        <w:t xml:space="preserve"> of </w:t>
      </w:r>
      <w:proofErr w:type="spellStart"/>
      <w:r w:rsidR="006B3338" w:rsidRPr="19FBF6E2">
        <w:t>greenwaste</w:t>
      </w:r>
      <w:proofErr w:type="spellEnd"/>
      <w:r w:rsidR="006B3338" w:rsidRPr="19FBF6E2">
        <w:t xml:space="preserve"> composted</w:t>
      </w:r>
      <w:r w:rsidR="00052E59" w:rsidRPr="19FBF6E2">
        <w:t xml:space="preserve"> is multiplied </w:t>
      </w:r>
      <w:r w:rsidR="002958BB" w:rsidRPr="19FBF6E2">
        <w:t>by emission</w:t>
      </w:r>
      <w:r w:rsidR="009944E8" w:rsidRPr="19FBF6E2">
        <w:t>s</w:t>
      </w:r>
      <w:r w:rsidR="002958BB" w:rsidRPr="19FBF6E2">
        <w:t xml:space="preserve"> factors for VOC and NH</w:t>
      </w:r>
      <w:r w:rsidR="00AA771E" w:rsidRPr="19FBF6E2">
        <w:t>3</w:t>
      </w:r>
      <w:r w:rsidR="00052E59" w:rsidRPr="19FBF6E2">
        <w:t xml:space="preserve"> to estimate emissions</w:t>
      </w:r>
      <w:r w:rsidR="003F3D3C" w:rsidRPr="19FBF6E2">
        <w:t xml:space="preserve"> </w:t>
      </w:r>
      <w:r w:rsidR="00B259AF" w:rsidRPr="19FBF6E2">
        <w:t xml:space="preserve">of these pollutants </w:t>
      </w:r>
      <w:r w:rsidR="003F3D3C" w:rsidRPr="19FBF6E2">
        <w:t xml:space="preserve">from </w:t>
      </w:r>
      <w:proofErr w:type="spellStart"/>
      <w:r w:rsidR="003F3D3C" w:rsidRPr="19FBF6E2">
        <w:t>greenwaste</w:t>
      </w:r>
      <w:proofErr w:type="spellEnd"/>
      <w:r w:rsidR="003F3D3C" w:rsidRPr="19FBF6E2">
        <w:t xml:space="preserve"> composting</w:t>
      </w:r>
      <w:r w:rsidR="00052E59" w:rsidRPr="19FBF6E2">
        <w:t>.</w:t>
      </w:r>
      <w:r w:rsidR="002958BB" w:rsidRPr="19FBF6E2">
        <w:t xml:space="preserve"> Sources of data and calculations for the amount of food and yard waste comp</w:t>
      </w:r>
      <w:r w:rsidR="00052E59" w:rsidRPr="19FBF6E2">
        <w:t>osted are discussed in section</w:t>
      </w:r>
      <w:r w:rsidR="009C6088" w:rsidRPr="19FBF6E2">
        <w:t xml:space="preserve"> </w:t>
      </w:r>
      <w:r w:rsidR="00AB6567" w:rsidRPr="19FBF6E2">
        <w:fldChar w:fldCharType="begin"/>
      </w:r>
      <w:r w:rsidR="00AB6567">
        <w:rPr>
          <w:szCs w:val="20"/>
        </w:rPr>
        <w:instrText xml:space="preserve"> REF _Ref485811493 \r \h </w:instrText>
      </w:r>
      <w:r w:rsidR="00AB6567" w:rsidRPr="19FBF6E2">
        <w:rPr>
          <w:szCs w:val="20"/>
          <w:highlight w:val="yellow"/>
        </w:rPr>
        <w:fldChar w:fldCharType="separate"/>
      </w:r>
      <w:r w:rsidR="00AB6567" w:rsidRPr="19FBF6E2">
        <w:t>C</w:t>
      </w:r>
      <w:r w:rsidR="00AB6567" w:rsidRPr="19FBF6E2">
        <w:fldChar w:fldCharType="end"/>
      </w:r>
      <w:r w:rsidR="002958BB" w:rsidRPr="19FBF6E2">
        <w:t>.</w:t>
      </w:r>
      <w:r w:rsidR="00052E59" w:rsidRPr="19FBF6E2">
        <w:t xml:space="preserve"> The process of allocating </w:t>
      </w:r>
      <w:r w:rsidR="00060A69" w:rsidRPr="19FBF6E2">
        <w:t xml:space="preserve">food and </w:t>
      </w:r>
      <w:r w:rsidR="002E5ADD" w:rsidRPr="19FBF6E2">
        <w:t xml:space="preserve">yard waste </w:t>
      </w:r>
      <w:r w:rsidR="00052E59" w:rsidRPr="19FBF6E2">
        <w:t xml:space="preserve">activity data to the county level is discussed in section </w:t>
      </w:r>
      <w:r w:rsidR="00052E59" w:rsidRPr="19FBF6E2">
        <w:fldChar w:fldCharType="begin"/>
      </w:r>
      <w:r w:rsidR="00052E59">
        <w:rPr>
          <w:szCs w:val="20"/>
        </w:rPr>
        <w:instrText xml:space="preserve"> REF _Ref477177506 \r \h </w:instrText>
      </w:r>
      <w:r w:rsidR="00052E59" w:rsidRPr="19FBF6E2">
        <w:rPr>
          <w:szCs w:val="20"/>
        </w:rPr>
        <w:fldChar w:fldCharType="separate"/>
      </w:r>
      <w:r w:rsidR="00073181" w:rsidRPr="19FBF6E2">
        <w:t>D</w:t>
      </w:r>
      <w:r w:rsidR="00052E59" w:rsidRPr="19FBF6E2">
        <w:fldChar w:fldCharType="end"/>
      </w:r>
      <w:r w:rsidR="00052E59" w:rsidRPr="19FBF6E2">
        <w:t>. Emission</w:t>
      </w:r>
      <w:r w:rsidR="009944E8" w:rsidRPr="19FBF6E2">
        <w:t>s</w:t>
      </w:r>
      <w:r w:rsidR="00052E59" w:rsidRPr="19FBF6E2">
        <w:t xml:space="preserve"> factors are discussed in section</w:t>
      </w:r>
      <w:r w:rsidR="00B259AF" w:rsidRPr="19FBF6E2">
        <w:t xml:space="preserve"> </w:t>
      </w:r>
      <w:r w:rsidR="00B259AF" w:rsidRPr="19FBF6E2">
        <w:fldChar w:fldCharType="begin"/>
      </w:r>
      <w:r w:rsidR="00B259AF">
        <w:rPr>
          <w:szCs w:val="20"/>
        </w:rPr>
        <w:instrText xml:space="preserve"> REF _Ref477187901 \r \h </w:instrText>
      </w:r>
      <w:r w:rsidR="00B259AF" w:rsidRPr="19FBF6E2">
        <w:rPr>
          <w:szCs w:val="20"/>
        </w:rPr>
        <w:fldChar w:fldCharType="separate"/>
      </w:r>
      <w:r w:rsidR="00073181" w:rsidRPr="19FBF6E2">
        <w:t>E</w:t>
      </w:r>
      <w:r w:rsidR="00B259AF" w:rsidRPr="19FBF6E2">
        <w:fldChar w:fldCharType="end"/>
      </w:r>
      <w:r w:rsidR="00052E59" w:rsidRPr="19FBF6E2">
        <w:t xml:space="preserve">. </w:t>
      </w:r>
      <w:r w:rsidR="008E2445" w:rsidRPr="19FBF6E2">
        <w:t xml:space="preserve">The estimation of emissions from </w:t>
      </w:r>
      <w:proofErr w:type="spellStart"/>
      <w:r w:rsidR="008E2445" w:rsidRPr="19FBF6E2">
        <w:t>greenwaste</w:t>
      </w:r>
      <w:proofErr w:type="spellEnd"/>
      <w:r w:rsidR="008E2445" w:rsidRPr="19FBF6E2">
        <w:t xml:space="preserve"> composting is discussed in section </w:t>
      </w:r>
      <w:r w:rsidR="008E2445" w:rsidRPr="19FBF6E2">
        <w:fldChar w:fldCharType="begin"/>
      </w:r>
      <w:r w:rsidR="008E2445">
        <w:rPr>
          <w:szCs w:val="20"/>
        </w:rPr>
        <w:instrText xml:space="preserve"> REF _Ref477177564 \r \h </w:instrText>
      </w:r>
      <w:r w:rsidR="008E2445" w:rsidRPr="19FBF6E2">
        <w:rPr>
          <w:szCs w:val="20"/>
        </w:rPr>
        <w:fldChar w:fldCharType="separate"/>
      </w:r>
      <w:r w:rsidR="00073181" w:rsidRPr="19FBF6E2">
        <w:t>G</w:t>
      </w:r>
      <w:r w:rsidR="008E2445" w:rsidRPr="19FBF6E2">
        <w:fldChar w:fldCharType="end"/>
      </w:r>
      <w:r w:rsidR="008E2445" w:rsidRPr="19FBF6E2">
        <w:t>.</w:t>
      </w:r>
    </w:p>
    <w:p w14:paraId="721778E8" w14:textId="1F087AA9" w:rsidR="00B97E6E" w:rsidRDefault="19FBF6E2" w:rsidP="00052E59">
      <w:pPr>
        <w:pStyle w:val="Heading1"/>
      </w:pPr>
      <w:bookmarkStart w:id="0" w:name="_Ref477177316"/>
      <w:bookmarkStart w:id="1" w:name="_Ref485811493"/>
      <w:r>
        <w:t>Activity Data</w:t>
      </w:r>
      <w:bookmarkEnd w:id="0"/>
      <w:bookmarkEnd w:id="1"/>
    </w:p>
    <w:p w14:paraId="2382C3BA" w14:textId="474148A7" w:rsidR="00B24CB0" w:rsidRDefault="00B97E6E" w:rsidP="00B97E6E">
      <w:pPr>
        <w:widowControl/>
        <w:autoSpaceDE/>
        <w:autoSpaceDN/>
        <w:adjustRightInd/>
        <w:rPr>
          <w:szCs w:val="20"/>
        </w:rPr>
      </w:pPr>
      <w:r w:rsidRPr="19FBF6E2">
        <w:t xml:space="preserve">The </w:t>
      </w:r>
      <w:r w:rsidR="008E2445" w:rsidRPr="19FBF6E2">
        <w:t xml:space="preserve">activity data for this source category is the </w:t>
      </w:r>
      <w:r w:rsidRPr="19FBF6E2">
        <w:t>amount of food and yard waste composted</w:t>
      </w:r>
      <w:r w:rsidR="008E2445" w:rsidRPr="19FBF6E2">
        <w:t>, which</w:t>
      </w:r>
      <w:r w:rsidRPr="19FBF6E2">
        <w:t xml:space="preserve"> </w:t>
      </w:r>
      <w:r w:rsidR="002E5ADD" w:rsidRPr="19FBF6E2">
        <w:t>i</w:t>
      </w:r>
      <w:r w:rsidRPr="19FBF6E2">
        <w:t xml:space="preserve">s estimated using data from </w:t>
      </w:r>
      <w:r w:rsidR="00060A69" w:rsidRPr="19FBF6E2">
        <w:t xml:space="preserve">two </w:t>
      </w:r>
      <w:r w:rsidRPr="19FBF6E2">
        <w:t>EPA report</w:t>
      </w:r>
      <w:r w:rsidR="00060A69" w:rsidRPr="19FBF6E2">
        <w:t>s:</w:t>
      </w:r>
      <w:r w:rsidRPr="19FBF6E2">
        <w:t xml:space="preserve"> </w:t>
      </w:r>
      <w:r w:rsidR="00060A69" w:rsidRPr="19FBF6E2">
        <w:t xml:space="preserve">the national-level amount of yard waste composted comes from </w:t>
      </w:r>
      <w:r w:rsidRPr="19FBF6E2">
        <w:rPr>
          <w:i/>
          <w:iCs/>
        </w:rPr>
        <w:t>Advancing Sustainable Materials Management: 2</w:t>
      </w:r>
      <w:r w:rsidR="004460CC">
        <w:rPr>
          <w:i/>
          <w:iCs/>
        </w:rPr>
        <w:t>015</w:t>
      </w:r>
      <w:r w:rsidRPr="19FBF6E2">
        <w:rPr>
          <w:i/>
          <w:iCs/>
        </w:rPr>
        <w:t xml:space="preserve"> Fact Sheet</w:t>
      </w:r>
      <w:r w:rsidR="00060A69" w:rsidRPr="19FBF6E2">
        <w:t xml:space="preserve"> and the state-level amount of food waste composted comes from </w:t>
      </w:r>
      <w:r w:rsidR="00060A69" w:rsidRPr="19FBF6E2">
        <w:rPr>
          <w:i/>
          <w:iCs/>
        </w:rPr>
        <w:t>Food Waste Management in the United States</w:t>
      </w:r>
      <w:r w:rsidR="00B24CB0" w:rsidRPr="19FBF6E2">
        <w:rPr>
          <w:i/>
          <w:iCs/>
        </w:rPr>
        <w:t>, 2014</w:t>
      </w:r>
      <w:r w:rsidRPr="19FBF6E2">
        <w:t>.</w:t>
      </w:r>
      <w:bookmarkStart w:id="2" w:name="_Ref477177681"/>
      <w:r w:rsidR="005A2CA7" w:rsidRPr="19FBF6E2">
        <w:rPr>
          <w:rStyle w:val="EndnoteReference"/>
        </w:rPr>
        <w:endnoteReference w:id="2"/>
      </w:r>
      <w:bookmarkEnd w:id="2"/>
      <w:r w:rsidR="00060A69" w:rsidRPr="19FBF6E2">
        <w:rPr>
          <w:vertAlign w:val="superscript"/>
        </w:rPr>
        <w:t>,</w:t>
      </w:r>
      <w:bookmarkStart w:id="3" w:name="_Ref477442096"/>
      <w:r w:rsidR="00060A69" w:rsidRPr="19FBF6E2">
        <w:rPr>
          <w:rStyle w:val="EndnoteReference"/>
        </w:rPr>
        <w:endnoteReference w:id="3"/>
      </w:r>
      <w:bookmarkEnd w:id="3"/>
      <w:r w:rsidRPr="19FBF6E2">
        <w:t xml:space="preserve"> </w:t>
      </w:r>
    </w:p>
    <w:p w14:paraId="09865A77" w14:textId="30C9F366" w:rsidR="00B97E6E" w:rsidRDefault="004B0DDF" w:rsidP="00B97E6E">
      <w:pPr>
        <w:widowControl/>
        <w:autoSpaceDE/>
        <w:autoSpaceDN/>
        <w:adjustRightInd/>
        <w:rPr>
          <w:szCs w:val="20"/>
        </w:rPr>
      </w:pPr>
      <w:r w:rsidRPr="19FBF6E2">
        <w:fldChar w:fldCharType="begin"/>
      </w:r>
      <w:r w:rsidRPr="004B0DDF">
        <w:rPr>
          <w:szCs w:val="20"/>
        </w:rPr>
        <w:instrText xml:space="preserve"> REF _Ref474398913 \h </w:instrText>
      </w:r>
      <w:r>
        <w:rPr>
          <w:szCs w:val="20"/>
        </w:rPr>
        <w:instrText xml:space="preserve"> \* MERGEFORMAT </w:instrText>
      </w:r>
      <w:r w:rsidRPr="19FBF6E2">
        <w:rPr>
          <w:szCs w:val="20"/>
        </w:rPr>
        <w:fldChar w:fldCharType="separate"/>
      </w:r>
      <w:r w:rsidR="00073181" w:rsidRPr="19FBF6E2">
        <w:t xml:space="preserve">Table </w:t>
      </w:r>
      <w:r w:rsidR="00073181" w:rsidRPr="19FBF6E2">
        <w:rPr>
          <w:noProof/>
        </w:rPr>
        <w:t>1</w:t>
      </w:r>
      <w:r w:rsidRPr="19FBF6E2">
        <w:fldChar w:fldCharType="end"/>
      </w:r>
      <w:r w:rsidR="00B97E6E" w:rsidRPr="19FBF6E2">
        <w:t xml:space="preserve"> shows the total </w:t>
      </w:r>
      <w:r w:rsidR="00B24CB0" w:rsidRPr="19FBF6E2">
        <w:t xml:space="preserve">national-level </w:t>
      </w:r>
      <w:r w:rsidR="00B97E6E" w:rsidRPr="19FBF6E2">
        <w:t xml:space="preserve">amount of yard waste generated and recovered for composting. </w:t>
      </w:r>
    </w:p>
    <w:p w14:paraId="02493637" w14:textId="698DB893" w:rsidR="00986448" w:rsidRPr="004B0DDF" w:rsidRDefault="00986448" w:rsidP="00986448">
      <w:pPr>
        <w:pStyle w:val="TableCaption"/>
      </w:pPr>
      <w:bookmarkStart w:id="4" w:name="_Ref474398913"/>
      <w:r w:rsidRPr="004B0DDF">
        <w:t xml:space="preserve">Table </w:t>
      </w:r>
      <w:fldSimple w:instr=" SEQ Table \* ARABIC ">
        <w:r w:rsidR="00073181" w:rsidRPr="19FBF6E2">
          <w:t>1</w:t>
        </w:r>
      </w:fldSimple>
      <w:bookmarkEnd w:id="4"/>
      <w:r w:rsidRPr="004B0DDF">
        <w:t>. Annual Waste Generated</w:t>
      </w:r>
      <w:r w:rsidR="004460CC">
        <w:t xml:space="preserve"> and Recovered in the US in 2015</w:t>
      </w:r>
    </w:p>
    <w:tbl>
      <w:tblPr>
        <w:tblW w:w="3158" w:type="pct"/>
        <w:jc w:val="center"/>
        <w:tblLook w:val="04A0" w:firstRow="1" w:lastRow="0" w:firstColumn="1" w:lastColumn="0" w:noHBand="0" w:noVBand="1"/>
      </w:tblPr>
      <w:tblGrid>
        <w:gridCol w:w="2531"/>
        <w:gridCol w:w="1688"/>
        <w:gridCol w:w="1686"/>
      </w:tblGrid>
      <w:tr w:rsidR="00986448" w:rsidRPr="00641FAE" w14:paraId="139C0DA1" w14:textId="77777777" w:rsidTr="19FBF6E2">
        <w:trPr>
          <w:trHeight w:val="476"/>
          <w:jc w:val="center"/>
        </w:trPr>
        <w:tc>
          <w:tcPr>
            <w:tcW w:w="214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B18B2F" w14:textId="77777777" w:rsidR="00986448" w:rsidRPr="00641FAE" w:rsidRDefault="19FBF6E2" w:rsidP="19FBF6E2">
            <w:pPr>
              <w:widowControl/>
              <w:autoSpaceDE/>
              <w:autoSpaceDN/>
              <w:adjustRightInd/>
              <w:spacing w:after="0"/>
              <w:jc w:val="center"/>
              <w:rPr>
                <w:b/>
                <w:bCs/>
              </w:rPr>
            </w:pPr>
            <w:r w:rsidRPr="19FBF6E2">
              <w:rPr>
                <w:b/>
                <w:bCs/>
              </w:rPr>
              <w:t>Material</w:t>
            </w:r>
          </w:p>
        </w:tc>
        <w:tc>
          <w:tcPr>
            <w:tcW w:w="1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5748D" w14:textId="77777777" w:rsidR="00986448" w:rsidRPr="00641FAE" w:rsidRDefault="19FBF6E2" w:rsidP="19FBF6E2">
            <w:pPr>
              <w:widowControl/>
              <w:autoSpaceDE/>
              <w:autoSpaceDN/>
              <w:adjustRightInd/>
              <w:spacing w:after="0"/>
              <w:jc w:val="center"/>
              <w:rPr>
                <w:b/>
                <w:bCs/>
              </w:rPr>
            </w:pPr>
            <w:r w:rsidRPr="19FBF6E2">
              <w:rPr>
                <w:b/>
                <w:bCs/>
              </w:rPr>
              <w:t>Waste Generated (million tons)</w:t>
            </w:r>
          </w:p>
        </w:tc>
        <w:tc>
          <w:tcPr>
            <w:tcW w:w="14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C513F9" w14:textId="77777777" w:rsidR="00986448" w:rsidRPr="00641FAE" w:rsidRDefault="19FBF6E2" w:rsidP="19FBF6E2">
            <w:pPr>
              <w:widowControl/>
              <w:autoSpaceDE/>
              <w:autoSpaceDN/>
              <w:adjustRightInd/>
              <w:spacing w:after="0"/>
              <w:jc w:val="center"/>
              <w:rPr>
                <w:b/>
                <w:bCs/>
              </w:rPr>
            </w:pPr>
            <w:r w:rsidRPr="19FBF6E2">
              <w:rPr>
                <w:b/>
                <w:bCs/>
              </w:rPr>
              <w:t>Waste Recovered (million tons)</w:t>
            </w:r>
          </w:p>
        </w:tc>
      </w:tr>
      <w:tr w:rsidR="00986448" w:rsidRPr="00641FAE" w14:paraId="7F6DC920" w14:textId="77777777" w:rsidTr="19FBF6E2">
        <w:trPr>
          <w:trHeight w:val="300"/>
          <w:jc w:val="center"/>
        </w:trPr>
        <w:tc>
          <w:tcPr>
            <w:tcW w:w="21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F9F3" w14:textId="77777777" w:rsidR="00986448" w:rsidRPr="00ED598D" w:rsidRDefault="19FBF6E2" w:rsidP="008810A9">
            <w:pPr>
              <w:widowControl/>
              <w:autoSpaceDE/>
              <w:autoSpaceDN/>
              <w:adjustRightInd/>
              <w:spacing w:after="0"/>
              <w:ind w:firstLineChars="100" w:firstLine="200"/>
              <w:rPr>
                <w:szCs w:val="20"/>
              </w:rPr>
            </w:pPr>
            <w:r>
              <w:t>Yard trimmings</w:t>
            </w:r>
          </w:p>
        </w:tc>
        <w:tc>
          <w:tcPr>
            <w:tcW w:w="14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1B119" w14:textId="5DE8FD86" w:rsidR="00986448" w:rsidRPr="00ED598D" w:rsidRDefault="004460CC" w:rsidP="00A54167">
            <w:pPr>
              <w:widowControl/>
              <w:autoSpaceDE/>
              <w:autoSpaceDN/>
              <w:adjustRightInd/>
              <w:spacing w:after="0"/>
              <w:ind w:right="469"/>
              <w:jc w:val="right"/>
              <w:rPr>
                <w:szCs w:val="20"/>
              </w:rPr>
            </w:pPr>
            <w:r>
              <w:t>34.72</w:t>
            </w:r>
          </w:p>
        </w:tc>
        <w:tc>
          <w:tcPr>
            <w:tcW w:w="14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F369" w14:textId="7230DB98" w:rsidR="00986448" w:rsidRPr="00ED598D" w:rsidRDefault="004460CC" w:rsidP="00A54167">
            <w:pPr>
              <w:widowControl/>
              <w:autoSpaceDE/>
              <w:autoSpaceDN/>
              <w:adjustRightInd/>
              <w:spacing w:after="0"/>
              <w:ind w:right="486"/>
              <w:jc w:val="right"/>
              <w:rPr>
                <w:szCs w:val="20"/>
              </w:rPr>
            </w:pPr>
            <w:r>
              <w:t>21.29</w:t>
            </w:r>
          </w:p>
        </w:tc>
      </w:tr>
    </w:tbl>
    <w:p w14:paraId="31C9C37E" w14:textId="4C7C5E23" w:rsidR="00986448" w:rsidRPr="00DA4458" w:rsidRDefault="006B3338" w:rsidP="19FBF6E2">
      <w:pPr>
        <w:widowControl/>
        <w:autoSpaceDE/>
        <w:autoSpaceDN/>
        <w:adjustRightInd/>
        <w:spacing w:before="60"/>
        <w:ind w:left="720" w:firstLine="720"/>
        <w:rPr>
          <w:rFonts w:ascii="Calibri" w:hAnsi="Calibri"/>
          <w:color w:val="000000" w:themeColor="text1"/>
        </w:rPr>
      </w:pPr>
      <w:r>
        <w:rPr>
          <w:sz w:val="18"/>
          <w:szCs w:val="18"/>
        </w:rPr>
        <w:t xml:space="preserve">     </w:t>
      </w:r>
      <w:r w:rsidR="00986448" w:rsidRPr="19FBF6E2">
        <w:rPr>
          <w:i/>
          <w:iCs/>
          <w:sz w:val="18"/>
          <w:szCs w:val="18"/>
        </w:rPr>
        <w:t>Source:</w:t>
      </w:r>
      <w:r w:rsidR="00BE0480">
        <w:rPr>
          <w:sz w:val="18"/>
          <w:szCs w:val="18"/>
        </w:rPr>
        <w:t xml:space="preserve"> </w:t>
      </w:r>
      <w:r w:rsidR="00986448">
        <w:rPr>
          <w:sz w:val="18"/>
          <w:szCs w:val="18"/>
        </w:rPr>
        <w:t xml:space="preserve">Reference </w:t>
      </w:r>
      <w:r w:rsidR="00986448" w:rsidRPr="19FBF6E2">
        <w:fldChar w:fldCharType="begin"/>
      </w:r>
      <w:r w:rsidR="00986448">
        <w:rPr>
          <w:sz w:val="18"/>
          <w:szCs w:val="20"/>
        </w:rPr>
        <w:instrText xml:space="preserve"> NOTEREF _Ref477177681 \h </w:instrText>
      </w:r>
      <w:r w:rsidR="00986448" w:rsidRPr="19FBF6E2">
        <w:rPr>
          <w:sz w:val="18"/>
          <w:szCs w:val="20"/>
        </w:rPr>
        <w:fldChar w:fldCharType="separate"/>
      </w:r>
      <w:r w:rsidR="00073181">
        <w:rPr>
          <w:sz w:val="18"/>
          <w:szCs w:val="18"/>
        </w:rPr>
        <w:t>1</w:t>
      </w:r>
      <w:r w:rsidR="00986448" w:rsidRPr="19FBF6E2">
        <w:fldChar w:fldCharType="end"/>
      </w:r>
      <w:r w:rsidR="00986448">
        <w:rPr>
          <w:sz w:val="18"/>
          <w:szCs w:val="18"/>
        </w:rPr>
        <w:t>, Table 1</w:t>
      </w:r>
    </w:p>
    <w:p w14:paraId="4D4A2B5D" w14:textId="18D035CB" w:rsidR="001A09E7" w:rsidRDefault="00986448" w:rsidP="003D471D">
      <w:pPr>
        <w:widowControl/>
        <w:autoSpaceDE/>
        <w:autoSpaceDN/>
        <w:adjustRightInd/>
        <w:rPr>
          <w:szCs w:val="20"/>
        </w:rPr>
      </w:pPr>
      <w:r w:rsidRPr="19FBF6E2">
        <w:lastRenderedPageBreak/>
        <w:t xml:space="preserve">The values from </w:t>
      </w:r>
      <w:r w:rsidRPr="19FBF6E2">
        <w:fldChar w:fldCharType="begin"/>
      </w:r>
      <w:r>
        <w:rPr>
          <w:szCs w:val="20"/>
        </w:rPr>
        <w:instrText xml:space="preserve"> REF _Ref474398913 \h </w:instrText>
      </w:r>
      <w:r w:rsidRPr="19FBF6E2">
        <w:rPr>
          <w:szCs w:val="20"/>
        </w:rPr>
        <w:fldChar w:fldCharType="separate"/>
      </w:r>
      <w:r w:rsidR="00073181" w:rsidRPr="004B0DDF">
        <w:t xml:space="preserve">Table </w:t>
      </w:r>
      <w:r w:rsidR="00073181">
        <w:rPr>
          <w:noProof/>
        </w:rPr>
        <w:t>1</w:t>
      </w:r>
      <w:r w:rsidRPr="19FBF6E2">
        <w:fldChar w:fldCharType="end"/>
      </w:r>
      <w:r w:rsidRPr="19FBF6E2">
        <w:t xml:space="preserve"> </w:t>
      </w:r>
      <w:r w:rsidR="00157738" w:rsidRPr="19FBF6E2">
        <w:t>a</w:t>
      </w:r>
      <w:r w:rsidRPr="19FBF6E2">
        <w:t>re used with the U.S. population in 201</w:t>
      </w:r>
      <w:r w:rsidR="009D1541">
        <w:t>7</w:t>
      </w:r>
      <w:r w:rsidRPr="19FBF6E2">
        <w:t xml:space="preserve"> of 3</w:t>
      </w:r>
      <w:r w:rsidR="009D1541">
        <w:t>2</w:t>
      </w:r>
      <w:r w:rsidRPr="19FBF6E2">
        <w:t>9 million people</w:t>
      </w:r>
      <w:r w:rsidRPr="19FBF6E2">
        <w:rPr>
          <w:rStyle w:val="EndnoteReference"/>
        </w:rPr>
        <w:endnoteReference w:id="4"/>
      </w:r>
      <w:r w:rsidRPr="19FBF6E2">
        <w:t xml:space="preserve"> to determine per-</w:t>
      </w:r>
      <w:r w:rsidR="00B97E6E" w:rsidRPr="19FBF6E2">
        <w:t xml:space="preserve">capita </w:t>
      </w:r>
      <w:r w:rsidRPr="19FBF6E2">
        <w:t xml:space="preserve">values of food and yard </w:t>
      </w:r>
      <w:r w:rsidR="00B97E6E" w:rsidRPr="19FBF6E2">
        <w:t>waste recovered for composting</w:t>
      </w:r>
      <w:r w:rsidRPr="19FBF6E2">
        <w:t>.</w:t>
      </w:r>
      <w:r w:rsidR="00B97E6E" w:rsidRPr="19FBF6E2">
        <w:t xml:space="preserve"> </w:t>
      </w:r>
    </w:p>
    <w:p w14:paraId="00B348E2" w14:textId="77777777" w:rsidR="001A09E7" w:rsidRPr="001A09E7" w:rsidRDefault="001A09E7" w:rsidP="003D471D">
      <w:pPr>
        <w:widowControl/>
        <w:autoSpaceDE/>
        <w:autoSpaceDN/>
        <w:adjustRightInd/>
        <w:rPr>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770E9B" w14:paraId="510F7B67" w14:textId="77777777" w:rsidTr="00F33727">
        <w:trPr>
          <w:trHeight w:val="585"/>
        </w:trPr>
        <w:tc>
          <w:tcPr>
            <w:tcW w:w="8748" w:type="dxa"/>
          </w:tcPr>
          <w:p w14:paraId="25BC0F25" w14:textId="40F90BDE" w:rsidR="00770E9B" w:rsidRPr="00770E9B" w:rsidRDefault="003555C0" w:rsidP="00770E9B">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PC</m:t>
                    </m:r>
                  </m:e>
                  <m:sub>
                    <m:r>
                      <w:rPr>
                        <w:rFonts w:ascii="Cambria Math" w:hAnsi="Cambria Math"/>
                        <w:szCs w:val="20"/>
                      </w:rPr>
                      <m:t>yard,US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yard,US</m:t>
                        </m:r>
                      </m:sub>
                    </m:sSub>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US</m:t>
                        </m:r>
                      </m:sub>
                    </m:sSub>
                  </m:den>
                </m:f>
              </m:oMath>
            </m:oMathPara>
          </w:p>
        </w:tc>
        <w:tc>
          <w:tcPr>
            <w:tcW w:w="828" w:type="dxa"/>
          </w:tcPr>
          <w:p w14:paraId="3A9DC15A" w14:textId="77777777" w:rsidR="00770E9B" w:rsidRPr="003D471D" w:rsidRDefault="00770E9B" w:rsidP="003D471D">
            <w:pPr>
              <w:pStyle w:val="ListParagraph"/>
              <w:widowControl/>
              <w:numPr>
                <w:ilvl w:val="0"/>
                <w:numId w:val="10"/>
              </w:numPr>
              <w:autoSpaceDE/>
              <w:autoSpaceDN/>
              <w:adjustRightInd/>
              <w:jc w:val="right"/>
              <w:rPr>
                <w:szCs w:val="20"/>
              </w:rPr>
            </w:pPr>
          </w:p>
        </w:tc>
      </w:tr>
    </w:tbl>
    <w:p w14:paraId="2655DEAA" w14:textId="77777777" w:rsidR="00986448" w:rsidRPr="0006347C" w:rsidRDefault="19FBF6E2" w:rsidP="00986448">
      <w:pPr>
        <w:widowControl/>
        <w:tabs>
          <w:tab w:val="left" w:pos="0"/>
        </w:tabs>
        <w:rPr>
          <w:szCs w:val="20"/>
        </w:rPr>
      </w:pPr>
      <w:r>
        <w:t>Where:</w:t>
      </w:r>
    </w:p>
    <w:p w14:paraId="45AB172C" w14:textId="77777777" w:rsidR="00986448" w:rsidRPr="0006347C" w:rsidRDefault="00986448" w:rsidP="19FBF6E2">
      <w:pPr>
        <w:pStyle w:val="NoSpacing"/>
        <w:tabs>
          <w:tab w:val="clear" w:pos="1584"/>
          <w:tab w:val="left" w:pos="1620"/>
          <w:tab w:val="left" w:pos="1800"/>
        </w:tabs>
        <w:ind w:left="1620"/>
        <w:rPr>
          <w:i/>
          <w:iCs/>
        </w:rPr>
      </w:pPr>
      <w:r>
        <w:rPr>
          <w:i/>
        </w:rPr>
        <w:tab/>
      </w:r>
      <w:proofErr w:type="spellStart"/>
      <w:r w:rsidRPr="19FBF6E2">
        <w:rPr>
          <w:i/>
          <w:iCs/>
        </w:rPr>
        <w:t>PC</w:t>
      </w:r>
      <w:r w:rsidR="007F53C1" w:rsidRPr="19FBF6E2">
        <w:rPr>
          <w:i/>
          <w:iCs/>
          <w:sz w:val="18"/>
          <w:szCs w:val="18"/>
          <w:vertAlign w:val="subscript"/>
        </w:rPr>
        <w:t>yard</w:t>
      </w:r>
      <w:proofErr w:type="gramStart"/>
      <w:r w:rsidR="007F53C1" w:rsidRPr="19FBF6E2">
        <w:rPr>
          <w:i/>
          <w:iCs/>
          <w:vertAlign w:val="subscript"/>
        </w:rPr>
        <w:t>,</w:t>
      </w:r>
      <w:r w:rsidRPr="19FBF6E2">
        <w:rPr>
          <w:i/>
          <w:iCs/>
          <w:vertAlign w:val="subscript"/>
        </w:rPr>
        <w:t>US</w:t>
      </w:r>
      <w:proofErr w:type="spellEnd"/>
      <w:proofErr w:type="gramEnd"/>
      <w:r w:rsidRPr="19FBF6E2">
        <w:rPr>
          <w:i/>
          <w:iCs/>
          <w:vertAlign w:val="subscript"/>
        </w:rPr>
        <w:t xml:space="preserve"> </w:t>
      </w:r>
      <w:r>
        <w:rPr>
          <w:i/>
          <w:vertAlign w:val="subscript"/>
        </w:rPr>
        <w:tab/>
      </w:r>
      <w:r w:rsidRPr="19FBF6E2">
        <w:rPr>
          <w:i/>
          <w:iCs/>
        </w:rPr>
        <w:t xml:space="preserve">= </w:t>
      </w:r>
      <w:r>
        <w:rPr>
          <w:i/>
        </w:rPr>
        <w:tab/>
      </w:r>
      <w:r w:rsidR="007F53C1">
        <w:t>Per-</w:t>
      </w:r>
      <w:r w:rsidRPr="00575857">
        <w:t xml:space="preserve">capita yard waste recovered for composting in the US, in </w:t>
      </w:r>
      <w:r>
        <w:t xml:space="preserve">tons </w:t>
      </w:r>
      <w:r w:rsidRPr="00575857">
        <w:t xml:space="preserve">per person per </w:t>
      </w:r>
      <w:r>
        <w:t xml:space="preserve">year </w:t>
      </w:r>
    </w:p>
    <w:p w14:paraId="00470CD8" w14:textId="77777777" w:rsidR="00986448" w:rsidRPr="00575857" w:rsidRDefault="00986448" w:rsidP="00A54167">
      <w:pPr>
        <w:pStyle w:val="NoSpacing"/>
        <w:tabs>
          <w:tab w:val="clear" w:pos="1584"/>
          <w:tab w:val="left" w:pos="1620"/>
          <w:tab w:val="left" w:pos="1800"/>
        </w:tabs>
        <w:ind w:left="1620"/>
      </w:pPr>
      <w:r>
        <w:rPr>
          <w:i/>
        </w:rPr>
        <w:tab/>
      </w:r>
      <w:proofErr w:type="spellStart"/>
      <w:r w:rsidRPr="19FBF6E2">
        <w:rPr>
          <w:i/>
          <w:iCs/>
        </w:rPr>
        <w:t>W</w:t>
      </w:r>
      <w:r w:rsidR="007F53C1" w:rsidRPr="19FBF6E2">
        <w:rPr>
          <w:i/>
          <w:iCs/>
          <w:vertAlign w:val="subscript"/>
        </w:rPr>
        <w:t>yard</w:t>
      </w:r>
      <w:proofErr w:type="gramStart"/>
      <w:r w:rsidR="007F53C1" w:rsidRPr="19FBF6E2">
        <w:rPr>
          <w:i/>
          <w:iCs/>
          <w:vertAlign w:val="subscript"/>
        </w:rPr>
        <w:t>,</w:t>
      </w:r>
      <w:r w:rsidRPr="19FBF6E2">
        <w:rPr>
          <w:i/>
          <w:iCs/>
          <w:vertAlign w:val="subscript"/>
        </w:rPr>
        <w:t>US</w:t>
      </w:r>
      <w:proofErr w:type="spellEnd"/>
      <w:proofErr w:type="gramEnd"/>
      <w:r>
        <w:rPr>
          <w:i/>
          <w:vertAlign w:val="subscript"/>
        </w:rPr>
        <w:tab/>
      </w:r>
      <w:r w:rsidRPr="19FBF6E2">
        <w:rPr>
          <w:i/>
          <w:iCs/>
        </w:rPr>
        <w:t xml:space="preserve">= </w:t>
      </w:r>
      <w:r>
        <w:rPr>
          <w:i/>
        </w:rPr>
        <w:tab/>
      </w:r>
      <w:r>
        <w:t>Total annual</w:t>
      </w:r>
      <w:r w:rsidRPr="00575857">
        <w:t xml:space="preserve"> yard waste recovered in the US, in tons/year</w:t>
      </w:r>
    </w:p>
    <w:p w14:paraId="40C47DFB" w14:textId="77777777" w:rsidR="00986448" w:rsidRPr="00575857" w:rsidRDefault="00986448" w:rsidP="00A54167">
      <w:pPr>
        <w:pStyle w:val="NoSpacing"/>
        <w:tabs>
          <w:tab w:val="clear" w:pos="1584"/>
          <w:tab w:val="left" w:pos="1620"/>
          <w:tab w:val="left" w:pos="1800"/>
        </w:tabs>
        <w:ind w:left="1620"/>
      </w:pPr>
      <w:r>
        <w:rPr>
          <w:i/>
        </w:rPr>
        <w:tab/>
      </w:r>
      <w:r w:rsidRPr="19FBF6E2">
        <w:rPr>
          <w:i/>
          <w:iCs/>
        </w:rPr>
        <w:t>P</w:t>
      </w:r>
      <w:r w:rsidRPr="19FBF6E2">
        <w:rPr>
          <w:i/>
          <w:iCs/>
          <w:vertAlign w:val="subscript"/>
        </w:rPr>
        <w:t>US</w:t>
      </w:r>
      <w:r>
        <w:rPr>
          <w:i/>
          <w:vertAlign w:val="subscript"/>
        </w:rPr>
        <w:tab/>
      </w:r>
      <w:r w:rsidRPr="19FBF6E2">
        <w:rPr>
          <w:i/>
          <w:iCs/>
        </w:rPr>
        <w:t xml:space="preserve">= </w:t>
      </w:r>
      <w:r>
        <w:rPr>
          <w:i/>
        </w:rPr>
        <w:tab/>
      </w:r>
      <w:r w:rsidRPr="00575857">
        <w:t xml:space="preserve">US population  </w:t>
      </w:r>
    </w:p>
    <w:p w14:paraId="4D21D2E9" w14:textId="77777777" w:rsidR="003D471D" w:rsidRDefault="003D471D" w:rsidP="003D471D">
      <w:pPr>
        <w:pStyle w:val="NoSpacing"/>
      </w:pPr>
    </w:p>
    <w:p w14:paraId="25A51CDF" w14:textId="207A0D97" w:rsidR="00B97E6E" w:rsidRDefault="19FBF6E2"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t xml:space="preserve">This calculation results in per-capita values of approximately 0.066 tons per person per year of yard waste recovered for composting. Please note that EPA data on composting does not include backyard composting. </w:t>
      </w:r>
    </w:p>
    <w:p w14:paraId="4A5163E3" w14:textId="197529B7" w:rsidR="007F53C1" w:rsidRDefault="19FBF6E2" w:rsidP="007F53C1">
      <w:pPr>
        <w:widowControl/>
        <w:tabs>
          <w:tab w:val="left" w:pos="0"/>
        </w:tabs>
        <w:rPr>
          <w:szCs w:val="20"/>
        </w:rPr>
      </w:pPr>
      <w:r>
        <w:t>The per-capita yard waste values from equation 1 are multiplied by the population of each state to estimate the state-level amount of yard waste recovered for composting.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7F53C1" w14:paraId="6B0A8CC7" w14:textId="77777777" w:rsidTr="00F33727">
        <w:trPr>
          <w:trHeight w:val="297"/>
        </w:trPr>
        <w:tc>
          <w:tcPr>
            <w:tcW w:w="8748" w:type="dxa"/>
          </w:tcPr>
          <w:p w14:paraId="2F71E33E" w14:textId="77777777" w:rsidR="007F53C1" w:rsidRDefault="003555C0" w:rsidP="00F33727">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PC</m:t>
                    </m:r>
                  </m:e>
                  <m:sub>
                    <m:r>
                      <w:rPr>
                        <w:rFonts w:ascii="Cambria Math" w:hAnsi="Cambria Math"/>
                        <w:szCs w:val="20"/>
                      </w:rPr>
                      <m:t>yard,US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s</m:t>
                    </m:r>
                  </m:sub>
                </m:sSub>
              </m:oMath>
            </m:oMathPara>
          </w:p>
        </w:tc>
        <w:tc>
          <w:tcPr>
            <w:tcW w:w="828" w:type="dxa"/>
          </w:tcPr>
          <w:p w14:paraId="3F278AF4" w14:textId="77777777" w:rsidR="007F53C1" w:rsidRPr="00986448" w:rsidRDefault="007F53C1" w:rsidP="00F33727">
            <w:pPr>
              <w:pStyle w:val="ListParagraph"/>
              <w:widowControl/>
              <w:numPr>
                <w:ilvl w:val="0"/>
                <w:numId w:val="10"/>
              </w:numPr>
              <w:autoSpaceDE/>
              <w:autoSpaceDN/>
              <w:adjustRightInd/>
              <w:jc w:val="right"/>
              <w:rPr>
                <w:szCs w:val="20"/>
              </w:rPr>
            </w:pPr>
          </w:p>
        </w:tc>
      </w:tr>
    </w:tbl>
    <w:p w14:paraId="0EC79BD7" w14:textId="77777777" w:rsidR="007F53C1" w:rsidRDefault="19FBF6E2" w:rsidP="007F53C1">
      <w:pPr>
        <w:widowControl/>
        <w:tabs>
          <w:tab w:val="left" w:pos="0"/>
        </w:tabs>
        <w:rPr>
          <w:szCs w:val="20"/>
        </w:rPr>
      </w:pPr>
      <w:r>
        <w:t>Where:</w:t>
      </w:r>
    </w:p>
    <w:p w14:paraId="1AB2502A" w14:textId="77777777" w:rsidR="007F53C1" w:rsidRPr="007026FD" w:rsidRDefault="007F53C1" w:rsidP="007F53C1">
      <w:pPr>
        <w:pStyle w:val="NoSpacing"/>
      </w:pPr>
      <w:r>
        <w:rPr>
          <w:i/>
        </w:rPr>
        <w:tab/>
      </w:r>
      <w:proofErr w:type="spellStart"/>
      <w:r w:rsidRPr="19FBF6E2">
        <w:rPr>
          <w:i/>
          <w:iCs/>
        </w:rPr>
        <w:t>W</w:t>
      </w:r>
      <w:r w:rsidRPr="19FBF6E2">
        <w:rPr>
          <w:i/>
          <w:iCs/>
          <w:vertAlign w:val="subscript"/>
        </w:rPr>
        <w:t>yard</w:t>
      </w:r>
      <w:proofErr w:type="gramStart"/>
      <w:r w:rsidRPr="19FBF6E2">
        <w:rPr>
          <w:i/>
          <w:iCs/>
          <w:vertAlign w:val="subscript"/>
        </w:rPr>
        <w:t>,s</w:t>
      </w:r>
      <w:proofErr w:type="spellEnd"/>
      <w:proofErr w:type="gramEnd"/>
      <w:r>
        <w:rPr>
          <w:vertAlign w:val="subscript"/>
        </w:rPr>
        <w:tab/>
      </w:r>
      <w:r>
        <w:t xml:space="preserve">= </w:t>
      </w:r>
      <w:r>
        <w:tab/>
        <w:t xml:space="preserve">Annual yard waste recovered for composting in </w:t>
      </w:r>
      <w:proofErr w:type="spellStart"/>
      <w:r>
        <w:t xml:space="preserve">state </w:t>
      </w:r>
      <w:r w:rsidRPr="19FBF6E2">
        <w:rPr>
          <w:i/>
          <w:iCs/>
        </w:rPr>
        <w:t>s</w:t>
      </w:r>
      <w:proofErr w:type="spellEnd"/>
      <w:r>
        <w:t>, in tons</w:t>
      </w:r>
    </w:p>
    <w:p w14:paraId="45BA128E" w14:textId="77777777" w:rsidR="008810A9" w:rsidRDefault="008810A9" w:rsidP="19FBF6E2">
      <w:pPr>
        <w:pStyle w:val="NoSpacing"/>
        <w:rPr>
          <w:i/>
          <w:iCs/>
        </w:rPr>
      </w:pPr>
      <w:r>
        <w:rPr>
          <w:i/>
        </w:rPr>
        <w:tab/>
      </w:r>
      <w:proofErr w:type="spellStart"/>
      <w:r w:rsidRPr="19FBF6E2">
        <w:rPr>
          <w:i/>
          <w:iCs/>
        </w:rPr>
        <w:t>PC</w:t>
      </w:r>
      <w:r w:rsidRPr="19FBF6E2">
        <w:rPr>
          <w:i/>
          <w:iCs/>
          <w:sz w:val="18"/>
          <w:szCs w:val="18"/>
          <w:vertAlign w:val="subscript"/>
        </w:rPr>
        <w:t>yard</w:t>
      </w:r>
      <w:proofErr w:type="gramStart"/>
      <w:r w:rsidRPr="19FBF6E2">
        <w:rPr>
          <w:i/>
          <w:iCs/>
          <w:vertAlign w:val="subscript"/>
        </w:rPr>
        <w:t>,US</w:t>
      </w:r>
      <w:proofErr w:type="spellEnd"/>
      <w:proofErr w:type="gramEnd"/>
      <w:r w:rsidRPr="19FBF6E2">
        <w:rPr>
          <w:i/>
          <w:iCs/>
          <w:vertAlign w:val="subscript"/>
        </w:rPr>
        <w:t xml:space="preserve"> </w:t>
      </w:r>
      <w:r w:rsidRPr="19FBF6E2">
        <w:rPr>
          <w:i/>
          <w:iCs/>
        </w:rPr>
        <w:t xml:space="preserve">= </w:t>
      </w:r>
      <w:r>
        <w:rPr>
          <w:i/>
        </w:rPr>
        <w:tab/>
      </w:r>
      <w:r>
        <w:t>Per-</w:t>
      </w:r>
      <w:r w:rsidRPr="00575857">
        <w:t xml:space="preserve">capita yard waste recovered for composting in the US, in </w:t>
      </w:r>
      <w:r>
        <w:t xml:space="preserve">tons </w:t>
      </w:r>
      <w:r w:rsidRPr="00575857">
        <w:t xml:space="preserve">per person per </w:t>
      </w:r>
      <w:r>
        <w:t>year</w:t>
      </w:r>
    </w:p>
    <w:p w14:paraId="0E66AD60" w14:textId="77777777" w:rsidR="007F53C1" w:rsidRDefault="007F53C1" w:rsidP="19FBF6E2">
      <w:pPr>
        <w:pStyle w:val="NoSpacing"/>
        <w:spacing w:after="200"/>
        <w:rPr>
          <w:i/>
          <w:iCs/>
        </w:rPr>
      </w:pPr>
      <w:r>
        <w:rPr>
          <w:i/>
        </w:rPr>
        <w:tab/>
      </w:r>
      <w:r w:rsidRPr="19FBF6E2">
        <w:rPr>
          <w:i/>
          <w:iCs/>
        </w:rPr>
        <w:t>P</w:t>
      </w:r>
      <w:r w:rsidRPr="19FBF6E2">
        <w:rPr>
          <w:i/>
          <w:iCs/>
          <w:vertAlign w:val="subscript"/>
        </w:rPr>
        <w:t>s</w:t>
      </w:r>
      <w:r>
        <w:rPr>
          <w:i/>
        </w:rPr>
        <w:tab/>
      </w:r>
      <w:r>
        <w:t>=</w:t>
      </w:r>
      <w:r>
        <w:tab/>
        <w:t xml:space="preserve">Population of state </w:t>
      </w:r>
      <w:r w:rsidRPr="19FBF6E2">
        <w:rPr>
          <w:i/>
          <w:iCs/>
        </w:rPr>
        <w:t>s</w:t>
      </w:r>
    </w:p>
    <w:p w14:paraId="36532D12" w14:textId="646C6DAB" w:rsidR="00B24CB0" w:rsidRDefault="00B24CB0"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19FBF6E2">
        <w:t xml:space="preserve">EPA reports the amount of food waste composted at the state level in the report </w:t>
      </w:r>
      <w:r w:rsidRPr="19FBF6E2">
        <w:rPr>
          <w:i/>
          <w:iCs/>
        </w:rPr>
        <w:t>Food Waste Manag</w:t>
      </w:r>
      <w:r w:rsidR="004460CC">
        <w:rPr>
          <w:i/>
          <w:iCs/>
        </w:rPr>
        <w:t>ement in the United States, 2015</w:t>
      </w:r>
      <w:r w:rsidRPr="19FBF6E2">
        <w:rPr>
          <w:i/>
          <w:iCs/>
        </w:rPr>
        <w:t>.</w:t>
      </w:r>
      <w:r w:rsidRPr="19FBF6E2">
        <w:fldChar w:fldCharType="begin"/>
      </w:r>
      <w:r w:rsidRPr="007D6365">
        <w:rPr>
          <w:szCs w:val="20"/>
          <w:vertAlign w:val="superscript"/>
        </w:rPr>
        <w:instrText xml:space="preserve"> NOTEREF _Ref477442096 \h  \* MERGEFORMAT </w:instrText>
      </w:r>
      <w:r w:rsidRPr="19FBF6E2">
        <w:rPr>
          <w:szCs w:val="20"/>
          <w:vertAlign w:val="superscript"/>
        </w:rPr>
        <w:fldChar w:fldCharType="separate"/>
      </w:r>
      <w:r w:rsidR="00073181" w:rsidRPr="19FBF6E2">
        <w:rPr>
          <w:vertAlign w:val="superscript"/>
        </w:rPr>
        <w:t>2</w:t>
      </w:r>
      <w:r w:rsidRPr="19FBF6E2">
        <w:fldChar w:fldCharType="end"/>
      </w:r>
      <w:r w:rsidRPr="19FBF6E2">
        <w:t xml:space="preserve"> These values are shown in </w:t>
      </w:r>
      <w:r w:rsidRPr="19FBF6E2">
        <w:fldChar w:fldCharType="begin"/>
      </w:r>
      <w:r>
        <w:rPr>
          <w:szCs w:val="20"/>
        </w:rPr>
        <w:instrText xml:space="preserve"> REF _Ref477442487 \h </w:instrText>
      </w:r>
      <w:r w:rsidRPr="19FBF6E2">
        <w:rPr>
          <w:szCs w:val="20"/>
        </w:rPr>
        <w:fldChar w:fldCharType="separate"/>
      </w:r>
      <w:r w:rsidR="00073181">
        <w:t xml:space="preserve">Table </w:t>
      </w:r>
      <w:r w:rsidR="00073181">
        <w:rPr>
          <w:noProof/>
        </w:rPr>
        <w:t>2</w:t>
      </w:r>
      <w:r w:rsidRPr="19FBF6E2">
        <w:fldChar w:fldCharType="end"/>
      </w:r>
      <w:r w:rsidRPr="19FBF6E2">
        <w:t xml:space="preserve">. EPA collected these data </w:t>
      </w:r>
      <w:r w:rsidR="00024A94" w:rsidRPr="19FBF6E2">
        <w:t>from state environmental websites and contacts with state agencies. The data year for each state is listed, and represents the latest data available. The data were not altered from the original reference for use in this methodology.</w:t>
      </w:r>
    </w:p>
    <w:p w14:paraId="5CD6858D" w14:textId="50C6BB53" w:rsidR="00B24CB0" w:rsidRDefault="00B24CB0" w:rsidP="007D6365">
      <w:pPr>
        <w:pStyle w:val="TableCaption"/>
      </w:pPr>
      <w:bookmarkStart w:id="6" w:name="_Ref477442487"/>
      <w:r>
        <w:t xml:space="preserve">Table </w:t>
      </w:r>
      <w:fldSimple w:instr=" SEQ Table \* ARABIC ">
        <w:r w:rsidR="00073181" w:rsidRPr="19FBF6E2">
          <w:t>2</w:t>
        </w:r>
      </w:fldSimple>
      <w:bookmarkEnd w:id="6"/>
      <w:r>
        <w:t>. State-level food waste composting.</w:t>
      </w: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83"/>
        <w:gridCol w:w="1008"/>
        <w:gridCol w:w="576"/>
        <w:gridCol w:w="1584"/>
        <w:gridCol w:w="1183"/>
        <w:gridCol w:w="1008"/>
      </w:tblGrid>
      <w:tr w:rsidR="00024A94" w:rsidRPr="00B24CB0" w14:paraId="1CBAE176" w14:textId="3FFC39C3" w:rsidTr="19FBF6E2">
        <w:trPr>
          <w:trHeight w:val="300"/>
          <w:tblHeader/>
          <w:jc w:val="center"/>
        </w:trPr>
        <w:tc>
          <w:tcPr>
            <w:tcW w:w="1584" w:type="dxa"/>
            <w:shd w:val="clear" w:color="auto" w:fill="BFBFBF" w:themeFill="background1" w:themeFillShade="BF"/>
            <w:noWrap/>
            <w:vAlign w:val="bottom"/>
            <w:hideMark/>
          </w:tcPr>
          <w:p w14:paraId="4A157C43" w14:textId="77777777" w:rsidR="00024A94" w:rsidRPr="007D6365" w:rsidRDefault="19FBF6E2" w:rsidP="19FBF6E2">
            <w:pPr>
              <w:widowControl/>
              <w:autoSpaceDE/>
              <w:autoSpaceDN/>
              <w:adjustRightInd/>
              <w:spacing w:after="0"/>
              <w:rPr>
                <w:b/>
                <w:bCs/>
                <w:color w:val="000000" w:themeColor="text1"/>
              </w:rPr>
            </w:pPr>
            <w:r w:rsidRPr="19FBF6E2">
              <w:rPr>
                <w:b/>
                <w:bCs/>
                <w:color w:val="000000" w:themeColor="text1"/>
              </w:rPr>
              <w:t>State</w:t>
            </w:r>
          </w:p>
        </w:tc>
        <w:tc>
          <w:tcPr>
            <w:tcW w:w="1183" w:type="dxa"/>
            <w:shd w:val="clear" w:color="auto" w:fill="BFBFBF" w:themeFill="background1" w:themeFillShade="BF"/>
            <w:noWrap/>
            <w:vAlign w:val="bottom"/>
            <w:hideMark/>
          </w:tcPr>
          <w:p w14:paraId="354CF13B" w14:textId="77777777" w:rsidR="00024A94" w:rsidRPr="007D6365" w:rsidRDefault="19FBF6E2" w:rsidP="19FBF6E2">
            <w:pPr>
              <w:widowControl/>
              <w:autoSpaceDE/>
              <w:autoSpaceDN/>
              <w:adjustRightInd/>
              <w:spacing w:after="0"/>
              <w:jc w:val="center"/>
              <w:rPr>
                <w:b/>
                <w:bCs/>
                <w:color w:val="000000" w:themeColor="text1"/>
              </w:rPr>
            </w:pPr>
            <w:r w:rsidRPr="19FBF6E2">
              <w:rPr>
                <w:b/>
                <w:bCs/>
                <w:color w:val="000000" w:themeColor="text1"/>
              </w:rPr>
              <w:t>Food Composted (tons)</w:t>
            </w:r>
          </w:p>
        </w:tc>
        <w:tc>
          <w:tcPr>
            <w:tcW w:w="1008" w:type="dxa"/>
            <w:shd w:val="clear" w:color="auto" w:fill="BFBFBF" w:themeFill="background1" w:themeFillShade="BF"/>
            <w:noWrap/>
            <w:vAlign w:val="bottom"/>
            <w:hideMark/>
          </w:tcPr>
          <w:p w14:paraId="63CF2492" w14:textId="3AD89E8C" w:rsidR="00024A94" w:rsidRPr="007D6365" w:rsidRDefault="19FBF6E2" w:rsidP="19FBF6E2">
            <w:pPr>
              <w:widowControl/>
              <w:autoSpaceDE/>
              <w:autoSpaceDN/>
              <w:adjustRightInd/>
              <w:spacing w:after="0"/>
              <w:jc w:val="center"/>
              <w:rPr>
                <w:b/>
                <w:bCs/>
                <w:color w:val="000000" w:themeColor="text1"/>
              </w:rPr>
            </w:pPr>
            <w:r w:rsidRPr="19FBF6E2">
              <w:rPr>
                <w:b/>
                <w:bCs/>
                <w:color w:val="000000" w:themeColor="text1"/>
              </w:rPr>
              <w:t>Data Year</w:t>
            </w:r>
          </w:p>
        </w:tc>
        <w:tc>
          <w:tcPr>
            <w:tcW w:w="576" w:type="dxa"/>
            <w:tcBorders>
              <w:top w:val="nil"/>
              <w:bottom w:val="nil"/>
            </w:tcBorders>
            <w:shd w:val="clear" w:color="auto" w:fill="FFFFFF" w:themeFill="background1"/>
          </w:tcPr>
          <w:p w14:paraId="2A57D9B4" w14:textId="77777777" w:rsidR="00024A94" w:rsidRPr="00AF2EBF" w:rsidRDefault="00024A94" w:rsidP="00024A94">
            <w:pPr>
              <w:widowControl/>
              <w:autoSpaceDE/>
              <w:autoSpaceDN/>
              <w:adjustRightInd/>
              <w:spacing w:after="0"/>
              <w:jc w:val="center"/>
              <w:rPr>
                <w:b/>
                <w:color w:val="000000"/>
                <w:szCs w:val="20"/>
              </w:rPr>
            </w:pPr>
          </w:p>
        </w:tc>
        <w:tc>
          <w:tcPr>
            <w:tcW w:w="1584" w:type="dxa"/>
            <w:shd w:val="clear" w:color="auto" w:fill="BFBFBF" w:themeFill="background1" w:themeFillShade="BF"/>
            <w:vAlign w:val="bottom"/>
          </w:tcPr>
          <w:p w14:paraId="7E086534" w14:textId="19A00120" w:rsidR="00024A94" w:rsidRDefault="19FBF6E2" w:rsidP="19FBF6E2">
            <w:pPr>
              <w:widowControl/>
              <w:autoSpaceDE/>
              <w:autoSpaceDN/>
              <w:adjustRightInd/>
              <w:spacing w:after="0"/>
              <w:rPr>
                <w:b/>
                <w:bCs/>
                <w:color w:val="000000" w:themeColor="text1"/>
              </w:rPr>
            </w:pPr>
            <w:r w:rsidRPr="19FBF6E2">
              <w:rPr>
                <w:b/>
                <w:bCs/>
                <w:color w:val="000000" w:themeColor="text1"/>
              </w:rPr>
              <w:t>State</w:t>
            </w:r>
          </w:p>
        </w:tc>
        <w:tc>
          <w:tcPr>
            <w:tcW w:w="1183" w:type="dxa"/>
            <w:shd w:val="clear" w:color="auto" w:fill="BFBFBF" w:themeFill="background1" w:themeFillShade="BF"/>
            <w:vAlign w:val="bottom"/>
          </w:tcPr>
          <w:p w14:paraId="399CD89A" w14:textId="547202E4" w:rsidR="00024A94" w:rsidRDefault="19FBF6E2" w:rsidP="19FBF6E2">
            <w:pPr>
              <w:widowControl/>
              <w:autoSpaceDE/>
              <w:autoSpaceDN/>
              <w:adjustRightInd/>
              <w:spacing w:after="0"/>
              <w:jc w:val="center"/>
              <w:rPr>
                <w:b/>
                <w:bCs/>
                <w:color w:val="000000" w:themeColor="text1"/>
              </w:rPr>
            </w:pPr>
            <w:r w:rsidRPr="19FBF6E2">
              <w:rPr>
                <w:b/>
                <w:bCs/>
                <w:color w:val="000000" w:themeColor="text1"/>
              </w:rPr>
              <w:t>Food Composted (tons)</w:t>
            </w:r>
          </w:p>
        </w:tc>
        <w:tc>
          <w:tcPr>
            <w:tcW w:w="1008" w:type="dxa"/>
            <w:shd w:val="clear" w:color="auto" w:fill="BFBFBF" w:themeFill="background1" w:themeFillShade="BF"/>
            <w:vAlign w:val="bottom"/>
          </w:tcPr>
          <w:p w14:paraId="4A40C1AF" w14:textId="34E5CABB" w:rsidR="00024A94" w:rsidRDefault="19FBF6E2" w:rsidP="19FBF6E2">
            <w:pPr>
              <w:widowControl/>
              <w:autoSpaceDE/>
              <w:autoSpaceDN/>
              <w:adjustRightInd/>
              <w:spacing w:after="0"/>
              <w:jc w:val="center"/>
              <w:rPr>
                <w:b/>
                <w:bCs/>
                <w:color w:val="000000" w:themeColor="text1"/>
              </w:rPr>
            </w:pPr>
            <w:r w:rsidRPr="19FBF6E2">
              <w:rPr>
                <w:b/>
                <w:bCs/>
                <w:color w:val="000000" w:themeColor="text1"/>
              </w:rPr>
              <w:t>Data Year</w:t>
            </w:r>
          </w:p>
        </w:tc>
      </w:tr>
      <w:tr w:rsidR="00024A94" w:rsidRPr="00B24CB0" w14:paraId="0E845EE7" w14:textId="31533A3B" w:rsidTr="19FBF6E2">
        <w:trPr>
          <w:trHeight w:val="300"/>
          <w:jc w:val="center"/>
        </w:trPr>
        <w:tc>
          <w:tcPr>
            <w:tcW w:w="1584" w:type="dxa"/>
            <w:shd w:val="clear" w:color="auto" w:fill="auto"/>
            <w:noWrap/>
            <w:vAlign w:val="bottom"/>
            <w:hideMark/>
          </w:tcPr>
          <w:p w14:paraId="48683F56"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California</w:t>
            </w:r>
          </w:p>
        </w:tc>
        <w:tc>
          <w:tcPr>
            <w:tcW w:w="1183" w:type="dxa"/>
            <w:shd w:val="clear" w:color="auto" w:fill="auto"/>
            <w:noWrap/>
            <w:vAlign w:val="bottom"/>
            <w:hideMark/>
          </w:tcPr>
          <w:p w14:paraId="6252AD6B"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715,119</w:t>
            </w:r>
          </w:p>
        </w:tc>
        <w:tc>
          <w:tcPr>
            <w:tcW w:w="1008" w:type="dxa"/>
            <w:shd w:val="clear" w:color="auto" w:fill="auto"/>
            <w:noWrap/>
            <w:vAlign w:val="bottom"/>
            <w:hideMark/>
          </w:tcPr>
          <w:p w14:paraId="18D3C049"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2012</w:t>
            </w:r>
          </w:p>
        </w:tc>
        <w:tc>
          <w:tcPr>
            <w:tcW w:w="576" w:type="dxa"/>
            <w:tcBorders>
              <w:top w:val="nil"/>
              <w:bottom w:val="nil"/>
            </w:tcBorders>
          </w:tcPr>
          <w:p w14:paraId="62E852C9"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0778B275" w14:textId="0747A742" w:rsidR="00024A94" w:rsidRPr="00B24CB0" w:rsidRDefault="19FBF6E2" w:rsidP="19FBF6E2">
            <w:pPr>
              <w:widowControl/>
              <w:autoSpaceDE/>
              <w:autoSpaceDN/>
              <w:adjustRightInd/>
              <w:spacing w:after="0"/>
              <w:rPr>
                <w:color w:val="000000" w:themeColor="text1"/>
              </w:rPr>
            </w:pPr>
            <w:r w:rsidRPr="19FBF6E2">
              <w:rPr>
                <w:color w:val="000000" w:themeColor="text1"/>
              </w:rPr>
              <w:t>Nevada</w:t>
            </w:r>
          </w:p>
        </w:tc>
        <w:tc>
          <w:tcPr>
            <w:tcW w:w="1183" w:type="dxa"/>
            <w:vAlign w:val="bottom"/>
          </w:tcPr>
          <w:p w14:paraId="7C03A1B0" w14:textId="517FC6BE" w:rsidR="00024A94" w:rsidRPr="00B24CB0" w:rsidRDefault="19FBF6E2" w:rsidP="19FBF6E2">
            <w:pPr>
              <w:widowControl/>
              <w:autoSpaceDE/>
              <w:autoSpaceDN/>
              <w:adjustRightInd/>
              <w:spacing w:after="0"/>
              <w:jc w:val="right"/>
              <w:rPr>
                <w:color w:val="000000" w:themeColor="text1"/>
              </w:rPr>
            </w:pPr>
            <w:r w:rsidRPr="19FBF6E2">
              <w:rPr>
                <w:color w:val="000000" w:themeColor="text1"/>
              </w:rPr>
              <w:t>35,869</w:t>
            </w:r>
          </w:p>
        </w:tc>
        <w:tc>
          <w:tcPr>
            <w:tcW w:w="1008" w:type="dxa"/>
            <w:vAlign w:val="bottom"/>
          </w:tcPr>
          <w:p w14:paraId="60EDB33C" w14:textId="2DF85206"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634C55CA" w14:textId="1A0201C8" w:rsidTr="19FBF6E2">
        <w:trPr>
          <w:trHeight w:val="300"/>
          <w:jc w:val="center"/>
        </w:trPr>
        <w:tc>
          <w:tcPr>
            <w:tcW w:w="1584" w:type="dxa"/>
            <w:shd w:val="clear" w:color="auto" w:fill="auto"/>
            <w:noWrap/>
            <w:vAlign w:val="bottom"/>
            <w:hideMark/>
          </w:tcPr>
          <w:p w14:paraId="0739881B"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Colorado</w:t>
            </w:r>
          </w:p>
        </w:tc>
        <w:tc>
          <w:tcPr>
            <w:tcW w:w="1183" w:type="dxa"/>
            <w:shd w:val="clear" w:color="auto" w:fill="auto"/>
            <w:noWrap/>
            <w:vAlign w:val="bottom"/>
            <w:hideMark/>
          </w:tcPr>
          <w:p w14:paraId="45273286"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29,130</w:t>
            </w:r>
          </w:p>
        </w:tc>
        <w:tc>
          <w:tcPr>
            <w:tcW w:w="1008" w:type="dxa"/>
            <w:shd w:val="clear" w:color="auto" w:fill="auto"/>
            <w:noWrap/>
            <w:vAlign w:val="bottom"/>
            <w:hideMark/>
          </w:tcPr>
          <w:p w14:paraId="0BCA19CC"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37C28A1E"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3AD56C12" w14:textId="05BCD1A0" w:rsidR="00024A94" w:rsidRPr="00B24CB0" w:rsidRDefault="19FBF6E2" w:rsidP="19FBF6E2">
            <w:pPr>
              <w:widowControl/>
              <w:autoSpaceDE/>
              <w:autoSpaceDN/>
              <w:adjustRightInd/>
              <w:spacing w:after="0"/>
              <w:rPr>
                <w:color w:val="000000" w:themeColor="text1"/>
              </w:rPr>
            </w:pPr>
            <w:r w:rsidRPr="19FBF6E2">
              <w:rPr>
                <w:color w:val="000000" w:themeColor="text1"/>
              </w:rPr>
              <w:t>New Hampshire</w:t>
            </w:r>
          </w:p>
        </w:tc>
        <w:tc>
          <w:tcPr>
            <w:tcW w:w="1183" w:type="dxa"/>
            <w:vAlign w:val="bottom"/>
          </w:tcPr>
          <w:p w14:paraId="7C454099" w14:textId="10825C5C" w:rsidR="00024A94" w:rsidRPr="00B24CB0" w:rsidRDefault="19FBF6E2" w:rsidP="19FBF6E2">
            <w:pPr>
              <w:widowControl/>
              <w:autoSpaceDE/>
              <w:autoSpaceDN/>
              <w:adjustRightInd/>
              <w:spacing w:after="0"/>
              <w:jc w:val="right"/>
              <w:rPr>
                <w:color w:val="000000" w:themeColor="text1"/>
              </w:rPr>
            </w:pPr>
            <w:r w:rsidRPr="19FBF6E2">
              <w:rPr>
                <w:color w:val="000000" w:themeColor="text1"/>
              </w:rPr>
              <w:t>110</w:t>
            </w:r>
          </w:p>
        </w:tc>
        <w:tc>
          <w:tcPr>
            <w:tcW w:w="1008" w:type="dxa"/>
            <w:vAlign w:val="bottom"/>
          </w:tcPr>
          <w:p w14:paraId="5A0B083B" w14:textId="741DE659"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2012</w:t>
            </w:r>
          </w:p>
        </w:tc>
      </w:tr>
      <w:tr w:rsidR="00024A94" w:rsidRPr="00B24CB0" w14:paraId="6FA6DC8B" w14:textId="7447B093" w:rsidTr="19FBF6E2">
        <w:trPr>
          <w:trHeight w:val="300"/>
          <w:jc w:val="center"/>
        </w:trPr>
        <w:tc>
          <w:tcPr>
            <w:tcW w:w="1584" w:type="dxa"/>
            <w:shd w:val="clear" w:color="auto" w:fill="auto"/>
            <w:noWrap/>
            <w:vAlign w:val="bottom"/>
            <w:hideMark/>
          </w:tcPr>
          <w:p w14:paraId="02840672"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Connecticut</w:t>
            </w:r>
          </w:p>
        </w:tc>
        <w:tc>
          <w:tcPr>
            <w:tcW w:w="1183" w:type="dxa"/>
            <w:shd w:val="clear" w:color="auto" w:fill="auto"/>
            <w:noWrap/>
            <w:vAlign w:val="bottom"/>
            <w:hideMark/>
          </w:tcPr>
          <w:p w14:paraId="1DF7F1A6"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4,644</w:t>
            </w:r>
          </w:p>
        </w:tc>
        <w:tc>
          <w:tcPr>
            <w:tcW w:w="1008" w:type="dxa"/>
            <w:shd w:val="clear" w:color="auto" w:fill="auto"/>
            <w:noWrap/>
            <w:vAlign w:val="bottom"/>
            <w:hideMark/>
          </w:tcPr>
          <w:p w14:paraId="4BFE238E"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6026A1D7"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1244C087" w14:textId="3D397412" w:rsidR="00024A94" w:rsidRPr="00B24CB0" w:rsidRDefault="19FBF6E2" w:rsidP="19FBF6E2">
            <w:pPr>
              <w:widowControl/>
              <w:autoSpaceDE/>
              <w:autoSpaceDN/>
              <w:adjustRightInd/>
              <w:spacing w:after="0"/>
              <w:rPr>
                <w:color w:val="000000" w:themeColor="text1"/>
              </w:rPr>
            </w:pPr>
            <w:r w:rsidRPr="19FBF6E2">
              <w:rPr>
                <w:color w:val="000000" w:themeColor="text1"/>
              </w:rPr>
              <w:t>New Jersey</w:t>
            </w:r>
          </w:p>
        </w:tc>
        <w:tc>
          <w:tcPr>
            <w:tcW w:w="1183" w:type="dxa"/>
            <w:vAlign w:val="bottom"/>
          </w:tcPr>
          <w:p w14:paraId="3DF435FA" w14:textId="3282272E" w:rsidR="00024A94" w:rsidRPr="00B24CB0" w:rsidRDefault="19FBF6E2" w:rsidP="19FBF6E2">
            <w:pPr>
              <w:widowControl/>
              <w:autoSpaceDE/>
              <w:autoSpaceDN/>
              <w:adjustRightInd/>
              <w:spacing w:after="0"/>
              <w:jc w:val="right"/>
              <w:rPr>
                <w:color w:val="000000" w:themeColor="text1"/>
              </w:rPr>
            </w:pPr>
            <w:r w:rsidRPr="19FBF6E2">
              <w:rPr>
                <w:color w:val="000000" w:themeColor="text1"/>
              </w:rPr>
              <w:t>28,634</w:t>
            </w:r>
          </w:p>
        </w:tc>
        <w:tc>
          <w:tcPr>
            <w:tcW w:w="1008" w:type="dxa"/>
            <w:vAlign w:val="bottom"/>
          </w:tcPr>
          <w:p w14:paraId="7D4DDBE1" w14:textId="4625D133"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2012</w:t>
            </w:r>
          </w:p>
        </w:tc>
      </w:tr>
      <w:tr w:rsidR="00024A94" w:rsidRPr="00B24CB0" w14:paraId="3F9669D1" w14:textId="2EF936E8" w:rsidTr="19FBF6E2">
        <w:trPr>
          <w:trHeight w:val="300"/>
          <w:jc w:val="center"/>
        </w:trPr>
        <w:tc>
          <w:tcPr>
            <w:tcW w:w="1584" w:type="dxa"/>
            <w:shd w:val="clear" w:color="auto" w:fill="auto"/>
            <w:noWrap/>
            <w:vAlign w:val="bottom"/>
            <w:hideMark/>
          </w:tcPr>
          <w:p w14:paraId="6F67B827"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Delaware</w:t>
            </w:r>
          </w:p>
        </w:tc>
        <w:tc>
          <w:tcPr>
            <w:tcW w:w="1183" w:type="dxa"/>
            <w:shd w:val="clear" w:color="auto" w:fill="auto"/>
            <w:noWrap/>
            <w:vAlign w:val="bottom"/>
            <w:hideMark/>
          </w:tcPr>
          <w:p w14:paraId="7910B384"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17,626</w:t>
            </w:r>
          </w:p>
        </w:tc>
        <w:tc>
          <w:tcPr>
            <w:tcW w:w="1008" w:type="dxa"/>
            <w:shd w:val="clear" w:color="auto" w:fill="auto"/>
            <w:noWrap/>
            <w:vAlign w:val="bottom"/>
            <w:hideMark/>
          </w:tcPr>
          <w:p w14:paraId="10C3B8D4"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506F673F"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36872F10" w14:textId="451BA400" w:rsidR="00024A94" w:rsidRPr="00B24CB0" w:rsidRDefault="19FBF6E2" w:rsidP="19FBF6E2">
            <w:pPr>
              <w:widowControl/>
              <w:autoSpaceDE/>
              <w:autoSpaceDN/>
              <w:adjustRightInd/>
              <w:spacing w:after="0"/>
              <w:rPr>
                <w:color w:val="000000" w:themeColor="text1"/>
              </w:rPr>
            </w:pPr>
            <w:r w:rsidRPr="19FBF6E2">
              <w:rPr>
                <w:color w:val="000000" w:themeColor="text1"/>
              </w:rPr>
              <w:t>New York</w:t>
            </w:r>
          </w:p>
        </w:tc>
        <w:tc>
          <w:tcPr>
            <w:tcW w:w="1183" w:type="dxa"/>
            <w:vAlign w:val="bottom"/>
          </w:tcPr>
          <w:p w14:paraId="70486543" w14:textId="68D4971D" w:rsidR="00024A94" w:rsidRPr="00B24CB0" w:rsidRDefault="19FBF6E2" w:rsidP="19FBF6E2">
            <w:pPr>
              <w:widowControl/>
              <w:autoSpaceDE/>
              <w:autoSpaceDN/>
              <w:adjustRightInd/>
              <w:spacing w:after="0"/>
              <w:jc w:val="right"/>
              <w:rPr>
                <w:color w:val="000000" w:themeColor="text1"/>
              </w:rPr>
            </w:pPr>
            <w:r w:rsidRPr="19FBF6E2">
              <w:rPr>
                <w:color w:val="000000" w:themeColor="text1"/>
              </w:rPr>
              <w:t>44,405</w:t>
            </w:r>
          </w:p>
        </w:tc>
        <w:tc>
          <w:tcPr>
            <w:tcW w:w="1008" w:type="dxa"/>
            <w:vAlign w:val="bottom"/>
          </w:tcPr>
          <w:p w14:paraId="29BC38FA" w14:textId="3EB62175"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638B1249" w14:textId="34E2885E" w:rsidTr="19FBF6E2">
        <w:trPr>
          <w:trHeight w:val="300"/>
          <w:jc w:val="center"/>
        </w:trPr>
        <w:tc>
          <w:tcPr>
            <w:tcW w:w="1584" w:type="dxa"/>
            <w:shd w:val="clear" w:color="auto" w:fill="auto"/>
            <w:noWrap/>
            <w:vAlign w:val="bottom"/>
            <w:hideMark/>
          </w:tcPr>
          <w:p w14:paraId="086657BD"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Florida</w:t>
            </w:r>
          </w:p>
        </w:tc>
        <w:tc>
          <w:tcPr>
            <w:tcW w:w="1183" w:type="dxa"/>
            <w:shd w:val="clear" w:color="auto" w:fill="auto"/>
            <w:noWrap/>
            <w:vAlign w:val="bottom"/>
            <w:hideMark/>
          </w:tcPr>
          <w:p w14:paraId="594094D9"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158,711</w:t>
            </w:r>
          </w:p>
        </w:tc>
        <w:tc>
          <w:tcPr>
            <w:tcW w:w="1008" w:type="dxa"/>
            <w:shd w:val="clear" w:color="auto" w:fill="auto"/>
            <w:noWrap/>
            <w:vAlign w:val="bottom"/>
            <w:hideMark/>
          </w:tcPr>
          <w:p w14:paraId="1D9B2299"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7F9E1F4D"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5FE6B919" w14:textId="5CD8AE28" w:rsidR="00024A94" w:rsidRPr="00B24CB0" w:rsidRDefault="19FBF6E2" w:rsidP="19FBF6E2">
            <w:pPr>
              <w:widowControl/>
              <w:autoSpaceDE/>
              <w:autoSpaceDN/>
              <w:adjustRightInd/>
              <w:spacing w:after="0"/>
              <w:rPr>
                <w:color w:val="000000" w:themeColor="text1"/>
              </w:rPr>
            </w:pPr>
            <w:r w:rsidRPr="19FBF6E2">
              <w:rPr>
                <w:color w:val="000000" w:themeColor="text1"/>
              </w:rPr>
              <w:t>North Carolina</w:t>
            </w:r>
          </w:p>
        </w:tc>
        <w:tc>
          <w:tcPr>
            <w:tcW w:w="1183" w:type="dxa"/>
            <w:vAlign w:val="bottom"/>
          </w:tcPr>
          <w:p w14:paraId="50AD1FF9" w14:textId="46FBC7F2" w:rsidR="00024A94" w:rsidRPr="00B24CB0" w:rsidRDefault="19FBF6E2" w:rsidP="19FBF6E2">
            <w:pPr>
              <w:widowControl/>
              <w:autoSpaceDE/>
              <w:autoSpaceDN/>
              <w:adjustRightInd/>
              <w:spacing w:after="0"/>
              <w:jc w:val="right"/>
              <w:rPr>
                <w:color w:val="000000" w:themeColor="text1"/>
              </w:rPr>
            </w:pPr>
            <w:r w:rsidRPr="19FBF6E2">
              <w:rPr>
                <w:color w:val="000000" w:themeColor="text1"/>
              </w:rPr>
              <w:t>38,014</w:t>
            </w:r>
          </w:p>
        </w:tc>
        <w:tc>
          <w:tcPr>
            <w:tcW w:w="1008" w:type="dxa"/>
            <w:vAlign w:val="bottom"/>
          </w:tcPr>
          <w:p w14:paraId="719644CE" w14:textId="443274E4"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27F31B56" w14:textId="2CDA77B1" w:rsidTr="19FBF6E2">
        <w:trPr>
          <w:trHeight w:val="300"/>
          <w:jc w:val="center"/>
        </w:trPr>
        <w:tc>
          <w:tcPr>
            <w:tcW w:w="1584" w:type="dxa"/>
            <w:shd w:val="clear" w:color="auto" w:fill="auto"/>
            <w:noWrap/>
            <w:vAlign w:val="bottom"/>
            <w:hideMark/>
          </w:tcPr>
          <w:p w14:paraId="69495807"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Georgia</w:t>
            </w:r>
          </w:p>
        </w:tc>
        <w:tc>
          <w:tcPr>
            <w:tcW w:w="1183" w:type="dxa"/>
            <w:shd w:val="clear" w:color="auto" w:fill="auto"/>
            <w:noWrap/>
            <w:vAlign w:val="bottom"/>
            <w:hideMark/>
          </w:tcPr>
          <w:p w14:paraId="3DC2F8C2"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8,021</w:t>
            </w:r>
          </w:p>
        </w:tc>
        <w:tc>
          <w:tcPr>
            <w:tcW w:w="1008" w:type="dxa"/>
            <w:shd w:val="clear" w:color="auto" w:fill="auto"/>
            <w:noWrap/>
            <w:vAlign w:val="bottom"/>
            <w:hideMark/>
          </w:tcPr>
          <w:p w14:paraId="7BCDF9BF"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279473C1"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15A82D2E" w14:textId="7023C6F4" w:rsidR="00024A94" w:rsidRPr="00B24CB0" w:rsidRDefault="19FBF6E2" w:rsidP="19FBF6E2">
            <w:pPr>
              <w:widowControl/>
              <w:autoSpaceDE/>
              <w:autoSpaceDN/>
              <w:adjustRightInd/>
              <w:spacing w:after="0"/>
              <w:rPr>
                <w:color w:val="000000" w:themeColor="text1"/>
              </w:rPr>
            </w:pPr>
            <w:r w:rsidRPr="19FBF6E2">
              <w:rPr>
                <w:color w:val="000000" w:themeColor="text1"/>
              </w:rPr>
              <w:t>Ohio</w:t>
            </w:r>
          </w:p>
        </w:tc>
        <w:tc>
          <w:tcPr>
            <w:tcW w:w="1183" w:type="dxa"/>
            <w:vAlign w:val="bottom"/>
          </w:tcPr>
          <w:p w14:paraId="3A7FCA33" w14:textId="4E4D4BB2" w:rsidR="00024A94" w:rsidRPr="00B24CB0" w:rsidRDefault="19FBF6E2" w:rsidP="19FBF6E2">
            <w:pPr>
              <w:widowControl/>
              <w:autoSpaceDE/>
              <w:autoSpaceDN/>
              <w:adjustRightInd/>
              <w:spacing w:after="0"/>
              <w:jc w:val="right"/>
              <w:rPr>
                <w:color w:val="000000" w:themeColor="text1"/>
              </w:rPr>
            </w:pPr>
            <w:r w:rsidRPr="19FBF6E2">
              <w:rPr>
                <w:color w:val="000000" w:themeColor="text1"/>
              </w:rPr>
              <w:t>81,450</w:t>
            </w:r>
          </w:p>
        </w:tc>
        <w:tc>
          <w:tcPr>
            <w:tcW w:w="1008" w:type="dxa"/>
            <w:vAlign w:val="bottom"/>
          </w:tcPr>
          <w:p w14:paraId="542E8782" w14:textId="065DD039"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6948E663" w14:textId="181167A3" w:rsidTr="19FBF6E2">
        <w:trPr>
          <w:trHeight w:val="300"/>
          <w:jc w:val="center"/>
        </w:trPr>
        <w:tc>
          <w:tcPr>
            <w:tcW w:w="1584" w:type="dxa"/>
            <w:shd w:val="clear" w:color="auto" w:fill="auto"/>
            <w:noWrap/>
            <w:vAlign w:val="bottom"/>
            <w:hideMark/>
          </w:tcPr>
          <w:p w14:paraId="346C6AF7"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Hawaii</w:t>
            </w:r>
          </w:p>
        </w:tc>
        <w:tc>
          <w:tcPr>
            <w:tcW w:w="1183" w:type="dxa"/>
            <w:shd w:val="clear" w:color="auto" w:fill="auto"/>
            <w:noWrap/>
            <w:vAlign w:val="bottom"/>
            <w:hideMark/>
          </w:tcPr>
          <w:p w14:paraId="3E504C77"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39,287</w:t>
            </w:r>
          </w:p>
        </w:tc>
        <w:tc>
          <w:tcPr>
            <w:tcW w:w="1008" w:type="dxa"/>
            <w:shd w:val="clear" w:color="auto" w:fill="auto"/>
            <w:noWrap/>
            <w:vAlign w:val="bottom"/>
            <w:hideMark/>
          </w:tcPr>
          <w:p w14:paraId="299236B1"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25874486"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15D01E14" w14:textId="0529895C" w:rsidR="00024A94" w:rsidRPr="00B24CB0" w:rsidRDefault="19FBF6E2" w:rsidP="19FBF6E2">
            <w:pPr>
              <w:widowControl/>
              <w:autoSpaceDE/>
              <w:autoSpaceDN/>
              <w:adjustRightInd/>
              <w:spacing w:after="0"/>
              <w:rPr>
                <w:color w:val="000000" w:themeColor="text1"/>
              </w:rPr>
            </w:pPr>
            <w:r w:rsidRPr="19FBF6E2">
              <w:rPr>
                <w:color w:val="000000" w:themeColor="text1"/>
              </w:rPr>
              <w:t>Oregon</w:t>
            </w:r>
          </w:p>
        </w:tc>
        <w:tc>
          <w:tcPr>
            <w:tcW w:w="1183" w:type="dxa"/>
            <w:vAlign w:val="bottom"/>
          </w:tcPr>
          <w:p w14:paraId="78D226A7" w14:textId="09D90287" w:rsidR="00024A94" w:rsidRPr="00B24CB0" w:rsidRDefault="19FBF6E2" w:rsidP="19FBF6E2">
            <w:pPr>
              <w:widowControl/>
              <w:autoSpaceDE/>
              <w:autoSpaceDN/>
              <w:adjustRightInd/>
              <w:spacing w:after="0"/>
              <w:jc w:val="right"/>
              <w:rPr>
                <w:color w:val="000000" w:themeColor="text1"/>
              </w:rPr>
            </w:pPr>
            <w:r w:rsidRPr="19FBF6E2">
              <w:rPr>
                <w:color w:val="000000" w:themeColor="text1"/>
              </w:rPr>
              <w:t>50,143</w:t>
            </w:r>
          </w:p>
        </w:tc>
        <w:tc>
          <w:tcPr>
            <w:tcW w:w="1008" w:type="dxa"/>
            <w:vAlign w:val="bottom"/>
          </w:tcPr>
          <w:p w14:paraId="6EC190C8" w14:textId="6542AC1D"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7481961D" w14:textId="12DC4E2E" w:rsidTr="19FBF6E2">
        <w:trPr>
          <w:trHeight w:val="300"/>
          <w:jc w:val="center"/>
        </w:trPr>
        <w:tc>
          <w:tcPr>
            <w:tcW w:w="1584" w:type="dxa"/>
            <w:shd w:val="clear" w:color="auto" w:fill="auto"/>
            <w:noWrap/>
            <w:vAlign w:val="bottom"/>
            <w:hideMark/>
          </w:tcPr>
          <w:p w14:paraId="2CBB45BF"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Indiana</w:t>
            </w:r>
          </w:p>
        </w:tc>
        <w:tc>
          <w:tcPr>
            <w:tcW w:w="1183" w:type="dxa"/>
            <w:shd w:val="clear" w:color="auto" w:fill="auto"/>
            <w:noWrap/>
            <w:vAlign w:val="bottom"/>
            <w:hideMark/>
          </w:tcPr>
          <w:p w14:paraId="276F8BCD"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13,525</w:t>
            </w:r>
          </w:p>
        </w:tc>
        <w:tc>
          <w:tcPr>
            <w:tcW w:w="1008" w:type="dxa"/>
            <w:shd w:val="clear" w:color="auto" w:fill="auto"/>
            <w:noWrap/>
            <w:vAlign w:val="bottom"/>
            <w:hideMark/>
          </w:tcPr>
          <w:p w14:paraId="7D530206"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64E892A2"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703A9BA3" w14:textId="515C81B3" w:rsidR="00024A94" w:rsidRPr="00B24CB0" w:rsidRDefault="19FBF6E2" w:rsidP="19FBF6E2">
            <w:pPr>
              <w:widowControl/>
              <w:autoSpaceDE/>
              <w:autoSpaceDN/>
              <w:adjustRightInd/>
              <w:spacing w:after="0"/>
              <w:rPr>
                <w:color w:val="000000" w:themeColor="text1"/>
              </w:rPr>
            </w:pPr>
            <w:r w:rsidRPr="19FBF6E2">
              <w:rPr>
                <w:color w:val="000000" w:themeColor="text1"/>
              </w:rPr>
              <w:t>Pennsylvania</w:t>
            </w:r>
          </w:p>
        </w:tc>
        <w:tc>
          <w:tcPr>
            <w:tcW w:w="1183" w:type="dxa"/>
            <w:vAlign w:val="bottom"/>
          </w:tcPr>
          <w:p w14:paraId="7A0FDF42" w14:textId="0F03E90E" w:rsidR="00024A94" w:rsidRPr="00B24CB0" w:rsidRDefault="19FBF6E2" w:rsidP="19FBF6E2">
            <w:pPr>
              <w:widowControl/>
              <w:autoSpaceDE/>
              <w:autoSpaceDN/>
              <w:adjustRightInd/>
              <w:spacing w:after="0"/>
              <w:jc w:val="right"/>
              <w:rPr>
                <w:color w:val="000000" w:themeColor="text1"/>
              </w:rPr>
            </w:pPr>
            <w:r w:rsidRPr="19FBF6E2">
              <w:rPr>
                <w:color w:val="000000" w:themeColor="text1"/>
              </w:rPr>
              <w:t>56,851</w:t>
            </w:r>
          </w:p>
        </w:tc>
        <w:tc>
          <w:tcPr>
            <w:tcW w:w="1008" w:type="dxa"/>
            <w:vAlign w:val="bottom"/>
          </w:tcPr>
          <w:p w14:paraId="28B0086A" w14:textId="241077EF"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3522D50B" w14:textId="043F8BD9" w:rsidTr="19FBF6E2">
        <w:trPr>
          <w:trHeight w:val="300"/>
          <w:jc w:val="center"/>
        </w:trPr>
        <w:tc>
          <w:tcPr>
            <w:tcW w:w="1584" w:type="dxa"/>
            <w:shd w:val="clear" w:color="auto" w:fill="auto"/>
            <w:noWrap/>
            <w:vAlign w:val="bottom"/>
            <w:hideMark/>
          </w:tcPr>
          <w:p w14:paraId="2A68D2FE"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Iowa</w:t>
            </w:r>
          </w:p>
        </w:tc>
        <w:tc>
          <w:tcPr>
            <w:tcW w:w="1183" w:type="dxa"/>
            <w:shd w:val="clear" w:color="auto" w:fill="auto"/>
            <w:noWrap/>
            <w:vAlign w:val="bottom"/>
            <w:hideMark/>
          </w:tcPr>
          <w:p w14:paraId="127328E0"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4,334</w:t>
            </w:r>
          </w:p>
        </w:tc>
        <w:tc>
          <w:tcPr>
            <w:tcW w:w="1008" w:type="dxa"/>
            <w:shd w:val="clear" w:color="auto" w:fill="auto"/>
            <w:noWrap/>
            <w:vAlign w:val="bottom"/>
            <w:hideMark/>
          </w:tcPr>
          <w:p w14:paraId="66F3E19B"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2010</w:t>
            </w:r>
          </w:p>
        </w:tc>
        <w:tc>
          <w:tcPr>
            <w:tcW w:w="576" w:type="dxa"/>
            <w:tcBorders>
              <w:top w:val="nil"/>
              <w:bottom w:val="nil"/>
            </w:tcBorders>
          </w:tcPr>
          <w:p w14:paraId="57021763"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0ABB44A0" w14:textId="494E2C30" w:rsidR="00024A94" w:rsidRPr="00B24CB0" w:rsidRDefault="19FBF6E2" w:rsidP="19FBF6E2">
            <w:pPr>
              <w:widowControl/>
              <w:autoSpaceDE/>
              <w:autoSpaceDN/>
              <w:adjustRightInd/>
              <w:spacing w:after="0"/>
              <w:rPr>
                <w:color w:val="000000" w:themeColor="text1"/>
              </w:rPr>
            </w:pPr>
            <w:r w:rsidRPr="19FBF6E2">
              <w:rPr>
                <w:color w:val="000000" w:themeColor="text1"/>
              </w:rPr>
              <w:t>Rhode Island</w:t>
            </w:r>
          </w:p>
        </w:tc>
        <w:tc>
          <w:tcPr>
            <w:tcW w:w="1183" w:type="dxa"/>
            <w:vAlign w:val="bottom"/>
          </w:tcPr>
          <w:p w14:paraId="46390E30" w14:textId="72662FA4" w:rsidR="00024A94" w:rsidRPr="00B24CB0" w:rsidRDefault="19FBF6E2" w:rsidP="19FBF6E2">
            <w:pPr>
              <w:widowControl/>
              <w:autoSpaceDE/>
              <w:autoSpaceDN/>
              <w:adjustRightInd/>
              <w:spacing w:after="0"/>
              <w:jc w:val="right"/>
              <w:rPr>
                <w:color w:val="000000" w:themeColor="text1"/>
              </w:rPr>
            </w:pPr>
            <w:r w:rsidRPr="19FBF6E2">
              <w:rPr>
                <w:color w:val="000000" w:themeColor="text1"/>
              </w:rPr>
              <w:t>150</w:t>
            </w:r>
          </w:p>
        </w:tc>
        <w:tc>
          <w:tcPr>
            <w:tcW w:w="1008" w:type="dxa"/>
            <w:vAlign w:val="bottom"/>
          </w:tcPr>
          <w:p w14:paraId="14E4C64C" w14:textId="553E94A6"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245317E9" w14:textId="27980982" w:rsidTr="19FBF6E2">
        <w:trPr>
          <w:trHeight w:val="300"/>
          <w:jc w:val="center"/>
        </w:trPr>
        <w:tc>
          <w:tcPr>
            <w:tcW w:w="1584" w:type="dxa"/>
            <w:shd w:val="clear" w:color="auto" w:fill="auto"/>
            <w:noWrap/>
            <w:vAlign w:val="bottom"/>
            <w:hideMark/>
          </w:tcPr>
          <w:p w14:paraId="1453E9C1"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Kansas</w:t>
            </w:r>
          </w:p>
        </w:tc>
        <w:tc>
          <w:tcPr>
            <w:tcW w:w="1183" w:type="dxa"/>
            <w:shd w:val="clear" w:color="auto" w:fill="auto"/>
            <w:noWrap/>
            <w:vAlign w:val="bottom"/>
            <w:hideMark/>
          </w:tcPr>
          <w:p w14:paraId="723B5406"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1,127</w:t>
            </w:r>
          </w:p>
        </w:tc>
        <w:tc>
          <w:tcPr>
            <w:tcW w:w="1008" w:type="dxa"/>
            <w:shd w:val="clear" w:color="auto" w:fill="auto"/>
            <w:noWrap/>
            <w:vAlign w:val="bottom"/>
            <w:hideMark/>
          </w:tcPr>
          <w:p w14:paraId="69134BE2"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2010</w:t>
            </w:r>
          </w:p>
        </w:tc>
        <w:tc>
          <w:tcPr>
            <w:tcW w:w="576" w:type="dxa"/>
            <w:tcBorders>
              <w:top w:val="nil"/>
              <w:bottom w:val="nil"/>
            </w:tcBorders>
          </w:tcPr>
          <w:p w14:paraId="13E79D1E"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53E83C8A" w14:textId="064804AA" w:rsidR="00024A94" w:rsidRPr="00B24CB0" w:rsidRDefault="19FBF6E2" w:rsidP="19FBF6E2">
            <w:pPr>
              <w:widowControl/>
              <w:autoSpaceDE/>
              <w:autoSpaceDN/>
              <w:adjustRightInd/>
              <w:spacing w:after="0"/>
              <w:rPr>
                <w:color w:val="000000" w:themeColor="text1"/>
              </w:rPr>
            </w:pPr>
            <w:r w:rsidRPr="19FBF6E2">
              <w:rPr>
                <w:color w:val="000000" w:themeColor="text1"/>
              </w:rPr>
              <w:t>South Carolina</w:t>
            </w:r>
          </w:p>
        </w:tc>
        <w:tc>
          <w:tcPr>
            <w:tcW w:w="1183" w:type="dxa"/>
            <w:vAlign w:val="bottom"/>
          </w:tcPr>
          <w:p w14:paraId="1CF8AB6D" w14:textId="1DD1EE3D" w:rsidR="00024A94" w:rsidRPr="00B24CB0" w:rsidRDefault="19FBF6E2" w:rsidP="19FBF6E2">
            <w:pPr>
              <w:widowControl/>
              <w:autoSpaceDE/>
              <w:autoSpaceDN/>
              <w:adjustRightInd/>
              <w:spacing w:after="0"/>
              <w:jc w:val="right"/>
              <w:rPr>
                <w:color w:val="000000" w:themeColor="text1"/>
              </w:rPr>
            </w:pPr>
            <w:r w:rsidRPr="19FBF6E2">
              <w:rPr>
                <w:color w:val="000000" w:themeColor="text1"/>
              </w:rPr>
              <w:t>4,277</w:t>
            </w:r>
          </w:p>
        </w:tc>
        <w:tc>
          <w:tcPr>
            <w:tcW w:w="1008" w:type="dxa"/>
            <w:vAlign w:val="bottom"/>
          </w:tcPr>
          <w:p w14:paraId="0EB1870A" w14:textId="19AD5655"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7C7D0ACE" w14:textId="4B9630B2" w:rsidTr="19FBF6E2">
        <w:trPr>
          <w:trHeight w:val="300"/>
          <w:jc w:val="center"/>
        </w:trPr>
        <w:tc>
          <w:tcPr>
            <w:tcW w:w="1584" w:type="dxa"/>
            <w:shd w:val="clear" w:color="auto" w:fill="auto"/>
            <w:noWrap/>
            <w:vAlign w:val="bottom"/>
            <w:hideMark/>
          </w:tcPr>
          <w:p w14:paraId="22C91452"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Maine</w:t>
            </w:r>
          </w:p>
        </w:tc>
        <w:tc>
          <w:tcPr>
            <w:tcW w:w="1183" w:type="dxa"/>
            <w:shd w:val="clear" w:color="auto" w:fill="auto"/>
            <w:noWrap/>
            <w:vAlign w:val="bottom"/>
            <w:hideMark/>
          </w:tcPr>
          <w:p w14:paraId="171D5CFE"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1,658</w:t>
            </w:r>
          </w:p>
        </w:tc>
        <w:tc>
          <w:tcPr>
            <w:tcW w:w="1008" w:type="dxa"/>
            <w:shd w:val="clear" w:color="auto" w:fill="auto"/>
            <w:noWrap/>
            <w:vAlign w:val="bottom"/>
            <w:hideMark/>
          </w:tcPr>
          <w:p w14:paraId="5C852F86"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2010</w:t>
            </w:r>
          </w:p>
        </w:tc>
        <w:tc>
          <w:tcPr>
            <w:tcW w:w="576" w:type="dxa"/>
            <w:tcBorders>
              <w:top w:val="nil"/>
              <w:bottom w:val="nil"/>
            </w:tcBorders>
          </w:tcPr>
          <w:p w14:paraId="3F5EB0FF"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09B42D24" w14:textId="37833395" w:rsidR="00024A94" w:rsidRPr="00B24CB0" w:rsidRDefault="19FBF6E2" w:rsidP="19FBF6E2">
            <w:pPr>
              <w:widowControl/>
              <w:autoSpaceDE/>
              <w:autoSpaceDN/>
              <w:adjustRightInd/>
              <w:spacing w:after="0"/>
              <w:rPr>
                <w:color w:val="000000" w:themeColor="text1"/>
              </w:rPr>
            </w:pPr>
            <w:r w:rsidRPr="19FBF6E2">
              <w:rPr>
                <w:color w:val="000000" w:themeColor="text1"/>
              </w:rPr>
              <w:t>Tennessee</w:t>
            </w:r>
          </w:p>
        </w:tc>
        <w:tc>
          <w:tcPr>
            <w:tcW w:w="1183" w:type="dxa"/>
            <w:vAlign w:val="bottom"/>
          </w:tcPr>
          <w:p w14:paraId="3293E2DB" w14:textId="04BCD42D" w:rsidR="00024A94" w:rsidRPr="00B24CB0" w:rsidRDefault="19FBF6E2" w:rsidP="19FBF6E2">
            <w:pPr>
              <w:widowControl/>
              <w:autoSpaceDE/>
              <w:autoSpaceDN/>
              <w:adjustRightInd/>
              <w:spacing w:after="0"/>
              <w:jc w:val="right"/>
              <w:rPr>
                <w:color w:val="000000" w:themeColor="text1"/>
              </w:rPr>
            </w:pPr>
            <w:r w:rsidRPr="19FBF6E2">
              <w:rPr>
                <w:color w:val="000000" w:themeColor="text1"/>
              </w:rPr>
              <w:t>1,500</w:t>
            </w:r>
          </w:p>
        </w:tc>
        <w:tc>
          <w:tcPr>
            <w:tcW w:w="1008" w:type="dxa"/>
            <w:vAlign w:val="bottom"/>
          </w:tcPr>
          <w:p w14:paraId="5BD700FE" w14:textId="5B246F4E"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2F076109" w14:textId="624DF26D" w:rsidTr="19FBF6E2">
        <w:trPr>
          <w:trHeight w:val="300"/>
          <w:jc w:val="center"/>
        </w:trPr>
        <w:tc>
          <w:tcPr>
            <w:tcW w:w="1584" w:type="dxa"/>
            <w:shd w:val="clear" w:color="auto" w:fill="auto"/>
            <w:noWrap/>
            <w:vAlign w:val="bottom"/>
            <w:hideMark/>
          </w:tcPr>
          <w:p w14:paraId="64148CF3"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Maryland</w:t>
            </w:r>
          </w:p>
        </w:tc>
        <w:tc>
          <w:tcPr>
            <w:tcW w:w="1183" w:type="dxa"/>
            <w:shd w:val="clear" w:color="auto" w:fill="auto"/>
            <w:noWrap/>
            <w:vAlign w:val="bottom"/>
            <w:hideMark/>
          </w:tcPr>
          <w:p w14:paraId="037039BF"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69,643</w:t>
            </w:r>
          </w:p>
        </w:tc>
        <w:tc>
          <w:tcPr>
            <w:tcW w:w="1008" w:type="dxa"/>
            <w:shd w:val="clear" w:color="auto" w:fill="auto"/>
            <w:noWrap/>
            <w:vAlign w:val="bottom"/>
            <w:hideMark/>
          </w:tcPr>
          <w:p w14:paraId="03640458"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0B3FCF64"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58C9B12D" w14:textId="2EB9069F" w:rsidR="00024A94" w:rsidRPr="00B24CB0" w:rsidRDefault="19FBF6E2" w:rsidP="19FBF6E2">
            <w:pPr>
              <w:widowControl/>
              <w:autoSpaceDE/>
              <w:autoSpaceDN/>
              <w:adjustRightInd/>
              <w:spacing w:after="0"/>
              <w:rPr>
                <w:color w:val="000000" w:themeColor="text1"/>
              </w:rPr>
            </w:pPr>
            <w:r w:rsidRPr="19FBF6E2">
              <w:rPr>
                <w:color w:val="000000" w:themeColor="text1"/>
              </w:rPr>
              <w:t>Texas</w:t>
            </w:r>
          </w:p>
        </w:tc>
        <w:tc>
          <w:tcPr>
            <w:tcW w:w="1183" w:type="dxa"/>
            <w:vAlign w:val="bottom"/>
          </w:tcPr>
          <w:p w14:paraId="404E76CB" w14:textId="5DF0DA0D" w:rsidR="00024A94" w:rsidRPr="00B24CB0" w:rsidRDefault="19FBF6E2" w:rsidP="19FBF6E2">
            <w:pPr>
              <w:widowControl/>
              <w:autoSpaceDE/>
              <w:autoSpaceDN/>
              <w:adjustRightInd/>
              <w:spacing w:after="0"/>
              <w:jc w:val="right"/>
              <w:rPr>
                <w:color w:val="000000" w:themeColor="text1"/>
              </w:rPr>
            </w:pPr>
            <w:r w:rsidRPr="19FBF6E2">
              <w:rPr>
                <w:color w:val="000000" w:themeColor="text1"/>
              </w:rPr>
              <w:t>188</w:t>
            </w:r>
          </w:p>
        </w:tc>
        <w:tc>
          <w:tcPr>
            <w:tcW w:w="1008" w:type="dxa"/>
            <w:vAlign w:val="bottom"/>
          </w:tcPr>
          <w:p w14:paraId="635A3DDA" w14:textId="7BEA1F14"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2012</w:t>
            </w:r>
          </w:p>
        </w:tc>
      </w:tr>
      <w:tr w:rsidR="00024A94" w:rsidRPr="00B24CB0" w14:paraId="212D4000" w14:textId="1803B082" w:rsidTr="19FBF6E2">
        <w:trPr>
          <w:trHeight w:val="300"/>
          <w:jc w:val="center"/>
        </w:trPr>
        <w:tc>
          <w:tcPr>
            <w:tcW w:w="1584" w:type="dxa"/>
            <w:shd w:val="clear" w:color="auto" w:fill="auto"/>
            <w:noWrap/>
            <w:vAlign w:val="bottom"/>
            <w:hideMark/>
          </w:tcPr>
          <w:p w14:paraId="49227188"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Massachusetts</w:t>
            </w:r>
          </w:p>
        </w:tc>
        <w:tc>
          <w:tcPr>
            <w:tcW w:w="1183" w:type="dxa"/>
            <w:shd w:val="clear" w:color="auto" w:fill="auto"/>
            <w:noWrap/>
            <w:vAlign w:val="bottom"/>
            <w:hideMark/>
          </w:tcPr>
          <w:p w14:paraId="496A5163"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2,753</w:t>
            </w:r>
          </w:p>
        </w:tc>
        <w:tc>
          <w:tcPr>
            <w:tcW w:w="1008" w:type="dxa"/>
            <w:shd w:val="clear" w:color="auto" w:fill="auto"/>
            <w:noWrap/>
            <w:vAlign w:val="bottom"/>
            <w:hideMark/>
          </w:tcPr>
          <w:p w14:paraId="0EC11AC9"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73293E9B"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098B746E" w14:textId="2A03E9B3" w:rsidR="00024A94" w:rsidRPr="00B24CB0" w:rsidRDefault="19FBF6E2" w:rsidP="19FBF6E2">
            <w:pPr>
              <w:widowControl/>
              <w:autoSpaceDE/>
              <w:autoSpaceDN/>
              <w:adjustRightInd/>
              <w:spacing w:after="0"/>
              <w:rPr>
                <w:color w:val="000000" w:themeColor="text1"/>
              </w:rPr>
            </w:pPr>
            <w:r w:rsidRPr="19FBF6E2">
              <w:rPr>
                <w:color w:val="000000" w:themeColor="text1"/>
              </w:rPr>
              <w:t>Vermont</w:t>
            </w:r>
          </w:p>
        </w:tc>
        <w:tc>
          <w:tcPr>
            <w:tcW w:w="1183" w:type="dxa"/>
            <w:vAlign w:val="bottom"/>
          </w:tcPr>
          <w:p w14:paraId="597352F1" w14:textId="124D407D" w:rsidR="00024A94" w:rsidRPr="00B24CB0" w:rsidRDefault="19FBF6E2" w:rsidP="19FBF6E2">
            <w:pPr>
              <w:widowControl/>
              <w:autoSpaceDE/>
              <w:autoSpaceDN/>
              <w:adjustRightInd/>
              <w:spacing w:after="0"/>
              <w:jc w:val="right"/>
              <w:rPr>
                <w:color w:val="000000" w:themeColor="text1"/>
              </w:rPr>
            </w:pPr>
            <w:r w:rsidRPr="19FBF6E2">
              <w:rPr>
                <w:color w:val="000000" w:themeColor="text1"/>
              </w:rPr>
              <w:t>14,738</w:t>
            </w:r>
          </w:p>
        </w:tc>
        <w:tc>
          <w:tcPr>
            <w:tcW w:w="1008" w:type="dxa"/>
            <w:vAlign w:val="bottom"/>
          </w:tcPr>
          <w:p w14:paraId="60973CAC" w14:textId="38AFAC6A"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1685D93F" w14:textId="24FF7D56" w:rsidTr="19FBF6E2">
        <w:trPr>
          <w:trHeight w:val="300"/>
          <w:jc w:val="center"/>
        </w:trPr>
        <w:tc>
          <w:tcPr>
            <w:tcW w:w="1584" w:type="dxa"/>
            <w:shd w:val="clear" w:color="auto" w:fill="auto"/>
            <w:noWrap/>
            <w:vAlign w:val="bottom"/>
            <w:hideMark/>
          </w:tcPr>
          <w:p w14:paraId="5FFD1591"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Michigan</w:t>
            </w:r>
          </w:p>
        </w:tc>
        <w:tc>
          <w:tcPr>
            <w:tcW w:w="1183" w:type="dxa"/>
            <w:shd w:val="clear" w:color="auto" w:fill="auto"/>
            <w:noWrap/>
            <w:vAlign w:val="bottom"/>
            <w:hideMark/>
          </w:tcPr>
          <w:p w14:paraId="0B314627"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8,700</w:t>
            </w:r>
          </w:p>
        </w:tc>
        <w:tc>
          <w:tcPr>
            <w:tcW w:w="1008" w:type="dxa"/>
            <w:shd w:val="clear" w:color="auto" w:fill="auto"/>
            <w:noWrap/>
            <w:vAlign w:val="bottom"/>
            <w:hideMark/>
          </w:tcPr>
          <w:p w14:paraId="7C5CFDE9"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78A86C5A"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46EDF737" w14:textId="1053C48F" w:rsidR="00024A94" w:rsidRPr="00B24CB0" w:rsidRDefault="19FBF6E2" w:rsidP="19FBF6E2">
            <w:pPr>
              <w:widowControl/>
              <w:autoSpaceDE/>
              <w:autoSpaceDN/>
              <w:adjustRightInd/>
              <w:spacing w:after="0"/>
              <w:rPr>
                <w:color w:val="000000" w:themeColor="text1"/>
              </w:rPr>
            </w:pPr>
            <w:r w:rsidRPr="19FBF6E2">
              <w:rPr>
                <w:color w:val="000000" w:themeColor="text1"/>
              </w:rPr>
              <w:t>Virginia</w:t>
            </w:r>
          </w:p>
        </w:tc>
        <w:tc>
          <w:tcPr>
            <w:tcW w:w="1183" w:type="dxa"/>
            <w:vAlign w:val="bottom"/>
          </w:tcPr>
          <w:p w14:paraId="4E2EE4CB" w14:textId="3F2BCDB6" w:rsidR="00024A94" w:rsidRPr="00B24CB0" w:rsidRDefault="19FBF6E2" w:rsidP="19FBF6E2">
            <w:pPr>
              <w:widowControl/>
              <w:autoSpaceDE/>
              <w:autoSpaceDN/>
              <w:adjustRightInd/>
              <w:spacing w:after="0"/>
              <w:jc w:val="right"/>
              <w:rPr>
                <w:color w:val="000000" w:themeColor="text1"/>
              </w:rPr>
            </w:pPr>
            <w:r w:rsidRPr="19FBF6E2">
              <w:rPr>
                <w:color w:val="000000" w:themeColor="text1"/>
              </w:rPr>
              <w:t>2,454</w:t>
            </w:r>
          </w:p>
        </w:tc>
        <w:tc>
          <w:tcPr>
            <w:tcW w:w="1008" w:type="dxa"/>
            <w:vAlign w:val="bottom"/>
          </w:tcPr>
          <w:p w14:paraId="78780077" w14:textId="0E7FA759"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2014</w:t>
            </w:r>
          </w:p>
        </w:tc>
      </w:tr>
      <w:tr w:rsidR="00024A94" w:rsidRPr="00B24CB0" w14:paraId="7BFB74A0" w14:textId="2EB6C639" w:rsidTr="19FBF6E2">
        <w:trPr>
          <w:trHeight w:val="300"/>
          <w:jc w:val="center"/>
        </w:trPr>
        <w:tc>
          <w:tcPr>
            <w:tcW w:w="1584" w:type="dxa"/>
            <w:shd w:val="clear" w:color="auto" w:fill="auto"/>
            <w:noWrap/>
            <w:vAlign w:val="bottom"/>
            <w:hideMark/>
          </w:tcPr>
          <w:p w14:paraId="27EBF445"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Minnesota</w:t>
            </w:r>
          </w:p>
        </w:tc>
        <w:tc>
          <w:tcPr>
            <w:tcW w:w="1183" w:type="dxa"/>
            <w:shd w:val="clear" w:color="auto" w:fill="auto"/>
            <w:noWrap/>
            <w:vAlign w:val="bottom"/>
            <w:hideMark/>
          </w:tcPr>
          <w:p w14:paraId="2206BF41"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46,751</w:t>
            </w:r>
          </w:p>
        </w:tc>
        <w:tc>
          <w:tcPr>
            <w:tcW w:w="1008" w:type="dxa"/>
            <w:shd w:val="clear" w:color="auto" w:fill="auto"/>
            <w:noWrap/>
            <w:vAlign w:val="bottom"/>
            <w:hideMark/>
          </w:tcPr>
          <w:p w14:paraId="77E3DF53"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068EAB01"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3D436A85" w14:textId="7051A0B1" w:rsidR="00024A94" w:rsidRPr="00B24CB0" w:rsidRDefault="19FBF6E2" w:rsidP="19FBF6E2">
            <w:pPr>
              <w:widowControl/>
              <w:autoSpaceDE/>
              <w:autoSpaceDN/>
              <w:adjustRightInd/>
              <w:spacing w:after="0"/>
              <w:rPr>
                <w:color w:val="000000" w:themeColor="text1"/>
              </w:rPr>
            </w:pPr>
            <w:r w:rsidRPr="19FBF6E2">
              <w:rPr>
                <w:color w:val="000000" w:themeColor="text1"/>
              </w:rPr>
              <w:t>Washington</w:t>
            </w:r>
          </w:p>
        </w:tc>
        <w:tc>
          <w:tcPr>
            <w:tcW w:w="1183" w:type="dxa"/>
            <w:vAlign w:val="bottom"/>
          </w:tcPr>
          <w:p w14:paraId="02472C4A" w14:textId="088AF140" w:rsidR="00024A94" w:rsidRPr="00B24CB0" w:rsidRDefault="19FBF6E2" w:rsidP="19FBF6E2">
            <w:pPr>
              <w:widowControl/>
              <w:autoSpaceDE/>
              <w:autoSpaceDN/>
              <w:adjustRightInd/>
              <w:spacing w:after="0"/>
              <w:jc w:val="right"/>
              <w:rPr>
                <w:color w:val="000000" w:themeColor="text1"/>
              </w:rPr>
            </w:pPr>
            <w:r w:rsidRPr="19FBF6E2">
              <w:rPr>
                <w:color w:val="000000" w:themeColor="text1"/>
              </w:rPr>
              <w:t>65,221</w:t>
            </w:r>
          </w:p>
        </w:tc>
        <w:tc>
          <w:tcPr>
            <w:tcW w:w="1008" w:type="dxa"/>
            <w:vAlign w:val="bottom"/>
          </w:tcPr>
          <w:p w14:paraId="34DF4F40" w14:textId="5555C751"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03DEB01B" w14:textId="75F01C38" w:rsidTr="19FBF6E2">
        <w:trPr>
          <w:trHeight w:val="300"/>
          <w:jc w:val="center"/>
        </w:trPr>
        <w:tc>
          <w:tcPr>
            <w:tcW w:w="1584" w:type="dxa"/>
            <w:shd w:val="clear" w:color="auto" w:fill="auto"/>
            <w:noWrap/>
            <w:vAlign w:val="bottom"/>
            <w:hideMark/>
          </w:tcPr>
          <w:p w14:paraId="78B61987"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lastRenderedPageBreak/>
              <w:t>Mississippi</w:t>
            </w:r>
          </w:p>
        </w:tc>
        <w:tc>
          <w:tcPr>
            <w:tcW w:w="1183" w:type="dxa"/>
            <w:shd w:val="clear" w:color="auto" w:fill="auto"/>
            <w:noWrap/>
            <w:vAlign w:val="bottom"/>
            <w:hideMark/>
          </w:tcPr>
          <w:p w14:paraId="7CFE5689"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242</w:t>
            </w:r>
          </w:p>
        </w:tc>
        <w:tc>
          <w:tcPr>
            <w:tcW w:w="1008" w:type="dxa"/>
            <w:shd w:val="clear" w:color="auto" w:fill="auto"/>
            <w:noWrap/>
            <w:vAlign w:val="bottom"/>
            <w:hideMark/>
          </w:tcPr>
          <w:p w14:paraId="444AC7C5"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2013</w:t>
            </w:r>
          </w:p>
        </w:tc>
        <w:tc>
          <w:tcPr>
            <w:tcW w:w="576" w:type="dxa"/>
            <w:tcBorders>
              <w:top w:val="nil"/>
              <w:bottom w:val="nil"/>
            </w:tcBorders>
          </w:tcPr>
          <w:p w14:paraId="64853678" w14:textId="77777777" w:rsidR="00024A94" w:rsidRPr="00AF2EBF" w:rsidRDefault="00024A94" w:rsidP="00024A94">
            <w:pPr>
              <w:widowControl/>
              <w:autoSpaceDE/>
              <w:autoSpaceDN/>
              <w:adjustRightInd/>
              <w:spacing w:after="0"/>
              <w:jc w:val="center"/>
              <w:rPr>
                <w:color w:val="000000"/>
                <w:szCs w:val="20"/>
              </w:rPr>
            </w:pPr>
          </w:p>
        </w:tc>
        <w:tc>
          <w:tcPr>
            <w:tcW w:w="1584" w:type="dxa"/>
            <w:vAlign w:val="bottom"/>
          </w:tcPr>
          <w:p w14:paraId="49B34881" w14:textId="2A42ECDA" w:rsidR="00024A94" w:rsidRPr="00B24CB0" w:rsidRDefault="19FBF6E2" w:rsidP="19FBF6E2">
            <w:pPr>
              <w:widowControl/>
              <w:autoSpaceDE/>
              <w:autoSpaceDN/>
              <w:adjustRightInd/>
              <w:spacing w:after="0"/>
              <w:rPr>
                <w:color w:val="000000" w:themeColor="text1"/>
              </w:rPr>
            </w:pPr>
            <w:r w:rsidRPr="19FBF6E2">
              <w:rPr>
                <w:color w:val="000000" w:themeColor="text1"/>
              </w:rPr>
              <w:t>Wisconsin</w:t>
            </w:r>
          </w:p>
        </w:tc>
        <w:tc>
          <w:tcPr>
            <w:tcW w:w="1183" w:type="dxa"/>
            <w:vAlign w:val="bottom"/>
          </w:tcPr>
          <w:p w14:paraId="2565FA19" w14:textId="7608A9DB" w:rsidR="00024A94" w:rsidRPr="00B24CB0" w:rsidRDefault="19FBF6E2" w:rsidP="19FBF6E2">
            <w:pPr>
              <w:widowControl/>
              <w:autoSpaceDE/>
              <w:autoSpaceDN/>
              <w:adjustRightInd/>
              <w:spacing w:after="0"/>
              <w:jc w:val="right"/>
              <w:rPr>
                <w:color w:val="000000" w:themeColor="text1"/>
              </w:rPr>
            </w:pPr>
            <w:r w:rsidRPr="19FBF6E2">
              <w:rPr>
                <w:color w:val="000000" w:themeColor="text1"/>
              </w:rPr>
              <w:t>8,677</w:t>
            </w:r>
          </w:p>
        </w:tc>
        <w:tc>
          <w:tcPr>
            <w:tcW w:w="1008" w:type="dxa"/>
            <w:vAlign w:val="bottom"/>
          </w:tcPr>
          <w:p w14:paraId="1777859C" w14:textId="456925D4" w:rsidR="00024A94" w:rsidRPr="00B24CB0" w:rsidRDefault="19FBF6E2" w:rsidP="19FBF6E2">
            <w:pPr>
              <w:widowControl/>
              <w:autoSpaceDE/>
              <w:autoSpaceDN/>
              <w:adjustRightInd/>
              <w:spacing w:after="0"/>
              <w:jc w:val="center"/>
              <w:rPr>
                <w:color w:val="000000" w:themeColor="text1"/>
              </w:rPr>
            </w:pPr>
            <w:r w:rsidRPr="19FBF6E2">
              <w:rPr>
                <w:color w:val="000000" w:themeColor="text1"/>
              </w:rPr>
              <w:t>2013</w:t>
            </w:r>
          </w:p>
        </w:tc>
      </w:tr>
      <w:tr w:rsidR="00024A94" w:rsidRPr="00B24CB0" w14:paraId="186D35A7" w14:textId="5F4D6F7C" w:rsidTr="19FBF6E2">
        <w:trPr>
          <w:trHeight w:val="300"/>
          <w:jc w:val="center"/>
        </w:trPr>
        <w:tc>
          <w:tcPr>
            <w:tcW w:w="1584" w:type="dxa"/>
            <w:shd w:val="clear" w:color="auto" w:fill="auto"/>
            <w:noWrap/>
            <w:vAlign w:val="bottom"/>
            <w:hideMark/>
          </w:tcPr>
          <w:p w14:paraId="11169FA1" w14:textId="77777777" w:rsidR="00024A94" w:rsidRPr="007D6365" w:rsidRDefault="19FBF6E2" w:rsidP="19FBF6E2">
            <w:pPr>
              <w:widowControl/>
              <w:autoSpaceDE/>
              <w:autoSpaceDN/>
              <w:adjustRightInd/>
              <w:spacing w:after="0"/>
              <w:rPr>
                <w:color w:val="000000" w:themeColor="text1"/>
              </w:rPr>
            </w:pPr>
            <w:r w:rsidRPr="19FBF6E2">
              <w:rPr>
                <w:color w:val="000000" w:themeColor="text1"/>
              </w:rPr>
              <w:t>Missouri</w:t>
            </w:r>
          </w:p>
        </w:tc>
        <w:tc>
          <w:tcPr>
            <w:tcW w:w="1183" w:type="dxa"/>
            <w:shd w:val="clear" w:color="auto" w:fill="auto"/>
            <w:noWrap/>
            <w:vAlign w:val="bottom"/>
            <w:hideMark/>
          </w:tcPr>
          <w:p w14:paraId="2BF69039" w14:textId="77777777" w:rsidR="00024A94" w:rsidRPr="007D6365" w:rsidRDefault="19FBF6E2" w:rsidP="19FBF6E2">
            <w:pPr>
              <w:widowControl/>
              <w:autoSpaceDE/>
              <w:autoSpaceDN/>
              <w:adjustRightInd/>
              <w:spacing w:after="0"/>
              <w:jc w:val="right"/>
              <w:rPr>
                <w:color w:val="000000" w:themeColor="text1"/>
              </w:rPr>
            </w:pPr>
            <w:r w:rsidRPr="19FBF6E2">
              <w:rPr>
                <w:color w:val="000000" w:themeColor="text1"/>
              </w:rPr>
              <w:t>16,000</w:t>
            </w:r>
          </w:p>
        </w:tc>
        <w:tc>
          <w:tcPr>
            <w:tcW w:w="1008" w:type="dxa"/>
            <w:shd w:val="clear" w:color="auto" w:fill="auto"/>
            <w:noWrap/>
            <w:vAlign w:val="bottom"/>
            <w:hideMark/>
          </w:tcPr>
          <w:p w14:paraId="2D079F0B" w14:textId="77777777" w:rsidR="00024A94" w:rsidRPr="007D6365" w:rsidRDefault="19FBF6E2" w:rsidP="19FBF6E2">
            <w:pPr>
              <w:widowControl/>
              <w:autoSpaceDE/>
              <w:autoSpaceDN/>
              <w:adjustRightInd/>
              <w:spacing w:after="0"/>
              <w:jc w:val="center"/>
              <w:rPr>
                <w:color w:val="000000" w:themeColor="text1"/>
              </w:rPr>
            </w:pPr>
            <w:r w:rsidRPr="19FBF6E2">
              <w:rPr>
                <w:color w:val="000000" w:themeColor="text1"/>
              </w:rPr>
              <w:t>2014</w:t>
            </w:r>
          </w:p>
        </w:tc>
        <w:tc>
          <w:tcPr>
            <w:tcW w:w="576" w:type="dxa"/>
            <w:tcBorders>
              <w:top w:val="nil"/>
              <w:bottom w:val="nil"/>
            </w:tcBorders>
          </w:tcPr>
          <w:p w14:paraId="1966EF5C" w14:textId="77777777" w:rsidR="00024A94" w:rsidRPr="00AF2EBF" w:rsidRDefault="00024A94" w:rsidP="00024A94">
            <w:pPr>
              <w:widowControl/>
              <w:autoSpaceDE/>
              <w:autoSpaceDN/>
              <w:adjustRightInd/>
              <w:spacing w:after="0"/>
              <w:jc w:val="center"/>
              <w:rPr>
                <w:b/>
                <w:color w:val="000000"/>
                <w:szCs w:val="20"/>
              </w:rPr>
            </w:pPr>
          </w:p>
        </w:tc>
        <w:tc>
          <w:tcPr>
            <w:tcW w:w="1584" w:type="dxa"/>
            <w:vAlign w:val="bottom"/>
          </w:tcPr>
          <w:p w14:paraId="2E336D97" w14:textId="65877A2D" w:rsidR="00024A94" w:rsidRPr="00B24CB0" w:rsidRDefault="19FBF6E2" w:rsidP="19FBF6E2">
            <w:pPr>
              <w:widowControl/>
              <w:autoSpaceDE/>
              <w:autoSpaceDN/>
              <w:adjustRightInd/>
              <w:spacing w:after="0"/>
              <w:rPr>
                <w:color w:val="000000" w:themeColor="text1"/>
              </w:rPr>
            </w:pPr>
            <w:r w:rsidRPr="19FBF6E2">
              <w:rPr>
                <w:b/>
                <w:bCs/>
                <w:color w:val="000000" w:themeColor="text1"/>
              </w:rPr>
              <w:t xml:space="preserve">Total </w:t>
            </w:r>
          </w:p>
        </w:tc>
        <w:tc>
          <w:tcPr>
            <w:tcW w:w="1183" w:type="dxa"/>
            <w:vAlign w:val="bottom"/>
          </w:tcPr>
          <w:p w14:paraId="0E62EB59" w14:textId="5334E78F" w:rsidR="00024A94" w:rsidRPr="00B24CB0" w:rsidRDefault="19FBF6E2" w:rsidP="19FBF6E2">
            <w:pPr>
              <w:widowControl/>
              <w:autoSpaceDE/>
              <w:autoSpaceDN/>
              <w:adjustRightInd/>
              <w:spacing w:after="0"/>
              <w:jc w:val="right"/>
              <w:rPr>
                <w:color w:val="000000" w:themeColor="text1"/>
              </w:rPr>
            </w:pPr>
            <w:r w:rsidRPr="19FBF6E2">
              <w:rPr>
                <w:b/>
                <w:bCs/>
                <w:color w:val="000000" w:themeColor="text1"/>
              </w:rPr>
              <w:t>1,569,952</w:t>
            </w:r>
          </w:p>
        </w:tc>
        <w:tc>
          <w:tcPr>
            <w:tcW w:w="1008" w:type="dxa"/>
            <w:vAlign w:val="bottom"/>
          </w:tcPr>
          <w:p w14:paraId="38BAE2A1" w14:textId="77777777" w:rsidR="00024A94" w:rsidRPr="00B24CB0" w:rsidRDefault="00024A94" w:rsidP="00024A94">
            <w:pPr>
              <w:widowControl/>
              <w:autoSpaceDE/>
              <w:autoSpaceDN/>
              <w:adjustRightInd/>
              <w:spacing w:after="0"/>
              <w:jc w:val="center"/>
              <w:rPr>
                <w:color w:val="000000"/>
                <w:szCs w:val="20"/>
              </w:rPr>
            </w:pPr>
          </w:p>
        </w:tc>
      </w:tr>
    </w:tbl>
    <w:p w14:paraId="2004BD43" w14:textId="73898084" w:rsidR="00B24CB0" w:rsidRPr="00BE0480" w:rsidRDefault="00B24CB0" w:rsidP="007D6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19FBF6E2">
        <w:t xml:space="preserve"> </w:t>
      </w:r>
      <w:r w:rsidRPr="19FBF6E2">
        <w:rPr>
          <w:i/>
          <w:iCs/>
        </w:rPr>
        <w:t xml:space="preserve"> </w:t>
      </w:r>
      <w:r w:rsidR="00024A94">
        <w:rPr>
          <w:i/>
          <w:szCs w:val="20"/>
        </w:rPr>
        <w:tab/>
      </w:r>
      <w:r w:rsidR="00024A94" w:rsidRPr="19FBF6E2">
        <w:rPr>
          <w:i/>
          <w:iCs/>
        </w:rPr>
        <w:t xml:space="preserve">Source: </w:t>
      </w:r>
      <w:r w:rsidR="00024A94">
        <w:t xml:space="preserve">Reference </w:t>
      </w:r>
      <w:r w:rsidR="00024A94">
        <w:fldChar w:fldCharType="begin"/>
      </w:r>
      <w:r w:rsidR="00024A94">
        <w:instrText xml:space="preserve"> NOTEREF _Ref477442096 \h </w:instrText>
      </w:r>
      <w:r w:rsidR="00024A94">
        <w:fldChar w:fldCharType="separate"/>
      </w:r>
      <w:r w:rsidR="00073181">
        <w:t>2</w:t>
      </w:r>
      <w:r w:rsidR="00024A94">
        <w:fldChar w:fldCharType="end"/>
      </w:r>
      <w:r w:rsidR="006B3338">
        <w:t>, Table 3.</w:t>
      </w:r>
    </w:p>
    <w:p w14:paraId="106B7212" w14:textId="01B9D3D0" w:rsidR="0056502F" w:rsidRDefault="19FBF6E2"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t xml:space="preserve">The state-level amount of total </w:t>
      </w:r>
      <w:proofErr w:type="spellStart"/>
      <w:r>
        <w:t>greenwaste</w:t>
      </w:r>
      <w:proofErr w:type="spellEnd"/>
      <w:r>
        <w:t xml:space="preserve"> composted is the sum of the state-level food and yard waste composted.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56502F" w14:paraId="2D93179C" w14:textId="77777777" w:rsidTr="00BE0480">
        <w:tc>
          <w:tcPr>
            <w:tcW w:w="8748" w:type="dxa"/>
          </w:tcPr>
          <w:p w14:paraId="32406490" w14:textId="40216053" w:rsidR="0056502F" w:rsidRDefault="003555C0">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GW,s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food,s</m:t>
                    </m:r>
                  </m:sub>
                </m:sSub>
              </m:oMath>
            </m:oMathPara>
          </w:p>
        </w:tc>
        <w:tc>
          <w:tcPr>
            <w:tcW w:w="828" w:type="dxa"/>
          </w:tcPr>
          <w:p w14:paraId="6B5EC406" w14:textId="77777777" w:rsidR="0056502F" w:rsidRPr="00986448" w:rsidRDefault="0056502F" w:rsidP="007D6365">
            <w:pPr>
              <w:pStyle w:val="ListParagraph"/>
              <w:widowControl/>
              <w:numPr>
                <w:ilvl w:val="0"/>
                <w:numId w:val="10"/>
              </w:numPr>
              <w:autoSpaceDE/>
              <w:autoSpaceDN/>
              <w:adjustRightInd/>
              <w:spacing w:after="200"/>
              <w:jc w:val="right"/>
              <w:rPr>
                <w:szCs w:val="20"/>
              </w:rPr>
            </w:pPr>
          </w:p>
        </w:tc>
      </w:tr>
    </w:tbl>
    <w:p w14:paraId="5B79383A" w14:textId="3EBBA288" w:rsidR="0056502F" w:rsidRDefault="19FBF6E2"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t>Where:</w:t>
      </w:r>
    </w:p>
    <w:p w14:paraId="546EEE5F" w14:textId="7F2B89E3" w:rsidR="0056502F" w:rsidRDefault="0056502F" w:rsidP="007D6365">
      <w:pPr>
        <w:pStyle w:val="NoSpacing"/>
      </w:pPr>
      <w:r>
        <w:tab/>
      </w:r>
      <w:r w:rsidRPr="19FBF6E2">
        <w:rPr>
          <w:i/>
          <w:iCs/>
        </w:rPr>
        <w:t>W</w:t>
      </w:r>
      <w:r w:rsidRPr="19FBF6E2">
        <w:rPr>
          <w:i/>
          <w:iCs/>
          <w:vertAlign w:val="subscript"/>
        </w:rPr>
        <w:t>GW</w:t>
      </w:r>
      <w:proofErr w:type="gramStart"/>
      <w:r w:rsidRPr="19FBF6E2">
        <w:rPr>
          <w:i/>
          <w:iCs/>
          <w:vertAlign w:val="subscript"/>
        </w:rPr>
        <w:t>,s</w:t>
      </w:r>
      <w:proofErr w:type="gramEnd"/>
      <w:r>
        <w:rPr>
          <w:i/>
        </w:rPr>
        <w:tab/>
      </w:r>
      <w:r>
        <w:t>=</w:t>
      </w:r>
      <w:r>
        <w:tab/>
        <w:t xml:space="preserve">Annual total </w:t>
      </w:r>
      <w:proofErr w:type="spellStart"/>
      <w:r>
        <w:t>greenwaste</w:t>
      </w:r>
      <w:proofErr w:type="spellEnd"/>
      <w:r>
        <w:t xml:space="preserve"> recovered for composting in </w:t>
      </w:r>
      <w:proofErr w:type="spellStart"/>
      <w:r>
        <w:t xml:space="preserve">state </w:t>
      </w:r>
      <w:r w:rsidRPr="19FBF6E2">
        <w:rPr>
          <w:i/>
          <w:iCs/>
        </w:rPr>
        <w:t>s</w:t>
      </w:r>
      <w:proofErr w:type="spellEnd"/>
      <w:r>
        <w:t>, in tons</w:t>
      </w:r>
    </w:p>
    <w:p w14:paraId="08C240A7" w14:textId="77777777" w:rsidR="0056502F" w:rsidRDefault="0056502F" w:rsidP="0056502F">
      <w:pPr>
        <w:pStyle w:val="NoSpacing"/>
      </w:pPr>
      <w:r>
        <w:rPr>
          <w:i/>
        </w:rPr>
        <w:tab/>
      </w:r>
      <w:proofErr w:type="spellStart"/>
      <w:r w:rsidRPr="19FBF6E2">
        <w:rPr>
          <w:i/>
          <w:iCs/>
        </w:rPr>
        <w:t>W</w:t>
      </w:r>
      <w:r w:rsidRPr="19FBF6E2">
        <w:rPr>
          <w:i/>
          <w:iCs/>
          <w:vertAlign w:val="subscript"/>
        </w:rPr>
        <w:t>yard</w:t>
      </w:r>
      <w:proofErr w:type="gramStart"/>
      <w:r w:rsidRPr="19FBF6E2">
        <w:rPr>
          <w:i/>
          <w:iCs/>
          <w:vertAlign w:val="subscript"/>
        </w:rPr>
        <w:t>,s</w:t>
      </w:r>
      <w:proofErr w:type="spellEnd"/>
      <w:proofErr w:type="gramEnd"/>
      <w:r>
        <w:rPr>
          <w:vertAlign w:val="subscript"/>
        </w:rPr>
        <w:tab/>
      </w:r>
      <w:r>
        <w:t xml:space="preserve">= </w:t>
      </w:r>
      <w:r>
        <w:tab/>
        <w:t xml:space="preserve">Annual yard waste recovered for composting in </w:t>
      </w:r>
      <w:proofErr w:type="spellStart"/>
      <w:r>
        <w:t xml:space="preserve">state </w:t>
      </w:r>
      <w:r w:rsidRPr="19FBF6E2">
        <w:rPr>
          <w:i/>
          <w:iCs/>
        </w:rPr>
        <w:t>s</w:t>
      </w:r>
      <w:proofErr w:type="spellEnd"/>
      <w:r>
        <w:t>, in tons</w:t>
      </w:r>
    </w:p>
    <w:p w14:paraId="46434D81" w14:textId="5099EE76" w:rsidR="0056502F" w:rsidRPr="007026FD" w:rsidRDefault="0056502F" w:rsidP="0056502F">
      <w:pPr>
        <w:pStyle w:val="NoSpacing"/>
      </w:pPr>
      <w:r>
        <w:rPr>
          <w:i/>
        </w:rPr>
        <w:tab/>
      </w:r>
      <w:proofErr w:type="spellStart"/>
      <w:r w:rsidRPr="19FBF6E2">
        <w:rPr>
          <w:i/>
          <w:iCs/>
        </w:rPr>
        <w:t>W</w:t>
      </w:r>
      <w:r w:rsidRPr="19FBF6E2">
        <w:rPr>
          <w:i/>
          <w:iCs/>
          <w:vertAlign w:val="subscript"/>
        </w:rPr>
        <w:t>food</w:t>
      </w:r>
      <w:proofErr w:type="gramStart"/>
      <w:r w:rsidRPr="19FBF6E2">
        <w:rPr>
          <w:i/>
          <w:iCs/>
          <w:vertAlign w:val="subscript"/>
        </w:rPr>
        <w:t>,s</w:t>
      </w:r>
      <w:proofErr w:type="spellEnd"/>
      <w:proofErr w:type="gramEnd"/>
      <w:r>
        <w:rPr>
          <w:vertAlign w:val="subscript"/>
        </w:rPr>
        <w:tab/>
      </w:r>
      <w:r>
        <w:t xml:space="preserve">= </w:t>
      </w:r>
      <w:r>
        <w:tab/>
        <w:t xml:space="preserve">Annual food waste recovered for composting in </w:t>
      </w:r>
      <w:proofErr w:type="spellStart"/>
      <w:r>
        <w:t xml:space="preserve">state </w:t>
      </w:r>
      <w:r w:rsidRPr="19FBF6E2">
        <w:rPr>
          <w:i/>
          <w:iCs/>
        </w:rPr>
        <w:t>s</w:t>
      </w:r>
      <w:proofErr w:type="spellEnd"/>
      <w:r>
        <w:t xml:space="preserve">, in tons, from </w:t>
      </w:r>
      <w:r>
        <w:fldChar w:fldCharType="begin"/>
      </w:r>
      <w:r>
        <w:instrText xml:space="preserve"> REF _Ref477442487 \h </w:instrText>
      </w:r>
      <w:r>
        <w:fldChar w:fldCharType="separate"/>
      </w:r>
      <w:r w:rsidR="00073181">
        <w:t xml:space="preserve">Table </w:t>
      </w:r>
      <w:r w:rsidR="00073181">
        <w:rPr>
          <w:noProof/>
        </w:rPr>
        <w:t>2</w:t>
      </w:r>
      <w:r>
        <w:fldChar w:fldCharType="end"/>
      </w:r>
    </w:p>
    <w:p w14:paraId="29128349" w14:textId="77777777" w:rsidR="0056502F" w:rsidRDefault="0056502F" w:rsidP="0056502F">
      <w:pPr>
        <w:pStyle w:val="NoSpacing"/>
      </w:pPr>
    </w:p>
    <w:p w14:paraId="2B7A5F9D" w14:textId="05680EAF" w:rsidR="00ED0BEB" w:rsidRDefault="00ED0BEB"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process used to distribute the state-level amount of </w:t>
      </w:r>
      <w:proofErr w:type="spellStart"/>
      <w:r w:rsidR="0056502F">
        <w:rPr>
          <w:szCs w:val="20"/>
        </w:rPr>
        <w:t>green</w:t>
      </w:r>
      <w:r>
        <w:rPr>
          <w:szCs w:val="20"/>
        </w:rPr>
        <w:t>waste</w:t>
      </w:r>
      <w:proofErr w:type="spellEnd"/>
      <w:r>
        <w:rPr>
          <w:szCs w:val="20"/>
        </w:rPr>
        <w:t xml:space="preserve"> composted to the counties is discussed in section </w:t>
      </w:r>
      <w:r>
        <w:rPr>
          <w:szCs w:val="20"/>
        </w:rPr>
        <w:fldChar w:fldCharType="begin"/>
      </w:r>
      <w:r>
        <w:rPr>
          <w:szCs w:val="20"/>
        </w:rPr>
        <w:instrText xml:space="preserve"> REF _Ref477177506 \r \h </w:instrText>
      </w:r>
      <w:r>
        <w:rPr>
          <w:szCs w:val="20"/>
        </w:rPr>
      </w:r>
      <w:r>
        <w:rPr>
          <w:szCs w:val="20"/>
        </w:rPr>
        <w:fldChar w:fldCharType="separate"/>
      </w:r>
      <w:r w:rsidR="00073181">
        <w:rPr>
          <w:szCs w:val="20"/>
        </w:rPr>
        <w:t>D</w:t>
      </w:r>
      <w:r>
        <w:rPr>
          <w:szCs w:val="20"/>
        </w:rPr>
        <w:fldChar w:fldCharType="end"/>
      </w:r>
      <w:r>
        <w:rPr>
          <w:szCs w:val="20"/>
        </w:rPr>
        <w:t xml:space="preserve">. </w:t>
      </w:r>
    </w:p>
    <w:p w14:paraId="229D649F" w14:textId="5BB2A8ED" w:rsidR="00B97E6E" w:rsidRDefault="007D6365" w:rsidP="00052E59">
      <w:pPr>
        <w:pStyle w:val="Heading1"/>
      </w:pPr>
      <w:bookmarkStart w:id="7" w:name="_Ref477177506"/>
      <w:r>
        <w:t>A</w:t>
      </w:r>
      <w:r w:rsidR="00B97E6E" w:rsidRPr="00203DFF">
        <w:t>llocation Procedure</w:t>
      </w:r>
      <w:bookmarkEnd w:id="7"/>
      <w:r w:rsidR="00B97E6E" w:rsidRPr="009820A2">
        <w:t xml:space="preserve"> </w:t>
      </w:r>
    </w:p>
    <w:p w14:paraId="0B29F863" w14:textId="6D15CF6C" w:rsidR="00B97E6E" w:rsidRDefault="00B97E6E" w:rsidP="00B97E6E">
      <w:pPr>
        <w:widowControl/>
        <w:tabs>
          <w:tab w:val="left" w:pos="0"/>
        </w:tabs>
        <w:rPr>
          <w:b/>
          <w:i/>
          <w:szCs w:val="20"/>
        </w:rPr>
      </w:pPr>
      <w:r>
        <w:rPr>
          <w:szCs w:val="20"/>
        </w:rPr>
        <w:t xml:space="preserve">Comprehensive data on the county locations of composting facilities is not available. As a result, the analysis assumes that </w:t>
      </w:r>
      <w:proofErr w:type="spellStart"/>
      <w:r w:rsidR="0056502F">
        <w:rPr>
          <w:szCs w:val="20"/>
        </w:rPr>
        <w:t>green</w:t>
      </w:r>
      <w:r>
        <w:rPr>
          <w:szCs w:val="20"/>
        </w:rPr>
        <w:t>waste</w:t>
      </w:r>
      <w:proofErr w:type="spellEnd"/>
      <w:r>
        <w:rPr>
          <w:szCs w:val="20"/>
        </w:rPr>
        <w:t xml:space="preserve"> composting facilities are co-located with solid waste landfills. </w:t>
      </w:r>
    </w:p>
    <w:p w14:paraId="642AB286" w14:textId="3A76F27E" w:rsidR="00B97E6E" w:rsidRDefault="00B97E6E" w:rsidP="00B97E6E">
      <w:pPr>
        <w:widowControl/>
        <w:tabs>
          <w:tab w:val="left" w:pos="0"/>
        </w:tabs>
        <w:rPr>
          <w:szCs w:val="20"/>
        </w:rPr>
      </w:pPr>
      <w:r w:rsidRPr="009820A2">
        <w:rPr>
          <w:szCs w:val="20"/>
        </w:rPr>
        <w:t>State</w:t>
      </w:r>
      <w:r>
        <w:rPr>
          <w:szCs w:val="20"/>
        </w:rPr>
        <w:t xml:space="preserve">-level </w:t>
      </w:r>
      <w:r w:rsidR="00024A94">
        <w:rPr>
          <w:szCs w:val="20"/>
        </w:rPr>
        <w:t xml:space="preserve">food </w:t>
      </w:r>
      <w:proofErr w:type="spellStart"/>
      <w:r w:rsidR="0056502F">
        <w:rPr>
          <w:szCs w:val="20"/>
        </w:rPr>
        <w:t>green</w:t>
      </w:r>
      <w:r>
        <w:rPr>
          <w:szCs w:val="20"/>
        </w:rPr>
        <w:t>waste</w:t>
      </w:r>
      <w:proofErr w:type="spellEnd"/>
      <w:r>
        <w:rPr>
          <w:szCs w:val="20"/>
        </w:rPr>
        <w:t xml:space="preserve"> composting </w:t>
      </w:r>
      <w:r w:rsidR="00ED0BEB">
        <w:rPr>
          <w:szCs w:val="20"/>
        </w:rPr>
        <w:t xml:space="preserve">activity (from equation </w:t>
      </w:r>
      <w:r w:rsidR="0056502F">
        <w:rPr>
          <w:szCs w:val="20"/>
        </w:rPr>
        <w:t>3</w:t>
      </w:r>
      <w:r w:rsidR="00ED0BEB">
        <w:rPr>
          <w:szCs w:val="20"/>
        </w:rPr>
        <w:t xml:space="preserve">) </w:t>
      </w:r>
      <w:r w:rsidR="00A54167">
        <w:rPr>
          <w:szCs w:val="20"/>
        </w:rPr>
        <w:t>i</w:t>
      </w:r>
      <w:r>
        <w:rPr>
          <w:szCs w:val="20"/>
        </w:rPr>
        <w:t xml:space="preserve">s allocated to the county-level using employment at solid waste landfills (NAICS code 562212). Specifically, state-level estimates of </w:t>
      </w:r>
      <w:proofErr w:type="spellStart"/>
      <w:r w:rsidR="0056502F">
        <w:rPr>
          <w:szCs w:val="20"/>
        </w:rPr>
        <w:t>green</w:t>
      </w:r>
      <w:r>
        <w:rPr>
          <w:szCs w:val="20"/>
        </w:rPr>
        <w:t>waste</w:t>
      </w:r>
      <w:proofErr w:type="spellEnd"/>
      <w:r>
        <w:rPr>
          <w:szCs w:val="20"/>
        </w:rPr>
        <w:t xml:space="preserve"> collected for composting </w:t>
      </w:r>
      <w:r w:rsidR="00A54167">
        <w:rPr>
          <w:szCs w:val="20"/>
        </w:rPr>
        <w:t>ar</w:t>
      </w:r>
      <w:r>
        <w:rPr>
          <w:szCs w:val="20"/>
        </w:rPr>
        <w:t xml:space="preserve">e multiplied by the ratio of county- to state- level number of employees at landfills.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D0BEB" w14:paraId="653D1909" w14:textId="77777777" w:rsidTr="008810A9">
        <w:tc>
          <w:tcPr>
            <w:tcW w:w="8748" w:type="dxa"/>
          </w:tcPr>
          <w:p w14:paraId="550FA03C" w14:textId="77777777" w:rsidR="00ED0BEB" w:rsidRDefault="003555C0" w:rsidP="008810A9">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s</m:t>
                        </m:r>
                      </m:sub>
                    </m:sSub>
                  </m:den>
                </m:f>
              </m:oMath>
            </m:oMathPara>
          </w:p>
        </w:tc>
        <w:tc>
          <w:tcPr>
            <w:tcW w:w="828" w:type="dxa"/>
          </w:tcPr>
          <w:p w14:paraId="53830AAB" w14:textId="77777777" w:rsidR="00ED0BEB" w:rsidRPr="00986448" w:rsidRDefault="00ED0BEB" w:rsidP="007D6365">
            <w:pPr>
              <w:pStyle w:val="ListParagraph"/>
              <w:widowControl/>
              <w:numPr>
                <w:ilvl w:val="0"/>
                <w:numId w:val="10"/>
              </w:numPr>
              <w:autoSpaceDE/>
              <w:autoSpaceDN/>
              <w:adjustRightInd/>
              <w:spacing w:after="200"/>
              <w:jc w:val="right"/>
              <w:rPr>
                <w:szCs w:val="20"/>
              </w:rPr>
            </w:pPr>
          </w:p>
        </w:tc>
      </w:tr>
    </w:tbl>
    <w:p w14:paraId="73F66314" w14:textId="77777777" w:rsidR="00ED0BEB" w:rsidRDefault="00ED0BEB" w:rsidP="00ED0BEB">
      <w:pPr>
        <w:widowControl/>
        <w:tabs>
          <w:tab w:val="left" w:pos="0"/>
        </w:tabs>
        <w:rPr>
          <w:szCs w:val="20"/>
        </w:rPr>
      </w:pPr>
      <w:r>
        <w:rPr>
          <w:szCs w:val="20"/>
        </w:rPr>
        <w:t>Where:</w:t>
      </w:r>
    </w:p>
    <w:p w14:paraId="4E43FD49" w14:textId="77777777" w:rsidR="00ED0BEB" w:rsidRPr="007026FD" w:rsidRDefault="00ED0BEB" w:rsidP="00ED0BEB">
      <w:pPr>
        <w:pStyle w:val="NoSpacing"/>
        <w:tabs>
          <w:tab w:val="clear" w:pos="1296"/>
          <w:tab w:val="clear" w:pos="1584"/>
          <w:tab w:val="left" w:pos="1530"/>
          <w:tab w:val="left" w:pos="1800"/>
        </w:tabs>
      </w:pPr>
      <w:r>
        <w:rPr>
          <w:i/>
        </w:rPr>
        <w:tab/>
      </w:r>
      <w:proofErr w:type="spellStart"/>
      <w:r>
        <w:rPr>
          <w:i/>
        </w:rPr>
        <w:t>EmpFrac</w:t>
      </w:r>
      <w:r w:rsidRPr="00ED598D">
        <w:rPr>
          <w:i/>
          <w:vertAlign w:val="subscript"/>
        </w:rPr>
        <w:t>c</w:t>
      </w:r>
      <w:proofErr w:type="spellEnd"/>
      <w:r>
        <w:rPr>
          <w:vertAlign w:val="subscript"/>
        </w:rPr>
        <w:tab/>
      </w:r>
      <w:r>
        <w:t xml:space="preserve">= </w:t>
      </w:r>
      <w:r>
        <w:tab/>
      </w:r>
      <w:proofErr w:type="gramStart"/>
      <w:r>
        <w:t>The</w:t>
      </w:r>
      <w:proofErr w:type="gramEnd"/>
      <w:r>
        <w:t xml:space="preserve"> fraction of landfill employees in county </w:t>
      </w:r>
      <w:r>
        <w:rPr>
          <w:i/>
        </w:rPr>
        <w:t>c</w:t>
      </w:r>
    </w:p>
    <w:p w14:paraId="2158BFA6" w14:textId="77777777" w:rsidR="00ED0BEB" w:rsidRPr="007026FD" w:rsidRDefault="00ED0BEB" w:rsidP="00ED0BEB">
      <w:pPr>
        <w:pStyle w:val="NoSpacing"/>
        <w:tabs>
          <w:tab w:val="clear" w:pos="1296"/>
          <w:tab w:val="clear" w:pos="1584"/>
          <w:tab w:val="left" w:pos="1530"/>
          <w:tab w:val="left" w:pos="1800"/>
        </w:tabs>
        <w:rPr>
          <w:i/>
        </w:rPr>
      </w:pPr>
      <w:r>
        <w:rPr>
          <w:i/>
        </w:rPr>
        <w:tab/>
      </w:r>
      <w:proofErr w:type="spellStart"/>
      <w:r>
        <w:rPr>
          <w:i/>
        </w:rPr>
        <w:t>Emp</w:t>
      </w:r>
      <w:r>
        <w:rPr>
          <w:i/>
          <w:vertAlign w:val="subscript"/>
        </w:rPr>
        <w:t>c</w:t>
      </w:r>
      <w:proofErr w:type="spellEnd"/>
      <w:r>
        <w:rPr>
          <w:i/>
        </w:rPr>
        <w:tab/>
      </w:r>
      <w:r>
        <w:t>=</w:t>
      </w:r>
      <w:r>
        <w:tab/>
      </w:r>
      <w:proofErr w:type="gramStart"/>
      <w:r>
        <w:t>The</w:t>
      </w:r>
      <w:proofErr w:type="gramEnd"/>
      <w:r>
        <w:t xml:space="preserve"> number of landfill employees in county </w:t>
      </w:r>
      <w:r>
        <w:rPr>
          <w:i/>
        </w:rPr>
        <w:t>c</w:t>
      </w:r>
    </w:p>
    <w:p w14:paraId="64BD0CE2" w14:textId="77777777" w:rsidR="00ED0BEB" w:rsidRPr="007026FD" w:rsidRDefault="00ED0BEB" w:rsidP="00ED0BEB">
      <w:pPr>
        <w:pStyle w:val="NoSpacing"/>
        <w:tabs>
          <w:tab w:val="clear" w:pos="1296"/>
          <w:tab w:val="clear" w:pos="1584"/>
          <w:tab w:val="left" w:pos="1530"/>
          <w:tab w:val="left" w:pos="1800"/>
        </w:tabs>
        <w:rPr>
          <w:i/>
        </w:rPr>
      </w:pPr>
      <w:r>
        <w:rPr>
          <w:i/>
        </w:rPr>
        <w:tab/>
      </w:r>
      <w:proofErr w:type="spellStart"/>
      <w:r>
        <w:rPr>
          <w:i/>
        </w:rPr>
        <w:t>Emp</w:t>
      </w:r>
      <w:r>
        <w:rPr>
          <w:i/>
          <w:vertAlign w:val="subscript"/>
        </w:rPr>
        <w:t>s</w:t>
      </w:r>
      <w:proofErr w:type="spellEnd"/>
      <w:r>
        <w:rPr>
          <w:i/>
        </w:rPr>
        <w:tab/>
      </w:r>
      <w:r>
        <w:t>=</w:t>
      </w:r>
      <w:r>
        <w:tab/>
      </w:r>
      <w:proofErr w:type="gramStart"/>
      <w:r>
        <w:t>The</w:t>
      </w:r>
      <w:proofErr w:type="gramEnd"/>
      <w:r>
        <w:t xml:space="preserve"> number of landfill employees in state </w:t>
      </w:r>
      <w:r>
        <w:rPr>
          <w:i/>
        </w:rPr>
        <w:t>s</w:t>
      </w:r>
    </w:p>
    <w:p w14:paraId="43A4222D" w14:textId="77777777" w:rsidR="00ED0BEB" w:rsidRDefault="00ED0BEB" w:rsidP="00ED0BEB">
      <w:pPr>
        <w:widowControl/>
        <w:tabs>
          <w:tab w:val="left" w:pos="270"/>
          <w:tab w:val="left" w:pos="990"/>
          <w:tab w:val="left" w:pos="1260"/>
        </w:tabs>
        <w:rPr>
          <w:szCs w:val="20"/>
        </w:rPr>
      </w:pPr>
    </w:p>
    <w:p w14:paraId="0ABFFDA7" w14:textId="6232F11F" w:rsidR="00B97E6E" w:rsidRPr="00173827" w:rsidRDefault="00B97E6E" w:rsidP="00B97E6E">
      <w:pPr>
        <w:rPr>
          <w:szCs w:val="20"/>
        </w:rPr>
      </w:pPr>
      <w:r>
        <w:rPr>
          <w:szCs w:val="20"/>
        </w:rPr>
        <w:t xml:space="preserve">Employment data </w:t>
      </w:r>
      <w:r w:rsidR="00A84DAA">
        <w:rPr>
          <w:szCs w:val="20"/>
        </w:rPr>
        <w:t xml:space="preserve">are </w:t>
      </w:r>
      <w:r>
        <w:rPr>
          <w:szCs w:val="20"/>
        </w:rPr>
        <w:t>from the U.S. Census Bureau’s 201</w:t>
      </w:r>
      <w:r w:rsidR="00A10C43">
        <w:rPr>
          <w:szCs w:val="20"/>
        </w:rPr>
        <w:t>6</w:t>
      </w:r>
      <w:r>
        <w:rPr>
          <w:szCs w:val="20"/>
        </w:rPr>
        <w:t xml:space="preserve"> County Business Patterns (CBP).</w:t>
      </w:r>
      <w:r w:rsidR="005A2CA7">
        <w:rPr>
          <w:rStyle w:val="EndnoteReference"/>
          <w:szCs w:val="20"/>
        </w:rPr>
        <w:endnoteReference w:id="5"/>
      </w:r>
      <w:r w:rsidRPr="00CE3849">
        <w:rPr>
          <w:szCs w:val="20"/>
        </w:rPr>
        <w:t xml:space="preserve"> </w:t>
      </w:r>
      <w:r w:rsidRPr="00173827">
        <w:rPr>
          <w:szCs w:val="20"/>
        </w:rPr>
        <w:t xml:space="preserve">Due to concerns with releasing confidential business information, the </w:t>
      </w:r>
      <w:r w:rsidRPr="005A2CA7">
        <w:rPr>
          <w:iCs/>
          <w:szCs w:val="20"/>
        </w:rPr>
        <w:t>CBP</w:t>
      </w:r>
      <w:r w:rsidRPr="00173827">
        <w:rPr>
          <w:szCs w:val="20"/>
        </w:rPr>
        <w:t xml:space="preserve"> does not release exact numbers for a given NAICS code </w:t>
      </w:r>
      <w:r>
        <w:rPr>
          <w:szCs w:val="20"/>
        </w:rPr>
        <w:t>if the</w:t>
      </w:r>
      <w:r w:rsidRPr="00173827">
        <w:rPr>
          <w:szCs w:val="20"/>
        </w:rPr>
        <w:t xml:space="preserve"> data </w:t>
      </w:r>
      <w:r>
        <w:rPr>
          <w:szCs w:val="20"/>
        </w:rPr>
        <w:t>can be traced to an</w:t>
      </w:r>
      <w:r w:rsidRPr="00173827">
        <w:rPr>
          <w:szCs w:val="20"/>
        </w:rPr>
        <w:t xml:space="preserve"> individua</w:t>
      </w:r>
      <w:r>
        <w:rPr>
          <w:szCs w:val="20"/>
        </w:rPr>
        <w:t xml:space="preserve">l business. </w:t>
      </w:r>
      <w:r w:rsidRPr="00173827">
        <w:rPr>
          <w:szCs w:val="20"/>
        </w:rPr>
        <w:t>Instead</w:t>
      </w:r>
      <w:r>
        <w:rPr>
          <w:szCs w:val="20"/>
        </w:rPr>
        <w:t>,</w:t>
      </w:r>
      <w:r w:rsidRPr="00173827">
        <w:rPr>
          <w:szCs w:val="20"/>
        </w:rPr>
        <w:t xml:space="preserve"> a series of range codes </w:t>
      </w:r>
      <w:r>
        <w:rPr>
          <w:szCs w:val="20"/>
        </w:rPr>
        <w:t>is</w:t>
      </w:r>
      <w:r w:rsidRPr="00173827">
        <w:rPr>
          <w:szCs w:val="20"/>
        </w:rPr>
        <w:t xml:space="preserve"> used.</w:t>
      </w:r>
      <w:r w:rsidR="00BE0480">
        <w:rPr>
          <w:szCs w:val="20"/>
        </w:rPr>
        <w:t xml:space="preserve"> </w:t>
      </w:r>
      <w:r>
        <w:rPr>
          <w:szCs w:val="20"/>
        </w:rPr>
        <w:t xml:space="preserve">Many counties and some smaller states have only one solid waste landfill, leading to withheld data in the county and/or state business pattern data. </w:t>
      </w:r>
      <w:r w:rsidRPr="00173827">
        <w:rPr>
          <w:szCs w:val="20"/>
        </w:rPr>
        <w:t xml:space="preserve">To estimate </w:t>
      </w:r>
      <w:r>
        <w:rPr>
          <w:szCs w:val="20"/>
        </w:rPr>
        <w:t xml:space="preserve">employment in counties and states with </w:t>
      </w:r>
      <w:r w:rsidRPr="00173827">
        <w:rPr>
          <w:szCs w:val="20"/>
        </w:rPr>
        <w:t xml:space="preserve">withheld </w:t>
      </w:r>
      <w:r>
        <w:rPr>
          <w:szCs w:val="20"/>
        </w:rPr>
        <w:t>data,</w:t>
      </w:r>
      <w:r w:rsidRPr="00173827">
        <w:rPr>
          <w:szCs w:val="20"/>
        </w:rPr>
        <w:t xml:space="preserve"> the following procedure </w:t>
      </w:r>
      <w:r w:rsidR="00157738">
        <w:rPr>
          <w:szCs w:val="20"/>
        </w:rPr>
        <w:t>i</w:t>
      </w:r>
      <w:r>
        <w:rPr>
          <w:szCs w:val="20"/>
        </w:rPr>
        <w:t xml:space="preserve">s used for </w:t>
      </w:r>
      <w:r w:rsidRPr="00173827">
        <w:rPr>
          <w:szCs w:val="20"/>
        </w:rPr>
        <w:t xml:space="preserve">NAICS code </w:t>
      </w:r>
      <w:r>
        <w:rPr>
          <w:szCs w:val="20"/>
        </w:rPr>
        <w:t>562212</w:t>
      </w:r>
      <w:r w:rsidRPr="00173827">
        <w:rPr>
          <w:szCs w:val="20"/>
        </w:rPr>
        <w:t xml:space="preserve">. </w:t>
      </w:r>
    </w:p>
    <w:p w14:paraId="0272B954" w14:textId="77777777" w:rsidR="00B97E6E" w:rsidRPr="00173827" w:rsidRDefault="00B97E6E" w:rsidP="00B97E6E">
      <w:pPr>
        <w:rPr>
          <w:szCs w:val="20"/>
        </w:rPr>
      </w:pPr>
      <w:r>
        <w:rPr>
          <w:szCs w:val="20"/>
        </w:rPr>
        <w:t>To gap-fill withheld state-level employment data:</w:t>
      </w:r>
    </w:p>
    <w:p w14:paraId="063C6DD6" w14:textId="70B7D280" w:rsidR="00B97E6E" w:rsidRDefault="00B97E6E" w:rsidP="004E1CBE">
      <w:pPr>
        <w:widowControl/>
        <w:numPr>
          <w:ilvl w:val="0"/>
          <w:numId w:val="7"/>
        </w:numPr>
        <w:autoSpaceDE/>
        <w:autoSpaceDN/>
        <w:adjustRightInd/>
        <w:spacing w:after="0"/>
        <w:rPr>
          <w:szCs w:val="20"/>
        </w:rPr>
      </w:pPr>
      <w:r>
        <w:rPr>
          <w:szCs w:val="20"/>
        </w:rPr>
        <w:t xml:space="preserve">State-level data for states with known employment </w:t>
      </w:r>
      <w:r w:rsidR="00A84DAA">
        <w:rPr>
          <w:szCs w:val="20"/>
        </w:rPr>
        <w:t>in NAICS</w:t>
      </w:r>
      <w:r w:rsidR="00BD61EA">
        <w:rPr>
          <w:szCs w:val="20"/>
        </w:rPr>
        <w:t xml:space="preserve"> 562212 </w:t>
      </w:r>
      <w:r w:rsidR="00157738">
        <w:rPr>
          <w:szCs w:val="20"/>
        </w:rPr>
        <w:t>a</w:t>
      </w:r>
      <w:r>
        <w:rPr>
          <w:szCs w:val="20"/>
        </w:rPr>
        <w:t>re summed to the national level.</w:t>
      </w:r>
    </w:p>
    <w:p w14:paraId="574E6590" w14:textId="57135D94" w:rsidR="00B97E6E" w:rsidRDefault="00BD61EA" w:rsidP="004E1CBE">
      <w:pPr>
        <w:widowControl/>
        <w:numPr>
          <w:ilvl w:val="0"/>
          <w:numId w:val="7"/>
        </w:numPr>
        <w:autoSpaceDE/>
        <w:autoSpaceDN/>
        <w:adjustRightInd/>
        <w:spacing w:after="0"/>
        <w:rPr>
          <w:szCs w:val="20"/>
        </w:rPr>
      </w:pPr>
      <w:r>
        <w:rPr>
          <w:szCs w:val="20"/>
        </w:rPr>
        <w:t xml:space="preserve">The total sum of </w:t>
      </w:r>
      <w:r w:rsidR="00A84DAA">
        <w:rPr>
          <w:szCs w:val="20"/>
        </w:rPr>
        <w:t>s</w:t>
      </w:r>
      <w:r w:rsidR="00B97E6E">
        <w:rPr>
          <w:szCs w:val="20"/>
        </w:rPr>
        <w:t xml:space="preserve">tate-level known employment </w:t>
      </w:r>
      <w:r>
        <w:rPr>
          <w:szCs w:val="20"/>
        </w:rPr>
        <w:t xml:space="preserve">from step </w:t>
      </w:r>
      <w:proofErr w:type="gramStart"/>
      <w:r>
        <w:rPr>
          <w:szCs w:val="20"/>
        </w:rPr>
        <w:t xml:space="preserve">a </w:t>
      </w:r>
      <w:r w:rsidR="00157738">
        <w:rPr>
          <w:szCs w:val="20"/>
        </w:rPr>
        <w:t>i</w:t>
      </w:r>
      <w:r w:rsidR="00B97E6E">
        <w:rPr>
          <w:szCs w:val="20"/>
        </w:rPr>
        <w:t>s</w:t>
      </w:r>
      <w:proofErr w:type="gramEnd"/>
      <w:r w:rsidR="00B97E6E">
        <w:rPr>
          <w:szCs w:val="20"/>
        </w:rPr>
        <w:t xml:space="preserve"> subtracted from the national total reported </w:t>
      </w:r>
      <w:r>
        <w:rPr>
          <w:szCs w:val="20"/>
        </w:rPr>
        <w:t>employment for NAIC</w:t>
      </w:r>
      <w:r w:rsidR="008810A9">
        <w:rPr>
          <w:szCs w:val="20"/>
        </w:rPr>
        <w:t>S</w:t>
      </w:r>
      <w:r>
        <w:rPr>
          <w:szCs w:val="20"/>
        </w:rPr>
        <w:t xml:space="preserve"> 562212 </w:t>
      </w:r>
      <w:r w:rsidR="00B97E6E">
        <w:rPr>
          <w:szCs w:val="20"/>
        </w:rPr>
        <w:t>in the national-level CBP</w:t>
      </w:r>
      <w:r>
        <w:rPr>
          <w:szCs w:val="20"/>
        </w:rPr>
        <w:t xml:space="preserve"> to determine the employment total for the withheld states</w:t>
      </w:r>
      <w:r w:rsidR="00B97E6E">
        <w:rPr>
          <w:szCs w:val="20"/>
        </w:rPr>
        <w:t>.</w:t>
      </w:r>
    </w:p>
    <w:p w14:paraId="759B2655" w14:textId="1CF9E031" w:rsidR="00B97E6E" w:rsidRDefault="00B97E6E" w:rsidP="004E1CBE">
      <w:pPr>
        <w:widowControl/>
        <w:numPr>
          <w:ilvl w:val="0"/>
          <w:numId w:val="7"/>
        </w:numPr>
        <w:autoSpaceDE/>
        <w:autoSpaceDN/>
        <w:adjustRightInd/>
        <w:spacing w:after="0"/>
        <w:rPr>
          <w:szCs w:val="20"/>
        </w:rPr>
      </w:pPr>
      <w:r>
        <w:rPr>
          <w:szCs w:val="20"/>
        </w:rPr>
        <w:t xml:space="preserve">Each of the withheld states </w:t>
      </w:r>
      <w:r w:rsidR="00157738">
        <w:rPr>
          <w:szCs w:val="20"/>
        </w:rPr>
        <w:t>i</w:t>
      </w:r>
      <w:r>
        <w:rPr>
          <w:szCs w:val="20"/>
        </w:rPr>
        <w:t>s assigned the mid</w:t>
      </w:r>
      <w:r w:rsidR="0097551A">
        <w:rPr>
          <w:szCs w:val="20"/>
        </w:rPr>
        <w:t>point of the range code</w:t>
      </w:r>
      <w:r w:rsidR="00BD61EA">
        <w:rPr>
          <w:szCs w:val="20"/>
        </w:rPr>
        <w:t xml:space="preserve"> reported for that state</w:t>
      </w:r>
      <w:r w:rsidR="0097551A">
        <w:rPr>
          <w:szCs w:val="20"/>
        </w:rPr>
        <w:t xml:space="preserve">. </w:t>
      </w:r>
      <w:r w:rsidR="0097551A" w:rsidRPr="0097551A">
        <w:rPr>
          <w:sz w:val="16"/>
          <w:szCs w:val="20"/>
        </w:rPr>
        <w:fldChar w:fldCharType="begin"/>
      </w:r>
      <w:r w:rsidR="0097551A" w:rsidRPr="0097551A">
        <w:rPr>
          <w:sz w:val="16"/>
          <w:szCs w:val="20"/>
        </w:rPr>
        <w:instrText xml:space="preserve"> REF _Ref474399305 \h  \* MERGEFORMAT </w:instrText>
      </w:r>
      <w:r w:rsidR="0097551A" w:rsidRPr="0097551A">
        <w:rPr>
          <w:sz w:val="16"/>
          <w:szCs w:val="20"/>
        </w:rPr>
      </w:r>
      <w:r w:rsidR="0097551A" w:rsidRPr="0097551A">
        <w:rPr>
          <w:sz w:val="16"/>
          <w:szCs w:val="20"/>
        </w:rPr>
        <w:fldChar w:fldCharType="separate"/>
      </w:r>
      <w:r w:rsidR="00073181" w:rsidRPr="0097551A">
        <w:t xml:space="preserve">Table </w:t>
      </w:r>
      <w:r w:rsidR="00073181">
        <w:rPr>
          <w:noProof/>
        </w:rPr>
        <w:t>3</w:t>
      </w:r>
      <w:r w:rsidR="0097551A" w:rsidRPr="0097551A">
        <w:rPr>
          <w:sz w:val="16"/>
          <w:szCs w:val="20"/>
        </w:rPr>
        <w:fldChar w:fldCharType="end"/>
      </w:r>
      <w:r w:rsidR="0097551A" w:rsidRPr="0097551A">
        <w:rPr>
          <w:sz w:val="18"/>
          <w:szCs w:val="20"/>
        </w:rPr>
        <w:t xml:space="preserve"> </w:t>
      </w:r>
      <w:r>
        <w:rPr>
          <w:szCs w:val="20"/>
        </w:rPr>
        <w:t>lists the range codes and midpoints.</w:t>
      </w:r>
    </w:p>
    <w:p w14:paraId="5C1A8469" w14:textId="391A8115" w:rsidR="00B97E6E" w:rsidRDefault="00B97E6E" w:rsidP="004E1CBE">
      <w:pPr>
        <w:widowControl/>
        <w:numPr>
          <w:ilvl w:val="0"/>
          <w:numId w:val="7"/>
        </w:numPr>
        <w:autoSpaceDE/>
        <w:autoSpaceDN/>
        <w:adjustRightInd/>
        <w:spacing w:after="0"/>
        <w:rPr>
          <w:szCs w:val="20"/>
        </w:rPr>
      </w:pPr>
      <w:r>
        <w:rPr>
          <w:szCs w:val="20"/>
        </w:rPr>
        <w:t xml:space="preserve">The midpoints for the states with withheld data </w:t>
      </w:r>
      <w:r w:rsidR="00157738">
        <w:rPr>
          <w:szCs w:val="20"/>
        </w:rPr>
        <w:t>a</w:t>
      </w:r>
      <w:r>
        <w:rPr>
          <w:szCs w:val="20"/>
        </w:rPr>
        <w:t xml:space="preserve">re summed to the national-level. </w:t>
      </w:r>
    </w:p>
    <w:p w14:paraId="0056A1F7" w14:textId="568A7DC2" w:rsidR="00B97E6E" w:rsidRDefault="00B97E6E" w:rsidP="004E1CBE">
      <w:pPr>
        <w:widowControl/>
        <w:numPr>
          <w:ilvl w:val="0"/>
          <w:numId w:val="7"/>
        </w:numPr>
        <w:autoSpaceDE/>
        <w:autoSpaceDN/>
        <w:adjustRightInd/>
        <w:spacing w:after="0"/>
        <w:rPr>
          <w:szCs w:val="20"/>
        </w:rPr>
      </w:pPr>
      <w:r>
        <w:rPr>
          <w:szCs w:val="20"/>
        </w:rPr>
        <w:lastRenderedPageBreak/>
        <w:t>A</w:t>
      </w:r>
      <w:r w:rsidR="004E1CBE">
        <w:rPr>
          <w:szCs w:val="20"/>
        </w:rPr>
        <w:t>n</w:t>
      </w:r>
      <w:r>
        <w:rPr>
          <w:szCs w:val="20"/>
        </w:rPr>
        <w:t xml:space="preserve"> adjustment factor </w:t>
      </w:r>
      <w:r w:rsidR="00157738">
        <w:rPr>
          <w:szCs w:val="20"/>
        </w:rPr>
        <w:t>i</w:t>
      </w:r>
      <w:r>
        <w:rPr>
          <w:szCs w:val="20"/>
        </w:rPr>
        <w:t xml:space="preserve">s created by dividing the number of withheld employees (calculated in step </w:t>
      </w:r>
      <w:r w:rsidR="00A6061A">
        <w:rPr>
          <w:szCs w:val="20"/>
        </w:rPr>
        <w:t>b</w:t>
      </w:r>
      <w:r w:rsidR="00E12236">
        <w:rPr>
          <w:szCs w:val="20"/>
        </w:rPr>
        <w:t xml:space="preserve"> of this section</w:t>
      </w:r>
      <w:r>
        <w:rPr>
          <w:szCs w:val="20"/>
        </w:rPr>
        <w:t xml:space="preserve">) by the sum </w:t>
      </w:r>
      <w:r w:rsidR="00A6061A">
        <w:rPr>
          <w:szCs w:val="20"/>
        </w:rPr>
        <w:t>of the midpoints (step d</w:t>
      </w:r>
      <w:r>
        <w:rPr>
          <w:szCs w:val="20"/>
        </w:rPr>
        <w:t>)</w:t>
      </w:r>
      <w:r w:rsidR="003C6033">
        <w:rPr>
          <w:szCs w:val="20"/>
        </w:rPr>
        <w:t>.</w:t>
      </w:r>
    </w:p>
    <w:p w14:paraId="169030D6" w14:textId="73C990CD" w:rsidR="00B97E6E" w:rsidRDefault="00B97E6E" w:rsidP="00A6061A">
      <w:pPr>
        <w:widowControl/>
        <w:numPr>
          <w:ilvl w:val="0"/>
          <w:numId w:val="7"/>
        </w:numPr>
        <w:autoSpaceDE/>
        <w:autoSpaceDN/>
        <w:adjustRightInd/>
        <w:rPr>
          <w:szCs w:val="20"/>
        </w:rPr>
      </w:pPr>
      <w:r>
        <w:rPr>
          <w:szCs w:val="20"/>
        </w:rPr>
        <w:t xml:space="preserve">For the states with withheld employment data, the midpoint of </w:t>
      </w:r>
      <w:r w:rsidR="00A6061A">
        <w:rPr>
          <w:szCs w:val="20"/>
        </w:rPr>
        <w:t>the range for that state (step c</w:t>
      </w:r>
      <w:r>
        <w:rPr>
          <w:szCs w:val="20"/>
        </w:rPr>
        <w:t xml:space="preserve">) </w:t>
      </w:r>
      <w:r w:rsidR="00157738">
        <w:rPr>
          <w:szCs w:val="20"/>
        </w:rPr>
        <w:t>i</w:t>
      </w:r>
      <w:r>
        <w:rPr>
          <w:szCs w:val="20"/>
        </w:rPr>
        <w:t xml:space="preserve">s multiplied </w:t>
      </w:r>
      <w:r w:rsidR="00A6061A">
        <w:rPr>
          <w:szCs w:val="20"/>
        </w:rPr>
        <w:t>by the adjustment factor (step e</w:t>
      </w:r>
      <w:r>
        <w:rPr>
          <w:szCs w:val="20"/>
        </w:rPr>
        <w:t>) to calculate the adjusted state-level employment for landfills.</w:t>
      </w:r>
    </w:p>
    <w:p w14:paraId="34AE4CBF" w14:textId="16C4F6FF" w:rsidR="00B97E6E" w:rsidRDefault="00B97E6E" w:rsidP="00B97E6E">
      <w:pPr>
        <w:widowControl/>
        <w:autoSpaceDE/>
        <w:autoSpaceDN/>
        <w:adjustRightInd/>
        <w:rPr>
          <w:szCs w:val="20"/>
        </w:rPr>
      </w:pPr>
      <w:r>
        <w:rPr>
          <w:szCs w:val="20"/>
        </w:rPr>
        <w:t xml:space="preserve">These same steps </w:t>
      </w:r>
      <w:r w:rsidR="00157738">
        <w:rPr>
          <w:szCs w:val="20"/>
        </w:rPr>
        <w:t>a</w:t>
      </w:r>
      <w:r>
        <w:rPr>
          <w:szCs w:val="20"/>
        </w:rPr>
        <w:t>re then followed to fill in withheld data in the county-level business patterns.</w:t>
      </w:r>
    </w:p>
    <w:p w14:paraId="1DC31CC7" w14:textId="1D44451E" w:rsidR="00B97E6E" w:rsidRPr="00173827" w:rsidRDefault="00B97E6E" w:rsidP="004E1CBE">
      <w:pPr>
        <w:widowControl/>
        <w:numPr>
          <w:ilvl w:val="0"/>
          <w:numId w:val="7"/>
        </w:numPr>
        <w:autoSpaceDE/>
        <w:autoSpaceDN/>
        <w:adjustRightInd/>
        <w:spacing w:after="0"/>
        <w:rPr>
          <w:szCs w:val="20"/>
        </w:rPr>
      </w:pPr>
      <w:r>
        <w:rPr>
          <w:szCs w:val="20"/>
        </w:rPr>
        <w:t>County-</w:t>
      </w:r>
      <w:r w:rsidRPr="00173827">
        <w:rPr>
          <w:szCs w:val="20"/>
        </w:rPr>
        <w:t xml:space="preserve">level data for counties with known employment </w:t>
      </w:r>
      <w:r w:rsidR="00157738">
        <w:rPr>
          <w:szCs w:val="20"/>
        </w:rPr>
        <w:t>a</w:t>
      </w:r>
      <w:r>
        <w:rPr>
          <w:szCs w:val="20"/>
        </w:rPr>
        <w:t>re</w:t>
      </w:r>
      <w:r w:rsidRPr="00173827">
        <w:rPr>
          <w:szCs w:val="20"/>
        </w:rPr>
        <w:t xml:space="preserve"> </w:t>
      </w:r>
      <w:r>
        <w:rPr>
          <w:szCs w:val="20"/>
        </w:rPr>
        <w:t xml:space="preserve">summed </w:t>
      </w:r>
      <w:r w:rsidRPr="00173827">
        <w:rPr>
          <w:szCs w:val="20"/>
        </w:rPr>
        <w:t xml:space="preserve">by state. </w:t>
      </w:r>
    </w:p>
    <w:p w14:paraId="6133BEBB" w14:textId="5D510904" w:rsidR="00B97E6E" w:rsidRPr="00173827" w:rsidRDefault="00B97E6E" w:rsidP="004E1CBE">
      <w:pPr>
        <w:widowControl/>
        <w:numPr>
          <w:ilvl w:val="0"/>
          <w:numId w:val="7"/>
        </w:numPr>
        <w:autoSpaceDE/>
        <w:autoSpaceDN/>
        <w:adjustRightInd/>
        <w:spacing w:after="0"/>
        <w:rPr>
          <w:szCs w:val="20"/>
        </w:rPr>
      </w:pPr>
      <w:r>
        <w:rPr>
          <w:szCs w:val="20"/>
        </w:rPr>
        <w:t xml:space="preserve">County-level known employment </w:t>
      </w:r>
      <w:r w:rsidR="00157738">
        <w:rPr>
          <w:szCs w:val="20"/>
        </w:rPr>
        <w:t>i</w:t>
      </w:r>
      <w:r>
        <w:rPr>
          <w:szCs w:val="20"/>
        </w:rPr>
        <w:t>s</w:t>
      </w:r>
      <w:r w:rsidRPr="00173827">
        <w:rPr>
          <w:szCs w:val="20"/>
        </w:rPr>
        <w:t xml:space="preserve"> subtracted from the state total reported in state-level </w:t>
      </w:r>
      <w:r w:rsidRPr="00430EE7">
        <w:rPr>
          <w:iCs/>
          <w:szCs w:val="20"/>
        </w:rPr>
        <w:t>CBP</w:t>
      </w:r>
      <w:r>
        <w:rPr>
          <w:iCs/>
          <w:szCs w:val="20"/>
        </w:rPr>
        <w:t xml:space="preserve"> (or, if the state-level data </w:t>
      </w:r>
      <w:r w:rsidR="00157738">
        <w:rPr>
          <w:iCs/>
          <w:szCs w:val="20"/>
        </w:rPr>
        <w:t>a</w:t>
      </w:r>
      <w:r>
        <w:rPr>
          <w:iCs/>
          <w:szCs w:val="20"/>
        </w:rPr>
        <w:t>re withheld, from the state total estimated using the procedure discussed above).</w:t>
      </w:r>
    </w:p>
    <w:p w14:paraId="1928EDDE" w14:textId="08D3C40F" w:rsidR="00B97E6E" w:rsidRPr="00173827" w:rsidRDefault="00B97E6E" w:rsidP="004E1CBE">
      <w:pPr>
        <w:widowControl/>
        <w:numPr>
          <w:ilvl w:val="0"/>
          <w:numId w:val="7"/>
        </w:numPr>
        <w:autoSpaceDE/>
        <w:autoSpaceDN/>
        <w:adjustRightInd/>
        <w:spacing w:after="0"/>
        <w:rPr>
          <w:szCs w:val="20"/>
        </w:rPr>
      </w:pPr>
      <w:r>
        <w:rPr>
          <w:szCs w:val="20"/>
        </w:rPr>
        <w:t xml:space="preserve">Each of the withheld counties </w:t>
      </w:r>
      <w:r w:rsidR="00157738">
        <w:rPr>
          <w:szCs w:val="20"/>
        </w:rPr>
        <w:t>i</w:t>
      </w:r>
      <w:r>
        <w:rPr>
          <w:szCs w:val="20"/>
        </w:rPr>
        <w:t>s</w:t>
      </w:r>
      <w:r w:rsidRPr="00173827">
        <w:rPr>
          <w:szCs w:val="20"/>
        </w:rPr>
        <w:t xml:space="preserve"> assigned </w:t>
      </w:r>
      <w:r>
        <w:rPr>
          <w:szCs w:val="20"/>
        </w:rPr>
        <w:t>the mid</w:t>
      </w:r>
      <w:r w:rsidR="0097551A">
        <w:rPr>
          <w:szCs w:val="20"/>
        </w:rPr>
        <w:t xml:space="preserve">point of the range code </w:t>
      </w:r>
      <w:r w:rsidR="0097551A" w:rsidRPr="0097551A">
        <w:rPr>
          <w:szCs w:val="20"/>
        </w:rPr>
        <w:t>(</w:t>
      </w:r>
      <w:r w:rsidR="0097551A" w:rsidRPr="0097551A">
        <w:rPr>
          <w:szCs w:val="20"/>
        </w:rPr>
        <w:fldChar w:fldCharType="begin"/>
      </w:r>
      <w:r w:rsidR="0097551A" w:rsidRPr="0097551A">
        <w:rPr>
          <w:szCs w:val="20"/>
        </w:rPr>
        <w:instrText xml:space="preserve"> REF _Ref474399305 \h </w:instrText>
      </w:r>
      <w:r w:rsidR="0097551A">
        <w:rPr>
          <w:szCs w:val="20"/>
        </w:rPr>
        <w:instrText xml:space="preserve"> \* MERGEFORMAT </w:instrText>
      </w:r>
      <w:r w:rsidR="0097551A" w:rsidRPr="0097551A">
        <w:rPr>
          <w:szCs w:val="20"/>
        </w:rPr>
      </w:r>
      <w:r w:rsidR="0097551A" w:rsidRPr="0097551A">
        <w:rPr>
          <w:szCs w:val="20"/>
        </w:rPr>
        <w:fldChar w:fldCharType="separate"/>
      </w:r>
      <w:r w:rsidR="00073181" w:rsidRPr="00073181">
        <w:rPr>
          <w:szCs w:val="20"/>
        </w:rPr>
        <w:t xml:space="preserve">Table </w:t>
      </w:r>
      <w:r w:rsidR="00073181" w:rsidRPr="00073181">
        <w:rPr>
          <w:noProof/>
          <w:szCs w:val="20"/>
        </w:rPr>
        <w:t>3</w:t>
      </w:r>
      <w:r w:rsidR="0097551A" w:rsidRPr="0097551A">
        <w:rPr>
          <w:szCs w:val="20"/>
        </w:rPr>
        <w:fldChar w:fldCharType="end"/>
      </w:r>
      <w:r>
        <w:rPr>
          <w:szCs w:val="20"/>
        </w:rPr>
        <w:t xml:space="preserve">). </w:t>
      </w:r>
      <w:r w:rsidRPr="00173827">
        <w:rPr>
          <w:szCs w:val="20"/>
        </w:rPr>
        <w:t xml:space="preserve"> </w:t>
      </w:r>
    </w:p>
    <w:p w14:paraId="523A20A2" w14:textId="3F15329D" w:rsidR="00B97E6E" w:rsidRPr="00173827" w:rsidRDefault="00B97E6E" w:rsidP="004E1CBE">
      <w:pPr>
        <w:widowControl/>
        <w:numPr>
          <w:ilvl w:val="0"/>
          <w:numId w:val="7"/>
        </w:numPr>
        <w:autoSpaceDE/>
        <w:autoSpaceDN/>
        <w:adjustRightInd/>
        <w:spacing w:after="0"/>
        <w:rPr>
          <w:szCs w:val="20"/>
        </w:rPr>
      </w:pPr>
      <w:r>
        <w:rPr>
          <w:szCs w:val="20"/>
        </w:rPr>
        <w:t xml:space="preserve">The midpoints for the counties with withheld data </w:t>
      </w:r>
      <w:r w:rsidR="00157738">
        <w:rPr>
          <w:szCs w:val="20"/>
        </w:rPr>
        <w:t>a</w:t>
      </w:r>
      <w:r>
        <w:rPr>
          <w:szCs w:val="20"/>
        </w:rPr>
        <w:t>re summed to the state level.</w:t>
      </w:r>
      <w:r w:rsidRPr="00173827">
        <w:rPr>
          <w:szCs w:val="20"/>
        </w:rPr>
        <w:t xml:space="preserve"> </w:t>
      </w:r>
    </w:p>
    <w:p w14:paraId="1B02CF87" w14:textId="2B438F99" w:rsidR="00B97E6E" w:rsidRPr="00173827" w:rsidRDefault="00B97E6E" w:rsidP="004E1CBE">
      <w:pPr>
        <w:widowControl/>
        <w:numPr>
          <w:ilvl w:val="0"/>
          <w:numId w:val="7"/>
        </w:numPr>
        <w:autoSpaceDE/>
        <w:autoSpaceDN/>
        <w:adjustRightInd/>
        <w:spacing w:after="0"/>
        <w:rPr>
          <w:szCs w:val="20"/>
        </w:rPr>
      </w:pPr>
      <w:r>
        <w:rPr>
          <w:szCs w:val="20"/>
        </w:rPr>
        <w:t xml:space="preserve">An adjustment factor </w:t>
      </w:r>
      <w:r w:rsidR="00157738">
        <w:rPr>
          <w:szCs w:val="20"/>
        </w:rPr>
        <w:t>i</w:t>
      </w:r>
      <w:r>
        <w:rPr>
          <w:szCs w:val="20"/>
        </w:rPr>
        <w:t>s created by dividing the numb</w:t>
      </w:r>
      <w:r w:rsidR="00A6061A">
        <w:rPr>
          <w:szCs w:val="20"/>
        </w:rPr>
        <w:t>er of withheld employees (step h</w:t>
      </w:r>
      <w:r>
        <w:rPr>
          <w:szCs w:val="20"/>
        </w:rPr>
        <w:t>)</w:t>
      </w:r>
      <w:r w:rsidRPr="00173827">
        <w:rPr>
          <w:szCs w:val="20"/>
        </w:rPr>
        <w:t xml:space="preserve"> by </w:t>
      </w:r>
      <w:r>
        <w:rPr>
          <w:szCs w:val="20"/>
        </w:rPr>
        <w:t xml:space="preserve">the sum of the midpoints (step </w:t>
      </w:r>
      <w:r w:rsidR="00A6061A">
        <w:rPr>
          <w:szCs w:val="20"/>
        </w:rPr>
        <w:t>j</w:t>
      </w:r>
      <w:r>
        <w:rPr>
          <w:szCs w:val="20"/>
        </w:rPr>
        <w:t>).</w:t>
      </w:r>
    </w:p>
    <w:p w14:paraId="55E03E5D" w14:textId="59E89CE6" w:rsidR="00B97E6E" w:rsidRDefault="00B97E6E" w:rsidP="00A6061A">
      <w:pPr>
        <w:widowControl/>
        <w:numPr>
          <w:ilvl w:val="0"/>
          <w:numId w:val="7"/>
        </w:numPr>
        <w:autoSpaceDE/>
        <w:autoSpaceDN/>
        <w:adjustRightInd/>
        <w:rPr>
          <w:szCs w:val="20"/>
        </w:rPr>
      </w:pPr>
      <w:r>
        <w:rPr>
          <w:szCs w:val="20"/>
        </w:rPr>
        <w:t>For counties with withheld employ</w:t>
      </w:r>
      <w:r w:rsidR="00A6061A">
        <w:rPr>
          <w:szCs w:val="20"/>
        </w:rPr>
        <w:t xml:space="preserve">ment data, the midpoints (step </w:t>
      </w:r>
      <w:proofErr w:type="spellStart"/>
      <w:r w:rsidR="00A6061A">
        <w:rPr>
          <w:szCs w:val="20"/>
        </w:rPr>
        <w:t>i</w:t>
      </w:r>
      <w:proofErr w:type="spellEnd"/>
      <w:r>
        <w:rPr>
          <w:szCs w:val="20"/>
        </w:rPr>
        <w:t xml:space="preserve">) </w:t>
      </w:r>
      <w:r w:rsidR="00157738">
        <w:rPr>
          <w:szCs w:val="20"/>
        </w:rPr>
        <w:t>a</w:t>
      </w:r>
      <w:r>
        <w:rPr>
          <w:szCs w:val="20"/>
        </w:rPr>
        <w:t>re mu</w:t>
      </w:r>
      <w:r w:rsidRPr="00173827">
        <w:rPr>
          <w:szCs w:val="20"/>
        </w:rPr>
        <w:t xml:space="preserve">ltiplied by </w:t>
      </w:r>
      <w:r w:rsidR="00A6061A">
        <w:rPr>
          <w:szCs w:val="20"/>
        </w:rPr>
        <w:t>the adjustment factor (step k</w:t>
      </w:r>
      <w:r>
        <w:rPr>
          <w:szCs w:val="20"/>
        </w:rPr>
        <w:t>)</w:t>
      </w:r>
      <w:r w:rsidRPr="00173827">
        <w:rPr>
          <w:szCs w:val="20"/>
        </w:rPr>
        <w:t xml:space="preserve"> to </w:t>
      </w:r>
      <w:r>
        <w:rPr>
          <w:szCs w:val="20"/>
        </w:rPr>
        <w:t xml:space="preserve">calculate </w:t>
      </w:r>
      <w:r w:rsidRPr="00173827">
        <w:rPr>
          <w:szCs w:val="20"/>
        </w:rPr>
        <w:t>the a</w:t>
      </w:r>
      <w:r>
        <w:rPr>
          <w:szCs w:val="20"/>
        </w:rPr>
        <w:t>djusted county-level employment for landfills.</w:t>
      </w:r>
    </w:p>
    <w:p w14:paraId="16C56B33" w14:textId="77777777" w:rsidR="0097551A" w:rsidRPr="0097551A" w:rsidRDefault="0097551A" w:rsidP="00052E59">
      <w:pPr>
        <w:pStyle w:val="TableCaption"/>
      </w:pPr>
      <w:bookmarkStart w:id="8" w:name="_Ref474399305"/>
      <w:r w:rsidRPr="0097551A">
        <w:t xml:space="preserve">Table </w:t>
      </w:r>
      <w:fldSimple w:instr=" SEQ Table \* ARABIC ">
        <w:r w:rsidR="00073181">
          <w:rPr>
            <w:noProof/>
          </w:rPr>
          <w:t>3</w:t>
        </w:r>
      </w:fldSimple>
      <w:bookmarkEnd w:id="8"/>
      <w:r w:rsidRPr="0097551A">
        <w:t>. Ranges and midpoints for data withheld from state and county business patterns</w:t>
      </w:r>
    </w:p>
    <w:tbl>
      <w:tblPr>
        <w:tblW w:w="3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440"/>
        <w:gridCol w:w="1017"/>
      </w:tblGrid>
      <w:tr w:rsidR="00B97E6E" w:rsidRPr="005E6387" w14:paraId="65A9481C" w14:textId="77777777" w:rsidTr="004E1CBE">
        <w:trPr>
          <w:trHeight w:val="20"/>
          <w:tblHeader/>
          <w:jc w:val="center"/>
        </w:trPr>
        <w:tc>
          <w:tcPr>
            <w:tcW w:w="1280" w:type="dxa"/>
            <w:shd w:val="clear" w:color="000000" w:fill="C0C0C0"/>
            <w:noWrap/>
            <w:vAlign w:val="bottom"/>
            <w:hideMark/>
          </w:tcPr>
          <w:p w14:paraId="2EAE4F35" w14:textId="77777777" w:rsidR="00B97E6E" w:rsidRPr="005E6387" w:rsidRDefault="00A6061A" w:rsidP="004E1CBE">
            <w:pPr>
              <w:widowControl/>
              <w:autoSpaceDE/>
              <w:autoSpaceDN/>
              <w:adjustRightInd/>
              <w:spacing w:after="0"/>
              <w:jc w:val="center"/>
              <w:rPr>
                <w:b/>
                <w:bCs/>
                <w:color w:val="000000"/>
                <w:szCs w:val="22"/>
              </w:rPr>
            </w:pPr>
            <w:bookmarkStart w:id="9" w:name="RANGE!A1"/>
            <w:r>
              <w:rPr>
                <w:b/>
                <w:bCs/>
                <w:color w:val="000000"/>
                <w:szCs w:val="22"/>
              </w:rPr>
              <w:t>Employment</w:t>
            </w:r>
            <w:r w:rsidR="00B97E6E" w:rsidRPr="005E6387">
              <w:rPr>
                <w:b/>
                <w:bCs/>
                <w:color w:val="000000"/>
                <w:szCs w:val="22"/>
              </w:rPr>
              <w:t xml:space="preserve"> </w:t>
            </w:r>
            <w:bookmarkEnd w:id="9"/>
            <w:r>
              <w:rPr>
                <w:b/>
                <w:bCs/>
                <w:color w:val="000000"/>
                <w:szCs w:val="22"/>
              </w:rPr>
              <w:t>Code</w:t>
            </w:r>
          </w:p>
        </w:tc>
        <w:tc>
          <w:tcPr>
            <w:tcW w:w="1440" w:type="dxa"/>
            <w:shd w:val="clear" w:color="000000" w:fill="C0C0C0"/>
            <w:noWrap/>
            <w:vAlign w:val="center"/>
            <w:hideMark/>
          </w:tcPr>
          <w:p w14:paraId="70216943" w14:textId="77777777" w:rsidR="00B97E6E" w:rsidRPr="005E6387" w:rsidRDefault="00B97E6E" w:rsidP="004E1CBE">
            <w:pPr>
              <w:widowControl/>
              <w:autoSpaceDE/>
              <w:autoSpaceDN/>
              <w:adjustRightInd/>
              <w:spacing w:after="0"/>
              <w:jc w:val="center"/>
              <w:rPr>
                <w:b/>
                <w:bCs/>
                <w:color w:val="000000"/>
                <w:szCs w:val="22"/>
              </w:rPr>
            </w:pPr>
            <w:r w:rsidRPr="005E6387">
              <w:rPr>
                <w:b/>
                <w:bCs/>
                <w:color w:val="000000"/>
                <w:szCs w:val="22"/>
              </w:rPr>
              <w:t>Ranges</w:t>
            </w:r>
          </w:p>
        </w:tc>
        <w:tc>
          <w:tcPr>
            <w:tcW w:w="1017" w:type="dxa"/>
            <w:shd w:val="clear" w:color="000000" w:fill="C0C0C0"/>
            <w:noWrap/>
            <w:vAlign w:val="center"/>
            <w:hideMark/>
          </w:tcPr>
          <w:p w14:paraId="4CD01458" w14:textId="77777777" w:rsidR="00B97E6E" w:rsidRPr="005E6387" w:rsidRDefault="00B97E6E" w:rsidP="004E1CBE">
            <w:pPr>
              <w:widowControl/>
              <w:autoSpaceDE/>
              <w:autoSpaceDN/>
              <w:adjustRightInd/>
              <w:spacing w:after="0"/>
              <w:jc w:val="center"/>
              <w:rPr>
                <w:b/>
                <w:bCs/>
                <w:color w:val="000000"/>
                <w:szCs w:val="22"/>
              </w:rPr>
            </w:pPr>
            <w:r w:rsidRPr="005E6387">
              <w:rPr>
                <w:b/>
                <w:bCs/>
                <w:color w:val="000000"/>
                <w:szCs w:val="22"/>
              </w:rPr>
              <w:t>Midpoint</w:t>
            </w:r>
          </w:p>
        </w:tc>
      </w:tr>
      <w:tr w:rsidR="00B97E6E" w:rsidRPr="005E6387" w14:paraId="4F7B2DA7" w14:textId="77777777" w:rsidTr="00ED598D">
        <w:trPr>
          <w:trHeight w:val="20"/>
          <w:jc w:val="center"/>
        </w:trPr>
        <w:tc>
          <w:tcPr>
            <w:tcW w:w="1280" w:type="dxa"/>
            <w:shd w:val="clear" w:color="auto" w:fill="auto"/>
            <w:vAlign w:val="bottom"/>
            <w:hideMark/>
          </w:tcPr>
          <w:p w14:paraId="2A4059B4"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A</w:t>
            </w:r>
          </w:p>
        </w:tc>
        <w:tc>
          <w:tcPr>
            <w:tcW w:w="1440" w:type="dxa"/>
            <w:shd w:val="clear" w:color="auto" w:fill="auto"/>
            <w:vAlign w:val="bottom"/>
            <w:hideMark/>
          </w:tcPr>
          <w:p w14:paraId="01BE07B7"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0-19</w:t>
            </w:r>
          </w:p>
        </w:tc>
        <w:tc>
          <w:tcPr>
            <w:tcW w:w="1017" w:type="dxa"/>
            <w:shd w:val="clear" w:color="auto" w:fill="auto"/>
            <w:vAlign w:val="bottom"/>
            <w:hideMark/>
          </w:tcPr>
          <w:p w14:paraId="723AA93B"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10</w:t>
            </w:r>
          </w:p>
        </w:tc>
      </w:tr>
      <w:tr w:rsidR="00B97E6E" w:rsidRPr="005E6387" w14:paraId="0E12513A" w14:textId="77777777" w:rsidTr="00ED598D">
        <w:trPr>
          <w:trHeight w:val="20"/>
          <w:jc w:val="center"/>
        </w:trPr>
        <w:tc>
          <w:tcPr>
            <w:tcW w:w="1280" w:type="dxa"/>
            <w:shd w:val="clear" w:color="auto" w:fill="auto"/>
            <w:vAlign w:val="bottom"/>
            <w:hideMark/>
          </w:tcPr>
          <w:p w14:paraId="43933BC1"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B</w:t>
            </w:r>
          </w:p>
        </w:tc>
        <w:tc>
          <w:tcPr>
            <w:tcW w:w="1440" w:type="dxa"/>
            <w:shd w:val="clear" w:color="auto" w:fill="auto"/>
            <w:vAlign w:val="bottom"/>
            <w:hideMark/>
          </w:tcPr>
          <w:p w14:paraId="02683E06"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20-99</w:t>
            </w:r>
          </w:p>
        </w:tc>
        <w:tc>
          <w:tcPr>
            <w:tcW w:w="1017" w:type="dxa"/>
            <w:shd w:val="clear" w:color="auto" w:fill="auto"/>
            <w:vAlign w:val="bottom"/>
            <w:hideMark/>
          </w:tcPr>
          <w:p w14:paraId="742016A9"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60</w:t>
            </w:r>
          </w:p>
        </w:tc>
      </w:tr>
      <w:tr w:rsidR="00B97E6E" w:rsidRPr="005E6387" w14:paraId="2A69C537" w14:textId="77777777" w:rsidTr="00ED598D">
        <w:trPr>
          <w:trHeight w:val="20"/>
          <w:jc w:val="center"/>
        </w:trPr>
        <w:tc>
          <w:tcPr>
            <w:tcW w:w="1280" w:type="dxa"/>
            <w:shd w:val="clear" w:color="auto" w:fill="auto"/>
            <w:vAlign w:val="bottom"/>
            <w:hideMark/>
          </w:tcPr>
          <w:p w14:paraId="6FC2E3FA"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C</w:t>
            </w:r>
          </w:p>
        </w:tc>
        <w:tc>
          <w:tcPr>
            <w:tcW w:w="1440" w:type="dxa"/>
            <w:shd w:val="clear" w:color="auto" w:fill="auto"/>
            <w:vAlign w:val="bottom"/>
            <w:hideMark/>
          </w:tcPr>
          <w:p w14:paraId="22B0D9B8"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100-249</w:t>
            </w:r>
          </w:p>
        </w:tc>
        <w:tc>
          <w:tcPr>
            <w:tcW w:w="1017" w:type="dxa"/>
            <w:shd w:val="clear" w:color="auto" w:fill="auto"/>
            <w:vAlign w:val="bottom"/>
            <w:hideMark/>
          </w:tcPr>
          <w:p w14:paraId="759D30E5"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175</w:t>
            </w:r>
          </w:p>
        </w:tc>
      </w:tr>
      <w:tr w:rsidR="00B97E6E" w:rsidRPr="005E6387" w14:paraId="7D3E5D73" w14:textId="77777777" w:rsidTr="00ED598D">
        <w:trPr>
          <w:trHeight w:val="20"/>
          <w:jc w:val="center"/>
        </w:trPr>
        <w:tc>
          <w:tcPr>
            <w:tcW w:w="1280" w:type="dxa"/>
            <w:shd w:val="clear" w:color="auto" w:fill="auto"/>
            <w:vAlign w:val="bottom"/>
            <w:hideMark/>
          </w:tcPr>
          <w:p w14:paraId="36BFAAEB"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E</w:t>
            </w:r>
          </w:p>
        </w:tc>
        <w:tc>
          <w:tcPr>
            <w:tcW w:w="1440" w:type="dxa"/>
            <w:shd w:val="clear" w:color="auto" w:fill="auto"/>
            <w:vAlign w:val="bottom"/>
            <w:hideMark/>
          </w:tcPr>
          <w:p w14:paraId="720CCE56"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250-499</w:t>
            </w:r>
          </w:p>
        </w:tc>
        <w:tc>
          <w:tcPr>
            <w:tcW w:w="1017" w:type="dxa"/>
            <w:shd w:val="clear" w:color="auto" w:fill="auto"/>
            <w:vAlign w:val="bottom"/>
            <w:hideMark/>
          </w:tcPr>
          <w:p w14:paraId="7054B8B1"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375</w:t>
            </w:r>
          </w:p>
        </w:tc>
      </w:tr>
      <w:tr w:rsidR="00B97E6E" w:rsidRPr="005E6387" w14:paraId="35AC4FF1" w14:textId="77777777" w:rsidTr="00ED598D">
        <w:trPr>
          <w:trHeight w:val="20"/>
          <w:jc w:val="center"/>
        </w:trPr>
        <w:tc>
          <w:tcPr>
            <w:tcW w:w="1280" w:type="dxa"/>
            <w:shd w:val="clear" w:color="auto" w:fill="auto"/>
            <w:vAlign w:val="bottom"/>
            <w:hideMark/>
          </w:tcPr>
          <w:p w14:paraId="5C940E6B"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F</w:t>
            </w:r>
          </w:p>
        </w:tc>
        <w:tc>
          <w:tcPr>
            <w:tcW w:w="1440" w:type="dxa"/>
            <w:shd w:val="clear" w:color="auto" w:fill="auto"/>
            <w:vAlign w:val="bottom"/>
            <w:hideMark/>
          </w:tcPr>
          <w:p w14:paraId="36FA12A3"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500-999</w:t>
            </w:r>
          </w:p>
        </w:tc>
        <w:tc>
          <w:tcPr>
            <w:tcW w:w="1017" w:type="dxa"/>
            <w:shd w:val="clear" w:color="auto" w:fill="auto"/>
            <w:vAlign w:val="bottom"/>
            <w:hideMark/>
          </w:tcPr>
          <w:p w14:paraId="32A9C30B"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750</w:t>
            </w:r>
          </w:p>
        </w:tc>
      </w:tr>
      <w:tr w:rsidR="00B97E6E" w:rsidRPr="005E6387" w14:paraId="3CE9E776" w14:textId="77777777" w:rsidTr="00ED598D">
        <w:trPr>
          <w:trHeight w:val="20"/>
          <w:jc w:val="center"/>
        </w:trPr>
        <w:tc>
          <w:tcPr>
            <w:tcW w:w="1280" w:type="dxa"/>
            <w:shd w:val="clear" w:color="auto" w:fill="auto"/>
            <w:vAlign w:val="bottom"/>
            <w:hideMark/>
          </w:tcPr>
          <w:p w14:paraId="2E83AD50"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G</w:t>
            </w:r>
          </w:p>
        </w:tc>
        <w:tc>
          <w:tcPr>
            <w:tcW w:w="1440" w:type="dxa"/>
            <w:shd w:val="clear" w:color="auto" w:fill="auto"/>
            <w:vAlign w:val="bottom"/>
            <w:hideMark/>
          </w:tcPr>
          <w:p w14:paraId="0C9CAAF6"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1</w:t>
            </w:r>
            <w:r w:rsidR="00E12236">
              <w:rPr>
                <w:color w:val="000000"/>
                <w:szCs w:val="22"/>
              </w:rPr>
              <w:t>,</w:t>
            </w:r>
            <w:r w:rsidRPr="005E6387">
              <w:rPr>
                <w:color w:val="000000"/>
                <w:szCs w:val="22"/>
              </w:rPr>
              <w:t>000-2</w:t>
            </w:r>
            <w:r w:rsidR="00E12236">
              <w:rPr>
                <w:color w:val="000000"/>
                <w:szCs w:val="22"/>
              </w:rPr>
              <w:t>,</w:t>
            </w:r>
            <w:r w:rsidRPr="005E6387">
              <w:rPr>
                <w:color w:val="000000"/>
                <w:szCs w:val="22"/>
              </w:rPr>
              <w:t>499</w:t>
            </w:r>
          </w:p>
        </w:tc>
        <w:tc>
          <w:tcPr>
            <w:tcW w:w="1017" w:type="dxa"/>
            <w:shd w:val="clear" w:color="auto" w:fill="auto"/>
            <w:vAlign w:val="bottom"/>
            <w:hideMark/>
          </w:tcPr>
          <w:p w14:paraId="71574B1F"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1,750</w:t>
            </w:r>
          </w:p>
        </w:tc>
      </w:tr>
      <w:tr w:rsidR="00B97E6E" w:rsidRPr="005E6387" w14:paraId="75076B8D" w14:textId="77777777" w:rsidTr="00ED598D">
        <w:trPr>
          <w:trHeight w:val="20"/>
          <w:jc w:val="center"/>
        </w:trPr>
        <w:tc>
          <w:tcPr>
            <w:tcW w:w="1280" w:type="dxa"/>
            <w:shd w:val="clear" w:color="auto" w:fill="auto"/>
            <w:vAlign w:val="bottom"/>
            <w:hideMark/>
          </w:tcPr>
          <w:p w14:paraId="746175CD"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H</w:t>
            </w:r>
          </w:p>
        </w:tc>
        <w:tc>
          <w:tcPr>
            <w:tcW w:w="1440" w:type="dxa"/>
            <w:shd w:val="clear" w:color="auto" w:fill="auto"/>
            <w:vAlign w:val="bottom"/>
            <w:hideMark/>
          </w:tcPr>
          <w:p w14:paraId="59F134CE"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2</w:t>
            </w:r>
            <w:r w:rsidR="00E12236">
              <w:rPr>
                <w:color w:val="000000"/>
                <w:szCs w:val="22"/>
              </w:rPr>
              <w:t>,</w:t>
            </w:r>
            <w:r w:rsidRPr="005E6387">
              <w:rPr>
                <w:color w:val="000000"/>
                <w:szCs w:val="22"/>
              </w:rPr>
              <w:t>500-4</w:t>
            </w:r>
            <w:r w:rsidR="00E12236">
              <w:rPr>
                <w:color w:val="000000"/>
                <w:szCs w:val="22"/>
              </w:rPr>
              <w:t>,</w:t>
            </w:r>
            <w:r w:rsidRPr="005E6387">
              <w:rPr>
                <w:color w:val="000000"/>
                <w:szCs w:val="22"/>
              </w:rPr>
              <w:t>999</w:t>
            </w:r>
          </w:p>
        </w:tc>
        <w:tc>
          <w:tcPr>
            <w:tcW w:w="1017" w:type="dxa"/>
            <w:shd w:val="clear" w:color="auto" w:fill="auto"/>
            <w:vAlign w:val="bottom"/>
            <w:hideMark/>
          </w:tcPr>
          <w:p w14:paraId="15839C14"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3,750</w:t>
            </w:r>
          </w:p>
        </w:tc>
      </w:tr>
      <w:tr w:rsidR="00B97E6E" w:rsidRPr="005E6387" w14:paraId="04ED5FCF" w14:textId="77777777" w:rsidTr="00ED598D">
        <w:trPr>
          <w:trHeight w:val="20"/>
          <w:jc w:val="center"/>
        </w:trPr>
        <w:tc>
          <w:tcPr>
            <w:tcW w:w="1280" w:type="dxa"/>
            <w:shd w:val="clear" w:color="auto" w:fill="auto"/>
            <w:vAlign w:val="bottom"/>
            <w:hideMark/>
          </w:tcPr>
          <w:p w14:paraId="38B5FA95"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I</w:t>
            </w:r>
          </w:p>
        </w:tc>
        <w:tc>
          <w:tcPr>
            <w:tcW w:w="1440" w:type="dxa"/>
            <w:shd w:val="clear" w:color="auto" w:fill="auto"/>
            <w:vAlign w:val="bottom"/>
            <w:hideMark/>
          </w:tcPr>
          <w:p w14:paraId="385AF16F"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5</w:t>
            </w:r>
            <w:r w:rsidR="00E12236">
              <w:rPr>
                <w:color w:val="000000"/>
                <w:szCs w:val="22"/>
              </w:rPr>
              <w:t>,</w:t>
            </w:r>
            <w:r w:rsidRPr="005E6387">
              <w:rPr>
                <w:color w:val="000000"/>
                <w:szCs w:val="22"/>
              </w:rPr>
              <w:t>000-9</w:t>
            </w:r>
            <w:r w:rsidR="00E12236">
              <w:rPr>
                <w:color w:val="000000"/>
                <w:szCs w:val="22"/>
              </w:rPr>
              <w:t>,</w:t>
            </w:r>
            <w:r w:rsidRPr="005E6387">
              <w:rPr>
                <w:color w:val="000000"/>
                <w:szCs w:val="22"/>
              </w:rPr>
              <w:t>999</w:t>
            </w:r>
          </w:p>
        </w:tc>
        <w:tc>
          <w:tcPr>
            <w:tcW w:w="1017" w:type="dxa"/>
            <w:shd w:val="clear" w:color="auto" w:fill="auto"/>
            <w:vAlign w:val="bottom"/>
            <w:hideMark/>
          </w:tcPr>
          <w:p w14:paraId="13ECF7DC"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7,500</w:t>
            </w:r>
          </w:p>
        </w:tc>
      </w:tr>
      <w:tr w:rsidR="00B97E6E" w:rsidRPr="005E6387" w14:paraId="72CDE97F" w14:textId="77777777" w:rsidTr="00ED598D">
        <w:trPr>
          <w:trHeight w:val="20"/>
          <w:jc w:val="center"/>
        </w:trPr>
        <w:tc>
          <w:tcPr>
            <w:tcW w:w="1280" w:type="dxa"/>
            <w:shd w:val="clear" w:color="auto" w:fill="auto"/>
            <w:vAlign w:val="bottom"/>
            <w:hideMark/>
          </w:tcPr>
          <w:p w14:paraId="2181341C"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J</w:t>
            </w:r>
          </w:p>
        </w:tc>
        <w:tc>
          <w:tcPr>
            <w:tcW w:w="1440" w:type="dxa"/>
            <w:shd w:val="clear" w:color="auto" w:fill="auto"/>
            <w:vAlign w:val="bottom"/>
            <w:hideMark/>
          </w:tcPr>
          <w:p w14:paraId="74B8DA94"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10</w:t>
            </w:r>
            <w:r w:rsidR="00E12236">
              <w:rPr>
                <w:color w:val="000000"/>
                <w:szCs w:val="22"/>
              </w:rPr>
              <w:t>,</w:t>
            </w:r>
            <w:r w:rsidRPr="005E6387">
              <w:rPr>
                <w:color w:val="000000"/>
                <w:szCs w:val="22"/>
              </w:rPr>
              <w:t>000-24</w:t>
            </w:r>
            <w:r w:rsidR="00E12236">
              <w:rPr>
                <w:color w:val="000000"/>
                <w:szCs w:val="22"/>
              </w:rPr>
              <w:t>,</w:t>
            </w:r>
            <w:r w:rsidRPr="005E6387">
              <w:rPr>
                <w:color w:val="000000"/>
                <w:szCs w:val="22"/>
              </w:rPr>
              <w:t>999</w:t>
            </w:r>
          </w:p>
        </w:tc>
        <w:tc>
          <w:tcPr>
            <w:tcW w:w="1017" w:type="dxa"/>
            <w:shd w:val="clear" w:color="auto" w:fill="auto"/>
            <w:vAlign w:val="bottom"/>
            <w:hideMark/>
          </w:tcPr>
          <w:p w14:paraId="72A659BF"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17,500</w:t>
            </w:r>
          </w:p>
        </w:tc>
      </w:tr>
      <w:tr w:rsidR="00B97E6E" w:rsidRPr="005E6387" w14:paraId="5AD7F675" w14:textId="77777777" w:rsidTr="00ED598D">
        <w:trPr>
          <w:trHeight w:val="20"/>
          <w:jc w:val="center"/>
        </w:trPr>
        <w:tc>
          <w:tcPr>
            <w:tcW w:w="1280" w:type="dxa"/>
            <w:shd w:val="clear" w:color="auto" w:fill="auto"/>
            <w:vAlign w:val="bottom"/>
            <w:hideMark/>
          </w:tcPr>
          <w:p w14:paraId="6083A9BE"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K</w:t>
            </w:r>
          </w:p>
        </w:tc>
        <w:tc>
          <w:tcPr>
            <w:tcW w:w="1440" w:type="dxa"/>
            <w:shd w:val="clear" w:color="auto" w:fill="auto"/>
            <w:vAlign w:val="bottom"/>
            <w:hideMark/>
          </w:tcPr>
          <w:p w14:paraId="3613BA90"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25</w:t>
            </w:r>
            <w:r w:rsidR="00E12236">
              <w:rPr>
                <w:color w:val="000000"/>
                <w:szCs w:val="22"/>
              </w:rPr>
              <w:t>,</w:t>
            </w:r>
            <w:r w:rsidRPr="005E6387">
              <w:rPr>
                <w:color w:val="000000"/>
                <w:szCs w:val="22"/>
              </w:rPr>
              <w:t>000-49</w:t>
            </w:r>
            <w:r w:rsidR="00E12236">
              <w:rPr>
                <w:color w:val="000000"/>
                <w:szCs w:val="22"/>
              </w:rPr>
              <w:t>,</w:t>
            </w:r>
            <w:r w:rsidRPr="005E6387">
              <w:rPr>
                <w:color w:val="000000"/>
                <w:szCs w:val="22"/>
              </w:rPr>
              <w:t>999</w:t>
            </w:r>
          </w:p>
        </w:tc>
        <w:tc>
          <w:tcPr>
            <w:tcW w:w="1017" w:type="dxa"/>
            <w:shd w:val="clear" w:color="auto" w:fill="auto"/>
            <w:vAlign w:val="bottom"/>
            <w:hideMark/>
          </w:tcPr>
          <w:p w14:paraId="2DE8E64D"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37,500</w:t>
            </w:r>
          </w:p>
        </w:tc>
      </w:tr>
      <w:tr w:rsidR="00B97E6E" w:rsidRPr="005E6387" w14:paraId="69DF9263" w14:textId="77777777" w:rsidTr="00ED598D">
        <w:trPr>
          <w:trHeight w:val="20"/>
          <w:jc w:val="center"/>
        </w:trPr>
        <w:tc>
          <w:tcPr>
            <w:tcW w:w="1280" w:type="dxa"/>
            <w:shd w:val="clear" w:color="auto" w:fill="auto"/>
            <w:vAlign w:val="bottom"/>
            <w:hideMark/>
          </w:tcPr>
          <w:p w14:paraId="2A16C238"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L</w:t>
            </w:r>
          </w:p>
        </w:tc>
        <w:tc>
          <w:tcPr>
            <w:tcW w:w="1440" w:type="dxa"/>
            <w:shd w:val="clear" w:color="auto" w:fill="auto"/>
            <w:vAlign w:val="bottom"/>
            <w:hideMark/>
          </w:tcPr>
          <w:p w14:paraId="46259E68"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50</w:t>
            </w:r>
            <w:r w:rsidR="00E12236">
              <w:rPr>
                <w:color w:val="000000"/>
                <w:szCs w:val="22"/>
              </w:rPr>
              <w:t>,</w:t>
            </w:r>
            <w:r w:rsidRPr="005E6387">
              <w:rPr>
                <w:color w:val="000000"/>
                <w:szCs w:val="22"/>
              </w:rPr>
              <w:t>000-99</w:t>
            </w:r>
            <w:r w:rsidR="00E12236">
              <w:rPr>
                <w:color w:val="000000"/>
                <w:szCs w:val="22"/>
              </w:rPr>
              <w:t>,</w:t>
            </w:r>
            <w:r w:rsidRPr="005E6387">
              <w:rPr>
                <w:color w:val="000000"/>
                <w:szCs w:val="22"/>
              </w:rPr>
              <w:t>999</w:t>
            </w:r>
          </w:p>
        </w:tc>
        <w:tc>
          <w:tcPr>
            <w:tcW w:w="1017" w:type="dxa"/>
            <w:shd w:val="clear" w:color="auto" w:fill="auto"/>
            <w:vAlign w:val="bottom"/>
            <w:hideMark/>
          </w:tcPr>
          <w:p w14:paraId="2C3AE13C" w14:textId="77777777" w:rsidR="00B97E6E" w:rsidRPr="005E6387" w:rsidRDefault="00B97E6E" w:rsidP="004E1CBE">
            <w:pPr>
              <w:widowControl/>
              <w:autoSpaceDE/>
              <w:autoSpaceDN/>
              <w:adjustRightInd/>
              <w:spacing w:after="0"/>
              <w:jc w:val="right"/>
              <w:rPr>
                <w:color w:val="000000"/>
                <w:szCs w:val="22"/>
              </w:rPr>
            </w:pPr>
            <w:r w:rsidRPr="005E6387">
              <w:rPr>
                <w:color w:val="000000"/>
                <w:szCs w:val="22"/>
              </w:rPr>
              <w:t>75,000</w:t>
            </w:r>
          </w:p>
        </w:tc>
      </w:tr>
      <w:tr w:rsidR="00B97E6E" w:rsidRPr="005E6387" w14:paraId="6BB0FFB3" w14:textId="77777777" w:rsidTr="00ED598D">
        <w:trPr>
          <w:trHeight w:val="20"/>
          <w:jc w:val="center"/>
        </w:trPr>
        <w:tc>
          <w:tcPr>
            <w:tcW w:w="1280" w:type="dxa"/>
            <w:shd w:val="clear" w:color="auto" w:fill="auto"/>
            <w:vAlign w:val="bottom"/>
            <w:hideMark/>
          </w:tcPr>
          <w:p w14:paraId="40FFC6C4"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M</w:t>
            </w:r>
          </w:p>
        </w:tc>
        <w:tc>
          <w:tcPr>
            <w:tcW w:w="1440" w:type="dxa"/>
            <w:shd w:val="clear" w:color="auto" w:fill="auto"/>
            <w:vAlign w:val="bottom"/>
            <w:hideMark/>
          </w:tcPr>
          <w:p w14:paraId="2F792F23" w14:textId="77777777" w:rsidR="00B97E6E" w:rsidRPr="005E6387" w:rsidRDefault="00B97E6E" w:rsidP="004E1CBE">
            <w:pPr>
              <w:widowControl/>
              <w:autoSpaceDE/>
              <w:autoSpaceDN/>
              <w:adjustRightInd/>
              <w:spacing w:after="0"/>
              <w:jc w:val="center"/>
              <w:rPr>
                <w:color w:val="000000"/>
                <w:szCs w:val="22"/>
              </w:rPr>
            </w:pPr>
            <w:r w:rsidRPr="005E6387">
              <w:rPr>
                <w:color w:val="000000"/>
                <w:szCs w:val="22"/>
              </w:rPr>
              <w:t>100</w:t>
            </w:r>
            <w:r w:rsidR="00E12236">
              <w:rPr>
                <w:color w:val="000000"/>
                <w:szCs w:val="22"/>
              </w:rPr>
              <w:t>,</w:t>
            </w:r>
            <w:r w:rsidRPr="005E6387">
              <w:rPr>
                <w:color w:val="000000"/>
                <w:szCs w:val="22"/>
              </w:rPr>
              <w:t>000+</w:t>
            </w:r>
          </w:p>
        </w:tc>
        <w:tc>
          <w:tcPr>
            <w:tcW w:w="1017" w:type="dxa"/>
            <w:shd w:val="clear" w:color="auto" w:fill="auto"/>
            <w:noWrap/>
            <w:vAlign w:val="bottom"/>
            <w:hideMark/>
          </w:tcPr>
          <w:p w14:paraId="571214B3" w14:textId="77777777" w:rsidR="00B97E6E" w:rsidRPr="005E6387" w:rsidRDefault="00B97E6E" w:rsidP="004E1CBE">
            <w:pPr>
              <w:widowControl/>
              <w:autoSpaceDE/>
              <w:autoSpaceDN/>
              <w:adjustRightInd/>
              <w:spacing w:after="0"/>
              <w:rPr>
                <w:color w:val="000000"/>
                <w:szCs w:val="20"/>
              </w:rPr>
            </w:pPr>
          </w:p>
        </w:tc>
      </w:tr>
    </w:tbl>
    <w:p w14:paraId="004E6CB8" w14:textId="77777777" w:rsidR="00B97E6E" w:rsidRPr="00173827" w:rsidRDefault="00B97E6E" w:rsidP="00B97E6E">
      <w:pPr>
        <w:rPr>
          <w:szCs w:val="20"/>
        </w:rPr>
      </w:pPr>
    </w:p>
    <w:p w14:paraId="5BAD7787" w14:textId="55623917" w:rsidR="00B97E6E" w:rsidRDefault="00B97E6E" w:rsidP="00B97E6E">
      <w:pPr>
        <w:rPr>
          <w:szCs w:val="20"/>
        </w:rPr>
      </w:pPr>
      <w:r>
        <w:rPr>
          <w:szCs w:val="20"/>
        </w:rPr>
        <w:t>F</w:t>
      </w:r>
      <w:r w:rsidRPr="00173827">
        <w:rPr>
          <w:szCs w:val="20"/>
        </w:rPr>
        <w:t>or example</w:t>
      </w:r>
      <w:r w:rsidR="00780F50">
        <w:rPr>
          <w:szCs w:val="20"/>
        </w:rPr>
        <w:t>, take the 201</w:t>
      </w:r>
      <w:r w:rsidR="009602A1">
        <w:rPr>
          <w:szCs w:val="20"/>
        </w:rPr>
        <w:t>6</w:t>
      </w:r>
      <w:r>
        <w:rPr>
          <w:szCs w:val="20"/>
        </w:rPr>
        <w:t xml:space="preserve"> </w:t>
      </w:r>
      <w:r w:rsidRPr="00430EE7">
        <w:rPr>
          <w:szCs w:val="20"/>
        </w:rPr>
        <w:t>CBP</w:t>
      </w:r>
      <w:r>
        <w:rPr>
          <w:szCs w:val="20"/>
        </w:rPr>
        <w:t xml:space="preserve"> data for</w:t>
      </w:r>
      <w:r w:rsidRPr="00173827">
        <w:rPr>
          <w:szCs w:val="20"/>
        </w:rPr>
        <w:t xml:space="preserve"> NAICS </w:t>
      </w:r>
      <w:r w:rsidR="00780F50">
        <w:rPr>
          <w:szCs w:val="20"/>
        </w:rPr>
        <w:t>562212</w:t>
      </w:r>
      <w:r w:rsidRPr="00173827">
        <w:rPr>
          <w:szCs w:val="20"/>
        </w:rPr>
        <w:t xml:space="preserve"> (</w:t>
      </w:r>
      <w:r w:rsidR="00780F50">
        <w:rPr>
          <w:szCs w:val="20"/>
        </w:rPr>
        <w:t>Landfills) in Arizon</w:t>
      </w:r>
      <w:r w:rsidR="00873FFC">
        <w:rPr>
          <w:szCs w:val="20"/>
        </w:rPr>
        <w:t>a</w:t>
      </w:r>
      <w:r w:rsidR="0097551A">
        <w:rPr>
          <w:szCs w:val="20"/>
        </w:rPr>
        <w:t xml:space="preserve"> provided in </w:t>
      </w:r>
      <w:r w:rsidR="0097551A" w:rsidRPr="0097551A">
        <w:rPr>
          <w:szCs w:val="20"/>
        </w:rPr>
        <w:fldChar w:fldCharType="begin"/>
      </w:r>
      <w:r w:rsidR="0097551A" w:rsidRPr="0097551A">
        <w:rPr>
          <w:szCs w:val="20"/>
        </w:rPr>
        <w:instrText xml:space="preserve"> REF _Ref474399351 \h </w:instrText>
      </w:r>
      <w:r w:rsidR="0097551A">
        <w:rPr>
          <w:szCs w:val="20"/>
        </w:rPr>
        <w:instrText xml:space="preserve"> \* MERGEFORMAT </w:instrText>
      </w:r>
      <w:r w:rsidR="0097551A" w:rsidRPr="0097551A">
        <w:rPr>
          <w:szCs w:val="20"/>
        </w:rPr>
      </w:r>
      <w:r w:rsidR="0097551A" w:rsidRPr="0097551A">
        <w:rPr>
          <w:szCs w:val="20"/>
        </w:rPr>
        <w:fldChar w:fldCharType="separate"/>
      </w:r>
      <w:r w:rsidR="00073181" w:rsidRPr="00073181">
        <w:rPr>
          <w:szCs w:val="20"/>
        </w:rPr>
        <w:t xml:space="preserve">Table </w:t>
      </w:r>
      <w:r w:rsidR="00073181" w:rsidRPr="00073181">
        <w:rPr>
          <w:noProof/>
          <w:szCs w:val="20"/>
        </w:rPr>
        <w:t>4</w:t>
      </w:r>
      <w:r w:rsidR="0097551A" w:rsidRPr="0097551A">
        <w:rPr>
          <w:szCs w:val="20"/>
        </w:rPr>
        <w:fldChar w:fldCharType="end"/>
      </w:r>
      <w:r w:rsidRPr="00173827">
        <w:rPr>
          <w:szCs w:val="20"/>
        </w:rPr>
        <w:t>.</w:t>
      </w:r>
    </w:p>
    <w:p w14:paraId="28CF6816" w14:textId="4F00FCB2" w:rsidR="0097551A" w:rsidRPr="0097551A" w:rsidRDefault="0097551A" w:rsidP="0097551A">
      <w:pPr>
        <w:pStyle w:val="Caption"/>
        <w:keepNext/>
        <w:spacing w:after="0"/>
        <w:jc w:val="center"/>
        <w:rPr>
          <w:color w:val="auto"/>
        </w:rPr>
      </w:pPr>
      <w:bookmarkStart w:id="10" w:name="_Ref474399351"/>
      <w:r w:rsidRPr="0097551A">
        <w:rPr>
          <w:color w:val="auto"/>
        </w:rPr>
        <w:t xml:space="preserve">Table </w:t>
      </w:r>
      <w:r w:rsidRPr="0097551A">
        <w:rPr>
          <w:color w:val="auto"/>
        </w:rPr>
        <w:fldChar w:fldCharType="begin"/>
      </w:r>
      <w:r w:rsidRPr="0097551A">
        <w:rPr>
          <w:color w:val="auto"/>
        </w:rPr>
        <w:instrText xml:space="preserve"> SEQ Table \* ARABIC </w:instrText>
      </w:r>
      <w:r w:rsidRPr="0097551A">
        <w:rPr>
          <w:color w:val="auto"/>
        </w:rPr>
        <w:fldChar w:fldCharType="separate"/>
      </w:r>
      <w:r w:rsidR="00073181">
        <w:rPr>
          <w:noProof/>
          <w:color w:val="auto"/>
        </w:rPr>
        <w:t>4</w:t>
      </w:r>
      <w:r w:rsidRPr="0097551A">
        <w:rPr>
          <w:color w:val="auto"/>
        </w:rPr>
        <w:fldChar w:fldCharType="end"/>
      </w:r>
      <w:bookmarkEnd w:id="10"/>
      <w:r w:rsidRPr="0097551A">
        <w:rPr>
          <w:color w:val="auto"/>
        </w:rPr>
        <w:t xml:space="preserve">. </w:t>
      </w:r>
      <w:r w:rsidR="00387957">
        <w:rPr>
          <w:color w:val="auto"/>
          <w:sz w:val="20"/>
          <w:szCs w:val="20"/>
        </w:rPr>
        <w:t>201</w:t>
      </w:r>
      <w:r w:rsidR="009602A1">
        <w:rPr>
          <w:color w:val="auto"/>
          <w:sz w:val="20"/>
          <w:szCs w:val="20"/>
        </w:rPr>
        <w:t xml:space="preserve">6 </w:t>
      </w:r>
      <w:r w:rsidRPr="0097551A">
        <w:rPr>
          <w:color w:val="auto"/>
          <w:sz w:val="20"/>
          <w:szCs w:val="20"/>
        </w:rPr>
        <w:t xml:space="preserve">County Business Pattern for NAICS </w:t>
      </w:r>
      <w:r w:rsidR="00387957">
        <w:rPr>
          <w:color w:val="auto"/>
          <w:sz w:val="20"/>
          <w:szCs w:val="20"/>
        </w:rPr>
        <w:t>562212 in Arizona</w:t>
      </w:r>
    </w:p>
    <w:tbl>
      <w:tblPr>
        <w:tblW w:w="66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0"/>
        <w:gridCol w:w="960"/>
        <w:gridCol w:w="1152"/>
        <w:gridCol w:w="960"/>
        <w:gridCol w:w="1316"/>
        <w:gridCol w:w="1316"/>
      </w:tblGrid>
      <w:tr w:rsidR="00E7492B" w:rsidRPr="00173827" w14:paraId="53EFC4C3" w14:textId="77777777" w:rsidTr="00E7492B">
        <w:trPr>
          <w:cantSplit/>
          <w:jc w:val="center"/>
        </w:trPr>
        <w:tc>
          <w:tcPr>
            <w:tcW w:w="960" w:type="dxa"/>
            <w:shd w:val="clear" w:color="000000" w:fill="C0C0C0"/>
            <w:noWrap/>
            <w:vAlign w:val="center"/>
          </w:tcPr>
          <w:p w14:paraId="37D8E763" w14:textId="77777777" w:rsidR="00E7492B" w:rsidRPr="00173827" w:rsidRDefault="00E7492B" w:rsidP="004E1CBE">
            <w:pPr>
              <w:spacing w:after="0"/>
              <w:jc w:val="center"/>
              <w:rPr>
                <w:b/>
                <w:bCs/>
                <w:szCs w:val="20"/>
              </w:rPr>
            </w:pPr>
            <w:r>
              <w:rPr>
                <w:b/>
                <w:bCs/>
                <w:szCs w:val="20"/>
              </w:rPr>
              <w:t>State FIPS</w:t>
            </w:r>
          </w:p>
        </w:tc>
        <w:tc>
          <w:tcPr>
            <w:tcW w:w="960" w:type="dxa"/>
            <w:shd w:val="clear" w:color="000000" w:fill="C0C0C0"/>
            <w:noWrap/>
            <w:vAlign w:val="center"/>
          </w:tcPr>
          <w:p w14:paraId="1731A12D" w14:textId="77777777" w:rsidR="00E7492B" w:rsidRPr="00173827" w:rsidRDefault="00E7492B" w:rsidP="004E1CBE">
            <w:pPr>
              <w:spacing w:after="0"/>
              <w:jc w:val="center"/>
              <w:rPr>
                <w:b/>
                <w:bCs/>
                <w:szCs w:val="20"/>
              </w:rPr>
            </w:pPr>
            <w:r>
              <w:rPr>
                <w:b/>
                <w:bCs/>
                <w:szCs w:val="20"/>
              </w:rPr>
              <w:t>County FIPS</w:t>
            </w:r>
          </w:p>
        </w:tc>
        <w:tc>
          <w:tcPr>
            <w:tcW w:w="1152" w:type="dxa"/>
            <w:shd w:val="clear" w:color="000000" w:fill="C0C0C0"/>
          </w:tcPr>
          <w:p w14:paraId="6600F783" w14:textId="77777777" w:rsidR="00E7492B" w:rsidRDefault="00E7492B" w:rsidP="004E1CBE">
            <w:pPr>
              <w:spacing w:after="0"/>
              <w:jc w:val="center"/>
              <w:rPr>
                <w:b/>
                <w:bCs/>
                <w:szCs w:val="20"/>
              </w:rPr>
            </w:pPr>
            <w:r>
              <w:rPr>
                <w:b/>
                <w:bCs/>
                <w:szCs w:val="20"/>
              </w:rPr>
              <w:t>County Name</w:t>
            </w:r>
          </w:p>
        </w:tc>
        <w:tc>
          <w:tcPr>
            <w:tcW w:w="960" w:type="dxa"/>
            <w:shd w:val="clear" w:color="000000" w:fill="C0C0C0"/>
            <w:noWrap/>
            <w:vAlign w:val="center"/>
          </w:tcPr>
          <w:p w14:paraId="4E245752" w14:textId="77777777" w:rsidR="00E7492B" w:rsidRPr="00173827" w:rsidRDefault="00E7492B" w:rsidP="004E1CBE">
            <w:pPr>
              <w:spacing w:after="0"/>
              <w:jc w:val="center"/>
              <w:rPr>
                <w:b/>
                <w:bCs/>
                <w:szCs w:val="20"/>
              </w:rPr>
            </w:pPr>
            <w:r>
              <w:rPr>
                <w:b/>
                <w:bCs/>
                <w:szCs w:val="20"/>
              </w:rPr>
              <w:t>NAICS</w:t>
            </w:r>
          </w:p>
        </w:tc>
        <w:tc>
          <w:tcPr>
            <w:tcW w:w="1316" w:type="dxa"/>
            <w:shd w:val="clear" w:color="000000" w:fill="C0C0C0"/>
            <w:noWrap/>
            <w:vAlign w:val="center"/>
          </w:tcPr>
          <w:p w14:paraId="6336D2DB" w14:textId="77777777" w:rsidR="00E7492B" w:rsidRPr="00173827" w:rsidRDefault="00E7492B" w:rsidP="004E1CBE">
            <w:pPr>
              <w:spacing w:after="0"/>
              <w:jc w:val="center"/>
              <w:rPr>
                <w:b/>
                <w:bCs/>
                <w:szCs w:val="20"/>
              </w:rPr>
            </w:pPr>
            <w:r>
              <w:rPr>
                <w:b/>
                <w:bCs/>
                <w:szCs w:val="20"/>
              </w:rPr>
              <w:t>Employment Code</w:t>
            </w:r>
          </w:p>
        </w:tc>
        <w:tc>
          <w:tcPr>
            <w:tcW w:w="1316" w:type="dxa"/>
            <w:shd w:val="clear" w:color="000000" w:fill="C0C0C0"/>
            <w:noWrap/>
            <w:vAlign w:val="center"/>
          </w:tcPr>
          <w:p w14:paraId="4944153E" w14:textId="77777777" w:rsidR="00E7492B" w:rsidRPr="00173827" w:rsidRDefault="00E7492B" w:rsidP="004E1CBE">
            <w:pPr>
              <w:spacing w:after="0"/>
              <w:jc w:val="center"/>
              <w:rPr>
                <w:b/>
                <w:bCs/>
                <w:szCs w:val="20"/>
              </w:rPr>
            </w:pPr>
            <w:r>
              <w:rPr>
                <w:b/>
                <w:bCs/>
                <w:szCs w:val="20"/>
              </w:rPr>
              <w:t>Employment</w:t>
            </w:r>
          </w:p>
        </w:tc>
      </w:tr>
      <w:tr w:rsidR="00E7492B" w:rsidRPr="00173827" w14:paraId="758B6963" w14:textId="77777777" w:rsidTr="00E7492B">
        <w:trPr>
          <w:cantSplit/>
          <w:jc w:val="center"/>
        </w:trPr>
        <w:tc>
          <w:tcPr>
            <w:tcW w:w="960" w:type="dxa"/>
            <w:shd w:val="clear" w:color="auto" w:fill="auto"/>
            <w:vAlign w:val="center"/>
          </w:tcPr>
          <w:p w14:paraId="305C537E"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60FBDCC4" w14:textId="77777777" w:rsidR="00E7492B" w:rsidRPr="00173827" w:rsidRDefault="00E7492B" w:rsidP="004E1CBE">
            <w:pPr>
              <w:spacing w:after="0"/>
              <w:jc w:val="center"/>
              <w:rPr>
                <w:szCs w:val="20"/>
              </w:rPr>
            </w:pPr>
            <w:r>
              <w:rPr>
                <w:szCs w:val="20"/>
              </w:rPr>
              <w:t>001</w:t>
            </w:r>
          </w:p>
        </w:tc>
        <w:tc>
          <w:tcPr>
            <w:tcW w:w="1152" w:type="dxa"/>
          </w:tcPr>
          <w:p w14:paraId="39513CCC" w14:textId="77777777" w:rsidR="00E7492B" w:rsidRDefault="00E7492B" w:rsidP="004E1CBE">
            <w:pPr>
              <w:spacing w:after="0"/>
              <w:jc w:val="center"/>
              <w:rPr>
                <w:szCs w:val="20"/>
              </w:rPr>
            </w:pPr>
            <w:r>
              <w:rPr>
                <w:szCs w:val="20"/>
              </w:rPr>
              <w:t>Apache</w:t>
            </w:r>
          </w:p>
        </w:tc>
        <w:tc>
          <w:tcPr>
            <w:tcW w:w="960" w:type="dxa"/>
            <w:shd w:val="clear" w:color="auto" w:fill="auto"/>
            <w:vAlign w:val="center"/>
          </w:tcPr>
          <w:p w14:paraId="7C961FAB"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2649E0DA" w14:textId="77777777" w:rsidR="00E7492B" w:rsidRPr="00780F50" w:rsidRDefault="00E7492B" w:rsidP="004E1CBE">
            <w:pPr>
              <w:spacing w:after="0"/>
              <w:jc w:val="center"/>
              <w:rPr>
                <w:szCs w:val="20"/>
              </w:rPr>
            </w:pPr>
            <w:r>
              <w:rPr>
                <w:szCs w:val="20"/>
              </w:rPr>
              <w:t>B</w:t>
            </w:r>
          </w:p>
        </w:tc>
        <w:tc>
          <w:tcPr>
            <w:tcW w:w="1316" w:type="dxa"/>
            <w:shd w:val="clear" w:color="auto" w:fill="auto"/>
            <w:vAlign w:val="center"/>
          </w:tcPr>
          <w:p w14:paraId="7B43DD3D" w14:textId="77777777" w:rsidR="00E7492B" w:rsidRPr="00173827" w:rsidRDefault="00E7492B" w:rsidP="004E1CBE">
            <w:pPr>
              <w:spacing w:after="0"/>
              <w:ind w:right="280"/>
              <w:jc w:val="right"/>
              <w:rPr>
                <w:szCs w:val="20"/>
              </w:rPr>
            </w:pPr>
            <w:r>
              <w:rPr>
                <w:szCs w:val="20"/>
              </w:rPr>
              <w:t>withheld</w:t>
            </w:r>
          </w:p>
        </w:tc>
      </w:tr>
      <w:tr w:rsidR="00E7492B" w:rsidRPr="00173827" w14:paraId="462CF642" w14:textId="77777777" w:rsidTr="00E7492B">
        <w:trPr>
          <w:cantSplit/>
          <w:jc w:val="center"/>
        </w:trPr>
        <w:tc>
          <w:tcPr>
            <w:tcW w:w="960" w:type="dxa"/>
            <w:shd w:val="clear" w:color="auto" w:fill="auto"/>
            <w:vAlign w:val="center"/>
          </w:tcPr>
          <w:p w14:paraId="00570177"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24DFE782" w14:textId="77777777" w:rsidR="00E7492B" w:rsidRPr="00173827" w:rsidRDefault="00E7492B" w:rsidP="004E1CBE">
            <w:pPr>
              <w:spacing w:after="0"/>
              <w:jc w:val="center"/>
              <w:rPr>
                <w:szCs w:val="20"/>
              </w:rPr>
            </w:pPr>
            <w:r>
              <w:rPr>
                <w:szCs w:val="20"/>
              </w:rPr>
              <w:t>007</w:t>
            </w:r>
          </w:p>
        </w:tc>
        <w:tc>
          <w:tcPr>
            <w:tcW w:w="1152" w:type="dxa"/>
          </w:tcPr>
          <w:p w14:paraId="3CC11F53" w14:textId="77777777" w:rsidR="00E7492B" w:rsidRDefault="00E7492B" w:rsidP="004E1CBE">
            <w:pPr>
              <w:spacing w:after="0"/>
              <w:jc w:val="center"/>
              <w:rPr>
                <w:szCs w:val="20"/>
              </w:rPr>
            </w:pPr>
            <w:r>
              <w:rPr>
                <w:szCs w:val="20"/>
              </w:rPr>
              <w:t>Gila</w:t>
            </w:r>
          </w:p>
        </w:tc>
        <w:tc>
          <w:tcPr>
            <w:tcW w:w="960" w:type="dxa"/>
            <w:shd w:val="clear" w:color="auto" w:fill="auto"/>
            <w:vAlign w:val="center"/>
          </w:tcPr>
          <w:p w14:paraId="57DB84C0"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1B808C2C" w14:textId="77777777" w:rsidR="00E7492B" w:rsidRPr="00780F50" w:rsidRDefault="00E7492B" w:rsidP="004E1CBE">
            <w:pPr>
              <w:spacing w:after="0"/>
              <w:jc w:val="center"/>
              <w:rPr>
                <w:szCs w:val="20"/>
              </w:rPr>
            </w:pPr>
            <w:r>
              <w:rPr>
                <w:szCs w:val="20"/>
              </w:rPr>
              <w:t>A</w:t>
            </w:r>
          </w:p>
        </w:tc>
        <w:tc>
          <w:tcPr>
            <w:tcW w:w="1316" w:type="dxa"/>
            <w:shd w:val="clear" w:color="auto" w:fill="auto"/>
            <w:vAlign w:val="center"/>
          </w:tcPr>
          <w:p w14:paraId="2D8E4655" w14:textId="77777777" w:rsidR="00E7492B" w:rsidRPr="00173827" w:rsidRDefault="00E7492B" w:rsidP="004E1CBE">
            <w:pPr>
              <w:spacing w:after="0"/>
              <w:ind w:right="280"/>
              <w:jc w:val="right"/>
              <w:rPr>
                <w:szCs w:val="20"/>
              </w:rPr>
            </w:pPr>
            <w:r>
              <w:rPr>
                <w:szCs w:val="20"/>
              </w:rPr>
              <w:t>withheld</w:t>
            </w:r>
          </w:p>
        </w:tc>
      </w:tr>
      <w:tr w:rsidR="00E7492B" w:rsidRPr="00173827" w14:paraId="3D44FA57" w14:textId="77777777" w:rsidTr="00E7492B">
        <w:trPr>
          <w:cantSplit/>
          <w:jc w:val="center"/>
        </w:trPr>
        <w:tc>
          <w:tcPr>
            <w:tcW w:w="960" w:type="dxa"/>
            <w:shd w:val="clear" w:color="auto" w:fill="auto"/>
            <w:vAlign w:val="center"/>
          </w:tcPr>
          <w:p w14:paraId="45F0117A"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25DB4472" w14:textId="77777777" w:rsidR="00E7492B" w:rsidRPr="00173827" w:rsidRDefault="00E7492B" w:rsidP="004E1CBE">
            <w:pPr>
              <w:spacing w:after="0"/>
              <w:jc w:val="center"/>
              <w:rPr>
                <w:szCs w:val="20"/>
              </w:rPr>
            </w:pPr>
            <w:r>
              <w:rPr>
                <w:szCs w:val="20"/>
              </w:rPr>
              <w:t>012</w:t>
            </w:r>
          </w:p>
        </w:tc>
        <w:tc>
          <w:tcPr>
            <w:tcW w:w="1152" w:type="dxa"/>
          </w:tcPr>
          <w:p w14:paraId="67DD9C0F" w14:textId="77777777" w:rsidR="00E7492B" w:rsidRDefault="00E7492B" w:rsidP="004E1CBE">
            <w:pPr>
              <w:spacing w:after="0"/>
              <w:jc w:val="center"/>
              <w:rPr>
                <w:szCs w:val="20"/>
              </w:rPr>
            </w:pPr>
            <w:r>
              <w:rPr>
                <w:szCs w:val="20"/>
              </w:rPr>
              <w:t>La Paz</w:t>
            </w:r>
          </w:p>
        </w:tc>
        <w:tc>
          <w:tcPr>
            <w:tcW w:w="960" w:type="dxa"/>
            <w:shd w:val="clear" w:color="auto" w:fill="auto"/>
            <w:vAlign w:val="center"/>
          </w:tcPr>
          <w:p w14:paraId="3BB8D2B3"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3C780268" w14:textId="77777777" w:rsidR="00E7492B" w:rsidRPr="00780F50" w:rsidRDefault="00E7492B" w:rsidP="004E1CBE">
            <w:pPr>
              <w:spacing w:after="0"/>
              <w:jc w:val="center"/>
              <w:rPr>
                <w:szCs w:val="20"/>
              </w:rPr>
            </w:pPr>
            <w:r>
              <w:rPr>
                <w:szCs w:val="20"/>
              </w:rPr>
              <w:t>A</w:t>
            </w:r>
          </w:p>
        </w:tc>
        <w:tc>
          <w:tcPr>
            <w:tcW w:w="1316" w:type="dxa"/>
            <w:shd w:val="clear" w:color="auto" w:fill="auto"/>
            <w:vAlign w:val="center"/>
          </w:tcPr>
          <w:p w14:paraId="63012067" w14:textId="77777777" w:rsidR="00E7492B" w:rsidRPr="00173827" w:rsidRDefault="00E7492B" w:rsidP="004E1CBE">
            <w:pPr>
              <w:spacing w:after="0"/>
              <w:ind w:right="280"/>
              <w:jc w:val="right"/>
              <w:rPr>
                <w:szCs w:val="20"/>
              </w:rPr>
            </w:pPr>
            <w:r>
              <w:rPr>
                <w:szCs w:val="20"/>
              </w:rPr>
              <w:t>withheld</w:t>
            </w:r>
          </w:p>
        </w:tc>
      </w:tr>
      <w:tr w:rsidR="00E7492B" w:rsidRPr="00173827" w14:paraId="3188B05D" w14:textId="77777777" w:rsidTr="00E7492B">
        <w:trPr>
          <w:cantSplit/>
          <w:jc w:val="center"/>
        </w:trPr>
        <w:tc>
          <w:tcPr>
            <w:tcW w:w="960" w:type="dxa"/>
            <w:shd w:val="clear" w:color="auto" w:fill="auto"/>
            <w:vAlign w:val="center"/>
          </w:tcPr>
          <w:p w14:paraId="1A44BD2A"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5A19BAC4" w14:textId="77777777" w:rsidR="00E7492B" w:rsidRPr="00173827" w:rsidRDefault="00E7492B" w:rsidP="004E1CBE">
            <w:pPr>
              <w:spacing w:after="0"/>
              <w:jc w:val="center"/>
              <w:rPr>
                <w:szCs w:val="20"/>
              </w:rPr>
            </w:pPr>
            <w:r>
              <w:rPr>
                <w:szCs w:val="20"/>
              </w:rPr>
              <w:t>013</w:t>
            </w:r>
          </w:p>
        </w:tc>
        <w:tc>
          <w:tcPr>
            <w:tcW w:w="1152" w:type="dxa"/>
          </w:tcPr>
          <w:p w14:paraId="281EC81F" w14:textId="77777777" w:rsidR="00E7492B" w:rsidRDefault="00E7492B" w:rsidP="009602A1">
            <w:pPr>
              <w:spacing w:after="0"/>
              <w:jc w:val="center"/>
              <w:rPr>
                <w:szCs w:val="20"/>
              </w:rPr>
            </w:pPr>
            <w:r>
              <w:rPr>
                <w:szCs w:val="20"/>
              </w:rPr>
              <w:t>Maricopa</w:t>
            </w:r>
          </w:p>
        </w:tc>
        <w:tc>
          <w:tcPr>
            <w:tcW w:w="960" w:type="dxa"/>
            <w:shd w:val="clear" w:color="auto" w:fill="auto"/>
            <w:vAlign w:val="center"/>
          </w:tcPr>
          <w:p w14:paraId="3FF01BB6"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7963F5C6" w14:textId="77777777" w:rsidR="00E7492B" w:rsidRPr="00780F50" w:rsidRDefault="00E7492B" w:rsidP="004E1CBE">
            <w:pPr>
              <w:spacing w:after="0"/>
              <w:jc w:val="center"/>
              <w:rPr>
                <w:szCs w:val="20"/>
              </w:rPr>
            </w:pPr>
            <w:r w:rsidRPr="00780F50">
              <w:rPr>
                <w:szCs w:val="20"/>
              </w:rPr>
              <w:t> </w:t>
            </w:r>
          </w:p>
        </w:tc>
        <w:tc>
          <w:tcPr>
            <w:tcW w:w="1316" w:type="dxa"/>
            <w:shd w:val="clear" w:color="auto" w:fill="auto"/>
            <w:vAlign w:val="center"/>
          </w:tcPr>
          <w:p w14:paraId="0AD892E9" w14:textId="04A0AD61" w:rsidR="00E7492B" w:rsidRPr="00173827" w:rsidRDefault="00E7492B" w:rsidP="004E1CBE">
            <w:pPr>
              <w:spacing w:after="0"/>
              <w:ind w:right="280"/>
              <w:jc w:val="right"/>
              <w:rPr>
                <w:szCs w:val="20"/>
              </w:rPr>
            </w:pPr>
            <w:r>
              <w:rPr>
                <w:szCs w:val="20"/>
              </w:rPr>
              <w:t>2</w:t>
            </w:r>
            <w:r w:rsidR="009602A1">
              <w:rPr>
                <w:szCs w:val="20"/>
              </w:rPr>
              <w:t>96</w:t>
            </w:r>
          </w:p>
        </w:tc>
      </w:tr>
      <w:tr w:rsidR="00E7492B" w:rsidRPr="00173827" w14:paraId="5EFBA2B4" w14:textId="77777777" w:rsidTr="00E7492B">
        <w:trPr>
          <w:cantSplit/>
          <w:jc w:val="center"/>
        </w:trPr>
        <w:tc>
          <w:tcPr>
            <w:tcW w:w="960" w:type="dxa"/>
            <w:shd w:val="clear" w:color="auto" w:fill="auto"/>
            <w:vAlign w:val="center"/>
          </w:tcPr>
          <w:p w14:paraId="63E2B0B5"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0AA1F031" w14:textId="77777777" w:rsidR="00E7492B" w:rsidRPr="00173827" w:rsidRDefault="00E7492B" w:rsidP="004E1CBE">
            <w:pPr>
              <w:spacing w:after="0"/>
              <w:jc w:val="center"/>
              <w:rPr>
                <w:szCs w:val="20"/>
              </w:rPr>
            </w:pPr>
            <w:r>
              <w:rPr>
                <w:szCs w:val="20"/>
              </w:rPr>
              <w:t>015</w:t>
            </w:r>
          </w:p>
        </w:tc>
        <w:tc>
          <w:tcPr>
            <w:tcW w:w="1152" w:type="dxa"/>
          </w:tcPr>
          <w:p w14:paraId="01883284" w14:textId="77777777" w:rsidR="00E7492B" w:rsidRDefault="00E7492B" w:rsidP="004E1CBE">
            <w:pPr>
              <w:spacing w:after="0"/>
              <w:jc w:val="center"/>
              <w:rPr>
                <w:szCs w:val="20"/>
              </w:rPr>
            </w:pPr>
            <w:r>
              <w:rPr>
                <w:szCs w:val="20"/>
              </w:rPr>
              <w:t>Mohave</w:t>
            </w:r>
          </w:p>
        </w:tc>
        <w:tc>
          <w:tcPr>
            <w:tcW w:w="960" w:type="dxa"/>
            <w:shd w:val="clear" w:color="auto" w:fill="auto"/>
            <w:vAlign w:val="center"/>
          </w:tcPr>
          <w:p w14:paraId="61069398"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54591D6A" w14:textId="77777777" w:rsidR="00E7492B" w:rsidRPr="00780F50" w:rsidRDefault="00E7492B" w:rsidP="004E1CBE">
            <w:pPr>
              <w:spacing w:after="0"/>
              <w:jc w:val="center"/>
              <w:rPr>
                <w:szCs w:val="20"/>
              </w:rPr>
            </w:pPr>
            <w:r>
              <w:rPr>
                <w:szCs w:val="20"/>
              </w:rPr>
              <w:t>B</w:t>
            </w:r>
          </w:p>
        </w:tc>
        <w:tc>
          <w:tcPr>
            <w:tcW w:w="1316" w:type="dxa"/>
            <w:shd w:val="clear" w:color="auto" w:fill="auto"/>
            <w:vAlign w:val="center"/>
          </w:tcPr>
          <w:p w14:paraId="79CA3FB9" w14:textId="77777777" w:rsidR="00E7492B" w:rsidRPr="00173827" w:rsidRDefault="00E7492B" w:rsidP="004E1CBE">
            <w:pPr>
              <w:spacing w:after="0"/>
              <w:ind w:right="280"/>
              <w:jc w:val="right"/>
              <w:rPr>
                <w:szCs w:val="20"/>
              </w:rPr>
            </w:pPr>
            <w:r>
              <w:rPr>
                <w:szCs w:val="20"/>
              </w:rPr>
              <w:t>withheld</w:t>
            </w:r>
          </w:p>
        </w:tc>
      </w:tr>
      <w:tr w:rsidR="00E7492B" w:rsidRPr="00173827" w14:paraId="78D39573" w14:textId="77777777" w:rsidTr="00E7492B">
        <w:trPr>
          <w:cantSplit/>
          <w:jc w:val="center"/>
        </w:trPr>
        <w:tc>
          <w:tcPr>
            <w:tcW w:w="960" w:type="dxa"/>
            <w:shd w:val="clear" w:color="auto" w:fill="auto"/>
            <w:vAlign w:val="center"/>
          </w:tcPr>
          <w:p w14:paraId="769DAF06"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1A507F01" w14:textId="77777777" w:rsidR="00E7492B" w:rsidRPr="00173827" w:rsidRDefault="00E7492B" w:rsidP="004E1CBE">
            <w:pPr>
              <w:spacing w:after="0"/>
              <w:jc w:val="center"/>
              <w:rPr>
                <w:szCs w:val="20"/>
              </w:rPr>
            </w:pPr>
            <w:r>
              <w:rPr>
                <w:szCs w:val="20"/>
              </w:rPr>
              <w:t>017</w:t>
            </w:r>
          </w:p>
        </w:tc>
        <w:tc>
          <w:tcPr>
            <w:tcW w:w="1152" w:type="dxa"/>
          </w:tcPr>
          <w:p w14:paraId="1D250CBA" w14:textId="77777777" w:rsidR="00E7492B" w:rsidRDefault="00E7492B" w:rsidP="004E1CBE">
            <w:pPr>
              <w:spacing w:after="0"/>
              <w:jc w:val="center"/>
              <w:rPr>
                <w:szCs w:val="20"/>
              </w:rPr>
            </w:pPr>
            <w:r>
              <w:rPr>
                <w:szCs w:val="20"/>
              </w:rPr>
              <w:t>Navajo</w:t>
            </w:r>
          </w:p>
        </w:tc>
        <w:tc>
          <w:tcPr>
            <w:tcW w:w="960" w:type="dxa"/>
            <w:shd w:val="clear" w:color="auto" w:fill="auto"/>
            <w:vAlign w:val="center"/>
          </w:tcPr>
          <w:p w14:paraId="3165FA5D"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30427D81" w14:textId="1AF85EA2" w:rsidR="00E7492B" w:rsidRPr="00780F50" w:rsidRDefault="009602A1" w:rsidP="004E1CBE">
            <w:pPr>
              <w:spacing w:after="0"/>
              <w:jc w:val="center"/>
              <w:rPr>
                <w:szCs w:val="20"/>
              </w:rPr>
            </w:pPr>
            <w:r>
              <w:rPr>
                <w:szCs w:val="20"/>
              </w:rPr>
              <w:t>B</w:t>
            </w:r>
          </w:p>
        </w:tc>
        <w:tc>
          <w:tcPr>
            <w:tcW w:w="1316" w:type="dxa"/>
            <w:shd w:val="clear" w:color="auto" w:fill="auto"/>
            <w:vAlign w:val="center"/>
          </w:tcPr>
          <w:p w14:paraId="01D58ECA" w14:textId="77777777" w:rsidR="00E7492B" w:rsidRPr="00173827" w:rsidRDefault="00E7492B" w:rsidP="004E1CBE">
            <w:pPr>
              <w:spacing w:after="0"/>
              <w:ind w:right="280"/>
              <w:jc w:val="right"/>
              <w:rPr>
                <w:szCs w:val="20"/>
              </w:rPr>
            </w:pPr>
            <w:r>
              <w:rPr>
                <w:szCs w:val="20"/>
              </w:rPr>
              <w:t>withheld</w:t>
            </w:r>
          </w:p>
        </w:tc>
      </w:tr>
      <w:tr w:rsidR="00E7492B" w:rsidRPr="00173827" w14:paraId="1ECCB9DF" w14:textId="77777777" w:rsidTr="00E7492B">
        <w:trPr>
          <w:cantSplit/>
          <w:jc w:val="center"/>
        </w:trPr>
        <w:tc>
          <w:tcPr>
            <w:tcW w:w="960" w:type="dxa"/>
            <w:shd w:val="clear" w:color="auto" w:fill="auto"/>
            <w:vAlign w:val="center"/>
          </w:tcPr>
          <w:p w14:paraId="68195437"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2EC0A111" w14:textId="77777777" w:rsidR="00E7492B" w:rsidRPr="00173827" w:rsidRDefault="00E7492B" w:rsidP="004E1CBE">
            <w:pPr>
              <w:spacing w:after="0"/>
              <w:jc w:val="center"/>
              <w:rPr>
                <w:szCs w:val="20"/>
              </w:rPr>
            </w:pPr>
            <w:r>
              <w:rPr>
                <w:szCs w:val="20"/>
              </w:rPr>
              <w:t>021</w:t>
            </w:r>
          </w:p>
        </w:tc>
        <w:tc>
          <w:tcPr>
            <w:tcW w:w="1152" w:type="dxa"/>
          </w:tcPr>
          <w:p w14:paraId="2EEFCFE9" w14:textId="77777777" w:rsidR="00E7492B" w:rsidRDefault="00E7492B" w:rsidP="004E1CBE">
            <w:pPr>
              <w:spacing w:after="0"/>
              <w:jc w:val="center"/>
              <w:rPr>
                <w:szCs w:val="20"/>
              </w:rPr>
            </w:pPr>
            <w:r>
              <w:rPr>
                <w:szCs w:val="20"/>
              </w:rPr>
              <w:t>Pinal</w:t>
            </w:r>
          </w:p>
        </w:tc>
        <w:tc>
          <w:tcPr>
            <w:tcW w:w="960" w:type="dxa"/>
            <w:shd w:val="clear" w:color="auto" w:fill="auto"/>
            <w:vAlign w:val="center"/>
          </w:tcPr>
          <w:p w14:paraId="4107E31A"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66A044E5" w14:textId="77777777" w:rsidR="00E7492B" w:rsidRPr="00780F50" w:rsidRDefault="00E7492B" w:rsidP="004E1CBE">
            <w:pPr>
              <w:spacing w:after="0"/>
              <w:jc w:val="center"/>
              <w:rPr>
                <w:szCs w:val="20"/>
              </w:rPr>
            </w:pPr>
            <w:r w:rsidRPr="00780F50">
              <w:rPr>
                <w:szCs w:val="20"/>
              </w:rPr>
              <w:t> </w:t>
            </w:r>
          </w:p>
        </w:tc>
        <w:tc>
          <w:tcPr>
            <w:tcW w:w="1316" w:type="dxa"/>
            <w:shd w:val="clear" w:color="auto" w:fill="auto"/>
            <w:vAlign w:val="center"/>
          </w:tcPr>
          <w:p w14:paraId="2D7FE6F9" w14:textId="25B654E1" w:rsidR="00E7492B" w:rsidRPr="00173827" w:rsidRDefault="009602A1" w:rsidP="004E1CBE">
            <w:pPr>
              <w:spacing w:after="0"/>
              <w:ind w:right="280"/>
              <w:jc w:val="right"/>
              <w:rPr>
                <w:szCs w:val="20"/>
              </w:rPr>
            </w:pPr>
            <w:r>
              <w:rPr>
                <w:szCs w:val="20"/>
              </w:rPr>
              <w:t>40</w:t>
            </w:r>
          </w:p>
        </w:tc>
      </w:tr>
      <w:tr w:rsidR="00E7492B" w:rsidRPr="00173827" w14:paraId="07E6CEE6" w14:textId="77777777" w:rsidTr="00E7492B">
        <w:trPr>
          <w:cantSplit/>
          <w:jc w:val="center"/>
        </w:trPr>
        <w:tc>
          <w:tcPr>
            <w:tcW w:w="960" w:type="dxa"/>
            <w:shd w:val="clear" w:color="auto" w:fill="auto"/>
            <w:vAlign w:val="center"/>
          </w:tcPr>
          <w:p w14:paraId="2F036A91"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311C0C40" w14:textId="77777777" w:rsidR="00E7492B" w:rsidRPr="00173827" w:rsidRDefault="00E7492B" w:rsidP="004E1CBE">
            <w:pPr>
              <w:spacing w:after="0"/>
              <w:jc w:val="center"/>
              <w:rPr>
                <w:szCs w:val="20"/>
              </w:rPr>
            </w:pPr>
            <w:r>
              <w:rPr>
                <w:szCs w:val="20"/>
              </w:rPr>
              <w:t>023</w:t>
            </w:r>
          </w:p>
        </w:tc>
        <w:tc>
          <w:tcPr>
            <w:tcW w:w="1152" w:type="dxa"/>
          </w:tcPr>
          <w:p w14:paraId="1C0EC958" w14:textId="77777777" w:rsidR="00E7492B" w:rsidRDefault="00E7492B" w:rsidP="004E1CBE">
            <w:pPr>
              <w:spacing w:after="0"/>
              <w:jc w:val="center"/>
              <w:rPr>
                <w:szCs w:val="20"/>
              </w:rPr>
            </w:pPr>
            <w:r>
              <w:rPr>
                <w:szCs w:val="20"/>
              </w:rPr>
              <w:t>Santa Cruz</w:t>
            </w:r>
          </w:p>
        </w:tc>
        <w:tc>
          <w:tcPr>
            <w:tcW w:w="960" w:type="dxa"/>
            <w:shd w:val="clear" w:color="auto" w:fill="auto"/>
            <w:vAlign w:val="center"/>
          </w:tcPr>
          <w:p w14:paraId="7E4F037D"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3845E066" w14:textId="45533B27" w:rsidR="00E7492B" w:rsidRPr="00780F50" w:rsidRDefault="00E7492B" w:rsidP="004E1CBE">
            <w:pPr>
              <w:spacing w:after="0"/>
              <w:jc w:val="center"/>
              <w:rPr>
                <w:szCs w:val="20"/>
              </w:rPr>
            </w:pPr>
          </w:p>
        </w:tc>
        <w:tc>
          <w:tcPr>
            <w:tcW w:w="1316" w:type="dxa"/>
            <w:shd w:val="clear" w:color="auto" w:fill="auto"/>
            <w:vAlign w:val="center"/>
          </w:tcPr>
          <w:p w14:paraId="6BBE8AFC" w14:textId="77777777" w:rsidR="00E7492B" w:rsidRPr="00173827" w:rsidRDefault="00E7492B" w:rsidP="004E1CBE">
            <w:pPr>
              <w:spacing w:after="0"/>
              <w:ind w:right="280"/>
              <w:jc w:val="right"/>
              <w:rPr>
                <w:szCs w:val="20"/>
              </w:rPr>
            </w:pPr>
            <w:r>
              <w:rPr>
                <w:szCs w:val="20"/>
              </w:rPr>
              <w:t>withheld</w:t>
            </w:r>
          </w:p>
        </w:tc>
      </w:tr>
      <w:tr w:rsidR="00E7492B" w:rsidRPr="00173827" w14:paraId="6943C111" w14:textId="77777777" w:rsidTr="00E7492B">
        <w:trPr>
          <w:cantSplit/>
          <w:jc w:val="center"/>
        </w:trPr>
        <w:tc>
          <w:tcPr>
            <w:tcW w:w="960" w:type="dxa"/>
            <w:shd w:val="clear" w:color="auto" w:fill="auto"/>
            <w:vAlign w:val="center"/>
          </w:tcPr>
          <w:p w14:paraId="3C9C1004"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4A1F47B6" w14:textId="77777777" w:rsidR="00E7492B" w:rsidRPr="00173827" w:rsidRDefault="00E7492B" w:rsidP="004E1CBE">
            <w:pPr>
              <w:spacing w:after="0"/>
              <w:jc w:val="center"/>
              <w:rPr>
                <w:szCs w:val="20"/>
              </w:rPr>
            </w:pPr>
            <w:r>
              <w:rPr>
                <w:szCs w:val="20"/>
              </w:rPr>
              <w:t>025</w:t>
            </w:r>
          </w:p>
        </w:tc>
        <w:tc>
          <w:tcPr>
            <w:tcW w:w="1152" w:type="dxa"/>
          </w:tcPr>
          <w:p w14:paraId="2D0EFE4A" w14:textId="77777777" w:rsidR="00E7492B" w:rsidRDefault="00E7492B" w:rsidP="004E1CBE">
            <w:pPr>
              <w:spacing w:after="0"/>
              <w:jc w:val="center"/>
              <w:rPr>
                <w:szCs w:val="20"/>
              </w:rPr>
            </w:pPr>
            <w:r>
              <w:rPr>
                <w:szCs w:val="20"/>
              </w:rPr>
              <w:t>Yavapai</w:t>
            </w:r>
          </w:p>
        </w:tc>
        <w:tc>
          <w:tcPr>
            <w:tcW w:w="960" w:type="dxa"/>
            <w:shd w:val="clear" w:color="auto" w:fill="auto"/>
            <w:vAlign w:val="center"/>
          </w:tcPr>
          <w:p w14:paraId="333E2950"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72C3A007" w14:textId="77777777" w:rsidR="00E7492B" w:rsidRPr="00780F50" w:rsidRDefault="00E7492B" w:rsidP="004E1CBE">
            <w:pPr>
              <w:spacing w:after="0"/>
              <w:jc w:val="center"/>
              <w:rPr>
                <w:szCs w:val="20"/>
              </w:rPr>
            </w:pPr>
            <w:r>
              <w:rPr>
                <w:szCs w:val="20"/>
              </w:rPr>
              <w:t>A</w:t>
            </w:r>
          </w:p>
        </w:tc>
        <w:tc>
          <w:tcPr>
            <w:tcW w:w="1316" w:type="dxa"/>
            <w:shd w:val="clear" w:color="auto" w:fill="auto"/>
            <w:vAlign w:val="center"/>
          </w:tcPr>
          <w:p w14:paraId="55DF0EB3" w14:textId="77777777" w:rsidR="00E7492B" w:rsidRPr="00173827" w:rsidRDefault="00E7492B" w:rsidP="004E1CBE">
            <w:pPr>
              <w:spacing w:after="0"/>
              <w:ind w:right="280"/>
              <w:jc w:val="right"/>
              <w:rPr>
                <w:szCs w:val="20"/>
              </w:rPr>
            </w:pPr>
            <w:r>
              <w:rPr>
                <w:szCs w:val="20"/>
              </w:rPr>
              <w:t>withheld</w:t>
            </w:r>
          </w:p>
        </w:tc>
      </w:tr>
      <w:tr w:rsidR="00E7492B" w:rsidRPr="00173827" w14:paraId="59297576" w14:textId="77777777" w:rsidTr="00E7492B">
        <w:trPr>
          <w:cantSplit/>
          <w:jc w:val="center"/>
        </w:trPr>
        <w:tc>
          <w:tcPr>
            <w:tcW w:w="960" w:type="dxa"/>
            <w:shd w:val="clear" w:color="auto" w:fill="auto"/>
            <w:vAlign w:val="center"/>
          </w:tcPr>
          <w:p w14:paraId="6752936C" w14:textId="77777777" w:rsidR="00E7492B" w:rsidRPr="00173827" w:rsidRDefault="00E7492B" w:rsidP="004E1CBE">
            <w:pPr>
              <w:spacing w:after="0"/>
              <w:jc w:val="center"/>
              <w:rPr>
                <w:szCs w:val="20"/>
              </w:rPr>
            </w:pPr>
            <w:r>
              <w:rPr>
                <w:szCs w:val="20"/>
              </w:rPr>
              <w:t>04</w:t>
            </w:r>
          </w:p>
        </w:tc>
        <w:tc>
          <w:tcPr>
            <w:tcW w:w="960" w:type="dxa"/>
            <w:shd w:val="clear" w:color="auto" w:fill="auto"/>
            <w:vAlign w:val="center"/>
          </w:tcPr>
          <w:p w14:paraId="65EE85CD" w14:textId="77777777" w:rsidR="00E7492B" w:rsidRPr="00173827" w:rsidRDefault="00E7492B" w:rsidP="004E1CBE">
            <w:pPr>
              <w:spacing w:after="0"/>
              <w:jc w:val="center"/>
              <w:rPr>
                <w:szCs w:val="20"/>
              </w:rPr>
            </w:pPr>
            <w:r>
              <w:rPr>
                <w:szCs w:val="20"/>
              </w:rPr>
              <w:t>027</w:t>
            </w:r>
          </w:p>
        </w:tc>
        <w:tc>
          <w:tcPr>
            <w:tcW w:w="1152" w:type="dxa"/>
          </w:tcPr>
          <w:p w14:paraId="0A8FF513" w14:textId="77777777" w:rsidR="00E7492B" w:rsidRDefault="00E7492B" w:rsidP="004E1CBE">
            <w:pPr>
              <w:spacing w:after="0"/>
              <w:jc w:val="center"/>
              <w:rPr>
                <w:szCs w:val="20"/>
              </w:rPr>
            </w:pPr>
            <w:r>
              <w:rPr>
                <w:szCs w:val="20"/>
              </w:rPr>
              <w:t>Yuma</w:t>
            </w:r>
          </w:p>
        </w:tc>
        <w:tc>
          <w:tcPr>
            <w:tcW w:w="960" w:type="dxa"/>
            <w:shd w:val="clear" w:color="auto" w:fill="auto"/>
            <w:vAlign w:val="center"/>
          </w:tcPr>
          <w:p w14:paraId="4FB98715" w14:textId="77777777" w:rsidR="00E7492B" w:rsidRPr="00173827" w:rsidRDefault="00E7492B" w:rsidP="004E1CBE">
            <w:pPr>
              <w:spacing w:after="0"/>
              <w:jc w:val="center"/>
              <w:rPr>
                <w:szCs w:val="20"/>
              </w:rPr>
            </w:pPr>
            <w:r>
              <w:rPr>
                <w:szCs w:val="20"/>
              </w:rPr>
              <w:t>562212</w:t>
            </w:r>
          </w:p>
        </w:tc>
        <w:tc>
          <w:tcPr>
            <w:tcW w:w="1316" w:type="dxa"/>
            <w:shd w:val="clear" w:color="auto" w:fill="auto"/>
            <w:vAlign w:val="center"/>
          </w:tcPr>
          <w:p w14:paraId="1B801EC7" w14:textId="77777777" w:rsidR="00E7492B" w:rsidRPr="00780F50" w:rsidRDefault="00E7492B" w:rsidP="004E1CBE">
            <w:pPr>
              <w:spacing w:after="0"/>
              <w:jc w:val="center"/>
              <w:rPr>
                <w:szCs w:val="20"/>
              </w:rPr>
            </w:pPr>
            <w:r>
              <w:rPr>
                <w:szCs w:val="20"/>
              </w:rPr>
              <w:t>B</w:t>
            </w:r>
          </w:p>
        </w:tc>
        <w:tc>
          <w:tcPr>
            <w:tcW w:w="1316" w:type="dxa"/>
            <w:shd w:val="clear" w:color="auto" w:fill="auto"/>
            <w:vAlign w:val="center"/>
          </w:tcPr>
          <w:p w14:paraId="1D296C39" w14:textId="77777777" w:rsidR="00E7492B" w:rsidRPr="00173827" w:rsidRDefault="00E7492B" w:rsidP="004E1CBE">
            <w:pPr>
              <w:spacing w:after="0"/>
              <w:ind w:right="280"/>
              <w:jc w:val="right"/>
              <w:rPr>
                <w:szCs w:val="20"/>
              </w:rPr>
            </w:pPr>
            <w:r>
              <w:rPr>
                <w:szCs w:val="20"/>
              </w:rPr>
              <w:t>withheld</w:t>
            </w:r>
          </w:p>
        </w:tc>
      </w:tr>
    </w:tbl>
    <w:p w14:paraId="268C16E5" w14:textId="77777777" w:rsidR="00B97E6E" w:rsidRPr="00E7492B" w:rsidRDefault="00E7492B" w:rsidP="00E7492B">
      <w:pPr>
        <w:widowControl/>
        <w:autoSpaceDE/>
        <w:autoSpaceDN/>
        <w:adjustRightInd/>
        <w:spacing w:before="60"/>
        <w:ind w:left="1440" w:right="1350"/>
        <w:rPr>
          <w:szCs w:val="20"/>
        </w:rPr>
      </w:pPr>
      <w:r w:rsidRPr="00E7492B">
        <w:rPr>
          <w:i/>
          <w:szCs w:val="20"/>
        </w:rPr>
        <w:t>Note:</w:t>
      </w:r>
      <w:r>
        <w:rPr>
          <w:szCs w:val="20"/>
        </w:rPr>
        <w:t xml:space="preserve"> Counties in Arizona that do not have employment in solid waste landfills are excluded from this table.</w:t>
      </w:r>
    </w:p>
    <w:p w14:paraId="67571FAA" w14:textId="4319C17D" w:rsidR="00B97E6E" w:rsidRPr="00173827" w:rsidRDefault="00780F50" w:rsidP="00B97E6E">
      <w:pPr>
        <w:widowControl/>
        <w:numPr>
          <w:ilvl w:val="0"/>
          <w:numId w:val="2"/>
        </w:numPr>
        <w:autoSpaceDE/>
        <w:autoSpaceDN/>
        <w:adjustRightInd/>
        <w:rPr>
          <w:szCs w:val="20"/>
        </w:rPr>
      </w:pPr>
      <w:r>
        <w:rPr>
          <w:szCs w:val="20"/>
        </w:rPr>
        <w:t xml:space="preserve">The total number of known </w:t>
      </w:r>
      <w:r w:rsidR="0044447B">
        <w:rPr>
          <w:szCs w:val="20"/>
        </w:rPr>
        <w:t xml:space="preserve">county-level </w:t>
      </w:r>
      <w:r w:rsidR="00B97E6E" w:rsidRPr="00173827">
        <w:rPr>
          <w:szCs w:val="20"/>
        </w:rPr>
        <w:t xml:space="preserve">employees </w:t>
      </w:r>
      <w:r w:rsidR="008810A9">
        <w:rPr>
          <w:szCs w:val="20"/>
        </w:rPr>
        <w:t xml:space="preserve">in Arizona </w:t>
      </w:r>
      <w:r>
        <w:rPr>
          <w:szCs w:val="20"/>
        </w:rPr>
        <w:t>is 3</w:t>
      </w:r>
      <w:r w:rsidR="009602A1">
        <w:rPr>
          <w:szCs w:val="20"/>
        </w:rPr>
        <w:t>3</w:t>
      </w:r>
      <w:r>
        <w:rPr>
          <w:szCs w:val="20"/>
        </w:rPr>
        <w:t>6</w:t>
      </w:r>
      <w:r w:rsidR="00B97E6E" w:rsidRPr="00173827">
        <w:rPr>
          <w:szCs w:val="20"/>
        </w:rPr>
        <w:t>.</w:t>
      </w:r>
    </w:p>
    <w:p w14:paraId="146699BF" w14:textId="105120FF" w:rsidR="00B97E6E" w:rsidRPr="00173827" w:rsidRDefault="00B97E6E" w:rsidP="00B97E6E">
      <w:pPr>
        <w:widowControl/>
        <w:numPr>
          <w:ilvl w:val="0"/>
          <w:numId w:val="2"/>
        </w:numPr>
        <w:autoSpaceDE/>
        <w:autoSpaceDN/>
        <w:adjustRightInd/>
        <w:rPr>
          <w:szCs w:val="20"/>
        </w:rPr>
      </w:pPr>
      <w:r w:rsidRPr="00173827">
        <w:rPr>
          <w:szCs w:val="20"/>
        </w:rPr>
        <w:lastRenderedPageBreak/>
        <w:t xml:space="preserve">The state-level </w:t>
      </w:r>
      <w:r w:rsidRPr="0044447B">
        <w:rPr>
          <w:iCs/>
          <w:szCs w:val="20"/>
        </w:rPr>
        <w:t>CBP</w:t>
      </w:r>
      <w:r w:rsidR="00780F50">
        <w:rPr>
          <w:szCs w:val="20"/>
        </w:rPr>
        <w:t xml:space="preserve"> reports </w:t>
      </w:r>
      <w:r w:rsidR="00DF7719">
        <w:rPr>
          <w:szCs w:val="20"/>
        </w:rPr>
        <w:t>522</w:t>
      </w:r>
      <w:r w:rsidRPr="00173827">
        <w:rPr>
          <w:szCs w:val="20"/>
        </w:rPr>
        <w:t xml:space="preserve"> employees for NAICS </w:t>
      </w:r>
      <w:r w:rsidR="00780F50">
        <w:rPr>
          <w:szCs w:val="20"/>
        </w:rPr>
        <w:t>562212</w:t>
      </w:r>
      <w:r w:rsidR="00DF0B38">
        <w:rPr>
          <w:szCs w:val="20"/>
        </w:rPr>
        <w:t xml:space="preserve"> in Arizona</w:t>
      </w:r>
      <w:r w:rsidR="00780F50">
        <w:rPr>
          <w:szCs w:val="20"/>
        </w:rPr>
        <w:t>.</w:t>
      </w:r>
      <w:r w:rsidR="00BE0480">
        <w:rPr>
          <w:szCs w:val="20"/>
        </w:rPr>
        <w:t xml:space="preserve"> </w:t>
      </w:r>
      <w:r w:rsidR="00A6061A">
        <w:rPr>
          <w:szCs w:val="20"/>
        </w:rPr>
        <w:t>This means there are</w:t>
      </w:r>
      <w:r w:rsidR="00780F50">
        <w:rPr>
          <w:szCs w:val="20"/>
        </w:rPr>
        <w:t xml:space="preserve"> </w:t>
      </w:r>
      <w:r w:rsidR="00DF7719">
        <w:rPr>
          <w:szCs w:val="20"/>
        </w:rPr>
        <w:t>186</w:t>
      </w:r>
      <w:r w:rsidR="00A6061A">
        <w:rPr>
          <w:szCs w:val="20"/>
        </w:rPr>
        <w:t xml:space="preserve"> employees</w:t>
      </w:r>
      <w:r w:rsidR="00873FFC">
        <w:rPr>
          <w:szCs w:val="20"/>
        </w:rPr>
        <w:t xml:space="preserve"> total for the 8 counties for which data </w:t>
      </w:r>
      <w:r w:rsidR="00157738">
        <w:rPr>
          <w:szCs w:val="20"/>
        </w:rPr>
        <w:t>a</w:t>
      </w:r>
      <w:r w:rsidR="008810A9">
        <w:rPr>
          <w:szCs w:val="20"/>
        </w:rPr>
        <w:t>re</w:t>
      </w:r>
      <w:r w:rsidR="00873FFC">
        <w:rPr>
          <w:szCs w:val="20"/>
        </w:rPr>
        <w:t xml:space="preserve"> withheld</w:t>
      </w:r>
      <w:r w:rsidRPr="00173827">
        <w:rPr>
          <w:szCs w:val="20"/>
        </w:rPr>
        <w:t>.</w:t>
      </w:r>
    </w:p>
    <w:p w14:paraId="3F24F7D3" w14:textId="77777777" w:rsidR="00B97E6E" w:rsidRPr="00173827" w:rsidRDefault="009C0F97" w:rsidP="00B97E6E">
      <w:pPr>
        <w:widowControl/>
        <w:numPr>
          <w:ilvl w:val="0"/>
          <w:numId w:val="2"/>
        </w:numPr>
        <w:autoSpaceDE/>
        <w:autoSpaceDN/>
        <w:adjustRightInd/>
        <w:rPr>
          <w:szCs w:val="20"/>
        </w:rPr>
      </w:pPr>
      <w:r>
        <w:rPr>
          <w:szCs w:val="20"/>
        </w:rPr>
        <w:t xml:space="preserve">The counties with withheld data are assigned midpoints according to </w:t>
      </w:r>
      <w:r w:rsidR="0044447B">
        <w:rPr>
          <w:szCs w:val="20"/>
        </w:rPr>
        <w:t xml:space="preserve">their employment code in </w:t>
      </w:r>
      <w:r w:rsidRPr="009C0F97">
        <w:rPr>
          <w:sz w:val="16"/>
          <w:szCs w:val="20"/>
        </w:rPr>
        <w:fldChar w:fldCharType="begin"/>
      </w:r>
      <w:r w:rsidRPr="009C0F97">
        <w:rPr>
          <w:sz w:val="16"/>
          <w:szCs w:val="20"/>
        </w:rPr>
        <w:instrText xml:space="preserve"> REF _Ref474399305 \h  \* MERGEFORMAT </w:instrText>
      </w:r>
      <w:r w:rsidRPr="009C0F97">
        <w:rPr>
          <w:sz w:val="16"/>
          <w:szCs w:val="20"/>
        </w:rPr>
      </w:r>
      <w:r w:rsidRPr="009C0F97">
        <w:rPr>
          <w:sz w:val="16"/>
          <w:szCs w:val="20"/>
        </w:rPr>
        <w:fldChar w:fldCharType="separate"/>
      </w:r>
      <w:r w:rsidR="00073181" w:rsidRPr="0097551A">
        <w:t xml:space="preserve">Table </w:t>
      </w:r>
      <w:r w:rsidR="00073181">
        <w:t>3</w:t>
      </w:r>
      <w:r w:rsidRPr="009C0F97">
        <w:rPr>
          <w:sz w:val="16"/>
          <w:szCs w:val="20"/>
        </w:rPr>
        <w:fldChar w:fldCharType="end"/>
      </w:r>
      <w:r>
        <w:rPr>
          <w:szCs w:val="20"/>
        </w:rPr>
        <w:t>.</w:t>
      </w:r>
      <w:r w:rsidR="00A6061A">
        <w:rPr>
          <w:szCs w:val="20"/>
        </w:rPr>
        <w:t xml:space="preserve"> </w:t>
      </w:r>
      <w:r>
        <w:rPr>
          <w:szCs w:val="20"/>
        </w:rPr>
        <w:t xml:space="preserve">For example, </w:t>
      </w:r>
      <w:r w:rsidR="00DF0B38">
        <w:rPr>
          <w:szCs w:val="20"/>
        </w:rPr>
        <w:t xml:space="preserve">Apache County </w:t>
      </w:r>
      <w:r>
        <w:rPr>
          <w:szCs w:val="20"/>
        </w:rPr>
        <w:t xml:space="preserve">is given a midpoint of 60 </w:t>
      </w:r>
      <w:r w:rsidR="0044447B">
        <w:rPr>
          <w:szCs w:val="20"/>
        </w:rPr>
        <w:t xml:space="preserve">employees </w:t>
      </w:r>
      <w:r>
        <w:rPr>
          <w:szCs w:val="20"/>
        </w:rPr>
        <w:t>(since range code B</w:t>
      </w:r>
      <w:r w:rsidR="00B97E6E" w:rsidRPr="00173827">
        <w:rPr>
          <w:szCs w:val="20"/>
        </w:rPr>
        <w:t xml:space="preserve"> is </w:t>
      </w:r>
      <w:r>
        <w:rPr>
          <w:szCs w:val="20"/>
        </w:rPr>
        <w:t>20-99</w:t>
      </w:r>
      <w:r w:rsidR="00B97E6E" w:rsidRPr="00173827">
        <w:rPr>
          <w:szCs w:val="20"/>
        </w:rPr>
        <w:t xml:space="preserve">) and </w:t>
      </w:r>
      <w:r w:rsidR="00DF0B38">
        <w:rPr>
          <w:szCs w:val="20"/>
        </w:rPr>
        <w:t xml:space="preserve">Gila County </w:t>
      </w:r>
      <w:r w:rsidR="00B97E6E" w:rsidRPr="00173827">
        <w:rPr>
          <w:szCs w:val="20"/>
        </w:rPr>
        <w:t>is given a midpoint of 1</w:t>
      </w:r>
      <w:r>
        <w:rPr>
          <w:szCs w:val="20"/>
        </w:rPr>
        <w:t>0</w:t>
      </w:r>
      <w:r w:rsidR="0044447B">
        <w:rPr>
          <w:szCs w:val="20"/>
        </w:rPr>
        <w:t xml:space="preserve"> employees</w:t>
      </w:r>
      <w:r w:rsidR="00B97E6E" w:rsidRPr="00173827">
        <w:rPr>
          <w:szCs w:val="20"/>
        </w:rPr>
        <w:t>.</w:t>
      </w:r>
    </w:p>
    <w:p w14:paraId="08441F6A" w14:textId="0A1CC541" w:rsidR="00B97E6E" w:rsidRPr="00173827" w:rsidRDefault="008810A9" w:rsidP="00B97E6E">
      <w:pPr>
        <w:widowControl/>
        <w:numPr>
          <w:ilvl w:val="0"/>
          <w:numId w:val="2"/>
        </w:numPr>
        <w:autoSpaceDE/>
        <w:autoSpaceDN/>
        <w:adjustRightInd/>
        <w:rPr>
          <w:szCs w:val="20"/>
        </w:rPr>
      </w:pPr>
      <w:r>
        <w:rPr>
          <w:szCs w:val="20"/>
        </w:rPr>
        <w:t>The s</w:t>
      </w:r>
      <w:r w:rsidR="00B97E6E" w:rsidRPr="00173827">
        <w:rPr>
          <w:szCs w:val="20"/>
        </w:rPr>
        <w:t xml:space="preserve">tate total </w:t>
      </w:r>
      <w:r w:rsidR="0044447B">
        <w:rPr>
          <w:szCs w:val="20"/>
        </w:rPr>
        <w:t xml:space="preserve">of the midpoints </w:t>
      </w:r>
      <w:r w:rsidR="00B97E6E" w:rsidRPr="00173827">
        <w:rPr>
          <w:szCs w:val="20"/>
        </w:rPr>
        <w:t xml:space="preserve">for </w:t>
      </w:r>
      <w:r w:rsidR="009C0F97">
        <w:rPr>
          <w:szCs w:val="20"/>
        </w:rPr>
        <w:t>all withheld counties is 2</w:t>
      </w:r>
      <w:r w:rsidR="00DF7719">
        <w:rPr>
          <w:szCs w:val="20"/>
        </w:rPr>
        <w:t xml:space="preserve">70 </w:t>
      </w:r>
      <w:r w:rsidR="0044447B">
        <w:rPr>
          <w:szCs w:val="20"/>
        </w:rPr>
        <w:t>employees</w:t>
      </w:r>
      <w:r w:rsidR="00B97E6E" w:rsidRPr="00173827">
        <w:rPr>
          <w:szCs w:val="20"/>
        </w:rPr>
        <w:t xml:space="preserve">. </w:t>
      </w:r>
    </w:p>
    <w:p w14:paraId="3875DD1B" w14:textId="709FC634" w:rsidR="00B97E6E" w:rsidRPr="00173827" w:rsidRDefault="007C3960" w:rsidP="00B97E6E">
      <w:pPr>
        <w:widowControl/>
        <w:numPr>
          <w:ilvl w:val="0"/>
          <w:numId w:val="2"/>
        </w:numPr>
        <w:autoSpaceDE/>
        <w:autoSpaceDN/>
        <w:adjustRightInd/>
        <w:rPr>
          <w:szCs w:val="20"/>
        </w:rPr>
      </w:pPr>
      <w:r>
        <w:rPr>
          <w:szCs w:val="20"/>
        </w:rPr>
        <w:t xml:space="preserve">The adjustment factor is </w:t>
      </w:r>
      <w:r w:rsidR="009C0F97">
        <w:rPr>
          <w:szCs w:val="20"/>
        </w:rPr>
        <w:t>1</w:t>
      </w:r>
      <w:r w:rsidR="00DF7719">
        <w:rPr>
          <w:szCs w:val="20"/>
        </w:rPr>
        <w:t>86</w:t>
      </w:r>
      <w:r w:rsidR="00B97E6E" w:rsidRPr="00173827">
        <w:rPr>
          <w:szCs w:val="20"/>
        </w:rPr>
        <w:t>/</w:t>
      </w:r>
      <w:r w:rsidR="009C0F97">
        <w:rPr>
          <w:szCs w:val="20"/>
        </w:rPr>
        <w:t>2</w:t>
      </w:r>
      <w:r w:rsidR="00DF7719">
        <w:rPr>
          <w:szCs w:val="20"/>
        </w:rPr>
        <w:t>72</w:t>
      </w:r>
      <w:r w:rsidR="009C0F97">
        <w:rPr>
          <w:szCs w:val="20"/>
        </w:rPr>
        <w:t xml:space="preserve"> = 0.</w:t>
      </w:r>
      <w:r w:rsidR="00C865CE">
        <w:rPr>
          <w:szCs w:val="20"/>
        </w:rPr>
        <w:t>6889</w:t>
      </w:r>
      <w:r w:rsidR="00B97E6E" w:rsidRPr="00173827">
        <w:rPr>
          <w:szCs w:val="20"/>
        </w:rPr>
        <w:t>.</w:t>
      </w:r>
    </w:p>
    <w:p w14:paraId="1CB0261C" w14:textId="5971BEB5" w:rsidR="00B97E6E" w:rsidRPr="00173827" w:rsidRDefault="00B97E6E" w:rsidP="00B97E6E">
      <w:pPr>
        <w:widowControl/>
        <w:numPr>
          <w:ilvl w:val="0"/>
          <w:numId w:val="2"/>
        </w:numPr>
        <w:autoSpaceDE/>
        <w:autoSpaceDN/>
        <w:adjustRightInd/>
        <w:rPr>
          <w:szCs w:val="20"/>
        </w:rPr>
      </w:pPr>
      <w:r w:rsidRPr="00173827">
        <w:rPr>
          <w:szCs w:val="20"/>
        </w:rPr>
        <w:t xml:space="preserve">The adjusted employment for </w:t>
      </w:r>
      <w:r w:rsidR="00DF0B38">
        <w:rPr>
          <w:szCs w:val="20"/>
        </w:rPr>
        <w:t xml:space="preserve">Apache County </w:t>
      </w:r>
      <w:r>
        <w:rPr>
          <w:szCs w:val="20"/>
        </w:rPr>
        <w:t xml:space="preserve">is </w:t>
      </w:r>
      <w:r w:rsidR="009C0F97">
        <w:rPr>
          <w:szCs w:val="20"/>
        </w:rPr>
        <w:t>60</w:t>
      </w:r>
      <w:r w:rsidR="00DF0B38">
        <w:rPr>
          <w:szCs w:val="20"/>
        </w:rPr>
        <w:t xml:space="preserve"> × </w:t>
      </w:r>
      <w:r>
        <w:rPr>
          <w:szCs w:val="20"/>
        </w:rPr>
        <w:t>0.</w:t>
      </w:r>
      <w:r w:rsidR="00DF7719">
        <w:rPr>
          <w:szCs w:val="20"/>
        </w:rPr>
        <w:t>6</w:t>
      </w:r>
      <w:r w:rsidR="00C865CE">
        <w:rPr>
          <w:szCs w:val="20"/>
        </w:rPr>
        <w:t>889</w:t>
      </w:r>
      <w:r>
        <w:rPr>
          <w:szCs w:val="20"/>
        </w:rPr>
        <w:t xml:space="preserve"> = </w:t>
      </w:r>
      <w:r w:rsidR="00DF7719">
        <w:rPr>
          <w:szCs w:val="20"/>
        </w:rPr>
        <w:t>41</w:t>
      </w:r>
      <w:r>
        <w:rPr>
          <w:szCs w:val="20"/>
        </w:rPr>
        <w:t xml:space="preserve">. </w:t>
      </w:r>
      <w:r w:rsidR="00DF0B38">
        <w:rPr>
          <w:szCs w:val="20"/>
        </w:rPr>
        <w:t xml:space="preserve">Gila </w:t>
      </w:r>
      <w:r>
        <w:rPr>
          <w:szCs w:val="20"/>
        </w:rPr>
        <w:t>C</w:t>
      </w:r>
      <w:r w:rsidRPr="00173827">
        <w:rPr>
          <w:szCs w:val="20"/>
        </w:rPr>
        <w:t>ounty has an adjusted employment of 1</w:t>
      </w:r>
      <w:r w:rsidR="009C0F97">
        <w:rPr>
          <w:szCs w:val="20"/>
        </w:rPr>
        <w:t>0</w:t>
      </w:r>
      <w:r w:rsidR="00DF0B38">
        <w:rPr>
          <w:szCs w:val="20"/>
        </w:rPr>
        <w:t xml:space="preserve"> × </w:t>
      </w:r>
      <w:r w:rsidRPr="00173827">
        <w:rPr>
          <w:szCs w:val="20"/>
        </w:rPr>
        <w:t>0.</w:t>
      </w:r>
      <w:r w:rsidR="00DF7719">
        <w:rPr>
          <w:szCs w:val="20"/>
        </w:rPr>
        <w:t>68</w:t>
      </w:r>
      <w:r w:rsidR="00C865CE">
        <w:rPr>
          <w:szCs w:val="20"/>
        </w:rPr>
        <w:t>89</w:t>
      </w:r>
      <w:r w:rsidRPr="00173827">
        <w:rPr>
          <w:szCs w:val="20"/>
        </w:rPr>
        <w:t xml:space="preserve"> = </w:t>
      </w:r>
      <w:r w:rsidR="00DF7719">
        <w:rPr>
          <w:szCs w:val="20"/>
        </w:rPr>
        <w:t>7</w:t>
      </w:r>
      <w:r w:rsidR="007C3960">
        <w:rPr>
          <w:szCs w:val="20"/>
        </w:rPr>
        <w:t xml:space="preserve"> employees</w:t>
      </w:r>
      <w:r w:rsidRPr="00173827">
        <w:rPr>
          <w:szCs w:val="20"/>
        </w:rPr>
        <w:t>.</w:t>
      </w:r>
    </w:p>
    <w:p w14:paraId="2CB2B6B9" w14:textId="36BCE1DA" w:rsidR="003D38C0" w:rsidRDefault="00B97E6E" w:rsidP="003D38C0">
      <w:pPr>
        <w:widowControl/>
        <w:tabs>
          <w:tab w:val="left" w:pos="0"/>
        </w:tabs>
        <w:rPr>
          <w:szCs w:val="20"/>
        </w:rPr>
      </w:pPr>
      <w:r>
        <w:rPr>
          <w:szCs w:val="20"/>
        </w:rPr>
        <w:t>Once county</w:t>
      </w:r>
      <w:r w:rsidR="003D38C0">
        <w:rPr>
          <w:szCs w:val="20"/>
        </w:rPr>
        <w:t>- and state-</w:t>
      </w:r>
      <w:r>
        <w:rPr>
          <w:szCs w:val="20"/>
        </w:rPr>
        <w:t>level employment</w:t>
      </w:r>
      <w:r w:rsidR="003D38C0">
        <w:rPr>
          <w:szCs w:val="20"/>
        </w:rPr>
        <w:t xml:space="preserve"> have </w:t>
      </w:r>
      <w:r w:rsidR="00873FFC">
        <w:rPr>
          <w:szCs w:val="20"/>
        </w:rPr>
        <w:t>been estimated</w:t>
      </w:r>
      <w:r w:rsidR="0044447B">
        <w:rPr>
          <w:szCs w:val="20"/>
        </w:rPr>
        <w:t>,</w:t>
      </w:r>
      <w:r>
        <w:rPr>
          <w:szCs w:val="20"/>
        </w:rPr>
        <w:t xml:space="preserve"> the ratio of county to state employees </w:t>
      </w:r>
      <w:r w:rsidR="003D38C0">
        <w:rPr>
          <w:szCs w:val="20"/>
        </w:rPr>
        <w:t xml:space="preserve">(from equation </w:t>
      </w:r>
      <w:r w:rsidR="0056502F">
        <w:rPr>
          <w:szCs w:val="20"/>
        </w:rPr>
        <w:t>4</w:t>
      </w:r>
      <w:r w:rsidR="003D38C0">
        <w:rPr>
          <w:szCs w:val="20"/>
        </w:rPr>
        <w:t xml:space="preserve">) </w:t>
      </w:r>
      <w:r w:rsidR="0044447B">
        <w:rPr>
          <w:szCs w:val="20"/>
        </w:rPr>
        <w:t>i</w:t>
      </w:r>
      <w:r>
        <w:rPr>
          <w:szCs w:val="20"/>
        </w:rPr>
        <w:t xml:space="preserve">s </w:t>
      </w:r>
      <w:r w:rsidR="00837710">
        <w:rPr>
          <w:szCs w:val="20"/>
        </w:rPr>
        <w:t xml:space="preserve">calculated </w:t>
      </w:r>
      <w:r>
        <w:rPr>
          <w:szCs w:val="20"/>
        </w:rPr>
        <w:t>and multiplied by the state</w:t>
      </w:r>
      <w:r w:rsidR="0056502F">
        <w:rPr>
          <w:szCs w:val="20"/>
        </w:rPr>
        <w:t>-</w:t>
      </w:r>
      <w:r>
        <w:rPr>
          <w:szCs w:val="20"/>
        </w:rPr>
        <w:t xml:space="preserve">level </w:t>
      </w:r>
      <w:proofErr w:type="spellStart"/>
      <w:r w:rsidR="0056502F">
        <w:rPr>
          <w:szCs w:val="20"/>
        </w:rPr>
        <w:t>green</w:t>
      </w:r>
      <w:r>
        <w:rPr>
          <w:szCs w:val="20"/>
        </w:rPr>
        <w:t>waste</w:t>
      </w:r>
      <w:proofErr w:type="spellEnd"/>
      <w:r>
        <w:rPr>
          <w:szCs w:val="20"/>
        </w:rPr>
        <w:t xml:space="preserve"> recovered for composting</w:t>
      </w:r>
      <w:r w:rsidR="003D38C0">
        <w:rPr>
          <w:szCs w:val="20"/>
        </w:rPr>
        <w:t xml:space="preserve"> (from equation 3)</w:t>
      </w:r>
      <w:r>
        <w:rPr>
          <w:szCs w:val="20"/>
        </w:rPr>
        <w:t xml:space="preserve"> to calculate the amount of waste composted in </w:t>
      </w:r>
      <w:r w:rsidR="00837710">
        <w:rPr>
          <w:szCs w:val="20"/>
        </w:rPr>
        <w:t xml:space="preserve">each </w:t>
      </w:r>
      <w:r>
        <w:rPr>
          <w:szCs w:val="20"/>
        </w:rPr>
        <w:t xml:space="preserve">county. </w:t>
      </w:r>
      <w:bookmarkStart w:id="11" w:name="_Ref4771774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3D38C0" w14:paraId="330F4628" w14:textId="77777777" w:rsidTr="00FE02FD">
        <w:trPr>
          <w:trHeight w:val="378"/>
        </w:trPr>
        <w:tc>
          <w:tcPr>
            <w:tcW w:w="8748" w:type="dxa"/>
          </w:tcPr>
          <w:p w14:paraId="5F1893AC" w14:textId="076EA891" w:rsidR="003D38C0" w:rsidRDefault="003555C0">
            <w:pPr>
              <w:widowControl/>
              <w:tabs>
                <w:tab w:val="left" w:pos="0"/>
                <w:tab w:val="center" w:pos="4320"/>
                <w:tab w:val="right" w:pos="8460"/>
              </w:tabs>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GW,c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GW,s</m:t>
                    </m:r>
                  </m:sub>
                </m:sSub>
              </m:oMath>
            </m:oMathPara>
          </w:p>
        </w:tc>
        <w:tc>
          <w:tcPr>
            <w:tcW w:w="828" w:type="dxa"/>
          </w:tcPr>
          <w:p w14:paraId="4CE61DBA" w14:textId="77777777" w:rsidR="003D38C0" w:rsidRPr="00986448" w:rsidRDefault="003D38C0" w:rsidP="007D6365">
            <w:pPr>
              <w:pStyle w:val="ListParagraph"/>
              <w:widowControl/>
              <w:numPr>
                <w:ilvl w:val="0"/>
                <w:numId w:val="10"/>
              </w:numPr>
              <w:autoSpaceDE/>
              <w:autoSpaceDN/>
              <w:adjustRightInd/>
              <w:spacing w:after="200"/>
              <w:jc w:val="right"/>
              <w:rPr>
                <w:szCs w:val="20"/>
              </w:rPr>
            </w:pPr>
          </w:p>
        </w:tc>
      </w:tr>
    </w:tbl>
    <w:p w14:paraId="6C034159" w14:textId="77777777" w:rsidR="003D38C0" w:rsidRDefault="003D38C0" w:rsidP="003D38C0">
      <w:pPr>
        <w:widowControl/>
        <w:tabs>
          <w:tab w:val="left" w:pos="0"/>
        </w:tabs>
        <w:rPr>
          <w:szCs w:val="20"/>
        </w:rPr>
      </w:pPr>
      <w:r>
        <w:rPr>
          <w:szCs w:val="20"/>
        </w:rPr>
        <w:t>Where:</w:t>
      </w:r>
    </w:p>
    <w:p w14:paraId="2CECA2C9" w14:textId="77777777" w:rsidR="001C474D" w:rsidRDefault="0056502F" w:rsidP="007D6365">
      <w:pPr>
        <w:pStyle w:val="NoSpacing"/>
        <w:tabs>
          <w:tab w:val="left" w:pos="1890"/>
        </w:tabs>
        <w:ind w:left="1620" w:hanging="1620"/>
        <w:rPr>
          <w:i/>
        </w:rPr>
      </w:pPr>
      <w:r>
        <w:tab/>
      </w:r>
      <w:proofErr w:type="spellStart"/>
      <w:r w:rsidR="001C474D">
        <w:rPr>
          <w:i/>
        </w:rPr>
        <w:t>W</w:t>
      </w:r>
      <w:r w:rsidR="001C474D">
        <w:rPr>
          <w:i/>
          <w:vertAlign w:val="subscript"/>
        </w:rPr>
        <w:t>GW</w:t>
      </w:r>
      <w:proofErr w:type="gramStart"/>
      <w:r w:rsidR="001C474D">
        <w:rPr>
          <w:i/>
          <w:vertAlign w:val="subscript"/>
        </w:rPr>
        <w:t>,c</w:t>
      </w:r>
      <w:proofErr w:type="spellEnd"/>
      <w:proofErr w:type="gramEnd"/>
      <w:r w:rsidR="001C474D">
        <w:tab/>
      </w:r>
      <w:r w:rsidR="001C474D">
        <w:tab/>
        <w:t>=</w:t>
      </w:r>
      <w:r w:rsidR="001C474D">
        <w:tab/>
        <w:t xml:space="preserve">Annual total </w:t>
      </w:r>
      <w:proofErr w:type="spellStart"/>
      <w:r w:rsidR="001C474D">
        <w:t>greenwaste</w:t>
      </w:r>
      <w:proofErr w:type="spellEnd"/>
      <w:r w:rsidR="001C474D">
        <w:t xml:space="preserve"> composted in county </w:t>
      </w:r>
      <w:r w:rsidR="001C474D">
        <w:rPr>
          <w:i/>
        </w:rPr>
        <w:t xml:space="preserve"> c</w:t>
      </w:r>
      <w:r w:rsidR="001C474D">
        <w:t>, in tons</w:t>
      </w:r>
      <w:r w:rsidR="001C474D">
        <w:rPr>
          <w:i/>
        </w:rPr>
        <w:t xml:space="preserve"> </w:t>
      </w:r>
    </w:p>
    <w:p w14:paraId="1E93B4A2" w14:textId="7306038C" w:rsidR="0056502F" w:rsidRDefault="001C474D" w:rsidP="001C474D">
      <w:pPr>
        <w:pStyle w:val="NoSpacing"/>
        <w:tabs>
          <w:tab w:val="left" w:pos="1890"/>
        </w:tabs>
      </w:pPr>
      <w:r>
        <w:rPr>
          <w:i/>
        </w:rPr>
        <w:tab/>
      </w:r>
      <w:r w:rsidR="0056502F">
        <w:rPr>
          <w:i/>
        </w:rPr>
        <w:t>W</w:t>
      </w:r>
      <w:r w:rsidR="0056502F">
        <w:rPr>
          <w:i/>
          <w:vertAlign w:val="subscript"/>
        </w:rPr>
        <w:t>GW</w:t>
      </w:r>
      <w:proofErr w:type="gramStart"/>
      <w:r w:rsidR="0056502F">
        <w:rPr>
          <w:i/>
          <w:vertAlign w:val="subscript"/>
        </w:rPr>
        <w:t>,s</w:t>
      </w:r>
      <w:proofErr w:type="gramEnd"/>
      <w:r w:rsidR="0056502F">
        <w:rPr>
          <w:i/>
        </w:rPr>
        <w:tab/>
      </w:r>
      <w:r w:rsidR="0056502F">
        <w:rPr>
          <w:i/>
        </w:rPr>
        <w:tab/>
      </w:r>
      <w:r w:rsidR="0056502F">
        <w:t>=</w:t>
      </w:r>
      <w:r w:rsidR="0056502F">
        <w:tab/>
      </w:r>
      <w:r>
        <w:tab/>
      </w:r>
      <w:r w:rsidR="0056502F">
        <w:t xml:space="preserve">Annual total </w:t>
      </w:r>
      <w:proofErr w:type="spellStart"/>
      <w:r w:rsidR="0056502F">
        <w:t>greenwaste</w:t>
      </w:r>
      <w:proofErr w:type="spellEnd"/>
      <w:r w:rsidR="0056502F">
        <w:t xml:space="preserve"> recovered for composting in </w:t>
      </w:r>
      <w:proofErr w:type="spellStart"/>
      <w:r w:rsidR="0056502F">
        <w:t xml:space="preserve">state </w:t>
      </w:r>
      <w:r w:rsidR="0056502F">
        <w:rPr>
          <w:i/>
        </w:rPr>
        <w:t>s</w:t>
      </w:r>
      <w:proofErr w:type="spellEnd"/>
      <w:r w:rsidR="0056502F">
        <w:t>, in tons</w:t>
      </w:r>
    </w:p>
    <w:p w14:paraId="35DF076D" w14:textId="3A94A18A" w:rsidR="003D38C0" w:rsidRPr="001C474D" w:rsidRDefault="00186E1E" w:rsidP="001C474D">
      <w:pPr>
        <w:pStyle w:val="NoSpacing"/>
        <w:tabs>
          <w:tab w:val="clear" w:pos="1296"/>
          <w:tab w:val="left" w:pos="1530"/>
          <w:tab w:val="left" w:pos="1620"/>
          <w:tab w:val="left" w:pos="1890"/>
          <w:tab w:val="left" w:pos="1980"/>
        </w:tabs>
        <w:ind w:left="1620" w:hanging="1620"/>
      </w:pPr>
      <w:r>
        <w:rPr>
          <w:i/>
        </w:rPr>
        <w:tab/>
      </w:r>
      <w:proofErr w:type="spellStart"/>
      <w:r>
        <w:rPr>
          <w:i/>
        </w:rPr>
        <w:t>EmpFrac</w:t>
      </w:r>
      <w:r w:rsidRPr="00ED598D">
        <w:rPr>
          <w:i/>
          <w:vertAlign w:val="subscript"/>
        </w:rPr>
        <w:t>c</w:t>
      </w:r>
      <w:proofErr w:type="spellEnd"/>
      <w:r>
        <w:rPr>
          <w:vertAlign w:val="subscript"/>
        </w:rPr>
        <w:tab/>
      </w:r>
      <w:r w:rsidR="0056502F">
        <w:rPr>
          <w:vertAlign w:val="subscript"/>
        </w:rPr>
        <w:tab/>
      </w:r>
      <w:r>
        <w:t xml:space="preserve">= </w:t>
      </w:r>
      <w:r>
        <w:tab/>
      </w:r>
      <w:proofErr w:type="gramStart"/>
      <w:r>
        <w:t>The</w:t>
      </w:r>
      <w:proofErr w:type="gramEnd"/>
      <w:r>
        <w:t xml:space="preserve"> fraction of landfill employees in county </w:t>
      </w:r>
      <w:r>
        <w:rPr>
          <w:i/>
        </w:rPr>
        <w:t>c</w:t>
      </w:r>
      <w:r w:rsidR="003D38C0">
        <w:tab/>
      </w:r>
    </w:p>
    <w:p w14:paraId="482CAC6D" w14:textId="77777777" w:rsidR="003D38C0" w:rsidRPr="003D38C0" w:rsidRDefault="003D38C0" w:rsidP="003D38C0">
      <w:pPr>
        <w:pStyle w:val="NoSpacing"/>
      </w:pPr>
    </w:p>
    <w:p w14:paraId="74DFA48A" w14:textId="78DFB3BB" w:rsidR="00B97E6E" w:rsidRPr="00886F17" w:rsidRDefault="00B97E6E" w:rsidP="003D38C0">
      <w:pPr>
        <w:pStyle w:val="Heading1"/>
      </w:pPr>
      <w:bookmarkStart w:id="12" w:name="_Ref477187901"/>
      <w:r w:rsidRPr="00886F17">
        <w:t>Emission</w:t>
      </w:r>
      <w:r w:rsidR="009944E8">
        <w:t>s</w:t>
      </w:r>
      <w:r w:rsidRPr="00886F17">
        <w:t xml:space="preserve"> Factors</w:t>
      </w:r>
      <w:bookmarkEnd w:id="11"/>
      <w:bookmarkEnd w:id="12"/>
    </w:p>
    <w:p w14:paraId="42B84542" w14:textId="78BAAD2D" w:rsidR="00B97E6E" w:rsidRPr="00646D28" w:rsidRDefault="00B97E6E" w:rsidP="00646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vertAlign w:val="superscript"/>
        </w:rPr>
      </w:pPr>
      <w:r w:rsidRPr="006132E6">
        <w:rPr>
          <w:szCs w:val="20"/>
        </w:rPr>
        <w:t>Emission</w:t>
      </w:r>
      <w:r w:rsidR="009944E8">
        <w:rPr>
          <w:szCs w:val="20"/>
        </w:rPr>
        <w:t>s</w:t>
      </w:r>
      <w:r w:rsidR="0097551A">
        <w:rPr>
          <w:szCs w:val="20"/>
        </w:rPr>
        <w:t xml:space="preserve"> factors </w:t>
      </w:r>
      <w:r w:rsidR="00646D28">
        <w:rPr>
          <w:szCs w:val="20"/>
        </w:rPr>
        <w:t xml:space="preserve">for </w:t>
      </w:r>
      <w:proofErr w:type="spellStart"/>
      <w:r w:rsidR="00646D28">
        <w:rPr>
          <w:szCs w:val="20"/>
        </w:rPr>
        <w:t>greenwaste</w:t>
      </w:r>
      <w:proofErr w:type="spellEnd"/>
      <w:r w:rsidR="00646D28">
        <w:rPr>
          <w:szCs w:val="20"/>
        </w:rPr>
        <w:t xml:space="preserve"> composting </w:t>
      </w:r>
      <w:r w:rsidR="0097551A">
        <w:rPr>
          <w:szCs w:val="20"/>
        </w:rPr>
        <w:t xml:space="preserve">are </w:t>
      </w:r>
      <w:r w:rsidR="0097551A" w:rsidRPr="0097551A">
        <w:rPr>
          <w:szCs w:val="20"/>
        </w:rPr>
        <w:t xml:space="preserve">reported in </w:t>
      </w:r>
      <w:r w:rsidR="0097551A" w:rsidRPr="0097551A">
        <w:rPr>
          <w:szCs w:val="20"/>
        </w:rPr>
        <w:fldChar w:fldCharType="begin"/>
      </w:r>
      <w:r w:rsidR="0097551A" w:rsidRPr="0097551A">
        <w:rPr>
          <w:szCs w:val="20"/>
        </w:rPr>
        <w:instrText xml:space="preserve"> REF _Ref474399273 \h </w:instrText>
      </w:r>
      <w:r w:rsidR="0097551A">
        <w:rPr>
          <w:szCs w:val="20"/>
        </w:rPr>
        <w:instrText xml:space="preserve"> \* MERGEFORMAT </w:instrText>
      </w:r>
      <w:r w:rsidR="0097551A" w:rsidRPr="0097551A">
        <w:rPr>
          <w:szCs w:val="20"/>
        </w:rPr>
      </w:r>
      <w:r w:rsidR="0097551A" w:rsidRPr="0097551A">
        <w:rPr>
          <w:szCs w:val="20"/>
        </w:rPr>
        <w:fldChar w:fldCharType="separate"/>
      </w:r>
      <w:r w:rsidR="00073181" w:rsidRPr="00073181">
        <w:rPr>
          <w:szCs w:val="20"/>
        </w:rPr>
        <w:t xml:space="preserve">Table </w:t>
      </w:r>
      <w:r w:rsidR="00073181" w:rsidRPr="00073181">
        <w:rPr>
          <w:noProof/>
          <w:szCs w:val="20"/>
        </w:rPr>
        <w:t>5</w:t>
      </w:r>
      <w:r w:rsidR="0097551A" w:rsidRPr="0097551A">
        <w:rPr>
          <w:szCs w:val="20"/>
        </w:rPr>
        <w:fldChar w:fldCharType="end"/>
      </w:r>
      <w:r w:rsidRPr="006132E6">
        <w:rPr>
          <w:szCs w:val="20"/>
        </w:rPr>
        <w:t xml:space="preserve">. </w:t>
      </w:r>
      <w:r w:rsidR="00646D28">
        <w:rPr>
          <w:szCs w:val="20"/>
        </w:rPr>
        <w:t>The e</w:t>
      </w:r>
      <w:r w:rsidRPr="006132E6">
        <w:rPr>
          <w:szCs w:val="20"/>
        </w:rPr>
        <w:t>mission</w:t>
      </w:r>
      <w:r w:rsidR="009944E8">
        <w:rPr>
          <w:szCs w:val="20"/>
        </w:rPr>
        <w:t>s</w:t>
      </w:r>
      <w:r w:rsidRPr="006132E6">
        <w:rPr>
          <w:szCs w:val="20"/>
        </w:rPr>
        <w:t xml:space="preserve"> factors </w:t>
      </w:r>
      <w:r>
        <w:rPr>
          <w:szCs w:val="20"/>
        </w:rPr>
        <w:t>for VOC and ammonia (NH</w:t>
      </w:r>
      <w:r w:rsidR="00E267BB">
        <w:rPr>
          <w:szCs w:val="20"/>
        </w:rPr>
        <w:t>3</w:t>
      </w:r>
      <w:r>
        <w:rPr>
          <w:szCs w:val="20"/>
        </w:rPr>
        <w:t>) are taken from the</w:t>
      </w:r>
      <w:r w:rsidR="00B32469">
        <w:rPr>
          <w:szCs w:val="20"/>
        </w:rPr>
        <w:t xml:space="preserve"> California Air Resources Board Emissions Inventory Methodology for Composting Facilities</w:t>
      </w:r>
      <w:bookmarkStart w:id="13" w:name="_Ref475106116"/>
      <w:r w:rsidR="009944E8">
        <w:rPr>
          <w:szCs w:val="20"/>
        </w:rPr>
        <w:t>,</w:t>
      </w:r>
      <w:r w:rsidR="005A2CA7">
        <w:rPr>
          <w:rStyle w:val="EndnoteReference"/>
          <w:szCs w:val="20"/>
        </w:rPr>
        <w:endnoteReference w:id="6"/>
      </w:r>
      <w:bookmarkEnd w:id="13"/>
      <w:r w:rsidR="00B32469">
        <w:rPr>
          <w:szCs w:val="20"/>
        </w:rPr>
        <w:t xml:space="preserve"> </w:t>
      </w:r>
      <w:r w:rsidR="009944E8">
        <w:rPr>
          <w:szCs w:val="20"/>
        </w:rPr>
        <w:t xml:space="preserve">and </w:t>
      </w:r>
      <w:r w:rsidR="00B32469">
        <w:rPr>
          <w:szCs w:val="20"/>
        </w:rPr>
        <w:t>are unaltered from the original reference.</w:t>
      </w:r>
      <w:r w:rsidR="009944E8">
        <w:rPr>
          <w:szCs w:val="20"/>
        </w:rPr>
        <w:t xml:space="preserve"> The emissions factors</w:t>
      </w:r>
      <w:r w:rsidR="00B32469">
        <w:rPr>
          <w:szCs w:val="20"/>
        </w:rPr>
        <w:t xml:space="preserve"> </w:t>
      </w:r>
      <w:r w:rsidR="002D0E4F">
        <w:rPr>
          <w:szCs w:val="20"/>
        </w:rPr>
        <w:t>for the HAPs (acetaldehyde, methanol, and naphthalene) are taken from Kumar et al.</w:t>
      </w:r>
      <w:bookmarkStart w:id="14" w:name="_Ref510604413"/>
      <w:r w:rsidR="00AE667E">
        <w:rPr>
          <w:rStyle w:val="EndnoteReference"/>
          <w:szCs w:val="20"/>
        </w:rPr>
        <w:endnoteReference w:id="7"/>
      </w:r>
      <w:bookmarkEnd w:id="14"/>
      <w:r w:rsidR="00AE667E" w:rsidRPr="002D0E4F" w:rsidDel="00AE667E">
        <w:rPr>
          <w:szCs w:val="20"/>
          <w:vertAlign w:val="superscript"/>
        </w:rPr>
        <w:t xml:space="preserve"> </w:t>
      </w:r>
    </w:p>
    <w:p w14:paraId="3245CA05" w14:textId="7CFF0AEF" w:rsidR="0097551A" w:rsidRPr="0097551A" w:rsidRDefault="0097551A" w:rsidP="00BE73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5" w:name="_Ref474399273"/>
      <w:r w:rsidRPr="0097551A">
        <w:t xml:space="preserve">Table </w:t>
      </w:r>
      <w:fldSimple w:instr=" SEQ Table \* ARABIC ">
        <w:r w:rsidR="00073181">
          <w:rPr>
            <w:noProof/>
          </w:rPr>
          <w:t>5</w:t>
        </w:r>
      </w:fldSimple>
      <w:bookmarkEnd w:id="15"/>
      <w:r w:rsidRPr="0097551A">
        <w:t xml:space="preserve">. </w:t>
      </w:r>
      <w:r w:rsidRPr="0097551A">
        <w:rPr>
          <w:szCs w:val="20"/>
        </w:rPr>
        <w:t>Emission</w:t>
      </w:r>
      <w:r w:rsidR="009944E8">
        <w:rPr>
          <w:szCs w:val="20"/>
        </w:rPr>
        <w:t>s</w:t>
      </w:r>
      <w:r w:rsidRPr="0097551A">
        <w:rPr>
          <w:szCs w:val="20"/>
        </w:rPr>
        <w:t xml:space="preserve"> Factors for Composting of </w:t>
      </w:r>
      <w:proofErr w:type="spellStart"/>
      <w:r w:rsidRPr="0097551A">
        <w:rPr>
          <w:szCs w:val="20"/>
        </w:rPr>
        <w:t>Greenwaste</w:t>
      </w:r>
      <w:proofErr w:type="spellEnd"/>
      <w:r w:rsidRPr="0097551A">
        <w:rPr>
          <w:szCs w:val="20"/>
        </w:rPr>
        <w:t xml:space="preserve"> (2680003000)</w:t>
      </w: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40"/>
        <w:gridCol w:w="1380"/>
        <w:gridCol w:w="1380"/>
        <w:gridCol w:w="1380"/>
        <w:gridCol w:w="1380"/>
      </w:tblGrid>
      <w:tr w:rsidR="009944E8" w:rsidRPr="00E3144F" w14:paraId="061300ED" w14:textId="77777777" w:rsidTr="009944E8">
        <w:trPr>
          <w:trHeight w:val="475"/>
          <w:jc w:val="center"/>
        </w:trPr>
        <w:tc>
          <w:tcPr>
            <w:tcW w:w="1440" w:type="dxa"/>
            <w:shd w:val="clear" w:color="auto" w:fill="D9D9D9"/>
            <w:vAlign w:val="center"/>
          </w:tcPr>
          <w:p w14:paraId="3A6401E0" w14:textId="77777777" w:rsidR="009944E8" w:rsidRPr="00E3144F"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E3144F">
              <w:rPr>
                <w:b/>
                <w:bCs/>
                <w:sz w:val="18"/>
                <w:szCs w:val="18"/>
              </w:rPr>
              <w:t>Pollutant</w:t>
            </w:r>
          </w:p>
        </w:tc>
        <w:tc>
          <w:tcPr>
            <w:tcW w:w="1380" w:type="dxa"/>
            <w:shd w:val="clear" w:color="auto" w:fill="D9D9D9"/>
            <w:vAlign w:val="center"/>
          </w:tcPr>
          <w:p w14:paraId="097916B8" w14:textId="2F6BECDF" w:rsidR="009944E8"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Pr>
                <w:b/>
                <w:bCs/>
                <w:sz w:val="18"/>
                <w:szCs w:val="18"/>
              </w:rPr>
              <w:t>Pollutant Code</w:t>
            </w:r>
          </w:p>
        </w:tc>
        <w:tc>
          <w:tcPr>
            <w:tcW w:w="1380" w:type="dxa"/>
            <w:shd w:val="clear" w:color="auto" w:fill="D9D9D9"/>
            <w:vAlign w:val="center"/>
          </w:tcPr>
          <w:p w14:paraId="29A8C2F9" w14:textId="48809FA3" w:rsidR="009944E8" w:rsidRPr="00E3144F"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Pr>
                <w:b/>
                <w:bCs/>
                <w:sz w:val="18"/>
                <w:szCs w:val="18"/>
              </w:rPr>
              <w:t>Emissions Factor</w:t>
            </w:r>
          </w:p>
        </w:tc>
        <w:tc>
          <w:tcPr>
            <w:tcW w:w="1380" w:type="dxa"/>
            <w:shd w:val="clear" w:color="auto" w:fill="D9D9D9"/>
            <w:vAlign w:val="center"/>
          </w:tcPr>
          <w:p w14:paraId="4A4C80B4" w14:textId="1F98E37B" w:rsidR="009944E8" w:rsidRPr="00E3144F"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Pr>
                <w:b/>
                <w:bCs/>
                <w:sz w:val="18"/>
                <w:szCs w:val="18"/>
              </w:rPr>
              <w:t>Emissions Factor Units</w:t>
            </w:r>
          </w:p>
        </w:tc>
        <w:tc>
          <w:tcPr>
            <w:tcW w:w="1380" w:type="dxa"/>
            <w:shd w:val="clear" w:color="auto" w:fill="D9D9D9"/>
            <w:vAlign w:val="center"/>
          </w:tcPr>
          <w:p w14:paraId="73F266B5" w14:textId="5811168B" w:rsidR="009944E8" w:rsidRPr="00E3144F"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E3144F">
              <w:rPr>
                <w:b/>
                <w:bCs/>
                <w:sz w:val="18"/>
                <w:szCs w:val="18"/>
              </w:rPr>
              <w:t>Emission</w:t>
            </w:r>
            <w:r>
              <w:rPr>
                <w:b/>
                <w:bCs/>
                <w:sz w:val="18"/>
                <w:szCs w:val="18"/>
              </w:rPr>
              <w:t>s</w:t>
            </w:r>
            <w:r w:rsidRPr="00E3144F">
              <w:rPr>
                <w:b/>
                <w:bCs/>
                <w:sz w:val="18"/>
                <w:szCs w:val="18"/>
              </w:rPr>
              <w:t xml:space="preserve"> Factor</w:t>
            </w:r>
          </w:p>
          <w:p w14:paraId="355B2E7B" w14:textId="77777777" w:rsidR="009944E8" w:rsidRPr="00E3144F" w:rsidRDefault="009944E8" w:rsidP="00994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E3144F">
              <w:rPr>
                <w:b/>
                <w:bCs/>
                <w:sz w:val="18"/>
                <w:szCs w:val="18"/>
              </w:rPr>
              <w:t>Reference</w:t>
            </w:r>
          </w:p>
        </w:tc>
      </w:tr>
      <w:tr w:rsidR="009944E8" w:rsidRPr="00E3144F" w14:paraId="01B85C12" w14:textId="77777777" w:rsidTr="009944E8">
        <w:trPr>
          <w:trHeight w:val="20"/>
          <w:jc w:val="center"/>
        </w:trPr>
        <w:tc>
          <w:tcPr>
            <w:tcW w:w="1440" w:type="dxa"/>
            <w:vAlign w:val="center"/>
          </w:tcPr>
          <w:p w14:paraId="22172837" w14:textId="27276FF6" w:rsidR="009944E8" w:rsidRPr="00E3144F"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E3144F">
              <w:rPr>
                <w:sz w:val="18"/>
                <w:szCs w:val="18"/>
              </w:rPr>
              <w:t>VOC</w:t>
            </w:r>
          </w:p>
        </w:tc>
        <w:tc>
          <w:tcPr>
            <w:tcW w:w="1380" w:type="dxa"/>
          </w:tcPr>
          <w:p w14:paraId="3537AF64" w14:textId="2EFEFE4B" w:rsidR="009944E8"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VOC</w:t>
            </w:r>
          </w:p>
        </w:tc>
        <w:tc>
          <w:tcPr>
            <w:tcW w:w="1380" w:type="dxa"/>
            <w:vAlign w:val="center"/>
          </w:tcPr>
          <w:p w14:paraId="6D6E8E95" w14:textId="056956E8" w:rsidR="009944E8" w:rsidRPr="00E3144F"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4.67</w:t>
            </w:r>
          </w:p>
        </w:tc>
        <w:tc>
          <w:tcPr>
            <w:tcW w:w="1380" w:type="dxa"/>
            <w:vMerge w:val="restart"/>
            <w:vAlign w:val="center"/>
          </w:tcPr>
          <w:p w14:paraId="4560EAB5" w14:textId="60ACE802" w:rsidR="009944E8" w:rsidRPr="007C3960" w:rsidRDefault="009944E8" w:rsidP="004E1CBE">
            <w:pPr>
              <w:spacing w:after="0"/>
              <w:jc w:val="center"/>
            </w:pPr>
            <w:r>
              <w:t>lbs./ton compost</w:t>
            </w:r>
          </w:p>
        </w:tc>
        <w:tc>
          <w:tcPr>
            <w:tcW w:w="1380" w:type="dxa"/>
            <w:vMerge w:val="restart"/>
            <w:vAlign w:val="center"/>
          </w:tcPr>
          <w:p w14:paraId="3218EFE8" w14:textId="77777777" w:rsidR="009944E8" w:rsidRPr="007C3960" w:rsidRDefault="009944E8" w:rsidP="004E1CBE">
            <w:pPr>
              <w:spacing w:after="0"/>
              <w:jc w:val="center"/>
            </w:pPr>
            <w:r w:rsidRPr="007C3960">
              <w:fldChar w:fldCharType="begin"/>
            </w:r>
            <w:r w:rsidRPr="007C3960">
              <w:instrText xml:space="preserve"> NOTEREF _Ref475106116 \h  \* MERGEFORMAT </w:instrText>
            </w:r>
            <w:r w:rsidRPr="007C3960">
              <w:fldChar w:fldCharType="separate"/>
            </w:r>
            <w:r>
              <w:t>5</w:t>
            </w:r>
            <w:r w:rsidRPr="007C3960">
              <w:fldChar w:fldCharType="end"/>
            </w:r>
          </w:p>
        </w:tc>
      </w:tr>
      <w:tr w:rsidR="009944E8" w:rsidRPr="00E3144F" w14:paraId="7072FE6D" w14:textId="77777777" w:rsidTr="009944E8">
        <w:trPr>
          <w:trHeight w:val="20"/>
          <w:jc w:val="center"/>
        </w:trPr>
        <w:tc>
          <w:tcPr>
            <w:tcW w:w="1440" w:type="dxa"/>
            <w:vAlign w:val="center"/>
          </w:tcPr>
          <w:p w14:paraId="18B0C847" w14:textId="77777777" w:rsidR="009944E8" w:rsidRPr="00E3144F"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Ammonia</w:t>
            </w:r>
          </w:p>
        </w:tc>
        <w:tc>
          <w:tcPr>
            <w:tcW w:w="1380" w:type="dxa"/>
          </w:tcPr>
          <w:p w14:paraId="081F537E" w14:textId="076E597E" w:rsidR="009944E8"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NH3</w:t>
            </w:r>
          </w:p>
        </w:tc>
        <w:tc>
          <w:tcPr>
            <w:tcW w:w="1380" w:type="dxa"/>
            <w:vAlign w:val="center"/>
          </w:tcPr>
          <w:p w14:paraId="510005F0" w14:textId="34505024" w:rsidR="009944E8" w:rsidRPr="00E3144F" w:rsidRDefault="009944E8"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0.66</w:t>
            </w:r>
          </w:p>
        </w:tc>
        <w:tc>
          <w:tcPr>
            <w:tcW w:w="1380" w:type="dxa"/>
            <w:vMerge/>
          </w:tcPr>
          <w:p w14:paraId="08F0B73C" w14:textId="77777777" w:rsidR="009944E8" w:rsidRPr="007C3960" w:rsidRDefault="009944E8" w:rsidP="004E1CBE">
            <w:pPr>
              <w:spacing w:after="0"/>
              <w:jc w:val="center"/>
            </w:pPr>
          </w:p>
        </w:tc>
        <w:tc>
          <w:tcPr>
            <w:tcW w:w="1380" w:type="dxa"/>
            <w:vMerge/>
          </w:tcPr>
          <w:p w14:paraId="15B2339E" w14:textId="77777777" w:rsidR="009944E8" w:rsidRPr="007C3960" w:rsidRDefault="009944E8" w:rsidP="004E1CBE">
            <w:pPr>
              <w:spacing w:after="0"/>
              <w:jc w:val="center"/>
              <w:rPr>
                <w:szCs w:val="18"/>
              </w:rPr>
            </w:pPr>
          </w:p>
        </w:tc>
      </w:tr>
      <w:tr w:rsidR="002D0E4F" w:rsidRPr="00E3144F" w14:paraId="41EA6EF3" w14:textId="77777777" w:rsidTr="002D0E4F">
        <w:trPr>
          <w:trHeight w:val="20"/>
          <w:jc w:val="center"/>
        </w:trPr>
        <w:tc>
          <w:tcPr>
            <w:tcW w:w="1440" w:type="dxa"/>
            <w:vAlign w:val="center"/>
          </w:tcPr>
          <w:p w14:paraId="38FE1087" w14:textId="77777777" w:rsidR="002D0E4F" w:rsidRDefault="002D0E4F" w:rsidP="00F45A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9944E8">
              <w:rPr>
                <w:sz w:val="18"/>
                <w:szCs w:val="18"/>
              </w:rPr>
              <w:t>Acetaldehyde</w:t>
            </w:r>
          </w:p>
        </w:tc>
        <w:tc>
          <w:tcPr>
            <w:tcW w:w="1380" w:type="dxa"/>
          </w:tcPr>
          <w:p w14:paraId="05CCECC1" w14:textId="77777777" w:rsidR="002D0E4F" w:rsidRDefault="002D0E4F" w:rsidP="00F45A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sidRPr="009944E8">
              <w:rPr>
                <w:sz w:val="18"/>
                <w:szCs w:val="18"/>
              </w:rPr>
              <w:t>75070</w:t>
            </w:r>
          </w:p>
        </w:tc>
        <w:tc>
          <w:tcPr>
            <w:tcW w:w="1380" w:type="dxa"/>
            <w:vAlign w:val="center"/>
          </w:tcPr>
          <w:p w14:paraId="21A35632" w14:textId="77777777" w:rsidR="002D0E4F" w:rsidRDefault="002D0E4F" w:rsidP="00F45A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0.0014</w:t>
            </w:r>
          </w:p>
        </w:tc>
        <w:tc>
          <w:tcPr>
            <w:tcW w:w="1380" w:type="dxa"/>
            <w:vMerge w:val="restart"/>
            <w:vAlign w:val="center"/>
          </w:tcPr>
          <w:p w14:paraId="122E8AD8" w14:textId="13F3D41A" w:rsidR="002D0E4F" w:rsidRPr="007C3960" w:rsidRDefault="002D0E4F" w:rsidP="002D0E4F">
            <w:pPr>
              <w:spacing w:after="0"/>
              <w:jc w:val="center"/>
            </w:pPr>
            <w:r>
              <w:t>lbs./lbs. VOC</w:t>
            </w:r>
          </w:p>
        </w:tc>
        <w:tc>
          <w:tcPr>
            <w:tcW w:w="1380" w:type="dxa"/>
            <w:vMerge w:val="restart"/>
            <w:vAlign w:val="center"/>
          </w:tcPr>
          <w:p w14:paraId="1E91294F" w14:textId="2C929CF2" w:rsidR="002D0E4F" w:rsidRPr="007C3960" w:rsidRDefault="00AE667E" w:rsidP="002D0E4F">
            <w:pPr>
              <w:spacing w:after="0"/>
              <w:jc w:val="center"/>
              <w:rPr>
                <w:szCs w:val="18"/>
              </w:rPr>
            </w:pPr>
            <w:r>
              <w:rPr>
                <w:szCs w:val="18"/>
              </w:rPr>
              <w:fldChar w:fldCharType="begin"/>
            </w:r>
            <w:r>
              <w:rPr>
                <w:szCs w:val="18"/>
              </w:rPr>
              <w:instrText xml:space="preserve"> NOTEREF _Ref510604413 \h </w:instrText>
            </w:r>
            <w:r>
              <w:rPr>
                <w:szCs w:val="18"/>
              </w:rPr>
            </w:r>
            <w:r>
              <w:rPr>
                <w:szCs w:val="18"/>
              </w:rPr>
              <w:fldChar w:fldCharType="separate"/>
            </w:r>
            <w:r>
              <w:rPr>
                <w:szCs w:val="18"/>
              </w:rPr>
              <w:t>6</w:t>
            </w:r>
            <w:r>
              <w:rPr>
                <w:szCs w:val="18"/>
              </w:rPr>
              <w:fldChar w:fldCharType="end"/>
            </w:r>
          </w:p>
        </w:tc>
      </w:tr>
      <w:tr w:rsidR="002D0E4F" w:rsidRPr="00E3144F" w14:paraId="6B9B1086" w14:textId="77777777" w:rsidTr="002D0E4F">
        <w:trPr>
          <w:trHeight w:val="20"/>
          <w:jc w:val="center"/>
        </w:trPr>
        <w:tc>
          <w:tcPr>
            <w:tcW w:w="1440" w:type="dxa"/>
            <w:vAlign w:val="center"/>
          </w:tcPr>
          <w:p w14:paraId="579E0882" w14:textId="5A6B0665"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Methanol</w:t>
            </w:r>
          </w:p>
        </w:tc>
        <w:tc>
          <w:tcPr>
            <w:tcW w:w="1380" w:type="dxa"/>
          </w:tcPr>
          <w:p w14:paraId="12C93DB8" w14:textId="61C5F7FA"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sidRPr="009944E8">
              <w:rPr>
                <w:sz w:val="18"/>
                <w:szCs w:val="18"/>
              </w:rPr>
              <w:t>67561</w:t>
            </w:r>
          </w:p>
        </w:tc>
        <w:tc>
          <w:tcPr>
            <w:tcW w:w="1380" w:type="dxa"/>
            <w:vAlign w:val="center"/>
          </w:tcPr>
          <w:p w14:paraId="64B94D2C" w14:textId="28C051BB"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0.1279</w:t>
            </w:r>
          </w:p>
        </w:tc>
        <w:tc>
          <w:tcPr>
            <w:tcW w:w="1380" w:type="dxa"/>
            <w:vMerge/>
            <w:vAlign w:val="center"/>
          </w:tcPr>
          <w:p w14:paraId="33D28B0B" w14:textId="5A1287E2" w:rsidR="002D0E4F" w:rsidRPr="007C3960" w:rsidRDefault="002D0E4F" w:rsidP="009944E8">
            <w:pPr>
              <w:spacing w:after="0"/>
              <w:jc w:val="center"/>
            </w:pPr>
          </w:p>
        </w:tc>
        <w:tc>
          <w:tcPr>
            <w:tcW w:w="1380" w:type="dxa"/>
            <w:vMerge/>
            <w:vAlign w:val="center"/>
          </w:tcPr>
          <w:p w14:paraId="2F2CFAB7" w14:textId="6473BDB0" w:rsidR="002D0E4F" w:rsidRPr="009944E8" w:rsidRDefault="002D0E4F" w:rsidP="002D0E4F">
            <w:pPr>
              <w:spacing w:after="0"/>
              <w:jc w:val="center"/>
              <w:rPr>
                <w:szCs w:val="18"/>
              </w:rPr>
            </w:pPr>
          </w:p>
        </w:tc>
      </w:tr>
      <w:tr w:rsidR="002D0E4F" w:rsidRPr="00E3144F" w14:paraId="4904D346" w14:textId="77777777" w:rsidTr="009944E8">
        <w:trPr>
          <w:trHeight w:val="20"/>
          <w:jc w:val="center"/>
        </w:trPr>
        <w:tc>
          <w:tcPr>
            <w:tcW w:w="1440" w:type="dxa"/>
            <w:vAlign w:val="center"/>
          </w:tcPr>
          <w:p w14:paraId="51FE82A6" w14:textId="5382819A"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9944E8">
              <w:rPr>
                <w:sz w:val="18"/>
                <w:szCs w:val="18"/>
              </w:rPr>
              <w:t>Naphthalene</w:t>
            </w:r>
          </w:p>
        </w:tc>
        <w:tc>
          <w:tcPr>
            <w:tcW w:w="1380" w:type="dxa"/>
          </w:tcPr>
          <w:p w14:paraId="49D79B10" w14:textId="6F0E4923"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sidRPr="009944E8">
              <w:rPr>
                <w:sz w:val="18"/>
                <w:szCs w:val="18"/>
              </w:rPr>
              <w:t>91203</w:t>
            </w:r>
          </w:p>
        </w:tc>
        <w:tc>
          <w:tcPr>
            <w:tcW w:w="1380" w:type="dxa"/>
            <w:vAlign w:val="center"/>
          </w:tcPr>
          <w:p w14:paraId="2BE6F831" w14:textId="70F05BDF" w:rsidR="002D0E4F" w:rsidRDefault="002D0E4F" w:rsidP="004E1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0.005</w:t>
            </w:r>
          </w:p>
        </w:tc>
        <w:tc>
          <w:tcPr>
            <w:tcW w:w="1380" w:type="dxa"/>
            <w:vMerge/>
          </w:tcPr>
          <w:p w14:paraId="56CC3A21" w14:textId="77777777" w:rsidR="002D0E4F" w:rsidRPr="007C3960" w:rsidRDefault="002D0E4F" w:rsidP="004E1CBE">
            <w:pPr>
              <w:spacing w:after="0"/>
              <w:jc w:val="center"/>
            </w:pPr>
          </w:p>
        </w:tc>
        <w:tc>
          <w:tcPr>
            <w:tcW w:w="1380" w:type="dxa"/>
            <w:vMerge/>
          </w:tcPr>
          <w:p w14:paraId="73DEE505" w14:textId="77777777" w:rsidR="002D0E4F" w:rsidRPr="007C3960" w:rsidRDefault="002D0E4F" w:rsidP="004E1CBE">
            <w:pPr>
              <w:spacing w:after="0"/>
              <w:jc w:val="center"/>
              <w:rPr>
                <w:szCs w:val="18"/>
              </w:rPr>
            </w:pPr>
          </w:p>
        </w:tc>
      </w:tr>
    </w:tbl>
    <w:p w14:paraId="06978720" w14:textId="77777777" w:rsidR="00B97E6E" w:rsidRDefault="00B97E6E" w:rsidP="00B97E6E">
      <w:pPr>
        <w:widowControl/>
        <w:tabs>
          <w:tab w:val="left" w:pos="0"/>
        </w:tabs>
        <w:rPr>
          <w:szCs w:val="20"/>
        </w:rPr>
      </w:pPr>
    </w:p>
    <w:p w14:paraId="7E277CE9" w14:textId="77777777" w:rsidR="00B97E6E" w:rsidRPr="00886F17" w:rsidRDefault="00B97E6E" w:rsidP="00052E59">
      <w:pPr>
        <w:pStyle w:val="Heading1"/>
      </w:pPr>
      <w:r w:rsidRPr="00886F17">
        <w:t>Controls</w:t>
      </w:r>
    </w:p>
    <w:p w14:paraId="4BEFEFE1" w14:textId="77777777" w:rsidR="00B97E6E"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p>
    <w:p w14:paraId="4ED260AE" w14:textId="6D0F127E" w:rsidR="00B97E6E" w:rsidRDefault="00B97E6E" w:rsidP="00052E59">
      <w:pPr>
        <w:pStyle w:val="Heading1"/>
      </w:pPr>
      <w:bookmarkStart w:id="16" w:name="_Ref477177564"/>
      <w:r w:rsidRPr="00886F17">
        <w:t>Emissions</w:t>
      </w:r>
      <w:bookmarkEnd w:id="16"/>
    </w:p>
    <w:p w14:paraId="6F90CF59" w14:textId="5E3FA60B" w:rsidR="00B97E6E"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total annual </w:t>
      </w:r>
      <w:proofErr w:type="spellStart"/>
      <w:r>
        <w:rPr>
          <w:szCs w:val="20"/>
        </w:rPr>
        <w:t>greenwaste</w:t>
      </w:r>
      <w:proofErr w:type="spellEnd"/>
      <w:r>
        <w:rPr>
          <w:szCs w:val="20"/>
        </w:rPr>
        <w:t xml:space="preserve"> composted in each county is multiplied </w:t>
      </w:r>
      <w:r w:rsidR="00B97E6E" w:rsidRPr="003733A0">
        <w:rPr>
          <w:szCs w:val="20"/>
        </w:rPr>
        <w:t xml:space="preserve">by </w:t>
      </w:r>
      <w:r w:rsidR="00837710">
        <w:rPr>
          <w:szCs w:val="20"/>
        </w:rPr>
        <w:t>the</w:t>
      </w:r>
      <w:r w:rsidR="00B97E6E" w:rsidRPr="003733A0">
        <w:rPr>
          <w:szCs w:val="20"/>
        </w:rPr>
        <w:t xml:space="preserve"> emission</w:t>
      </w:r>
      <w:r w:rsidR="009944E8">
        <w:rPr>
          <w:szCs w:val="20"/>
        </w:rPr>
        <w:t>s</w:t>
      </w:r>
      <w:r w:rsidR="00B97E6E" w:rsidRPr="003733A0">
        <w:rPr>
          <w:szCs w:val="20"/>
        </w:rPr>
        <w:t xml:space="preserve"> factor</w:t>
      </w:r>
      <w:r w:rsidR="00837710">
        <w:rPr>
          <w:szCs w:val="20"/>
        </w:rPr>
        <w:t>s in</w:t>
      </w:r>
      <w:r>
        <w:rPr>
          <w:szCs w:val="20"/>
        </w:rPr>
        <w:t xml:space="preserve"> </w:t>
      </w:r>
      <w:r>
        <w:rPr>
          <w:szCs w:val="20"/>
        </w:rPr>
        <w:fldChar w:fldCharType="begin"/>
      </w:r>
      <w:r>
        <w:rPr>
          <w:szCs w:val="20"/>
        </w:rPr>
        <w:instrText xml:space="preserve"> REF _Ref474399273 \h </w:instrText>
      </w:r>
      <w:r>
        <w:rPr>
          <w:szCs w:val="20"/>
        </w:rPr>
      </w:r>
      <w:r>
        <w:rPr>
          <w:szCs w:val="20"/>
        </w:rPr>
        <w:fldChar w:fldCharType="separate"/>
      </w:r>
      <w:r w:rsidR="00073181" w:rsidRPr="0097551A">
        <w:t xml:space="preserve">Table </w:t>
      </w:r>
      <w:r w:rsidR="00073181">
        <w:rPr>
          <w:noProof/>
        </w:rPr>
        <w:t>5</w:t>
      </w:r>
      <w:r>
        <w:rPr>
          <w:szCs w:val="20"/>
        </w:rPr>
        <w:fldChar w:fldCharType="end"/>
      </w:r>
      <w:r>
        <w:rPr>
          <w:szCs w:val="20"/>
        </w:rPr>
        <w:t xml:space="preserve"> to estimate emissions</w:t>
      </w:r>
      <w:r w:rsidR="00B97E6E" w:rsidRPr="003733A0">
        <w:rPr>
          <w:szCs w:val="20"/>
        </w:rPr>
        <w:t xml:space="preserve">. </w:t>
      </w:r>
      <w:r w:rsidR="009A3FCC">
        <w:rPr>
          <w:szCs w:val="20"/>
        </w:rPr>
        <w:t xml:space="preserve">For VOC and NH3, the emissions are multiplied by a conversion factor to convert from pounds to tons.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646D28" w14:paraId="5C7EC50A" w14:textId="77777777" w:rsidTr="00186E1E">
        <w:trPr>
          <w:trHeight w:val="540"/>
        </w:trPr>
        <w:tc>
          <w:tcPr>
            <w:tcW w:w="8748" w:type="dxa"/>
          </w:tcPr>
          <w:p w14:paraId="216F7A41" w14:textId="77777777" w:rsidR="00646D28" w:rsidRDefault="003555C0" w:rsidP="00646D28">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GW,c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lbs.</m:t>
                    </m:r>
                  </m:den>
                </m:f>
              </m:oMath>
            </m:oMathPara>
          </w:p>
        </w:tc>
        <w:tc>
          <w:tcPr>
            <w:tcW w:w="828" w:type="dxa"/>
          </w:tcPr>
          <w:p w14:paraId="4CB1CFD4" w14:textId="77777777" w:rsidR="00646D28" w:rsidRPr="00986448" w:rsidRDefault="00646D28" w:rsidP="007D6365">
            <w:pPr>
              <w:pStyle w:val="ListParagraph"/>
              <w:widowControl/>
              <w:numPr>
                <w:ilvl w:val="0"/>
                <w:numId w:val="10"/>
              </w:numPr>
              <w:autoSpaceDE/>
              <w:autoSpaceDN/>
              <w:adjustRightInd/>
              <w:spacing w:after="200"/>
              <w:jc w:val="right"/>
              <w:rPr>
                <w:szCs w:val="20"/>
              </w:rPr>
            </w:pPr>
          </w:p>
        </w:tc>
      </w:tr>
    </w:tbl>
    <w:p w14:paraId="065A0659" w14:textId="77777777" w:rsidR="00646D28" w:rsidRDefault="00646D28" w:rsidP="00646D28">
      <w:pPr>
        <w:widowControl/>
        <w:tabs>
          <w:tab w:val="left" w:pos="0"/>
        </w:tabs>
        <w:rPr>
          <w:szCs w:val="20"/>
        </w:rPr>
      </w:pPr>
      <w:r>
        <w:rPr>
          <w:szCs w:val="20"/>
        </w:rPr>
        <w:t>Where:</w:t>
      </w:r>
    </w:p>
    <w:p w14:paraId="46B24585" w14:textId="7A642A23" w:rsidR="00646D28" w:rsidRDefault="00646D28" w:rsidP="00646D28">
      <w:pPr>
        <w:pStyle w:val="NoSpacing"/>
      </w:pPr>
      <w:r>
        <w:rPr>
          <w:i/>
        </w:rPr>
        <w:lastRenderedPageBreak/>
        <w:tab/>
      </w:r>
      <w:proofErr w:type="spellStart"/>
      <w:r w:rsidRPr="006D29F1">
        <w:rPr>
          <w:i/>
        </w:rPr>
        <w:t>E</w:t>
      </w:r>
      <w:r w:rsidRPr="006D29F1">
        <w:rPr>
          <w:i/>
          <w:vertAlign w:val="subscript"/>
        </w:rPr>
        <w:t>p</w:t>
      </w:r>
      <w:proofErr w:type="gramStart"/>
      <w:r>
        <w:rPr>
          <w:i/>
          <w:vertAlign w:val="subscript"/>
        </w:rPr>
        <w:t>,c</w:t>
      </w:r>
      <w:proofErr w:type="spellEnd"/>
      <w:proofErr w:type="gramEnd"/>
      <w:r w:rsidRPr="006D29F1">
        <w:rPr>
          <w:vertAlign w:val="subscript"/>
        </w:rPr>
        <w:t xml:space="preserve"> </w:t>
      </w:r>
      <w:r>
        <w:rPr>
          <w:vertAlign w:val="subscript"/>
        </w:rPr>
        <w:tab/>
      </w:r>
      <w:r>
        <w:t>=</w:t>
      </w:r>
      <w:r>
        <w:tab/>
        <w:t xml:space="preserve">Annual emissions of pollutant </w:t>
      </w:r>
      <w:r>
        <w:rPr>
          <w:i/>
        </w:rPr>
        <w:t>p</w:t>
      </w:r>
      <w:r>
        <w:t xml:space="preserve"> in county </w:t>
      </w:r>
      <w:r>
        <w:rPr>
          <w:i/>
        </w:rPr>
        <w:t>c</w:t>
      </w:r>
      <w:r>
        <w:t>, in tons</w:t>
      </w:r>
      <w:r w:rsidR="009A3FCC">
        <w:t xml:space="preserve"> for VOC and NH3 and lbs. for HAPs</w:t>
      </w:r>
    </w:p>
    <w:p w14:paraId="4021DA34" w14:textId="31E80345" w:rsidR="008810A9" w:rsidRPr="007026FD" w:rsidRDefault="008810A9" w:rsidP="00646D28">
      <w:pPr>
        <w:pStyle w:val="NoSpacing"/>
      </w:pPr>
      <w:r>
        <w:rPr>
          <w:i/>
        </w:rPr>
        <w:tab/>
      </w:r>
      <w:proofErr w:type="spellStart"/>
      <w:r w:rsidRPr="006D29F1">
        <w:rPr>
          <w:i/>
        </w:rPr>
        <w:t>W</w:t>
      </w:r>
      <w:r w:rsidRPr="00646D28">
        <w:rPr>
          <w:i/>
          <w:vertAlign w:val="subscript"/>
        </w:rPr>
        <w:t>GW</w:t>
      </w:r>
      <w:proofErr w:type="gramStart"/>
      <w:r w:rsidRPr="00646D28">
        <w:rPr>
          <w:i/>
          <w:vertAlign w:val="subscript"/>
        </w:rPr>
        <w:t>,</w:t>
      </w:r>
      <w:r w:rsidRPr="006D29F1">
        <w:rPr>
          <w:i/>
          <w:vertAlign w:val="subscript"/>
        </w:rPr>
        <w:t>c</w:t>
      </w:r>
      <w:proofErr w:type="spellEnd"/>
      <w:proofErr w:type="gramEnd"/>
      <w:r>
        <w:t xml:space="preserve"> </w:t>
      </w:r>
      <w:r>
        <w:tab/>
        <w:t xml:space="preserve">= </w:t>
      </w:r>
      <w:r>
        <w:tab/>
      </w:r>
      <w:r w:rsidR="0056502F">
        <w:t xml:space="preserve">Annual total </w:t>
      </w:r>
      <w:proofErr w:type="spellStart"/>
      <w:r w:rsidR="0056502F">
        <w:t>greenwaste</w:t>
      </w:r>
      <w:proofErr w:type="spellEnd"/>
      <w:r w:rsidR="0056502F">
        <w:t xml:space="preserve"> recovered for composting in </w:t>
      </w:r>
      <w:proofErr w:type="spellStart"/>
      <w:r w:rsidR="0056502F">
        <w:t xml:space="preserve">state </w:t>
      </w:r>
      <w:r w:rsidR="0056502F">
        <w:rPr>
          <w:i/>
        </w:rPr>
        <w:t>s</w:t>
      </w:r>
      <w:proofErr w:type="spellEnd"/>
      <w:r w:rsidR="0056502F">
        <w:t>, in tons</w:t>
      </w:r>
    </w:p>
    <w:p w14:paraId="6DBCE364" w14:textId="73351FC7" w:rsidR="00646D28" w:rsidRPr="007026FD" w:rsidRDefault="00646D28" w:rsidP="00646D28">
      <w:pPr>
        <w:pStyle w:val="NoSpacing"/>
      </w:pPr>
      <w:r>
        <w:rPr>
          <w:i/>
        </w:rPr>
        <w:tab/>
      </w:r>
      <w:proofErr w:type="spellStart"/>
      <w:r w:rsidRPr="006D29F1">
        <w:rPr>
          <w:i/>
        </w:rPr>
        <w:t>EF</w:t>
      </w:r>
      <w:r w:rsidRPr="006D29F1">
        <w:rPr>
          <w:i/>
          <w:vertAlign w:val="subscript"/>
        </w:rPr>
        <w:t>p</w:t>
      </w:r>
      <w:proofErr w:type="spellEnd"/>
      <w:r>
        <w:t xml:space="preserve"> </w:t>
      </w:r>
      <w:r>
        <w:tab/>
        <w:t xml:space="preserve">= </w:t>
      </w:r>
      <w:r>
        <w:tab/>
        <w:t>Emission</w:t>
      </w:r>
      <w:r w:rsidR="009944E8">
        <w:t>s</w:t>
      </w:r>
      <w:r>
        <w:t xml:space="preserve"> factor for pollutant</w:t>
      </w:r>
      <w:r>
        <w:rPr>
          <w:i/>
        </w:rPr>
        <w:t xml:space="preserve"> p</w:t>
      </w:r>
      <w:r>
        <w:t xml:space="preserve">, in tons of pollutant per ton of </w:t>
      </w:r>
      <w:proofErr w:type="spellStart"/>
      <w:r>
        <w:t>greenwaste</w:t>
      </w:r>
      <w:proofErr w:type="spellEnd"/>
      <w:r>
        <w:t xml:space="preserve"> composted</w:t>
      </w:r>
    </w:p>
    <w:p w14:paraId="026C5FC1" w14:textId="77777777" w:rsidR="00646D28"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2E6BD0A9" w14:textId="17928579" w:rsidR="00BD26F9" w:rsidRDefault="00BD26F9"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Emissions of HAPs are estimated by applying speciation factors found in </w:t>
      </w:r>
      <w:r>
        <w:rPr>
          <w:szCs w:val="20"/>
        </w:rPr>
        <w:fldChar w:fldCharType="begin"/>
      </w:r>
      <w:r>
        <w:rPr>
          <w:szCs w:val="20"/>
        </w:rPr>
        <w:instrText xml:space="preserve"> REF _Ref474399273 \h </w:instrText>
      </w:r>
      <w:r>
        <w:rPr>
          <w:szCs w:val="20"/>
        </w:rPr>
      </w:r>
      <w:r>
        <w:rPr>
          <w:szCs w:val="20"/>
        </w:rPr>
        <w:fldChar w:fldCharType="separate"/>
      </w:r>
      <w:r w:rsidRPr="0097551A">
        <w:t xml:space="preserve">Table </w:t>
      </w:r>
      <w:r>
        <w:rPr>
          <w:noProof/>
        </w:rPr>
        <w:t>5</w:t>
      </w:r>
      <w:r>
        <w:rPr>
          <w:szCs w:val="20"/>
        </w:rPr>
        <w:fldChar w:fldCharType="end"/>
      </w:r>
      <w:r>
        <w:rPr>
          <w:szCs w:val="20"/>
        </w:rPr>
        <w:t xml:space="preserve"> to annual VOC emissions. For HAPS, no conversion factor is needed and the emissions are reported in tons.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BD26F9" w14:paraId="430B51AD" w14:textId="77777777" w:rsidTr="00BD26F9">
        <w:trPr>
          <w:trHeight w:val="332"/>
        </w:trPr>
        <w:tc>
          <w:tcPr>
            <w:tcW w:w="8748" w:type="dxa"/>
          </w:tcPr>
          <w:p w14:paraId="3769074A" w14:textId="77777777" w:rsidR="00BD26F9" w:rsidRPr="00770E9B" w:rsidRDefault="003555C0" w:rsidP="00BD26F9">
            <w:pPr>
              <w:widowControl/>
              <w:autoSpaceDE/>
              <w:autoSpaceDN/>
              <w:adjustRightInd/>
              <w:rPr>
                <w:szCs w:val="20"/>
              </w:rPr>
            </w:pPr>
            <m:oMathPara>
              <m:oMathParaPr>
                <m:jc m:val="center"/>
              </m:oMathParaP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h,c</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VOC,c</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SF</m:t>
                    </m:r>
                  </m:e>
                  <m:sub>
                    <m:r>
                      <w:rPr>
                        <w:rFonts w:ascii="Cambria Math" w:hAnsi="Cambria Math"/>
                        <w:szCs w:val="20"/>
                      </w:rPr>
                      <m:t>h</m:t>
                    </m:r>
                  </m:sub>
                </m:sSub>
              </m:oMath>
            </m:oMathPara>
          </w:p>
        </w:tc>
        <w:tc>
          <w:tcPr>
            <w:tcW w:w="828" w:type="dxa"/>
          </w:tcPr>
          <w:p w14:paraId="53496DEF" w14:textId="77777777" w:rsidR="00BD26F9" w:rsidRPr="003D471D" w:rsidRDefault="00BD26F9" w:rsidP="00BD26F9">
            <w:pPr>
              <w:pStyle w:val="ListParagraph"/>
              <w:widowControl/>
              <w:numPr>
                <w:ilvl w:val="0"/>
                <w:numId w:val="10"/>
              </w:numPr>
              <w:autoSpaceDE/>
              <w:autoSpaceDN/>
              <w:adjustRightInd/>
              <w:jc w:val="right"/>
              <w:rPr>
                <w:szCs w:val="20"/>
              </w:rPr>
            </w:pPr>
          </w:p>
        </w:tc>
      </w:tr>
    </w:tbl>
    <w:p w14:paraId="24492A3F" w14:textId="77777777" w:rsidR="00BD26F9" w:rsidRDefault="00BD26F9" w:rsidP="00BD26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Where: </w:t>
      </w:r>
    </w:p>
    <w:p w14:paraId="25E688E8" w14:textId="77777777" w:rsidR="00BD26F9" w:rsidRDefault="00BD26F9" w:rsidP="00BD26F9">
      <w:pPr>
        <w:pStyle w:val="NoSpacing"/>
      </w:pPr>
      <w:r>
        <w:rPr>
          <w:i/>
        </w:rPr>
        <w:tab/>
      </w:r>
      <w:proofErr w:type="spellStart"/>
      <w:r w:rsidRPr="006828F3">
        <w:rPr>
          <w:i/>
        </w:rPr>
        <w:t>E</w:t>
      </w:r>
      <w:r w:rsidRPr="00877553">
        <w:rPr>
          <w:i/>
          <w:vertAlign w:val="subscript"/>
        </w:rPr>
        <w:t>h</w:t>
      </w:r>
      <w:proofErr w:type="gramStart"/>
      <w:r w:rsidRPr="00877553">
        <w:rPr>
          <w:i/>
          <w:vertAlign w:val="subscript"/>
        </w:rPr>
        <w:t>,c</w:t>
      </w:r>
      <w:proofErr w:type="spellEnd"/>
      <w:proofErr w:type="gramEnd"/>
      <w:r>
        <w:rPr>
          <w:i/>
        </w:rPr>
        <w:tab/>
      </w:r>
      <w:r>
        <w:t>=</w:t>
      </w:r>
      <w:r>
        <w:tab/>
        <w:t>Annual emissions of</w:t>
      </w:r>
      <w:r w:rsidRPr="006828F3">
        <w:t xml:space="preserve"> </w:t>
      </w:r>
      <w:r>
        <w:t xml:space="preserve">HAP </w:t>
      </w:r>
      <w:r>
        <w:rPr>
          <w:i/>
        </w:rPr>
        <w:t>h</w:t>
      </w:r>
      <w:r>
        <w:t xml:space="preserve"> in county </w:t>
      </w:r>
      <w:r>
        <w:rPr>
          <w:i/>
        </w:rPr>
        <w:t>c</w:t>
      </w:r>
      <w:r w:rsidRPr="006828F3">
        <w:t>, in tons per year</w:t>
      </w:r>
    </w:p>
    <w:p w14:paraId="385A0228" w14:textId="701195F7" w:rsidR="00BD26F9" w:rsidRDefault="00BD26F9" w:rsidP="00BD26F9">
      <w:pPr>
        <w:pStyle w:val="NoSpacing"/>
      </w:pPr>
      <w:r>
        <w:rPr>
          <w:i/>
        </w:rPr>
        <w:tab/>
      </w:r>
      <w:proofErr w:type="spellStart"/>
      <w:r>
        <w:rPr>
          <w:i/>
        </w:rPr>
        <w:t>E</w:t>
      </w:r>
      <w:r>
        <w:rPr>
          <w:i/>
          <w:vertAlign w:val="subscript"/>
        </w:rPr>
        <w:t>VOC</w:t>
      </w:r>
      <w:proofErr w:type="gramStart"/>
      <w:r w:rsidRPr="00E46802">
        <w:rPr>
          <w:i/>
          <w:vertAlign w:val="subscript"/>
        </w:rPr>
        <w:t>,c</w:t>
      </w:r>
      <w:proofErr w:type="spellEnd"/>
      <w:proofErr w:type="gramEnd"/>
      <w:r>
        <w:rPr>
          <w:i/>
          <w:vertAlign w:val="subscript"/>
        </w:rPr>
        <w:tab/>
      </w:r>
      <w:r>
        <w:rPr>
          <w:i/>
        </w:rPr>
        <w:t>=</w:t>
      </w:r>
      <w:r>
        <w:rPr>
          <w:i/>
        </w:rPr>
        <w:tab/>
      </w:r>
      <w:r>
        <w:t xml:space="preserve">Annual VOC emissions in </w:t>
      </w:r>
      <w:r w:rsidRPr="00A61670">
        <w:t>county</w:t>
      </w:r>
      <w:r>
        <w:t xml:space="preserve"> </w:t>
      </w:r>
      <w:r>
        <w:rPr>
          <w:i/>
        </w:rPr>
        <w:t>c</w:t>
      </w:r>
      <w:r>
        <w:t>, in tons</w:t>
      </w:r>
    </w:p>
    <w:p w14:paraId="181EF3D7" w14:textId="77777777" w:rsidR="00BD26F9" w:rsidRPr="00FA0AF2" w:rsidRDefault="00BD26F9" w:rsidP="00BD26F9">
      <w:pPr>
        <w:pStyle w:val="NoSpacing"/>
      </w:pPr>
      <w:r>
        <w:tab/>
      </w:r>
      <w:proofErr w:type="spellStart"/>
      <w:r>
        <w:rPr>
          <w:i/>
        </w:rPr>
        <w:t>SF</w:t>
      </w:r>
      <w:r>
        <w:rPr>
          <w:i/>
          <w:vertAlign w:val="subscript"/>
        </w:rPr>
        <w:t>h</w:t>
      </w:r>
      <w:proofErr w:type="spellEnd"/>
      <w:r>
        <w:rPr>
          <w:i/>
        </w:rPr>
        <w:tab/>
      </w:r>
      <w:r>
        <w:t>=</w:t>
      </w:r>
      <w:r>
        <w:tab/>
        <w:t xml:space="preserve">Speciation factor for HAP </w:t>
      </w:r>
      <w:r>
        <w:rPr>
          <w:i/>
        </w:rPr>
        <w:t>h</w:t>
      </w:r>
      <w:r>
        <w:t>, in tons of HAP emissions per ton of VOC emissions</w:t>
      </w:r>
    </w:p>
    <w:p w14:paraId="428F8949" w14:textId="77777777" w:rsidR="00BD26F9" w:rsidRPr="003733A0" w:rsidRDefault="00BD26F9"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12A21C4C" w14:textId="77777777" w:rsidR="00B97E6E" w:rsidRDefault="00B97E6E" w:rsidP="00052E59">
      <w:pPr>
        <w:pStyle w:val="Heading1"/>
      </w:pPr>
      <w:r>
        <w:t>Point Source Subtraction</w:t>
      </w:r>
    </w:p>
    <w:p w14:paraId="70245764" w14:textId="2CD2425D" w:rsidR="00B97E6E" w:rsidRDefault="00A329DA" w:rsidP="00B97E6E">
      <w:pPr>
        <w:widowControl/>
        <w:tabs>
          <w:tab w:val="left" w:pos="0"/>
        </w:tabs>
        <w:rPr>
          <w:szCs w:val="20"/>
        </w:rPr>
      </w:pPr>
      <w:r>
        <w:rPr>
          <w:szCs w:val="20"/>
        </w:rPr>
        <w:t>There are no point source-specific SCCs for composting</w:t>
      </w:r>
      <w:r w:rsidR="0056502F">
        <w:rPr>
          <w:szCs w:val="20"/>
        </w:rPr>
        <w:t>;</w:t>
      </w:r>
      <w:r>
        <w:rPr>
          <w:szCs w:val="20"/>
        </w:rPr>
        <w:t xml:space="preserve"> therefore p</w:t>
      </w:r>
      <w:r w:rsidR="00B97E6E">
        <w:rPr>
          <w:szCs w:val="20"/>
        </w:rPr>
        <w:t>oint source subtraction is not performed for this category.</w:t>
      </w:r>
    </w:p>
    <w:p w14:paraId="3D39889F" w14:textId="77777777" w:rsidR="00B97E6E" w:rsidRPr="003E3AC3" w:rsidRDefault="00B97E6E" w:rsidP="00052E59">
      <w:pPr>
        <w:pStyle w:val="Heading1"/>
      </w:pPr>
      <w:r>
        <w:t>Sample</w:t>
      </w:r>
      <w:r w:rsidRPr="00036CF5">
        <w:t xml:space="preserve"> Calculations </w:t>
      </w:r>
    </w:p>
    <w:p w14:paraId="633B07D0" w14:textId="77777777" w:rsidR="00B97E6E" w:rsidRDefault="0097139E"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073181">
        <w:t xml:space="preserve">Table </w:t>
      </w:r>
      <w:r w:rsidR="00073181">
        <w:rPr>
          <w:noProof/>
        </w:rPr>
        <w:t>6</w:t>
      </w:r>
      <w:r>
        <w:rPr>
          <w:szCs w:val="20"/>
        </w:rPr>
        <w:fldChar w:fldCharType="end"/>
      </w:r>
      <w:r>
        <w:rPr>
          <w:szCs w:val="20"/>
        </w:rPr>
        <w:t xml:space="preserve"> lists sample calculations to determine the </w:t>
      </w:r>
      <w:r w:rsidR="00B97E6E" w:rsidRPr="004008E6">
        <w:rPr>
          <w:szCs w:val="20"/>
        </w:rPr>
        <w:t xml:space="preserve">VOC emissions from </w:t>
      </w:r>
      <w:r w:rsidR="00B97E6E">
        <w:rPr>
          <w:szCs w:val="20"/>
        </w:rPr>
        <w:t xml:space="preserve">composting of </w:t>
      </w:r>
      <w:proofErr w:type="spellStart"/>
      <w:r w:rsidR="00B97E6E">
        <w:rPr>
          <w:szCs w:val="20"/>
        </w:rPr>
        <w:t>greenwaste</w:t>
      </w:r>
      <w:proofErr w:type="spellEnd"/>
      <w:r>
        <w:rPr>
          <w:szCs w:val="20"/>
        </w:rPr>
        <w:t xml:space="preserve"> </w:t>
      </w:r>
      <w:r w:rsidRPr="004008E6">
        <w:rPr>
          <w:szCs w:val="20"/>
        </w:rPr>
        <w:t xml:space="preserve">in </w:t>
      </w:r>
      <w:r>
        <w:rPr>
          <w:szCs w:val="20"/>
        </w:rPr>
        <w:t>Apache County</w:t>
      </w:r>
      <w:r w:rsidRPr="004008E6">
        <w:rPr>
          <w:szCs w:val="20"/>
        </w:rPr>
        <w:t xml:space="preserve">, </w:t>
      </w:r>
      <w:r>
        <w:rPr>
          <w:szCs w:val="20"/>
        </w:rPr>
        <w:t>Arizona.</w:t>
      </w:r>
    </w:p>
    <w:p w14:paraId="1649524D" w14:textId="77777777" w:rsidR="0097139E" w:rsidRDefault="0097139E" w:rsidP="0097139E">
      <w:pPr>
        <w:pStyle w:val="TableCaption"/>
      </w:pPr>
      <w:bookmarkStart w:id="17" w:name="_Ref477187560"/>
      <w:r>
        <w:t xml:space="preserve">Table </w:t>
      </w:r>
      <w:fldSimple w:instr=" SEQ Table \* ARABIC ">
        <w:r w:rsidR="00073181">
          <w:rPr>
            <w:noProof/>
          </w:rPr>
          <w:t>6</w:t>
        </w:r>
      </w:fldSimple>
      <w:bookmarkEnd w:id="17"/>
      <w:r>
        <w:t xml:space="preserve">. Sample calculations for VOC emissions from </w:t>
      </w:r>
      <w:proofErr w:type="spellStart"/>
      <w:r>
        <w:t>greenwaste</w:t>
      </w:r>
      <w:proofErr w:type="spellEnd"/>
      <w:r>
        <w:t xml:space="preserve"> composting in Apache County, AZ.</w:t>
      </w:r>
    </w:p>
    <w:tbl>
      <w:tblPr>
        <w:tblStyle w:val="TableGrid"/>
        <w:tblW w:w="9581" w:type="dxa"/>
        <w:tblLook w:val="04A0" w:firstRow="1" w:lastRow="0" w:firstColumn="1" w:lastColumn="0" w:noHBand="0" w:noVBand="1"/>
      </w:tblPr>
      <w:tblGrid>
        <w:gridCol w:w="561"/>
        <w:gridCol w:w="3024"/>
        <w:gridCol w:w="3888"/>
        <w:gridCol w:w="2108"/>
      </w:tblGrid>
      <w:tr w:rsidR="00FE02FD" w:rsidRPr="00DF0B38" w14:paraId="56321F79" w14:textId="77777777" w:rsidTr="00FE7F5B">
        <w:trPr>
          <w:cantSplit/>
          <w:tblHeader/>
        </w:trPr>
        <w:tc>
          <w:tcPr>
            <w:tcW w:w="561" w:type="dxa"/>
            <w:shd w:val="clear" w:color="auto" w:fill="D9D9D9" w:themeFill="background1" w:themeFillShade="D9"/>
            <w:vAlign w:val="center"/>
          </w:tcPr>
          <w:p w14:paraId="15E71B88" w14:textId="77777777" w:rsidR="00DF0B38" w:rsidRPr="00DF0B38" w:rsidRDefault="00DF0B38" w:rsidP="00FE7F5B">
            <w:pPr>
              <w:widowControl/>
              <w:tabs>
                <w:tab w:val="left" w:pos="0"/>
              </w:tabs>
              <w:jc w:val="center"/>
              <w:rPr>
                <w:b/>
                <w:szCs w:val="20"/>
              </w:rPr>
            </w:pPr>
            <w:r w:rsidRPr="00DF0B38">
              <w:rPr>
                <w:b/>
                <w:szCs w:val="20"/>
              </w:rPr>
              <w:t>Eq. #</w:t>
            </w:r>
          </w:p>
        </w:tc>
        <w:tc>
          <w:tcPr>
            <w:tcW w:w="3024" w:type="dxa"/>
            <w:shd w:val="clear" w:color="auto" w:fill="D9D9D9" w:themeFill="background1" w:themeFillShade="D9"/>
            <w:vAlign w:val="center"/>
          </w:tcPr>
          <w:p w14:paraId="5E17F5CA" w14:textId="77777777" w:rsidR="00DF0B38" w:rsidRPr="00DF0B38" w:rsidRDefault="00DF0B38" w:rsidP="00FE7F5B">
            <w:pPr>
              <w:widowControl/>
              <w:tabs>
                <w:tab w:val="left" w:pos="0"/>
              </w:tabs>
              <w:jc w:val="center"/>
              <w:rPr>
                <w:b/>
                <w:szCs w:val="20"/>
              </w:rPr>
            </w:pPr>
            <w:r w:rsidRPr="00DF0B38">
              <w:rPr>
                <w:b/>
                <w:szCs w:val="20"/>
              </w:rPr>
              <w:t>Equation</w:t>
            </w:r>
          </w:p>
        </w:tc>
        <w:tc>
          <w:tcPr>
            <w:tcW w:w="3888" w:type="dxa"/>
            <w:shd w:val="clear" w:color="auto" w:fill="D9D9D9" w:themeFill="background1" w:themeFillShade="D9"/>
            <w:vAlign w:val="center"/>
          </w:tcPr>
          <w:p w14:paraId="583D27DD" w14:textId="77777777" w:rsidR="00DF0B38" w:rsidRPr="00DF0B38" w:rsidRDefault="00DF0B38" w:rsidP="00FE7F5B">
            <w:pPr>
              <w:widowControl/>
              <w:tabs>
                <w:tab w:val="left" w:pos="0"/>
              </w:tabs>
              <w:jc w:val="center"/>
              <w:rPr>
                <w:b/>
                <w:szCs w:val="20"/>
              </w:rPr>
            </w:pPr>
            <w:r w:rsidRPr="00DF0B38">
              <w:rPr>
                <w:b/>
                <w:szCs w:val="20"/>
              </w:rPr>
              <w:t>Values</w:t>
            </w:r>
            <w:r w:rsidR="0097139E">
              <w:rPr>
                <w:b/>
                <w:szCs w:val="20"/>
              </w:rPr>
              <w:t xml:space="preserve"> for Apache County, AZ</w:t>
            </w:r>
          </w:p>
        </w:tc>
        <w:tc>
          <w:tcPr>
            <w:tcW w:w="2108" w:type="dxa"/>
            <w:shd w:val="clear" w:color="auto" w:fill="D9D9D9" w:themeFill="background1" w:themeFillShade="D9"/>
            <w:vAlign w:val="center"/>
          </w:tcPr>
          <w:p w14:paraId="3D2F2F30" w14:textId="77777777" w:rsidR="00DF0B38" w:rsidRPr="00DF0B38" w:rsidRDefault="00DF0B38" w:rsidP="00FE7F5B">
            <w:pPr>
              <w:widowControl/>
              <w:tabs>
                <w:tab w:val="left" w:pos="0"/>
              </w:tabs>
              <w:jc w:val="center"/>
              <w:rPr>
                <w:b/>
                <w:szCs w:val="20"/>
              </w:rPr>
            </w:pPr>
            <w:r w:rsidRPr="00DF0B38">
              <w:rPr>
                <w:b/>
                <w:szCs w:val="20"/>
              </w:rPr>
              <w:t>Result</w:t>
            </w:r>
          </w:p>
        </w:tc>
      </w:tr>
      <w:tr w:rsidR="00FE02FD" w14:paraId="784CAB0E" w14:textId="77777777" w:rsidTr="00FE7F5B">
        <w:trPr>
          <w:cantSplit/>
        </w:trPr>
        <w:tc>
          <w:tcPr>
            <w:tcW w:w="561" w:type="dxa"/>
            <w:vAlign w:val="center"/>
          </w:tcPr>
          <w:p w14:paraId="4F80AFA6" w14:textId="1948AA87" w:rsidR="0003373D" w:rsidRDefault="0056502F" w:rsidP="00FE7F5B">
            <w:pPr>
              <w:widowControl/>
              <w:tabs>
                <w:tab w:val="left" w:pos="0"/>
              </w:tabs>
              <w:spacing w:after="60"/>
              <w:jc w:val="center"/>
              <w:rPr>
                <w:szCs w:val="20"/>
              </w:rPr>
            </w:pPr>
            <w:r>
              <w:rPr>
                <w:szCs w:val="20"/>
              </w:rPr>
              <w:t>1</w:t>
            </w:r>
          </w:p>
        </w:tc>
        <w:tc>
          <w:tcPr>
            <w:tcW w:w="3024" w:type="dxa"/>
            <w:vAlign w:val="center"/>
          </w:tcPr>
          <w:p w14:paraId="16DF6101" w14:textId="77777777" w:rsidR="0003373D" w:rsidRDefault="003555C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PC</m:t>
                    </m:r>
                  </m:e>
                  <m:sub>
                    <m:r>
                      <w:rPr>
                        <w:rFonts w:ascii="Cambria Math" w:hAnsi="Cambria Math"/>
                        <w:szCs w:val="20"/>
                      </w:rPr>
                      <m:t>yard,US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yard,US</m:t>
                        </m:r>
                      </m:sub>
                    </m:sSub>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US</m:t>
                        </m:r>
                      </m:sub>
                    </m:sSub>
                  </m:den>
                </m:f>
              </m:oMath>
            </m:oMathPara>
          </w:p>
        </w:tc>
        <w:tc>
          <w:tcPr>
            <w:tcW w:w="3888" w:type="dxa"/>
            <w:vAlign w:val="center"/>
          </w:tcPr>
          <w:p w14:paraId="129913D8" w14:textId="386CDA60" w:rsidR="0003373D" w:rsidRDefault="003555C0" w:rsidP="002D5E9B">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21.08 million tons yard waste</m:t>
                    </m:r>
                  </m:num>
                  <m:den>
                    <m:r>
                      <w:rPr>
                        <w:rFonts w:ascii="Cambria Math" w:hAnsi="Cambria Math"/>
                        <w:szCs w:val="20"/>
                      </w:rPr>
                      <m:t>329 million people</m:t>
                    </m:r>
                  </m:den>
                </m:f>
              </m:oMath>
            </m:oMathPara>
          </w:p>
        </w:tc>
        <w:tc>
          <w:tcPr>
            <w:tcW w:w="2108" w:type="dxa"/>
          </w:tcPr>
          <w:p w14:paraId="159B0CF4" w14:textId="4FD9CE97" w:rsidR="0003373D" w:rsidRDefault="0003373D" w:rsidP="00DF0B38">
            <w:pPr>
              <w:widowControl/>
              <w:tabs>
                <w:tab w:val="left" w:pos="0"/>
              </w:tabs>
              <w:spacing w:after="60"/>
              <w:rPr>
                <w:szCs w:val="20"/>
              </w:rPr>
            </w:pPr>
            <w:r>
              <w:rPr>
                <w:szCs w:val="20"/>
              </w:rPr>
              <w:t>0.06</w:t>
            </w:r>
            <w:r w:rsidR="00DF7719">
              <w:rPr>
                <w:szCs w:val="20"/>
              </w:rPr>
              <w:t>4</w:t>
            </w:r>
            <w:r>
              <w:rPr>
                <w:szCs w:val="20"/>
              </w:rPr>
              <w:t xml:space="preserve"> tons yard waste per person per year</w:t>
            </w:r>
          </w:p>
        </w:tc>
      </w:tr>
      <w:tr w:rsidR="00FE02FD" w14:paraId="3E98611E" w14:textId="77777777" w:rsidTr="00FE7F5B">
        <w:trPr>
          <w:cantSplit/>
        </w:trPr>
        <w:tc>
          <w:tcPr>
            <w:tcW w:w="561" w:type="dxa"/>
            <w:vAlign w:val="center"/>
          </w:tcPr>
          <w:p w14:paraId="304B1DB1" w14:textId="13C2AE20" w:rsidR="00DF0B38" w:rsidRDefault="0056502F" w:rsidP="00FE7F5B">
            <w:pPr>
              <w:widowControl/>
              <w:tabs>
                <w:tab w:val="left" w:pos="0"/>
              </w:tabs>
              <w:spacing w:after="60"/>
              <w:jc w:val="center"/>
              <w:rPr>
                <w:szCs w:val="20"/>
              </w:rPr>
            </w:pPr>
            <w:r>
              <w:rPr>
                <w:szCs w:val="20"/>
              </w:rPr>
              <w:t>2</w:t>
            </w:r>
          </w:p>
        </w:tc>
        <w:tc>
          <w:tcPr>
            <w:tcW w:w="3024" w:type="dxa"/>
            <w:vAlign w:val="center"/>
          </w:tcPr>
          <w:p w14:paraId="4CBECE77" w14:textId="77777777" w:rsidR="00DF0B38" w:rsidRDefault="003555C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PC</m:t>
                    </m:r>
                  </m:e>
                  <m:sub>
                    <m:r>
                      <w:rPr>
                        <w:rFonts w:ascii="Cambria Math" w:hAnsi="Cambria Math"/>
                        <w:szCs w:val="20"/>
                      </w:rPr>
                      <m:t>yard,US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s</m:t>
                    </m:r>
                  </m:sub>
                </m:sSub>
              </m:oMath>
            </m:oMathPara>
          </w:p>
        </w:tc>
        <w:tc>
          <w:tcPr>
            <w:tcW w:w="3888" w:type="dxa"/>
            <w:vAlign w:val="center"/>
          </w:tcPr>
          <w:p w14:paraId="4F0389CA" w14:textId="648A6CE1" w:rsidR="00DF0B38" w:rsidRDefault="0003373D" w:rsidP="00FE7F5B">
            <w:pPr>
              <w:widowControl/>
              <w:tabs>
                <w:tab w:val="left" w:pos="0"/>
              </w:tabs>
              <w:spacing w:after="60"/>
              <w:jc w:val="center"/>
              <w:rPr>
                <w:szCs w:val="20"/>
              </w:rPr>
            </w:pPr>
            <m:oMathPara>
              <m:oMath>
                <m:r>
                  <w:rPr>
                    <w:rFonts w:ascii="Cambria Math" w:hAnsi="Cambria Math"/>
                    <w:szCs w:val="20"/>
                  </w:rPr>
                  <m:t>0.064 tons yard waste per person ×7,016,270 people in AZ</m:t>
                </m:r>
              </m:oMath>
            </m:oMathPara>
          </w:p>
        </w:tc>
        <w:tc>
          <w:tcPr>
            <w:tcW w:w="2108" w:type="dxa"/>
          </w:tcPr>
          <w:p w14:paraId="55C9ED10" w14:textId="732B7C3D" w:rsidR="00DF0B38" w:rsidRDefault="0003373D" w:rsidP="0003373D">
            <w:pPr>
              <w:widowControl/>
              <w:tabs>
                <w:tab w:val="left" w:pos="0"/>
              </w:tabs>
              <w:spacing w:after="60"/>
              <w:rPr>
                <w:szCs w:val="20"/>
              </w:rPr>
            </w:pPr>
            <w:r>
              <w:rPr>
                <w:szCs w:val="20"/>
              </w:rPr>
              <w:t>44</w:t>
            </w:r>
            <w:r w:rsidR="00DF7719">
              <w:rPr>
                <w:szCs w:val="20"/>
              </w:rPr>
              <w:t>9</w:t>
            </w:r>
            <w:r>
              <w:rPr>
                <w:szCs w:val="20"/>
              </w:rPr>
              <w:t>,</w:t>
            </w:r>
            <w:r w:rsidR="00DF7719">
              <w:rPr>
                <w:szCs w:val="20"/>
              </w:rPr>
              <w:t>041</w:t>
            </w:r>
            <w:r>
              <w:rPr>
                <w:szCs w:val="20"/>
              </w:rPr>
              <w:t xml:space="preserve"> tons yard waste composted in AZ</w:t>
            </w:r>
          </w:p>
        </w:tc>
      </w:tr>
      <w:tr w:rsidR="00676FE8" w14:paraId="7D51B074" w14:textId="77777777" w:rsidTr="00BE0480">
        <w:trPr>
          <w:cantSplit/>
        </w:trPr>
        <w:tc>
          <w:tcPr>
            <w:tcW w:w="561" w:type="dxa"/>
            <w:vAlign w:val="center"/>
          </w:tcPr>
          <w:p w14:paraId="74D17854" w14:textId="2E9EB421" w:rsidR="00676FE8" w:rsidRDefault="00676FE8" w:rsidP="00BE0480">
            <w:pPr>
              <w:widowControl/>
              <w:tabs>
                <w:tab w:val="left" w:pos="0"/>
              </w:tabs>
              <w:spacing w:after="60"/>
              <w:jc w:val="center"/>
              <w:rPr>
                <w:szCs w:val="20"/>
              </w:rPr>
            </w:pPr>
            <w:r>
              <w:rPr>
                <w:szCs w:val="20"/>
              </w:rPr>
              <w:t>3</w:t>
            </w:r>
          </w:p>
        </w:tc>
        <w:tc>
          <w:tcPr>
            <w:tcW w:w="3024" w:type="dxa"/>
            <w:vAlign w:val="center"/>
          </w:tcPr>
          <w:p w14:paraId="23021552" w14:textId="17C3504B" w:rsidR="00676FE8" w:rsidRDefault="003555C0">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GW,s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yard,s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food,s</m:t>
                    </m:r>
                  </m:sub>
                </m:sSub>
              </m:oMath>
            </m:oMathPara>
          </w:p>
        </w:tc>
        <w:tc>
          <w:tcPr>
            <w:tcW w:w="3888" w:type="dxa"/>
            <w:vAlign w:val="center"/>
          </w:tcPr>
          <w:p w14:paraId="21F8A65C" w14:textId="2588C26B" w:rsidR="00676FE8" w:rsidRDefault="00DF7719" w:rsidP="00BE0480">
            <w:pPr>
              <w:widowControl/>
              <w:tabs>
                <w:tab w:val="left" w:pos="0"/>
              </w:tabs>
              <w:spacing w:after="60"/>
              <w:jc w:val="center"/>
              <w:rPr>
                <w:szCs w:val="20"/>
              </w:rPr>
            </w:pPr>
            <m:oMathPara>
              <m:oMath>
                <m:r>
                  <m:rPr>
                    <m:sty m:val="p"/>
                  </m:rPr>
                  <w:rPr>
                    <w:rFonts w:ascii="Cambria Math" w:hAnsi="Cambria Math"/>
                    <w:szCs w:val="20"/>
                  </w:rPr>
                  <m:t>449,041 tons yard waste +0 tons food waste</m:t>
                </m:r>
              </m:oMath>
            </m:oMathPara>
          </w:p>
        </w:tc>
        <w:tc>
          <w:tcPr>
            <w:tcW w:w="2108" w:type="dxa"/>
          </w:tcPr>
          <w:p w14:paraId="5B12DA68" w14:textId="4098D031" w:rsidR="00676FE8" w:rsidRDefault="00676FE8">
            <w:pPr>
              <w:widowControl/>
              <w:tabs>
                <w:tab w:val="left" w:pos="0"/>
              </w:tabs>
              <w:spacing w:after="60"/>
              <w:rPr>
                <w:szCs w:val="20"/>
              </w:rPr>
            </w:pPr>
            <w:r>
              <w:rPr>
                <w:szCs w:val="20"/>
              </w:rPr>
              <w:t>443,520 tons green-waste composted in AZ</w:t>
            </w:r>
          </w:p>
        </w:tc>
      </w:tr>
      <w:tr w:rsidR="00FE02FD" w14:paraId="2758093F" w14:textId="77777777" w:rsidTr="00FE7F5B">
        <w:trPr>
          <w:cantSplit/>
        </w:trPr>
        <w:tc>
          <w:tcPr>
            <w:tcW w:w="561" w:type="dxa"/>
            <w:vAlign w:val="center"/>
          </w:tcPr>
          <w:p w14:paraId="1E04D2F0" w14:textId="4177BB6C" w:rsidR="00DF0B38" w:rsidRDefault="00676FE8" w:rsidP="00FE7F5B">
            <w:pPr>
              <w:widowControl/>
              <w:tabs>
                <w:tab w:val="left" w:pos="0"/>
              </w:tabs>
              <w:spacing w:after="60"/>
              <w:jc w:val="center"/>
              <w:rPr>
                <w:szCs w:val="20"/>
              </w:rPr>
            </w:pPr>
            <w:r>
              <w:rPr>
                <w:szCs w:val="20"/>
              </w:rPr>
              <w:t>4</w:t>
            </w:r>
          </w:p>
        </w:tc>
        <w:tc>
          <w:tcPr>
            <w:tcW w:w="3024" w:type="dxa"/>
            <w:vAlign w:val="center"/>
          </w:tcPr>
          <w:p w14:paraId="3A1D02D3" w14:textId="77777777" w:rsidR="00DF0B38" w:rsidRDefault="003555C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s</m:t>
                        </m:r>
                      </m:sub>
                    </m:sSub>
                  </m:den>
                </m:f>
              </m:oMath>
            </m:oMathPara>
          </w:p>
        </w:tc>
        <w:tc>
          <w:tcPr>
            <w:tcW w:w="3888" w:type="dxa"/>
            <w:vAlign w:val="center"/>
          </w:tcPr>
          <w:p w14:paraId="060236FE" w14:textId="7F30DA11" w:rsidR="00DF0B38" w:rsidRDefault="003555C0" w:rsidP="00FE7F5B">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41 employees in Apache County</m:t>
                    </m:r>
                  </m:num>
                  <m:den>
                    <m:r>
                      <w:rPr>
                        <w:rFonts w:ascii="Cambria Math" w:hAnsi="Cambria Math"/>
                        <w:szCs w:val="20"/>
                      </w:rPr>
                      <m:t>522 employees in AZ</m:t>
                    </m:r>
                  </m:den>
                </m:f>
              </m:oMath>
            </m:oMathPara>
          </w:p>
        </w:tc>
        <w:tc>
          <w:tcPr>
            <w:tcW w:w="2108" w:type="dxa"/>
          </w:tcPr>
          <w:p w14:paraId="1E0455B0" w14:textId="53BC56A3" w:rsidR="00DF0B38" w:rsidRDefault="0003373D" w:rsidP="00DF0B38">
            <w:pPr>
              <w:widowControl/>
              <w:tabs>
                <w:tab w:val="left" w:pos="0"/>
              </w:tabs>
              <w:spacing w:after="60"/>
              <w:rPr>
                <w:szCs w:val="20"/>
              </w:rPr>
            </w:pPr>
            <w:r>
              <w:rPr>
                <w:szCs w:val="20"/>
              </w:rPr>
              <w:t>0.07</w:t>
            </w:r>
            <w:r w:rsidR="00C865CE">
              <w:rPr>
                <w:szCs w:val="20"/>
              </w:rPr>
              <w:t>9</w:t>
            </w:r>
            <w:r>
              <w:rPr>
                <w:szCs w:val="20"/>
              </w:rPr>
              <w:t xml:space="preserve"> fraction of solid waste employees in Apache County, AZ</w:t>
            </w:r>
          </w:p>
        </w:tc>
      </w:tr>
      <w:tr w:rsidR="00FE02FD" w14:paraId="78A62504" w14:textId="77777777" w:rsidTr="00FE7F5B">
        <w:trPr>
          <w:cantSplit/>
        </w:trPr>
        <w:tc>
          <w:tcPr>
            <w:tcW w:w="561" w:type="dxa"/>
            <w:vAlign w:val="center"/>
          </w:tcPr>
          <w:p w14:paraId="77677439" w14:textId="295DECFC" w:rsidR="00DF0B38" w:rsidRDefault="00676FE8" w:rsidP="00FE7F5B">
            <w:pPr>
              <w:widowControl/>
              <w:tabs>
                <w:tab w:val="left" w:pos="0"/>
              </w:tabs>
              <w:spacing w:after="60"/>
              <w:jc w:val="center"/>
              <w:rPr>
                <w:szCs w:val="20"/>
              </w:rPr>
            </w:pPr>
            <w:r>
              <w:rPr>
                <w:szCs w:val="20"/>
              </w:rPr>
              <w:t>5</w:t>
            </w:r>
          </w:p>
        </w:tc>
        <w:tc>
          <w:tcPr>
            <w:tcW w:w="3024" w:type="dxa"/>
            <w:vAlign w:val="center"/>
          </w:tcPr>
          <w:p w14:paraId="56E2B3B4" w14:textId="653A22F9" w:rsidR="00DF0B38" w:rsidRDefault="003555C0">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GW,c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GW,s</m:t>
                    </m:r>
                  </m:sub>
                </m:sSub>
              </m:oMath>
            </m:oMathPara>
          </w:p>
        </w:tc>
        <w:tc>
          <w:tcPr>
            <w:tcW w:w="3888" w:type="dxa"/>
            <w:vAlign w:val="center"/>
          </w:tcPr>
          <w:p w14:paraId="5214EA1D" w14:textId="77D1359B" w:rsidR="00DF0B38" w:rsidRDefault="0003373D" w:rsidP="00073181">
            <w:pPr>
              <w:widowControl/>
              <w:tabs>
                <w:tab w:val="left" w:pos="0"/>
              </w:tabs>
              <w:spacing w:after="60"/>
              <w:jc w:val="center"/>
              <w:rPr>
                <w:szCs w:val="20"/>
              </w:rPr>
            </w:pPr>
            <m:oMathPara>
              <m:oMath>
                <m:r>
                  <w:rPr>
                    <w:rFonts w:ascii="Cambria Math" w:hAnsi="Cambria Math"/>
                    <w:szCs w:val="20"/>
                  </w:rPr>
                  <m:t>0.079 fraction ×443,520 tons greenwaste composted</m:t>
                </m:r>
              </m:oMath>
            </m:oMathPara>
          </w:p>
        </w:tc>
        <w:tc>
          <w:tcPr>
            <w:tcW w:w="2108" w:type="dxa"/>
          </w:tcPr>
          <w:p w14:paraId="07663FB1" w14:textId="34CA0DFB" w:rsidR="00DF0B38" w:rsidRDefault="00FE02FD" w:rsidP="00F33727">
            <w:pPr>
              <w:widowControl/>
              <w:tabs>
                <w:tab w:val="left" w:pos="0"/>
              </w:tabs>
              <w:spacing w:after="60"/>
              <w:rPr>
                <w:szCs w:val="20"/>
              </w:rPr>
            </w:pPr>
            <w:r>
              <w:rPr>
                <w:szCs w:val="20"/>
              </w:rPr>
              <w:t>3</w:t>
            </w:r>
            <w:r w:rsidR="00C865CE">
              <w:rPr>
                <w:szCs w:val="20"/>
              </w:rPr>
              <w:t>5,038</w:t>
            </w:r>
            <w:r>
              <w:rPr>
                <w:szCs w:val="20"/>
              </w:rPr>
              <w:t xml:space="preserve"> tons </w:t>
            </w:r>
            <w:proofErr w:type="spellStart"/>
            <w:r w:rsidR="00F33727">
              <w:rPr>
                <w:szCs w:val="20"/>
              </w:rPr>
              <w:t>green</w:t>
            </w:r>
            <w:r>
              <w:rPr>
                <w:szCs w:val="20"/>
              </w:rPr>
              <w:t>waste</w:t>
            </w:r>
            <w:proofErr w:type="spellEnd"/>
            <w:r>
              <w:rPr>
                <w:szCs w:val="20"/>
              </w:rPr>
              <w:t xml:space="preserve"> composted in Apache County, AZ</w:t>
            </w:r>
          </w:p>
        </w:tc>
      </w:tr>
      <w:tr w:rsidR="00FE02FD" w14:paraId="7A81B696" w14:textId="77777777" w:rsidTr="00FE7F5B">
        <w:trPr>
          <w:cantSplit/>
        </w:trPr>
        <w:tc>
          <w:tcPr>
            <w:tcW w:w="561" w:type="dxa"/>
            <w:vAlign w:val="center"/>
          </w:tcPr>
          <w:p w14:paraId="324ACC66" w14:textId="33BEF899" w:rsidR="00DF0B38" w:rsidRDefault="00676FE8" w:rsidP="00FE7F5B">
            <w:pPr>
              <w:widowControl/>
              <w:tabs>
                <w:tab w:val="left" w:pos="0"/>
              </w:tabs>
              <w:spacing w:after="60"/>
              <w:jc w:val="center"/>
              <w:rPr>
                <w:szCs w:val="20"/>
              </w:rPr>
            </w:pPr>
            <w:r>
              <w:rPr>
                <w:szCs w:val="20"/>
              </w:rPr>
              <w:t>6</w:t>
            </w:r>
          </w:p>
        </w:tc>
        <w:tc>
          <w:tcPr>
            <w:tcW w:w="3024" w:type="dxa"/>
            <w:vAlign w:val="center"/>
          </w:tcPr>
          <w:p w14:paraId="7A902A6F" w14:textId="77777777" w:rsidR="00DF0B38" w:rsidRDefault="003555C0"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GW,c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lbs.</m:t>
                    </m:r>
                  </m:den>
                </m:f>
              </m:oMath>
            </m:oMathPara>
          </w:p>
        </w:tc>
        <w:tc>
          <w:tcPr>
            <w:tcW w:w="3888" w:type="dxa"/>
            <w:vAlign w:val="center"/>
          </w:tcPr>
          <w:p w14:paraId="07B8EC2C" w14:textId="2D346862" w:rsidR="00DF0B38" w:rsidRDefault="00FE02FD" w:rsidP="00FE7F5B">
            <w:pPr>
              <w:widowControl/>
              <w:tabs>
                <w:tab w:val="left" w:pos="0"/>
              </w:tabs>
              <w:spacing w:after="60"/>
              <w:jc w:val="center"/>
              <w:rPr>
                <w:szCs w:val="20"/>
              </w:rPr>
            </w:pPr>
            <m:oMathPara>
              <m:oMath>
                <m:r>
                  <m:rPr>
                    <m:sty m:val="p"/>
                  </m:rPr>
                  <w:rPr>
                    <w:rFonts w:ascii="Cambria Math" w:hAnsi="Cambria Math"/>
                    <w:szCs w:val="20"/>
                  </w:rPr>
                  <m:t xml:space="preserve">35,038tons greenwaste ×4.67 lbs. VOC per ton greenwaste × </m:t>
                </m:r>
                <m:f>
                  <m:fPr>
                    <m:ctrlPr>
                      <w:rPr>
                        <w:rFonts w:ascii="Cambria Math" w:hAnsi="Cambria Math"/>
                        <w:szCs w:val="20"/>
                      </w:rPr>
                    </m:ctrlPr>
                  </m:fPr>
                  <m:num>
                    <m:r>
                      <w:rPr>
                        <w:rFonts w:ascii="Cambria Math" w:hAnsi="Cambria Math"/>
                        <w:szCs w:val="20"/>
                      </w:rPr>
                      <m:t>1 ton</m:t>
                    </m:r>
                  </m:num>
                  <m:den>
                    <m:r>
                      <w:rPr>
                        <w:rFonts w:ascii="Cambria Math" w:hAnsi="Cambria Math"/>
                        <w:szCs w:val="20"/>
                      </w:rPr>
                      <m:t>2000 lbs.</m:t>
                    </m:r>
                  </m:den>
                </m:f>
              </m:oMath>
            </m:oMathPara>
          </w:p>
        </w:tc>
        <w:tc>
          <w:tcPr>
            <w:tcW w:w="2108" w:type="dxa"/>
          </w:tcPr>
          <w:p w14:paraId="5C491399" w14:textId="4CCA10E6" w:rsidR="00DF0B38" w:rsidRDefault="00C865CE" w:rsidP="00DF0B38">
            <w:pPr>
              <w:widowControl/>
              <w:tabs>
                <w:tab w:val="left" w:pos="0"/>
              </w:tabs>
              <w:spacing w:after="60"/>
              <w:rPr>
                <w:szCs w:val="20"/>
              </w:rPr>
            </w:pPr>
            <w:r>
              <w:rPr>
                <w:szCs w:val="20"/>
              </w:rPr>
              <w:t>82</w:t>
            </w:r>
            <w:r w:rsidR="00FE02FD">
              <w:rPr>
                <w:szCs w:val="20"/>
              </w:rPr>
              <w:t xml:space="preserve"> tons VOC emissions from </w:t>
            </w:r>
            <w:proofErr w:type="spellStart"/>
            <w:r w:rsidR="00FE02FD">
              <w:rPr>
                <w:szCs w:val="20"/>
              </w:rPr>
              <w:t>greenwaste</w:t>
            </w:r>
            <w:proofErr w:type="spellEnd"/>
            <w:r w:rsidR="00FE02FD">
              <w:rPr>
                <w:szCs w:val="20"/>
              </w:rPr>
              <w:t xml:space="preserve"> composting in Apache County, AZ</w:t>
            </w:r>
          </w:p>
        </w:tc>
      </w:tr>
    </w:tbl>
    <w:p w14:paraId="5D4688CF" w14:textId="77777777" w:rsidR="00B97E6E" w:rsidRPr="004008E6" w:rsidRDefault="00B97E6E" w:rsidP="00B97E6E">
      <w:pPr>
        <w:widowControl/>
        <w:tabs>
          <w:tab w:val="left" w:pos="0"/>
        </w:tabs>
        <w:ind w:firstLine="720"/>
        <w:rPr>
          <w:szCs w:val="20"/>
        </w:rPr>
      </w:pPr>
    </w:p>
    <w:p w14:paraId="75FB51D3" w14:textId="77777777" w:rsidR="00B97E6E" w:rsidRDefault="00B97E6E" w:rsidP="00052E59">
      <w:pPr>
        <w:pStyle w:val="Heading1"/>
      </w:pPr>
      <w:r>
        <w:t>Changes from 2014 Methodology</w:t>
      </w:r>
    </w:p>
    <w:p w14:paraId="457F09AF" w14:textId="6900946C" w:rsidR="00B97E6E" w:rsidRPr="00676FE8" w:rsidRDefault="009A3FCC" w:rsidP="00B97E6E">
      <w:pPr>
        <w:widowControl/>
        <w:tabs>
          <w:tab w:val="left" w:pos="0"/>
        </w:tabs>
        <w:rPr>
          <w:szCs w:val="20"/>
        </w:rPr>
      </w:pPr>
      <w:r>
        <w:rPr>
          <w:szCs w:val="20"/>
        </w:rPr>
        <w:t>There are no significant changes from the methodology used to calculate the 2014 v2 NEI emissions.</w:t>
      </w:r>
    </w:p>
    <w:p w14:paraId="35A34622" w14:textId="77777777" w:rsidR="00B97E6E" w:rsidRPr="00641127" w:rsidRDefault="00B97E6E" w:rsidP="00052E59">
      <w:pPr>
        <w:pStyle w:val="Heading1"/>
      </w:pPr>
      <w:r w:rsidRPr="00641127">
        <w:lastRenderedPageBreak/>
        <w:t>Puerto Rico and U</w:t>
      </w:r>
      <w:r w:rsidR="00A54167">
        <w:t>.</w:t>
      </w:r>
      <w:r w:rsidRPr="00641127">
        <w:t>S</w:t>
      </w:r>
      <w:r w:rsidR="00A54167">
        <w:t>.</w:t>
      </w:r>
      <w:r w:rsidRPr="00641127">
        <w:t xml:space="preserve"> Virgin Islands Emissions Calculations</w:t>
      </w:r>
    </w:p>
    <w:p w14:paraId="53C64BBC" w14:textId="77777777" w:rsidR="00B97E6E" w:rsidRDefault="004B0DDF"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Emissions from Puerto Rico are calculated using the same method described above. </w:t>
      </w:r>
      <w:r w:rsidR="00E10956">
        <w:t>F</w:t>
      </w:r>
      <w:r w:rsidR="00B97E6E">
        <w:t xml:space="preserve">or </w:t>
      </w:r>
      <w:r w:rsidR="00B97E6E" w:rsidRPr="00641127">
        <w:t xml:space="preserve">the </w:t>
      </w:r>
      <w:r w:rsidR="00E10956">
        <w:t>U</w:t>
      </w:r>
      <w:r w:rsidR="00A54167">
        <w:t>.</w:t>
      </w:r>
      <w:r w:rsidR="00E10956">
        <w:t>S</w:t>
      </w:r>
      <w:r w:rsidR="00A54167">
        <w:t>.</w:t>
      </w:r>
      <w:r w:rsidR="00E10956">
        <w:t xml:space="preserve"> Virgin Islands,</w:t>
      </w:r>
      <w:r w:rsidR="00B97E6E">
        <w:t xml:space="preserve"> </w:t>
      </w:r>
      <w:r w:rsidR="00E10956">
        <w:t>e</w:t>
      </w:r>
      <w:r w:rsidR="00B97E6E" w:rsidRPr="00641127">
        <w:t xml:space="preserve">missions are </w:t>
      </w:r>
      <w:r w:rsidR="00B97E6E">
        <w:t xml:space="preserve">calculated using </w:t>
      </w:r>
      <w:r w:rsidR="00E10956">
        <w:t>2010 population data,</w:t>
      </w:r>
      <w:r w:rsidR="00A54167">
        <w:rPr>
          <w:rStyle w:val="EndnoteReference"/>
        </w:rPr>
        <w:endnoteReference w:id="8"/>
      </w:r>
      <w:r w:rsidR="00E10956">
        <w:t xml:space="preserve"> since 2014 Census Data does not exist for the U</w:t>
      </w:r>
      <w:r w:rsidR="00A54167">
        <w:t>.</w:t>
      </w:r>
      <w:r w:rsidR="00E10956">
        <w:t>S</w:t>
      </w:r>
      <w:r w:rsidR="00A54167">
        <w:t>.</w:t>
      </w:r>
      <w:r w:rsidR="00E10956">
        <w:t xml:space="preserve"> Virgin Islands</w:t>
      </w:r>
      <w:r w:rsidR="00B97E6E">
        <w:t xml:space="preserve">. </w:t>
      </w:r>
    </w:p>
    <w:p w14:paraId="23E2AD5B" w14:textId="51C550D5" w:rsidR="00A6061A" w:rsidRPr="007C3960" w:rsidRDefault="00BC47F1" w:rsidP="007D6365">
      <w:pPr>
        <w:pStyle w:val="Heading1"/>
        <w:spacing w:after="0"/>
      </w:pPr>
      <w:r>
        <w:t>References</w:t>
      </w:r>
    </w:p>
    <w:sectPr w:rsidR="00A6061A" w:rsidRPr="007C3960" w:rsidSect="007D6365">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AE43A" w14:textId="77777777" w:rsidR="009602A1" w:rsidRPr="005A2CA7" w:rsidRDefault="009602A1" w:rsidP="005A2CA7">
      <w:pPr>
        <w:pStyle w:val="Footer"/>
      </w:pPr>
    </w:p>
  </w:endnote>
  <w:endnote w:type="continuationSeparator" w:id="0">
    <w:p w14:paraId="346B40C5" w14:textId="77777777" w:rsidR="009602A1" w:rsidRPr="00D05698" w:rsidRDefault="009602A1" w:rsidP="00D05698">
      <w:pPr>
        <w:pStyle w:val="Footer"/>
      </w:pPr>
    </w:p>
  </w:endnote>
  <w:endnote w:type="continuationNotice" w:id="1">
    <w:p w14:paraId="55B4DCA1" w14:textId="77777777" w:rsidR="009602A1" w:rsidRDefault="009602A1">
      <w:pPr>
        <w:spacing w:after="0"/>
      </w:pPr>
    </w:p>
  </w:endnote>
  <w:endnote w:id="2">
    <w:p w14:paraId="1E51A13A" w14:textId="47AC5E97" w:rsidR="009602A1" w:rsidRDefault="009602A1" w:rsidP="00052E59">
      <w:pPr>
        <w:pStyle w:val="References"/>
      </w:pPr>
      <w:r>
        <w:rPr>
          <w:rStyle w:val="EndnoteReference"/>
        </w:rPr>
        <w:endnoteRef/>
      </w:r>
      <w:r>
        <w:t xml:space="preserve"> U.S. EPA. 2018.</w:t>
      </w:r>
      <w:r w:rsidRPr="000D319E">
        <w:t xml:space="preserve"> </w:t>
      </w:r>
      <w:r w:rsidRPr="000D319E">
        <w:rPr>
          <w:i/>
        </w:rPr>
        <w:t>Advancing Sustainable Materials Management:</w:t>
      </w:r>
      <w:r w:rsidRPr="000D319E">
        <w:rPr>
          <w:i/>
          <w:iCs/>
        </w:rPr>
        <w:t xml:space="preserve"> </w:t>
      </w:r>
      <w:r>
        <w:rPr>
          <w:i/>
          <w:iCs/>
        </w:rPr>
        <w:t>2015 Fact Sheet</w:t>
      </w:r>
      <w:r w:rsidRPr="000D319E">
        <w:rPr>
          <w:i/>
          <w:iCs/>
        </w:rPr>
        <w:t>,</w:t>
      </w:r>
      <w:r w:rsidRPr="000D319E">
        <w:t xml:space="preserve"> Table</w:t>
      </w:r>
      <w:r>
        <w:t>1</w:t>
      </w:r>
      <w:r w:rsidRPr="000D319E">
        <w:t>. Generation, Recovery, and Discards of Products in MSW, 201</w:t>
      </w:r>
      <w:r>
        <w:t>5.</w:t>
      </w:r>
      <w:r w:rsidRPr="000D319E">
        <w:t xml:space="preserve"> </w:t>
      </w:r>
      <w:hyperlink r:id="rId1" w:history="1">
        <w:r w:rsidRPr="000D319E">
          <w:rPr>
            <w:rStyle w:val="Hyperlink"/>
            <w:szCs w:val="22"/>
          </w:rPr>
          <w:t>http://www.epa.gov/smm/advancing-sustainable-materials-management-facts-and-figures-report</w:t>
        </w:r>
      </w:hyperlink>
    </w:p>
  </w:endnote>
  <w:endnote w:id="3">
    <w:p w14:paraId="2D7A3665" w14:textId="4C92AA1C" w:rsidR="009602A1" w:rsidRPr="00060A69" w:rsidRDefault="009602A1" w:rsidP="00060A69">
      <w:pPr>
        <w:pStyle w:val="References"/>
      </w:pPr>
      <w:r>
        <w:rPr>
          <w:rStyle w:val="EndnoteReference"/>
        </w:rPr>
        <w:endnoteRef/>
      </w:r>
      <w:r>
        <w:t xml:space="preserve"> U.S. EPA. 2016. </w:t>
      </w:r>
      <w:r>
        <w:rPr>
          <w:i/>
        </w:rPr>
        <w:t xml:space="preserve">Food Waste Management in the United States, 2014. </w:t>
      </w:r>
      <w:r>
        <w:t>Office of Resource Conservation and Recovery.</w:t>
      </w:r>
      <w:r w:rsidRPr="00060A69">
        <w:t xml:space="preserve"> </w:t>
      </w:r>
      <w:hyperlink r:id="rId2" w:history="1">
        <w:r w:rsidRPr="00084A61">
          <w:rPr>
            <w:rStyle w:val="Hyperlink"/>
          </w:rPr>
          <w:t>https://www.epa.gov/sites/production/files/2016-12/documents/food_waste_management_2014_12082016_508.pdf</w:t>
        </w:r>
      </w:hyperlink>
      <w:r>
        <w:t xml:space="preserve"> </w:t>
      </w:r>
    </w:p>
  </w:endnote>
  <w:endnote w:id="4">
    <w:p w14:paraId="3CA2F6C0" w14:textId="2FA13D3A" w:rsidR="009602A1" w:rsidRDefault="009602A1" w:rsidP="00986448">
      <w:pPr>
        <w:pStyle w:val="References"/>
      </w:pPr>
      <w:r>
        <w:rPr>
          <w:rStyle w:val="EndnoteReference"/>
        </w:rPr>
        <w:endnoteRef/>
      </w:r>
      <w:r>
        <w:t xml:space="preserve"> </w:t>
      </w:r>
      <w:r w:rsidRPr="005B0D17">
        <w:t>U.S. Census Bureau.</w:t>
      </w:r>
      <w:r>
        <w:t xml:space="preserve"> </w:t>
      </w:r>
      <w:r w:rsidR="003555C0" w:rsidRPr="003555C0">
        <w:rPr>
          <w:i/>
        </w:rPr>
        <w:t>2017</w:t>
      </w:r>
      <w:r w:rsidR="003555C0">
        <w:t xml:space="preserve"> </w:t>
      </w:r>
      <w:r>
        <w:rPr>
          <w:i/>
          <w:iCs/>
        </w:rPr>
        <w:t>Total Population, American Community Survey</w:t>
      </w:r>
      <w:r w:rsidRPr="005B0D17">
        <w:rPr>
          <w:i/>
          <w:iCs/>
        </w:rPr>
        <w:t xml:space="preserve">, </w:t>
      </w:r>
      <w:hyperlink r:id="rId3" w:history="1">
        <w:r>
          <w:rPr>
            <w:rStyle w:val="Hyperlink"/>
          </w:rPr>
          <w:t>https://data.census.go</w:t>
        </w:r>
        <w:bookmarkStart w:id="5" w:name="_GoBack"/>
        <w:bookmarkEnd w:id="5"/>
        <w:r>
          <w:rPr>
            <w:rStyle w:val="Hyperlink"/>
          </w:rPr>
          <w:t>v/cedsci/table?hidePr</w:t>
        </w:r>
        <w:r>
          <w:rPr>
            <w:rStyle w:val="Hyperlink"/>
          </w:rPr>
          <w:t>e</w:t>
        </w:r>
        <w:r>
          <w:rPr>
            <w:rStyle w:val="Hyperlink"/>
          </w:rPr>
          <w:t>view=false&amp;tid=ACSDT1Y2017.B01003&amp;vintage=2018</w:t>
        </w:r>
      </w:hyperlink>
    </w:p>
  </w:endnote>
  <w:endnote w:id="5">
    <w:p w14:paraId="6151ACB7" w14:textId="582BAEAD" w:rsidR="009602A1" w:rsidRDefault="009602A1" w:rsidP="00944444">
      <w:pPr>
        <w:pStyle w:val="References"/>
      </w:pPr>
      <w:r>
        <w:rPr>
          <w:rStyle w:val="EndnoteReference"/>
        </w:rPr>
        <w:endnoteRef/>
      </w:r>
      <w:r>
        <w:t xml:space="preserve"> </w:t>
      </w:r>
      <w:r w:rsidRPr="005B0D17">
        <w:t xml:space="preserve">U.S. Census Bureau. </w:t>
      </w:r>
      <w:r w:rsidRPr="005B0D17">
        <w:rPr>
          <w:i/>
        </w:rPr>
        <w:t>201</w:t>
      </w:r>
      <w:r>
        <w:rPr>
          <w:i/>
        </w:rPr>
        <w:t>6</w:t>
      </w:r>
      <w:r w:rsidRPr="005B0D17">
        <w:rPr>
          <w:i/>
        </w:rPr>
        <w:t xml:space="preserve"> County Business Patterns</w:t>
      </w:r>
      <w:r w:rsidRPr="005B0D17">
        <w:t xml:space="preserve">, </w:t>
      </w:r>
      <w:hyperlink r:id="rId4" w:history="1">
        <w:r>
          <w:rPr>
            <w:rStyle w:val="Hyperlink"/>
          </w:rPr>
          <w:t>https://www.census.gov/conten</w:t>
        </w:r>
        <w:r>
          <w:rPr>
            <w:rStyle w:val="Hyperlink"/>
          </w:rPr>
          <w:t>t</w:t>
        </w:r>
        <w:r>
          <w:rPr>
            <w:rStyle w:val="Hyperlink"/>
          </w:rPr>
          <w:t>/census/en/data/datasets/2016/econ/cbp/2016-cbp.html</w:t>
        </w:r>
      </w:hyperlink>
    </w:p>
  </w:endnote>
  <w:endnote w:id="6">
    <w:p w14:paraId="155BDB6C" w14:textId="0A55733D" w:rsidR="009602A1" w:rsidRDefault="009602A1" w:rsidP="00052E59">
      <w:pPr>
        <w:pStyle w:val="References"/>
      </w:pPr>
      <w:r>
        <w:rPr>
          <w:rStyle w:val="EndnoteReference"/>
        </w:rPr>
        <w:endnoteRef/>
      </w:r>
      <w:r>
        <w:t xml:space="preserve"> </w:t>
      </w:r>
      <w:r w:rsidRPr="005A2CA7">
        <w:t xml:space="preserve">California Air Resources Board. 2015. ARB Emissions Inventory Methodology for Composting Facilities. Table A-4. </w:t>
      </w:r>
      <w:hyperlink r:id="rId5" w:history="1">
        <w:r w:rsidRPr="004F16CB">
          <w:rPr>
            <w:rStyle w:val="Hyperlink"/>
          </w:rPr>
          <w:t>https://www.arb.ca.gov/ei/areasrc/Composting%20Emissions%20Inventory%20Methodology%20Final%20Combined.pdf</w:t>
        </w:r>
      </w:hyperlink>
      <w:r>
        <w:rPr>
          <w:rStyle w:val="Hyperlink"/>
        </w:rPr>
        <w:t>.</w:t>
      </w:r>
      <w:r w:rsidRPr="005A2CA7">
        <w:t xml:space="preserve"> Emission factor data taken from</w:t>
      </w:r>
      <w:r>
        <w:t xml:space="preserve"> </w:t>
      </w:r>
      <w:r w:rsidRPr="005A2CA7">
        <w:t xml:space="preserve">Draft Staff Report on Proposed Amended Rule 1133.1 (chipping and grinding activities) and Proposed Rule 1133.3 (emissions reductions from </w:t>
      </w:r>
      <w:proofErr w:type="spellStart"/>
      <w:r w:rsidRPr="005A2CA7">
        <w:t>greenwaste</w:t>
      </w:r>
      <w:proofErr w:type="spellEnd"/>
      <w:r w:rsidRPr="005A2CA7">
        <w:t xml:space="preserve"> composting operations),Table III-3</w:t>
      </w:r>
      <w:r w:rsidRPr="005A2CA7">
        <w:rPr>
          <w:i/>
        </w:rPr>
        <w:t>,</w:t>
      </w:r>
      <w:r>
        <w:t xml:space="preserve"> </w:t>
      </w:r>
      <w:hyperlink r:id="rId6" w:history="1">
        <w:r w:rsidRPr="0067521E">
          <w:rPr>
            <w:rStyle w:val="Hyperlink"/>
          </w:rPr>
          <w:t>http://www.healthysoil.org/images/4-PAR1133.1_PR1133.3_FullDraftSR.pdf</w:t>
        </w:r>
      </w:hyperlink>
      <w:r>
        <w:t xml:space="preserve"> </w:t>
      </w:r>
      <w:r w:rsidRPr="005A2CA7">
        <w:t xml:space="preserve"> </w:t>
      </w:r>
    </w:p>
  </w:endnote>
  <w:endnote w:id="7">
    <w:p w14:paraId="6CDC268E" w14:textId="3E170EA9" w:rsidR="009602A1" w:rsidRDefault="009602A1" w:rsidP="00BE7365">
      <w:pPr>
        <w:pStyle w:val="EndnoteText"/>
        <w:spacing w:after="0"/>
        <w:ind w:left="547" w:hanging="547"/>
      </w:pPr>
      <w:r>
        <w:rPr>
          <w:rStyle w:val="EndnoteReference"/>
        </w:rPr>
        <w:endnoteRef/>
      </w:r>
      <w:r>
        <w:t xml:space="preserve"> Kumar, A., C.P. </w:t>
      </w:r>
      <w:proofErr w:type="spellStart"/>
      <w:r>
        <w:t>Alaimo</w:t>
      </w:r>
      <w:proofErr w:type="spellEnd"/>
      <w:r>
        <w:t xml:space="preserve">, R. Horowitz, F.M. </w:t>
      </w:r>
      <w:proofErr w:type="spellStart"/>
      <w:r>
        <w:t>Mitloehner</w:t>
      </w:r>
      <w:proofErr w:type="spellEnd"/>
      <w:r>
        <w:t xml:space="preserve">, M.J. </w:t>
      </w:r>
      <w:proofErr w:type="spellStart"/>
      <w:r>
        <w:t>Kleeman</w:t>
      </w:r>
      <w:proofErr w:type="spellEnd"/>
      <w:r>
        <w:t>, and P.G. Green. 2011. Volatile organic compound emissions from green waste composting: Characterization and ozone formation. Atmospheric Environment, 45:1841-1848.</w:t>
      </w:r>
    </w:p>
  </w:endnote>
  <w:endnote w:id="8">
    <w:p w14:paraId="7FFD8A22" w14:textId="77777777" w:rsidR="009602A1" w:rsidRDefault="009602A1" w:rsidP="00A54167">
      <w:pPr>
        <w:pStyle w:val="References"/>
      </w:pPr>
      <w:r>
        <w:rPr>
          <w:rStyle w:val="EndnoteReference"/>
        </w:rPr>
        <w:endnoteRef/>
      </w:r>
      <w:r>
        <w:t xml:space="preserve"> </w:t>
      </w:r>
      <w:r w:rsidRPr="005B0D17">
        <w:t>U.S. Census Bureau, Decennial Censuses, 2010 Census: Summary</w:t>
      </w:r>
      <w:r>
        <w:t xml:space="preserve"> File 1,</w:t>
      </w:r>
      <w:r w:rsidRPr="005B0D17">
        <w:t xml:space="preserve"> </w:t>
      </w:r>
      <w:hyperlink r:id="rId7" w:history="1">
        <w:r w:rsidRPr="005B0D17">
          <w:rPr>
            <w:rStyle w:val="Hyperlink"/>
          </w:rPr>
          <w:t>http://www2.census.gov/census_2010/04-Summary_File_1/</w:t>
        </w:r>
      </w:hyperlink>
      <w:r w:rsidRPr="005B0D1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010454"/>
      <w:docPartObj>
        <w:docPartGallery w:val="Page Numbers (Bottom of Page)"/>
        <w:docPartUnique/>
      </w:docPartObj>
    </w:sdtPr>
    <w:sdtEndPr>
      <w:rPr>
        <w:noProof/>
      </w:rPr>
    </w:sdtEndPr>
    <w:sdtContent>
      <w:p w14:paraId="6CA5D172" w14:textId="353A3A5A" w:rsidR="009602A1" w:rsidRDefault="009602A1">
        <w:pPr>
          <w:pStyle w:val="Footer"/>
          <w:jc w:val="right"/>
        </w:pPr>
        <w:r>
          <w:fldChar w:fldCharType="begin"/>
        </w:r>
        <w:r>
          <w:instrText xml:space="preserve"> PAGE   \* MERGEFORMAT </w:instrText>
        </w:r>
        <w:r>
          <w:fldChar w:fldCharType="separate"/>
        </w:r>
        <w:r w:rsidR="003555C0">
          <w:rPr>
            <w:noProof/>
          </w:rPr>
          <w:t>7</w:t>
        </w:r>
        <w:r>
          <w:rPr>
            <w:noProof/>
          </w:rPr>
          <w:fldChar w:fldCharType="end"/>
        </w:r>
      </w:p>
    </w:sdtContent>
  </w:sdt>
  <w:p w14:paraId="4B47FCEC" w14:textId="77777777" w:rsidR="009602A1" w:rsidRDefault="00960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8B7E9" w14:textId="77777777" w:rsidR="009602A1" w:rsidRDefault="009602A1" w:rsidP="005A2CA7">
      <w:r>
        <w:separator/>
      </w:r>
    </w:p>
  </w:footnote>
  <w:footnote w:type="continuationSeparator" w:id="0">
    <w:p w14:paraId="0EDC9437" w14:textId="77777777" w:rsidR="009602A1" w:rsidRDefault="009602A1"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321916"/>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4"/>
  </w:num>
  <w:num w:numId="4">
    <w:abstractNumId w:val="8"/>
  </w:num>
  <w:num w:numId="5">
    <w:abstractNumId w:val="2"/>
  </w:num>
  <w:num w:numId="6">
    <w:abstractNumId w:val="10"/>
  </w:num>
  <w:num w:numId="7">
    <w:abstractNumId w:val="17"/>
  </w:num>
  <w:num w:numId="8">
    <w:abstractNumId w:val="16"/>
  </w:num>
  <w:num w:numId="9">
    <w:abstractNumId w:val="11"/>
  </w:num>
  <w:num w:numId="10">
    <w:abstractNumId w:val="13"/>
  </w:num>
  <w:num w:numId="11">
    <w:abstractNumId w:val="7"/>
  </w:num>
  <w:num w:numId="12">
    <w:abstractNumId w:val="5"/>
  </w:num>
  <w:num w:numId="13">
    <w:abstractNumId w:val="3"/>
  </w:num>
  <w:num w:numId="14">
    <w:abstractNumId w:val="1"/>
  </w:num>
  <w:num w:numId="15">
    <w:abstractNumId w:val="15"/>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10E6C"/>
    <w:rsid w:val="00016464"/>
    <w:rsid w:val="00024A94"/>
    <w:rsid w:val="0003373D"/>
    <w:rsid w:val="00052E59"/>
    <w:rsid w:val="00060A69"/>
    <w:rsid w:val="00073181"/>
    <w:rsid w:val="00080675"/>
    <w:rsid w:val="00091662"/>
    <w:rsid w:val="000C0667"/>
    <w:rsid w:val="00100026"/>
    <w:rsid w:val="0013017D"/>
    <w:rsid w:val="00157738"/>
    <w:rsid w:val="00186E1E"/>
    <w:rsid w:val="001A09E7"/>
    <w:rsid w:val="001A19EB"/>
    <w:rsid w:val="001C474D"/>
    <w:rsid w:val="001D123D"/>
    <w:rsid w:val="001D6A38"/>
    <w:rsid w:val="002005B7"/>
    <w:rsid w:val="002375F1"/>
    <w:rsid w:val="002958BB"/>
    <w:rsid w:val="002B4513"/>
    <w:rsid w:val="002D0E4F"/>
    <w:rsid w:val="002D5E9B"/>
    <w:rsid w:val="002E5ADD"/>
    <w:rsid w:val="003165C3"/>
    <w:rsid w:val="0033702E"/>
    <w:rsid w:val="00340DAC"/>
    <w:rsid w:val="003478A9"/>
    <w:rsid w:val="003555C0"/>
    <w:rsid w:val="00356DBA"/>
    <w:rsid w:val="00387957"/>
    <w:rsid w:val="003933F5"/>
    <w:rsid w:val="003C6033"/>
    <w:rsid w:val="003D38C0"/>
    <w:rsid w:val="003D471D"/>
    <w:rsid w:val="003E35AF"/>
    <w:rsid w:val="003F3D3C"/>
    <w:rsid w:val="004008A2"/>
    <w:rsid w:val="00402D36"/>
    <w:rsid w:val="00427D49"/>
    <w:rsid w:val="00433E3C"/>
    <w:rsid w:val="0044447B"/>
    <w:rsid w:val="004460CC"/>
    <w:rsid w:val="00454AD5"/>
    <w:rsid w:val="004A1B25"/>
    <w:rsid w:val="004B0DDF"/>
    <w:rsid w:val="004E1CBE"/>
    <w:rsid w:val="004E5DDA"/>
    <w:rsid w:val="0056502F"/>
    <w:rsid w:val="00576E8A"/>
    <w:rsid w:val="005A2CA7"/>
    <w:rsid w:val="00641FAE"/>
    <w:rsid w:val="00646D28"/>
    <w:rsid w:val="00676FE8"/>
    <w:rsid w:val="0067733C"/>
    <w:rsid w:val="00697D2A"/>
    <w:rsid w:val="006B3338"/>
    <w:rsid w:val="006F5441"/>
    <w:rsid w:val="007000D9"/>
    <w:rsid w:val="00705DD0"/>
    <w:rsid w:val="0071346C"/>
    <w:rsid w:val="0075019B"/>
    <w:rsid w:val="007614AA"/>
    <w:rsid w:val="007660D8"/>
    <w:rsid w:val="00770E9B"/>
    <w:rsid w:val="00780F50"/>
    <w:rsid w:val="007818A7"/>
    <w:rsid w:val="007C3960"/>
    <w:rsid w:val="007D6365"/>
    <w:rsid w:val="007E28CD"/>
    <w:rsid w:val="007F53C1"/>
    <w:rsid w:val="00824E07"/>
    <w:rsid w:val="00837710"/>
    <w:rsid w:val="00873FFC"/>
    <w:rsid w:val="008810A9"/>
    <w:rsid w:val="008C1DE3"/>
    <w:rsid w:val="008E1A37"/>
    <w:rsid w:val="008E2445"/>
    <w:rsid w:val="008F794B"/>
    <w:rsid w:val="00944444"/>
    <w:rsid w:val="009602A1"/>
    <w:rsid w:val="0097139E"/>
    <w:rsid w:val="0097551A"/>
    <w:rsid w:val="00986448"/>
    <w:rsid w:val="009944E8"/>
    <w:rsid w:val="009A3FCC"/>
    <w:rsid w:val="009C0F97"/>
    <w:rsid w:val="009C6088"/>
    <w:rsid w:val="009D1541"/>
    <w:rsid w:val="009D22C4"/>
    <w:rsid w:val="009F5C98"/>
    <w:rsid w:val="00A10C43"/>
    <w:rsid w:val="00A254EC"/>
    <w:rsid w:val="00A329DA"/>
    <w:rsid w:val="00A4319E"/>
    <w:rsid w:val="00A54167"/>
    <w:rsid w:val="00A6061A"/>
    <w:rsid w:val="00A84DAA"/>
    <w:rsid w:val="00AA771E"/>
    <w:rsid w:val="00AB23B5"/>
    <w:rsid w:val="00AB6567"/>
    <w:rsid w:val="00AD70B8"/>
    <w:rsid w:val="00AE30FA"/>
    <w:rsid w:val="00AE667E"/>
    <w:rsid w:val="00AE6CC9"/>
    <w:rsid w:val="00AF1787"/>
    <w:rsid w:val="00B209C5"/>
    <w:rsid w:val="00B24CB0"/>
    <w:rsid w:val="00B259AF"/>
    <w:rsid w:val="00B302A4"/>
    <w:rsid w:val="00B32469"/>
    <w:rsid w:val="00B55A18"/>
    <w:rsid w:val="00B97E6E"/>
    <w:rsid w:val="00BC47F1"/>
    <w:rsid w:val="00BC699D"/>
    <w:rsid w:val="00BD21A4"/>
    <w:rsid w:val="00BD26F9"/>
    <w:rsid w:val="00BD61EA"/>
    <w:rsid w:val="00BE0480"/>
    <w:rsid w:val="00BE463B"/>
    <w:rsid w:val="00BE7365"/>
    <w:rsid w:val="00C2093D"/>
    <w:rsid w:val="00C865CE"/>
    <w:rsid w:val="00C900AF"/>
    <w:rsid w:val="00CA6FB5"/>
    <w:rsid w:val="00CA76F8"/>
    <w:rsid w:val="00CB4CAD"/>
    <w:rsid w:val="00D05698"/>
    <w:rsid w:val="00D15713"/>
    <w:rsid w:val="00D360C1"/>
    <w:rsid w:val="00D74764"/>
    <w:rsid w:val="00DA1272"/>
    <w:rsid w:val="00DF0B38"/>
    <w:rsid w:val="00DF7719"/>
    <w:rsid w:val="00E10956"/>
    <w:rsid w:val="00E12236"/>
    <w:rsid w:val="00E267BB"/>
    <w:rsid w:val="00E438D7"/>
    <w:rsid w:val="00E576D3"/>
    <w:rsid w:val="00E61631"/>
    <w:rsid w:val="00E61A28"/>
    <w:rsid w:val="00E7492B"/>
    <w:rsid w:val="00E91F7F"/>
    <w:rsid w:val="00E95198"/>
    <w:rsid w:val="00EC0C41"/>
    <w:rsid w:val="00ED0BEB"/>
    <w:rsid w:val="00ED598D"/>
    <w:rsid w:val="00EE0E08"/>
    <w:rsid w:val="00EE7CB6"/>
    <w:rsid w:val="00EF4865"/>
    <w:rsid w:val="00F1596A"/>
    <w:rsid w:val="00F33727"/>
    <w:rsid w:val="00F33E46"/>
    <w:rsid w:val="00F45A30"/>
    <w:rsid w:val="00F5072A"/>
    <w:rsid w:val="00F6089D"/>
    <w:rsid w:val="00F71199"/>
    <w:rsid w:val="00FA6A41"/>
    <w:rsid w:val="00FB02D3"/>
    <w:rsid w:val="00FE02FD"/>
    <w:rsid w:val="00FE7F5B"/>
    <w:rsid w:val="19FBF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B2527488-65EC-4719-AC38-CDE9378F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F5072A"/>
    <w:pPr>
      <w:tabs>
        <w:tab w:val="center" w:pos="4680"/>
        <w:tab w:val="right" w:pos="9360"/>
      </w:tabs>
      <w:spacing w:after="0"/>
    </w:pPr>
  </w:style>
  <w:style w:type="character" w:customStyle="1" w:styleId="HeaderChar">
    <w:name w:val="Header Char"/>
    <w:basedOn w:val="DefaultParagraphFont"/>
    <w:link w:val="Header"/>
    <w:uiPriority w:val="99"/>
    <w:rsid w:val="00F5072A"/>
    <w:rPr>
      <w:rFonts w:ascii="Times New Roman" w:eastAsia="Times New Roman" w:hAnsi="Times New Roman" w:cs="Times New Roman"/>
      <w:sz w:val="20"/>
      <w:szCs w:val="24"/>
    </w:rPr>
  </w:style>
  <w:style w:type="character" w:customStyle="1" w:styleId="UnresolvedMention">
    <w:name w:val="Unresolved Mention"/>
    <w:basedOn w:val="DefaultParagraphFont"/>
    <w:uiPriority w:val="99"/>
    <w:semiHidden/>
    <w:unhideWhenUsed/>
    <w:rsid w:val="00BC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5742">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ata.census.gov/cedsci/table?hidePreview=false&amp;tid=ACSDT1Y2017.B01003&amp;vintage=2018" TargetMode="External"/><Relationship Id="rId7" Type="http://schemas.openxmlformats.org/officeDocument/2006/relationships/hyperlink" Target="http://www2.census.gov/census_2010/04-Summary_File_1/" TargetMode="External"/><Relationship Id="rId2" Type="http://schemas.openxmlformats.org/officeDocument/2006/relationships/hyperlink" Target="https://www.epa.gov/sites/production/files/2016-12/documents/food_waste_management_2014_12082016_508.pdf" TargetMode="External"/><Relationship Id="rId1" Type="http://schemas.openxmlformats.org/officeDocument/2006/relationships/hyperlink" Target="http://www.epa.gov/smm/advancing-sustainable-materials-management-facts-and-figures-report" TargetMode="External"/><Relationship Id="rId6" Type="http://schemas.openxmlformats.org/officeDocument/2006/relationships/hyperlink" Target="http://www.healthysoil.org/images/4-PAR1133.1_PR1133.3_FullDraftSR.pdf" TargetMode="External"/><Relationship Id="rId5" Type="http://schemas.openxmlformats.org/officeDocument/2006/relationships/hyperlink" Target="https://www.arb.ca.gov/ei/areasrc/Composting%20Emissions%20Inventory%20Methodology%20Final%20Combined.pdf" TargetMode="External"/><Relationship Id="rId4" Type="http://schemas.openxmlformats.org/officeDocument/2006/relationships/hyperlink" Target="https://www.census.gov/content/census/en/data/datasets/2016/econ/cbp/2016-cb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purl.org/dc/elements/1.1/"/>
    <ds:schemaRef ds:uri="http://schemas.microsoft.com/sharepoint/v3/fields"/>
    <ds:schemaRef ds:uri="eae1606c-bbef-499f-bb66-c2dbf02f8e2b"/>
    <ds:schemaRef ds:uri="http://schemas.microsoft.com/office/2006/metadata/properties"/>
    <ds:schemaRef ds:uri="7d8dd676-26ca-4e08-b90f-b4e0026a58ac"/>
    <ds:schemaRef ds:uri="http://schemas.microsoft.com/office/infopath/2007/PartnerControls"/>
    <ds:schemaRef ds:uri="http://schemas.microsoft.com/office/2006/documentManagement/types"/>
    <ds:schemaRef ds:uri="http://purl.org/dc/terms/"/>
    <ds:schemaRef ds:uri="http://schemas.microsoft.com/sharepoint.v3"/>
    <ds:schemaRef ds:uri="http://schemas.openxmlformats.org/package/2006/metadata/core-properties"/>
    <ds:schemaRef ds:uri="http://www.w3.org/XML/1998/namespace"/>
    <ds:schemaRef ds:uri="4ffa91fb-a0ff-4ac5-b2db-65c790d184a4"/>
    <ds:schemaRef ds:uri="http://schemas.microsoft.com/sharepoint/v3"/>
    <ds:schemaRef ds:uri="http://purl.org/dc/dcmitype/"/>
  </ds:schemaRefs>
</ds:datastoreItem>
</file>

<file path=customXml/itemProps2.xml><?xml version="1.0" encoding="utf-8"?>
<ds:datastoreItem xmlns:ds="http://schemas.openxmlformats.org/officeDocument/2006/customXml" ds:itemID="{16603344-5A0E-432D-820E-1714FD318537}"/>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5.xml><?xml version="1.0" encoding="utf-8"?>
<ds:datastoreItem xmlns:ds="http://schemas.openxmlformats.org/officeDocument/2006/customXml" ds:itemID="{E6054E8F-20A0-483A-B242-4DA220BF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David Cooley</cp:lastModifiedBy>
  <cp:revision>8</cp:revision>
  <dcterms:created xsi:type="dcterms:W3CDTF">2020-04-03T01:00:00Z</dcterms:created>
  <dcterms:modified xsi:type="dcterms:W3CDTF">2020-04-04T11:41:00Z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