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BF60E" w14:textId="03A8ED19" w:rsidR="00D360C1" w:rsidRPr="00A6061A" w:rsidRDefault="00F43ACC" w:rsidP="00387957">
      <w:pPr>
        <w:pStyle w:val="Title"/>
      </w:pPr>
      <w:r>
        <w:t>mining and quarrying</w:t>
      </w:r>
    </w:p>
    <w:p w14:paraId="4E9F133E" w14:textId="77777777" w:rsidR="00D360C1" w:rsidRPr="00886F17" w:rsidRDefault="00D360C1" w:rsidP="00387957">
      <w:pPr>
        <w:pStyle w:val="Heading1"/>
      </w:pPr>
      <w:r w:rsidRPr="00886F17">
        <w:t>Source Category Description</w:t>
      </w:r>
    </w:p>
    <w:p w14:paraId="7F8C93CE" w14:textId="3835EEEA" w:rsidR="00F43ACC" w:rsidRPr="00B86742" w:rsidRDefault="00F43ACC" w:rsidP="00F43ACC">
      <w:pPr>
        <w:rPr>
          <w:rFonts w:eastAsiaTheme="minorHAnsi"/>
          <w:szCs w:val="20"/>
        </w:rPr>
      </w:pPr>
      <w:r w:rsidRPr="00B86742">
        <w:rPr>
          <w:szCs w:val="20"/>
        </w:rPr>
        <w:t>Mining and quarrying activities produce particulate</w:t>
      </w:r>
      <w:r w:rsidR="00271697">
        <w:rPr>
          <w:szCs w:val="20"/>
        </w:rPr>
        <w:t xml:space="preserve"> matter (PM)</w:t>
      </w:r>
      <w:r w:rsidRPr="00B86742">
        <w:rPr>
          <w:szCs w:val="20"/>
        </w:rPr>
        <w:t xml:space="preserve"> emissions due to the variety of processes used to extract the ore and associated overburden, including drilling and blasting, loading and unloading, and overburden replacement. Fugitive dust emissions for mining and quarrying operations are the sum of emissions from the mining of metallic and nonmetallic ores and coal. Each of these mining operations has specific emission</w:t>
      </w:r>
      <w:r w:rsidR="008D3ED8">
        <w:rPr>
          <w:szCs w:val="20"/>
        </w:rPr>
        <w:t>s</w:t>
      </w:r>
      <w:r w:rsidRPr="00B86742">
        <w:rPr>
          <w:szCs w:val="20"/>
        </w:rPr>
        <w:t xml:space="preserve"> factors accounting for the different means by which the resources are extracted.</w:t>
      </w:r>
      <w:r w:rsidRPr="00B86742">
        <w:rPr>
          <w:rFonts w:eastAsiaTheme="minorHAnsi"/>
          <w:szCs w:val="20"/>
        </w:rPr>
        <w:t xml:space="preserve"> </w:t>
      </w:r>
      <w:r w:rsidR="00607C13">
        <w:t>In 2014, mining and quarrying</w:t>
      </w:r>
      <w:r w:rsidR="00781DB4">
        <w:t xml:space="preserve"> in the US, Puerto Rico, and US Virgin Islands</w:t>
      </w:r>
      <w:r w:rsidR="00607C13">
        <w:t xml:space="preserve"> resulted in approximately 585,991 tons of PM10-PRI emissions.</w:t>
      </w:r>
    </w:p>
    <w:p w14:paraId="3B1BD5AE" w14:textId="77777777" w:rsidR="00F43ACC" w:rsidRPr="00B86742" w:rsidRDefault="00F43ACC" w:rsidP="00F43ACC">
      <w:pPr>
        <w:rPr>
          <w:szCs w:val="20"/>
        </w:rPr>
      </w:pPr>
      <w:r w:rsidRPr="00B86742">
        <w:rPr>
          <w:szCs w:val="20"/>
        </w:rPr>
        <w:t xml:space="preserve">For this source category the following SCC </w:t>
      </w:r>
      <w:r w:rsidR="008D3ED8">
        <w:rPr>
          <w:szCs w:val="20"/>
        </w:rPr>
        <w:t>is</w:t>
      </w:r>
      <w:r w:rsidRPr="00B86742">
        <w:rPr>
          <w:szCs w:val="20"/>
        </w:rPr>
        <w:t xml:space="preserve"> assigned:</w:t>
      </w:r>
    </w:p>
    <w:tbl>
      <w:tblPr>
        <w:tblW w:w="9464" w:type="dxa"/>
        <w:tblInd w:w="94" w:type="dxa"/>
        <w:tblLook w:val="04A0" w:firstRow="1" w:lastRow="0" w:firstColumn="1" w:lastColumn="0" w:noHBand="0" w:noVBand="1"/>
      </w:tblPr>
      <w:tblGrid>
        <w:gridCol w:w="1274"/>
        <w:gridCol w:w="1890"/>
        <w:gridCol w:w="3060"/>
        <w:gridCol w:w="1620"/>
        <w:gridCol w:w="1620"/>
      </w:tblGrid>
      <w:tr w:rsidR="00F43ACC" w:rsidRPr="00B86742" w14:paraId="4327885D" w14:textId="77777777" w:rsidTr="00607C13">
        <w:trPr>
          <w:trHeight w:val="330"/>
        </w:trPr>
        <w:tc>
          <w:tcPr>
            <w:tcW w:w="12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492EAA" w14:textId="77777777" w:rsidR="00F43ACC" w:rsidRPr="00B86742" w:rsidRDefault="00607C13" w:rsidP="006A3608">
            <w:pPr>
              <w:spacing w:after="120"/>
              <w:rPr>
                <w:b/>
                <w:bCs/>
                <w:color w:val="000000"/>
                <w:szCs w:val="20"/>
              </w:rPr>
            </w:pPr>
            <w:r>
              <w:rPr>
                <w:b/>
                <w:bCs/>
                <w:color w:val="000000"/>
                <w:szCs w:val="20"/>
              </w:rPr>
              <w:t>SCC</w:t>
            </w:r>
          </w:p>
        </w:tc>
        <w:tc>
          <w:tcPr>
            <w:tcW w:w="18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50E169" w14:textId="77777777" w:rsidR="00F43ACC" w:rsidRPr="00B86742" w:rsidRDefault="00F43ACC" w:rsidP="006A3608">
            <w:pPr>
              <w:spacing w:after="120"/>
              <w:rPr>
                <w:b/>
                <w:bCs/>
                <w:color w:val="000000"/>
                <w:szCs w:val="20"/>
              </w:rPr>
            </w:pPr>
            <w:r w:rsidRPr="00B86742">
              <w:rPr>
                <w:b/>
                <w:bCs/>
                <w:color w:val="000000"/>
                <w:szCs w:val="20"/>
              </w:rPr>
              <w:t xml:space="preserve">SCC Level </w:t>
            </w:r>
            <w:r w:rsidR="00607C13">
              <w:rPr>
                <w:b/>
                <w:bCs/>
                <w:color w:val="000000"/>
                <w:szCs w:val="20"/>
              </w:rPr>
              <w:t>1</w:t>
            </w:r>
          </w:p>
        </w:tc>
        <w:tc>
          <w:tcPr>
            <w:tcW w:w="30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C26F8D" w14:textId="77777777" w:rsidR="00F43ACC" w:rsidRPr="00B86742" w:rsidRDefault="00F43ACC" w:rsidP="006A3608">
            <w:pPr>
              <w:spacing w:after="120"/>
              <w:rPr>
                <w:b/>
                <w:bCs/>
                <w:color w:val="000000"/>
                <w:szCs w:val="20"/>
              </w:rPr>
            </w:pPr>
            <w:r w:rsidRPr="00B86742">
              <w:rPr>
                <w:b/>
                <w:bCs/>
                <w:color w:val="000000"/>
                <w:szCs w:val="20"/>
              </w:rPr>
              <w:t xml:space="preserve">SCC Level </w:t>
            </w:r>
            <w:r w:rsidR="00607C13">
              <w:rPr>
                <w:b/>
                <w:bCs/>
                <w:color w:val="000000"/>
                <w:szCs w:val="20"/>
              </w:rPr>
              <w:t>2</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475EF42" w14:textId="77777777" w:rsidR="00F43ACC" w:rsidRPr="00B86742" w:rsidRDefault="00F43ACC" w:rsidP="006A3608">
            <w:pPr>
              <w:spacing w:after="120"/>
              <w:rPr>
                <w:b/>
                <w:bCs/>
                <w:color w:val="000000"/>
                <w:szCs w:val="20"/>
              </w:rPr>
            </w:pPr>
            <w:r w:rsidRPr="00B86742">
              <w:rPr>
                <w:b/>
                <w:bCs/>
                <w:color w:val="000000"/>
                <w:szCs w:val="20"/>
              </w:rPr>
              <w:t xml:space="preserve">SCC Level </w:t>
            </w:r>
            <w:r w:rsidR="00607C13">
              <w:rPr>
                <w:b/>
                <w:bCs/>
                <w:color w:val="000000"/>
                <w:szCs w:val="20"/>
              </w:rPr>
              <w:t>3</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3747A3A" w14:textId="77777777" w:rsidR="00F43ACC" w:rsidRPr="00B86742" w:rsidRDefault="00F43ACC" w:rsidP="006A3608">
            <w:pPr>
              <w:spacing w:after="120"/>
              <w:rPr>
                <w:b/>
                <w:bCs/>
                <w:color w:val="000000"/>
                <w:szCs w:val="20"/>
              </w:rPr>
            </w:pPr>
            <w:r w:rsidRPr="00B86742">
              <w:rPr>
                <w:b/>
                <w:bCs/>
                <w:color w:val="000000"/>
                <w:szCs w:val="20"/>
              </w:rPr>
              <w:t xml:space="preserve">SCC Level </w:t>
            </w:r>
            <w:r w:rsidR="00607C13">
              <w:rPr>
                <w:b/>
                <w:bCs/>
                <w:color w:val="000000"/>
                <w:szCs w:val="20"/>
              </w:rPr>
              <w:t>4</w:t>
            </w:r>
          </w:p>
        </w:tc>
      </w:tr>
      <w:tr w:rsidR="00F43ACC" w:rsidRPr="00B86742" w14:paraId="47D2199A" w14:textId="77777777" w:rsidTr="006A3608">
        <w:trPr>
          <w:trHeight w:val="323"/>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14:paraId="09621EC7" w14:textId="77777777" w:rsidR="00F43ACC" w:rsidRPr="00B86742" w:rsidRDefault="00F43ACC" w:rsidP="006A3608">
            <w:pPr>
              <w:spacing w:after="0"/>
              <w:rPr>
                <w:color w:val="000000"/>
                <w:szCs w:val="20"/>
              </w:rPr>
            </w:pPr>
            <w:r w:rsidRPr="00B86742">
              <w:rPr>
                <w:color w:val="000000"/>
                <w:szCs w:val="20"/>
              </w:rPr>
              <w:t>2325000000</w:t>
            </w:r>
          </w:p>
        </w:tc>
        <w:tc>
          <w:tcPr>
            <w:tcW w:w="1890" w:type="dxa"/>
            <w:tcBorders>
              <w:top w:val="nil"/>
              <w:left w:val="nil"/>
              <w:bottom w:val="single" w:sz="4" w:space="0" w:color="auto"/>
              <w:right w:val="single" w:sz="4" w:space="0" w:color="auto"/>
            </w:tcBorders>
            <w:shd w:val="clear" w:color="auto" w:fill="auto"/>
            <w:noWrap/>
            <w:vAlign w:val="center"/>
            <w:hideMark/>
          </w:tcPr>
          <w:p w14:paraId="4DA7846F" w14:textId="77777777" w:rsidR="00F43ACC" w:rsidRPr="00B86742" w:rsidRDefault="00F43ACC" w:rsidP="006A3608">
            <w:pPr>
              <w:spacing w:after="0"/>
              <w:rPr>
                <w:color w:val="000000"/>
                <w:szCs w:val="20"/>
              </w:rPr>
            </w:pPr>
            <w:r w:rsidRPr="00B86742">
              <w:rPr>
                <w:color w:val="000000"/>
                <w:szCs w:val="20"/>
              </w:rPr>
              <w:t>Industrial Processes</w:t>
            </w:r>
          </w:p>
        </w:tc>
        <w:tc>
          <w:tcPr>
            <w:tcW w:w="3060" w:type="dxa"/>
            <w:tcBorders>
              <w:top w:val="nil"/>
              <w:left w:val="nil"/>
              <w:bottom w:val="single" w:sz="4" w:space="0" w:color="auto"/>
              <w:right w:val="single" w:sz="4" w:space="0" w:color="auto"/>
            </w:tcBorders>
            <w:shd w:val="clear" w:color="auto" w:fill="auto"/>
            <w:noWrap/>
            <w:vAlign w:val="center"/>
            <w:hideMark/>
          </w:tcPr>
          <w:p w14:paraId="687456F9" w14:textId="77777777" w:rsidR="00F43ACC" w:rsidRPr="00B86742" w:rsidRDefault="00F43ACC" w:rsidP="006A3608">
            <w:pPr>
              <w:spacing w:after="0"/>
              <w:rPr>
                <w:color w:val="000000"/>
                <w:szCs w:val="20"/>
              </w:rPr>
            </w:pPr>
            <w:r w:rsidRPr="00B86742">
              <w:rPr>
                <w:color w:val="000000"/>
                <w:szCs w:val="20"/>
              </w:rPr>
              <w:t>Mining and Quarrying: SIC 14</w:t>
            </w:r>
          </w:p>
        </w:tc>
        <w:tc>
          <w:tcPr>
            <w:tcW w:w="1620" w:type="dxa"/>
            <w:tcBorders>
              <w:top w:val="nil"/>
              <w:left w:val="nil"/>
              <w:bottom w:val="single" w:sz="4" w:space="0" w:color="auto"/>
              <w:right w:val="single" w:sz="4" w:space="0" w:color="auto"/>
            </w:tcBorders>
            <w:shd w:val="clear" w:color="auto" w:fill="auto"/>
            <w:noWrap/>
            <w:vAlign w:val="center"/>
            <w:hideMark/>
          </w:tcPr>
          <w:p w14:paraId="67B30807" w14:textId="77777777" w:rsidR="00F43ACC" w:rsidRPr="00B86742" w:rsidRDefault="00F43ACC" w:rsidP="006A3608">
            <w:pPr>
              <w:spacing w:after="0"/>
              <w:rPr>
                <w:color w:val="000000"/>
                <w:szCs w:val="20"/>
              </w:rPr>
            </w:pPr>
            <w:r w:rsidRPr="00B86742">
              <w:rPr>
                <w:color w:val="000000"/>
                <w:szCs w:val="20"/>
              </w:rPr>
              <w:t>All Processes</w:t>
            </w:r>
          </w:p>
        </w:tc>
        <w:tc>
          <w:tcPr>
            <w:tcW w:w="1620" w:type="dxa"/>
            <w:tcBorders>
              <w:top w:val="nil"/>
              <w:left w:val="nil"/>
              <w:bottom w:val="single" w:sz="4" w:space="0" w:color="auto"/>
              <w:right w:val="single" w:sz="4" w:space="0" w:color="auto"/>
            </w:tcBorders>
            <w:shd w:val="clear" w:color="auto" w:fill="auto"/>
            <w:noWrap/>
            <w:vAlign w:val="center"/>
            <w:hideMark/>
          </w:tcPr>
          <w:p w14:paraId="6DC67995" w14:textId="77777777" w:rsidR="00F43ACC" w:rsidRPr="00B86742" w:rsidRDefault="00F43ACC" w:rsidP="006A3608">
            <w:pPr>
              <w:spacing w:after="0"/>
              <w:rPr>
                <w:color w:val="000000"/>
                <w:szCs w:val="20"/>
              </w:rPr>
            </w:pPr>
            <w:r w:rsidRPr="00B86742">
              <w:rPr>
                <w:color w:val="000000"/>
                <w:szCs w:val="20"/>
              </w:rPr>
              <w:t>Total</w:t>
            </w:r>
          </w:p>
        </w:tc>
      </w:tr>
    </w:tbl>
    <w:p w14:paraId="71CC6CB1" w14:textId="77777777" w:rsidR="00F43ACC" w:rsidRPr="00B86742" w:rsidRDefault="00F43ACC" w:rsidP="006A3608">
      <w:pPr>
        <w:spacing w:after="0"/>
        <w:rPr>
          <w:szCs w:val="20"/>
        </w:rPr>
      </w:pPr>
    </w:p>
    <w:p w14:paraId="279CBD44" w14:textId="77777777" w:rsidR="00D360C1" w:rsidRDefault="00D360C1" w:rsidP="00052E59">
      <w:pPr>
        <w:pStyle w:val="Heading1"/>
      </w:pPr>
      <w:r w:rsidRPr="00052E59">
        <w:t>Overview</w:t>
      </w:r>
      <w:r>
        <w:t xml:space="preserve"> of Calculations</w:t>
      </w:r>
    </w:p>
    <w:p w14:paraId="57DA786B" w14:textId="77777777" w:rsidR="002958BB" w:rsidRPr="002958BB" w:rsidRDefault="0058392B" w:rsidP="0058392B">
      <w:pPr>
        <w:tabs>
          <w:tab w:val="left" w:pos="270"/>
          <w:tab w:val="left" w:pos="990"/>
          <w:tab w:val="left" w:pos="1260"/>
        </w:tabs>
        <w:rPr>
          <w:szCs w:val="20"/>
        </w:rPr>
      </w:pPr>
      <w:r w:rsidRPr="00B86742">
        <w:rPr>
          <w:szCs w:val="20"/>
        </w:rPr>
        <w:t>Four specific activities are included in the emissions estimate for mining and quarrying operations: overburden removal, drilling and blasting, loading and unloading, and overburden replacement. Not included are the transfer and conveyance operations, crushing and screening operations, and storage since the dust emissions from these activities are assumed to be well controlled.</w:t>
      </w:r>
      <w:r>
        <w:rPr>
          <w:szCs w:val="20"/>
        </w:rPr>
        <w:t xml:space="preserve"> </w:t>
      </w:r>
      <w:r w:rsidRPr="00B86742">
        <w:rPr>
          <w:szCs w:val="20"/>
        </w:rPr>
        <w:t>Fugitive dust emissions for mining and quarrying operations are the sum of emissions from the mining of metalli</w:t>
      </w:r>
      <w:r>
        <w:rPr>
          <w:szCs w:val="20"/>
        </w:rPr>
        <w:t xml:space="preserve">c and nonmetallic ores and coal. </w:t>
      </w:r>
      <w:r w:rsidRPr="00B86742">
        <w:rPr>
          <w:szCs w:val="20"/>
        </w:rPr>
        <w:t>Emissions for each activity are calculated</w:t>
      </w:r>
      <w:r>
        <w:rPr>
          <w:szCs w:val="20"/>
        </w:rPr>
        <w:t xml:space="preserve"> by multiplying the emissions factors by the activity data. </w:t>
      </w:r>
      <w:r w:rsidR="00BD4D5F">
        <w:rPr>
          <w:szCs w:val="20"/>
        </w:rPr>
        <w:t xml:space="preserve">The sources of activity data are described in section </w:t>
      </w:r>
      <w:r w:rsidR="00BD4D5F">
        <w:rPr>
          <w:szCs w:val="20"/>
        </w:rPr>
        <w:fldChar w:fldCharType="begin"/>
      </w:r>
      <w:r w:rsidR="00BD4D5F">
        <w:rPr>
          <w:szCs w:val="20"/>
        </w:rPr>
        <w:instrText xml:space="preserve"> REF _Ref477177316 \r \h </w:instrText>
      </w:r>
      <w:r w:rsidR="00BD4D5F">
        <w:rPr>
          <w:szCs w:val="20"/>
        </w:rPr>
      </w:r>
      <w:r w:rsidR="00BD4D5F">
        <w:rPr>
          <w:szCs w:val="20"/>
        </w:rPr>
        <w:fldChar w:fldCharType="separate"/>
      </w:r>
      <w:r w:rsidR="00700556">
        <w:rPr>
          <w:szCs w:val="20"/>
        </w:rPr>
        <w:t>C</w:t>
      </w:r>
      <w:r w:rsidR="00BD4D5F">
        <w:rPr>
          <w:szCs w:val="20"/>
        </w:rPr>
        <w:fldChar w:fldCharType="end"/>
      </w:r>
      <w:r w:rsidR="00BD4D5F">
        <w:rPr>
          <w:szCs w:val="20"/>
        </w:rPr>
        <w:t xml:space="preserve">, the allocation procedure is described in section </w:t>
      </w:r>
      <w:r w:rsidR="00BD4D5F">
        <w:rPr>
          <w:szCs w:val="20"/>
        </w:rPr>
        <w:fldChar w:fldCharType="begin"/>
      </w:r>
      <w:r w:rsidR="00BD4D5F">
        <w:rPr>
          <w:szCs w:val="20"/>
        </w:rPr>
        <w:instrText xml:space="preserve"> REF _Ref477177506 \r \h </w:instrText>
      </w:r>
      <w:r w:rsidR="00BD4D5F">
        <w:rPr>
          <w:szCs w:val="20"/>
        </w:rPr>
      </w:r>
      <w:r w:rsidR="00BD4D5F">
        <w:rPr>
          <w:szCs w:val="20"/>
        </w:rPr>
        <w:fldChar w:fldCharType="separate"/>
      </w:r>
      <w:r w:rsidR="00700556">
        <w:rPr>
          <w:szCs w:val="20"/>
        </w:rPr>
        <w:t>D</w:t>
      </w:r>
      <w:r w:rsidR="00BD4D5F">
        <w:rPr>
          <w:szCs w:val="20"/>
        </w:rPr>
        <w:fldChar w:fldCharType="end"/>
      </w:r>
      <w:r w:rsidR="00BD4D5F">
        <w:rPr>
          <w:szCs w:val="20"/>
        </w:rPr>
        <w:t xml:space="preserve">, the sources of the emissions factors are described in section </w:t>
      </w:r>
      <w:r w:rsidR="00BD4D5F">
        <w:rPr>
          <w:szCs w:val="20"/>
        </w:rPr>
        <w:fldChar w:fldCharType="begin"/>
      </w:r>
      <w:r w:rsidR="00BD4D5F">
        <w:rPr>
          <w:szCs w:val="20"/>
        </w:rPr>
        <w:instrText xml:space="preserve"> REF _Ref477187901 \r \h </w:instrText>
      </w:r>
      <w:r w:rsidR="00BD4D5F">
        <w:rPr>
          <w:szCs w:val="20"/>
        </w:rPr>
      </w:r>
      <w:r w:rsidR="00BD4D5F">
        <w:rPr>
          <w:szCs w:val="20"/>
        </w:rPr>
        <w:fldChar w:fldCharType="separate"/>
      </w:r>
      <w:r w:rsidR="00700556">
        <w:rPr>
          <w:szCs w:val="20"/>
        </w:rPr>
        <w:t>E</w:t>
      </w:r>
      <w:r w:rsidR="00BD4D5F">
        <w:rPr>
          <w:szCs w:val="20"/>
        </w:rPr>
        <w:fldChar w:fldCharType="end"/>
      </w:r>
      <w:r w:rsidR="00BD4D5F">
        <w:rPr>
          <w:szCs w:val="20"/>
        </w:rPr>
        <w:t>, and the s</w:t>
      </w:r>
      <w:r>
        <w:rPr>
          <w:szCs w:val="20"/>
        </w:rPr>
        <w:t xml:space="preserve">ources of data and </w:t>
      </w:r>
      <w:r w:rsidR="00BD4D5F">
        <w:rPr>
          <w:szCs w:val="20"/>
        </w:rPr>
        <w:t xml:space="preserve">emissions </w:t>
      </w:r>
      <w:r>
        <w:rPr>
          <w:szCs w:val="20"/>
        </w:rPr>
        <w:t xml:space="preserve">calculations </w:t>
      </w:r>
      <w:r w:rsidR="00BD4D5F">
        <w:rPr>
          <w:szCs w:val="20"/>
        </w:rPr>
        <w:t xml:space="preserve">are described in section </w:t>
      </w:r>
      <w:r w:rsidR="00BD4D5F">
        <w:rPr>
          <w:szCs w:val="20"/>
        </w:rPr>
        <w:fldChar w:fldCharType="begin"/>
      </w:r>
      <w:r w:rsidR="00BD4D5F">
        <w:rPr>
          <w:szCs w:val="20"/>
        </w:rPr>
        <w:instrText xml:space="preserve"> REF _Ref477177564 \r \h </w:instrText>
      </w:r>
      <w:r w:rsidR="00BD4D5F">
        <w:rPr>
          <w:szCs w:val="20"/>
        </w:rPr>
      </w:r>
      <w:r w:rsidR="00BD4D5F">
        <w:rPr>
          <w:szCs w:val="20"/>
        </w:rPr>
        <w:fldChar w:fldCharType="separate"/>
      </w:r>
      <w:r w:rsidR="00700556">
        <w:rPr>
          <w:szCs w:val="20"/>
        </w:rPr>
        <w:t>G</w:t>
      </w:r>
      <w:r w:rsidR="00BD4D5F">
        <w:rPr>
          <w:szCs w:val="20"/>
        </w:rPr>
        <w:fldChar w:fldCharType="end"/>
      </w:r>
      <w:r w:rsidR="00F43ACC">
        <w:rPr>
          <w:szCs w:val="20"/>
        </w:rPr>
        <w:t xml:space="preserve">. </w:t>
      </w:r>
    </w:p>
    <w:p w14:paraId="38FDA0E3" w14:textId="77777777" w:rsidR="00B97E6E" w:rsidRDefault="00B97E6E" w:rsidP="00052E59">
      <w:pPr>
        <w:pStyle w:val="Heading1"/>
      </w:pPr>
      <w:bookmarkStart w:id="0" w:name="_Ref477177316"/>
      <w:r w:rsidRPr="00886F17">
        <w:t>Activity Data</w:t>
      </w:r>
      <w:bookmarkEnd w:id="0"/>
    </w:p>
    <w:p w14:paraId="7BA178F4" w14:textId="570DF0B1" w:rsidR="00BF1A76" w:rsidRDefault="00720DF7" w:rsidP="00720DF7">
      <w:pPr>
        <w:rPr>
          <w:szCs w:val="20"/>
        </w:rPr>
      </w:pPr>
      <w:r>
        <w:rPr>
          <w:szCs w:val="20"/>
        </w:rPr>
        <w:t xml:space="preserve">Activity data for this source category include </w:t>
      </w:r>
      <w:r w:rsidRPr="00B86742">
        <w:rPr>
          <w:szCs w:val="20"/>
        </w:rPr>
        <w:t>state-level metallic and non-metallic</w:t>
      </w:r>
      <w:r>
        <w:rPr>
          <w:szCs w:val="20"/>
        </w:rPr>
        <w:t xml:space="preserve"> (a.k.a. mineral)</w:t>
      </w:r>
      <w:r w:rsidRPr="00B86742">
        <w:rPr>
          <w:szCs w:val="20"/>
        </w:rPr>
        <w:t xml:space="preserve"> crude ore handled at surface mines from the U.S. Geologic Survey (USGS)</w:t>
      </w:r>
      <w:r w:rsidR="00FC1167">
        <w:rPr>
          <w:szCs w:val="20"/>
          <w:vertAlign w:val="superscript"/>
        </w:rPr>
        <w:t xml:space="preserve"> </w:t>
      </w:r>
      <w:r w:rsidR="00FC1167">
        <w:rPr>
          <w:rStyle w:val="EndnoteReference"/>
          <w:szCs w:val="20"/>
        </w:rPr>
        <w:endnoteReference w:id="2"/>
      </w:r>
      <w:r>
        <w:rPr>
          <w:szCs w:val="20"/>
        </w:rPr>
        <w:t xml:space="preserve"> and mine-</w:t>
      </w:r>
      <w:r w:rsidRPr="00B86742">
        <w:rPr>
          <w:szCs w:val="20"/>
        </w:rPr>
        <w:t>specific coal production data for surface mines from the Energy Information Administration (EIA)</w:t>
      </w:r>
      <w:r w:rsidRPr="00DF1C3F">
        <w:rPr>
          <w:szCs w:val="20"/>
        </w:rPr>
        <w:t>.</w:t>
      </w:r>
      <w:bookmarkStart w:id="1" w:name="_Ref479343268"/>
      <w:r w:rsidR="00FC1167">
        <w:rPr>
          <w:rStyle w:val="EndnoteReference"/>
          <w:szCs w:val="20"/>
        </w:rPr>
        <w:endnoteReference w:id="3"/>
      </w:r>
      <w:bookmarkEnd w:id="1"/>
      <w:r w:rsidRPr="00B86742">
        <w:rPr>
          <w:szCs w:val="20"/>
        </w:rPr>
        <w:t xml:space="preserve"> Emissions </w:t>
      </w:r>
      <w:r w:rsidR="0058392B">
        <w:rPr>
          <w:szCs w:val="20"/>
        </w:rPr>
        <w:t>are</w:t>
      </w:r>
      <w:r w:rsidRPr="00B86742">
        <w:rPr>
          <w:szCs w:val="20"/>
        </w:rPr>
        <w:t xml:space="preserve"> not estimated for underground mining given that emission</w:t>
      </w:r>
      <w:r w:rsidR="00FC1167">
        <w:rPr>
          <w:szCs w:val="20"/>
        </w:rPr>
        <w:t>s</w:t>
      </w:r>
      <w:r w:rsidRPr="00B86742">
        <w:rPr>
          <w:szCs w:val="20"/>
        </w:rPr>
        <w:t xml:space="preserve"> factors are calculated exclusively for surface activity.  </w:t>
      </w:r>
    </w:p>
    <w:p w14:paraId="4634CE57" w14:textId="77777777" w:rsidR="00271697" w:rsidRDefault="00271697" w:rsidP="00271697">
      <w:pPr>
        <w:tabs>
          <w:tab w:val="left" w:pos="0"/>
          <w:tab w:val="center" w:pos="4320"/>
          <w:tab w:val="right" w:pos="8467"/>
        </w:tabs>
        <w:rPr>
          <w:szCs w:val="20"/>
        </w:rPr>
      </w:pPr>
      <w:r>
        <w:rPr>
          <w:szCs w:val="20"/>
        </w:rPr>
        <w:t xml:space="preserve">In some cases the amount of mining waste is withheld for some states to avoid disclosing company proprietary data. To estimate state-level withheld waste data the fraction of crude ore production in the state is multiplied by the </w:t>
      </w:r>
      <w:proofErr w:type="gramStart"/>
      <w:r>
        <w:rPr>
          <w:szCs w:val="20"/>
        </w:rPr>
        <w:t>amount</w:t>
      </w:r>
      <w:proofErr w:type="gramEnd"/>
      <w:r>
        <w:rPr>
          <w:szCs w:val="20"/>
        </w:rPr>
        <w:t xml:space="preserve"> of waste data withheld at the national level. The national-level amount of waste withheld is calculated by subtracting all known state-level waste values (i.e. those that are </w:t>
      </w:r>
      <w:r>
        <w:rPr>
          <w:i/>
          <w:szCs w:val="20"/>
        </w:rPr>
        <w:t xml:space="preserve">not </w:t>
      </w:r>
      <w:r>
        <w:rPr>
          <w:szCs w:val="20"/>
        </w:rPr>
        <w:t>withheld) from the national-level waste value. Note that t</w:t>
      </w:r>
      <w:r w:rsidRPr="00EE539C">
        <w:rPr>
          <w:szCs w:val="20"/>
        </w:rPr>
        <w:t>his</w:t>
      </w:r>
      <w:r>
        <w:rPr>
          <w:szCs w:val="20"/>
        </w:rPr>
        <w:t xml:space="preserve"> calculation only needs to be completed for states where state-level mining waste data are withheld.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271697" w14:paraId="7D67B392" w14:textId="77777777" w:rsidTr="00271697">
        <w:tc>
          <w:tcPr>
            <w:tcW w:w="8748" w:type="dxa"/>
          </w:tcPr>
          <w:p w14:paraId="66E00D42" w14:textId="77777777" w:rsidR="00271697" w:rsidRDefault="0018092A" w:rsidP="00271697">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O</m:t>
                        </m:r>
                      </m:e>
                      <m:sub>
                        <m:r>
                          <w:rPr>
                            <w:rFonts w:ascii="Cambria Math" w:hAnsi="Cambria Math"/>
                            <w:szCs w:val="20"/>
                          </w:rPr>
                          <m:t>s</m:t>
                        </m:r>
                      </m:sub>
                    </m:sSub>
                  </m:num>
                  <m:den>
                    <m:sSub>
                      <m:sSubPr>
                        <m:ctrlPr>
                          <w:rPr>
                            <w:rFonts w:ascii="Cambria Math" w:hAnsi="Cambria Math"/>
                            <w:i/>
                            <w:szCs w:val="20"/>
                          </w:rPr>
                        </m:ctrlPr>
                      </m:sSubPr>
                      <m:e>
                        <m:r>
                          <w:rPr>
                            <w:rFonts w:ascii="Cambria Math" w:hAnsi="Cambria Math"/>
                            <w:szCs w:val="20"/>
                          </w:rPr>
                          <m:t>O</m:t>
                        </m:r>
                      </m:e>
                      <m:sub>
                        <m:r>
                          <w:rPr>
                            <w:rFonts w:ascii="Cambria Math" w:hAnsi="Cambria Math"/>
                            <w:szCs w:val="20"/>
                          </w:rPr>
                          <m:t>US</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US</m:t>
                    </m:r>
                  </m:sub>
                </m:sSub>
              </m:oMath>
            </m:oMathPara>
          </w:p>
        </w:tc>
        <w:tc>
          <w:tcPr>
            <w:tcW w:w="828" w:type="dxa"/>
            <w:vAlign w:val="center"/>
          </w:tcPr>
          <w:p w14:paraId="77DCB13F" w14:textId="77777777" w:rsidR="00271697" w:rsidRPr="00271697" w:rsidRDefault="00271697" w:rsidP="00960B1C">
            <w:pPr>
              <w:pStyle w:val="ListParagraph"/>
              <w:numPr>
                <w:ilvl w:val="0"/>
                <w:numId w:val="29"/>
              </w:numPr>
              <w:tabs>
                <w:tab w:val="left" w:pos="0"/>
                <w:tab w:val="left" w:pos="375"/>
                <w:tab w:val="center" w:pos="4320"/>
                <w:tab w:val="right" w:pos="8467"/>
              </w:tabs>
              <w:spacing w:before="60" w:after="60"/>
              <w:jc w:val="right"/>
              <w:rPr>
                <w:szCs w:val="20"/>
              </w:rPr>
            </w:pPr>
          </w:p>
        </w:tc>
      </w:tr>
    </w:tbl>
    <w:p w14:paraId="1A10082E" w14:textId="77777777" w:rsidR="00271697" w:rsidRDefault="00271697" w:rsidP="00271697">
      <w:pPr>
        <w:rPr>
          <w:szCs w:val="20"/>
        </w:rPr>
      </w:pPr>
      <w:r>
        <w:rPr>
          <w:szCs w:val="20"/>
        </w:rPr>
        <w:t>Where:</w:t>
      </w:r>
    </w:p>
    <w:p w14:paraId="5D2EDCC8" w14:textId="77777777" w:rsidR="00271697" w:rsidRDefault="00271697" w:rsidP="00271697">
      <w:pPr>
        <w:pStyle w:val="NoSpacing"/>
      </w:pPr>
      <w:r>
        <w:tab/>
      </w:r>
      <w:proofErr w:type="spellStart"/>
      <w:r w:rsidRPr="00CC296C">
        <w:rPr>
          <w:i/>
        </w:rPr>
        <w:t>W</w:t>
      </w:r>
      <w:r w:rsidRPr="00CC296C">
        <w:rPr>
          <w:i/>
          <w:vertAlign w:val="subscript"/>
        </w:rPr>
        <w:t>s</w:t>
      </w:r>
      <w:proofErr w:type="spellEnd"/>
      <w:r>
        <w:tab/>
        <w:t>=</w:t>
      </w:r>
      <w:r>
        <w:tab/>
        <w:t xml:space="preserve">Amount of metallic and non-metallic mining waste for </w:t>
      </w:r>
      <w:proofErr w:type="spellStart"/>
      <w:r>
        <w:t xml:space="preserve">state </w:t>
      </w:r>
      <w:r w:rsidRPr="00CC296C">
        <w:rPr>
          <w:i/>
        </w:rPr>
        <w:t>s</w:t>
      </w:r>
      <w:proofErr w:type="spellEnd"/>
      <w:r>
        <w:t xml:space="preserve">, in metric tons </w:t>
      </w:r>
    </w:p>
    <w:p w14:paraId="544EEEC6" w14:textId="77777777" w:rsidR="00271697" w:rsidRDefault="00271697" w:rsidP="00271697">
      <w:pPr>
        <w:pStyle w:val="NoSpacing"/>
      </w:pPr>
      <w:r>
        <w:rPr>
          <w:i/>
        </w:rPr>
        <w:tab/>
      </w:r>
      <w:r w:rsidRPr="00217AF4">
        <w:rPr>
          <w:i/>
        </w:rPr>
        <w:t>W</w:t>
      </w:r>
      <w:r w:rsidRPr="00217AF4">
        <w:rPr>
          <w:i/>
          <w:vertAlign w:val="subscript"/>
        </w:rPr>
        <w:t>US</w:t>
      </w:r>
      <w:r>
        <w:rPr>
          <w:i/>
          <w:vertAlign w:val="subscript"/>
        </w:rPr>
        <w:tab/>
      </w:r>
      <w:r>
        <w:t>=</w:t>
      </w:r>
      <w:r>
        <w:tab/>
        <w:t>Amount of metallic and non-metallic mining waste withheld at the national-level, in metric tons</w:t>
      </w:r>
    </w:p>
    <w:p w14:paraId="75047460" w14:textId="77777777" w:rsidR="00271697" w:rsidRDefault="00271697" w:rsidP="00271697">
      <w:pPr>
        <w:pStyle w:val="NoSpacing"/>
      </w:pPr>
      <w:r>
        <w:tab/>
      </w:r>
      <w:proofErr w:type="spellStart"/>
      <w:r w:rsidRPr="00217AF4">
        <w:rPr>
          <w:i/>
        </w:rPr>
        <w:t>O</w:t>
      </w:r>
      <w:r w:rsidRPr="00217AF4">
        <w:rPr>
          <w:i/>
          <w:vertAlign w:val="subscript"/>
        </w:rPr>
        <w:t>s</w:t>
      </w:r>
      <w:proofErr w:type="spellEnd"/>
      <w:r>
        <w:tab/>
        <w:t>=</w:t>
      </w:r>
      <w:r>
        <w:tab/>
        <w:t xml:space="preserve">Amount of crude ore produced in </w:t>
      </w:r>
      <w:proofErr w:type="spellStart"/>
      <w:r>
        <w:t xml:space="preserve">state </w:t>
      </w:r>
      <w:r>
        <w:rPr>
          <w:i/>
        </w:rPr>
        <w:t>s</w:t>
      </w:r>
      <w:proofErr w:type="spellEnd"/>
      <w:r>
        <w:t xml:space="preserve">, in metric tons </w:t>
      </w:r>
    </w:p>
    <w:p w14:paraId="5B39704A" w14:textId="77777777" w:rsidR="00271697" w:rsidRDefault="00271697" w:rsidP="00271697">
      <w:pPr>
        <w:pStyle w:val="NoSpacing"/>
        <w:spacing w:after="200"/>
      </w:pPr>
      <w:r>
        <w:rPr>
          <w:i/>
        </w:rPr>
        <w:tab/>
        <w:t>O</w:t>
      </w:r>
      <w:r w:rsidRPr="00217AF4">
        <w:rPr>
          <w:i/>
          <w:vertAlign w:val="subscript"/>
        </w:rPr>
        <w:t>US</w:t>
      </w:r>
      <w:r>
        <w:rPr>
          <w:i/>
          <w:vertAlign w:val="subscript"/>
        </w:rPr>
        <w:tab/>
      </w:r>
      <w:r>
        <w:t>=</w:t>
      </w:r>
      <w:r>
        <w:tab/>
        <w:t xml:space="preserve">Amount of crude ore produced at the national-level, in metric tons </w:t>
      </w:r>
    </w:p>
    <w:p w14:paraId="145B3B5F" w14:textId="55096F6B" w:rsidR="00271697" w:rsidRDefault="00EC6AF8" w:rsidP="00474955">
      <w:pPr>
        <w:spacing w:after="240"/>
        <w:rPr>
          <w:szCs w:val="20"/>
        </w:rPr>
      </w:pPr>
      <w:r>
        <w:rPr>
          <w:szCs w:val="20"/>
        </w:rPr>
        <w:t>T</w:t>
      </w:r>
      <w:r w:rsidR="00271697">
        <w:rPr>
          <w:szCs w:val="20"/>
        </w:rPr>
        <w:t xml:space="preserve">he data </w:t>
      </w:r>
      <w:r w:rsidR="00474955">
        <w:rPr>
          <w:szCs w:val="20"/>
        </w:rPr>
        <w:t xml:space="preserve">on </w:t>
      </w:r>
      <w:r w:rsidR="00271697">
        <w:rPr>
          <w:szCs w:val="20"/>
        </w:rPr>
        <w:t xml:space="preserve">state-level mining production and waste </w:t>
      </w:r>
      <w:r>
        <w:rPr>
          <w:szCs w:val="20"/>
        </w:rPr>
        <w:t xml:space="preserve">is split </w:t>
      </w:r>
      <w:r w:rsidR="00271697">
        <w:rPr>
          <w:szCs w:val="20"/>
        </w:rPr>
        <w:t xml:space="preserve">into production and waste for metallic and non-metallic ores using the fraction of national-level metallic and non-metallic ore production. Values are </w:t>
      </w:r>
      <w:r w:rsidR="00474955">
        <w:rPr>
          <w:szCs w:val="20"/>
        </w:rPr>
        <w:t xml:space="preserve">also </w:t>
      </w:r>
      <w:r w:rsidR="00271697">
        <w:rPr>
          <w:szCs w:val="20"/>
        </w:rPr>
        <w:t xml:space="preserve">converted from metric tons to short tons. </w:t>
      </w:r>
      <w:r w:rsidR="00FE1C89">
        <w:rPr>
          <w:szCs w:val="20"/>
        </w:rPr>
        <w:t>Throughout the remainder of this document references to “ton</w:t>
      </w:r>
      <w:r w:rsidR="00161095">
        <w:rPr>
          <w:szCs w:val="20"/>
        </w:rPr>
        <w:t>(</w:t>
      </w:r>
      <w:r w:rsidR="00FE1C89">
        <w:rPr>
          <w:szCs w:val="20"/>
        </w:rPr>
        <w:t>s</w:t>
      </w:r>
      <w:r w:rsidR="00161095">
        <w:rPr>
          <w:szCs w:val="20"/>
        </w:rPr>
        <w:t>)</w:t>
      </w:r>
      <w:r w:rsidR="00FE1C89">
        <w:rPr>
          <w:szCs w:val="20"/>
        </w:rPr>
        <w:t>”</w:t>
      </w:r>
      <w:r w:rsidR="00161095">
        <w:rPr>
          <w:szCs w:val="20"/>
        </w:rPr>
        <w:t xml:space="preserve"> refer</w:t>
      </w:r>
      <w:r w:rsidR="00FE1C89">
        <w:rPr>
          <w:szCs w:val="20"/>
        </w:rPr>
        <w:t xml:space="preserve"> to short tons, while metric tons will be explicitly labeled.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1"/>
        <w:gridCol w:w="809"/>
      </w:tblGrid>
      <w:tr w:rsidR="00271697" w14:paraId="2EDCE26B" w14:textId="77777777" w:rsidTr="002B5506">
        <w:tc>
          <w:tcPr>
            <w:tcW w:w="8748" w:type="dxa"/>
          </w:tcPr>
          <w:p w14:paraId="2035F933" w14:textId="657DBEB5" w:rsidR="00271697" w:rsidRDefault="0018092A" w:rsidP="00EC6AF8">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MP</m:t>
                    </m:r>
                  </m:e>
                  <m:sub>
                    <m:r>
                      <w:rPr>
                        <w:rFonts w:ascii="Cambria Math" w:hAnsi="Cambria Math"/>
                        <w:szCs w:val="20"/>
                      </w:rPr>
                      <m:t>t,s</m:t>
                    </m:r>
                  </m:sub>
                </m:sSub>
                <m:r>
                  <w:rPr>
                    <w:rFonts w:ascii="Cambria Math" w:hAnsi="Cambria Math"/>
                    <w:szCs w:val="20"/>
                  </w:rPr>
                  <m:t>=</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O</m:t>
                        </m:r>
                      </m:e>
                      <m:sub>
                        <m:r>
                          <w:rPr>
                            <w:rFonts w:ascii="Cambria Math" w:hAnsi="Cambria Math"/>
                            <w:szCs w:val="20"/>
                          </w:rPr>
                          <m:t>s</m:t>
                        </m:r>
                      </m:sub>
                    </m:sSub>
                  </m:e>
                </m:d>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MP</m:t>
                        </m:r>
                      </m:e>
                      <m:sub>
                        <m:r>
                          <w:rPr>
                            <w:rFonts w:ascii="Cambria Math" w:hAnsi="Cambria Math"/>
                            <w:szCs w:val="20"/>
                          </w:rPr>
                          <m:t>t,US</m:t>
                        </m:r>
                      </m:sub>
                    </m:sSub>
                  </m:num>
                  <m:den>
                    <m:sSub>
                      <m:sSubPr>
                        <m:ctrlPr>
                          <w:rPr>
                            <w:rFonts w:ascii="Cambria Math" w:hAnsi="Cambria Math"/>
                            <w:i/>
                            <w:szCs w:val="20"/>
                          </w:rPr>
                        </m:ctrlPr>
                      </m:sSubPr>
                      <m:e>
                        <m:r>
                          <w:rPr>
                            <w:rFonts w:ascii="Cambria Math" w:hAnsi="Cambria Math"/>
                            <w:szCs w:val="20"/>
                          </w:rPr>
                          <m:t>MP</m:t>
                        </m:r>
                      </m:e>
                      <m:sub>
                        <m:r>
                          <w:rPr>
                            <w:rFonts w:ascii="Cambria Math" w:hAnsi="Cambria Math"/>
                            <w:szCs w:val="20"/>
                          </w:rPr>
                          <m:t>US</m:t>
                        </m:r>
                      </m:sub>
                    </m:sSub>
                  </m:den>
                </m:f>
                <m:r>
                  <w:rPr>
                    <w:rFonts w:ascii="Cambria Math" w:hAnsi="Cambria Math"/>
                    <w:szCs w:val="20"/>
                  </w:rPr>
                  <m:t>×1.1023</m:t>
                </m:r>
                <m:f>
                  <m:fPr>
                    <m:type m:val="skw"/>
                    <m:ctrlPr>
                      <w:rPr>
                        <w:rFonts w:ascii="Cambria Math" w:hAnsi="Cambria Math"/>
                        <w:i/>
                        <w:szCs w:val="20"/>
                      </w:rPr>
                    </m:ctrlPr>
                  </m:fPr>
                  <m:num>
                    <m:r>
                      <w:rPr>
                        <w:rFonts w:ascii="Cambria Math" w:hAnsi="Cambria Math"/>
                        <w:szCs w:val="20"/>
                      </w:rPr>
                      <m:t>ton</m:t>
                    </m:r>
                  </m:num>
                  <m:den>
                    <m:r>
                      <w:rPr>
                        <w:rFonts w:ascii="Cambria Math" w:hAnsi="Cambria Math"/>
                        <w:szCs w:val="20"/>
                      </w:rPr>
                      <m:t>metric ton</m:t>
                    </m:r>
                  </m:den>
                </m:f>
              </m:oMath>
            </m:oMathPara>
          </w:p>
        </w:tc>
        <w:tc>
          <w:tcPr>
            <w:tcW w:w="828" w:type="dxa"/>
            <w:vAlign w:val="center"/>
          </w:tcPr>
          <w:p w14:paraId="66D773F9" w14:textId="77777777" w:rsidR="00271697" w:rsidRPr="00271697" w:rsidRDefault="00271697" w:rsidP="00EC6AF8">
            <w:pPr>
              <w:pStyle w:val="ListParagraph"/>
              <w:numPr>
                <w:ilvl w:val="0"/>
                <w:numId w:val="29"/>
              </w:numPr>
              <w:tabs>
                <w:tab w:val="left" w:pos="0"/>
                <w:tab w:val="center" w:pos="4320"/>
                <w:tab w:val="right" w:pos="8467"/>
              </w:tabs>
              <w:spacing w:before="60" w:after="60"/>
              <w:jc w:val="right"/>
              <w:rPr>
                <w:szCs w:val="20"/>
              </w:rPr>
            </w:pPr>
          </w:p>
        </w:tc>
      </w:tr>
    </w:tbl>
    <w:p w14:paraId="01ABAF0E" w14:textId="77777777" w:rsidR="00271697" w:rsidRDefault="00271697" w:rsidP="00271697">
      <w:pPr>
        <w:tabs>
          <w:tab w:val="left" w:pos="6780"/>
        </w:tabs>
        <w:rPr>
          <w:szCs w:val="20"/>
        </w:rPr>
      </w:pPr>
      <w:r>
        <w:rPr>
          <w:szCs w:val="20"/>
        </w:rPr>
        <w:t>Where:</w:t>
      </w:r>
      <w:r>
        <w:rPr>
          <w:szCs w:val="20"/>
        </w:rPr>
        <w:tab/>
      </w:r>
    </w:p>
    <w:p w14:paraId="1DEFF46B" w14:textId="240A0EBB" w:rsidR="00271697" w:rsidRDefault="00271697" w:rsidP="00EC6AF8">
      <w:pPr>
        <w:pStyle w:val="NoSpacing"/>
        <w:ind w:left="1620" w:hanging="1620"/>
      </w:pPr>
      <w:r>
        <w:rPr>
          <w:i/>
        </w:rPr>
        <w:tab/>
      </w:r>
      <w:proofErr w:type="spellStart"/>
      <w:r w:rsidRPr="004A365C">
        <w:rPr>
          <w:i/>
        </w:rPr>
        <w:t>MP</w:t>
      </w:r>
      <w:r>
        <w:rPr>
          <w:i/>
        </w:rPr>
        <w:t>t</w:t>
      </w:r>
      <w:proofErr w:type="gramStart"/>
      <w:r>
        <w:rPr>
          <w:i/>
        </w:rPr>
        <w:t>,</w:t>
      </w:r>
      <w:r w:rsidRPr="004A365C">
        <w:rPr>
          <w:i/>
          <w:vertAlign w:val="subscript"/>
        </w:rPr>
        <w:t>s</w:t>
      </w:r>
      <w:proofErr w:type="spellEnd"/>
      <w:proofErr w:type="gramEnd"/>
      <w:r>
        <w:rPr>
          <w:i/>
          <w:vertAlign w:val="subscript"/>
        </w:rPr>
        <w:tab/>
      </w:r>
      <w:r>
        <w:t>=</w:t>
      </w:r>
      <w:r>
        <w:tab/>
        <w:t xml:space="preserve">Amount of mining material type </w:t>
      </w:r>
      <w:r>
        <w:rPr>
          <w:i/>
        </w:rPr>
        <w:t xml:space="preserve">t </w:t>
      </w:r>
      <w:r>
        <w:t xml:space="preserve">(i.e. either metallic or non-metallic ore) produced in </w:t>
      </w:r>
      <w:proofErr w:type="spellStart"/>
      <w:r>
        <w:t xml:space="preserve">state </w:t>
      </w:r>
      <w:r>
        <w:rPr>
          <w:i/>
        </w:rPr>
        <w:t>s</w:t>
      </w:r>
      <w:proofErr w:type="spellEnd"/>
      <w:r>
        <w:t>, in tons</w:t>
      </w:r>
    </w:p>
    <w:p w14:paraId="2F97B730" w14:textId="77777777" w:rsidR="00EC6AF8" w:rsidRDefault="00EC6AF8" w:rsidP="00EC6AF8">
      <w:pPr>
        <w:pStyle w:val="NoSpacing"/>
      </w:pPr>
      <w:r>
        <w:tab/>
      </w:r>
      <w:proofErr w:type="spellStart"/>
      <w:r w:rsidRPr="00CC296C">
        <w:rPr>
          <w:i/>
        </w:rPr>
        <w:t>W</w:t>
      </w:r>
      <w:r w:rsidRPr="00CC296C">
        <w:rPr>
          <w:i/>
          <w:vertAlign w:val="subscript"/>
        </w:rPr>
        <w:t>s</w:t>
      </w:r>
      <w:proofErr w:type="spellEnd"/>
      <w:r>
        <w:tab/>
        <w:t>=</w:t>
      </w:r>
      <w:r>
        <w:tab/>
        <w:t xml:space="preserve">Amount of </w:t>
      </w:r>
      <w:r w:rsidR="00474955">
        <w:t xml:space="preserve">total </w:t>
      </w:r>
      <w:r>
        <w:t xml:space="preserve">metallic and non-metallic mining waste for </w:t>
      </w:r>
      <w:proofErr w:type="spellStart"/>
      <w:r>
        <w:t xml:space="preserve">state </w:t>
      </w:r>
      <w:r w:rsidRPr="00CC296C">
        <w:rPr>
          <w:i/>
        </w:rPr>
        <w:t>s</w:t>
      </w:r>
      <w:proofErr w:type="spellEnd"/>
      <w:r>
        <w:t xml:space="preserve">, in metric tons </w:t>
      </w:r>
    </w:p>
    <w:p w14:paraId="09C27637" w14:textId="77777777" w:rsidR="00EC6AF8" w:rsidRDefault="00EC6AF8" w:rsidP="00EC6AF8">
      <w:pPr>
        <w:pStyle w:val="NoSpacing"/>
      </w:pPr>
      <w:r>
        <w:tab/>
      </w:r>
      <w:proofErr w:type="spellStart"/>
      <w:r w:rsidRPr="00217AF4">
        <w:rPr>
          <w:i/>
        </w:rPr>
        <w:t>O</w:t>
      </w:r>
      <w:r w:rsidRPr="00217AF4">
        <w:rPr>
          <w:i/>
          <w:vertAlign w:val="subscript"/>
        </w:rPr>
        <w:t>s</w:t>
      </w:r>
      <w:proofErr w:type="spellEnd"/>
      <w:r>
        <w:tab/>
        <w:t>=</w:t>
      </w:r>
      <w:r>
        <w:tab/>
        <w:t xml:space="preserve">Amount of crude ore produced in </w:t>
      </w:r>
      <w:proofErr w:type="spellStart"/>
      <w:r>
        <w:t xml:space="preserve">state </w:t>
      </w:r>
      <w:r>
        <w:rPr>
          <w:i/>
        </w:rPr>
        <w:t>s</w:t>
      </w:r>
      <w:proofErr w:type="spellEnd"/>
      <w:r>
        <w:t xml:space="preserve">, in metric tons </w:t>
      </w:r>
    </w:p>
    <w:p w14:paraId="4753BE57" w14:textId="77777777" w:rsidR="00271697" w:rsidRDefault="00EC6AF8" w:rsidP="00271697">
      <w:pPr>
        <w:pStyle w:val="NoSpacing"/>
      </w:pPr>
      <w:r>
        <w:rPr>
          <w:i/>
        </w:rPr>
        <w:tab/>
      </w:r>
      <w:proofErr w:type="spellStart"/>
      <w:r w:rsidR="00271697" w:rsidRPr="004A365C">
        <w:rPr>
          <w:i/>
        </w:rPr>
        <w:t>MP</w:t>
      </w:r>
      <w:r w:rsidR="00271697" w:rsidRPr="00EE3FDB">
        <w:rPr>
          <w:i/>
          <w:vertAlign w:val="subscript"/>
        </w:rPr>
        <w:t>t</w:t>
      </w:r>
      <w:proofErr w:type="gramStart"/>
      <w:r w:rsidR="00271697" w:rsidRPr="00EE3FDB">
        <w:rPr>
          <w:i/>
          <w:vertAlign w:val="subscript"/>
        </w:rPr>
        <w:t>,</w:t>
      </w:r>
      <w:r w:rsidR="00271697" w:rsidRPr="004A365C">
        <w:rPr>
          <w:i/>
          <w:vertAlign w:val="subscript"/>
        </w:rPr>
        <w:t>US</w:t>
      </w:r>
      <w:proofErr w:type="spellEnd"/>
      <w:proofErr w:type="gramEnd"/>
      <w:r w:rsidR="00271697">
        <w:rPr>
          <w:i/>
          <w:vertAlign w:val="subscript"/>
        </w:rPr>
        <w:tab/>
      </w:r>
      <w:r w:rsidR="00271697">
        <w:t>=</w:t>
      </w:r>
      <w:r w:rsidR="00271697">
        <w:tab/>
        <w:t xml:space="preserve">Amount of mining material type </w:t>
      </w:r>
      <w:r w:rsidR="00271697">
        <w:rPr>
          <w:i/>
        </w:rPr>
        <w:t>t</w:t>
      </w:r>
      <w:r w:rsidR="00271697">
        <w:t xml:space="preserve"> produced at the national-level, in metric tons</w:t>
      </w:r>
    </w:p>
    <w:p w14:paraId="6CEC24AF" w14:textId="77777777" w:rsidR="00271697" w:rsidRDefault="00271697" w:rsidP="00271697">
      <w:pPr>
        <w:pStyle w:val="NoSpacing"/>
        <w:spacing w:after="200"/>
      </w:pPr>
      <w:r>
        <w:rPr>
          <w:i/>
        </w:rPr>
        <w:tab/>
        <w:t>MP</w:t>
      </w:r>
      <w:r w:rsidRPr="004A365C">
        <w:rPr>
          <w:i/>
          <w:vertAlign w:val="subscript"/>
        </w:rPr>
        <w:t>US</w:t>
      </w:r>
      <w:r>
        <w:rPr>
          <w:i/>
          <w:vertAlign w:val="subscript"/>
        </w:rPr>
        <w:tab/>
      </w:r>
      <w:r>
        <w:t>=</w:t>
      </w:r>
      <w:r>
        <w:tab/>
        <w:t>Total metallic and non-metallic ore production at the national-level, in metric tons</w:t>
      </w:r>
    </w:p>
    <w:p w14:paraId="71A26E22" w14:textId="77777777" w:rsidR="00271697" w:rsidRPr="00271697" w:rsidRDefault="00271697" w:rsidP="00720DF7">
      <w:pPr>
        <w:rPr>
          <w:szCs w:val="20"/>
        </w:rPr>
      </w:pPr>
    </w:p>
    <w:p w14:paraId="31B93517" w14:textId="77777777" w:rsidR="00B97E6E" w:rsidRDefault="007D6365" w:rsidP="00052E59">
      <w:pPr>
        <w:pStyle w:val="Heading1"/>
      </w:pPr>
      <w:bookmarkStart w:id="2" w:name="_Ref477177506"/>
      <w:r>
        <w:t>A</w:t>
      </w:r>
      <w:r w:rsidR="00B97E6E" w:rsidRPr="00203DFF">
        <w:t>llocation Procedure</w:t>
      </w:r>
      <w:bookmarkEnd w:id="2"/>
      <w:r w:rsidR="00B97E6E" w:rsidRPr="009820A2">
        <w:t xml:space="preserve"> </w:t>
      </w:r>
    </w:p>
    <w:p w14:paraId="2DCEA238" w14:textId="77777777" w:rsidR="00EC6AF8" w:rsidRDefault="00EC6AF8" w:rsidP="00EC6AF8">
      <w:pPr>
        <w:rPr>
          <w:szCs w:val="20"/>
        </w:rPr>
      </w:pPr>
      <w:bookmarkStart w:id="3" w:name="_Ref477177456"/>
      <w:r>
        <w:rPr>
          <w:szCs w:val="20"/>
        </w:rPr>
        <w:t xml:space="preserve">The state-level data on metallic and non-metallic mining materials (from equation 2) is distributed to the county level based on the proportion of employees in the metallic and non-metallic ore sectors (see </w:t>
      </w:r>
      <w:r>
        <w:rPr>
          <w:szCs w:val="20"/>
        </w:rPr>
        <w:fldChar w:fldCharType="begin"/>
      </w:r>
      <w:r>
        <w:rPr>
          <w:szCs w:val="20"/>
        </w:rPr>
        <w:instrText xml:space="preserve"> REF _Ref479326079 \h </w:instrText>
      </w:r>
      <w:r>
        <w:rPr>
          <w:szCs w:val="20"/>
        </w:rPr>
      </w:r>
      <w:r>
        <w:rPr>
          <w:szCs w:val="20"/>
        </w:rPr>
        <w:fldChar w:fldCharType="separate"/>
      </w:r>
      <w:r w:rsidR="00700556" w:rsidRPr="009644AD">
        <w:rPr>
          <w:szCs w:val="20"/>
        </w:rPr>
        <w:t xml:space="preserve">Table </w:t>
      </w:r>
      <w:r w:rsidR="00700556">
        <w:rPr>
          <w:noProof/>
          <w:szCs w:val="20"/>
        </w:rPr>
        <w:t>1</w:t>
      </w:r>
      <w:r>
        <w:rPr>
          <w:szCs w:val="20"/>
        </w:rPr>
        <w:fldChar w:fldCharType="end"/>
      </w:r>
      <w:r w:rsidRPr="00B86742">
        <w:rPr>
          <w:szCs w:val="20"/>
        </w:rPr>
        <w:t xml:space="preserve"> for a list of NAICS codes)</w:t>
      </w:r>
      <w:r>
        <w:rPr>
          <w:szCs w:val="20"/>
        </w:rPr>
        <w:t>, from the U.S. Census Bureau County Business Patterns.</w:t>
      </w:r>
      <w:bookmarkStart w:id="4" w:name="_Ref479341245"/>
      <w:r>
        <w:rPr>
          <w:rStyle w:val="EndnoteReference"/>
          <w:szCs w:val="20"/>
        </w:rPr>
        <w:endnoteReference w:id="4"/>
      </w:r>
      <w:bookmarkEnd w:id="4"/>
      <w:r>
        <w:rPr>
          <w:szCs w:val="20"/>
        </w:rPr>
        <w:t xml:space="preserve"> Separate fractions are determined for metallic ore mining employees and non-metallic ore mining employees in each county.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EC6AF8" w14:paraId="4D8147A5" w14:textId="77777777" w:rsidTr="002B5506">
        <w:tc>
          <w:tcPr>
            <w:tcW w:w="8748" w:type="dxa"/>
          </w:tcPr>
          <w:p w14:paraId="7A184E4B" w14:textId="77777777" w:rsidR="00EC6AF8"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t,s</m:t>
                        </m:r>
                      </m:sub>
                    </m:sSub>
                  </m:den>
                </m:f>
              </m:oMath>
            </m:oMathPara>
          </w:p>
        </w:tc>
        <w:tc>
          <w:tcPr>
            <w:tcW w:w="828" w:type="dxa"/>
            <w:vAlign w:val="center"/>
          </w:tcPr>
          <w:p w14:paraId="640E6AE1" w14:textId="77777777" w:rsidR="00EC6AF8" w:rsidRPr="00271697" w:rsidRDefault="00EC6AF8" w:rsidP="00960B1C">
            <w:pPr>
              <w:pStyle w:val="ListParagraph"/>
              <w:numPr>
                <w:ilvl w:val="0"/>
                <w:numId w:val="29"/>
              </w:numPr>
              <w:tabs>
                <w:tab w:val="left" w:pos="0"/>
                <w:tab w:val="left" w:pos="374"/>
                <w:tab w:val="center" w:pos="4320"/>
                <w:tab w:val="right" w:pos="8467"/>
              </w:tabs>
              <w:spacing w:before="60" w:after="60"/>
              <w:jc w:val="right"/>
              <w:rPr>
                <w:szCs w:val="20"/>
              </w:rPr>
            </w:pPr>
          </w:p>
        </w:tc>
      </w:tr>
    </w:tbl>
    <w:p w14:paraId="43E6DF46" w14:textId="77777777" w:rsidR="00EC6AF8" w:rsidRDefault="00EC6AF8" w:rsidP="00EC6AF8">
      <w:pPr>
        <w:rPr>
          <w:szCs w:val="20"/>
        </w:rPr>
      </w:pPr>
      <w:r w:rsidRPr="00EE3FDB">
        <w:rPr>
          <w:szCs w:val="20"/>
        </w:rPr>
        <w:t>Where:</w:t>
      </w:r>
    </w:p>
    <w:p w14:paraId="10F61EBE" w14:textId="77777777" w:rsidR="00EC6AF8" w:rsidRPr="007026FD" w:rsidRDefault="00EC6AF8" w:rsidP="00EC6AF8">
      <w:pPr>
        <w:pStyle w:val="NoSpacing"/>
      </w:pPr>
      <w:r>
        <w:rPr>
          <w:i/>
        </w:rPr>
        <w:tab/>
      </w:r>
      <w:proofErr w:type="spellStart"/>
      <w:r>
        <w:rPr>
          <w:i/>
        </w:rPr>
        <w:t>EmpFrac</w:t>
      </w:r>
      <w:r w:rsidRPr="00EE3FDB">
        <w:rPr>
          <w:i/>
          <w:vertAlign w:val="subscript"/>
        </w:rPr>
        <w:t>t</w:t>
      </w:r>
      <w:proofErr w:type="gramStart"/>
      <w:r>
        <w:rPr>
          <w:i/>
        </w:rPr>
        <w:t>,</w:t>
      </w:r>
      <w:r w:rsidRPr="00ED598D">
        <w:rPr>
          <w:i/>
          <w:vertAlign w:val="subscript"/>
        </w:rPr>
        <w:t>c</w:t>
      </w:r>
      <w:proofErr w:type="spellEnd"/>
      <w:proofErr w:type="gramEnd"/>
      <w:r>
        <w:rPr>
          <w:vertAlign w:val="subscript"/>
        </w:rPr>
        <w:tab/>
      </w:r>
      <w:r>
        <w:t xml:space="preserve">= The fraction of mining employees for material type </w:t>
      </w:r>
      <w:r>
        <w:rPr>
          <w:i/>
        </w:rPr>
        <w:t>t</w:t>
      </w:r>
      <w:r>
        <w:t xml:space="preserve"> in county </w:t>
      </w:r>
      <w:r>
        <w:rPr>
          <w:i/>
        </w:rPr>
        <w:t>c</w:t>
      </w:r>
    </w:p>
    <w:p w14:paraId="4DB1CF17" w14:textId="77777777" w:rsidR="00EC6AF8" w:rsidRPr="007026FD" w:rsidRDefault="00EC6AF8" w:rsidP="00EC6AF8">
      <w:pPr>
        <w:pStyle w:val="NoSpacing"/>
        <w:rPr>
          <w:i/>
        </w:rPr>
      </w:pPr>
      <w:r>
        <w:rPr>
          <w:i/>
        </w:rPr>
        <w:tab/>
      </w:r>
      <w:proofErr w:type="spellStart"/>
      <w:r>
        <w:rPr>
          <w:i/>
        </w:rPr>
        <w:t>Emp</w:t>
      </w:r>
      <w:r>
        <w:rPr>
          <w:i/>
          <w:vertAlign w:val="subscript"/>
        </w:rPr>
        <w:t>t</w:t>
      </w:r>
      <w:proofErr w:type="gramStart"/>
      <w:r>
        <w:rPr>
          <w:i/>
          <w:vertAlign w:val="subscript"/>
        </w:rPr>
        <w:t>,c</w:t>
      </w:r>
      <w:proofErr w:type="spellEnd"/>
      <w:proofErr w:type="gramEnd"/>
      <w:r>
        <w:rPr>
          <w:i/>
        </w:rPr>
        <w:tab/>
      </w:r>
      <w:r>
        <w:rPr>
          <w:i/>
        </w:rPr>
        <w:tab/>
      </w:r>
      <w:r>
        <w:t>=</w:t>
      </w:r>
      <w:r>
        <w:tab/>
        <w:t xml:space="preserve">The number of mining employees for material type </w:t>
      </w:r>
      <w:r>
        <w:rPr>
          <w:i/>
        </w:rPr>
        <w:t xml:space="preserve">t </w:t>
      </w:r>
      <w:r>
        <w:t xml:space="preserve">in county </w:t>
      </w:r>
      <w:r>
        <w:rPr>
          <w:i/>
        </w:rPr>
        <w:t>c</w:t>
      </w:r>
    </w:p>
    <w:p w14:paraId="69615F9D" w14:textId="77777777" w:rsidR="00EC6AF8" w:rsidRPr="007026FD" w:rsidRDefault="00EC6AF8" w:rsidP="00EC6AF8">
      <w:pPr>
        <w:pStyle w:val="NoSpacing"/>
        <w:spacing w:after="200"/>
        <w:rPr>
          <w:i/>
        </w:rPr>
      </w:pPr>
      <w:r>
        <w:rPr>
          <w:i/>
        </w:rPr>
        <w:tab/>
      </w:r>
      <w:proofErr w:type="spellStart"/>
      <w:r>
        <w:rPr>
          <w:i/>
        </w:rPr>
        <w:t>Emp</w:t>
      </w:r>
      <w:r>
        <w:rPr>
          <w:i/>
          <w:vertAlign w:val="subscript"/>
        </w:rPr>
        <w:t>t</w:t>
      </w:r>
      <w:proofErr w:type="gramStart"/>
      <w:r>
        <w:rPr>
          <w:i/>
          <w:vertAlign w:val="subscript"/>
        </w:rPr>
        <w:t>,s</w:t>
      </w:r>
      <w:proofErr w:type="spellEnd"/>
      <w:proofErr w:type="gramEnd"/>
      <w:r>
        <w:rPr>
          <w:i/>
        </w:rPr>
        <w:tab/>
      </w:r>
      <w:r>
        <w:rPr>
          <w:i/>
        </w:rPr>
        <w:tab/>
      </w:r>
      <w:r>
        <w:t>=</w:t>
      </w:r>
      <w:r>
        <w:tab/>
        <w:t xml:space="preserve">The number of mining employees for material type </w:t>
      </w:r>
      <w:r>
        <w:rPr>
          <w:i/>
        </w:rPr>
        <w:t xml:space="preserve">t </w:t>
      </w:r>
      <w:r>
        <w:t xml:space="preserve">in state </w:t>
      </w:r>
      <w:r>
        <w:rPr>
          <w:i/>
        </w:rPr>
        <w:t>s</w:t>
      </w:r>
    </w:p>
    <w:p w14:paraId="28F3A239" w14:textId="77777777" w:rsidR="00EC6AF8" w:rsidRDefault="00EC6AF8" w:rsidP="00EC6AF8">
      <w:pPr>
        <w:pStyle w:val="Caption"/>
        <w:keepNext/>
        <w:spacing w:after="0"/>
        <w:jc w:val="center"/>
        <w:rPr>
          <w:color w:val="auto"/>
          <w:sz w:val="20"/>
          <w:szCs w:val="20"/>
        </w:rPr>
      </w:pPr>
      <w:bookmarkStart w:id="5" w:name="_Ref479326079"/>
      <w:r w:rsidRPr="009644AD">
        <w:rPr>
          <w:color w:val="auto"/>
          <w:sz w:val="20"/>
          <w:szCs w:val="20"/>
        </w:rPr>
        <w:t xml:space="preserve">Table </w:t>
      </w:r>
      <w:r w:rsidRPr="009644AD">
        <w:rPr>
          <w:color w:val="auto"/>
          <w:sz w:val="20"/>
          <w:szCs w:val="20"/>
        </w:rPr>
        <w:fldChar w:fldCharType="begin"/>
      </w:r>
      <w:r w:rsidRPr="009644AD">
        <w:rPr>
          <w:color w:val="auto"/>
          <w:sz w:val="20"/>
          <w:szCs w:val="20"/>
        </w:rPr>
        <w:instrText xml:space="preserve"> SEQ Table \* ARABIC </w:instrText>
      </w:r>
      <w:r w:rsidRPr="009644AD">
        <w:rPr>
          <w:color w:val="auto"/>
          <w:sz w:val="20"/>
          <w:szCs w:val="20"/>
        </w:rPr>
        <w:fldChar w:fldCharType="separate"/>
      </w:r>
      <w:r w:rsidR="00700556">
        <w:rPr>
          <w:noProof/>
          <w:color w:val="auto"/>
          <w:sz w:val="20"/>
          <w:szCs w:val="20"/>
        </w:rPr>
        <w:t>1</w:t>
      </w:r>
      <w:r w:rsidRPr="009644AD">
        <w:rPr>
          <w:color w:val="auto"/>
          <w:sz w:val="20"/>
          <w:szCs w:val="20"/>
        </w:rPr>
        <w:fldChar w:fldCharType="end"/>
      </w:r>
      <w:bookmarkEnd w:id="5"/>
      <w:r w:rsidRPr="009644AD">
        <w:rPr>
          <w:color w:val="auto"/>
          <w:sz w:val="20"/>
          <w:szCs w:val="20"/>
        </w:rPr>
        <w:t>. NAICS Codes for Metallic and Non-Metallic Mining</w:t>
      </w:r>
    </w:p>
    <w:p w14:paraId="2A410E22" w14:textId="77777777" w:rsidR="00EC6AF8" w:rsidRPr="009644AD" w:rsidRDefault="00EC6AF8" w:rsidP="00EC6AF8">
      <w:pPr>
        <w:spacing w:after="0"/>
      </w:pPr>
    </w:p>
    <w:tbl>
      <w:tblPr>
        <w:tblStyle w:val="TableGrid"/>
        <w:tblW w:w="0" w:type="auto"/>
        <w:jc w:val="center"/>
        <w:tblLook w:val="04A0" w:firstRow="1" w:lastRow="0" w:firstColumn="1" w:lastColumn="0" w:noHBand="0" w:noVBand="1"/>
      </w:tblPr>
      <w:tblGrid>
        <w:gridCol w:w="1548"/>
        <w:gridCol w:w="7172"/>
      </w:tblGrid>
      <w:tr w:rsidR="00EC6AF8" w:rsidRPr="00B86742" w14:paraId="408C1E82" w14:textId="77777777" w:rsidTr="002B5506">
        <w:trPr>
          <w:trHeight w:val="330"/>
          <w:tblHeader/>
          <w:jc w:val="center"/>
        </w:trPr>
        <w:tc>
          <w:tcPr>
            <w:tcW w:w="1548" w:type="dxa"/>
            <w:shd w:val="clear" w:color="auto" w:fill="BFBFBF" w:themeFill="background1" w:themeFillShade="BF"/>
            <w:noWrap/>
            <w:vAlign w:val="center"/>
            <w:hideMark/>
          </w:tcPr>
          <w:p w14:paraId="44D67269" w14:textId="77777777" w:rsidR="00EC6AF8" w:rsidRPr="00B86742" w:rsidRDefault="00EC6AF8" w:rsidP="002B5506">
            <w:pPr>
              <w:rPr>
                <w:b/>
                <w:szCs w:val="20"/>
              </w:rPr>
            </w:pPr>
            <w:r w:rsidRPr="00B86742">
              <w:rPr>
                <w:b/>
                <w:szCs w:val="20"/>
              </w:rPr>
              <w:t>NAICS Code</w:t>
            </w:r>
          </w:p>
        </w:tc>
        <w:tc>
          <w:tcPr>
            <w:tcW w:w="7172" w:type="dxa"/>
            <w:shd w:val="clear" w:color="auto" w:fill="BFBFBF" w:themeFill="background1" w:themeFillShade="BF"/>
            <w:noWrap/>
            <w:vAlign w:val="center"/>
            <w:hideMark/>
          </w:tcPr>
          <w:p w14:paraId="400BCED0" w14:textId="77777777" w:rsidR="00EC6AF8" w:rsidRPr="00B86742" w:rsidRDefault="00EC6AF8" w:rsidP="002B5506">
            <w:pPr>
              <w:rPr>
                <w:b/>
                <w:szCs w:val="20"/>
              </w:rPr>
            </w:pPr>
            <w:r w:rsidRPr="00B86742">
              <w:rPr>
                <w:b/>
                <w:szCs w:val="20"/>
              </w:rPr>
              <w:t>Description</w:t>
            </w:r>
          </w:p>
        </w:tc>
      </w:tr>
      <w:tr w:rsidR="00EC6AF8" w:rsidRPr="00B86742" w14:paraId="36F727B7" w14:textId="77777777" w:rsidTr="002B5506">
        <w:trPr>
          <w:trHeight w:val="20"/>
          <w:jc w:val="center"/>
        </w:trPr>
        <w:tc>
          <w:tcPr>
            <w:tcW w:w="1548" w:type="dxa"/>
            <w:noWrap/>
            <w:vAlign w:val="center"/>
            <w:hideMark/>
          </w:tcPr>
          <w:p w14:paraId="51375FAB" w14:textId="77777777" w:rsidR="00EC6AF8" w:rsidRPr="00B86742" w:rsidRDefault="00EC6AF8" w:rsidP="002B5506">
            <w:pPr>
              <w:rPr>
                <w:szCs w:val="20"/>
              </w:rPr>
            </w:pPr>
            <w:r w:rsidRPr="00B86742">
              <w:rPr>
                <w:szCs w:val="20"/>
              </w:rPr>
              <w:t>2122</w:t>
            </w:r>
          </w:p>
        </w:tc>
        <w:tc>
          <w:tcPr>
            <w:tcW w:w="7172" w:type="dxa"/>
            <w:noWrap/>
            <w:vAlign w:val="center"/>
            <w:hideMark/>
          </w:tcPr>
          <w:p w14:paraId="18AC868C" w14:textId="77777777" w:rsidR="00EC6AF8" w:rsidRPr="00B86742" w:rsidRDefault="00EC6AF8" w:rsidP="002B5506">
            <w:pPr>
              <w:rPr>
                <w:szCs w:val="20"/>
              </w:rPr>
            </w:pPr>
            <w:r w:rsidRPr="00B86742">
              <w:rPr>
                <w:szCs w:val="20"/>
              </w:rPr>
              <w:t>Metal Ore Mining</w:t>
            </w:r>
          </w:p>
        </w:tc>
      </w:tr>
      <w:tr w:rsidR="00EC6AF8" w:rsidRPr="00B86742" w14:paraId="433F246E" w14:textId="77777777" w:rsidTr="002B5506">
        <w:trPr>
          <w:trHeight w:val="20"/>
          <w:jc w:val="center"/>
        </w:trPr>
        <w:tc>
          <w:tcPr>
            <w:tcW w:w="1548" w:type="dxa"/>
            <w:noWrap/>
            <w:vAlign w:val="center"/>
            <w:hideMark/>
          </w:tcPr>
          <w:p w14:paraId="2917802F" w14:textId="77777777" w:rsidR="00EC6AF8" w:rsidRPr="00B86742" w:rsidRDefault="00EC6AF8" w:rsidP="002B5506">
            <w:pPr>
              <w:rPr>
                <w:szCs w:val="20"/>
              </w:rPr>
            </w:pPr>
            <w:r w:rsidRPr="00B86742">
              <w:rPr>
                <w:szCs w:val="20"/>
              </w:rPr>
              <w:t>212210</w:t>
            </w:r>
          </w:p>
        </w:tc>
        <w:tc>
          <w:tcPr>
            <w:tcW w:w="7172" w:type="dxa"/>
            <w:noWrap/>
            <w:vAlign w:val="center"/>
            <w:hideMark/>
          </w:tcPr>
          <w:p w14:paraId="531A51E1" w14:textId="77777777" w:rsidR="00EC6AF8" w:rsidRPr="00B86742" w:rsidRDefault="00EC6AF8" w:rsidP="002B5506">
            <w:pPr>
              <w:rPr>
                <w:szCs w:val="20"/>
              </w:rPr>
            </w:pPr>
            <w:r w:rsidRPr="00B86742">
              <w:rPr>
                <w:szCs w:val="20"/>
              </w:rPr>
              <w:t>Iron Ore Mining</w:t>
            </w:r>
          </w:p>
        </w:tc>
      </w:tr>
      <w:tr w:rsidR="00EC6AF8" w:rsidRPr="00B86742" w14:paraId="2901F2A3" w14:textId="77777777" w:rsidTr="002B5506">
        <w:trPr>
          <w:trHeight w:val="20"/>
          <w:jc w:val="center"/>
        </w:trPr>
        <w:tc>
          <w:tcPr>
            <w:tcW w:w="1548" w:type="dxa"/>
            <w:noWrap/>
            <w:vAlign w:val="center"/>
            <w:hideMark/>
          </w:tcPr>
          <w:p w14:paraId="21BDFB2C" w14:textId="77777777" w:rsidR="00EC6AF8" w:rsidRPr="00B86742" w:rsidRDefault="00EC6AF8" w:rsidP="002B5506">
            <w:pPr>
              <w:rPr>
                <w:szCs w:val="20"/>
              </w:rPr>
            </w:pPr>
            <w:r w:rsidRPr="00B86742">
              <w:rPr>
                <w:szCs w:val="20"/>
              </w:rPr>
              <w:t>21222</w:t>
            </w:r>
          </w:p>
        </w:tc>
        <w:tc>
          <w:tcPr>
            <w:tcW w:w="7172" w:type="dxa"/>
            <w:noWrap/>
            <w:vAlign w:val="center"/>
            <w:hideMark/>
          </w:tcPr>
          <w:p w14:paraId="093C7EF8" w14:textId="77777777" w:rsidR="00EC6AF8" w:rsidRPr="00B86742" w:rsidRDefault="00EC6AF8" w:rsidP="002B5506">
            <w:pPr>
              <w:rPr>
                <w:szCs w:val="20"/>
              </w:rPr>
            </w:pPr>
            <w:r w:rsidRPr="00B86742">
              <w:rPr>
                <w:szCs w:val="20"/>
              </w:rPr>
              <w:t>Gold Ore and Silver Ore Mining</w:t>
            </w:r>
          </w:p>
        </w:tc>
      </w:tr>
      <w:tr w:rsidR="00EC6AF8" w:rsidRPr="00B86742" w14:paraId="2F193EDB" w14:textId="77777777" w:rsidTr="002B5506">
        <w:trPr>
          <w:trHeight w:val="20"/>
          <w:jc w:val="center"/>
        </w:trPr>
        <w:tc>
          <w:tcPr>
            <w:tcW w:w="1548" w:type="dxa"/>
            <w:noWrap/>
            <w:vAlign w:val="center"/>
            <w:hideMark/>
          </w:tcPr>
          <w:p w14:paraId="18F5372F" w14:textId="77777777" w:rsidR="00EC6AF8" w:rsidRPr="00B86742" w:rsidRDefault="00EC6AF8" w:rsidP="002B5506">
            <w:pPr>
              <w:rPr>
                <w:szCs w:val="20"/>
              </w:rPr>
            </w:pPr>
            <w:r w:rsidRPr="00B86742">
              <w:rPr>
                <w:szCs w:val="20"/>
              </w:rPr>
              <w:t>212221</w:t>
            </w:r>
          </w:p>
        </w:tc>
        <w:tc>
          <w:tcPr>
            <w:tcW w:w="7172" w:type="dxa"/>
            <w:noWrap/>
            <w:vAlign w:val="center"/>
            <w:hideMark/>
          </w:tcPr>
          <w:p w14:paraId="692C2593" w14:textId="77777777" w:rsidR="00EC6AF8" w:rsidRPr="00B86742" w:rsidRDefault="00EC6AF8" w:rsidP="002B5506">
            <w:pPr>
              <w:rPr>
                <w:szCs w:val="20"/>
              </w:rPr>
            </w:pPr>
            <w:r w:rsidRPr="00B86742">
              <w:rPr>
                <w:szCs w:val="20"/>
              </w:rPr>
              <w:t>Gold Ore Mining</w:t>
            </w:r>
          </w:p>
        </w:tc>
      </w:tr>
      <w:tr w:rsidR="00EC6AF8" w:rsidRPr="00B86742" w14:paraId="66D01075" w14:textId="77777777" w:rsidTr="002B5506">
        <w:trPr>
          <w:trHeight w:val="20"/>
          <w:jc w:val="center"/>
        </w:trPr>
        <w:tc>
          <w:tcPr>
            <w:tcW w:w="1548" w:type="dxa"/>
            <w:noWrap/>
            <w:vAlign w:val="center"/>
            <w:hideMark/>
          </w:tcPr>
          <w:p w14:paraId="66C8A7EB" w14:textId="77777777" w:rsidR="00EC6AF8" w:rsidRPr="00B86742" w:rsidRDefault="00EC6AF8" w:rsidP="002B5506">
            <w:pPr>
              <w:rPr>
                <w:szCs w:val="20"/>
              </w:rPr>
            </w:pPr>
            <w:r w:rsidRPr="00B86742">
              <w:rPr>
                <w:szCs w:val="20"/>
              </w:rPr>
              <w:t>212222</w:t>
            </w:r>
          </w:p>
        </w:tc>
        <w:tc>
          <w:tcPr>
            <w:tcW w:w="7172" w:type="dxa"/>
            <w:noWrap/>
            <w:vAlign w:val="center"/>
            <w:hideMark/>
          </w:tcPr>
          <w:p w14:paraId="49C3139C" w14:textId="77777777" w:rsidR="00EC6AF8" w:rsidRPr="00B86742" w:rsidRDefault="00EC6AF8" w:rsidP="002B5506">
            <w:pPr>
              <w:rPr>
                <w:szCs w:val="20"/>
              </w:rPr>
            </w:pPr>
            <w:r w:rsidRPr="00B86742">
              <w:rPr>
                <w:szCs w:val="20"/>
              </w:rPr>
              <w:t>Silver Ore Mining</w:t>
            </w:r>
          </w:p>
        </w:tc>
      </w:tr>
      <w:tr w:rsidR="00EC6AF8" w:rsidRPr="00B86742" w14:paraId="3E2EC265" w14:textId="77777777" w:rsidTr="002B5506">
        <w:trPr>
          <w:trHeight w:val="20"/>
          <w:jc w:val="center"/>
        </w:trPr>
        <w:tc>
          <w:tcPr>
            <w:tcW w:w="1548" w:type="dxa"/>
            <w:noWrap/>
            <w:vAlign w:val="center"/>
            <w:hideMark/>
          </w:tcPr>
          <w:p w14:paraId="6809F67A" w14:textId="77777777" w:rsidR="00EC6AF8" w:rsidRPr="00B86742" w:rsidRDefault="00EC6AF8" w:rsidP="002B5506">
            <w:pPr>
              <w:rPr>
                <w:szCs w:val="20"/>
              </w:rPr>
            </w:pPr>
            <w:r w:rsidRPr="00B86742">
              <w:rPr>
                <w:szCs w:val="20"/>
              </w:rPr>
              <w:t>21223</w:t>
            </w:r>
          </w:p>
        </w:tc>
        <w:tc>
          <w:tcPr>
            <w:tcW w:w="7172" w:type="dxa"/>
            <w:noWrap/>
            <w:vAlign w:val="center"/>
            <w:hideMark/>
          </w:tcPr>
          <w:p w14:paraId="6048FEEC" w14:textId="77777777" w:rsidR="00EC6AF8" w:rsidRPr="00B86742" w:rsidRDefault="00EC6AF8" w:rsidP="002B5506">
            <w:pPr>
              <w:rPr>
                <w:szCs w:val="20"/>
              </w:rPr>
            </w:pPr>
            <w:r w:rsidRPr="00B86742">
              <w:rPr>
                <w:szCs w:val="20"/>
              </w:rPr>
              <w:t>Copper, Nickel, Lead, and Zinc Mining</w:t>
            </w:r>
          </w:p>
        </w:tc>
      </w:tr>
      <w:tr w:rsidR="00EC6AF8" w:rsidRPr="00B86742" w14:paraId="6AEE53BB" w14:textId="77777777" w:rsidTr="002B5506">
        <w:trPr>
          <w:trHeight w:val="20"/>
          <w:jc w:val="center"/>
        </w:trPr>
        <w:tc>
          <w:tcPr>
            <w:tcW w:w="1548" w:type="dxa"/>
            <w:noWrap/>
            <w:vAlign w:val="center"/>
            <w:hideMark/>
          </w:tcPr>
          <w:p w14:paraId="475B32C0" w14:textId="77777777" w:rsidR="00EC6AF8" w:rsidRPr="00B86742" w:rsidRDefault="00EC6AF8" w:rsidP="002B5506">
            <w:pPr>
              <w:rPr>
                <w:szCs w:val="20"/>
              </w:rPr>
            </w:pPr>
            <w:r w:rsidRPr="00B86742">
              <w:rPr>
                <w:szCs w:val="20"/>
              </w:rPr>
              <w:t>212231</w:t>
            </w:r>
          </w:p>
        </w:tc>
        <w:tc>
          <w:tcPr>
            <w:tcW w:w="7172" w:type="dxa"/>
            <w:noWrap/>
            <w:vAlign w:val="center"/>
            <w:hideMark/>
          </w:tcPr>
          <w:p w14:paraId="49E843DD" w14:textId="77777777" w:rsidR="00EC6AF8" w:rsidRPr="00B86742" w:rsidRDefault="00EC6AF8" w:rsidP="002B5506">
            <w:pPr>
              <w:rPr>
                <w:szCs w:val="20"/>
              </w:rPr>
            </w:pPr>
            <w:r w:rsidRPr="00B86742">
              <w:rPr>
                <w:szCs w:val="20"/>
              </w:rPr>
              <w:t>Lead Ore and Zinc Ore Mining</w:t>
            </w:r>
          </w:p>
        </w:tc>
      </w:tr>
      <w:tr w:rsidR="00EC6AF8" w:rsidRPr="00B86742" w14:paraId="18662C1F" w14:textId="77777777" w:rsidTr="002B5506">
        <w:trPr>
          <w:trHeight w:val="20"/>
          <w:jc w:val="center"/>
        </w:trPr>
        <w:tc>
          <w:tcPr>
            <w:tcW w:w="1548" w:type="dxa"/>
            <w:noWrap/>
            <w:vAlign w:val="center"/>
            <w:hideMark/>
          </w:tcPr>
          <w:p w14:paraId="2FE66BED" w14:textId="77777777" w:rsidR="00EC6AF8" w:rsidRPr="00B86742" w:rsidRDefault="00EC6AF8" w:rsidP="002B5506">
            <w:pPr>
              <w:rPr>
                <w:szCs w:val="20"/>
              </w:rPr>
            </w:pPr>
            <w:r w:rsidRPr="00B86742">
              <w:rPr>
                <w:szCs w:val="20"/>
              </w:rPr>
              <w:t>212234</w:t>
            </w:r>
          </w:p>
        </w:tc>
        <w:tc>
          <w:tcPr>
            <w:tcW w:w="7172" w:type="dxa"/>
            <w:noWrap/>
            <w:vAlign w:val="center"/>
            <w:hideMark/>
          </w:tcPr>
          <w:p w14:paraId="6CC7BEF6" w14:textId="77777777" w:rsidR="00EC6AF8" w:rsidRPr="00B86742" w:rsidRDefault="00EC6AF8" w:rsidP="002B5506">
            <w:pPr>
              <w:rPr>
                <w:szCs w:val="20"/>
              </w:rPr>
            </w:pPr>
            <w:r w:rsidRPr="00B86742">
              <w:rPr>
                <w:szCs w:val="20"/>
              </w:rPr>
              <w:t>Copper Ore and Nickel Ore Mining</w:t>
            </w:r>
          </w:p>
        </w:tc>
      </w:tr>
      <w:tr w:rsidR="00EC6AF8" w:rsidRPr="00B86742" w14:paraId="13CE465E" w14:textId="77777777" w:rsidTr="002B5506">
        <w:trPr>
          <w:trHeight w:val="20"/>
          <w:jc w:val="center"/>
        </w:trPr>
        <w:tc>
          <w:tcPr>
            <w:tcW w:w="1548" w:type="dxa"/>
            <w:noWrap/>
            <w:vAlign w:val="center"/>
            <w:hideMark/>
          </w:tcPr>
          <w:p w14:paraId="562928E7" w14:textId="77777777" w:rsidR="00EC6AF8" w:rsidRPr="00B86742" w:rsidRDefault="00EC6AF8" w:rsidP="002B5506">
            <w:pPr>
              <w:rPr>
                <w:szCs w:val="20"/>
              </w:rPr>
            </w:pPr>
            <w:r w:rsidRPr="00B86742">
              <w:rPr>
                <w:szCs w:val="20"/>
              </w:rPr>
              <w:t>21229</w:t>
            </w:r>
          </w:p>
        </w:tc>
        <w:tc>
          <w:tcPr>
            <w:tcW w:w="7172" w:type="dxa"/>
            <w:noWrap/>
            <w:vAlign w:val="center"/>
            <w:hideMark/>
          </w:tcPr>
          <w:p w14:paraId="4C38BE0A" w14:textId="77777777" w:rsidR="00EC6AF8" w:rsidRPr="00B86742" w:rsidRDefault="00EC6AF8" w:rsidP="002B5506">
            <w:pPr>
              <w:rPr>
                <w:szCs w:val="20"/>
              </w:rPr>
            </w:pPr>
            <w:r w:rsidRPr="00B86742">
              <w:rPr>
                <w:szCs w:val="20"/>
              </w:rPr>
              <w:t>Other Metal Ore Mining</w:t>
            </w:r>
          </w:p>
        </w:tc>
      </w:tr>
      <w:tr w:rsidR="00EC6AF8" w:rsidRPr="00B86742" w14:paraId="069D1FAF" w14:textId="77777777" w:rsidTr="002B5506">
        <w:trPr>
          <w:trHeight w:val="20"/>
          <w:jc w:val="center"/>
        </w:trPr>
        <w:tc>
          <w:tcPr>
            <w:tcW w:w="1548" w:type="dxa"/>
            <w:noWrap/>
            <w:vAlign w:val="center"/>
            <w:hideMark/>
          </w:tcPr>
          <w:p w14:paraId="0BA314C3" w14:textId="77777777" w:rsidR="00EC6AF8" w:rsidRPr="00B86742" w:rsidRDefault="00EC6AF8" w:rsidP="002B5506">
            <w:pPr>
              <w:rPr>
                <w:szCs w:val="20"/>
              </w:rPr>
            </w:pPr>
            <w:r w:rsidRPr="00B86742">
              <w:rPr>
                <w:szCs w:val="20"/>
              </w:rPr>
              <w:t>212291</w:t>
            </w:r>
          </w:p>
        </w:tc>
        <w:tc>
          <w:tcPr>
            <w:tcW w:w="7172" w:type="dxa"/>
            <w:noWrap/>
            <w:vAlign w:val="center"/>
            <w:hideMark/>
          </w:tcPr>
          <w:p w14:paraId="3245CE11" w14:textId="77777777" w:rsidR="00EC6AF8" w:rsidRPr="00B86742" w:rsidRDefault="00EC6AF8" w:rsidP="002B5506">
            <w:pPr>
              <w:rPr>
                <w:szCs w:val="20"/>
              </w:rPr>
            </w:pPr>
            <w:r w:rsidRPr="00B86742">
              <w:rPr>
                <w:szCs w:val="20"/>
              </w:rPr>
              <w:t>Uranium-Radium-Vanadium Ore Mining</w:t>
            </w:r>
          </w:p>
        </w:tc>
      </w:tr>
      <w:tr w:rsidR="00EC6AF8" w:rsidRPr="00B86742" w14:paraId="6A1A2D3C" w14:textId="77777777" w:rsidTr="002B5506">
        <w:trPr>
          <w:trHeight w:val="20"/>
          <w:jc w:val="center"/>
        </w:trPr>
        <w:tc>
          <w:tcPr>
            <w:tcW w:w="1548" w:type="dxa"/>
            <w:noWrap/>
            <w:vAlign w:val="center"/>
            <w:hideMark/>
          </w:tcPr>
          <w:p w14:paraId="6E50C3E8" w14:textId="77777777" w:rsidR="00EC6AF8" w:rsidRPr="00B86742" w:rsidRDefault="00EC6AF8" w:rsidP="002B5506">
            <w:pPr>
              <w:rPr>
                <w:szCs w:val="20"/>
              </w:rPr>
            </w:pPr>
            <w:r w:rsidRPr="00B86742">
              <w:rPr>
                <w:szCs w:val="20"/>
              </w:rPr>
              <w:t>212299</w:t>
            </w:r>
          </w:p>
        </w:tc>
        <w:tc>
          <w:tcPr>
            <w:tcW w:w="7172" w:type="dxa"/>
            <w:noWrap/>
            <w:vAlign w:val="center"/>
            <w:hideMark/>
          </w:tcPr>
          <w:p w14:paraId="5B5F86C9" w14:textId="77777777" w:rsidR="00EC6AF8" w:rsidRPr="00B86742" w:rsidRDefault="00EC6AF8" w:rsidP="002B5506">
            <w:pPr>
              <w:rPr>
                <w:szCs w:val="20"/>
              </w:rPr>
            </w:pPr>
            <w:r w:rsidRPr="00B86742">
              <w:rPr>
                <w:szCs w:val="20"/>
              </w:rPr>
              <w:t>All Other Metal Ore Mining</w:t>
            </w:r>
          </w:p>
        </w:tc>
      </w:tr>
      <w:tr w:rsidR="00EC6AF8" w:rsidRPr="00B86742" w14:paraId="26CBA529" w14:textId="77777777" w:rsidTr="002B5506">
        <w:trPr>
          <w:trHeight w:val="20"/>
          <w:jc w:val="center"/>
        </w:trPr>
        <w:tc>
          <w:tcPr>
            <w:tcW w:w="1548" w:type="dxa"/>
            <w:noWrap/>
            <w:vAlign w:val="center"/>
            <w:hideMark/>
          </w:tcPr>
          <w:p w14:paraId="4AB48756" w14:textId="77777777" w:rsidR="00EC6AF8" w:rsidRPr="00B86742" w:rsidRDefault="00EC6AF8" w:rsidP="002B5506">
            <w:pPr>
              <w:rPr>
                <w:szCs w:val="20"/>
              </w:rPr>
            </w:pPr>
            <w:r w:rsidRPr="00B86742">
              <w:rPr>
                <w:szCs w:val="20"/>
              </w:rPr>
              <w:t>2123</w:t>
            </w:r>
          </w:p>
        </w:tc>
        <w:tc>
          <w:tcPr>
            <w:tcW w:w="7172" w:type="dxa"/>
            <w:noWrap/>
            <w:vAlign w:val="center"/>
            <w:hideMark/>
          </w:tcPr>
          <w:p w14:paraId="4CB894BF" w14:textId="77777777" w:rsidR="00EC6AF8" w:rsidRPr="00B86742" w:rsidRDefault="00EC6AF8" w:rsidP="002B5506">
            <w:pPr>
              <w:rPr>
                <w:szCs w:val="20"/>
              </w:rPr>
            </w:pPr>
            <w:r w:rsidRPr="00B86742">
              <w:rPr>
                <w:szCs w:val="20"/>
              </w:rPr>
              <w:t>Nonmetallic Mineral Mining and Quarrying</w:t>
            </w:r>
          </w:p>
        </w:tc>
      </w:tr>
      <w:tr w:rsidR="00EC6AF8" w:rsidRPr="00B86742" w14:paraId="16EB30A4" w14:textId="77777777" w:rsidTr="002B5506">
        <w:trPr>
          <w:trHeight w:val="20"/>
          <w:jc w:val="center"/>
        </w:trPr>
        <w:tc>
          <w:tcPr>
            <w:tcW w:w="1548" w:type="dxa"/>
            <w:noWrap/>
            <w:vAlign w:val="center"/>
            <w:hideMark/>
          </w:tcPr>
          <w:p w14:paraId="468351C8" w14:textId="77777777" w:rsidR="00EC6AF8" w:rsidRPr="00B86742" w:rsidRDefault="00EC6AF8" w:rsidP="002B5506">
            <w:pPr>
              <w:rPr>
                <w:szCs w:val="20"/>
              </w:rPr>
            </w:pPr>
            <w:r w:rsidRPr="00B86742">
              <w:rPr>
                <w:szCs w:val="20"/>
              </w:rPr>
              <w:t>21231</w:t>
            </w:r>
          </w:p>
        </w:tc>
        <w:tc>
          <w:tcPr>
            <w:tcW w:w="7172" w:type="dxa"/>
            <w:noWrap/>
            <w:vAlign w:val="center"/>
            <w:hideMark/>
          </w:tcPr>
          <w:p w14:paraId="1E3C3E28" w14:textId="77777777" w:rsidR="00EC6AF8" w:rsidRPr="00B86742" w:rsidRDefault="00EC6AF8" w:rsidP="002B5506">
            <w:pPr>
              <w:rPr>
                <w:szCs w:val="20"/>
              </w:rPr>
            </w:pPr>
            <w:r w:rsidRPr="00B86742">
              <w:rPr>
                <w:szCs w:val="20"/>
              </w:rPr>
              <w:t>Stone Mining and Quarrying</w:t>
            </w:r>
          </w:p>
        </w:tc>
      </w:tr>
      <w:tr w:rsidR="00EC6AF8" w:rsidRPr="00B86742" w14:paraId="19D1D2CE" w14:textId="77777777" w:rsidTr="002B5506">
        <w:trPr>
          <w:trHeight w:val="20"/>
          <w:jc w:val="center"/>
        </w:trPr>
        <w:tc>
          <w:tcPr>
            <w:tcW w:w="1548" w:type="dxa"/>
            <w:noWrap/>
            <w:vAlign w:val="center"/>
            <w:hideMark/>
          </w:tcPr>
          <w:p w14:paraId="48A07B7F" w14:textId="77777777" w:rsidR="00EC6AF8" w:rsidRPr="00B86742" w:rsidRDefault="00EC6AF8" w:rsidP="002B5506">
            <w:pPr>
              <w:rPr>
                <w:szCs w:val="20"/>
              </w:rPr>
            </w:pPr>
            <w:r w:rsidRPr="00B86742">
              <w:rPr>
                <w:szCs w:val="20"/>
              </w:rPr>
              <w:t>212311</w:t>
            </w:r>
          </w:p>
        </w:tc>
        <w:tc>
          <w:tcPr>
            <w:tcW w:w="7172" w:type="dxa"/>
            <w:noWrap/>
            <w:vAlign w:val="center"/>
            <w:hideMark/>
          </w:tcPr>
          <w:p w14:paraId="0FFB39EB" w14:textId="77777777" w:rsidR="00EC6AF8" w:rsidRPr="00B86742" w:rsidRDefault="00EC6AF8" w:rsidP="002B5506">
            <w:pPr>
              <w:rPr>
                <w:szCs w:val="20"/>
              </w:rPr>
            </w:pPr>
            <w:r w:rsidRPr="00B86742">
              <w:rPr>
                <w:szCs w:val="20"/>
              </w:rPr>
              <w:t>Dimension Stone Mining and Quarrying</w:t>
            </w:r>
          </w:p>
        </w:tc>
      </w:tr>
      <w:tr w:rsidR="00EC6AF8" w:rsidRPr="00B86742" w14:paraId="24922340" w14:textId="77777777" w:rsidTr="002B5506">
        <w:trPr>
          <w:trHeight w:val="20"/>
          <w:jc w:val="center"/>
        </w:trPr>
        <w:tc>
          <w:tcPr>
            <w:tcW w:w="1548" w:type="dxa"/>
            <w:noWrap/>
            <w:vAlign w:val="center"/>
            <w:hideMark/>
          </w:tcPr>
          <w:p w14:paraId="1E6808CA" w14:textId="77777777" w:rsidR="00EC6AF8" w:rsidRPr="00B86742" w:rsidRDefault="00EC6AF8" w:rsidP="002B5506">
            <w:pPr>
              <w:rPr>
                <w:szCs w:val="20"/>
              </w:rPr>
            </w:pPr>
            <w:r w:rsidRPr="00B86742">
              <w:rPr>
                <w:szCs w:val="20"/>
              </w:rPr>
              <w:t>212312</w:t>
            </w:r>
          </w:p>
        </w:tc>
        <w:tc>
          <w:tcPr>
            <w:tcW w:w="7172" w:type="dxa"/>
            <w:noWrap/>
            <w:vAlign w:val="center"/>
            <w:hideMark/>
          </w:tcPr>
          <w:p w14:paraId="6123171C" w14:textId="77777777" w:rsidR="00EC6AF8" w:rsidRPr="00B86742" w:rsidRDefault="00EC6AF8" w:rsidP="002B5506">
            <w:pPr>
              <w:rPr>
                <w:szCs w:val="20"/>
              </w:rPr>
            </w:pPr>
            <w:r w:rsidRPr="00B86742">
              <w:rPr>
                <w:szCs w:val="20"/>
              </w:rPr>
              <w:t>Crushed and Broken Limestone Mining and Quarrying</w:t>
            </w:r>
          </w:p>
        </w:tc>
      </w:tr>
      <w:tr w:rsidR="00EC6AF8" w:rsidRPr="00B86742" w14:paraId="7AE2454D" w14:textId="77777777" w:rsidTr="002B5506">
        <w:trPr>
          <w:trHeight w:val="20"/>
          <w:jc w:val="center"/>
        </w:trPr>
        <w:tc>
          <w:tcPr>
            <w:tcW w:w="1548" w:type="dxa"/>
            <w:noWrap/>
            <w:vAlign w:val="center"/>
            <w:hideMark/>
          </w:tcPr>
          <w:p w14:paraId="5D16CED0" w14:textId="77777777" w:rsidR="00EC6AF8" w:rsidRPr="00B86742" w:rsidRDefault="00EC6AF8" w:rsidP="002B5506">
            <w:pPr>
              <w:rPr>
                <w:szCs w:val="20"/>
              </w:rPr>
            </w:pPr>
            <w:r w:rsidRPr="00B86742">
              <w:rPr>
                <w:szCs w:val="20"/>
              </w:rPr>
              <w:t>212313</w:t>
            </w:r>
          </w:p>
        </w:tc>
        <w:tc>
          <w:tcPr>
            <w:tcW w:w="7172" w:type="dxa"/>
            <w:noWrap/>
            <w:vAlign w:val="center"/>
            <w:hideMark/>
          </w:tcPr>
          <w:p w14:paraId="2A2D76D2" w14:textId="77777777" w:rsidR="00EC6AF8" w:rsidRPr="00B86742" w:rsidRDefault="00EC6AF8" w:rsidP="002B5506">
            <w:pPr>
              <w:rPr>
                <w:szCs w:val="20"/>
              </w:rPr>
            </w:pPr>
            <w:r w:rsidRPr="00B86742">
              <w:rPr>
                <w:szCs w:val="20"/>
              </w:rPr>
              <w:t>Crushed and Broken Granite Mining and Quarrying</w:t>
            </w:r>
          </w:p>
        </w:tc>
      </w:tr>
      <w:tr w:rsidR="00EC6AF8" w:rsidRPr="00B86742" w14:paraId="03EEBB7B" w14:textId="77777777" w:rsidTr="002B5506">
        <w:trPr>
          <w:trHeight w:val="20"/>
          <w:jc w:val="center"/>
        </w:trPr>
        <w:tc>
          <w:tcPr>
            <w:tcW w:w="1548" w:type="dxa"/>
            <w:noWrap/>
            <w:vAlign w:val="center"/>
            <w:hideMark/>
          </w:tcPr>
          <w:p w14:paraId="2B329D38" w14:textId="77777777" w:rsidR="00EC6AF8" w:rsidRPr="00B86742" w:rsidRDefault="00EC6AF8" w:rsidP="002B5506">
            <w:pPr>
              <w:rPr>
                <w:szCs w:val="20"/>
              </w:rPr>
            </w:pPr>
            <w:r w:rsidRPr="00B86742">
              <w:rPr>
                <w:szCs w:val="20"/>
              </w:rPr>
              <w:t>212319</w:t>
            </w:r>
          </w:p>
        </w:tc>
        <w:tc>
          <w:tcPr>
            <w:tcW w:w="7172" w:type="dxa"/>
            <w:noWrap/>
            <w:vAlign w:val="center"/>
            <w:hideMark/>
          </w:tcPr>
          <w:p w14:paraId="40E9ABBE" w14:textId="77777777" w:rsidR="00EC6AF8" w:rsidRPr="00B86742" w:rsidRDefault="00EC6AF8" w:rsidP="002B5506">
            <w:pPr>
              <w:rPr>
                <w:szCs w:val="20"/>
              </w:rPr>
            </w:pPr>
            <w:r w:rsidRPr="00B86742">
              <w:rPr>
                <w:szCs w:val="20"/>
              </w:rPr>
              <w:t>Other Crushed and Broken Stone Mining and Quarrying</w:t>
            </w:r>
          </w:p>
        </w:tc>
      </w:tr>
      <w:tr w:rsidR="00EC6AF8" w:rsidRPr="00B86742" w14:paraId="49F80F35" w14:textId="77777777" w:rsidTr="002B5506">
        <w:trPr>
          <w:trHeight w:val="20"/>
          <w:jc w:val="center"/>
        </w:trPr>
        <w:tc>
          <w:tcPr>
            <w:tcW w:w="1548" w:type="dxa"/>
            <w:noWrap/>
            <w:vAlign w:val="center"/>
            <w:hideMark/>
          </w:tcPr>
          <w:p w14:paraId="559DCAC6" w14:textId="77777777" w:rsidR="00EC6AF8" w:rsidRPr="00B86742" w:rsidRDefault="00EC6AF8" w:rsidP="002B5506">
            <w:pPr>
              <w:rPr>
                <w:szCs w:val="20"/>
              </w:rPr>
            </w:pPr>
            <w:r w:rsidRPr="00B86742">
              <w:rPr>
                <w:szCs w:val="20"/>
              </w:rPr>
              <w:t>21232</w:t>
            </w:r>
          </w:p>
        </w:tc>
        <w:tc>
          <w:tcPr>
            <w:tcW w:w="7172" w:type="dxa"/>
            <w:noWrap/>
            <w:vAlign w:val="center"/>
            <w:hideMark/>
          </w:tcPr>
          <w:p w14:paraId="7D7B3FA8" w14:textId="77777777" w:rsidR="00EC6AF8" w:rsidRPr="00B86742" w:rsidRDefault="00EC6AF8" w:rsidP="002B5506">
            <w:pPr>
              <w:rPr>
                <w:szCs w:val="20"/>
              </w:rPr>
            </w:pPr>
            <w:r w:rsidRPr="00B86742">
              <w:rPr>
                <w:szCs w:val="20"/>
              </w:rPr>
              <w:t>Sand, Gravel, Clay, and Ceramic and Refractory Minerals Mining and Quarrying</w:t>
            </w:r>
          </w:p>
        </w:tc>
      </w:tr>
      <w:tr w:rsidR="00EC6AF8" w:rsidRPr="00B86742" w14:paraId="76238AF2" w14:textId="77777777" w:rsidTr="002B5506">
        <w:trPr>
          <w:trHeight w:val="20"/>
          <w:jc w:val="center"/>
        </w:trPr>
        <w:tc>
          <w:tcPr>
            <w:tcW w:w="1548" w:type="dxa"/>
            <w:noWrap/>
            <w:vAlign w:val="center"/>
            <w:hideMark/>
          </w:tcPr>
          <w:p w14:paraId="1E90FB98" w14:textId="77777777" w:rsidR="00EC6AF8" w:rsidRPr="00B86742" w:rsidRDefault="00EC6AF8" w:rsidP="002B5506">
            <w:pPr>
              <w:rPr>
                <w:szCs w:val="20"/>
              </w:rPr>
            </w:pPr>
            <w:r w:rsidRPr="00B86742">
              <w:rPr>
                <w:szCs w:val="20"/>
              </w:rPr>
              <w:t>212321</w:t>
            </w:r>
          </w:p>
        </w:tc>
        <w:tc>
          <w:tcPr>
            <w:tcW w:w="7172" w:type="dxa"/>
            <w:noWrap/>
            <w:vAlign w:val="center"/>
            <w:hideMark/>
          </w:tcPr>
          <w:p w14:paraId="2150F3BE" w14:textId="77777777" w:rsidR="00EC6AF8" w:rsidRPr="00B86742" w:rsidRDefault="00EC6AF8" w:rsidP="002B5506">
            <w:pPr>
              <w:rPr>
                <w:szCs w:val="20"/>
              </w:rPr>
            </w:pPr>
            <w:r w:rsidRPr="00B86742">
              <w:rPr>
                <w:szCs w:val="20"/>
              </w:rPr>
              <w:t>Construction Sand and Gravel Mining</w:t>
            </w:r>
          </w:p>
        </w:tc>
      </w:tr>
      <w:tr w:rsidR="00EC6AF8" w:rsidRPr="00B86742" w14:paraId="2BE4C795" w14:textId="77777777" w:rsidTr="002B5506">
        <w:trPr>
          <w:trHeight w:val="20"/>
          <w:jc w:val="center"/>
        </w:trPr>
        <w:tc>
          <w:tcPr>
            <w:tcW w:w="1548" w:type="dxa"/>
            <w:noWrap/>
            <w:vAlign w:val="center"/>
            <w:hideMark/>
          </w:tcPr>
          <w:p w14:paraId="2F70DE10" w14:textId="77777777" w:rsidR="00EC6AF8" w:rsidRPr="00B86742" w:rsidRDefault="00EC6AF8" w:rsidP="002B5506">
            <w:pPr>
              <w:rPr>
                <w:szCs w:val="20"/>
              </w:rPr>
            </w:pPr>
            <w:r w:rsidRPr="00B86742">
              <w:rPr>
                <w:szCs w:val="20"/>
              </w:rPr>
              <w:t>212322</w:t>
            </w:r>
          </w:p>
        </w:tc>
        <w:tc>
          <w:tcPr>
            <w:tcW w:w="7172" w:type="dxa"/>
            <w:noWrap/>
            <w:vAlign w:val="center"/>
            <w:hideMark/>
          </w:tcPr>
          <w:p w14:paraId="52EE5747" w14:textId="77777777" w:rsidR="00EC6AF8" w:rsidRPr="00B86742" w:rsidRDefault="00EC6AF8" w:rsidP="002B5506">
            <w:pPr>
              <w:rPr>
                <w:szCs w:val="20"/>
              </w:rPr>
            </w:pPr>
            <w:r w:rsidRPr="00B86742">
              <w:rPr>
                <w:szCs w:val="20"/>
              </w:rPr>
              <w:t>Industrial Sand Mining</w:t>
            </w:r>
          </w:p>
        </w:tc>
      </w:tr>
      <w:tr w:rsidR="00EC6AF8" w:rsidRPr="00B86742" w14:paraId="06E193D7" w14:textId="77777777" w:rsidTr="002B5506">
        <w:trPr>
          <w:trHeight w:val="20"/>
          <w:jc w:val="center"/>
        </w:trPr>
        <w:tc>
          <w:tcPr>
            <w:tcW w:w="1548" w:type="dxa"/>
            <w:noWrap/>
            <w:vAlign w:val="center"/>
            <w:hideMark/>
          </w:tcPr>
          <w:p w14:paraId="2264D2F4" w14:textId="77777777" w:rsidR="00EC6AF8" w:rsidRPr="00B86742" w:rsidRDefault="00EC6AF8" w:rsidP="002B5506">
            <w:pPr>
              <w:rPr>
                <w:szCs w:val="20"/>
              </w:rPr>
            </w:pPr>
            <w:r w:rsidRPr="00B86742">
              <w:rPr>
                <w:szCs w:val="20"/>
              </w:rPr>
              <w:t>212324</w:t>
            </w:r>
          </w:p>
        </w:tc>
        <w:tc>
          <w:tcPr>
            <w:tcW w:w="7172" w:type="dxa"/>
            <w:noWrap/>
            <w:vAlign w:val="center"/>
            <w:hideMark/>
          </w:tcPr>
          <w:p w14:paraId="161AE669" w14:textId="77777777" w:rsidR="00EC6AF8" w:rsidRPr="00B86742" w:rsidRDefault="00EC6AF8" w:rsidP="002B5506">
            <w:pPr>
              <w:rPr>
                <w:szCs w:val="20"/>
              </w:rPr>
            </w:pPr>
            <w:r w:rsidRPr="00B86742">
              <w:rPr>
                <w:szCs w:val="20"/>
              </w:rPr>
              <w:t>Kaolin and Ball Clay Mining</w:t>
            </w:r>
          </w:p>
        </w:tc>
      </w:tr>
      <w:tr w:rsidR="00EC6AF8" w:rsidRPr="00B86742" w14:paraId="56F6B0E6" w14:textId="77777777" w:rsidTr="002B5506">
        <w:trPr>
          <w:trHeight w:val="20"/>
          <w:jc w:val="center"/>
        </w:trPr>
        <w:tc>
          <w:tcPr>
            <w:tcW w:w="1548" w:type="dxa"/>
            <w:noWrap/>
            <w:vAlign w:val="center"/>
            <w:hideMark/>
          </w:tcPr>
          <w:p w14:paraId="44FF119E" w14:textId="77777777" w:rsidR="00EC6AF8" w:rsidRPr="00B86742" w:rsidRDefault="00EC6AF8" w:rsidP="002B5506">
            <w:pPr>
              <w:rPr>
                <w:szCs w:val="20"/>
              </w:rPr>
            </w:pPr>
            <w:r w:rsidRPr="00B86742">
              <w:rPr>
                <w:szCs w:val="20"/>
              </w:rPr>
              <w:t>212325</w:t>
            </w:r>
          </w:p>
        </w:tc>
        <w:tc>
          <w:tcPr>
            <w:tcW w:w="7172" w:type="dxa"/>
            <w:noWrap/>
            <w:vAlign w:val="center"/>
            <w:hideMark/>
          </w:tcPr>
          <w:p w14:paraId="2AA47346" w14:textId="77777777" w:rsidR="00EC6AF8" w:rsidRPr="00B86742" w:rsidRDefault="00EC6AF8" w:rsidP="002B5506">
            <w:pPr>
              <w:rPr>
                <w:szCs w:val="20"/>
              </w:rPr>
            </w:pPr>
            <w:r w:rsidRPr="00B86742">
              <w:rPr>
                <w:szCs w:val="20"/>
              </w:rPr>
              <w:t>Clay and Ceramic and Refractory Minerals Mining</w:t>
            </w:r>
          </w:p>
        </w:tc>
      </w:tr>
      <w:tr w:rsidR="00EC6AF8" w:rsidRPr="00B86742" w14:paraId="0DCC9ECA" w14:textId="77777777" w:rsidTr="002B5506">
        <w:trPr>
          <w:trHeight w:val="20"/>
          <w:jc w:val="center"/>
        </w:trPr>
        <w:tc>
          <w:tcPr>
            <w:tcW w:w="1548" w:type="dxa"/>
            <w:noWrap/>
            <w:vAlign w:val="center"/>
            <w:hideMark/>
          </w:tcPr>
          <w:p w14:paraId="40046B4C" w14:textId="77777777" w:rsidR="00EC6AF8" w:rsidRPr="00B86742" w:rsidRDefault="00EC6AF8" w:rsidP="002B5506">
            <w:pPr>
              <w:rPr>
                <w:szCs w:val="20"/>
              </w:rPr>
            </w:pPr>
            <w:r w:rsidRPr="00B86742">
              <w:rPr>
                <w:szCs w:val="20"/>
              </w:rPr>
              <w:lastRenderedPageBreak/>
              <w:t>21239</w:t>
            </w:r>
          </w:p>
        </w:tc>
        <w:tc>
          <w:tcPr>
            <w:tcW w:w="7172" w:type="dxa"/>
            <w:noWrap/>
            <w:vAlign w:val="center"/>
            <w:hideMark/>
          </w:tcPr>
          <w:p w14:paraId="1C142095" w14:textId="77777777" w:rsidR="00EC6AF8" w:rsidRPr="00B86742" w:rsidRDefault="00EC6AF8" w:rsidP="002B5506">
            <w:pPr>
              <w:rPr>
                <w:szCs w:val="20"/>
              </w:rPr>
            </w:pPr>
            <w:r w:rsidRPr="00B86742">
              <w:rPr>
                <w:szCs w:val="20"/>
              </w:rPr>
              <w:t>Other Nonmetallic Mineral Mining and Quarrying</w:t>
            </w:r>
          </w:p>
        </w:tc>
      </w:tr>
      <w:tr w:rsidR="00EC6AF8" w:rsidRPr="00B86742" w14:paraId="7D0A7EDC" w14:textId="77777777" w:rsidTr="002B5506">
        <w:trPr>
          <w:trHeight w:val="20"/>
          <w:jc w:val="center"/>
        </w:trPr>
        <w:tc>
          <w:tcPr>
            <w:tcW w:w="1548" w:type="dxa"/>
            <w:noWrap/>
            <w:vAlign w:val="center"/>
            <w:hideMark/>
          </w:tcPr>
          <w:p w14:paraId="274391C1" w14:textId="77777777" w:rsidR="00EC6AF8" w:rsidRPr="00B86742" w:rsidRDefault="00EC6AF8" w:rsidP="002B5506">
            <w:pPr>
              <w:rPr>
                <w:szCs w:val="20"/>
              </w:rPr>
            </w:pPr>
            <w:r w:rsidRPr="00B86742">
              <w:rPr>
                <w:szCs w:val="20"/>
              </w:rPr>
              <w:t>212391</w:t>
            </w:r>
          </w:p>
        </w:tc>
        <w:tc>
          <w:tcPr>
            <w:tcW w:w="7172" w:type="dxa"/>
            <w:noWrap/>
            <w:vAlign w:val="center"/>
            <w:hideMark/>
          </w:tcPr>
          <w:p w14:paraId="2186A4B2" w14:textId="77777777" w:rsidR="00EC6AF8" w:rsidRPr="00B86742" w:rsidRDefault="00EC6AF8" w:rsidP="002B5506">
            <w:pPr>
              <w:rPr>
                <w:szCs w:val="20"/>
              </w:rPr>
            </w:pPr>
            <w:r w:rsidRPr="00B86742">
              <w:rPr>
                <w:szCs w:val="20"/>
              </w:rPr>
              <w:t>Potash, Soda, and Borate Mineral Mining</w:t>
            </w:r>
          </w:p>
        </w:tc>
      </w:tr>
      <w:tr w:rsidR="00EC6AF8" w:rsidRPr="00B86742" w14:paraId="420CC0C4" w14:textId="77777777" w:rsidTr="002B5506">
        <w:trPr>
          <w:trHeight w:val="20"/>
          <w:jc w:val="center"/>
        </w:trPr>
        <w:tc>
          <w:tcPr>
            <w:tcW w:w="1548" w:type="dxa"/>
            <w:noWrap/>
            <w:vAlign w:val="center"/>
            <w:hideMark/>
          </w:tcPr>
          <w:p w14:paraId="511C80ED" w14:textId="77777777" w:rsidR="00EC6AF8" w:rsidRPr="00B86742" w:rsidRDefault="00EC6AF8" w:rsidP="002B5506">
            <w:pPr>
              <w:rPr>
                <w:szCs w:val="20"/>
              </w:rPr>
            </w:pPr>
            <w:r w:rsidRPr="00B86742">
              <w:rPr>
                <w:szCs w:val="20"/>
              </w:rPr>
              <w:t>212392</w:t>
            </w:r>
          </w:p>
        </w:tc>
        <w:tc>
          <w:tcPr>
            <w:tcW w:w="7172" w:type="dxa"/>
            <w:noWrap/>
            <w:vAlign w:val="center"/>
            <w:hideMark/>
          </w:tcPr>
          <w:p w14:paraId="7EBAB740" w14:textId="77777777" w:rsidR="00EC6AF8" w:rsidRPr="00B86742" w:rsidRDefault="00EC6AF8" w:rsidP="002B5506">
            <w:pPr>
              <w:rPr>
                <w:szCs w:val="20"/>
              </w:rPr>
            </w:pPr>
            <w:r w:rsidRPr="00B86742">
              <w:rPr>
                <w:szCs w:val="20"/>
              </w:rPr>
              <w:t>Phosphate Rock Mining</w:t>
            </w:r>
          </w:p>
        </w:tc>
      </w:tr>
      <w:tr w:rsidR="00EC6AF8" w:rsidRPr="00B86742" w14:paraId="39ED09F2" w14:textId="77777777" w:rsidTr="002B5506">
        <w:trPr>
          <w:trHeight w:val="20"/>
          <w:jc w:val="center"/>
        </w:trPr>
        <w:tc>
          <w:tcPr>
            <w:tcW w:w="1548" w:type="dxa"/>
            <w:noWrap/>
            <w:vAlign w:val="center"/>
            <w:hideMark/>
          </w:tcPr>
          <w:p w14:paraId="73D408DE" w14:textId="77777777" w:rsidR="00EC6AF8" w:rsidRPr="00B86742" w:rsidRDefault="00EC6AF8" w:rsidP="002B5506">
            <w:pPr>
              <w:rPr>
                <w:szCs w:val="20"/>
              </w:rPr>
            </w:pPr>
            <w:r w:rsidRPr="00B86742">
              <w:rPr>
                <w:szCs w:val="20"/>
              </w:rPr>
              <w:t>212393</w:t>
            </w:r>
          </w:p>
        </w:tc>
        <w:tc>
          <w:tcPr>
            <w:tcW w:w="7172" w:type="dxa"/>
            <w:noWrap/>
            <w:vAlign w:val="center"/>
            <w:hideMark/>
          </w:tcPr>
          <w:p w14:paraId="117E6323" w14:textId="77777777" w:rsidR="00EC6AF8" w:rsidRPr="00B86742" w:rsidRDefault="00EC6AF8" w:rsidP="002B5506">
            <w:pPr>
              <w:rPr>
                <w:szCs w:val="20"/>
              </w:rPr>
            </w:pPr>
            <w:r w:rsidRPr="00B86742">
              <w:rPr>
                <w:szCs w:val="20"/>
              </w:rPr>
              <w:t>Other Chemical and Fertilizer Mineral Mining</w:t>
            </w:r>
          </w:p>
        </w:tc>
      </w:tr>
      <w:tr w:rsidR="00EC6AF8" w:rsidRPr="00B86742" w14:paraId="0BA4A7DA" w14:textId="77777777" w:rsidTr="002B5506">
        <w:trPr>
          <w:trHeight w:val="20"/>
          <w:jc w:val="center"/>
        </w:trPr>
        <w:tc>
          <w:tcPr>
            <w:tcW w:w="1548" w:type="dxa"/>
            <w:noWrap/>
            <w:vAlign w:val="center"/>
            <w:hideMark/>
          </w:tcPr>
          <w:p w14:paraId="18EC0110" w14:textId="77777777" w:rsidR="00EC6AF8" w:rsidRPr="00B86742" w:rsidRDefault="00EC6AF8" w:rsidP="002B5506">
            <w:pPr>
              <w:rPr>
                <w:szCs w:val="20"/>
              </w:rPr>
            </w:pPr>
            <w:r w:rsidRPr="00B86742">
              <w:rPr>
                <w:szCs w:val="20"/>
              </w:rPr>
              <w:t>212399</w:t>
            </w:r>
          </w:p>
        </w:tc>
        <w:tc>
          <w:tcPr>
            <w:tcW w:w="7172" w:type="dxa"/>
            <w:noWrap/>
            <w:vAlign w:val="center"/>
            <w:hideMark/>
          </w:tcPr>
          <w:p w14:paraId="79125A16" w14:textId="77777777" w:rsidR="00EC6AF8" w:rsidRPr="00B86742" w:rsidRDefault="00EC6AF8" w:rsidP="002B5506">
            <w:pPr>
              <w:rPr>
                <w:szCs w:val="20"/>
              </w:rPr>
            </w:pPr>
            <w:r w:rsidRPr="00B86742">
              <w:rPr>
                <w:szCs w:val="20"/>
              </w:rPr>
              <w:t>All Other Nonmetallic Mineral Mining</w:t>
            </w:r>
          </w:p>
        </w:tc>
      </w:tr>
    </w:tbl>
    <w:p w14:paraId="220B4738" w14:textId="77777777" w:rsidR="00EC6AF8" w:rsidRPr="00B86742" w:rsidRDefault="00EC6AF8" w:rsidP="00EC6AF8">
      <w:pPr>
        <w:rPr>
          <w:szCs w:val="20"/>
        </w:rPr>
      </w:pPr>
    </w:p>
    <w:p w14:paraId="02AE6434" w14:textId="77777777" w:rsidR="00EC6AF8" w:rsidRPr="00EC6AF8" w:rsidRDefault="00EC6AF8" w:rsidP="00EC6AF8">
      <w:pPr>
        <w:rPr>
          <w:szCs w:val="20"/>
        </w:rPr>
      </w:pPr>
      <w:r w:rsidRPr="00EC6AF8">
        <w:rPr>
          <w:szCs w:val="20"/>
        </w:rPr>
        <w:t xml:space="preserve">Due to concerns with releasing confidential business information, the </w:t>
      </w:r>
      <w:r w:rsidRPr="00EC6AF8">
        <w:rPr>
          <w:iCs/>
          <w:szCs w:val="20"/>
        </w:rPr>
        <w:t>CBP</w:t>
      </w:r>
      <w:r w:rsidRPr="00EC6AF8">
        <w:rPr>
          <w:szCs w:val="20"/>
        </w:rPr>
        <w:t xml:space="preserve"> does not release exact numbers for a given NAICS code if the data can be traced to an individual business.  Instead, a series of range codes is used.  To estimate employment in counties and states with withheld data, the following procedure is used for NAICS code being computed. </w:t>
      </w:r>
    </w:p>
    <w:p w14:paraId="6070778A" w14:textId="77777777" w:rsidR="00EC6AF8" w:rsidRPr="00173827" w:rsidRDefault="00EC6AF8" w:rsidP="00EC6AF8">
      <w:pPr>
        <w:rPr>
          <w:szCs w:val="20"/>
        </w:rPr>
      </w:pPr>
      <w:r>
        <w:rPr>
          <w:szCs w:val="20"/>
        </w:rPr>
        <w:t>To gap-fill withheld state-level employment data:</w:t>
      </w:r>
    </w:p>
    <w:p w14:paraId="715C2252" w14:textId="77777777" w:rsidR="00EC6AF8" w:rsidRDefault="00EC6AF8" w:rsidP="00EC6AF8">
      <w:pPr>
        <w:widowControl/>
        <w:numPr>
          <w:ilvl w:val="0"/>
          <w:numId w:val="7"/>
        </w:numPr>
        <w:autoSpaceDE/>
        <w:autoSpaceDN/>
        <w:adjustRightInd/>
        <w:spacing w:after="0"/>
        <w:rPr>
          <w:szCs w:val="20"/>
        </w:rPr>
      </w:pPr>
      <w:r>
        <w:rPr>
          <w:szCs w:val="20"/>
        </w:rPr>
        <w:t>State-level data for states with known employment in each NAICS are summed to the national level.</w:t>
      </w:r>
    </w:p>
    <w:p w14:paraId="20221E07" w14:textId="77777777" w:rsidR="00EC6AF8" w:rsidRDefault="00EC6AF8" w:rsidP="00EC6AF8">
      <w:pPr>
        <w:widowControl/>
        <w:numPr>
          <w:ilvl w:val="0"/>
          <w:numId w:val="7"/>
        </w:numPr>
        <w:autoSpaceDE/>
        <w:autoSpaceDN/>
        <w:adjustRightInd/>
        <w:spacing w:after="0"/>
        <w:rPr>
          <w:szCs w:val="20"/>
        </w:rPr>
      </w:pPr>
      <w:r>
        <w:rPr>
          <w:szCs w:val="20"/>
        </w:rPr>
        <w:t xml:space="preserve">The total sum of state-level known employment from step </w:t>
      </w:r>
      <w:proofErr w:type="gramStart"/>
      <w:r>
        <w:rPr>
          <w:szCs w:val="20"/>
        </w:rPr>
        <w:t>a is</w:t>
      </w:r>
      <w:proofErr w:type="gramEnd"/>
      <w:r>
        <w:rPr>
          <w:szCs w:val="20"/>
        </w:rPr>
        <w:t xml:space="preserve"> subtracted from the national total reported employment for each NAICS in the national-level CBP to determine the employment total for the withheld states.</w:t>
      </w:r>
    </w:p>
    <w:p w14:paraId="18B2F922" w14:textId="77777777" w:rsidR="00EC6AF8" w:rsidRDefault="00EC6AF8" w:rsidP="00EC6AF8">
      <w:pPr>
        <w:widowControl/>
        <w:numPr>
          <w:ilvl w:val="0"/>
          <w:numId w:val="7"/>
        </w:numPr>
        <w:autoSpaceDE/>
        <w:autoSpaceDN/>
        <w:adjustRightInd/>
        <w:spacing w:after="0"/>
        <w:rPr>
          <w:szCs w:val="20"/>
        </w:rPr>
      </w:pPr>
      <w:r>
        <w:rPr>
          <w:szCs w:val="20"/>
        </w:rPr>
        <w:t xml:space="preserve">Each of the withheld states is assigned the midpoint of the range code reported for that state. </w:t>
      </w:r>
      <w:r>
        <w:rPr>
          <w:sz w:val="16"/>
          <w:szCs w:val="20"/>
        </w:rPr>
        <w:fldChar w:fldCharType="begin"/>
      </w:r>
      <w:r>
        <w:rPr>
          <w:szCs w:val="20"/>
        </w:rPr>
        <w:instrText xml:space="preserve"> REF _Ref479326325 \h </w:instrText>
      </w:r>
      <w:r>
        <w:rPr>
          <w:sz w:val="16"/>
          <w:szCs w:val="20"/>
        </w:rPr>
      </w:r>
      <w:r>
        <w:rPr>
          <w:sz w:val="16"/>
          <w:szCs w:val="20"/>
        </w:rPr>
        <w:fldChar w:fldCharType="separate"/>
      </w:r>
      <w:r w:rsidR="00700556" w:rsidRPr="009644AD">
        <w:rPr>
          <w:szCs w:val="20"/>
        </w:rPr>
        <w:t xml:space="preserve">Table </w:t>
      </w:r>
      <w:r w:rsidR="00700556">
        <w:rPr>
          <w:noProof/>
          <w:szCs w:val="20"/>
        </w:rPr>
        <w:t>2</w:t>
      </w:r>
      <w:r>
        <w:rPr>
          <w:sz w:val="16"/>
          <w:szCs w:val="20"/>
        </w:rPr>
        <w:fldChar w:fldCharType="end"/>
      </w:r>
      <w:r w:rsidRPr="0097551A">
        <w:rPr>
          <w:sz w:val="18"/>
          <w:szCs w:val="20"/>
        </w:rPr>
        <w:t xml:space="preserve"> </w:t>
      </w:r>
      <w:r>
        <w:rPr>
          <w:szCs w:val="20"/>
        </w:rPr>
        <w:t>lists the range codes and midpoints.</w:t>
      </w:r>
    </w:p>
    <w:p w14:paraId="5DE44720" w14:textId="77777777" w:rsidR="00EC6AF8" w:rsidRDefault="00EC6AF8" w:rsidP="00EC6AF8">
      <w:pPr>
        <w:widowControl/>
        <w:numPr>
          <w:ilvl w:val="0"/>
          <w:numId w:val="7"/>
        </w:numPr>
        <w:autoSpaceDE/>
        <w:autoSpaceDN/>
        <w:adjustRightInd/>
        <w:spacing w:after="0"/>
        <w:rPr>
          <w:szCs w:val="20"/>
        </w:rPr>
      </w:pPr>
      <w:r>
        <w:rPr>
          <w:szCs w:val="20"/>
        </w:rPr>
        <w:t xml:space="preserve">The midpoints for the states with withheld data are summed to the national-level. </w:t>
      </w:r>
    </w:p>
    <w:p w14:paraId="30A81A36" w14:textId="77777777" w:rsidR="00EC6AF8" w:rsidRDefault="00EC6AF8" w:rsidP="00EC6AF8">
      <w:pPr>
        <w:widowControl/>
        <w:numPr>
          <w:ilvl w:val="0"/>
          <w:numId w:val="7"/>
        </w:numPr>
        <w:autoSpaceDE/>
        <w:autoSpaceDN/>
        <w:adjustRightInd/>
        <w:spacing w:after="0"/>
        <w:rPr>
          <w:szCs w:val="20"/>
        </w:rPr>
      </w:pPr>
      <w:r>
        <w:rPr>
          <w:szCs w:val="20"/>
        </w:rPr>
        <w:t>An adjustment factor is created by dividing the number of withheld employees (calculated in step b of this section) by the sum of the midpoints (step d).</w:t>
      </w:r>
    </w:p>
    <w:p w14:paraId="2C238BBE" w14:textId="77777777" w:rsidR="00EC6AF8" w:rsidRDefault="00EC6AF8" w:rsidP="00EC6AF8">
      <w:pPr>
        <w:widowControl/>
        <w:numPr>
          <w:ilvl w:val="0"/>
          <w:numId w:val="7"/>
        </w:numPr>
        <w:autoSpaceDE/>
        <w:autoSpaceDN/>
        <w:adjustRightInd/>
        <w:rPr>
          <w:szCs w:val="20"/>
        </w:rPr>
      </w:pPr>
      <w:r>
        <w:rPr>
          <w:szCs w:val="20"/>
        </w:rPr>
        <w:t>For the states with withheld employment data, the midpoint of the range for that state (step c) is multiplied by the adjustment factor (step e) to calculate the adjusted state-level employment for landfills.</w:t>
      </w:r>
    </w:p>
    <w:p w14:paraId="2B67A101" w14:textId="77777777" w:rsidR="00EC6AF8" w:rsidRDefault="00EC6AF8" w:rsidP="00EC6AF8">
      <w:pPr>
        <w:widowControl/>
        <w:autoSpaceDE/>
        <w:autoSpaceDN/>
        <w:adjustRightInd/>
        <w:rPr>
          <w:szCs w:val="20"/>
        </w:rPr>
      </w:pPr>
      <w:r>
        <w:rPr>
          <w:szCs w:val="20"/>
        </w:rPr>
        <w:t>These same steps are then followed to fill in withheld data in the county-level business patterns.</w:t>
      </w:r>
    </w:p>
    <w:p w14:paraId="6B06690E" w14:textId="77777777" w:rsidR="00EC6AF8" w:rsidRPr="00173827" w:rsidRDefault="00EC6AF8" w:rsidP="00EC6AF8">
      <w:pPr>
        <w:widowControl/>
        <w:numPr>
          <w:ilvl w:val="0"/>
          <w:numId w:val="7"/>
        </w:numPr>
        <w:autoSpaceDE/>
        <w:autoSpaceDN/>
        <w:adjustRightInd/>
        <w:spacing w:after="0"/>
        <w:rPr>
          <w:szCs w:val="20"/>
        </w:rPr>
      </w:pPr>
      <w:r>
        <w:rPr>
          <w:szCs w:val="20"/>
        </w:rPr>
        <w:t>County-</w:t>
      </w:r>
      <w:r w:rsidRPr="00173827">
        <w:rPr>
          <w:szCs w:val="20"/>
        </w:rPr>
        <w:t xml:space="preserve">level data for counties with known employment </w:t>
      </w:r>
      <w:r>
        <w:rPr>
          <w:szCs w:val="20"/>
        </w:rPr>
        <w:t>are</w:t>
      </w:r>
      <w:r w:rsidRPr="00173827">
        <w:rPr>
          <w:szCs w:val="20"/>
        </w:rPr>
        <w:t xml:space="preserve"> </w:t>
      </w:r>
      <w:r>
        <w:rPr>
          <w:szCs w:val="20"/>
        </w:rPr>
        <w:t xml:space="preserve">summed </w:t>
      </w:r>
      <w:r w:rsidRPr="00173827">
        <w:rPr>
          <w:szCs w:val="20"/>
        </w:rPr>
        <w:t xml:space="preserve">by state. </w:t>
      </w:r>
    </w:p>
    <w:p w14:paraId="171273B8" w14:textId="77777777" w:rsidR="00EC6AF8" w:rsidRPr="00173827" w:rsidRDefault="00EC6AF8" w:rsidP="00EC6AF8">
      <w:pPr>
        <w:widowControl/>
        <w:numPr>
          <w:ilvl w:val="0"/>
          <w:numId w:val="7"/>
        </w:numPr>
        <w:autoSpaceDE/>
        <w:autoSpaceDN/>
        <w:adjustRightInd/>
        <w:spacing w:after="0"/>
        <w:rPr>
          <w:szCs w:val="20"/>
        </w:rPr>
      </w:pPr>
      <w:r>
        <w:rPr>
          <w:szCs w:val="20"/>
        </w:rPr>
        <w:t>County-level known employment is</w:t>
      </w:r>
      <w:r w:rsidRPr="00173827">
        <w:rPr>
          <w:szCs w:val="20"/>
        </w:rPr>
        <w:t xml:space="preserve"> subtracted from the state total reported in state-level </w:t>
      </w:r>
      <w:r w:rsidRPr="00430EE7">
        <w:rPr>
          <w:iCs/>
          <w:szCs w:val="20"/>
        </w:rPr>
        <w:t>CBP</w:t>
      </w:r>
      <w:r>
        <w:rPr>
          <w:iCs/>
          <w:szCs w:val="20"/>
        </w:rPr>
        <w:t xml:space="preserve"> (or, if the state-level data are withheld, from the state total estimated using the procedure discussed above).</w:t>
      </w:r>
    </w:p>
    <w:p w14:paraId="4B4DE6E0" w14:textId="77777777" w:rsidR="00EC6AF8" w:rsidRPr="00173827" w:rsidRDefault="00EC6AF8" w:rsidP="00EC6AF8">
      <w:pPr>
        <w:widowControl/>
        <w:numPr>
          <w:ilvl w:val="0"/>
          <w:numId w:val="7"/>
        </w:numPr>
        <w:autoSpaceDE/>
        <w:autoSpaceDN/>
        <w:adjustRightInd/>
        <w:spacing w:after="0"/>
        <w:rPr>
          <w:szCs w:val="20"/>
        </w:rPr>
      </w:pPr>
      <w:r>
        <w:rPr>
          <w:szCs w:val="20"/>
        </w:rPr>
        <w:t>Each of the withheld counties is</w:t>
      </w:r>
      <w:r w:rsidRPr="00173827">
        <w:rPr>
          <w:szCs w:val="20"/>
        </w:rPr>
        <w:t xml:space="preserve"> assigned </w:t>
      </w:r>
      <w:r>
        <w:rPr>
          <w:szCs w:val="20"/>
        </w:rPr>
        <w:t xml:space="preserve">the midpoint of the range code </w:t>
      </w:r>
      <w:r w:rsidRPr="0097551A">
        <w:rPr>
          <w:szCs w:val="20"/>
        </w:rPr>
        <w:t>(</w:t>
      </w:r>
      <w:r>
        <w:rPr>
          <w:szCs w:val="20"/>
        </w:rPr>
        <w:fldChar w:fldCharType="begin"/>
      </w:r>
      <w:r>
        <w:rPr>
          <w:szCs w:val="20"/>
        </w:rPr>
        <w:instrText xml:space="preserve"> REF _Ref479326325 \h </w:instrText>
      </w:r>
      <w:r>
        <w:rPr>
          <w:szCs w:val="20"/>
        </w:rPr>
      </w:r>
      <w:r>
        <w:rPr>
          <w:szCs w:val="20"/>
        </w:rPr>
        <w:fldChar w:fldCharType="separate"/>
      </w:r>
      <w:r w:rsidR="00700556" w:rsidRPr="009644AD">
        <w:rPr>
          <w:szCs w:val="20"/>
        </w:rPr>
        <w:t xml:space="preserve">Table </w:t>
      </w:r>
      <w:r w:rsidR="00700556">
        <w:rPr>
          <w:noProof/>
          <w:szCs w:val="20"/>
        </w:rPr>
        <w:t>2</w:t>
      </w:r>
      <w:r>
        <w:rPr>
          <w:szCs w:val="20"/>
        </w:rPr>
        <w:fldChar w:fldCharType="end"/>
      </w:r>
      <w:r>
        <w:rPr>
          <w:szCs w:val="20"/>
        </w:rPr>
        <w:t xml:space="preserve">). </w:t>
      </w:r>
      <w:r w:rsidRPr="00173827">
        <w:rPr>
          <w:szCs w:val="20"/>
        </w:rPr>
        <w:t xml:space="preserve"> </w:t>
      </w:r>
    </w:p>
    <w:p w14:paraId="12F03EF7" w14:textId="77777777" w:rsidR="00EC6AF8" w:rsidRPr="00173827" w:rsidRDefault="00EC6AF8" w:rsidP="00EC6AF8">
      <w:pPr>
        <w:widowControl/>
        <w:numPr>
          <w:ilvl w:val="0"/>
          <w:numId w:val="7"/>
        </w:numPr>
        <w:autoSpaceDE/>
        <w:autoSpaceDN/>
        <w:adjustRightInd/>
        <w:spacing w:after="0"/>
        <w:rPr>
          <w:szCs w:val="20"/>
        </w:rPr>
      </w:pPr>
      <w:r>
        <w:rPr>
          <w:szCs w:val="20"/>
        </w:rPr>
        <w:t>The midpoints for the counties with withheld data are summed to the state level.</w:t>
      </w:r>
      <w:r w:rsidRPr="00173827">
        <w:rPr>
          <w:szCs w:val="20"/>
        </w:rPr>
        <w:t xml:space="preserve"> </w:t>
      </w:r>
    </w:p>
    <w:p w14:paraId="263BA88B" w14:textId="77777777" w:rsidR="00EC6AF8" w:rsidRPr="00173827" w:rsidRDefault="00EC6AF8" w:rsidP="00EC6AF8">
      <w:pPr>
        <w:widowControl/>
        <w:numPr>
          <w:ilvl w:val="0"/>
          <w:numId w:val="7"/>
        </w:numPr>
        <w:autoSpaceDE/>
        <w:autoSpaceDN/>
        <w:adjustRightInd/>
        <w:spacing w:after="0"/>
        <w:rPr>
          <w:szCs w:val="20"/>
        </w:rPr>
      </w:pPr>
      <w:r>
        <w:rPr>
          <w:szCs w:val="20"/>
        </w:rPr>
        <w:t>An adjustment factor is created by dividing the number of withheld employees (step h)</w:t>
      </w:r>
      <w:r w:rsidRPr="00173827">
        <w:rPr>
          <w:szCs w:val="20"/>
        </w:rPr>
        <w:t xml:space="preserve"> by </w:t>
      </w:r>
      <w:r>
        <w:rPr>
          <w:szCs w:val="20"/>
        </w:rPr>
        <w:t>the sum of the midpoints (step j).</w:t>
      </w:r>
    </w:p>
    <w:p w14:paraId="79E05381" w14:textId="77777777" w:rsidR="00EC6AF8" w:rsidRDefault="00EC6AF8" w:rsidP="00EC6AF8">
      <w:pPr>
        <w:widowControl/>
        <w:numPr>
          <w:ilvl w:val="0"/>
          <w:numId w:val="7"/>
        </w:numPr>
        <w:autoSpaceDE/>
        <w:autoSpaceDN/>
        <w:adjustRightInd/>
        <w:rPr>
          <w:szCs w:val="20"/>
        </w:rPr>
      </w:pPr>
      <w:r>
        <w:rPr>
          <w:szCs w:val="20"/>
        </w:rPr>
        <w:t xml:space="preserve">For counties with withheld employment data, the midpoints (step </w:t>
      </w:r>
      <w:proofErr w:type="spellStart"/>
      <w:r>
        <w:rPr>
          <w:szCs w:val="20"/>
        </w:rPr>
        <w:t>i</w:t>
      </w:r>
      <w:proofErr w:type="spellEnd"/>
      <w:r>
        <w:rPr>
          <w:szCs w:val="20"/>
        </w:rPr>
        <w:t>) are mu</w:t>
      </w:r>
      <w:r w:rsidRPr="00173827">
        <w:rPr>
          <w:szCs w:val="20"/>
        </w:rPr>
        <w:t xml:space="preserve">ltiplied by </w:t>
      </w:r>
      <w:r>
        <w:rPr>
          <w:szCs w:val="20"/>
        </w:rPr>
        <w:t>the adjustment factor (step k)</w:t>
      </w:r>
      <w:r w:rsidRPr="00173827">
        <w:rPr>
          <w:szCs w:val="20"/>
        </w:rPr>
        <w:t xml:space="preserve"> to </w:t>
      </w:r>
      <w:r>
        <w:rPr>
          <w:szCs w:val="20"/>
        </w:rPr>
        <w:t xml:space="preserve">calculate </w:t>
      </w:r>
      <w:r w:rsidRPr="00173827">
        <w:rPr>
          <w:szCs w:val="20"/>
        </w:rPr>
        <w:t>the a</w:t>
      </w:r>
      <w:r>
        <w:rPr>
          <w:szCs w:val="20"/>
        </w:rPr>
        <w:t>djusted county-level employment for landfills.</w:t>
      </w:r>
    </w:p>
    <w:p w14:paraId="4D9B7259" w14:textId="77777777" w:rsidR="00EC6AF8" w:rsidRDefault="00EC6AF8" w:rsidP="00EC6AF8">
      <w:pPr>
        <w:pStyle w:val="Caption"/>
        <w:keepNext/>
        <w:spacing w:after="0"/>
        <w:jc w:val="center"/>
        <w:rPr>
          <w:color w:val="auto"/>
          <w:sz w:val="20"/>
          <w:szCs w:val="20"/>
        </w:rPr>
      </w:pPr>
      <w:bookmarkStart w:id="6" w:name="_Ref479326325"/>
      <w:r w:rsidRPr="009644AD">
        <w:rPr>
          <w:color w:val="auto"/>
          <w:sz w:val="20"/>
          <w:szCs w:val="20"/>
        </w:rPr>
        <w:t xml:space="preserve">Table </w:t>
      </w:r>
      <w:r w:rsidRPr="009644AD">
        <w:rPr>
          <w:color w:val="auto"/>
          <w:sz w:val="20"/>
          <w:szCs w:val="20"/>
        </w:rPr>
        <w:fldChar w:fldCharType="begin"/>
      </w:r>
      <w:r w:rsidRPr="009644AD">
        <w:rPr>
          <w:color w:val="auto"/>
          <w:sz w:val="20"/>
          <w:szCs w:val="20"/>
        </w:rPr>
        <w:instrText xml:space="preserve"> SEQ Table \* ARABIC </w:instrText>
      </w:r>
      <w:r w:rsidRPr="009644AD">
        <w:rPr>
          <w:color w:val="auto"/>
          <w:sz w:val="20"/>
          <w:szCs w:val="20"/>
        </w:rPr>
        <w:fldChar w:fldCharType="separate"/>
      </w:r>
      <w:r w:rsidR="00700556">
        <w:rPr>
          <w:noProof/>
          <w:color w:val="auto"/>
          <w:sz w:val="20"/>
          <w:szCs w:val="20"/>
        </w:rPr>
        <w:t>2</w:t>
      </w:r>
      <w:r w:rsidRPr="009644AD">
        <w:rPr>
          <w:color w:val="auto"/>
          <w:sz w:val="20"/>
          <w:szCs w:val="20"/>
        </w:rPr>
        <w:fldChar w:fldCharType="end"/>
      </w:r>
      <w:bookmarkEnd w:id="6"/>
      <w:r w:rsidRPr="009644AD">
        <w:rPr>
          <w:color w:val="auto"/>
          <w:sz w:val="20"/>
          <w:szCs w:val="20"/>
        </w:rPr>
        <w:t>. Withheld data ranges and midpoints</w:t>
      </w:r>
    </w:p>
    <w:p w14:paraId="5968F72B" w14:textId="77777777" w:rsidR="00EC6AF8" w:rsidRPr="009644AD" w:rsidRDefault="00EC6AF8" w:rsidP="00EC6AF8">
      <w:pPr>
        <w:spacing w:after="0"/>
      </w:pP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84"/>
        <w:gridCol w:w="1017"/>
      </w:tblGrid>
      <w:tr w:rsidR="00EC6AF8" w:rsidRPr="005E6387" w14:paraId="367EA3D6" w14:textId="77777777" w:rsidTr="00EC6AF8">
        <w:trPr>
          <w:trHeight w:val="269"/>
          <w:tblHeader/>
          <w:jc w:val="center"/>
        </w:trPr>
        <w:tc>
          <w:tcPr>
            <w:tcW w:w="1280" w:type="dxa"/>
            <w:shd w:val="clear" w:color="000000" w:fill="C0C0C0"/>
            <w:noWrap/>
            <w:vAlign w:val="center"/>
            <w:hideMark/>
          </w:tcPr>
          <w:p w14:paraId="6D15A683" w14:textId="77777777" w:rsidR="00EC6AF8" w:rsidRPr="005E6387" w:rsidRDefault="00EC6AF8" w:rsidP="002B5506">
            <w:pPr>
              <w:spacing w:after="0"/>
              <w:jc w:val="center"/>
              <w:rPr>
                <w:b/>
                <w:bCs/>
                <w:color w:val="000000"/>
                <w:szCs w:val="22"/>
              </w:rPr>
            </w:pPr>
            <w:bookmarkStart w:id="7" w:name="RANGE!A1"/>
            <w:r>
              <w:rPr>
                <w:b/>
                <w:bCs/>
                <w:color w:val="000000"/>
                <w:szCs w:val="22"/>
              </w:rPr>
              <w:t>Employment</w:t>
            </w:r>
            <w:r w:rsidRPr="005E6387">
              <w:rPr>
                <w:b/>
                <w:bCs/>
                <w:color w:val="000000"/>
                <w:szCs w:val="22"/>
              </w:rPr>
              <w:t xml:space="preserve"> </w:t>
            </w:r>
            <w:bookmarkEnd w:id="7"/>
            <w:r>
              <w:rPr>
                <w:b/>
                <w:bCs/>
                <w:color w:val="000000"/>
                <w:szCs w:val="22"/>
              </w:rPr>
              <w:t>Code</w:t>
            </w:r>
          </w:p>
        </w:tc>
        <w:tc>
          <w:tcPr>
            <w:tcW w:w="1584" w:type="dxa"/>
            <w:shd w:val="clear" w:color="000000" w:fill="C0C0C0"/>
            <w:noWrap/>
            <w:vAlign w:val="center"/>
            <w:hideMark/>
          </w:tcPr>
          <w:p w14:paraId="1D126384" w14:textId="77777777" w:rsidR="00EC6AF8" w:rsidRPr="005E6387" w:rsidRDefault="00EC6AF8" w:rsidP="002B5506">
            <w:pPr>
              <w:spacing w:after="0"/>
              <w:jc w:val="center"/>
              <w:rPr>
                <w:b/>
                <w:bCs/>
                <w:color w:val="000000"/>
                <w:szCs w:val="22"/>
              </w:rPr>
            </w:pPr>
            <w:r>
              <w:rPr>
                <w:b/>
                <w:bCs/>
                <w:color w:val="000000"/>
                <w:szCs w:val="22"/>
              </w:rPr>
              <w:t>Employment Range</w:t>
            </w:r>
          </w:p>
        </w:tc>
        <w:tc>
          <w:tcPr>
            <w:tcW w:w="1017" w:type="dxa"/>
            <w:shd w:val="clear" w:color="000000" w:fill="C0C0C0"/>
            <w:noWrap/>
            <w:vAlign w:val="center"/>
            <w:hideMark/>
          </w:tcPr>
          <w:p w14:paraId="0E19563D" w14:textId="77777777" w:rsidR="00EC6AF8" w:rsidRPr="005E6387" w:rsidRDefault="00EC6AF8" w:rsidP="002B5506">
            <w:pPr>
              <w:spacing w:after="0"/>
              <w:jc w:val="center"/>
              <w:rPr>
                <w:b/>
                <w:bCs/>
                <w:color w:val="000000"/>
                <w:szCs w:val="22"/>
              </w:rPr>
            </w:pPr>
            <w:r w:rsidRPr="005E6387">
              <w:rPr>
                <w:b/>
                <w:bCs/>
                <w:color w:val="000000"/>
                <w:szCs w:val="22"/>
              </w:rPr>
              <w:t>Midpoint</w:t>
            </w:r>
          </w:p>
        </w:tc>
      </w:tr>
      <w:tr w:rsidR="00EC6AF8" w:rsidRPr="005E6387" w14:paraId="06E43C9E" w14:textId="77777777" w:rsidTr="002B5506">
        <w:trPr>
          <w:trHeight w:val="20"/>
          <w:jc w:val="center"/>
        </w:trPr>
        <w:tc>
          <w:tcPr>
            <w:tcW w:w="1280" w:type="dxa"/>
            <w:shd w:val="clear" w:color="auto" w:fill="auto"/>
            <w:vAlign w:val="bottom"/>
            <w:hideMark/>
          </w:tcPr>
          <w:p w14:paraId="03EF0B77" w14:textId="77777777" w:rsidR="00EC6AF8" w:rsidRPr="005E6387" w:rsidRDefault="00EC6AF8" w:rsidP="002B5506">
            <w:pPr>
              <w:spacing w:after="0"/>
              <w:jc w:val="center"/>
              <w:rPr>
                <w:color w:val="000000"/>
                <w:szCs w:val="22"/>
              </w:rPr>
            </w:pPr>
            <w:r w:rsidRPr="005E6387">
              <w:rPr>
                <w:color w:val="000000"/>
                <w:szCs w:val="22"/>
              </w:rPr>
              <w:t>A</w:t>
            </w:r>
          </w:p>
        </w:tc>
        <w:tc>
          <w:tcPr>
            <w:tcW w:w="1584" w:type="dxa"/>
            <w:shd w:val="clear" w:color="auto" w:fill="auto"/>
            <w:vAlign w:val="bottom"/>
            <w:hideMark/>
          </w:tcPr>
          <w:p w14:paraId="1F63070C" w14:textId="77777777" w:rsidR="00EC6AF8" w:rsidRPr="005E6387" w:rsidRDefault="00EC6AF8" w:rsidP="002B5506">
            <w:pPr>
              <w:spacing w:after="0"/>
              <w:jc w:val="center"/>
              <w:rPr>
                <w:color w:val="000000"/>
                <w:szCs w:val="22"/>
              </w:rPr>
            </w:pPr>
            <w:r w:rsidRPr="005E6387">
              <w:rPr>
                <w:color w:val="000000"/>
                <w:szCs w:val="22"/>
              </w:rPr>
              <w:t>0-19</w:t>
            </w:r>
          </w:p>
        </w:tc>
        <w:tc>
          <w:tcPr>
            <w:tcW w:w="1017" w:type="dxa"/>
            <w:shd w:val="clear" w:color="auto" w:fill="auto"/>
            <w:vAlign w:val="bottom"/>
            <w:hideMark/>
          </w:tcPr>
          <w:p w14:paraId="07EB4E71" w14:textId="77777777" w:rsidR="00EC6AF8" w:rsidRPr="005E6387" w:rsidRDefault="00EC6AF8" w:rsidP="002B5506">
            <w:pPr>
              <w:spacing w:after="0"/>
              <w:jc w:val="right"/>
              <w:rPr>
                <w:color w:val="000000"/>
                <w:szCs w:val="22"/>
              </w:rPr>
            </w:pPr>
            <w:r w:rsidRPr="005E6387">
              <w:rPr>
                <w:color w:val="000000"/>
                <w:szCs w:val="22"/>
              </w:rPr>
              <w:t>10</w:t>
            </w:r>
          </w:p>
        </w:tc>
      </w:tr>
      <w:tr w:rsidR="00EC6AF8" w:rsidRPr="005E6387" w14:paraId="048149D9" w14:textId="77777777" w:rsidTr="002B5506">
        <w:trPr>
          <w:trHeight w:val="20"/>
          <w:jc w:val="center"/>
        </w:trPr>
        <w:tc>
          <w:tcPr>
            <w:tcW w:w="1280" w:type="dxa"/>
            <w:shd w:val="clear" w:color="auto" w:fill="auto"/>
            <w:vAlign w:val="bottom"/>
            <w:hideMark/>
          </w:tcPr>
          <w:p w14:paraId="7EC08867" w14:textId="77777777" w:rsidR="00EC6AF8" w:rsidRPr="005E6387" w:rsidRDefault="00EC6AF8" w:rsidP="002B5506">
            <w:pPr>
              <w:spacing w:after="0"/>
              <w:jc w:val="center"/>
              <w:rPr>
                <w:color w:val="000000"/>
                <w:szCs w:val="22"/>
              </w:rPr>
            </w:pPr>
            <w:r w:rsidRPr="005E6387">
              <w:rPr>
                <w:color w:val="000000"/>
                <w:szCs w:val="22"/>
              </w:rPr>
              <w:t>B</w:t>
            </w:r>
          </w:p>
        </w:tc>
        <w:tc>
          <w:tcPr>
            <w:tcW w:w="1584" w:type="dxa"/>
            <w:shd w:val="clear" w:color="auto" w:fill="auto"/>
            <w:vAlign w:val="bottom"/>
            <w:hideMark/>
          </w:tcPr>
          <w:p w14:paraId="3C368100" w14:textId="77777777" w:rsidR="00EC6AF8" w:rsidRPr="005E6387" w:rsidRDefault="00EC6AF8" w:rsidP="002B5506">
            <w:pPr>
              <w:spacing w:after="0"/>
              <w:jc w:val="center"/>
              <w:rPr>
                <w:color w:val="000000"/>
                <w:szCs w:val="22"/>
              </w:rPr>
            </w:pPr>
            <w:r w:rsidRPr="005E6387">
              <w:rPr>
                <w:color w:val="000000"/>
                <w:szCs w:val="22"/>
              </w:rPr>
              <w:t>20-99</w:t>
            </w:r>
          </w:p>
        </w:tc>
        <w:tc>
          <w:tcPr>
            <w:tcW w:w="1017" w:type="dxa"/>
            <w:shd w:val="clear" w:color="auto" w:fill="auto"/>
            <w:vAlign w:val="bottom"/>
            <w:hideMark/>
          </w:tcPr>
          <w:p w14:paraId="2ABCF2B9" w14:textId="77777777" w:rsidR="00EC6AF8" w:rsidRPr="005E6387" w:rsidRDefault="00EC6AF8" w:rsidP="002B5506">
            <w:pPr>
              <w:spacing w:after="0"/>
              <w:jc w:val="right"/>
              <w:rPr>
                <w:color w:val="000000"/>
                <w:szCs w:val="22"/>
              </w:rPr>
            </w:pPr>
            <w:r w:rsidRPr="005E6387">
              <w:rPr>
                <w:color w:val="000000"/>
                <w:szCs w:val="22"/>
              </w:rPr>
              <w:t>60</w:t>
            </w:r>
          </w:p>
        </w:tc>
      </w:tr>
      <w:tr w:rsidR="00EC6AF8" w:rsidRPr="005E6387" w14:paraId="0FD2909B" w14:textId="77777777" w:rsidTr="002B5506">
        <w:trPr>
          <w:trHeight w:val="20"/>
          <w:jc w:val="center"/>
        </w:trPr>
        <w:tc>
          <w:tcPr>
            <w:tcW w:w="1280" w:type="dxa"/>
            <w:shd w:val="clear" w:color="auto" w:fill="auto"/>
            <w:vAlign w:val="bottom"/>
            <w:hideMark/>
          </w:tcPr>
          <w:p w14:paraId="20401FBB" w14:textId="77777777" w:rsidR="00EC6AF8" w:rsidRPr="005E6387" w:rsidRDefault="00EC6AF8" w:rsidP="002B5506">
            <w:pPr>
              <w:spacing w:after="0"/>
              <w:jc w:val="center"/>
              <w:rPr>
                <w:color w:val="000000"/>
                <w:szCs w:val="22"/>
              </w:rPr>
            </w:pPr>
            <w:r w:rsidRPr="005E6387">
              <w:rPr>
                <w:color w:val="000000"/>
                <w:szCs w:val="22"/>
              </w:rPr>
              <w:t>C</w:t>
            </w:r>
          </w:p>
        </w:tc>
        <w:tc>
          <w:tcPr>
            <w:tcW w:w="1584" w:type="dxa"/>
            <w:shd w:val="clear" w:color="auto" w:fill="auto"/>
            <w:vAlign w:val="bottom"/>
            <w:hideMark/>
          </w:tcPr>
          <w:p w14:paraId="1684DD00" w14:textId="77777777" w:rsidR="00EC6AF8" w:rsidRPr="005E6387" w:rsidRDefault="00EC6AF8" w:rsidP="002B5506">
            <w:pPr>
              <w:spacing w:after="0"/>
              <w:jc w:val="center"/>
              <w:rPr>
                <w:color w:val="000000"/>
                <w:szCs w:val="22"/>
              </w:rPr>
            </w:pPr>
            <w:r w:rsidRPr="005E6387">
              <w:rPr>
                <w:color w:val="000000"/>
                <w:szCs w:val="22"/>
              </w:rPr>
              <w:t>100-249</w:t>
            </w:r>
          </w:p>
        </w:tc>
        <w:tc>
          <w:tcPr>
            <w:tcW w:w="1017" w:type="dxa"/>
            <w:shd w:val="clear" w:color="auto" w:fill="auto"/>
            <w:vAlign w:val="bottom"/>
            <w:hideMark/>
          </w:tcPr>
          <w:p w14:paraId="59DBFD30" w14:textId="77777777" w:rsidR="00EC6AF8" w:rsidRPr="005E6387" w:rsidRDefault="00EC6AF8" w:rsidP="002B5506">
            <w:pPr>
              <w:spacing w:after="0"/>
              <w:jc w:val="right"/>
              <w:rPr>
                <w:color w:val="000000"/>
                <w:szCs w:val="22"/>
              </w:rPr>
            </w:pPr>
            <w:r w:rsidRPr="005E6387">
              <w:rPr>
                <w:color w:val="000000"/>
                <w:szCs w:val="22"/>
              </w:rPr>
              <w:t>175</w:t>
            </w:r>
          </w:p>
        </w:tc>
      </w:tr>
      <w:tr w:rsidR="00EC6AF8" w:rsidRPr="005E6387" w14:paraId="64D64C9E" w14:textId="77777777" w:rsidTr="002B5506">
        <w:trPr>
          <w:trHeight w:val="20"/>
          <w:jc w:val="center"/>
        </w:trPr>
        <w:tc>
          <w:tcPr>
            <w:tcW w:w="1280" w:type="dxa"/>
            <w:shd w:val="clear" w:color="auto" w:fill="auto"/>
            <w:vAlign w:val="bottom"/>
            <w:hideMark/>
          </w:tcPr>
          <w:p w14:paraId="1FB66EC0" w14:textId="77777777" w:rsidR="00EC6AF8" w:rsidRPr="005E6387" w:rsidRDefault="00EC6AF8" w:rsidP="002B5506">
            <w:pPr>
              <w:spacing w:after="0"/>
              <w:jc w:val="center"/>
              <w:rPr>
                <w:color w:val="000000"/>
                <w:szCs w:val="22"/>
              </w:rPr>
            </w:pPr>
            <w:r w:rsidRPr="005E6387">
              <w:rPr>
                <w:color w:val="000000"/>
                <w:szCs w:val="22"/>
              </w:rPr>
              <w:t>E</w:t>
            </w:r>
          </w:p>
        </w:tc>
        <w:tc>
          <w:tcPr>
            <w:tcW w:w="1584" w:type="dxa"/>
            <w:shd w:val="clear" w:color="auto" w:fill="auto"/>
            <w:vAlign w:val="bottom"/>
            <w:hideMark/>
          </w:tcPr>
          <w:p w14:paraId="35AA6EDE" w14:textId="77777777" w:rsidR="00EC6AF8" w:rsidRPr="005E6387" w:rsidRDefault="00EC6AF8" w:rsidP="002B5506">
            <w:pPr>
              <w:spacing w:after="0"/>
              <w:jc w:val="center"/>
              <w:rPr>
                <w:color w:val="000000"/>
                <w:szCs w:val="22"/>
              </w:rPr>
            </w:pPr>
            <w:r w:rsidRPr="005E6387">
              <w:rPr>
                <w:color w:val="000000"/>
                <w:szCs w:val="22"/>
              </w:rPr>
              <w:t>250-499</w:t>
            </w:r>
          </w:p>
        </w:tc>
        <w:tc>
          <w:tcPr>
            <w:tcW w:w="1017" w:type="dxa"/>
            <w:shd w:val="clear" w:color="auto" w:fill="auto"/>
            <w:vAlign w:val="bottom"/>
            <w:hideMark/>
          </w:tcPr>
          <w:p w14:paraId="659A8E93" w14:textId="77777777" w:rsidR="00EC6AF8" w:rsidRPr="005E6387" w:rsidRDefault="00EC6AF8" w:rsidP="002B5506">
            <w:pPr>
              <w:spacing w:after="0"/>
              <w:jc w:val="right"/>
              <w:rPr>
                <w:color w:val="000000"/>
                <w:szCs w:val="22"/>
              </w:rPr>
            </w:pPr>
            <w:r w:rsidRPr="005E6387">
              <w:rPr>
                <w:color w:val="000000"/>
                <w:szCs w:val="22"/>
              </w:rPr>
              <w:t>375</w:t>
            </w:r>
          </w:p>
        </w:tc>
      </w:tr>
      <w:tr w:rsidR="00EC6AF8" w:rsidRPr="005E6387" w14:paraId="24DCF397" w14:textId="77777777" w:rsidTr="002B5506">
        <w:trPr>
          <w:trHeight w:val="20"/>
          <w:jc w:val="center"/>
        </w:trPr>
        <w:tc>
          <w:tcPr>
            <w:tcW w:w="1280" w:type="dxa"/>
            <w:shd w:val="clear" w:color="auto" w:fill="auto"/>
            <w:vAlign w:val="bottom"/>
            <w:hideMark/>
          </w:tcPr>
          <w:p w14:paraId="11F17A24" w14:textId="77777777" w:rsidR="00EC6AF8" w:rsidRPr="005E6387" w:rsidRDefault="00EC6AF8" w:rsidP="002B5506">
            <w:pPr>
              <w:spacing w:after="0"/>
              <w:jc w:val="center"/>
              <w:rPr>
                <w:color w:val="000000"/>
                <w:szCs w:val="22"/>
              </w:rPr>
            </w:pPr>
            <w:r w:rsidRPr="005E6387">
              <w:rPr>
                <w:color w:val="000000"/>
                <w:szCs w:val="22"/>
              </w:rPr>
              <w:t>F</w:t>
            </w:r>
          </w:p>
        </w:tc>
        <w:tc>
          <w:tcPr>
            <w:tcW w:w="1584" w:type="dxa"/>
            <w:shd w:val="clear" w:color="auto" w:fill="auto"/>
            <w:vAlign w:val="bottom"/>
            <w:hideMark/>
          </w:tcPr>
          <w:p w14:paraId="2FE857A9" w14:textId="77777777" w:rsidR="00EC6AF8" w:rsidRPr="005E6387" w:rsidRDefault="00EC6AF8" w:rsidP="002B5506">
            <w:pPr>
              <w:spacing w:after="0"/>
              <w:jc w:val="center"/>
              <w:rPr>
                <w:color w:val="000000"/>
                <w:szCs w:val="22"/>
              </w:rPr>
            </w:pPr>
            <w:r w:rsidRPr="005E6387">
              <w:rPr>
                <w:color w:val="000000"/>
                <w:szCs w:val="22"/>
              </w:rPr>
              <w:t>500-999</w:t>
            </w:r>
          </w:p>
        </w:tc>
        <w:tc>
          <w:tcPr>
            <w:tcW w:w="1017" w:type="dxa"/>
            <w:shd w:val="clear" w:color="auto" w:fill="auto"/>
            <w:vAlign w:val="bottom"/>
            <w:hideMark/>
          </w:tcPr>
          <w:p w14:paraId="0F5C5116" w14:textId="77777777" w:rsidR="00EC6AF8" w:rsidRPr="005E6387" w:rsidRDefault="00EC6AF8" w:rsidP="002B5506">
            <w:pPr>
              <w:spacing w:after="0"/>
              <w:jc w:val="right"/>
              <w:rPr>
                <w:color w:val="000000"/>
                <w:szCs w:val="22"/>
              </w:rPr>
            </w:pPr>
            <w:r w:rsidRPr="005E6387">
              <w:rPr>
                <w:color w:val="000000"/>
                <w:szCs w:val="22"/>
              </w:rPr>
              <w:t>750</w:t>
            </w:r>
          </w:p>
        </w:tc>
      </w:tr>
      <w:tr w:rsidR="00EC6AF8" w:rsidRPr="005E6387" w14:paraId="6FF094D6" w14:textId="77777777" w:rsidTr="002B5506">
        <w:trPr>
          <w:trHeight w:val="20"/>
          <w:jc w:val="center"/>
        </w:trPr>
        <w:tc>
          <w:tcPr>
            <w:tcW w:w="1280" w:type="dxa"/>
            <w:shd w:val="clear" w:color="auto" w:fill="auto"/>
            <w:vAlign w:val="bottom"/>
            <w:hideMark/>
          </w:tcPr>
          <w:p w14:paraId="51A2DDDB" w14:textId="77777777" w:rsidR="00EC6AF8" w:rsidRPr="005E6387" w:rsidRDefault="00EC6AF8" w:rsidP="002B5506">
            <w:pPr>
              <w:spacing w:after="0"/>
              <w:jc w:val="center"/>
              <w:rPr>
                <w:color w:val="000000"/>
                <w:szCs w:val="22"/>
              </w:rPr>
            </w:pPr>
            <w:r w:rsidRPr="005E6387">
              <w:rPr>
                <w:color w:val="000000"/>
                <w:szCs w:val="22"/>
              </w:rPr>
              <w:t>G</w:t>
            </w:r>
          </w:p>
        </w:tc>
        <w:tc>
          <w:tcPr>
            <w:tcW w:w="1584" w:type="dxa"/>
            <w:shd w:val="clear" w:color="auto" w:fill="auto"/>
            <w:vAlign w:val="bottom"/>
            <w:hideMark/>
          </w:tcPr>
          <w:p w14:paraId="3C3D28B2" w14:textId="77777777" w:rsidR="00EC6AF8" w:rsidRPr="005E6387" w:rsidRDefault="00EC6AF8" w:rsidP="002B5506">
            <w:pPr>
              <w:spacing w:after="0"/>
              <w:jc w:val="center"/>
              <w:rPr>
                <w:color w:val="000000"/>
                <w:szCs w:val="22"/>
              </w:rPr>
            </w:pPr>
            <w:r w:rsidRPr="005E6387">
              <w:rPr>
                <w:color w:val="000000"/>
                <w:szCs w:val="22"/>
              </w:rPr>
              <w:t>1</w:t>
            </w:r>
            <w:r>
              <w:rPr>
                <w:color w:val="000000"/>
                <w:szCs w:val="22"/>
              </w:rPr>
              <w:t>,</w:t>
            </w:r>
            <w:r w:rsidRPr="005E6387">
              <w:rPr>
                <w:color w:val="000000"/>
                <w:szCs w:val="22"/>
              </w:rPr>
              <w:t>000-2</w:t>
            </w:r>
            <w:r>
              <w:rPr>
                <w:color w:val="000000"/>
                <w:szCs w:val="22"/>
              </w:rPr>
              <w:t>,</w:t>
            </w:r>
            <w:r w:rsidRPr="005E6387">
              <w:rPr>
                <w:color w:val="000000"/>
                <w:szCs w:val="22"/>
              </w:rPr>
              <w:t>499</w:t>
            </w:r>
          </w:p>
        </w:tc>
        <w:tc>
          <w:tcPr>
            <w:tcW w:w="1017" w:type="dxa"/>
            <w:shd w:val="clear" w:color="auto" w:fill="auto"/>
            <w:vAlign w:val="bottom"/>
            <w:hideMark/>
          </w:tcPr>
          <w:p w14:paraId="0A7430FA" w14:textId="77777777" w:rsidR="00EC6AF8" w:rsidRPr="005E6387" w:rsidRDefault="00EC6AF8" w:rsidP="002B5506">
            <w:pPr>
              <w:spacing w:after="0"/>
              <w:jc w:val="right"/>
              <w:rPr>
                <w:color w:val="000000"/>
                <w:szCs w:val="22"/>
              </w:rPr>
            </w:pPr>
            <w:r w:rsidRPr="005E6387">
              <w:rPr>
                <w:color w:val="000000"/>
                <w:szCs w:val="22"/>
              </w:rPr>
              <w:t>1,750</w:t>
            </w:r>
          </w:p>
        </w:tc>
      </w:tr>
      <w:tr w:rsidR="00EC6AF8" w:rsidRPr="005E6387" w14:paraId="76BED9E3" w14:textId="77777777" w:rsidTr="002B5506">
        <w:trPr>
          <w:trHeight w:val="20"/>
          <w:jc w:val="center"/>
        </w:trPr>
        <w:tc>
          <w:tcPr>
            <w:tcW w:w="1280" w:type="dxa"/>
            <w:shd w:val="clear" w:color="auto" w:fill="auto"/>
            <w:vAlign w:val="bottom"/>
            <w:hideMark/>
          </w:tcPr>
          <w:p w14:paraId="3E2C41F6" w14:textId="77777777" w:rsidR="00EC6AF8" w:rsidRPr="005E6387" w:rsidRDefault="00EC6AF8" w:rsidP="002B5506">
            <w:pPr>
              <w:spacing w:after="0"/>
              <w:jc w:val="center"/>
              <w:rPr>
                <w:color w:val="000000"/>
                <w:szCs w:val="22"/>
              </w:rPr>
            </w:pPr>
            <w:r w:rsidRPr="005E6387">
              <w:rPr>
                <w:color w:val="000000"/>
                <w:szCs w:val="22"/>
              </w:rPr>
              <w:t>H</w:t>
            </w:r>
          </w:p>
        </w:tc>
        <w:tc>
          <w:tcPr>
            <w:tcW w:w="1584" w:type="dxa"/>
            <w:shd w:val="clear" w:color="auto" w:fill="auto"/>
            <w:vAlign w:val="bottom"/>
            <w:hideMark/>
          </w:tcPr>
          <w:p w14:paraId="587F0EB5" w14:textId="77777777" w:rsidR="00EC6AF8" w:rsidRPr="005E6387" w:rsidRDefault="00EC6AF8" w:rsidP="002B5506">
            <w:pPr>
              <w:spacing w:after="0"/>
              <w:jc w:val="center"/>
              <w:rPr>
                <w:color w:val="000000"/>
                <w:szCs w:val="22"/>
              </w:rPr>
            </w:pPr>
            <w:r w:rsidRPr="005E6387">
              <w:rPr>
                <w:color w:val="000000"/>
                <w:szCs w:val="22"/>
              </w:rPr>
              <w:t>2</w:t>
            </w:r>
            <w:r>
              <w:rPr>
                <w:color w:val="000000"/>
                <w:szCs w:val="22"/>
              </w:rPr>
              <w:t>,</w:t>
            </w:r>
            <w:r w:rsidRPr="005E6387">
              <w:rPr>
                <w:color w:val="000000"/>
                <w:szCs w:val="22"/>
              </w:rPr>
              <w:t>500-4</w:t>
            </w:r>
            <w:r>
              <w:rPr>
                <w:color w:val="000000"/>
                <w:szCs w:val="22"/>
              </w:rPr>
              <w:t>,</w:t>
            </w:r>
            <w:r w:rsidRPr="005E6387">
              <w:rPr>
                <w:color w:val="000000"/>
                <w:szCs w:val="22"/>
              </w:rPr>
              <w:t>999</w:t>
            </w:r>
          </w:p>
        </w:tc>
        <w:tc>
          <w:tcPr>
            <w:tcW w:w="1017" w:type="dxa"/>
            <w:shd w:val="clear" w:color="auto" w:fill="auto"/>
            <w:vAlign w:val="bottom"/>
            <w:hideMark/>
          </w:tcPr>
          <w:p w14:paraId="400CB670" w14:textId="77777777" w:rsidR="00EC6AF8" w:rsidRPr="005E6387" w:rsidRDefault="00EC6AF8" w:rsidP="002B5506">
            <w:pPr>
              <w:spacing w:after="0"/>
              <w:jc w:val="right"/>
              <w:rPr>
                <w:color w:val="000000"/>
                <w:szCs w:val="22"/>
              </w:rPr>
            </w:pPr>
            <w:r w:rsidRPr="005E6387">
              <w:rPr>
                <w:color w:val="000000"/>
                <w:szCs w:val="22"/>
              </w:rPr>
              <w:t>3,750</w:t>
            </w:r>
          </w:p>
        </w:tc>
      </w:tr>
      <w:tr w:rsidR="00EC6AF8" w:rsidRPr="005E6387" w14:paraId="26389685" w14:textId="77777777" w:rsidTr="002B5506">
        <w:trPr>
          <w:trHeight w:val="20"/>
          <w:jc w:val="center"/>
        </w:trPr>
        <w:tc>
          <w:tcPr>
            <w:tcW w:w="1280" w:type="dxa"/>
            <w:shd w:val="clear" w:color="auto" w:fill="auto"/>
            <w:vAlign w:val="bottom"/>
            <w:hideMark/>
          </w:tcPr>
          <w:p w14:paraId="38156BF7" w14:textId="77777777" w:rsidR="00EC6AF8" w:rsidRPr="005E6387" w:rsidRDefault="00EC6AF8" w:rsidP="002B5506">
            <w:pPr>
              <w:spacing w:after="0"/>
              <w:jc w:val="center"/>
              <w:rPr>
                <w:color w:val="000000"/>
                <w:szCs w:val="22"/>
              </w:rPr>
            </w:pPr>
            <w:r w:rsidRPr="005E6387">
              <w:rPr>
                <w:color w:val="000000"/>
                <w:szCs w:val="22"/>
              </w:rPr>
              <w:t>I</w:t>
            </w:r>
          </w:p>
        </w:tc>
        <w:tc>
          <w:tcPr>
            <w:tcW w:w="1584" w:type="dxa"/>
            <w:shd w:val="clear" w:color="auto" w:fill="auto"/>
            <w:vAlign w:val="bottom"/>
            <w:hideMark/>
          </w:tcPr>
          <w:p w14:paraId="55260403" w14:textId="77777777" w:rsidR="00EC6AF8" w:rsidRPr="005E6387" w:rsidRDefault="00EC6AF8" w:rsidP="002B5506">
            <w:pPr>
              <w:spacing w:after="0"/>
              <w:jc w:val="center"/>
              <w:rPr>
                <w:color w:val="000000"/>
                <w:szCs w:val="22"/>
              </w:rPr>
            </w:pPr>
            <w:r w:rsidRPr="005E6387">
              <w:rPr>
                <w:color w:val="000000"/>
                <w:szCs w:val="22"/>
              </w:rPr>
              <w:t>5</w:t>
            </w:r>
            <w:r>
              <w:rPr>
                <w:color w:val="000000"/>
                <w:szCs w:val="22"/>
              </w:rPr>
              <w:t>,</w:t>
            </w:r>
            <w:r w:rsidRPr="005E6387">
              <w:rPr>
                <w:color w:val="000000"/>
                <w:szCs w:val="22"/>
              </w:rPr>
              <w:t>000-9</w:t>
            </w:r>
            <w:r>
              <w:rPr>
                <w:color w:val="000000"/>
                <w:szCs w:val="22"/>
              </w:rPr>
              <w:t>,</w:t>
            </w:r>
            <w:r w:rsidRPr="005E6387">
              <w:rPr>
                <w:color w:val="000000"/>
                <w:szCs w:val="22"/>
              </w:rPr>
              <w:t>999</w:t>
            </w:r>
          </w:p>
        </w:tc>
        <w:tc>
          <w:tcPr>
            <w:tcW w:w="1017" w:type="dxa"/>
            <w:shd w:val="clear" w:color="auto" w:fill="auto"/>
            <w:vAlign w:val="bottom"/>
            <w:hideMark/>
          </w:tcPr>
          <w:p w14:paraId="2BD65A8C" w14:textId="77777777" w:rsidR="00EC6AF8" w:rsidRPr="005E6387" w:rsidRDefault="00EC6AF8" w:rsidP="002B5506">
            <w:pPr>
              <w:spacing w:after="0"/>
              <w:jc w:val="right"/>
              <w:rPr>
                <w:color w:val="000000"/>
                <w:szCs w:val="22"/>
              </w:rPr>
            </w:pPr>
            <w:r w:rsidRPr="005E6387">
              <w:rPr>
                <w:color w:val="000000"/>
                <w:szCs w:val="22"/>
              </w:rPr>
              <w:t>7,500</w:t>
            </w:r>
          </w:p>
        </w:tc>
      </w:tr>
      <w:tr w:rsidR="00EC6AF8" w:rsidRPr="005E6387" w14:paraId="5BFFF692" w14:textId="77777777" w:rsidTr="002B5506">
        <w:trPr>
          <w:trHeight w:val="20"/>
          <w:jc w:val="center"/>
        </w:trPr>
        <w:tc>
          <w:tcPr>
            <w:tcW w:w="1280" w:type="dxa"/>
            <w:shd w:val="clear" w:color="auto" w:fill="auto"/>
            <w:vAlign w:val="bottom"/>
            <w:hideMark/>
          </w:tcPr>
          <w:p w14:paraId="13F1F0FB" w14:textId="77777777" w:rsidR="00EC6AF8" w:rsidRPr="005E6387" w:rsidRDefault="00EC6AF8" w:rsidP="002B5506">
            <w:pPr>
              <w:spacing w:after="0"/>
              <w:jc w:val="center"/>
              <w:rPr>
                <w:color w:val="000000"/>
                <w:szCs w:val="22"/>
              </w:rPr>
            </w:pPr>
            <w:r w:rsidRPr="005E6387">
              <w:rPr>
                <w:color w:val="000000"/>
                <w:szCs w:val="22"/>
              </w:rPr>
              <w:t>J</w:t>
            </w:r>
          </w:p>
        </w:tc>
        <w:tc>
          <w:tcPr>
            <w:tcW w:w="1584" w:type="dxa"/>
            <w:shd w:val="clear" w:color="auto" w:fill="auto"/>
            <w:vAlign w:val="bottom"/>
            <w:hideMark/>
          </w:tcPr>
          <w:p w14:paraId="7BCA2795" w14:textId="77777777" w:rsidR="00EC6AF8" w:rsidRPr="005E6387" w:rsidRDefault="00EC6AF8" w:rsidP="002B5506">
            <w:pPr>
              <w:spacing w:after="0"/>
              <w:jc w:val="center"/>
              <w:rPr>
                <w:color w:val="000000"/>
                <w:szCs w:val="22"/>
              </w:rPr>
            </w:pPr>
            <w:r w:rsidRPr="005E6387">
              <w:rPr>
                <w:color w:val="000000"/>
                <w:szCs w:val="22"/>
              </w:rPr>
              <w:t>10</w:t>
            </w:r>
            <w:r>
              <w:rPr>
                <w:color w:val="000000"/>
                <w:szCs w:val="22"/>
              </w:rPr>
              <w:t>,</w:t>
            </w:r>
            <w:r w:rsidRPr="005E6387">
              <w:rPr>
                <w:color w:val="000000"/>
                <w:szCs w:val="22"/>
              </w:rPr>
              <w:t>000-24</w:t>
            </w:r>
            <w:r>
              <w:rPr>
                <w:color w:val="000000"/>
                <w:szCs w:val="22"/>
              </w:rPr>
              <w:t>,</w:t>
            </w:r>
            <w:r w:rsidRPr="005E6387">
              <w:rPr>
                <w:color w:val="000000"/>
                <w:szCs w:val="22"/>
              </w:rPr>
              <w:t>999</w:t>
            </w:r>
          </w:p>
        </w:tc>
        <w:tc>
          <w:tcPr>
            <w:tcW w:w="1017" w:type="dxa"/>
            <w:shd w:val="clear" w:color="auto" w:fill="auto"/>
            <w:vAlign w:val="bottom"/>
            <w:hideMark/>
          </w:tcPr>
          <w:p w14:paraId="5C816C13" w14:textId="77777777" w:rsidR="00EC6AF8" w:rsidRPr="005E6387" w:rsidRDefault="00EC6AF8" w:rsidP="002B5506">
            <w:pPr>
              <w:spacing w:after="0"/>
              <w:jc w:val="right"/>
              <w:rPr>
                <w:color w:val="000000"/>
                <w:szCs w:val="22"/>
              </w:rPr>
            </w:pPr>
            <w:r w:rsidRPr="005E6387">
              <w:rPr>
                <w:color w:val="000000"/>
                <w:szCs w:val="22"/>
              </w:rPr>
              <w:t>17,500</w:t>
            </w:r>
          </w:p>
        </w:tc>
      </w:tr>
      <w:tr w:rsidR="00EC6AF8" w:rsidRPr="005E6387" w14:paraId="51F91B46" w14:textId="77777777" w:rsidTr="002B5506">
        <w:trPr>
          <w:trHeight w:val="20"/>
          <w:jc w:val="center"/>
        </w:trPr>
        <w:tc>
          <w:tcPr>
            <w:tcW w:w="1280" w:type="dxa"/>
            <w:shd w:val="clear" w:color="auto" w:fill="auto"/>
            <w:vAlign w:val="bottom"/>
            <w:hideMark/>
          </w:tcPr>
          <w:p w14:paraId="1836CF96" w14:textId="77777777" w:rsidR="00EC6AF8" w:rsidRPr="005E6387" w:rsidRDefault="00EC6AF8" w:rsidP="002B5506">
            <w:pPr>
              <w:spacing w:after="0"/>
              <w:jc w:val="center"/>
              <w:rPr>
                <w:color w:val="000000"/>
                <w:szCs w:val="22"/>
              </w:rPr>
            </w:pPr>
            <w:r w:rsidRPr="005E6387">
              <w:rPr>
                <w:color w:val="000000"/>
                <w:szCs w:val="22"/>
              </w:rPr>
              <w:t>K</w:t>
            </w:r>
          </w:p>
        </w:tc>
        <w:tc>
          <w:tcPr>
            <w:tcW w:w="1584" w:type="dxa"/>
            <w:shd w:val="clear" w:color="auto" w:fill="auto"/>
            <w:vAlign w:val="bottom"/>
            <w:hideMark/>
          </w:tcPr>
          <w:p w14:paraId="1431AF49" w14:textId="77777777" w:rsidR="00EC6AF8" w:rsidRPr="005E6387" w:rsidRDefault="00EC6AF8" w:rsidP="002B5506">
            <w:pPr>
              <w:spacing w:after="0"/>
              <w:jc w:val="center"/>
              <w:rPr>
                <w:color w:val="000000"/>
                <w:szCs w:val="22"/>
              </w:rPr>
            </w:pPr>
            <w:r w:rsidRPr="005E6387">
              <w:rPr>
                <w:color w:val="000000"/>
                <w:szCs w:val="22"/>
              </w:rPr>
              <w:t>25</w:t>
            </w:r>
            <w:r>
              <w:rPr>
                <w:color w:val="000000"/>
                <w:szCs w:val="22"/>
              </w:rPr>
              <w:t>,</w:t>
            </w:r>
            <w:r w:rsidRPr="005E6387">
              <w:rPr>
                <w:color w:val="000000"/>
                <w:szCs w:val="22"/>
              </w:rPr>
              <w:t>000-49</w:t>
            </w:r>
            <w:r>
              <w:rPr>
                <w:color w:val="000000"/>
                <w:szCs w:val="22"/>
              </w:rPr>
              <w:t>,</w:t>
            </w:r>
            <w:r w:rsidRPr="005E6387">
              <w:rPr>
                <w:color w:val="000000"/>
                <w:szCs w:val="22"/>
              </w:rPr>
              <w:t>999</w:t>
            </w:r>
          </w:p>
        </w:tc>
        <w:tc>
          <w:tcPr>
            <w:tcW w:w="1017" w:type="dxa"/>
            <w:shd w:val="clear" w:color="auto" w:fill="auto"/>
            <w:vAlign w:val="bottom"/>
            <w:hideMark/>
          </w:tcPr>
          <w:p w14:paraId="5F23BEB8" w14:textId="77777777" w:rsidR="00EC6AF8" w:rsidRPr="005E6387" w:rsidRDefault="00EC6AF8" w:rsidP="002B5506">
            <w:pPr>
              <w:spacing w:after="0"/>
              <w:jc w:val="right"/>
              <w:rPr>
                <w:color w:val="000000"/>
                <w:szCs w:val="22"/>
              </w:rPr>
            </w:pPr>
            <w:r w:rsidRPr="005E6387">
              <w:rPr>
                <w:color w:val="000000"/>
                <w:szCs w:val="22"/>
              </w:rPr>
              <w:t>37,500</w:t>
            </w:r>
          </w:p>
        </w:tc>
      </w:tr>
      <w:tr w:rsidR="00EC6AF8" w:rsidRPr="005E6387" w14:paraId="74719935" w14:textId="77777777" w:rsidTr="002B5506">
        <w:trPr>
          <w:trHeight w:val="20"/>
          <w:jc w:val="center"/>
        </w:trPr>
        <w:tc>
          <w:tcPr>
            <w:tcW w:w="1280" w:type="dxa"/>
            <w:shd w:val="clear" w:color="auto" w:fill="auto"/>
            <w:vAlign w:val="bottom"/>
            <w:hideMark/>
          </w:tcPr>
          <w:p w14:paraId="01669905" w14:textId="77777777" w:rsidR="00EC6AF8" w:rsidRPr="005E6387" w:rsidRDefault="00EC6AF8" w:rsidP="002B5506">
            <w:pPr>
              <w:spacing w:after="0"/>
              <w:jc w:val="center"/>
              <w:rPr>
                <w:color w:val="000000"/>
                <w:szCs w:val="22"/>
              </w:rPr>
            </w:pPr>
            <w:r w:rsidRPr="005E6387">
              <w:rPr>
                <w:color w:val="000000"/>
                <w:szCs w:val="22"/>
              </w:rPr>
              <w:t>L</w:t>
            </w:r>
          </w:p>
        </w:tc>
        <w:tc>
          <w:tcPr>
            <w:tcW w:w="1584" w:type="dxa"/>
            <w:shd w:val="clear" w:color="auto" w:fill="auto"/>
            <w:vAlign w:val="bottom"/>
            <w:hideMark/>
          </w:tcPr>
          <w:p w14:paraId="1B951066" w14:textId="77777777" w:rsidR="00EC6AF8" w:rsidRPr="005E6387" w:rsidRDefault="00EC6AF8" w:rsidP="002B5506">
            <w:pPr>
              <w:spacing w:after="0"/>
              <w:jc w:val="center"/>
              <w:rPr>
                <w:color w:val="000000"/>
                <w:szCs w:val="22"/>
              </w:rPr>
            </w:pPr>
            <w:r w:rsidRPr="005E6387">
              <w:rPr>
                <w:color w:val="000000"/>
                <w:szCs w:val="22"/>
              </w:rPr>
              <w:t>50</w:t>
            </w:r>
            <w:r>
              <w:rPr>
                <w:color w:val="000000"/>
                <w:szCs w:val="22"/>
              </w:rPr>
              <w:t>,</w:t>
            </w:r>
            <w:r w:rsidRPr="005E6387">
              <w:rPr>
                <w:color w:val="000000"/>
                <w:szCs w:val="22"/>
              </w:rPr>
              <w:t>000-99</w:t>
            </w:r>
            <w:r>
              <w:rPr>
                <w:color w:val="000000"/>
                <w:szCs w:val="22"/>
              </w:rPr>
              <w:t>,</w:t>
            </w:r>
            <w:r w:rsidRPr="005E6387">
              <w:rPr>
                <w:color w:val="000000"/>
                <w:szCs w:val="22"/>
              </w:rPr>
              <w:t>999</w:t>
            </w:r>
          </w:p>
        </w:tc>
        <w:tc>
          <w:tcPr>
            <w:tcW w:w="1017" w:type="dxa"/>
            <w:shd w:val="clear" w:color="auto" w:fill="auto"/>
            <w:vAlign w:val="bottom"/>
            <w:hideMark/>
          </w:tcPr>
          <w:p w14:paraId="4AC64953" w14:textId="77777777" w:rsidR="00EC6AF8" w:rsidRPr="005E6387" w:rsidRDefault="00EC6AF8" w:rsidP="002B5506">
            <w:pPr>
              <w:spacing w:after="0"/>
              <w:jc w:val="right"/>
              <w:rPr>
                <w:color w:val="000000"/>
                <w:szCs w:val="22"/>
              </w:rPr>
            </w:pPr>
            <w:r w:rsidRPr="005E6387">
              <w:rPr>
                <w:color w:val="000000"/>
                <w:szCs w:val="22"/>
              </w:rPr>
              <w:t>75,000</w:t>
            </w:r>
          </w:p>
        </w:tc>
      </w:tr>
      <w:tr w:rsidR="00EC6AF8" w:rsidRPr="005E6387" w14:paraId="008D96B8" w14:textId="77777777" w:rsidTr="002B5506">
        <w:trPr>
          <w:trHeight w:val="20"/>
          <w:jc w:val="center"/>
        </w:trPr>
        <w:tc>
          <w:tcPr>
            <w:tcW w:w="1280" w:type="dxa"/>
            <w:shd w:val="clear" w:color="auto" w:fill="auto"/>
            <w:vAlign w:val="bottom"/>
            <w:hideMark/>
          </w:tcPr>
          <w:p w14:paraId="7171E9AF" w14:textId="77777777" w:rsidR="00EC6AF8" w:rsidRPr="005E6387" w:rsidRDefault="00EC6AF8" w:rsidP="002B5506">
            <w:pPr>
              <w:spacing w:after="0"/>
              <w:jc w:val="center"/>
              <w:rPr>
                <w:color w:val="000000"/>
                <w:szCs w:val="22"/>
              </w:rPr>
            </w:pPr>
            <w:r w:rsidRPr="005E6387">
              <w:rPr>
                <w:color w:val="000000"/>
                <w:szCs w:val="22"/>
              </w:rPr>
              <w:t>M</w:t>
            </w:r>
          </w:p>
        </w:tc>
        <w:tc>
          <w:tcPr>
            <w:tcW w:w="1584" w:type="dxa"/>
            <w:shd w:val="clear" w:color="auto" w:fill="auto"/>
            <w:vAlign w:val="bottom"/>
            <w:hideMark/>
          </w:tcPr>
          <w:p w14:paraId="2E19F258" w14:textId="77777777" w:rsidR="00EC6AF8" w:rsidRPr="005E6387" w:rsidRDefault="00EC6AF8" w:rsidP="002B5506">
            <w:pPr>
              <w:spacing w:after="0"/>
              <w:jc w:val="center"/>
              <w:rPr>
                <w:color w:val="000000"/>
                <w:szCs w:val="22"/>
              </w:rPr>
            </w:pPr>
            <w:r w:rsidRPr="005E6387">
              <w:rPr>
                <w:color w:val="000000"/>
                <w:szCs w:val="22"/>
              </w:rPr>
              <w:t>100</w:t>
            </w:r>
            <w:r>
              <w:rPr>
                <w:color w:val="000000"/>
                <w:szCs w:val="22"/>
              </w:rPr>
              <w:t>,</w:t>
            </w:r>
            <w:r w:rsidRPr="005E6387">
              <w:rPr>
                <w:color w:val="000000"/>
                <w:szCs w:val="22"/>
              </w:rPr>
              <w:t>000+</w:t>
            </w:r>
          </w:p>
        </w:tc>
        <w:tc>
          <w:tcPr>
            <w:tcW w:w="1017" w:type="dxa"/>
            <w:shd w:val="clear" w:color="auto" w:fill="auto"/>
            <w:noWrap/>
            <w:vAlign w:val="bottom"/>
            <w:hideMark/>
          </w:tcPr>
          <w:p w14:paraId="068539CB" w14:textId="77777777" w:rsidR="00EC6AF8" w:rsidRPr="005E6387" w:rsidRDefault="00EC6AF8" w:rsidP="002B5506">
            <w:pPr>
              <w:spacing w:after="0"/>
              <w:rPr>
                <w:color w:val="000000"/>
                <w:szCs w:val="20"/>
              </w:rPr>
            </w:pPr>
          </w:p>
        </w:tc>
      </w:tr>
    </w:tbl>
    <w:p w14:paraId="4435E4A3" w14:textId="34ED0A72" w:rsidR="00EC6AF8" w:rsidRPr="002F4210" w:rsidRDefault="00EC6AF8" w:rsidP="00EC6AF8">
      <w:pPr>
        <w:rPr>
          <w:szCs w:val="20"/>
        </w:rPr>
      </w:pPr>
      <w:r w:rsidRPr="002F4210">
        <w:rPr>
          <w:szCs w:val="20"/>
        </w:rPr>
        <w:lastRenderedPageBreak/>
        <w:t>For example, take the 201</w:t>
      </w:r>
      <w:r w:rsidR="00582A0C">
        <w:rPr>
          <w:szCs w:val="20"/>
        </w:rPr>
        <w:t>6</w:t>
      </w:r>
      <w:r w:rsidRPr="002F4210">
        <w:rPr>
          <w:szCs w:val="20"/>
        </w:rPr>
        <w:t xml:space="preserve"> CBP data for NAICS 2123 (Nonmetallic Mineral Mining and Quarrying) in Arizona provided in </w:t>
      </w:r>
      <w:r w:rsidRPr="002F4210">
        <w:rPr>
          <w:szCs w:val="20"/>
        </w:rPr>
        <w:fldChar w:fldCharType="begin"/>
      </w:r>
      <w:r w:rsidRPr="002F4210">
        <w:rPr>
          <w:szCs w:val="20"/>
        </w:rPr>
        <w:instrText xml:space="preserve"> REF _Ref479326647 \h </w:instrText>
      </w:r>
      <w:r w:rsidR="002F4210" w:rsidRPr="002F4210">
        <w:rPr>
          <w:szCs w:val="20"/>
        </w:rPr>
        <w:instrText xml:space="preserve"> \* MERGEFORMAT </w:instrText>
      </w:r>
      <w:r w:rsidRPr="002F4210">
        <w:rPr>
          <w:szCs w:val="20"/>
        </w:rPr>
      </w:r>
      <w:r w:rsidRPr="002F4210">
        <w:rPr>
          <w:szCs w:val="20"/>
        </w:rPr>
        <w:fldChar w:fldCharType="separate"/>
      </w:r>
      <w:r w:rsidR="00700556" w:rsidRPr="009644AD">
        <w:rPr>
          <w:szCs w:val="20"/>
        </w:rPr>
        <w:t xml:space="preserve">Table </w:t>
      </w:r>
      <w:r w:rsidR="00700556">
        <w:rPr>
          <w:noProof/>
          <w:szCs w:val="20"/>
        </w:rPr>
        <w:t>3</w:t>
      </w:r>
      <w:r w:rsidRPr="002F4210">
        <w:rPr>
          <w:szCs w:val="20"/>
        </w:rPr>
        <w:fldChar w:fldCharType="end"/>
      </w:r>
      <w:r w:rsidRPr="002F4210">
        <w:rPr>
          <w:szCs w:val="20"/>
        </w:rPr>
        <w:t>.</w:t>
      </w:r>
    </w:p>
    <w:p w14:paraId="6800E3C5" w14:textId="69FDC725" w:rsidR="00EC6AF8" w:rsidRDefault="00EC6AF8" w:rsidP="00EC6AF8">
      <w:pPr>
        <w:pStyle w:val="Caption"/>
        <w:keepNext/>
        <w:spacing w:after="0"/>
        <w:jc w:val="center"/>
        <w:rPr>
          <w:color w:val="auto"/>
          <w:sz w:val="20"/>
          <w:szCs w:val="20"/>
        </w:rPr>
      </w:pPr>
      <w:bookmarkStart w:id="8" w:name="_Ref479326647"/>
      <w:r w:rsidRPr="009644AD">
        <w:rPr>
          <w:color w:val="auto"/>
          <w:sz w:val="20"/>
          <w:szCs w:val="20"/>
        </w:rPr>
        <w:t xml:space="preserve">Table </w:t>
      </w:r>
      <w:r w:rsidRPr="009644AD">
        <w:rPr>
          <w:color w:val="auto"/>
          <w:sz w:val="20"/>
          <w:szCs w:val="20"/>
        </w:rPr>
        <w:fldChar w:fldCharType="begin"/>
      </w:r>
      <w:r w:rsidRPr="009644AD">
        <w:rPr>
          <w:color w:val="auto"/>
          <w:sz w:val="20"/>
          <w:szCs w:val="20"/>
        </w:rPr>
        <w:instrText xml:space="preserve"> SEQ Table \* ARABIC </w:instrText>
      </w:r>
      <w:r w:rsidRPr="009644AD">
        <w:rPr>
          <w:color w:val="auto"/>
          <w:sz w:val="20"/>
          <w:szCs w:val="20"/>
        </w:rPr>
        <w:fldChar w:fldCharType="separate"/>
      </w:r>
      <w:r w:rsidR="00700556">
        <w:rPr>
          <w:noProof/>
          <w:color w:val="auto"/>
          <w:sz w:val="20"/>
          <w:szCs w:val="20"/>
        </w:rPr>
        <w:t>3</w:t>
      </w:r>
      <w:r w:rsidRPr="009644AD">
        <w:rPr>
          <w:color w:val="auto"/>
          <w:sz w:val="20"/>
          <w:szCs w:val="20"/>
        </w:rPr>
        <w:fldChar w:fldCharType="end"/>
      </w:r>
      <w:bookmarkEnd w:id="8"/>
      <w:r w:rsidRPr="009644AD">
        <w:rPr>
          <w:color w:val="auto"/>
          <w:sz w:val="20"/>
          <w:szCs w:val="20"/>
        </w:rPr>
        <w:t>. 201</w:t>
      </w:r>
      <w:r w:rsidR="00582A0C">
        <w:rPr>
          <w:color w:val="auto"/>
          <w:sz w:val="20"/>
          <w:szCs w:val="20"/>
        </w:rPr>
        <w:t>6</w:t>
      </w:r>
      <w:r w:rsidRPr="009644AD">
        <w:rPr>
          <w:color w:val="auto"/>
          <w:sz w:val="20"/>
          <w:szCs w:val="20"/>
        </w:rPr>
        <w:t xml:space="preserve"> County Business Pattern for NAICS 2123 in Arizona</w:t>
      </w:r>
    </w:p>
    <w:p w14:paraId="348C0394" w14:textId="77777777" w:rsidR="00EC6AF8" w:rsidRPr="009644AD" w:rsidRDefault="00EC6AF8" w:rsidP="00EC6AF8">
      <w:pPr>
        <w:spacing w:after="0"/>
      </w:pPr>
    </w:p>
    <w:tbl>
      <w:tblPr>
        <w:tblW w:w="70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60"/>
        <w:gridCol w:w="960"/>
        <w:gridCol w:w="1500"/>
        <w:gridCol w:w="960"/>
        <w:gridCol w:w="1316"/>
        <w:gridCol w:w="1316"/>
      </w:tblGrid>
      <w:tr w:rsidR="00EC6AF8" w:rsidRPr="00870D72" w14:paraId="248D29B2" w14:textId="77777777" w:rsidTr="00F1634E">
        <w:trPr>
          <w:cantSplit/>
          <w:jc w:val="center"/>
        </w:trPr>
        <w:tc>
          <w:tcPr>
            <w:tcW w:w="960" w:type="dxa"/>
            <w:shd w:val="clear" w:color="000000" w:fill="C0C0C0"/>
            <w:noWrap/>
            <w:vAlign w:val="center"/>
          </w:tcPr>
          <w:p w14:paraId="3D2D4EDA" w14:textId="77777777" w:rsidR="00EC6AF8" w:rsidRPr="00870D72" w:rsidRDefault="00EC6AF8" w:rsidP="002B5506">
            <w:pPr>
              <w:spacing w:after="0"/>
              <w:jc w:val="center"/>
              <w:rPr>
                <w:b/>
                <w:bCs/>
                <w:szCs w:val="20"/>
              </w:rPr>
            </w:pPr>
            <w:r>
              <w:rPr>
                <w:b/>
                <w:bCs/>
                <w:szCs w:val="20"/>
              </w:rPr>
              <w:t>State FIPS</w:t>
            </w:r>
          </w:p>
        </w:tc>
        <w:tc>
          <w:tcPr>
            <w:tcW w:w="960" w:type="dxa"/>
            <w:shd w:val="clear" w:color="000000" w:fill="C0C0C0"/>
            <w:noWrap/>
            <w:vAlign w:val="center"/>
          </w:tcPr>
          <w:p w14:paraId="0DB6126E" w14:textId="77777777" w:rsidR="00EC6AF8" w:rsidRPr="00870D72" w:rsidRDefault="00EC6AF8" w:rsidP="002B5506">
            <w:pPr>
              <w:spacing w:after="0"/>
              <w:jc w:val="center"/>
              <w:rPr>
                <w:b/>
                <w:bCs/>
                <w:szCs w:val="20"/>
              </w:rPr>
            </w:pPr>
            <w:r>
              <w:rPr>
                <w:b/>
                <w:bCs/>
                <w:szCs w:val="20"/>
              </w:rPr>
              <w:t>County FIPS</w:t>
            </w:r>
          </w:p>
        </w:tc>
        <w:tc>
          <w:tcPr>
            <w:tcW w:w="1500" w:type="dxa"/>
            <w:shd w:val="clear" w:color="000000" w:fill="C0C0C0"/>
          </w:tcPr>
          <w:p w14:paraId="1E28C166" w14:textId="77777777" w:rsidR="00EC6AF8" w:rsidRDefault="00EC6AF8" w:rsidP="002B5506">
            <w:pPr>
              <w:spacing w:after="0"/>
              <w:jc w:val="center"/>
              <w:rPr>
                <w:b/>
                <w:bCs/>
                <w:szCs w:val="20"/>
              </w:rPr>
            </w:pPr>
            <w:r>
              <w:rPr>
                <w:b/>
                <w:bCs/>
                <w:szCs w:val="20"/>
              </w:rPr>
              <w:t>County Name</w:t>
            </w:r>
          </w:p>
        </w:tc>
        <w:tc>
          <w:tcPr>
            <w:tcW w:w="960" w:type="dxa"/>
            <w:shd w:val="clear" w:color="000000" w:fill="C0C0C0"/>
            <w:noWrap/>
            <w:vAlign w:val="center"/>
          </w:tcPr>
          <w:p w14:paraId="35415EC2" w14:textId="77777777" w:rsidR="00EC6AF8" w:rsidRPr="00870D72" w:rsidRDefault="00EC6AF8" w:rsidP="002B5506">
            <w:pPr>
              <w:spacing w:after="0"/>
              <w:jc w:val="center"/>
              <w:rPr>
                <w:b/>
                <w:bCs/>
                <w:szCs w:val="20"/>
              </w:rPr>
            </w:pPr>
            <w:r>
              <w:rPr>
                <w:b/>
                <w:bCs/>
                <w:szCs w:val="20"/>
              </w:rPr>
              <w:t>NAICS</w:t>
            </w:r>
          </w:p>
        </w:tc>
        <w:tc>
          <w:tcPr>
            <w:tcW w:w="1316" w:type="dxa"/>
            <w:shd w:val="clear" w:color="000000" w:fill="C0C0C0"/>
            <w:noWrap/>
            <w:vAlign w:val="center"/>
          </w:tcPr>
          <w:p w14:paraId="47B1E2C4" w14:textId="77777777" w:rsidR="00EC6AF8" w:rsidRPr="00870D72" w:rsidRDefault="00EC6AF8" w:rsidP="002B5506">
            <w:pPr>
              <w:spacing w:after="0"/>
              <w:jc w:val="center"/>
              <w:rPr>
                <w:b/>
                <w:bCs/>
                <w:szCs w:val="20"/>
              </w:rPr>
            </w:pPr>
            <w:r>
              <w:rPr>
                <w:b/>
                <w:bCs/>
                <w:szCs w:val="20"/>
              </w:rPr>
              <w:t>Employment Code</w:t>
            </w:r>
          </w:p>
        </w:tc>
        <w:tc>
          <w:tcPr>
            <w:tcW w:w="1316" w:type="dxa"/>
            <w:shd w:val="clear" w:color="000000" w:fill="C0C0C0"/>
            <w:noWrap/>
            <w:vAlign w:val="center"/>
          </w:tcPr>
          <w:p w14:paraId="14EED612" w14:textId="77777777" w:rsidR="00EC6AF8" w:rsidRPr="00870D72" w:rsidRDefault="00EC6AF8" w:rsidP="002B5506">
            <w:pPr>
              <w:spacing w:after="0"/>
              <w:jc w:val="center"/>
              <w:rPr>
                <w:b/>
                <w:bCs/>
                <w:szCs w:val="20"/>
              </w:rPr>
            </w:pPr>
            <w:r>
              <w:rPr>
                <w:b/>
                <w:bCs/>
                <w:szCs w:val="20"/>
              </w:rPr>
              <w:t>Employment</w:t>
            </w:r>
          </w:p>
        </w:tc>
      </w:tr>
      <w:tr w:rsidR="00EC6AF8" w:rsidRPr="00870D72" w14:paraId="112C748D" w14:textId="77777777" w:rsidTr="00F1634E">
        <w:trPr>
          <w:cantSplit/>
          <w:trHeight w:val="144"/>
          <w:jc w:val="center"/>
        </w:trPr>
        <w:tc>
          <w:tcPr>
            <w:tcW w:w="960" w:type="dxa"/>
            <w:shd w:val="clear" w:color="auto" w:fill="auto"/>
            <w:vAlign w:val="center"/>
          </w:tcPr>
          <w:p w14:paraId="465507E2"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264179B2" w14:textId="77777777" w:rsidR="00EC6AF8" w:rsidRPr="00870D72" w:rsidRDefault="00EC6AF8" w:rsidP="002B5506">
            <w:pPr>
              <w:spacing w:after="0"/>
              <w:jc w:val="center"/>
              <w:rPr>
                <w:szCs w:val="20"/>
              </w:rPr>
            </w:pPr>
            <w:r>
              <w:rPr>
                <w:szCs w:val="20"/>
              </w:rPr>
              <w:t>001</w:t>
            </w:r>
          </w:p>
        </w:tc>
        <w:tc>
          <w:tcPr>
            <w:tcW w:w="1500" w:type="dxa"/>
          </w:tcPr>
          <w:p w14:paraId="7C29CA8F" w14:textId="77777777" w:rsidR="00EC6AF8" w:rsidRDefault="00EC6AF8" w:rsidP="002B5506">
            <w:pPr>
              <w:spacing w:after="0"/>
              <w:jc w:val="center"/>
              <w:rPr>
                <w:szCs w:val="20"/>
              </w:rPr>
            </w:pPr>
            <w:r>
              <w:rPr>
                <w:szCs w:val="20"/>
              </w:rPr>
              <w:t>Apache</w:t>
            </w:r>
          </w:p>
        </w:tc>
        <w:tc>
          <w:tcPr>
            <w:tcW w:w="960" w:type="dxa"/>
            <w:shd w:val="clear" w:color="auto" w:fill="auto"/>
            <w:vAlign w:val="center"/>
          </w:tcPr>
          <w:p w14:paraId="04845C34"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57BD24A3" w14:textId="64704634" w:rsidR="00EC6AF8" w:rsidRPr="00870D72" w:rsidRDefault="00F1634E" w:rsidP="002B5506">
            <w:pPr>
              <w:spacing w:after="0"/>
              <w:jc w:val="center"/>
              <w:rPr>
                <w:szCs w:val="20"/>
              </w:rPr>
            </w:pPr>
            <w:r>
              <w:rPr>
                <w:szCs w:val="20"/>
              </w:rPr>
              <w:t>B</w:t>
            </w:r>
          </w:p>
        </w:tc>
        <w:tc>
          <w:tcPr>
            <w:tcW w:w="1316" w:type="dxa"/>
            <w:shd w:val="clear" w:color="auto" w:fill="auto"/>
            <w:vAlign w:val="center"/>
          </w:tcPr>
          <w:p w14:paraId="4B1A1BB7" w14:textId="77777777" w:rsidR="00EC6AF8" w:rsidRPr="00870D72" w:rsidRDefault="00EC6AF8" w:rsidP="002B5506">
            <w:pPr>
              <w:spacing w:after="0"/>
              <w:ind w:right="280"/>
              <w:jc w:val="right"/>
              <w:rPr>
                <w:szCs w:val="20"/>
              </w:rPr>
            </w:pPr>
            <w:r>
              <w:rPr>
                <w:szCs w:val="20"/>
              </w:rPr>
              <w:t>withheld</w:t>
            </w:r>
          </w:p>
        </w:tc>
      </w:tr>
      <w:tr w:rsidR="00EC6AF8" w:rsidRPr="00870D72" w14:paraId="6AAE8273" w14:textId="77777777" w:rsidTr="00F1634E">
        <w:trPr>
          <w:cantSplit/>
          <w:trHeight w:val="144"/>
          <w:jc w:val="center"/>
        </w:trPr>
        <w:tc>
          <w:tcPr>
            <w:tcW w:w="960" w:type="dxa"/>
            <w:shd w:val="clear" w:color="auto" w:fill="auto"/>
            <w:vAlign w:val="center"/>
          </w:tcPr>
          <w:p w14:paraId="7DDC069D"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50E45BA3" w14:textId="77777777" w:rsidR="00EC6AF8" w:rsidRPr="00870D72" w:rsidRDefault="00EC6AF8" w:rsidP="002B5506">
            <w:pPr>
              <w:spacing w:after="0"/>
              <w:jc w:val="center"/>
              <w:rPr>
                <w:szCs w:val="20"/>
              </w:rPr>
            </w:pPr>
            <w:r>
              <w:rPr>
                <w:szCs w:val="20"/>
              </w:rPr>
              <w:t>003</w:t>
            </w:r>
          </w:p>
        </w:tc>
        <w:tc>
          <w:tcPr>
            <w:tcW w:w="1500" w:type="dxa"/>
          </w:tcPr>
          <w:p w14:paraId="23EC472A" w14:textId="77777777" w:rsidR="00EC6AF8" w:rsidRDefault="00EC6AF8" w:rsidP="002B5506">
            <w:pPr>
              <w:spacing w:after="0"/>
              <w:jc w:val="center"/>
              <w:rPr>
                <w:szCs w:val="20"/>
              </w:rPr>
            </w:pPr>
            <w:r>
              <w:rPr>
                <w:szCs w:val="20"/>
              </w:rPr>
              <w:t>Cochise</w:t>
            </w:r>
          </w:p>
        </w:tc>
        <w:tc>
          <w:tcPr>
            <w:tcW w:w="960" w:type="dxa"/>
            <w:shd w:val="clear" w:color="auto" w:fill="auto"/>
            <w:vAlign w:val="center"/>
          </w:tcPr>
          <w:p w14:paraId="592902CA"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13A1734D" w14:textId="77777777" w:rsidR="00EC6AF8" w:rsidRPr="00870D72" w:rsidRDefault="00EC6AF8" w:rsidP="002B5506">
            <w:pPr>
              <w:spacing w:after="0"/>
              <w:jc w:val="center"/>
              <w:rPr>
                <w:szCs w:val="20"/>
              </w:rPr>
            </w:pPr>
          </w:p>
        </w:tc>
        <w:tc>
          <w:tcPr>
            <w:tcW w:w="1316" w:type="dxa"/>
            <w:shd w:val="clear" w:color="auto" w:fill="auto"/>
            <w:vAlign w:val="center"/>
          </w:tcPr>
          <w:p w14:paraId="0CA62401" w14:textId="78DE05CE" w:rsidR="00EC6AF8" w:rsidRPr="00870D72" w:rsidRDefault="00EC6AF8" w:rsidP="002B5506">
            <w:pPr>
              <w:spacing w:after="0"/>
              <w:ind w:right="280"/>
              <w:jc w:val="right"/>
              <w:rPr>
                <w:szCs w:val="20"/>
              </w:rPr>
            </w:pPr>
            <w:r>
              <w:rPr>
                <w:szCs w:val="20"/>
              </w:rPr>
              <w:t>1</w:t>
            </w:r>
            <w:r w:rsidR="00F1634E">
              <w:rPr>
                <w:szCs w:val="20"/>
              </w:rPr>
              <w:t>6</w:t>
            </w:r>
          </w:p>
        </w:tc>
      </w:tr>
      <w:tr w:rsidR="00EC6AF8" w:rsidRPr="00870D72" w14:paraId="7DBFCADA" w14:textId="77777777" w:rsidTr="00F1634E">
        <w:trPr>
          <w:cantSplit/>
          <w:trHeight w:val="144"/>
          <w:jc w:val="center"/>
        </w:trPr>
        <w:tc>
          <w:tcPr>
            <w:tcW w:w="960" w:type="dxa"/>
            <w:shd w:val="clear" w:color="auto" w:fill="auto"/>
            <w:vAlign w:val="center"/>
          </w:tcPr>
          <w:p w14:paraId="50C498F0"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1AEAB7E0" w14:textId="77777777" w:rsidR="00EC6AF8" w:rsidRPr="00870D72" w:rsidRDefault="00EC6AF8" w:rsidP="002B5506">
            <w:pPr>
              <w:spacing w:after="0"/>
              <w:jc w:val="center"/>
              <w:rPr>
                <w:szCs w:val="20"/>
              </w:rPr>
            </w:pPr>
            <w:r>
              <w:rPr>
                <w:szCs w:val="20"/>
              </w:rPr>
              <w:t>005</w:t>
            </w:r>
          </w:p>
        </w:tc>
        <w:tc>
          <w:tcPr>
            <w:tcW w:w="1500" w:type="dxa"/>
          </w:tcPr>
          <w:p w14:paraId="6E89FBD1" w14:textId="77777777" w:rsidR="00EC6AF8" w:rsidRDefault="00EC6AF8" w:rsidP="002B5506">
            <w:pPr>
              <w:spacing w:after="0"/>
              <w:jc w:val="center"/>
              <w:rPr>
                <w:szCs w:val="20"/>
              </w:rPr>
            </w:pPr>
            <w:r>
              <w:rPr>
                <w:szCs w:val="20"/>
              </w:rPr>
              <w:t>Coconino</w:t>
            </w:r>
          </w:p>
        </w:tc>
        <w:tc>
          <w:tcPr>
            <w:tcW w:w="960" w:type="dxa"/>
            <w:shd w:val="clear" w:color="auto" w:fill="auto"/>
            <w:vAlign w:val="center"/>
          </w:tcPr>
          <w:p w14:paraId="360DCD75"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7176DF5E" w14:textId="77777777" w:rsidR="00EC6AF8" w:rsidRPr="00870D72" w:rsidRDefault="00EC6AF8" w:rsidP="002B5506">
            <w:pPr>
              <w:spacing w:after="0"/>
              <w:jc w:val="center"/>
              <w:rPr>
                <w:szCs w:val="20"/>
              </w:rPr>
            </w:pPr>
            <w:r>
              <w:rPr>
                <w:szCs w:val="20"/>
              </w:rPr>
              <w:t>A</w:t>
            </w:r>
          </w:p>
        </w:tc>
        <w:tc>
          <w:tcPr>
            <w:tcW w:w="1316" w:type="dxa"/>
            <w:shd w:val="clear" w:color="auto" w:fill="auto"/>
            <w:vAlign w:val="center"/>
          </w:tcPr>
          <w:p w14:paraId="09E69A42" w14:textId="77777777" w:rsidR="00EC6AF8" w:rsidRPr="00870D72" w:rsidRDefault="00EC6AF8" w:rsidP="002B5506">
            <w:pPr>
              <w:spacing w:after="0"/>
              <w:ind w:right="280"/>
              <w:jc w:val="right"/>
              <w:rPr>
                <w:szCs w:val="20"/>
              </w:rPr>
            </w:pPr>
            <w:r>
              <w:rPr>
                <w:szCs w:val="20"/>
              </w:rPr>
              <w:t>withheld</w:t>
            </w:r>
          </w:p>
        </w:tc>
      </w:tr>
      <w:tr w:rsidR="00EC6AF8" w:rsidRPr="00870D72" w14:paraId="054CF034" w14:textId="77777777" w:rsidTr="00F1634E">
        <w:trPr>
          <w:cantSplit/>
          <w:trHeight w:val="144"/>
          <w:jc w:val="center"/>
        </w:trPr>
        <w:tc>
          <w:tcPr>
            <w:tcW w:w="960" w:type="dxa"/>
            <w:shd w:val="clear" w:color="auto" w:fill="auto"/>
            <w:vAlign w:val="center"/>
          </w:tcPr>
          <w:p w14:paraId="10124F9E"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51F9D4EA" w14:textId="77777777" w:rsidR="00EC6AF8" w:rsidRPr="00870D72" w:rsidRDefault="00EC6AF8" w:rsidP="002B5506">
            <w:pPr>
              <w:spacing w:after="0"/>
              <w:jc w:val="center"/>
              <w:rPr>
                <w:szCs w:val="20"/>
              </w:rPr>
            </w:pPr>
            <w:r>
              <w:rPr>
                <w:szCs w:val="20"/>
              </w:rPr>
              <w:t>007</w:t>
            </w:r>
          </w:p>
        </w:tc>
        <w:tc>
          <w:tcPr>
            <w:tcW w:w="1500" w:type="dxa"/>
          </w:tcPr>
          <w:p w14:paraId="7BD6D1CC" w14:textId="77777777" w:rsidR="00EC6AF8" w:rsidRDefault="00EC6AF8" w:rsidP="002B5506">
            <w:pPr>
              <w:spacing w:after="0"/>
              <w:jc w:val="center"/>
              <w:rPr>
                <w:szCs w:val="20"/>
              </w:rPr>
            </w:pPr>
            <w:r>
              <w:rPr>
                <w:szCs w:val="20"/>
              </w:rPr>
              <w:t>Gila</w:t>
            </w:r>
          </w:p>
        </w:tc>
        <w:tc>
          <w:tcPr>
            <w:tcW w:w="960" w:type="dxa"/>
            <w:shd w:val="clear" w:color="auto" w:fill="auto"/>
            <w:vAlign w:val="center"/>
          </w:tcPr>
          <w:p w14:paraId="3E37B2BF"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03896863" w14:textId="42423832" w:rsidR="00EC6AF8" w:rsidRPr="00870D72" w:rsidRDefault="00EC6AF8" w:rsidP="002B5506">
            <w:pPr>
              <w:spacing w:after="0"/>
              <w:jc w:val="center"/>
              <w:rPr>
                <w:szCs w:val="20"/>
              </w:rPr>
            </w:pPr>
          </w:p>
        </w:tc>
        <w:tc>
          <w:tcPr>
            <w:tcW w:w="1316" w:type="dxa"/>
            <w:shd w:val="clear" w:color="auto" w:fill="auto"/>
            <w:vAlign w:val="center"/>
          </w:tcPr>
          <w:p w14:paraId="3098DA51" w14:textId="2B590B6E" w:rsidR="00EC6AF8" w:rsidRPr="00870D72" w:rsidRDefault="00F1634E" w:rsidP="002B5506">
            <w:pPr>
              <w:spacing w:after="0"/>
              <w:ind w:right="280"/>
              <w:jc w:val="right"/>
              <w:rPr>
                <w:szCs w:val="20"/>
              </w:rPr>
            </w:pPr>
            <w:r>
              <w:rPr>
                <w:szCs w:val="20"/>
              </w:rPr>
              <w:t>10</w:t>
            </w:r>
          </w:p>
        </w:tc>
      </w:tr>
      <w:tr w:rsidR="00EC6AF8" w:rsidRPr="00870D72" w14:paraId="6EA90BB1" w14:textId="77777777" w:rsidTr="00F1634E">
        <w:trPr>
          <w:cantSplit/>
          <w:trHeight w:val="144"/>
          <w:jc w:val="center"/>
        </w:trPr>
        <w:tc>
          <w:tcPr>
            <w:tcW w:w="960" w:type="dxa"/>
            <w:shd w:val="clear" w:color="auto" w:fill="auto"/>
            <w:vAlign w:val="center"/>
          </w:tcPr>
          <w:p w14:paraId="4E49E424"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75C92F94" w14:textId="77777777" w:rsidR="00EC6AF8" w:rsidRPr="00870D72" w:rsidRDefault="00EC6AF8" w:rsidP="002B5506">
            <w:pPr>
              <w:spacing w:after="0"/>
              <w:jc w:val="center"/>
              <w:rPr>
                <w:szCs w:val="20"/>
              </w:rPr>
            </w:pPr>
            <w:r>
              <w:rPr>
                <w:szCs w:val="20"/>
              </w:rPr>
              <w:t>009</w:t>
            </w:r>
          </w:p>
        </w:tc>
        <w:tc>
          <w:tcPr>
            <w:tcW w:w="1500" w:type="dxa"/>
          </w:tcPr>
          <w:p w14:paraId="4688C8D3" w14:textId="77777777" w:rsidR="00EC6AF8" w:rsidRDefault="00EC6AF8" w:rsidP="002B5506">
            <w:pPr>
              <w:spacing w:after="0"/>
              <w:jc w:val="center"/>
              <w:rPr>
                <w:szCs w:val="20"/>
              </w:rPr>
            </w:pPr>
            <w:r>
              <w:rPr>
                <w:szCs w:val="20"/>
              </w:rPr>
              <w:t>Graham</w:t>
            </w:r>
          </w:p>
        </w:tc>
        <w:tc>
          <w:tcPr>
            <w:tcW w:w="960" w:type="dxa"/>
            <w:shd w:val="clear" w:color="auto" w:fill="auto"/>
            <w:vAlign w:val="center"/>
          </w:tcPr>
          <w:p w14:paraId="14CF894F"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3D0A4534" w14:textId="77777777" w:rsidR="00EC6AF8" w:rsidRPr="00870D72" w:rsidRDefault="00EC6AF8" w:rsidP="002B5506">
            <w:pPr>
              <w:spacing w:after="0"/>
              <w:jc w:val="center"/>
              <w:rPr>
                <w:szCs w:val="20"/>
              </w:rPr>
            </w:pPr>
            <w:r>
              <w:rPr>
                <w:szCs w:val="20"/>
              </w:rPr>
              <w:t>B</w:t>
            </w:r>
          </w:p>
        </w:tc>
        <w:tc>
          <w:tcPr>
            <w:tcW w:w="1316" w:type="dxa"/>
            <w:shd w:val="clear" w:color="auto" w:fill="auto"/>
            <w:vAlign w:val="center"/>
          </w:tcPr>
          <w:p w14:paraId="070A5B09" w14:textId="77777777" w:rsidR="00EC6AF8" w:rsidRPr="00870D72" w:rsidRDefault="00EC6AF8" w:rsidP="002B5506">
            <w:pPr>
              <w:spacing w:after="0"/>
              <w:ind w:right="280"/>
              <w:jc w:val="right"/>
              <w:rPr>
                <w:szCs w:val="20"/>
              </w:rPr>
            </w:pPr>
            <w:r>
              <w:rPr>
                <w:szCs w:val="20"/>
              </w:rPr>
              <w:t>withheld</w:t>
            </w:r>
          </w:p>
        </w:tc>
      </w:tr>
      <w:tr w:rsidR="00EC6AF8" w:rsidRPr="00870D72" w14:paraId="4DDCA766" w14:textId="77777777" w:rsidTr="00F1634E">
        <w:trPr>
          <w:cantSplit/>
          <w:trHeight w:val="144"/>
          <w:jc w:val="center"/>
        </w:trPr>
        <w:tc>
          <w:tcPr>
            <w:tcW w:w="960" w:type="dxa"/>
            <w:shd w:val="clear" w:color="auto" w:fill="auto"/>
            <w:vAlign w:val="center"/>
          </w:tcPr>
          <w:p w14:paraId="38E24506"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7847CEA5" w14:textId="77777777" w:rsidR="00EC6AF8" w:rsidRPr="00870D72" w:rsidRDefault="00EC6AF8" w:rsidP="002B5506">
            <w:pPr>
              <w:spacing w:after="0"/>
              <w:jc w:val="center"/>
              <w:rPr>
                <w:szCs w:val="20"/>
              </w:rPr>
            </w:pPr>
            <w:r>
              <w:rPr>
                <w:szCs w:val="20"/>
              </w:rPr>
              <w:t>012</w:t>
            </w:r>
          </w:p>
        </w:tc>
        <w:tc>
          <w:tcPr>
            <w:tcW w:w="1500" w:type="dxa"/>
          </w:tcPr>
          <w:p w14:paraId="7CE23CD0" w14:textId="77777777" w:rsidR="00EC6AF8" w:rsidRDefault="00EC6AF8" w:rsidP="002B5506">
            <w:pPr>
              <w:spacing w:after="0"/>
              <w:jc w:val="center"/>
              <w:rPr>
                <w:szCs w:val="20"/>
              </w:rPr>
            </w:pPr>
            <w:r>
              <w:rPr>
                <w:szCs w:val="20"/>
              </w:rPr>
              <w:t>La Paz</w:t>
            </w:r>
          </w:p>
        </w:tc>
        <w:tc>
          <w:tcPr>
            <w:tcW w:w="960" w:type="dxa"/>
            <w:shd w:val="clear" w:color="auto" w:fill="auto"/>
            <w:vAlign w:val="center"/>
          </w:tcPr>
          <w:p w14:paraId="43D7EBC2"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7FAC2D9B" w14:textId="77777777" w:rsidR="00EC6AF8" w:rsidRPr="00870D72" w:rsidRDefault="00EC6AF8" w:rsidP="002B5506">
            <w:pPr>
              <w:spacing w:after="0"/>
              <w:jc w:val="center"/>
              <w:rPr>
                <w:szCs w:val="20"/>
              </w:rPr>
            </w:pPr>
            <w:r>
              <w:rPr>
                <w:szCs w:val="20"/>
              </w:rPr>
              <w:t>A</w:t>
            </w:r>
          </w:p>
        </w:tc>
        <w:tc>
          <w:tcPr>
            <w:tcW w:w="1316" w:type="dxa"/>
            <w:shd w:val="clear" w:color="auto" w:fill="auto"/>
            <w:vAlign w:val="center"/>
          </w:tcPr>
          <w:p w14:paraId="15DF1444" w14:textId="77777777" w:rsidR="00EC6AF8" w:rsidRPr="00870D72" w:rsidRDefault="00EC6AF8" w:rsidP="002B5506">
            <w:pPr>
              <w:spacing w:after="0"/>
              <w:ind w:right="280"/>
              <w:jc w:val="right"/>
              <w:rPr>
                <w:szCs w:val="20"/>
              </w:rPr>
            </w:pPr>
            <w:r>
              <w:rPr>
                <w:szCs w:val="20"/>
              </w:rPr>
              <w:t>withheld</w:t>
            </w:r>
          </w:p>
        </w:tc>
      </w:tr>
      <w:tr w:rsidR="00EC6AF8" w:rsidRPr="00870D72" w14:paraId="7395E311" w14:textId="77777777" w:rsidTr="00F1634E">
        <w:trPr>
          <w:cantSplit/>
          <w:trHeight w:val="144"/>
          <w:jc w:val="center"/>
        </w:trPr>
        <w:tc>
          <w:tcPr>
            <w:tcW w:w="960" w:type="dxa"/>
            <w:shd w:val="clear" w:color="auto" w:fill="auto"/>
            <w:vAlign w:val="center"/>
          </w:tcPr>
          <w:p w14:paraId="5D3596B4"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6298F2A0" w14:textId="77777777" w:rsidR="00EC6AF8" w:rsidRPr="00870D72" w:rsidRDefault="00EC6AF8" w:rsidP="002B5506">
            <w:pPr>
              <w:spacing w:after="0"/>
              <w:jc w:val="center"/>
              <w:rPr>
                <w:szCs w:val="20"/>
              </w:rPr>
            </w:pPr>
            <w:r>
              <w:rPr>
                <w:szCs w:val="20"/>
              </w:rPr>
              <w:t>013</w:t>
            </w:r>
          </w:p>
        </w:tc>
        <w:tc>
          <w:tcPr>
            <w:tcW w:w="1500" w:type="dxa"/>
          </w:tcPr>
          <w:p w14:paraId="6B0CE1D8" w14:textId="77777777" w:rsidR="00EC6AF8" w:rsidRDefault="00EC6AF8" w:rsidP="002B5506">
            <w:pPr>
              <w:spacing w:after="0"/>
              <w:rPr>
                <w:szCs w:val="20"/>
              </w:rPr>
            </w:pPr>
            <w:r>
              <w:rPr>
                <w:szCs w:val="20"/>
              </w:rPr>
              <w:t>Maricopa</w:t>
            </w:r>
          </w:p>
        </w:tc>
        <w:tc>
          <w:tcPr>
            <w:tcW w:w="960" w:type="dxa"/>
            <w:shd w:val="clear" w:color="auto" w:fill="auto"/>
            <w:vAlign w:val="center"/>
          </w:tcPr>
          <w:p w14:paraId="545F7078"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27E5DF93" w14:textId="77777777" w:rsidR="00EC6AF8" w:rsidRPr="00870D72" w:rsidRDefault="00EC6AF8" w:rsidP="002B5506">
            <w:pPr>
              <w:spacing w:after="0"/>
              <w:jc w:val="center"/>
              <w:rPr>
                <w:szCs w:val="20"/>
              </w:rPr>
            </w:pPr>
          </w:p>
        </w:tc>
        <w:tc>
          <w:tcPr>
            <w:tcW w:w="1316" w:type="dxa"/>
            <w:shd w:val="clear" w:color="auto" w:fill="auto"/>
            <w:vAlign w:val="center"/>
          </w:tcPr>
          <w:p w14:paraId="26CD5ED7" w14:textId="1C27A248" w:rsidR="00EC6AF8" w:rsidRPr="00870D72" w:rsidRDefault="00F1634E" w:rsidP="002B5506">
            <w:pPr>
              <w:spacing w:after="0"/>
              <w:ind w:right="280"/>
              <w:jc w:val="right"/>
              <w:rPr>
                <w:szCs w:val="20"/>
              </w:rPr>
            </w:pPr>
            <w:r>
              <w:rPr>
                <w:szCs w:val="20"/>
              </w:rPr>
              <w:t>563</w:t>
            </w:r>
          </w:p>
        </w:tc>
      </w:tr>
      <w:tr w:rsidR="00EC6AF8" w:rsidRPr="00870D72" w14:paraId="6C68B5E9" w14:textId="77777777" w:rsidTr="00F1634E">
        <w:trPr>
          <w:cantSplit/>
          <w:trHeight w:val="144"/>
          <w:jc w:val="center"/>
        </w:trPr>
        <w:tc>
          <w:tcPr>
            <w:tcW w:w="960" w:type="dxa"/>
            <w:shd w:val="clear" w:color="auto" w:fill="auto"/>
            <w:vAlign w:val="center"/>
          </w:tcPr>
          <w:p w14:paraId="72CB5A8D"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2F9EC594" w14:textId="77777777" w:rsidR="00EC6AF8" w:rsidRPr="00870D72" w:rsidRDefault="00EC6AF8" w:rsidP="002B5506">
            <w:pPr>
              <w:spacing w:after="0"/>
              <w:jc w:val="center"/>
              <w:rPr>
                <w:szCs w:val="20"/>
              </w:rPr>
            </w:pPr>
            <w:r>
              <w:rPr>
                <w:szCs w:val="20"/>
              </w:rPr>
              <w:t>015</w:t>
            </w:r>
          </w:p>
        </w:tc>
        <w:tc>
          <w:tcPr>
            <w:tcW w:w="1500" w:type="dxa"/>
          </w:tcPr>
          <w:p w14:paraId="7F33914C" w14:textId="77777777" w:rsidR="00EC6AF8" w:rsidRDefault="00EC6AF8" w:rsidP="002B5506">
            <w:pPr>
              <w:spacing w:after="0"/>
              <w:jc w:val="center"/>
              <w:rPr>
                <w:szCs w:val="20"/>
              </w:rPr>
            </w:pPr>
            <w:r>
              <w:rPr>
                <w:szCs w:val="20"/>
              </w:rPr>
              <w:t>Mohave</w:t>
            </w:r>
          </w:p>
        </w:tc>
        <w:tc>
          <w:tcPr>
            <w:tcW w:w="960" w:type="dxa"/>
            <w:shd w:val="clear" w:color="auto" w:fill="auto"/>
            <w:vAlign w:val="center"/>
          </w:tcPr>
          <w:p w14:paraId="563B0365"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0B083BD0" w14:textId="77777777" w:rsidR="00EC6AF8" w:rsidRPr="00870D72" w:rsidRDefault="00EC6AF8" w:rsidP="002B5506">
            <w:pPr>
              <w:spacing w:after="0"/>
              <w:jc w:val="center"/>
              <w:rPr>
                <w:szCs w:val="20"/>
              </w:rPr>
            </w:pPr>
          </w:p>
        </w:tc>
        <w:tc>
          <w:tcPr>
            <w:tcW w:w="1316" w:type="dxa"/>
            <w:shd w:val="clear" w:color="auto" w:fill="auto"/>
            <w:vAlign w:val="center"/>
          </w:tcPr>
          <w:p w14:paraId="0BDF8459" w14:textId="5E6D2CF1" w:rsidR="00EC6AF8" w:rsidRPr="00870D72" w:rsidRDefault="00F1634E" w:rsidP="002B5506">
            <w:pPr>
              <w:spacing w:after="0"/>
              <w:ind w:right="280"/>
              <w:jc w:val="right"/>
              <w:rPr>
                <w:szCs w:val="20"/>
              </w:rPr>
            </w:pPr>
            <w:r>
              <w:rPr>
                <w:szCs w:val="20"/>
              </w:rPr>
              <w:t>69</w:t>
            </w:r>
          </w:p>
        </w:tc>
      </w:tr>
      <w:tr w:rsidR="00EC6AF8" w:rsidRPr="00870D72" w14:paraId="3642B844" w14:textId="77777777" w:rsidTr="00F1634E">
        <w:trPr>
          <w:cantSplit/>
          <w:trHeight w:val="144"/>
          <w:jc w:val="center"/>
        </w:trPr>
        <w:tc>
          <w:tcPr>
            <w:tcW w:w="960" w:type="dxa"/>
            <w:shd w:val="clear" w:color="auto" w:fill="auto"/>
            <w:vAlign w:val="center"/>
          </w:tcPr>
          <w:p w14:paraId="5447A4C7"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0052F8C3" w14:textId="77777777" w:rsidR="00EC6AF8" w:rsidRPr="00870D72" w:rsidRDefault="00EC6AF8" w:rsidP="002B5506">
            <w:pPr>
              <w:spacing w:after="0"/>
              <w:jc w:val="center"/>
              <w:rPr>
                <w:szCs w:val="20"/>
              </w:rPr>
            </w:pPr>
            <w:r>
              <w:rPr>
                <w:szCs w:val="20"/>
              </w:rPr>
              <w:t>017</w:t>
            </w:r>
          </w:p>
        </w:tc>
        <w:tc>
          <w:tcPr>
            <w:tcW w:w="1500" w:type="dxa"/>
          </w:tcPr>
          <w:p w14:paraId="464CA974" w14:textId="77777777" w:rsidR="00EC6AF8" w:rsidRDefault="00EC6AF8" w:rsidP="002B5506">
            <w:pPr>
              <w:spacing w:after="0"/>
              <w:jc w:val="center"/>
              <w:rPr>
                <w:szCs w:val="20"/>
              </w:rPr>
            </w:pPr>
            <w:r>
              <w:rPr>
                <w:szCs w:val="20"/>
              </w:rPr>
              <w:t>Navajo</w:t>
            </w:r>
          </w:p>
        </w:tc>
        <w:tc>
          <w:tcPr>
            <w:tcW w:w="960" w:type="dxa"/>
            <w:shd w:val="clear" w:color="auto" w:fill="auto"/>
            <w:vAlign w:val="center"/>
          </w:tcPr>
          <w:p w14:paraId="5433BC40"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1A814166" w14:textId="77777777" w:rsidR="00EC6AF8" w:rsidRPr="00870D72" w:rsidRDefault="00EC6AF8" w:rsidP="002B5506">
            <w:pPr>
              <w:spacing w:after="0"/>
              <w:jc w:val="center"/>
              <w:rPr>
                <w:szCs w:val="20"/>
              </w:rPr>
            </w:pPr>
          </w:p>
        </w:tc>
        <w:tc>
          <w:tcPr>
            <w:tcW w:w="1316" w:type="dxa"/>
            <w:shd w:val="clear" w:color="auto" w:fill="auto"/>
            <w:vAlign w:val="center"/>
          </w:tcPr>
          <w:p w14:paraId="7C0576C1" w14:textId="79363CB7" w:rsidR="00EC6AF8" w:rsidRPr="00870D72" w:rsidRDefault="00F1634E" w:rsidP="002B5506">
            <w:pPr>
              <w:spacing w:after="0"/>
              <w:ind w:right="280"/>
              <w:jc w:val="right"/>
              <w:rPr>
                <w:szCs w:val="20"/>
              </w:rPr>
            </w:pPr>
            <w:r>
              <w:rPr>
                <w:szCs w:val="20"/>
              </w:rPr>
              <w:t>65</w:t>
            </w:r>
          </w:p>
        </w:tc>
      </w:tr>
      <w:tr w:rsidR="00EC6AF8" w:rsidRPr="00870D72" w14:paraId="2F922279" w14:textId="77777777" w:rsidTr="00F1634E">
        <w:trPr>
          <w:cantSplit/>
          <w:trHeight w:val="144"/>
          <w:jc w:val="center"/>
        </w:trPr>
        <w:tc>
          <w:tcPr>
            <w:tcW w:w="960" w:type="dxa"/>
            <w:shd w:val="clear" w:color="auto" w:fill="auto"/>
            <w:vAlign w:val="center"/>
          </w:tcPr>
          <w:p w14:paraId="5B1B2C0E"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5D637E56" w14:textId="77777777" w:rsidR="00EC6AF8" w:rsidRPr="00870D72" w:rsidRDefault="00EC6AF8" w:rsidP="002B5506">
            <w:pPr>
              <w:spacing w:after="0"/>
              <w:jc w:val="center"/>
              <w:rPr>
                <w:szCs w:val="20"/>
              </w:rPr>
            </w:pPr>
            <w:r>
              <w:rPr>
                <w:szCs w:val="20"/>
              </w:rPr>
              <w:t>019</w:t>
            </w:r>
          </w:p>
        </w:tc>
        <w:tc>
          <w:tcPr>
            <w:tcW w:w="1500" w:type="dxa"/>
          </w:tcPr>
          <w:p w14:paraId="4459797B" w14:textId="77777777" w:rsidR="00EC6AF8" w:rsidRDefault="00EC6AF8" w:rsidP="002B5506">
            <w:pPr>
              <w:spacing w:after="0"/>
              <w:jc w:val="center"/>
              <w:rPr>
                <w:szCs w:val="20"/>
              </w:rPr>
            </w:pPr>
            <w:r>
              <w:rPr>
                <w:szCs w:val="20"/>
              </w:rPr>
              <w:t>Pima</w:t>
            </w:r>
          </w:p>
        </w:tc>
        <w:tc>
          <w:tcPr>
            <w:tcW w:w="960" w:type="dxa"/>
            <w:shd w:val="clear" w:color="auto" w:fill="auto"/>
            <w:vAlign w:val="center"/>
          </w:tcPr>
          <w:p w14:paraId="56972E18"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059BC8F8" w14:textId="77777777" w:rsidR="00EC6AF8" w:rsidRPr="00870D72" w:rsidRDefault="00EC6AF8" w:rsidP="002B5506">
            <w:pPr>
              <w:spacing w:after="0"/>
              <w:jc w:val="center"/>
              <w:rPr>
                <w:szCs w:val="20"/>
              </w:rPr>
            </w:pPr>
          </w:p>
        </w:tc>
        <w:tc>
          <w:tcPr>
            <w:tcW w:w="1316" w:type="dxa"/>
            <w:shd w:val="clear" w:color="auto" w:fill="auto"/>
            <w:vAlign w:val="center"/>
          </w:tcPr>
          <w:p w14:paraId="2FE32374" w14:textId="77777777" w:rsidR="00EC6AF8" w:rsidRPr="00870D72" w:rsidRDefault="00EC6AF8" w:rsidP="002B5506">
            <w:pPr>
              <w:spacing w:after="0"/>
              <w:ind w:right="280"/>
              <w:jc w:val="right"/>
              <w:rPr>
                <w:szCs w:val="20"/>
              </w:rPr>
            </w:pPr>
            <w:r>
              <w:rPr>
                <w:szCs w:val="20"/>
              </w:rPr>
              <w:t>121</w:t>
            </w:r>
          </w:p>
        </w:tc>
      </w:tr>
      <w:tr w:rsidR="00EC6AF8" w:rsidRPr="00870D72" w14:paraId="17E253EA" w14:textId="77777777" w:rsidTr="00F1634E">
        <w:trPr>
          <w:cantSplit/>
          <w:trHeight w:val="144"/>
          <w:jc w:val="center"/>
        </w:trPr>
        <w:tc>
          <w:tcPr>
            <w:tcW w:w="960" w:type="dxa"/>
            <w:shd w:val="clear" w:color="auto" w:fill="auto"/>
            <w:vAlign w:val="center"/>
          </w:tcPr>
          <w:p w14:paraId="22A2E93A"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71A7BF00" w14:textId="77777777" w:rsidR="00EC6AF8" w:rsidRPr="00870D72" w:rsidRDefault="00EC6AF8" w:rsidP="002B5506">
            <w:pPr>
              <w:spacing w:after="0"/>
              <w:jc w:val="center"/>
              <w:rPr>
                <w:szCs w:val="20"/>
              </w:rPr>
            </w:pPr>
            <w:r>
              <w:rPr>
                <w:szCs w:val="20"/>
              </w:rPr>
              <w:t>021</w:t>
            </w:r>
          </w:p>
        </w:tc>
        <w:tc>
          <w:tcPr>
            <w:tcW w:w="1500" w:type="dxa"/>
          </w:tcPr>
          <w:p w14:paraId="7235E1B2" w14:textId="77777777" w:rsidR="00EC6AF8" w:rsidRDefault="00EC6AF8" w:rsidP="002B5506">
            <w:pPr>
              <w:spacing w:after="0"/>
              <w:jc w:val="center"/>
              <w:rPr>
                <w:szCs w:val="20"/>
              </w:rPr>
            </w:pPr>
            <w:r>
              <w:rPr>
                <w:szCs w:val="20"/>
              </w:rPr>
              <w:t>Pinal</w:t>
            </w:r>
          </w:p>
        </w:tc>
        <w:tc>
          <w:tcPr>
            <w:tcW w:w="960" w:type="dxa"/>
            <w:shd w:val="clear" w:color="auto" w:fill="auto"/>
            <w:vAlign w:val="center"/>
          </w:tcPr>
          <w:p w14:paraId="71CAB1C2"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740785FD" w14:textId="1ACA1C43" w:rsidR="00EC6AF8" w:rsidRPr="00870D72" w:rsidRDefault="00EC6AF8" w:rsidP="002B5506">
            <w:pPr>
              <w:spacing w:after="0"/>
              <w:jc w:val="center"/>
              <w:rPr>
                <w:szCs w:val="20"/>
              </w:rPr>
            </w:pPr>
          </w:p>
        </w:tc>
        <w:tc>
          <w:tcPr>
            <w:tcW w:w="1316" w:type="dxa"/>
            <w:shd w:val="clear" w:color="auto" w:fill="auto"/>
            <w:vAlign w:val="center"/>
          </w:tcPr>
          <w:p w14:paraId="11B70D22" w14:textId="40213670" w:rsidR="00EC6AF8" w:rsidRPr="00870D72" w:rsidRDefault="00F1634E" w:rsidP="002B5506">
            <w:pPr>
              <w:spacing w:after="0"/>
              <w:ind w:right="280"/>
              <w:jc w:val="right"/>
              <w:rPr>
                <w:szCs w:val="20"/>
              </w:rPr>
            </w:pPr>
            <w:r>
              <w:rPr>
                <w:szCs w:val="20"/>
              </w:rPr>
              <w:t>201</w:t>
            </w:r>
          </w:p>
        </w:tc>
      </w:tr>
      <w:tr w:rsidR="00F1634E" w:rsidRPr="00870D72" w14:paraId="2E54E394" w14:textId="77777777" w:rsidTr="00F1634E">
        <w:trPr>
          <w:cantSplit/>
          <w:trHeight w:val="144"/>
          <w:jc w:val="center"/>
        </w:trPr>
        <w:tc>
          <w:tcPr>
            <w:tcW w:w="960" w:type="dxa"/>
            <w:shd w:val="clear" w:color="auto" w:fill="auto"/>
            <w:vAlign w:val="center"/>
          </w:tcPr>
          <w:p w14:paraId="09AC351D" w14:textId="10CEECE2" w:rsidR="00F1634E" w:rsidRDefault="00F1634E" w:rsidP="002B5506">
            <w:pPr>
              <w:spacing w:after="0"/>
              <w:jc w:val="center"/>
              <w:rPr>
                <w:szCs w:val="20"/>
              </w:rPr>
            </w:pPr>
            <w:r>
              <w:rPr>
                <w:szCs w:val="20"/>
              </w:rPr>
              <w:t>04</w:t>
            </w:r>
          </w:p>
        </w:tc>
        <w:tc>
          <w:tcPr>
            <w:tcW w:w="960" w:type="dxa"/>
            <w:shd w:val="clear" w:color="auto" w:fill="auto"/>
            <w:vAlign w:val="center"/>
          </w:tcPr>
          <w:p w14:paraId="2E7E45F8" w14:textId="4B780B7D" w:rsidR="00F1634E" w:rsidRDefault="00F1634E" w:rsidP="002B5506">
            <w:pPr>
              <w:spacing w:after="0"/>
              <w:jc w:val="center"/>
              <w:rPr>
                <w:szCs w:val="20"/>
              </w:rPr>
            </w:pPr>
            <w:r>
              <w:rPr>
                <w:szCs w:val="20"/>
              </w:rPr>
              <w:t>023</w:t>
            </w:r>
          </w:p>
        </w:tc>
        <w:tc>
          <w:tcPr>
            <w:tcW w:w="1500" w:type="dxa"/>
          </w:tcPr>
          <w:p w14:paraId="3D4F09EB" w14:textId="7B90AF66" w:rsidR="00F1634E" w:rsidRDefault="00F1634E" w:rsidP="002B5506">
            <w:pPr>
              <w:spacing w:after="0"/>
              <w:jc w:val="center"/>
              <w:rPr>
                <w:szCs w:val="20"/>
              </w:rPr>
            </w:pPr>
            <w:r>
              <w:rPr>
                <w:szCs w:val="20"/>
              </w:rPr>
              <w:t>Santa Cruz</w:t>
            </w:r>
          </w:p>
        </w:tc>
        <w:tc>
          <w:tcPr>
            <w:tcW w:w="960" w:type="dxa"/>
            <w:shd w:val="clear" w:color="auto" w:fill="auto"/>
            <w:vAlign w:val="center"/>
          </w:tcPr>
          <w:p w14:paraId="1C3C5982" w14:textId="77EB7836" w:rsidR="00F1634E" w:rsidRDefault="00F1634E" w:rsidP="002B5506">
            <w:pPr>
              <w:spacing w:after="0"/>
              <w:jc w:val="center"/>
              <w:rPr>
                <w:szCs w:val="20"/>
              </w:rPr>
            </w:pPr>
            <w:r>
              <w:rPr>
                <w:szCs w:val="20"/>
              </w:rPr>
              <w:t>2123</w:t>
            </w:r>
          </w:p>
        </w:tc>
        <w:tc>
          <w:tcPr>
            <w:tcW w:w="1316" w:type="dxa"/>
            <w:shd w:val="clear" w:color="auto" w:fill="auto"/>
            <w:vAlign w:val="center"/>
          </w:tcPr>
          <w:p w14:paraId="5242A199" w14:textId="1F6FB045" w:rsidR="00F1634E" w:rsidRDefault="00F1634E" w:rsidP="002B5506">
            <w:pPr>
              <w:spacing w:after="0"/>
              <w:jc w:val="center"/>
              <w:rPr>
                <w:szCs w:val="20"/>
              </w:rPr>
            </w:pPr>
            <w:r>
              <w:rPr>
                <w:szCs w:val="20"/>
              </w:rPr>
              <w:t>A</w:t>
            </w:r>
          </w:p>
        </w:tc>
        <w:tc>
          <w:tcPr>
            <w:tcW w:w="1316" w:type="dxa"/>
            <w:shd w:val="clear" w:color="auto" w:fill="auto"/>
            <w:vAlign w:val="center"/>
          </w:tcPr>
          <w:p w14:paraId="613E4E76" w14:textId="2D700FA8" w:rsidR="00F1634E" w:rsidRDefault="00774431" w:rsidP="002B5506">
            <w:pPr>
              <w:spacing w:after="0"/>
              <w:ind w:right="280"/>
              <w:jc w:val="right"/>
              <w:rPr>
                <w:szCs w:val="20"/>
              </w:rPr>
            </w:pPr>
            <w:r>
              <w:rPr>
                <w:szCs w:val="20"/>
              </w:rPr>
              <w:t>withheld</w:t>
            </w:r>
          </w:p>
        </w:tc>
      </w:tr>
      <w:tr w:rsidR="00EC6AF8" w:rsidRPr="00870D72" w14:paraId="32DCB8E9" w14:textId="77777777" w:rsidTr="00F1634E">
        <w:trPr>
          <w:cantSplit/>
          <w:trHeight w:val="144"/>
          <w:jc w:val="center"/>
        </w:trPr>
        <w:tc>
          <w:tcPr>
            <w:tcW w:w="960" w:type="dxa"/>
            <w:shd w:val="clear" w:color="auto" w:fill="auto"/>
            <w:vAlign w:val="center"/>
          </w:tcPr>
          <w:p w14:paraId="6F60E249"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10C9EFF4" w14:textId="77777777" w:rsidR="00EC6AF8" w:rsidRPr="00870D72" w:rsidRDefault="00EC6AF8" w:rsidP="002B5506">
            <w:pPr>
              <w:spacing w:after="0"/>
              <w:jc w:val="center"/>
              <w:rPr>
                <w:szCs w:val="20"/>
              </w:rPr>
            </w:pPr>
            <w:r>
              <w:rPr>
                <w:szCs w:val="20"/>
              </w:rPr>
              <w:t>025</w:t>
            </w:r>
          </w:p>
        </w:tc>
        <w:tc>
          <w:tcPr>
            <w:tcW w:w="1500" w:type="dxa"/>
          </w:tcPr>
          <w:p w14:paraId="69D84246" w14:textId="77777777" w:rsidR="00EC6AF8" w:rsidRDefault="00EC6AF8" w:rsidP="002B5506">
            <w:pPr>
              <w:spacing w:after="0"/>
              <w:jc w:val="center"/>
              <w:rPr>
                <w:szCs w:val="20"/>
              </w:rPr>
            </w:pPr>
            <w:r>
              <w:rPr>
                <w:szCs w:val="20"/>
              </w:rPr>
              <w:t>Yavapai</w:t>
            </w:r>
          </w:p>
        </w:tc>
        <w:tc>
          <w:tcPr>
            <w:tcW w:w="960" w:type="dxa"/>
            <w:shd w:val="clear" w:color="auto" w:fill="auto"/>
            <w:vAlign w:val="center"/>
          </w:tcPr>
          <w:p w14:paraId="5BA388CF"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09CB7B7A" w14:textId="77777777" w:rsidR="00EC6AF8" w:rsidRPr="00870D72" w:rsidRDefault="00EC6AF8" w:rsidP="002B5506">
            <w:pPr>
              <w:spacing w:after="0"/>
              <w:jc w:val="center"/>
              <w:rPr>
                <w:szCs w:val="20"/>
              </w:rPr>
            </w:pPr>
          </w:p>
        </w:tc>
        <w:tc>
          <w:tcPr>
            <w:tcW w:w="1316" w:type="dxa"/>
            <w:shd w:val="clear" w:color="auto" w:fill="auto"/>
            <w:vAlign w:val="center"/>
          </w:tcPr>
          <w:p w14:paraId="024055C8" w14:textId="6BFF1030" w:rsidR="00EC6AF8" w:rsidRPr="00870D72" w:rsidRDefault="00F1634E" w:rsidP="002B5506">
            <w:pPr>
              <w:spacing w:after="0"/>
              <w:ind w:right="280"/>
              <w:jc w:val="right"/>
              <w:rPr>
                <w:szCs w:val="20"/>
              </w:rPr>
            </w:pPr>
            <w:r>
              <w:rPr>
                <w:szCs w:val="20"/>
              </w:rPr>
              <w:t>133</w:t>
            </w:r>
          </w:p>
        </w:tc>
      </w:tr>
      <w:tr w:rsidR="00EC6AF8" w:rsidRPr="00870D72" w14:paraId="5B7E8996" w14:textId="77777777" w:rsidTr="00F1634E">
        <w:trPr>
          <w:cantSplit/>
          <w:trHeight w:val="144"/>
          <w:jc w:val="center"/>
        </w:trPr>
        <w:tc>
          <w:tcPr>
            <w:tcW w:w="960" w:type="dxa"/>
            <w:shd w:val="clear" w:color="auto" w:fill="auto"/>
            <w:vAlign w:val="center"/>
          </w:tcPr>
          <w:p w14:paraId="462A6A00" w14:textId="77777777" w:rsidR="00EC6AF8" w:rsidRPr="00870D72" w:rsidRDefault="00EC6AF8" w:rsidP="002B5506">
            <w:pPr>
              <w:spacing w:after="0"/>
              <w:jc w:val="center"/>
              <w:rPr>
                <w:szCs w:val="20"/>
              </w:rPr>
            </w:pPr>
            <w:r>
              <w:rPr>
                <w:szCs w:val="20"/>
              </w:rPr>
              <w:t>04</w:t>
            </w:r>
          </w:p>
        </w:tc>
        <w:tc>
          <w:tcPr>
            <w:tcW w:w="960" w:type="dxa"/>
            <w:shd w:val="clear" w:color="auto" w:fill="auto"/>
            <w:vAlign w:val="center"/>
          </w:tcPr>
          <w:p w14:paraId="47553786" w14:textId="77777777" w:rsidR="00EC6AF8" w:rsidRPr="00870D72" w:rsidRDefault="00EC6AF8" w:rsidP="002B5506">
            <w:pPr>
              <w:spacing w:after="0"/>
              <w:jc w:val="center"/>
              <w:rPr>
                <w:szCs w:val="20"/>
              </w:rPr>
            </w:pPr>
            <w:r>
              <w:rPr>
                <w:szCs w:val="20"/>
              </w:rPr>
              <w:t>027</w:t>
            </w:r>
          </w:p>
        </w:tc>
        <w:tc>
          <w:tcPr>
            <w:tcW w:w="1500" w:type="dxa"/>
          </w:tcPr>
          <w:p w14:paraId="3E9485E9" w14:textId="77777777" w:rsidR="00EC6AF8" w:rsidRDefault="00EC6AF8" w:rsidP="002B5506">
            <w:pPr>
              <w:spacing w:after="0"/>
              <w:jc w:val="center"/>
              <w:rPr>
                <w:szCs w:val="20"/>
              </w:rPr>
            </w:pPr>
            <w:r>
              <w:rPr>
                <w:szCs w:val="20"/>
              </w:rPr>
              <w:t>Yuma</w:t>
            </w:r>
          </w:p>
        </w:tc>
        <w:tc>
          <w:tcPr>
            <w:tcW w:w="960" w:type="dxa"/>
            <w:shd w:val="clear" w:color="auto" w:fill="auto"/>
            <w:vAlign w:val="center"/>
          </w:tcPr>
          <w:p w14:paraId="32020964" w14:textId="77777777" w:rsidR="00EC6AF8" w:rsidRPr="00870D72" w:rsidRDefault="00EC6AF8" w:rsidP="002B5506">
            <w:pPr>
              <w:spacing w:after="0"/>
              <w:jc w:val="center"/>
              <w:rPr>
                <w:szCs w:val="20"/>
              </w:rPr>
            </w:pPr>
            <w:r>
              <w:rPr>
                <w:szCs w:val="20"/>
              </w:rPr>
              <w:t>2123</w:t>
            </w:r>
          </w:p>
        </w:tc>
        <w:tc>
          <w:tcPr>
            <w:tcW w:w="1316" w:type="dxa"/>
            <w:shd w:val="clear" w:color="auto" w:fill="auto"/>
            <w:vAlign w:val="center"/>
          </w:tcPr>
          <w:p w14:paraId="7B2AD6AF" w14:textId="77777777" w:rsidR="00EC6AF8" w:rsidRPr="00870D72" w:rsidRDefault="00EC6AF8" w:rsidP="002B5506">
            <w:pPr>
              <w:spacing w:after="0"/>
              <w:jc w:val="center"/>
              <w:rPr>
                <w:szCs w:val="20"/>
              </w:rPr>
            </w:pPr>
          </w:p>
        </w:tc>
        <w:tc>
          <w:tcPr>
            <w:tcW w:w="1316" w:type="dxa"/>
            <w:shd w:val="clear" w:color="auto" w:fill="auto"/>
            <w:vAlign w:val="center"/>
          </w:tcPr>
          <w:p w14:paraId="1799EF22" w14:textId="62CB3777" w:rsidR="00EC6AF8" w:rsidRPr="00870D72" w:rsidRDefault="00F1634E" w:rsidP="002B5506">
            <w:pPr>
              <w:spacing w:after="0"/>
              <w:ind w:right="280"/>
              <w:jc w:val="right"/>
              <w:rPr>
                <w:szCs w:val="20"/>
              </w:rPr>
            </w:pPr>
            <w:r>
              <w:rPr>
                <w:szCs w:val="20"/>
              </w:rPr>
              <w:t>51</w:t>
            </w:r>
          </w:p>
        </w:tc>
      </w:tr>
    </w:tbl>
    <w:p w14:paraId="649AA03E" w14:textId="77777777" w:rsidR="00EC6AF8" w:rsidRPr="00E7492B" w:rsidRDefault="00EC6AF8" w:rsidP="00EC6AF8">
      <w:pPr>
        <w:widowControl/>
        <w:autoSpaceDE/>
        <w:autoSpaceDN/>
        <w:adjustRightInd/>
        <w:spacing w:before="60"/>
        <w:ind w:left="1440" w:right="1350"/>
        <w:rPr>
          <w:szCs w:val="20"/>
        </w:rPr>
      </w:pPr>
      <w:r w:rsidRPr="00E7492B">
        <w:rPr>
          <w:i/>
          <w:szCs w:val="20"/>
        </w:rPr>
        <w:t>Note:</w:t>
      </w:r>
      <w:r>
        <w:rPr>
          <w:szCs w:val="20"/>
        </w:rPr>
        <w:t xml:space="preserve"> Counties in Arizona that do not have employment in mining and quarrying are excluded from this table.</w:t>
      </w:r>
    </w:p>
    <w:p w14:paraId="77F4D5E2" w14:textId="11DDCD70" w:rsidR="00EC6AF8" w:rsidRPr="00B86742" w:rsidRDefault="00EC6AF8" w:rsidP="00EC6AF8">
      <w:pPr>
        <w:widowControl/>
        <w:numPr>
          <w:ilvl w:val="0"/>
          <w:numId w:val="2"/>
        </w:numPr>
        <w:autoSpaceDE/>
        <w:autoSpaceDN/>
        <w:adjustRightInd/>
        <w:spacing w:after="0"/>
        <w:rPr>
          <w:szCs w:val="20"/>
        </w:rPr>
      </w:pPr>
      <w:r w:rsidRPr="00B86742">
        <w:rPr>
          <w:szCs w:val="20"/>
        </w:rPr>
        <w:t xml:space="preserve">The total </w:t>
      </w:r>
      <w:r>
        <w:rPr>
          <w:szCs w:val="20"/>
        </w:rPr>
        <w:t xml:space="preserve">number of </w:t>
      </w:r>
      <w:r w:rsidRPr="00B86742">
        <w:rPr>
          <w:szCs w:val="20"/>
        </w:rPr>
        <w:t xml:space="preserve">employees </w:t>
      </w:r>
      <w:r>
        <w:rPr>
          <w:szCs w:val="20"/>
        </w:rPr>
        <w:t xml:space="preserve">reported at the county level is </w:t>
      </w:r>
      <w:r w:rsidR="00F1634E">
        <w:rPr>
          <w:szCs w:val="20"/>
        </w:rPr>
        <w:t>1,229</w:t>
      </w:r>
      <w:r w:rsidRPr="00B86742">
        <w:rPr>
          <w:szCs w:val="20"/>
        </w:rPr>
        <w:t>.</w:t>
      </w:r>
    </w:p>
    <w:p w14:paraId="3695935C" w14:textId="5BA9A23E" w:rsidR="00EC6AF8" w:rsidRPr="00FC5B21" w:rsidRDefault="00EC6AF8" w:rsidP="00EC6AF8">
      <w:pPr>
        <w:widowControl/>
        <w:numPr>
          <w:ilvl w:val="0"/>
          <w:numId w:val="2"/>
        </w:numPr>
        <w:autoSpaceDE/>
        <w:autoSpaceDN/>
        <w:adjustRightInd/>
        <w:spacing w:after="0"/>
        <w:rPr>
          <w:szCs w:val="20"/>
        </w:rPr>
      </w:pPr>
      <w:r w:rsidRPr="00FC5B21">
        <w:rPr>
          <w:szCs w:val="20"/>
        </w:rPr>
        <w:t xml:space="preserve">The state-level </w:t>
      </w:r>
      <w:r w:rsidRPr="00C4151A">
        <w:rPr>
          <w:iCs/>
          <w:szCs w:val="20"/>
        </w:rPr>
        <w:t>CBP</w:t>
      </w:r>
      <w:r w:rsidRPr="00FC5B21">
        <w:rPr>
          <w:szCs w:val="20"/>
        </w:rPr>
        <w:t xml:space="preserve"> reports 1,</w:t>
      </w:r>
      <w:r w:rsidR="00F1634E">
        <w:rPr>
          <w:szCs w:val="20"/>
        </w:rPr>
        <w:t>363</w:t>
      </w:r>
      <w:r w:rsidRPr="00FC5B21">
        <w:rPr>
          <w:szCs w:val="20"/>
        </w:rPr>
        <w:t xml:space="preserve"> employees for NAICS </w:t>
      </w:r>
      <w:r>
        <w:rPr>
          <w:szCs w:val="20"/>
        </w:rPr>
        <w:t xml:space="preserve">2123.  This means that there are </w:t>
      </w:r>
      <w:r w:rsidR="00F1634E">
        <w:rPr>
          <w:szCs w:val="20"/>
        </w:rPr>
        <w:t>134</w:t>
      </w:r>
      <w:r>
        <w:rPr>
          <w:szCs w:val="20"/>
        </w:rPr>
        <w:t xml:space="preserve"> employees withheld at the county level</w:t>
      </w:r>
      <w:r w:rsidRPr="00FC5B21">
        <w:rPr>
          <w:szCs w:val="20"/>
        </w:rPr>
        <w:t>.</w:t>
      </w:r>
    </w:p>
    <w:p w14:paraId="6FA42F81" w14:textId="04886F3E" w:rsidR="00EC6AF8" w:rsidRPr="00B86742" w:rsidRDefault="00EC6AF8" w:rsidP="00EC6AF8">
      <w:pPr>
        <w:widowControl/>
        <w:numPr>
          <w:ilvl w:val="0"/>
          <w:numId w:val="2"/>
        </w:numPr>
        <w:autoSpaceDE/>
        <w:autoSpaceDN/>
        <w:adjustRightInd/>
        <w:spacing w:after="0"/>
        <w:rPr>
          <w:szCs w:val="20"/>
        </w:rPr>
      </w:pPr>
      <w:r w:rsidRPr="00FC5B21">
        <w:rPr>
          <w:szCs w:val="20"/>
        </w:rPr>
        <w:t xml:space="preserve">The counties with withheld data are assigned midpoints according to </w:t>
      </w:r>
      <w:r>
        <w:rPr>
          <w:szCs w:val="20"/>
        </w:rPr>
        <w:t xml:space="preserve">the employment codes in </w:t>
      </w:r>
      <w:r>
        <w:rPr>
          <w:szCs w:val="20"/>
        </w:rPr>
        <w:fldChar w:fldCharType="begin"/>
      </w:r>
      <w:r>
        <w:rPr>
          <w:szCs w:val="20"/>
        </w:rPr>
        <w:instrText xml:space="preserve"> REF _Ref479326325 \h </w:instrText>
      </w:r>
      <w:r>
        <w:rPr>
          <w:szCs w:val="20"/>
        </w:rPr>
      </w:r>
      <w:r>
        <w:rPr>
          <w:szCs w:val="20"/>
        </w:rPr>
        <w:fldChar w:fldCharType="separate"/>
      </w:r>
      <w:r w:rsidR="00700556" w:rsidRPr="009644AD">
        <w:rPr>
          <w:szCs w:val="20"/>
        </w:rPr>
        <w:t xml:space="preserve">Table </w:t>
      </w:r>
      <w:r w:rsidR="00700556">
        <w:rPr>
          <w:noProof/>
          <w:szCs w:val="20"/>
        </w:rPr>
        <w:t>2</w:t>
      </w:r>
      <w:r>
        <w:rPr>
          <w:szCs w:val="20"/>
        </w:rPr>
        <w:fldChar w:fldCharType="end"/>
      </w:r>
      <w:r w:rsidRPr="00FC5B21">
        <w:rPr>
          <w:szCs w:val="20"/>
        </w:rPr>
        <w:t>. For example</w:t>
      </w:r>
      <w:r>
        <w:rPr>
          <w:szCs w:val="20"/>
        </w:rPr>
        <w:t>,</w:t>
      </w:r>
      <w:r w:rsidRPr="00FC5B21">
        <w:rPr>
          <w:szCs w:val="20"/>
        </w:rPr>
        <w:t xml:space="preserve"> </w:t>
      </w:r>
      <w:r>
        <w:rPr>
          <w:szCs w:val="20"/>
        </w:rPr>
        <w:t xml:space="preserve">County </w:t>
      </w:r>
      <w:r w:rsidR="00F1634E">
        <w:rPr>
          <w:szCs w:val="20"/>
        </w:rPr>
        <w:t>001</w:t>
      </w:r>
      <w:r>
        <w:rPr>
          <w:szCs w:val="20"/>
        </w:rPr>
        <w:t xml:space="preserve"> is given a midpoint of </w:t>
      </w:r>
      <w:r w:rsidR="00F1634E">
        <w:rPr>
          <w:szCs w:val="20"/>
        </w:rPr>
        <w:t>60</w:t>
      </w:r>
      <w:r>
        <w:rPr>
          <w:szCs w:val="20"/>
        </w:rPr>
        <w:t xml:space="preserve"> employees (since employment code </w:t>
      </w:r>
      <w:r w:rsidR="00F1634E">
        <w:rPr>
          <w:szCs w:val="20"/>
        </w:rPr>
        <w:t>B</w:t>
      </w:r>
      <w:r>
        <w:rPr>
          <w:szCs w:val="20"/>
        </w:rPr>
        <w:t xml:space="preserve"> is 20-</w:t>
      </w:r>
      <w:r w:rsidRPr="00FC5B21">
        <w:rPr>
          <w:szCs w:val="20"/>
        </w:rPr>
        <w:t>99)</w:t>
      </w:r>
      <w:r w:rsidRPr="00B86742">
        <w:rPr>
          <w:szCs w:val="20"/>
        </w:rPr>
        <w:t>.</w:t>
      </w:r>
    </w:p>
    <w:p w14:paraId="652AEC35" w14:textId="0793F04C" w:rsidR="00EC6AF8" w:rsidRDefault="00EC6AF8" w:rsidP="00EC6AF8">
      <w:pPr>
        <w:widowControl/>
        <w:numPr>
          <w:ilvl w:val="0"/>
          <w:numId w:val="2"/>
        </w:numPr>
        <w:autoSpaceDE/>
        <w:autoSpaceDN/>
        <w:adjustRightInd/>
        <w:spacing w:after="0"/>
        <w:rPr>
          <w:szCs w:val="20"/>
        </w:rPr>
      </w:pPr>
      <w:r>
        <w:rPr>
          <w:szCs w:val="20"/>
        </w:rPr>
        <w:t xml:space="preserve">The sum of the midpoints </w:t>
      </w:r>
      <w:r w:rsidRPr="00173827">
        <w:rPr>
          <w:szCs w:val="20"/>
        </w:rPr>
        <w:t xml:space="preserve">for </w:t>
      </w:r>
      <w:r>
        <w:rPr>
          <w:szCs w:val="20"/>
        </w:rPr>
        <w:t xml:space="preserve">all withheld counties is </w:t>
      </w:r>
      <w:r w:rsidR="00F1634E">
        <w:rPr>
          <w:szCs w:val="20"/>
        </w:rPr>
        <w:t>150</w:t>
      </w:r>
      <w:r>
        <w:rPr>
          <w:szCs w:val="20"/>
        </w:rPr>
        <w:t xml:space="preserve"> employees. </w:t>
      </w:r>
    </w:p>
    <w:p w14:paraId="19D99D82" w14:textId="3234DB2D" w:rsidR="00EC6AF8" w:rsidRPr="00B86742" w:rsidRDefault="00EC6AF8" w:rsidP="00EC6AF8">
      <w:pPr>
        <w:widowControl/>
        <w:numPr>
          <w:ilvl w:val="0"/>
          <w:numId w:val="2"/>
        </w:numPr>
        <w:autoSpaceDE/>
        <w:autoSpaceDN/>
        <w:adjustRightInd/>
        <w:spacing w:after="0"/>
        <w:rPr>
          <w:szCs w:val="20"/>
        </w:rPr>
      </w:pPr>
      <w:r>
        <w:rPr>
          <w:szCs w:val="20"/>
        </w:rPr>
        <w:t xml:space="preserve">The adjustment factor is </w:t>
      </w:r>
      <w:r w:rsidR="00F1634E">
        <w:rPr>
          <w:szCs w:val="20"/>
        </w:rPr>
        <w:t>134</w:t>
      </w:r>
      <w:r>
        <w:rPr>
          <w:szCs w:val="20"/>
        </w:rPr>
        <w:t>/</w:t>
      </w:r>
      <w:r w:rsidR="00F1634E">
        <w:rPr>
          <w:szCs w:val="20"/>
        </w:rPr>
        <w:t>150</w:t>
      </w:r>
      <w:r w:rsidRPr="00B86742">
        <w:rPr>
          <w:szCs w:val="20"/>
        </w:rPr>
        <w:t xml:space="preserve"> = 0.</w:t>
      </w:r>
      <w:r w:rsidR="006A19AD">
        <w:rPr>
          <w:szCs w:val="20"/>
        </w:rPr>
        <w:t>8933</w:t>
      </w:r>
      <w:r>
        <w:rPr>
          <w:szCs w:val="20"/>
        </w:rPr>
        <w:t>.</w:t>
      </w:r>
    </w:p>
    <w:p w14:paraId="4403C098" w14:textId="2BB4F61D" w:rsidR="00EC6AF8" w:rsidRDefault="00EC6AF8" w:rsidP="00EC6AF8">
      <w:pPr>
        <w:widowControl/>
        <w:numPr>
          <w:ilvl w:val="0"/>
          <w:numId w:val="2"/>
        </w:numPr>
        <w:autoSpaceDE/>
        <w:autoSpaceDN/>
        <w:adjustRightInd/>
        <w:spacing w:after="0"/>
        <w:rPr>
          <w:szCs w:val="20"/>
        </w:rPr>
      </w:pPr>
      <w:r w:rsidRPr="00302F6D">
        <w:rPr>
          <w:szCs w:val="20"/>
        </w:rPr>
        <w:t>The ad</w:t>
      </w:r>
      <w:r>
        <w:rPr>
          <w:szCs w:val="20"/>
        </w:rPr>
        <w:t>justed employment for county 0</w:t>
      </w:r>
      <w:r w:rsidR="00F1634E">
        <w:rPr>
          <w:szCs w:val="20"/>
        </w:rPr>
        <w:t>01</w:t>
      </w:r>
      <w:r w:rsidR="002F4210">
        <w:rPr>
          <w:szCs w:val="20"/>
        </w:rPr>
        <w:t xml:space="preserve"> is </w:t>
      </w:r>
      <w:r w:rsidR="00F1634E">
        <w:rPr>
          <w:szCs w:val="20"/>
        </w:rPr>
        <w:t>60</w:t>
      </w:r>
      <w:r w:rsidR="002F4210">
        <w:rPr>
          <w:szCs w:val="20"/>
        </w:rPr>
        <w:t xml:space="preserve"> × </w:t>
      </w:r>
      <w:r w:rsidRPr="00302F6D">
        <w:rPr>
          <w:szCs w:val="20"/>
        </w:rPr>
        <w:t>0.</w:t>
      </w:r>
      <w:r w:rsidR="006A19AD">
        <w:rPr>
          <w:szCs w:val="20"/>
        </w:rPr>
        <w:t>8933</w:t>
      </w:r>
      <w:r w:rsidRPr="00302F6D">
        <w:rPr>
          <w:szCs w:val="20"/>
        </w:rPr>
        <w:t xml:space="preserve"> = </w:t>
      </w:r>
      <w:r w:rsidR="006A19AD">
        <w:rPr>
          <w:szCs w:val="20"/>
        </w:rPr>
        <w:t>54</w:t>
      </w:r>
      <w:r>
        <w:rPr>
          <w:szCs w:val="20"/>
        </w:rPr>
        <w:t xml:space="preserve"> employees</w:t>
      </w:r>
      <w:r w:rsidRPr="00302F6D">
        <w:rPr>
          <w:szCs w:val="20"/>
        </w:rPr>
        <w:t xml:space="preserve">. </w:t>
      </w:r>
    </w:p>
    <w:p w14:paraId="021A6AA6" w14:textId="77777777" w:rsidR="00EC6AF8" w:rsidRDefault="00EC6AF8" w:rsidP="00EC6AF8">
      <w:pPr>
        <w:widowControl/>
        <w:autoSpaceDE/>
        <w:autoSpaceDN/>
        <w:adjustRightInd/>
        <w:spacing w:after="0"/>
        <w:ind w:left="720"/>
        <w:rPr>
          <w:szCs w:val="20"/>
        </w:rPr>
      </w:pPr>
    </w:p>
    <w:p w14:paraId="0535744A" w14:textId="77777777" w:rsidR="00EC6AF8" w:rsidRDefault="00EC6AF8" w:rsidP="00EC6AF8">
      <w:pPr>
        <w:rPr>
          <w:szCs w:val="20"/>
        </w:rPr>
      </w:pPr>
      <w:r>
        <w:rPr>
          <w:szCs w:val="20"/>
        </w:rPr>
        <w:t>Once county- and state-level metal and non-metal employment are known</w:t>
      </w:r>
      <w:r w:rsidR="002F4210">
        <w:rPr>
          <w:szCs w:val="20"/>
        </w:rPr>
        <w:t xml:space="preserve"> for each county</w:t>
      </w:r>
      <w:r>
        <w:rPr>
          <w:szCs w:val="20"/>
        </w:rPr>
        <w:t xml:space="preserve">, the ratio of county to state employees </w:t>
      </w:r>
      <w:r w:rsidR="002F4210">
        <w:rPr>
          <w:szCs w:val="20"/>
        </w:rPr>
        <w:t xml:space="preserve">(from equation 3) </w:t>
      </w:r>
      <w:r>
        <w:rPr>
          <w:szCs w:val="20"/>
        </w:rPr>
        <w:t>is multiplied by the state-level metal and non-metal production</w:t>
      </w:r>
      <w:r w:rsidR="002F4210">
        <w:rPr>
          <w:szCs w:val="20"/>
        </w:rPr>
        <w:t xml:space="preserve"> (from equation 2)</w:t>
      </w:r>
      <w:r>
        <w:rPr>
          <w:szCs w:val="20"/>
        </w:rPr>
        <w:t xml:space="preserve"> to calculate county-level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2F4210" w14:paraId="26B3685D" w14:textId="77777777" w:rsidTr="002B5506">
        <w:tc>
          <w:tcPr>
            <w:tcW w:w="8748" w:type="dxa"/>
          </w:tcPr>
          <w:p w14:paraId="7DC8425F" w14:textId="77777777" w:rsidR="002F4210"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MP</m:t>
                    </m:r>
                  </m:e>
                  <m:sub>
                    <m:r>
                      <w:rPr>
                        <w:rFonts w:ascii="Cambria Math" w:hAnsi="Cambria Math"/>
                        <w:szCs w:val="20"/>
                      </w:rPr>
                      <m:t>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MP</m:t>
                    </m:r>
                  </m:e>
                  <m:sub>
                    <m:r>
                      <w:rPr>
                        <w:rFonts w:ascii="Cambria Math" w:hAnsi="Cambria Math"/>
                        <w:szCs w:val="20"/>
                      </w:rPr>
                      <m:t>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t,c</m:t>
                    </m:r>
                  </m:sub>
                </m:sSub>
              </m:oMath>
            </m:oMathPara>
          </w:p>
        </w:tc>
        <w:tc>
          <w:tcPr>
            <w:tcW w:w="828" w:type="dxa"/>
            <w:vAlign w:val="center"/>
          </w:tcPr>
          <w:p w14:paraId="224A169B" w14:textId="77777777" w:rsidR="002F4210" w:rsidRPr="00271697" w:rsidRDefault="002F4210" w:rsidP="002F4210">
            <w:pPr>
              <w:pStyle w:val="ListParagraph"/>
              <w:numPr>
                <w:ilvl w:val="0"/>
                <w:numId w:val="29"/>
              </w:numPr>
              <w:tabs>
                <w:tab w:val="left" w:pos="0"/>
                <w:tab w:val="center" w:pos="4320"/>
                <w:tab w:val="right" w:pos="8467"/>
              </w:tabs>
              <w:spacing w:before="60" w:after="60"/>
              <w:jc w:val="right"/>
              <w:rPr>
                <w:szCs w:val="20"/>
              </w:rPr>
            </w:pPr>
          </w:p>
        </w:tc>
      </w:tr>
    </w:tbl>
    <w:p w14:paraId="76EA3B62" w14:textId="77777777" w:rsidR="00EC6AF8" w:rsidRDefault="00EC6AF8" w:rsidP="00EC6AF8">
      <w:pPr>
        <w:rPr>
          <w:szCs w:val="20"/>
        </w:rPr>
      </w:pPr>
      <w:r>
        <w:rPr>
          <w:szCs w:val="20"/>
        </w:rPr>
        <w:t>Where:</w:t>
      </w:r>
    </w:p>
    <w:p w14:paraId="548661FF" w14:textId="0E37FB32" w:rsidR="00EC6AF8" w:rsidRDefault="00EC6AF8" w:rsidP="002F4210">
      <w:pPr>
        <w:pStyle w:val="NoSpacing"/>
        <w:tabs>
          <w:tab w:val="clear" w:pos="1296"/>
          <w:tab w:val="clear" w:pos="1584"/>
          <w:tab w:val="left" w:pos="1620"/>
          <w:tab w:val="left" w:pos="1980"/>
        </w:tabs>
        <w:ind w:left="1980" w:hanging="1980"/>
      </w:pPr>
      <w:r>
        <w:rPr>
          <w:i/>
        </w:rPr>
        <w:tab/>
      </w:r>
      <w:proofErr w:type="spellStart"/>
      <w:r w:rsidRPr="0031137D">
        <w:rPr>
          <w:i/>
        </w:rPr>
        <w:t>MP</w:t>
      </w:r>
      <w:r>
        <w:rPr>
          <w:i/>
          <w:vertAlign w:val="subscript"/>
        </w:rPr>
        <w:t>t</w:t>
      </w:r>
      <w:proofErr w:type="gramStart"/>
      <w:r>
        <w:rPr>
          <w:i/>
          <w:vertAlign w:val="subscript"/>
        </w:rPr>
        <w:t>,c</w:t>
      </w:r>
      <w:proofErr w:type="spellEnd"/>
      <w:proofErr w:type="gramEnd"/>
      <w:r>
        <w:rPr>
          <w:i/>
          <w:vertAlign w:val="subscript"/>
        </w:rPr>
        <w:tab/>
      </w:r>
      <w:r>
        <w:t>=</w:t>
      </w:r>
      <w:r>
        <w:tab/>
        <w:t xml:space="preserve">Amount of mining material type </w:t>
      </w:r>
      <w:r>
        <w:rPr>
          <w:i/>
        </w:rPr>
        <w:t xml:space="preserve">t </w:t>
      </w:r>
      <w:r>
        <w:t xml:space="preserve">produced in county </w:t>
      </w:r>
      <w:r>
        <w:rPr>
          <w:i/>
        </w:rPr>
        <w:t>c</w:t>
      </w:r>
      <w:r>
        <w:t>, in tons</w:t>
      </w:r>
    </w:p>
    <w:p w14:paraId="50287153" w14:textId="14AC75EC" w:rsidR="002F4210" w:rsidRDefault="002F4210" w:rsidP="002F4210">
      <w:pPr>
        <w:pStyle w:val="NoSpacing"/>
        <w:tabs>
          <w:tab w:val="clear" w:pos="1296"/>
          <w:tab w:val="clear" w:pos="1584"/>
          <w:tab w:val="left" w:pos="1620"/>
          <w:tab w:val="left" w:pos="1980"/>
        </w:tabs>
        <w:ind w:left="1980" w:hanging="1980"/>
      </w:pPr>
      <w:r>
        <w:rPr>
          <w:i/>
        </w:rPr>
        <w:tab/>
      </w:r>
      <w:proofErr w:type="spellStart"/>
      <w:r w:rsidRPr="004A365C">
        <w:rPr>
          <w:i/>
        </w:rPr>
        <w:t>MP</w:t>
      </w:r>
      <w:r>
        <w:rPr>
          <w:i/>
        </w:rPr>
        <w:t>t</w:t>
      </w:r>
      <w:proofErr w:type="gramStart"/>
      <w:r>
        <w:rPr>
          <w:i/>
        </w:rPr>
        <w:t>,</w:t>
      </w:r>
      <w:r w:rsidRPr="004A365C">
        <w:rPr>
          <w:i/>
          <w:vertAlign w:val="subscript"/>
        </w:rPr>
        <w:t>s</w:t>
      </w:r>
      <w:proofErr w:type="spellEnd"/>
      <w:proofErr w:type="gramEnd"/>
      <w:r>
        <w:rPr>
          <w:i/>
          <w:vertAlign w:val="subscript"/>
        </w:rPr>
        <w:tab/>
      </w:r>
      <w:r>
        <w:t>=</w:t>
      </w:r>
      <w:r>
        <w:tab/>
        <w:t xml:space="preserve">Amount of mining material type </w:t>
      </w:r>
      <w:r>
        <w:rPr>
          <w:i/>
        </w:rPr>
        <w:t xml:space="preserve">t </w:t>
      </w:r>
      <w:r>
        <w:t xml:space="preserve">(i.e. either metallic or non-metallic ore) produced in </w:t>
      </w:r>
      <w:proofErr w:type="spellStart"/>
      <w:r>
        <w:t xml:space="preserve">state </w:t>
      </w:r>
      <w:r>
        <w:rPr>
          <w:i/>
        </w:rPr>
        <w:t>s</w:t>
      </w:r>
      <w:proofErr w:type="spellEnd"/>
      <w:r>
        <w:t>, in tons</w:t>
      </w:r>
    </w:p>
    <w:p w14:paraId="3DF70693" w14:textId="77777777" w:rsidR="002F4210" w:rsidRPr="007026FD" w:rsidRDefault="002F4210" w:rsidP="002F4210">
      <w:pPr>
        <w:pStyle w:val="NoSpacing"/>
        <w:tabs>
          <w:tab w:val="clear" w:pos="1296"/>
          <w:tab w:val="clear" w:pos="1584"/>
          <w:tab w:val="left" w:pos="1620"/>
          <w:tab w:val="left" w:pos="1980"/>
        </w:tabs>
        <w:ind w:left="1980" w:hanging="1980"/>
      </w:pPr>
      <w:r>
        <w:rPr>
          <w:i/>
        </w:rPr>
        <w:tab/>
      </w:r>
      <w:proofErr w:type="spellStart"/>
      <w:r>
        <w:rPr>
          <w:i/>
        </w:rPr>
        <w:t>EmpFrac</w:t>
      </w:r>
      <w:r w:rsidRPr="00EE3FDB">
        <w:rPr>
          <w:i/>
          <w:vertAlign w:val="subscript"/>
        </w:rPr>
        <w:t>t</w:t>
      </w:r>
      <w:proofErr w:type="gramStart"/>
      <w:r>
        <w:rPr>
          <w:i/>
        </w:rPr>
        <w:t>,</w:t>
      </w:r>
      <w:r w:rsidRPr="00ED598D">
        <w:rPr>
          <w:i/>
          <w:vertAlign w:val="subscript"/>
        </w:rPr>
        <w:t>c</w:t>
      </w:r>
      <w:proofErr w:type="spellEnd"/>
      <w:proofErr w:type="gramEnd"/>
      <w:r>
        <w:rPr>
          <w:vertAlign w:val="subscript"/>
        </w:rPr>
        <w:tab/>
      </w:r>
      <w:r>
        <w:t>=</w:t>
      </w:r>
      <w:r>
        <w:tab/>
        <w:t xml:space="preserve">The fraction of mining employees for material type </w:t>
      </w:r>
      <w:r>
        <w:rPr>
          <w:i/>
        </w:rPr>
        <w:t>t</w:t>
      </w:r>
      <w:r>
        <w:t xml:space="preserve"> in county </w:t>
      </w:r>
      <w:r>
        <w:rPr>
          <w:i/>
        </w:rPr>
        <w:t>c</w:t>
      </w:r>
    </w:p>
    <w:p w14:paraId="0CFDAF9A" w14:textId="77777777" w:rsidR="002F4210" w:rsidRDefault="002F4210" w:rsidP="00EC6AF8">
      <w:pPr>
        <w:pStyle w:val="NoSpacing"/>
        <w:spacing w:after="200"/>
      </w:pPr>
    </w:p>
    <w:p w14:paraId="647051A2" w14:textId="77777777" w:rsidR="00B97E6E" w:rsidRDefault="00B97E6E" w:rsidP="003D38C0">
      <w:pPr>
        <w:pStyle w:val="Heading1"/>
      </w:pPr>
      <w:bookmarkStart w:id="9" w:name="_Ref477187901"/>
      <w:r w:rsidRPr="00886F17">
        <w:t>Emission</w:t>
      </w:r>
      <w:r w:rsidR="00680037">
        <w:t>s</w:t>
      </w:r>
      <w:r w:rsidRPr="00886F17">
        <w:t xml:space="preserve"> Factors</w:t>
      </w:r>
      <w:bookmarkEnd w:id="3"/>
      <w:bookmarkEnd w:id="9"/>
    </w:p>
    <w:p w14:paraId="1700B5D2" w14:textId="77777777" w:rsidR="002F4210" w:rsidRPr="002F4210" w:rsidRDefault="002F4210" w:rsidP="002F4210">
      <w:r>
        <w:t>Emissions factors are calculated separately for metallic ore mining, non-metallic ore mining, and coal mining. This section describes those calculations and the relevant data sources.</w:t>
      </w:r>
    </w:p>
    <w:p w14:paraId="7A287736" w14:textId="77777777" w:rsidR="00720DF7" w:rsidRPr="00B86742" w:rsidRDefault="00720DF7" w:rsidP="00A66885">
      <w:pPr>
        <w:pStyle w:val="Heading2"/>
      </w:pPr>
      <w:r w:rsidRPr="00B86742">
        <w:t>Metallic Ore Mining</w:t>
      </w:r>
    </w:p>
    <w:p w14:paraId="0365FF5B" w14:textId="045C7981" w:rsidR="00EF7D35" w:rsidRDefault="00EF7D35" w:rsidP="00EF7D35">
      <w:pPr>
        <w:rPr>
          <w:szCs w:val="20"/>
        </w:rPr>
      </w:pPr>
      <w:r w:rsidRPr="00B86742">
        <w:rPr>
          <w:szCs w:val="20"/>
        </w:rPr>
        <w:t xml:space="preserve">The emissions factor for metallic ore mining includes </w:t>
      </w:r>
      <w:r w:rsidR="00A66885">
        <w:rPr>
          <w:szCs w:val="20"/>
        </w:rPr>
        <w:t xml:space="preserve">emissions from </w:t>
      </w:r>
      <w:r w:rsidRPr="00B86742">
        <w:rPr>
          <w:szCs w:val="20"/>
        </w:rPr>
        <w:t>overburden removal, drilling and blasting, and l</w:t>
      </w:r>
      <w:r w:rsidR="00A81090">
        <w:rPr>
          <w:szCs w:val="20"/>
        </w:rPr>
        <w:t xml:space="preserve">oading and unloading activities, and are taken from emissions factors for </w:t>
      </w:r>
      <w:r w:rsidRPr="00B86742">
        <w:rPr>
          <w:szCs w:val="20"/>
        </w:rPr>
        <w:t>copper ore mining</w:t>
      </w:r>
      <w:bookmarkStart w:id="10" w:name="_Ref479333249"/>
      <w:r w:rsidR="00A66885">
        <w:rPr>
          <w:szCs w:val="20"/>
        </w:rPr>
        <w:t xml:space="preserve"> from EPA’s </w:t>
      </w:r>
      <w:r w:rsidR="00A66885">
        <w:rPr>
          <w:i/>
          <w:szCs w:val="20"/>
        </w:rPr>
        <w:t xml:space="preserve">National </w:t>
      </w:r>
      <w:r w:rsidR="00A66885">
        <w:rPr>
          <w:i/>
          <w:szCs w:val="20"/>
        </w:rPr>
        <w:lastRenderedPageBreak/>
        <w:t>Air Pollutant Emission Trends Procedures Document for 1900-1996</w:t>
      </w:r>
      <w:bookmarkStart w:id="11" w:name="_Ref479344966"/>
      <w:r w:rsidR="00594085">
        <w:rPr>
          <w:i/>
          <w:szCs w:val="20"/>
        </w:rPr>
        <w:t>.</w:t>
      </w:r>
      <w:r>
        <w:rPr>
          <w:rStyle w:val="EndnoteReference"/>
          <w:szCs w:val="20"/>
        </w:rPr>
        <w:endnoteReference w:id="5"/>
      </w:r>
      <w:bookmarkEnd w:id="10"/>
      <w:bookmarkEnd w:id="11"/>
      <w:r w:rsidR="00594085">
        <w:rPr>
          <w:i/>
          <w:szCs w:val="20"/>
        </w:rPr>
        <w:t xml:space="preserve"> </w:t>
      </w:r>
      <w:r w:rsidR="00594085" w:rsidRPr="00162E55">
        <w:rPr>
          <w:szCs w:val="20"/>
        </w:rPr>
        <w:t>The emissions factors</w:t>
      </w:r>
      <w:r w:rsidRPr="00B86742">
        <w:rPr>
          <w:szCs w:val="20"/>
        </w:rPr>
        <w:t xml:space="preserve"> are applied to all three activities with PM</w:t>
      </w:r>
      <w:r w:rsidRPr="007D586A">
        <w:rPr>
          <w:szCs w:val="20"/>
        </w:rPr>
        <w:t>10</w:t>
      </w:r>
      <w:r w:rsidRPr="00B86742">
        <w:rPr>
          <w:szCs w:val="20"/>
        </w:rPr>
        <w:t>/TSP ratios of 0.35 for overburden removal,</w:t>
      </w:r>
      <w:bookmarkStart w:id="12" w:name="_Ref479333251"/>
      <w:r>
        <w:rPr>
          <w:rStyle w:val="EndnoteReference"/>
          <w:szCs w:val="20"/>
        </w:rPr>
        <w:endnoteReference w:id="6"/>
      </w:r>
      <w:bookmarkEnd w:id="12"/>
      <w:r w:rsidRPr="00B86742">
        <w:rPr>
          <w:szCs w:val="20"/>
        </w:rPr>
        <w:t xml:space="preserve"> 0.81 for drilling and blasting,</w:t>
      </w:r>
      <w:bookmarkStart w:id="13" w:name="_Ref510604534"/>
      <w:r w:rsidR="0099175D">
        <w:rPr>
          <w:rStyle w:val="EndnoteReference"/>
          <w:szCs w:val="20"/>
        </w:rPr>
        <w:endnoteReference w:id="7"/>
      </w:r>
      <w:bookmarkEnd w:id="13"/>
      <w:r w:rsidRPr="00B86742">
        <w:rPr>
          <w:szCs w:val="20"/>
        </w:rPr>
        <w:t xml:space="preserve"> and 0.43 for loading and unloading operations.</w:t>
      </w:r>
      <w:bookmarkStart w:id="14" w:name="_Ref479329396"/>
      <w:r w:rsidR="0099175D">
        <w:rPr>
          <w:szCs w:val="20"/>
        </w:rPr>
        <w:fldChar w:fldCharType="begin"/>
      </w:r>
      <w:r w:rsidR="0099175D">
        <w:rPr>
          <w:rStyle w:val="EndnoteReference"/>
          <w:szCs w:val="20"/>
        </w:rPr>
        <w:instrText xml:space="preserve"> NOTEREF _Ref510604534 \h </w:instrText>
      </w:r>
      <w:r w:rsidR="0099175D">
        <w:rPr>
          <w:szCs w:val="20"/>
        </w:rPr>
      </w:r>
      <w:r w:rsidR="0099175D">
        <w:rPr>
          <w:szCs w:val="20"/>
        </w:rPr>
        <w:fldChar w:fldCharType="separate"/>
      </w:r>
      <w:r w:rsidR="0099175D">
        <w:rPr>
          <w:rStyle w:val="EndnoteReference"/>
          <w:szCs w:val="20"/>
        </w:rPr>
        <w:t>6</w:t>
      </w:r>
      <w:r w:rsidR="0099175D">
        <w:rPr>
          <w:szCs w:val="20"/>
        </w:rPr>
        <w:fldChar w:fldCharType="end"/>
      </w:r>
      <w:bookmarkEnd w:id="14"/>
      <w:r>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A66885" w14:paraId="64E6C27D" w14:textId="77777777" w:rsidTr="002B5506">
        <w:tc>
          <w:tcPr>
            <w:tcW w:w="8748" w:type="dxa"/>
          </w:tcPr>
          <w:p w14:paraId="6F8908CE" w14:textId="77777777" w:rsidR="00A66885"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PM10,m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o</m:t>
                    </m:r>
                  </m:sub>
                </m:sSub>
                <m:r>
                  <w:rPr>
                    <w:rFonts w:ascii="Cambria Math" w:hAnsi="Cambria Math"/>
                    <w:szCs w:val="20"/>
                  </w:rPr>
                  <m:t>+</m:t>
                </m:r>
                <m:d>
                  <m:dPr>
                    <m:ctrlPr>
                      <w:rPr>
                        <w:rFonts w:ascii="Cambria Math" w:hAnsi="Cambria Math"/>
                        <w:i/>
                        <w:szCs w:val="20"/>
                      </w:rPr>
                    </m:ctrlPr>
                  </m:dPr>
                  <m:e>
                    <m:r>
                      <w:rPr>
                        <w:rFonts w:ascii="Cambria Math" w:hAnsi="Cambria Math"/>
                        <w:szCs w:val="20"/>
                      </w:rPr>
                      <m:t>B×</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b</m:t>
                        </m:r>
                      </m:sub>
                    </m:sSub>
                  </m:e>
                </m:d>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l</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d</m:t>
                    </m:r>
                  </m:sub>
                </m:sSub>
              </m:oMath>
            </m:oMathPara>
          </w:p>
        </w:tc>
        <w:tc>
          <w:tcPr>
            <w:tcW w:w="828" w:type="dxa"/>
            <w:vAlign w:val="center"/>
          </w:tcPr>
          <w:p w14:paraId="5C74672D" w14:textId="77777777" w:rsidR="00A66885" w:rsidRPr="00271697" w:rsidRDefault="00A66885" w:rsidP="00A66885">
            <w:pPr>
              <w:pStyle w:val="ListParagraph"/>
              <w:numPr>
                <w:ilvl w:val="0"/>
                <w:numId w:val="29"/>
              </w:numPr>
              <w:tabs>
                <w:tab w:val="left" w:pos="0"/>
                <w:tab w:val="center" w:pos="4320"/>
                <w:tab w:val="right" w:pos="8467"/>
              </w:tabs>
              <w:spacing w:before="60" w:after="60"/>
              <w:jc w:val="right"/>
              <w:rPr>
                <w:szCs w:val="20"/>
              </w:rPr>
            </w:pPr>
          </w:p>
        </w:tc>
      </w:tr>
    </w:tbl>
    <w:p w14:paraId="78903370" w14:textId="77777777" w:rsidR="00153D5E" w:rsidRPr="006B28FE" w:rsidRDefault="00153D5E" w:rsidP="00960B1C">
      <w:pPr>
        <w:rPr>
          <w:szCs w:val="20"/>
        </w:rPr>
      </w:pPr>
      <w:r w:rsidRPr="006B28FE">
        <w:rPr>
          <w:szCs w:val="20"/>
        </w:rPr>
        <w:t>Where:</w:t>
      </w:r>
    </w:p>
    <w:p w14:paraId="10B5C5EC" w14:textId="77777777" w:rsidR="00153D5E" w:rsidRPr="006B28FE" w:rsidRDefault="00153D5E" w:rsidP="00153D5E">
      <w:pPr>
        <w:pStyle w:val="NoSpacing"/>
      </w:pPr>
      <w:r>
        <w:tab/>
      </w:r>
      <w:r w:rsidRPr="00EA0969">
        <w:rPr>
          <w:i/>
        </w:rPr>
        <w:t>EF</w:t>
      </w:r>
      <w:r>
        <w:rPr>
          <w:i/>
          <w:vertAlign w:val="subscript"/>
        </w:rPr>
        <w:t>PM</w:t>
      </w:r>
      <w:r w:rsidRPr="00EA0969">
        <w:rPr>
          <w:i/>
          <w:vertAlign w:val="subscript"/>
        </w:rPr>
        <w:t>10</w:t>
      </w:r>
      <w:proofErr w:type="gramStart"/>
      <w:r>
        <w:rPr>
          <w:i/>
          <w:vertAlign w:val="subscript"/>
        </w:rPr>
        <w:t>,m</w:t>
      </w:r>
      <w:proofErr w:type="gramEnd"/>
      <w:r>
        <w:tab/>
        <w:t>=</w:t>
      </w:r>
      <w:r>
        <w:tab/>
        <w:t>PM10-PRI</w:t>
      </w:r>
      <w:r w:rsidRPr="006B28FE">
        <w:t xml:space="preserve"> metallic ore m</w:t>
      </w:r>
      <w:r>
        <w:t>ining emissions factor, in lbs.</w:t>
      </w:r>
      <w:r w:rsidRPr="006B28FE">
        <w:t>/ton</w:t>
      </w:r>
    </w:p>
    <w:p w14:paraId="79C520F9" w14:textId="77777777" w:rsidR="00153D5E" w:rsidRPr="006B28FE" w:rsidRDefault="00153D5E" w:rsidP="00153D5E">
      <w:pPr>
        <w:pStyle w:val="NoSpacing"/>
      </w:pPr>
      <w:r>
        <w:tab/>
      </w:r>
      <w:proofErr w:type="spellStart"/>
      <w:r w:rsidRPr="00EA0969">
        <w:rPr>
          <w:i/>
        </w:rPr>
        <w:t>EF</w:t>
      </w:r>
      <w:r w:rsidRPr="00EA0969">
        <w:rPr>
          <w:i/>
          <w:vertAlign w:val="subscript"/>
        </w:rPr>
        <w:t>o</w:t>
      </w:r>
      <w:proofErr w:type="spellEnd"/>
      <w:r>
        <w:tab/>
        <w:t>=</w:t>
      </w:r>
      <w:r>
        <w:tab/>
      </w:r>
      <w:r w:rsidRPr="006B28FE">
        <w:t>PM</w:t>
      </w:r>
      <w:r>
        <w:t>10-PRI</w:t>
      </w:r>
      <w:r w:rsidRPr="006B28FE">
        <w:t xml:space="preserve"> open pit overburden removal </w:t>
      </w:r>
      <w:r>
        <w:t>emissions factor for copper ore, in lbs</w:t>
      </w:r>
      <w:proofErr w:type="gramStart"/>
      <w:r>
        <w:t>.</w:t>
      </w:r>
      <w:r w:rsidRPr="006B28FE">
        <w:t>/</w:t>
      </w:r>
      <w:proofErr w:type="gramEnd"/>
      <w:r w:rsidRPr="006B28FE">
        <w:t>ton</w:t>
      </w:r>
    </w:p>
    <w:p w14:paraId="541398E2" w14:textId="77777777" w:rsidR="00153D5E" w:rsidRPr="006B28FE" w:rsidRDefault="00153D5E" w:rsidP="00153D5E">
      <w:pPr>
        <w:pStyle w:val="NoSpacing"/>
      </w:pPr>
      <w:r>
        <w:tab/>
      </w:r>
      <w:r w:rsidRPr="00EA0969">
        <w:rPr>
          <w:i/>
        </w:rPr>
        <w:t>B</w:t>
      </w:r>
      <w:r>
        <w:tab/>
        <w:t>=</w:t>
      </w:r>
      <w:r>
        <w:tab/>
        <w:t>F</w:t>
      </w:r>
      <w:r w:rsidRPr="006B28FE">
        <w:t>raction of total ore production that is obtained by blasting at metallic ore mines</w:t>
      </w:r>
    </w:p>
    <w:p w14:paraId="14F0C20E" w14:textId="77777777" w:rsidR="00153D5E" w:rsidRPr="006B28FE" w:rsidRDefault="00153D5E" w:rsidP="00153D5E">
      <w:pPr>
        <w:pStyle w:val="NoSpacing"/>
      </w:pPr>
      <w:r>
        <w:tab/>
      </w:r>
      <w:proofErr w:type="spellStart"/>
      <w:r w:rsidRPr="00EA0969">
        <w:rPr>
          <w:i/>
        </w:rPr>
        <w:t>EF</w:t>
      </w:r>
      <w:r w:rsidRPr="00EA0969">
        <w:rPr>
          <w:i/>
          <w:vertAlign w:val="subscript"/>
        </w:rPr>
        <w:t>b</w:t>
      </w:r>
      <w:proofErr w:type="spellEnd"/>
      <w:r>
        <w:tab/>
        <w:t>=</w:t>
      </w:r>
      <w:r>
        <w:tab/>
      </w:r>
      <w:r w:rsidRPr="006B28FE">
        <w:t>PM</w:t>
      </w:r>
      <w:r>
        <w:t>10-PRI</w:t>
      </w:r>
      <w:r w:rsidRPr="006B28FE">
        <w:t xml:space="preserve"> drilling/blasting </w:t>
      </w:r>
      <w:r>
        <w:t>emissions factor for copper ore, in lbs</w:t>
      </w:r>
      <w:proofErr w:type="gramStart"/>
      <w:r>
        <w:t>.</w:t>
      </w:r>
      <w:r w:rsidRPr="006B28FE">
        <w:t>/</w:t>
      </w:r>
      <w:proofErr w:type="gramEnd"/>
      <w:r w:rsidRPr="006B28FE">
        <w:t>ton</w:t>
      </w:r>
    </w:p>
    <w:p w14:paraId="160E46D0" w14:textId="77777777" w:rsidR="00153D5E" w:rsidRPr="006B28FE" w:rsidRDefault="00153D5E" w:rsidP="00153D5E">
      <w:pPr>
        <w:pStyle w:val="NoSpacing"/>
      </w:pPr>
      <w:r w:rsidRPr="00EA0969">
        <w:rPr>
          <w:i/>
        </w:rPr>
        <w:tab/>
      </w:r>
      <w:proofErr w:type="spellStart"/>
      <w:r w:rsidRPr="00EA0969">
        <w:rPr>
          <w:i/>
        </w:rPr>
        <w:t>EF</w:t>
      </w:r>
      <w:r w:rsidRPr="00EA0969">
        <w:rPr>
          <w:i/>
          <w:vertAlign w:val="subscript"/>
        </w:rPr>
        <w:t>l</w:t>
      </w:r>
      <w:proofErr w:type="spellEnd"/>
      <w:r>
        <w:tab/>
        <w:t>=</w:t>
      </w:r>
      <w:r>
        <w:tab/>
        <w:t>P</w:t>
      </w:r>
      <w:r w:rsidRPr="006B28FE">
        <w:t>M</w:t>
      </w:r>
      <w:r>
        <w:t>10-PRI</w:t>
      </w:r>
      <w:r w:rsidRPr="006B28FE">
        <w:t xml:space="preserve"> loading </w:t>
      </w:r>
      <w:r>
        <w:t>emissions factor for copper ore, in lbs</w:t>
      </w:r>
      <w:proofErr w:type="gramStart"/>
      <w:r>
        <w:t>.</w:t>
      </w:r>
      <w:r w:rsidRPr="006B28FE">
        <w:t>/</w:t>
      </w:r>
      <w:proofErr w:type="gramEnd"/>
      <w:r w:rsidRPr="006B28FE">
        <w:t xml:space="preserve">ton </w:t>
      </w:r>
    </w:p>
    <w:p w14:paraId="05C4F392" w14:textId="77777777" w:rsidR="00153D5E" w:rsidRPr="006B28FE" w:rsidRDefault="00153D5E" w:rsidP="00153D5E">
      <w:pPr>
        <w:pStyle w:val="NoSpacing"/>
        <w:spacing w:after="200"/>
      </w:pPr>
      <w:r>
        <w:tab/>
      </w:r>
      <w:proofErr w:type="spellStart"/>
      <w:r w:rsidRPr="00EA0969">
        <w:rPr>
          <w:i/>
        </w:rPr>
        <w:t>EF</w:t>
      </w:r>
      <w:r w:rsidRPr="00EA0969">
        <w:rPr>
          <w:i/>
          <w:vertAlign w:val="subscript"/>
        </w:rPr>
        <w:t>d</w:t>
      </w:r>
      <w:proofErr w:type="spellEnd"/>
      <w:r>
        <w:tab/>
        <w:t>=</w:t>
      </w:r>
      <w:r>
        <w:tab/>
      </w:r>
      <w:r w:rsidRPr="006B28FE">
        <w:t>PM</w:t>
      </w:r>
      <w:r>
        <w:t>10-PRI</w:t>
      </w:r>
      <w:r w:rsidRPr="006B28FE">
        <w:t xml:space="preserve"> truck dumping </w:t>
      </w:r>
      <w:r>
        <w:t>emissions factor for copper ore, in lbs</w:t>
      </w:r>
      <w:proofErr w:type="gramStart"/>
      <w:r>
        <w:t>.</w:t>
      </w:r>
      <w:r w:rsidRPr="006B28FE">
        <w:t>/</w:t>
      </w:r>
      <w:proofErr w:type="gramEnd"/>
      <w:r w:rsidRPr="006B28FE">
        <w:t xml:space="preserve">ton </w:t>
      </w:r>
    </w:p>
    <w:p w14:paraId="249524B4" w14:textId="77777777" w:rsidR="00A81090" w:rsidRDefault="00A81090" w:rsidP="00EF7D35">
      <w:pPr>
        <w:rPr>
          <w:szCs w:val="20"/>
        </w:rPr>
      </w:pPr>
      <w:r>
        <w:rPr>
          <w:szCs w:val="20"/>
        </w:rPr>
        <w:t xml:space="preserve">Using values from the </w:t>
      </w:r>
      <w:r>
        <w:rPr>
          <w:i/>
          <w:szCs w:val="20"/>
        </w:rPr>
        <w:t>National Air Pollutant Emission Trends Procedures Document for 1900-1996, Table 3.1-3,</w:t>
      </w:r>
      <w:r>
        <w:rPr>
          <w:szCs w:val="20"/>
        </w:rPr>
        <w:t xml:space="preserve"> the PM10-PRI emissions factor is calculated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8"/>
        <w:gridCol w:w="822"/>
      </w:tblGrid>
      <w:tr w:rsidR="00A81090" w14:paraId="0A70F248" w14:textId="77777777" w:rsidTr="002B5506">
        <w:tc>
          <w:tcPr>
            <w:tcW w:w="8748" w:type="dxa"/>
          </w:tcPr>
          <w:p w14:paraId="18493452" w14:textId="77777777" w:rsidR="00A81090" w:rsidRPr="00153D5E" w:rsidRDefault="00153D5E" w:rsidP="00153D5E">
            <w:pPr>
              <w:tabs>
                <w:tab w:val="left" w:pos="0"/>
                <w:tab w:val="center" w:pos="4320"/>
                <w:tab w:val="right" w:pos="8467"/>
              </w:tabs>
              <w:spacing w:before="60" w:after="60"/>
              <w:jc w:val="center"/>
              <w:rPr>
                <w:szCs w:val="20"/>
              </w:rPr>
            </w:pPr>
            <m:oMathPara>
              <m:oMath>
                <m:r>
                  <m:rPr>
                    <m:sty m:val="p"/>
                  </m:rPr>
                  <w:rPr>
                    <w:rFonts w:ascii="Cambria Math" w:hAnsi="Cambria Math"/>
                    <w:szCs w:val="20"/>
                  </w:rPr>
                  <m:t xml:space="preserve">0.0548 </m:t>
                </m:r>
                <m:r>
                  <w:rPr>
                    <w:rFonts w:ascii="Cambria Math" w:hAnsi="Cambria Math"/>
                    <w:szCs w:val="20"/>
                  </w:rPr>
                  <m:t>lbs/ton=</m:t>
                </m:r>
                <m:r>
                  <m:rPr>
                    <m:sty m:val="p"/>
                  </m:rPr>
                  <w:rPr>
                    <w:rFonts w:ascii="Cambria Math" w:hAnsi="Cambria Math"/>
                    <w:szCs w:val="20"/>
                  </w:rPr>
                  <m:t>0.0003 + (0.57625 × 0.0008) + 0.022 + 0.032</m:t>
                </m:r>
              </m:oMath>
            </m:oMathPara>
          </w:p>
        </w:tc>
        <w:tc>
          <w:tcPr>
            <w:tcW w:w="828" w:type="dxa"/>
            <w:vAlign w:val="center"/>
          </w:tcPr>
          <w:p w14:paraId="3347B3AB" w14:textId="77777777" w:rsidR="00A81090" w:rsidRPr="00A81090" w:rsidRDefault="00A81090" w:rsidP="00960B1C">
            <w:pPr>
              <w:tabs>
                <w:tab w:val="left" w:pos="0"/>
                <w:tab w:val="left" w:pos="354"/>
                <w:tab w:val="center" w:pos="4320"/>
                <w:tab w:val="right" w:pos="8467"/>
              </w:tabs>
              <w:spacing w:before="60" w:after="60"/>
              <w:ind w:left="89" w:right="-108"/>
              <w:jc w:val="right"/>
              <w:rPr>
                <w:szCs w:val="20"/>
              </w:rPr>
            </w:pPr>
            <w:r>
              <w:rPr>
                <w:szCs w:val="20"/>
              </w:rPr>
              <w:t>(5a)</w:t>
            </w:r>
          </w:p>
        </w:tc>
      </w:tr>
    </w:tbl>
    <w:p w14:paraId="2AAE1357" w14:textId="77777777" w:rsidR="00153D5E" w:rsidRDefault="00A81090" w:rsidP="00EF7D35">
      <w:pPr>
        <w:rPr>
          <w:szCs w:val="20"/>
        </w:rPr>
      </w:pPr>
      <w:r>
        <w:rPr>
          <w:szCs w:val="20"/>
        </w:rPr>
        <w:t xml:space="preserve"> </w:t>
      </w:r>
    </w:p>
    <w:p w14:paraId="3B122BA4" w14:textId="77777777" w:rsidR="00153D5E" w:rsidRPr="00A81090" w:rsidRDefault="00153D5E" w:rsidP="00EF7D35">
      <w:pPr>
        <w:rPr>
          <w:szCs w:val="20"/>
        </w:rPr>
      </w:pPr>
      <w:r>
        <w:rPr>
          <w:szCs w:val="20"/>
        </w:rPr>
        <w:t>The PM25-PRI emissions factor is assumed to be 12.5% of the PM10-PRI emissions factor.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18"/>
      </w:tblGrid>
      <w:tr w:rsidR="00A81090" w14:paraId="0291B231" w14:textId="77777777" w:rsidTr="00DA6572">
        <w:tc>
          <w:tcPr>
            <w:tcW w:w="8658" w:type="dxa"/>
          </w:tcPr>
          <w:p w14:paraId="0C9FC58D" w14:textId="77777777" w:rsidR="00A81090"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PM25,m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PM10,m</m:t>
                    </m:r>
                  </m:sub>
                </m:sSub>
                <m:r>
                  <w:rPr>
                    <w:rFonts w:ascii="Cambria Math" w:hAnsi="Cambria Math"/>
                    <w:szCs w:val="20"/>
                  </w:rPr>
                  <m:t>×0.125</m:t>
                </m:r>
              </m:oMath>
            </m:oMathPara>
          </w:p>
        </w:tc>
        <w:tc>
          <w:tcPr>
            <w:tcW w:w="918" w:type="dxa"/>
            <w:vAlign w:val="center"/>
          </w:tcPr>
          <w:p w14:paraId="5A2DE87B" w14:textId="77777777" w:rsidR="00A81090" w:rsidRPr="00271697" w:rsidRDefault="00A81090" w:rsidP="00960B1C">
            <w:pPr>
              <w:pStyle w:val="ListParagraph"/>
              <w:numPr>
                <w:ilvl w:val="0"/>
                <w:numId w:val="29"/>
              </w:numPr>
              <w:tabs>
                <w:tab w:val="left" w:pos="0"/>
                <w:tab w:val="center" w:pos="4320"/>
                <w:tab w:val="right" w:pos="8467"/>
              </w:tabs>
              <w:spacing w:before="60" w:after="60"/>
              <w:jc w:val="right"/>
              <w:rPr>
                <w:szCs w:val="20"/>
              </w:rPr>
            </w:pPr>
          </w:p>
        </w:tc>
      </w:tr>
      <w:tr w:rsidR="00153D5E" w14:paraId="4DB34C89" w14:textId="77777777" w:rsidTr="00DA6572">
        <w:tc>
          <w:tcPr>
            <w:tcW w:w="8658" w:type="dxa"/>
          </w:tcPr>
          <w:p w14:paraId="30C24E43" w14:textId="77777777" w:rsidR="00153D5E" w:rsidRDefault="00153D5E" w:rsidP="00153D5E">
            <w:pPr>
              <w:tabs>
                <w:tab w:val="left" w:pos="0"/>
                <w:tab w:val="center" w:pos="4320"/>
                <w:tab w:val="right" w:pos="8467"/>
              </w:tabs>
              <w:spacing w:before="60" w:after="60"/>
              <w:rPr>
                <w:szCs w:val="20"/>
              </w:rPr>
            </w:pPr>
            <m:oMathPara>
              <m:oMath>
                <m:r>
                  <w:rPr>
                    <w:rFonts w:ascii="Cambria Math" w:hAnsi="Cambria Math"/>
                    <w:szCs w:val="20"/>
                  </w:rPr>
                  <m:t>0.0069=0.0548×0.125</m:t>
                </m:r>
              </m:oMath>
            </m:oMathPara>
          </w:p>
        </w:tc>
        <w:tc>
          <w:tcPr>
            <w:tcW w:w="918" w:type="dxa"/>
            <w:vAlign w:val="center"/>
          </w:tcPr>
          <w:p w14:paraId="6A2B6DFF" w14:textId="08166BF7" w:rsidR="00153D5E" w:rsidRPr="00DA6572" w:rsidRDefault="00DA6572" w:rsidP="00960B1C">
            <w:pPr>
              <w:tabs>
                <w:tab w:val="left" w:pos="0"/>
                <w:tab w:val="left" w:pos="324"/>
                <w:tab w:val="center" w:pos="4320"/>
                <w:tab w:val="right" w:pos="8467"/>
              </w:tabs>
              <w:spacing w:before="60" w:after="60"/>
              <w:rPr>
                <w:szCs w:val="20"/>
              </w:rPr>
            </w:pPr>
            <w:r>
              <w:rPr>
                <w:szCs w:val="20"/>
              </w:rPr>
              <w:t xml:space="preserve">     </w:t>
            </w:r>
            <w:r w:rsidR="00960B1C">
              <w:rPr>
                <w:szCs w:val="20"/>
              </w:rPr>
              <w:t xml:space="preserve"> </w:t>
            </w:r>
            <w:r w:rsidRPr="00DA6572">
              <w:rPr>
                <w:szCs w:val="20"/>
              </w:rPr>
              <w:t>(6a)</w:t>
            </w:r>
          </w:p>
        </w:tc>
      </w:tr>
    </w:tbl>
    <w:p w14:paraId="6A168796" w14:textId="77777777" w:rsidR="00153D5E" w:rsidRDefault="00153D5E" w:rsidP="00153D5E">
      <w:pPr>
        <w:pStyle w:val="NoSpacing"/>
      </w:pPr>
      <w:r>
        <w:t>Where:</w:t>
      </w:r>
    </w:p>
    <w:p w14:paraId="6C0FFFE6" w14:textId="77777777" w:rsidR="00153D5E" w:rsidRPr="006B28FE" w:rsidRDefault="00153D5E" w:rsidP="00153D5E">
      <w:pPr>
        <w:pStyle w:val="NoSpacing"/>
      </w:pPr>
      <w:r>
        <w:tab/>
      </w:r>
      <w:r w:rsidRPr="00EA0969">
        <w:rPr>
          <w:i/>
        </w:rPr>
        <w:t>EF</w:t>
      </w:r>
      <w:r>
        <w:rPr>
          <w:i/>
          <w:vertAlign w:val="subscript"/>
        </w:rPr>
        <w:t>PM</w:t>
      </w:r>
      <w:r w:rsidRPr="00EA0969">
        <w:rPr>
          <w:i/>
          <w:vertAlign w:val="subscript"/>
        </w:rPr>
        <w:t>25</w:t>
      </w:r>
      <w:proofErr w:type="gramStart"/>
      <w:r>
        <w:rPr>
          <w:i/>
          <w:vertAlign w:val="subscript"/>
        </w:rPr>
        <w:t>,m</w:t>
      </w:r>
      <w:proofErr w:type="gramEnd"/>
      <w:r>
        <w:tab/>
        <w:t>=</w:t>
      </w:r>
      <w:r>
        <w:tab/>
      </w:r>
      <w:r w:rsidRPr="006B28FE">
        <w:t>PM</w:t>
      </w:r>
      <w:r>
        <w:t>25-PRI</w:t>
      </w:r>
      <w:r w:rsidRPr="006B28FE">
        <w:t xml:space="preserve"> metallic ore m</w:t>
      </w:r>
      <w:r>
        <w:t>ining emissions factor, in lbs.</w:t>
      </w:r>
      <w:r w:rsidRPr="006B28FE">
        <w:t>/ton</w:t>
      </w:r>
    </w:p>
    <w:p w14:paraId="39597234" w14:textId="77777777" w:rsidR="00153D5E" w:rsidRPr="006B28FE" w:rsidRDefault="00153D5E" w:rsidP="00153D5E">
      <w:pPr>
        <w:pStyle w:val="NoSpacing"/>
      </w:pPr>
      <w:r>
        <w:tab/>
      </w:r>
      <w:r w:rsidRPr="00EA0969">
        <w:rPr>
          <w:i/>
        </w:rPr>
        <w:t>EF</w:t>
      </w:r>
      <w:r>
        <w:rPr>
          <w:i/>
          <w:vertAlign w:val="subscript"/>
        </w:rPr>
        <w:t>PM</w:t>
      </w:r>
      <w:r w:rsidRPr="00EA0969">
        <w:rPr>
          <w:i/>
          <w:vertAlign w:val="subscript"/>
        </w:rPr>
        <w:t>10</w:t>
      </w:r>
      <w:proofErr w:type="gramStart"/>
      <w:r>
        <w:rPr>
          <w:i/>
          <w:vertAlign w:val="subscript"/>
        </w:rPr>
        <w:t>,m</w:t>
      </w:r>
      <w:proofErr w:type="gramEnd"/>
      <w:r>
        <w:tab/>
        <w:t>=</w:t>
      </w:r>
      <w:r>
        <w:tab/>
        <w:t>PM10-PRI</w:t>
      </w:r>
      <w:r w:rsidRPr="006B28FE">
        <w:t xml:space="preserve"> metallic ore m</w:t>
      </w:r>
      <w:r>
        <w:t>ining emissions factor, in lbs.</w:t>
      </w:r>
      <w:r w:rsidRPr="006B28FE">
        <w:t>/ton</w:t>
      </w:r>
    </w:p>
    <w:p w14:paraId="12E14017" w14:textId="77777777" w:rsidR="006A3608" w:rsidRDefault="006A3608" w:rsidP="00720DF7">
      <w:pPr>
        <w:rPr>
          <w:szCs w:val="20"/>
        </w:rPr>
      </w:pPr>
    </w:p>
    <w:p w14:paraId="2DB9F3C8" w14:textId="77777777" w:rsidR="00720DF7" w:rsidRPr="00B86742" w:rsidRDefault="00720DF7" w:rsidP="00A66885">
      <w:pPr>
        <w:pStyle w:val="Heading2"/>
      </w:pPr>
      <w:r w:rsidRPr="00B86742">
        <w:t>Non-Metallic Ore Mining</w:t>
      </w:r>
    </w:p>
    <w:p w14:paraId="0B561843" w14:textId="77777777" w:rsidR="00EF7D35" w:rsidRDefault="00EF7D35" w:rsidP="00EF7D35">
      <w:pPr>
        <w:rPr>
          <w:szCs w:val="20"/>
        </w:rPr>
      </w:pPr>
      <w:r w:rsidRPr="00B86742">
        <w:rPr>
          <w:szCs w:val="20"/>
        </w:rPr>
        <w:t>The emissions factor for non-metallic ore mining includes overburden removal, drilling and blasting, and loading and unloading activities. The emissions factor is based on western surface coal mining operations</w:t>
      </w:r>
      <w:r w:rsidRPr="00EF7D35">
        <w:rPr>
          <w:szCs w:val="20"/>
        </w:rPr>
        <w:t xml:space="preserve"> </w:t>
      </w:r>
      <w:r w:rsidRPr="00B86742">
        <w:rPr>
          <w:szCs w:val="20"/>
        </w:rPr>
        <w:t>from AP-42</w:t>
      </w:r>
      <w:bookmarkStart w:id="15" w:name="_Ref479330982"/>
      <w:r>
        <w:rPr>
          <w:rStyle w:val="EndnoteReference"/>
          <w:szCs w:val="20"/>
        </w:rPr>
        <w:endnoteReference w:id="8"/>
      </w:r>
      <w:bookmarkEnd w:id="15"/>
      <w:r w:rsidRPr="00B86742">
        <w:rPr>
          <w:szCs w:val="20"/>
        </w:rPr>
        <w:t xml:space="preserve"> </w:t>
      </w:r>
      <w:r>
        <w:rPr>
          <w:szCs w:val="20"/>
        </w:rPr>
        <w:t>and a PM</w:t>
      </w:r>
      <w:r w:rsidRPr="00DA6572">
        <w:rPr>
          <w:szCs w:val="20"/>
        </w:rPr>
        <w:t>10</w:t>
      </w:r>
      <w:r>
        <w:rPr>
          <w:szCs w:val="20"/>
        </w:rPr>
        <w:t>/TSP ratio</w:t>
      </w:r>
      <w:r w:rsidRPr="00B86742">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153D5E" w14:paraId="0833636D" w14:textId="77777777" w:rsidTr="002B5506">
        <w:tc>
          <w:tcPr>
            <w:tcW w:w="8748" w:type="dxa"/>
          </w:tcPr>
          <w:p w14:paraId="3A5787EC" w14:textId="77777777" w:rsidR="00153D5E"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PM10,nm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v</m:t>
                    </m:r>
                  </m:sub>
                </m:sSub>
                <m:r>
                  <w:rPr>
                    <w:rFonts w:ascii="Cambria Math" w:hAnsi="Cambria Math"/>
                    <w:szCs w:val="20"/>
                  </w:rPr>
                  <m:t>+</m:t>
                </m:r>
                <m:d>
                  <m:dPr>
                    <m:ctrlPr>
                      <w:rPr>
                        <w:rFonts w:ascii="Cambria Math" w:hAnsi="Cambria Math"/>
                        <w:i/>
                        <w:szCs w:val="20"/>
                      </w:rPr>
                    </m:ctrlPr>
                  </m:dPr>
                  <m:e>
                    <m:r>
                      <w:rPr>
                        <w:rFonts w:ascii="Cambria Math" w:hAnsi="Cambria Math"/>
                        <w:szCs w:val="20"/>
                      </w:rPr>
                      <m:t>D×</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r</m:t>
                        </m:r>
                      </m:sub>
                    </m:sSub>
                  </m:e>
                </m:d>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a</m:t>
                    </m:r>
                  </m:sub>
                </m:sSub>
                <m:r>
                  <w:rPr>
                    <w:rFonts w:ascii="Cambria Math" w:hAnsi="Cambria Math"/>
                    <w:szCs w:val="20"/>
                  </w:rPr>
                  <m:t>+(0.5×</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EF</m:t>
                        </m:r>
                      </m:e>
                      <m:sub>
                        <m:r>
                          <w:rPr>
                            <w:rFonts w:ascii="Cambria Math" w:hAnsi="Cambria Math"/>
                            <w:szCs w:val="20"/>
                          </w:rPr>
                          <m:t>e</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t</m:t>
                        </m:r>
                      </m:sub>
                    </m:sSub>
                  </m:e>
                </m:d>
                <m:r>
                  <w:rPr>
                    <w:rFonts w:ascii="Cambria Math" w:hAnsi="Cambria Math"/>
                    <w:szCs w:val="20"/>
                  </w:rPr>
                  <m:t>)</m:t>
                </m:r>
              </m:oMath>
            </m:oMathPara>
          </w:p>
        </w:tc>
        <w:tc>
          <w:tcPr>
            <w:tcW w:w="828" w:type="dxa"/>
            <w:vAlign w:val="center"/>
          </w:tcPr>
          <w:p w14:paraId="5A243446" w14:textId="77777777" w:rsidR="00153D5E" w:rsidRPr="00271697" w:rsidRDefault="00153D5E" w:rsidP="00153D5E">
            <w:pPr>
              <w:pStyle w:val="ListParagraph"/>
              <w:numPr>
                <w:ilvl w:val="0"/>
                <w:numId w:val="29"/>
              </w:numPr>
              <w:tabs>
                <w:tab w:val="left" w:pos="0"/>
                <w:tab w:val="center" w:pos="4320"/>
                <w:tab w:val="right" w:pos="8467"/>
              </w:tabs>
              <w:spacing w:before="60" w:after="60"/>
              <w:jc w:val="right"/>
              <w:rPr>
                <w:szCs w:val="20"/>
              </w:rPr>
            </w:pPr>
          </w:p>
        </w:tc>
      </w:tr>
    </w:tbl>
    <w:p w14:paraId="1B015392" w14:textId="77777777" w:rsidR="00DA6572" w:rsidRPr="006B28FE" w:rsidRDefault="00DA6572" w:rsidP="00DA6572">
      <w:pPr>
        <w:rPr>
          <w:szCs w:val="20"/>
        </w:rPr>
      </w:pPr>
      <w:r w:rsidRPr="006B28FE">
        <w:rPr>
          <w:szCs w:val="20"/>
        </w:rPr>
        <w:t>Where:</w:t>
      </w:r>
    </w:p>
    <w:p w14:paraId="01025F79" w14:textId="77777777" w:rsidR="00DA6572" w:rsidRPr="006B28FE" w:rsidRDefault="00DA6572" w:rsidP="00DA6572">
      <w:pPr>
        <w:pStyle w:val="NoSpacing"/>
        <w:tabs>
          <w:tab w:val="clear" w:pos="1296"/>
          <w:tab w:val="clear" w:pos="1584"/>
          <w:tab w:val="left" w:pos="1440"/>
          <w:tab w:val="left" w:pos="1800"/>
        </w:tabs>
        <w:ind w:left="1800" w:hanging="1800"/>
      </w:pPr>
      <w:r>
        <w:rPr>
          <w:i/>
        </w:rPr>
        <w:tab/>
      </w:r>
      <w:r w:rsidRPr="00EA0969">
        <w:rPr>
          <w:i/>
        </w:rPr>
        <w:t>EF</w:t>
      </w:r>
      <w:r>
        <w:rPr>
          <w:i/>
          <w:vertAlign w:val="subscript"/>
        </w:rPr>
        <w:t>PM1</w:t>
      </w:r>
      <w:r w:rsidRPr="00EA0969">
        <w:rPr>
          <w:i/>
          <w:vertAlign w:val="subscript"/>
        </w:rPr>
        <w:t>0</w:t>
      </w:r>
      <w:proofErr w:type="gramStart"/>
      <w:r>
        <w:rPr>
          <w:i/>
          <w:vertAlign w:val="subscript"/>
        </w:rPr>
        <w:t>,nm</w:t>
      </w:r>
      <w:proofErr w:type="gramEnd"/>
      <w:r>
        <w:rPr>
          <w:i/>
          <w:vertAlign w:val="subscript"/>
        </w:rPr>
        <w:tab/>
      </w:r>
      <w:r w:rsidRPr="006B28FE">
        <w:t>=</w:t>
      </w:r>
      <w:r>
        <w:tab/>
      </w:r>
      <w:r w:rsidRPr="006B28FE">
        <w:t>PM</w:t>
      </w:r>
      <w:r w:rsidRPr="00DA6572">
        <w:t>10</w:t>
      </w:r>
      <w:r>
        <w:t>-PRI</w:t>
      </w:r>
      <w:r w:rsidRPr="006B28FE">
        <w:t xml:space="preserve"> non-metallic ore mining emissions factor, in </w:t>
      </w:r>
      <w:r>
        <w:t>lbs./ton</w:t>
      </w:r>
      <w:r w:rsidRPr="006B28FE">
        <w:t xml:space="preserve"> </w:t>
      </w:r>
    </w:p>
    <w:p w14:paraId="1433EFC7" w14:textId="77777777" w:rsidR="00DA6572" w:rsidRPr="006B28FE" w:rsidRDefault="00DA6572" w:rsidP="00DA6572">
      <w:pPr>
        <w:pStyle w:val="NoSpacing"/>
        <w:tabs>
          <w:tab w:val="clear" w:pos="1296"/>
          <w:tab w:val="clear" w:pos="1584"/>
          <w:tab w:val="left" w:pos="1440"/>
          <w:tab w:val="left" w:pos="1800"/>
        </w:tabs>
        <w:ind w:left="1800" w:hanging="1800"/>
      </w:pPr>
      <w:r>
        <w:rPr>
          <w:i/>
        </w:rPr>
        <w:tab/>
      </w:r>
      <w:proofErr w:type="spellStart"/>
      <w:r w:rsidRPr="00EA0969">
        <w:rPr>
          <w:i/>
        </w:rPr>
        <w:t>EF</w:t>
      </w:r>
      <w:r w:rsidRPr="00EA0969">
        <w:rPr>
          <w:i/>
          <w:vertAlign w:val="subscript"/>
        </w:rPr>
        <w:t>v</w:t>
      </w:r>
      <w:proofErr w:type="spellEnd"/>
      <w:r>
        <w:rPr>
          <w:i/>
          <w:vertAlign w:val="subscript"/>
        </w:rPr>
        <w:tab/>
      </w:r>
      <w:r>
        <w:t>=</w:t>
      </w:r>
      <w:r>
        <w:tab/>
      </w:r>
      <w:r w:rsidRPr="006B28FE">
        <w:t>PM</w:t>
      </w:r>
      <w:r w:rsidRPr="00DA6572">
        <w:t>10</w:t>
      </w:r>
      <w:r>
        <w:t>-PRI</w:t>
      </w:r>
      <w:r w:rsidRPr="006B28FE">
        <w:t xml:space="preserve"> open pit overburden removal </w:t>
      </w:r>
      <w:r>
        <w:t>emissions factor</w:t>
      </w:r>
      <w:r w:rsidRPr="006B28FE">
        <w:t xml:space="preserve"> at western surface coal mining operations, in </w:t>
      </w:r>
      <w:r>
        <w:t>lbs</w:t>
      </w:r>
      <w:proofErr w:type="gramStart"/>
      <w:r>
        <w:t>./</w:t>
      </w:r>
      <w:proofErr w:type="gramEnd"/>
      <w:r>
        <w:t>ton</w:t>
      </w:r>
    </w:p>
    <w:p w14:paraId="7FB3DDC0" w14:textId="77777777" w:rsidR="00DA6572" w:rsidRPr="006B28FE" w:rsidRDefault="00DA6572" w:rsidP="00DA6572">
      <w:pPr>
        <w:pStyle w:val="NoSpacing"/>
        <w:tabs>
          <w:tab w:val="clear" w:pos="1296"/>
          <w:tab w:val="clear" w:pos="1584"/>
          <w:tab w:val="left" w:pos="1440"/>
          <w:tab w:val="left" w:pos="1800"/>
        </w:tabs>
        <w:ind w:left="1800" w:hanging="1800"/>
      </w:pPr>
      <w:r>
        <w:rPr>
          <w:i/>
        </w:rPr>
        <w:tab/>
      </w:r>
      <w:r w:rsidRPr="00EA0969">
        <w:rPr>
          <w:i/>
        </w:rPr>
        <w:t>D</w:t>
      </w:r>
      <w:r>
        <w:rPr>
          <w:i/>
        </w:rPr>
        <w:tab/>
      </w:r>
      <w:r>
        <w:t>=</w:t>
      </w:r>
      <w:r>
        <w:tab/>
      </w:r>
      <w:r w:rsidRPr="006B28FE">
        <w:t>fraction of total ore production that is obtained by blasting at non-metallic ore mines</w:t>
      </w:r>
    </w:p>
    <w:p w14:paraId="086BCD14" w14:textId="77777777" w:rsidR="00DA6572" w:rsidRPr="006B28FE" w:rsidRDefault="00DA6572" w:rsidP="00DA6572">
      <w:pPr>
        <w:pStyle w:val="NoSpacing"/>
        <w:tabs>
          <w:tab w:val="clear" w:pos="1296"/>
          <w:tab w:val="clear" w:pos="1584"/>
          <w:tab w:val="left" w:pos="1440"/>
          <w:tab w:val="left" w:pos="1800"/>
        </w:tabs>
        <w:ind w:left="1800" w:hanging="1800"/>
      </w:pPr>
      <w:r>
        <w:rPr>
          <w:i/>
        </w:rPr>
        <w:tab/>
      </w:r>
      <w:proofErr w:type="spellStart"/>
      <w:r w:rsidRPr="00EA0969">
        <w:rPr>
          <w:i/>
        </w:rPr>
        <w:t>EF</w:t>
      </w:r>
      <w:r w:rsidRPr="00EA0969">
        <w:rPr>
          <w:i/>
          <w:vertAlign w:val="subscript"/>
        </w:rPr>
        <w:t>r</w:t>
      </w:r>
      <w:proofErr w:type="spellEnd"/>
      <w:r>
        <w:rPr>
          <w:i/>
          <w:vertAlign w:val="subscript"/>
        </w:rPr>
        <w:tab/>
      </w:r>
      <w:r>
        <w:t>=</w:t>
      </w:r>
      <w:r>
        <w:tab/>
      </w:r>
      <w:r w:rsidRPr="006B28FE">
        <w:t>PM</w:t>
      </w:r>
      <w:r w:rsidRPr="00DA6572">
        <w:t>10</w:t>
      </w:r>
      <w:r>
        <w:t>-PRI</w:t>
      </w:r>
      <w:r w:rsidRPr="006B28FE">
        <w:t xml:space="preserve"> drilling/blasting </w:t>
      </w:r>
      <w:r>
        <w:t>emissions factor</w:t>
      </w:r>
      <w:r w:rsidRPr="006B28FE">
        <w:t xml:space="preserve"> at western surface coal mining operations, in </w:t>
      </w:r>
      <w:r>
        <w:t>lbs</w:t>
      </w:r>
      <w:proofErr w:type="gramStart"/>
      <w:r>
        <w:t>./</w:t>
      </w:r>
      <w:proofErr w:type="gramEnd"/>
      <w:r>
        <w:t>ton</w:t>
      </w:r>
    </w:p>
    <w:p w14:paraId="5A212C2E" w14:textId="77777777" w:rsidR="00DA6572" w:rsidRPr="006B28FE" w:rsidRDefault="00DA6572" w:rsidP="00DA6572">
      <w:pPr>
        <w:pStyle w:val="NoSpacing"/>
        <w:tabs>
          <w:tab w:val="clear" w:pos="1296"/>
          <w:tab w:val="clear" w:pos="1584"/>
          <w:tab w:val="left" w:pos="1440"/>
          <w:tab w:val="left" w:pos="1800"/>
        </w:tabs>
        <w:ind w:left="1800" w:hanging="1800"/>
      </w:pPr>
      <w:r>
        <w:rPr>
          <w:i/>
        </w:rPr>
        <w:tab/>
      </w:r>
      <w:proofErr w:type="spellStart"/>
      <w:r w:rsidRPr="00EA0969">
        <w:rPr>
          <w:i/>
        </w:rPr>
        <w:t>EF</w:t>
      </w:r>
      <w:r w:rsidRPr="00EA0969">
        <w:rPr>
          <w:i/>
          <w:vertAlign w:val="subscript"/>
        </w:rPr>
        <w:t>a</w:t>
      </w:r>
      <w:proofErr w:type="spellEnd"/>
      <w:r>
        <w:rPr>
          <w:i/>
          <w:vertAlign w:val="subscript"/>
        </w:rPr>
        <w:tab/>
      </w:r>
      <w:r>
        <w:t>=</w:t>
      </w:r>
      <w:r>
        <w:tab/>
      </w:r>
      <w:r w:rsidRPr="006B28FE">
        <w:t>PM</w:t>
      </w:r>
      <w:r w:rsidRPr="00DA6572">
        <w:t>10</w:t>
      </w:r>
      <w:r>
        <w:t>-PRI</w:t>
      </w:r>
      <w:r w:rsidRPr="006B28FE">
        <w:t xml:space="preserve"> loading </w:t>
      </w:r>
      <w:r>
        <w:t>emissions factor</w:t>
      </w:r>
      <w:r w:rsidRPr="006B28FE">
        <w:t xml:space="preserve"> at western surface coal mining operations, in </w:t>
      </w:r>
      <w:r>
        <w:t>lbs</w:t>
      </w:r>
      <w:proofErr w:type="gramStart"/>
      <w:r>
        <w:t>./</w:t>
      </w:r>
      <w:proofErr w:type="gramEnd"/>
      <w:r>
        <w:t>ton</w:t>
      </w:r>
    </w:p>
    <w:p w14:paraId="7713FC10" w14:textId="77777777" w:rsidR="00DA6572" w:rsidRPr="006B28FE" w:rsidRDefault="00DA6572" w:rsidP="00DA6572">
      <w:pPr>
        <w:pStyle w:val="NoSpacing"/>
        <w:tabs>
          <w:tab w:val="clear" w:pos="1296"/>
          <w:tab w:val="clear" w:pos="1584"/>
          <w:tab w:val="left" w:pos="1440"/>
          <w:tab w:val="left" w:pos="1800"/>
        </w:tabs>
        <w:ind w:left="1800" w:hanging="1800"/>
      </w:pPr>
      <w:r>
        <w:rPr>
          <w:i/>
        </w:rPr>
        <w:tab/>
      </w:r>
      <w:proofErr w:type="spellStart"/>
      <w:r w:rsidRPr="00EA0969">
        <w:rPr>
          <w:i/>
        </w:rPr>
        <w:t>EF</w:t>
      </w:r>
      <w:r w:rsidRPr="00EA0969">
        <w:rPr>
          <w:i/>
          <w:vertAlign w:val="subscript"/>
        </w:rPr>
        <w:t>e</w:t>
      </w:r>
      <w:proofErr w:type="spellEnd"/>
      <w:r>
        <w:t xml:space="preserve"> </w:t>
      </w:r>
      <w:r>
        <w:tab/>
        <w:t>=</w:t>
      </w:r>
      <w:r>
        <w:tab/>
      </w:r>
      <w:r w:rsidRPr="006B28FE">
        <w:t>PM</w:t>
      </w:r>
      <w:r w:rsidRPr="00DA6572">
        <w:t>10</w:t>
      </w:r>
      <w:r>
        <w:t>-PRI</w:t>
      </w:r>
      <w:r w:rsidRPr="006B28FE">
        <w:t xml:space="preserve"> truck unloading: end dump-coal </w:t>
      </w:r>
      <w:r>
        <w:t>emissions factor</w:t>
      </w:r>
      <w:r w:rsidRPr="006B28FE">
        <w:t xml:space="preserve"> at western surface coal mining operations, in </w:t>
      </w:r>
      <w:r>
        <w:t>lbs</w:t>
      </w:r>
      <w:proofErr w:type="gramStart"/>
      <w:r>
        <w:t>./</w:t>
      </w:r>
      <w:proofErr w:type="gramEnd"/>
      <w:r>
        <w:t>ton</w:t>
      </w:r>
    </w:p>
    <w:p w14:paraId="54752649" w14:textId="77777777" w:rsidR="00DA6572" w:rsidRPr="006B28FE" w:rsidRDefault="00DA6572" w:rsidP="00162E55">
      <w:pPr>
        <w:pStyle w:val="NoSpacing"/>
        <w:tabs>
          <w:tab w:val="clear" w:pos="1296"/>
          <w:tab w:val="clear" w:pos="1584"/>
          <w:tab w:val="left" w:pos="1440"/>
          <w:tab w:val="left" w:pos="1800"/>
        </w:tabs>
        <w:spacing w:after="200"/>
        <w:ind w:left="1800" w:hanging="1800"/>
      </w:pPr>
      <w:r>
        <w:rPr>
          <w:i/>
        </w:rPr>
        <w:tab/>
      </w:r>
      <w:proofErr w:type="spellStart"/>
      <w:r w:rsidRPr="00025A43">
        <w:rPr>
          <w:i/>
        </w:rPr>
        <w:t>EF</w:t>
      </w:r>
      <w:r w:rsidRPr="00025A43">
        <w:rPr>
          <w:i/>
          <w:vertAlign w:val="subscript"/>
        </w:rPr>
        <w:t>t</w:t>
      </w:r>
      <w:proofErr w:type="spellEnd"/>
      <w:r w:rsidRPr="00025A43">
        <w:rPr>
          <w:i/>
          <w:vertAlign w:val="subscript"/>
        </w:rPr>
        <w:tab/>
      </w:r>
      <w:r>
        <w:t>=</w:t>
      </w:r>
      <w:r>
        <w:tab/>
      </w:r>
      <w:r w:rsidRPr="006B28FE">
        <w:t>PM</w:t>
      </w:r>
      <w:r w:rsidRPr="00DA6572">
        <w:t>10</w:t>
      </w:r>
      <w:r>
        <w:t>-PRI</w:t>
      </w:r>
      <w:r w:rsidRPr="006B28FE">
        <w:t xml:space="preserve"> truck unloading: bottom dump-coal </w:t>
      </w:r>
      <w:r>
        <w:t>emissions factor</w:t>
      </w:r>
      <w:r w:rsidRPr="006B28FE">
        <w:t xml:space="preserve"> at western surface coal mining operations, in </w:t>
      </w:r>
      <w:r>
        <w:t>lbs</w:t>
      </w:r>
      <w:proofErr w:type="gramStart"/>
      <w:r>
        <w:t>./</w:t>
      </w:r>
      <w:proofErr w:type="gramEnd"/>
      <w:r>
        <w:t>ton</w:t>
      </w:r>
    </w:p>
    <w:p w14:paraId="20147C88" w14:textId="77777777" w:rsidR="00DA6572" w:rsidRDefault="00DA6572" w:rsidP="00DA6572">
      <w:pPr>
        <w:rPr>
          <w:szCs w:val="20"/>
        </w:rPr>
      </w:pPr>
      <w:r w:rsidRPr="00B86742">
        <w:rPr>
          <w:szCs w:val="20"/>
        </w:rPr>
        <w:t>Applying the TSP emissions factors developed for western surface coal mining operations from AP-42</w:t>
      </w:r>
      <w:r w:rsidRPr="00321776">
        <w:rPr>
          <w:szCs w:val="20"/>
          <w:vertAlign w:val="superscript"/>
        </w:rPr>
        <w:fldChar w:fldCharType="begin"/>
      </w:r>
      <w:r w:rsidRPr="00321776">
        <w:rPr>
          <w:szCs w:val="20"/>
          <w:vertAlign w:val="superscript"/>
        </w:rPr>
        <w:instrText xml:space="preserve"> NOTEREF _Ref479330982 \h  \* MERGEFORMAT </w:instrText>
      </w:r>
      <w:r w:rsidRPr="00321776">
        <w:rPr>
          <w:szCs w:val="20"/>
          <w:vertAlign w:val="superscript"/>
        </w:rPr>
      </w:r>
      <w:r w:rsidRPr="00321776">
        <w:rPr>
          <w:szCs w:val="20"/>
          <w:vertAlign w:val="superscript"/>
        </w:rPr>
        <w:fldChar w:fldCharType="separate"/>
      </w:r>
      <w:r w:rsidR="00700556">
        <w:rPr>
          <w:szCs w:val="20"/>
          <w:vertAlign w:val="superscript"/>
        </w:rPr>
        <w:t>7</w:t>
      </w:r>
      <w:r w:rsidRPr="00321776">
        <w:rPr>
          <w:szCs w:val="20"/>
          <w:vertAlign w:val="superscript"/>
        </w:rPr>
        <w:fldChar w:fldCharType="end"/>
      </w:r>
      <w:r w:rsidRPr="00B86742">
        <w:rPr>
          <w:szCs w:val="20"/>
        </w:rPr>
        <w:t xml:space="preserve"> and a PM</w:t>
      </w:r>
      <w:r w:rsidRPr="00DA6572">
        <w:rPr>
          <w:szCs w:val="20"/>
        </w:rPr>
        <w:t>10</w:t>
      </w:r>
      <w:r w:rsidRPr="00B86742">
        <w:rPr>
          <w:szCs w:val="20"/>
        </w:rPr>
        <w:t>/TSP ratio of 0.4</w:t>
      </w:r>
      <w:bookmarkStart w:id="16" w:name="_Ref479333058"/>
      <w:r>
        <w:rPr>
          <w:rStyle w:val="EndnoteReference"/>
          <w:szCs w:val="20"/>
        </w:rPr>
        <w:endnoteReference w:id="9"/>
      </w:r>
      <w:bookmarkEnd w:id="16"/>
      <w:r w:rsidRPr="00B86742">
        <w:rPr>
          <w:szCs w:val="20"/>
        </w:rPr>
        <w:t xml:space="preserve"> yields the following non-metallic ore mining emissions factor: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2"/>
        <w:gridCol w:w="1258"/>
      </w:tblGrid>
      <w:tr w:rsidR="00DA6572" w14:paraId="6FF027B5" w14:textId="77777777" w:rsidTr="002B5506">
        <w:tc>
          <w:tcPr>
            <w:tcW w:w="8748" w:type="dxa"/>
          </w:tcPr>
          <w:p w14:paraId="6D29A897" w14:textId="77777777" w:rsidR="00DA6572" w:rsidRDefault="00DA6572" w:rsidP="00DA6572">
            <w:pPr>
              <w:tabs>
                <w:tab w:val="left" w:pos="0"/>
                <w:tab w:val="center" w:pos="4320"/>
                <w:tab w:val="right" w:pos="8467"/>
              </w:tabs>
              <w:spacing w:before="60" w:after="60"/>
              <w:jc w:val="center"/>
              <w:rPr>
                <w:szCs w:val="20"/>
              </w:rPr>
            </w:pPr>
            <m:oMathPara>
              <m:oMath>
                <m:r>
                  <m:rPr>
                    <m:sty m:val="p"/>
                  </m:rPr>
                  <w:rPr>
                    <w:rFonts w:ascii="Cambria Math" w:hAnsi="Cambria Math"/>
                    <w:szCs w:val="20"/>
                  </w:rPr>
                  <w:lastRenderedPageBreak/>
                  <m:t xml:space="preserve">0.293 </m:t>
                </m:r>
                <m:r>
                  <w:rPr>
                    <w:rFonts w:ascii="Cambria Math" w:hAnsi="Cambria Math"/>
                    <w:szCs w:val="20"/>
                  </w:rPr>
                  <m:t>lbs./ton =0</m:t>
                </m:r>
                <m:r>
                  <m:rPr>
                    <m:sty m:val="p"/>
                  </m:rPr>
                  <w:rPr>
                    <w:rFonts w:ascii="Cambria Math" w:hAnsi="Cambria Math"/>
                    <w:szCs w:val="20"/>
                  </w:rPr>
                  <m:t>.225 + (0.61542 × 0.00005) + 0.05 + 0.5 (0.0035 + 0.033)</m:t>
                </m:r>
              </m:oMath>
            </m:oMathPara>
          </w:p>
        </w:tc>
        <w:tc>
          <w:tcPr>
            <w:tcW w:w="828" w:type="dxa"/>
            <w:vAlign w:val="center"/>
          </w:tcPr>
          <w:p w14:paraId="6F272D79" w14:textId="77777777" w:rsidR="00DA6572" w:rsidRPr="00271697" w:rsidRDefault="00DA6572" w:rsidP="00DA6572">
            <w:pPr>
              <w:pStyle w:val="ListParagraph"/>
              <w:tabs>
                <w:tab w:val="left" w:pos="0"/>
                <w:tab w:val="center" w:pos="4320"/>
                <w:tab w:val="right" w:pos="8467"/>
              </w:tabs>
              <w:spacing w:before="60" w:after="60"/>
              <w:jc w:val="center"/>
              <w:rPr>
                <w:szCs w:val="20"/>
              </w:rPr>
            </w:pPr>
            <w:r>
              <w:rPr>
                <w:szCs w:val="20"/>
              </w:rPr>
              <w:t>(7a)</w:t>
            </w:r>
          </w:p>
        </w:tc>
      </w:tr>
    </w:tbl>
    <w:p w14:paraId="20EE74CB" w14:textId="77777777" w:rsidR="0024417D" w:rsidRDefault="0024417D" w:rsidP="00153D5E">
      <w:pPr>
        <w:rPr>
          <w:szCs w:val="20"/>
        </w:rPr>
      </w:pPr>
    </w:p>
    <w:p w14:paraId="59331DAB" w14:textId="77777777" w:rsidR="00153D5E" w:rsidRPr="00A81090" w:rsidRDefault="00153D5E" w:rsidP="00153D5E">
      <w:pPr>
        <w:rPr>
          <w:szCs w:val="20"/>
        </w:rPr>
      </w:pPr>
      <w:r>
        <w:rPr>
          <w:szCs w:val="20"/>
        </w:rPr>
        <w:t>The PM25-PRI emissions factor is assumed to be 12.5% of the PM10-PRI emissions factor.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0"/>
        <w:gridCol w:w="820"/>
      </w:tblGrid>
      <w:tr w:rsidR="00153D5E" w14:paraId="17D92453" w14:textId="77777777" w:rsidTr="002B5506">
        <w:tc>
          <w:tcPr>
            <w:tcW w:w="8748" w:type="dxa"/>
          </w:tcPr>
          <w:p w14:paraId="5EA10710" w14:textId="77777777" w:rsidR="00153D5E"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PM25,nm</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10,nm</m:t>
                    </m:r>
                  </m:sub>
                </m:sSub>
                <m:r>
                  <w:rPr>
                    <w:rFonts w:ascii="Cambria Math" w:hAnsi="Cambria Math"/>
                    <w:szCs w:val="20"/>
                  </w:rPr>
                  <m:t>×0.125</m:t>
                </m:r>
              </m:oMath>
            </m:oMathPara>
          </w:p>
        </w:tc>
        <w:tc>
          <w:tcPr>
            <w:tcW w:w="828" w:type="dxa"/>
            <w:vAlign w:val="center"/>
          </w:tcPr>
          <w:p w14:paraId="213EAE54" w14:textId="77777777" w:rsidR="00153D5E" w:rsidRPr="00271697" w:rsidRDefault="00153D5E" w:rsidP="00DA6572">
            <w:pPr>
              <w:pStyle w:val="ListParagraph"/>
              <w:numPr>
                <w:ilvl w:val="0"/>
                <w:numId w:val="29"/>
              </w:numPr>
              <w:tabs>
                <w:tab w:val="left" w:pos="0"/>
                <w:tab w:val="center" w:pos="4320"/>
                <w:tab w:val="right" w:pos="8467"/>
              </w:tabs>
              <w:spacing w:before="60" w:after="60"/>
              <w:jc w:val="right"/>
              <w:rPr>
                <w:szCs w:val="20"/>
              </w:rPr>
            </w:pPr>
          </w:p>
        </w:tc>
      </w:tr>
      <w:tr w:rsidR="00153D5E" w14:paraId="257A5DFC" w14:textId="77777777" w:rsidTr="002B5506">
        <w:tc>
          <w:tcPr>
            <w:tcW w:w="8748" w:type="dxa"/>
          </w:tcPr>
          <w:p w14:paraId="02E4DAEF" w14:textId="77777777" w:rsidR="00153D5E" w:rsidRDefault="00DA6572" w:rsidP="00DA6572">
            <w:pPr>
              <w:tabs>
                <w:tab w:val="left" w:pos="0"/>
                <w:tab w:val="center" w:pos="4320"/>
                <w:tab w:val="right" w:pos="8467"/>
              </w:tabs>
              <w:spacing w:before="60" w:after="60"/>
              <w:rPr>
                <w:szCs w:val="20"/>
              </w:rPr>
            </w:pPr>
            <m:oMathPara>
              <m:oMath>
                <m:r>
                  <w:rPr>
                    <w:rFonts w:ascii="Cambria Math" w:hAnsi="Cambria Math"/>
                    <w:szCs w:val="20"/>
                  </w:rPr>
                  <m:t>0.037 lbs/ton=0.293×0.125</m:t>
                </m:r>
              </m:oMath>
            </m:oMathPara>
          </w:p>
        </w:tc>
        <w:tc>
          <w:tcPr>
            <w:tcW w:w="828" w:type="dxa"/>
            <w:vAlign w:val="center"/>
          </w:tcPr>
          <w:p w14:paraId="0A6BFD69" w14:textId="77777777" w:rsidR="00153D5E" w:rsidRPr="00DA6572" w:rsidRDefault="00DA6572" w:rsidP="00DA6572">
            <w:pPr>
              <w:tabs>
                <w:tab w:val="left" w:pos="0"/>
                <w:tab w:val="center" w:pos="4320"/>
                <w:tab w:val="right" w:pos="8467"/>
              </w:tabs>
              <w:spacing w:before="60" w:after="60"/>
              <w:rPr>
                <w:szCs w:val="20"/>
              </w:rPr>
            </w:pPr>
            <w:r>
              <w:rPr>
                <w:szCs w:val="20"/>
              </w:rPr>
              <w:t xml:space="preserve">     </w:t>
            </w:r>
            <w:r w:rsidRPr="00DA6572">
              <w:rPr>
                <w:szCs w:val="20"/>
              </w:rPr>
              <w:t>(8a)</w:t>
            </w:r>
          </w:p>
        </w:tc>
      </w:tr>
    </w:tbl>
    <w:p w14:paraId="57D08C15" w14:textId="77777777" w:rsidR="00153D5E" w:rsidRDefault="00DA6572" w:rsidP="00EF7D35">
      <w:pPr>
        <w:tabs>
          <w:tab w:val="left" w:pos="0"/>
          <w:tab w:val="center" w:pos="4320"/>
          <w:tab w:val="right" w:pos="8467"/>
        </w:tabs>
        <w:rPr>
          <w:szCs w:val="20"/>
        </w:rPr>
      </w:pPr>
      <w:r>
        <w:rPr>
          <w:szCs w:val="20"/>
        </w:rPr>
        <w:t>Where:</w:t>
      </w:r>
    </w:p>
    <w:p w14:paraId="3CD2CD56" w14:textId="77777777" w:rsidR="0024417D" w:rsidRPr="006B28FE" w:rsidRDefault="0024417D" w:rsidP="0024417D">
      <w:pPr>
        <w:pStyle w:val="NoSpacing"/>
        <w:tabs>
          <w:tab w:val="clear" w:pos="1296"/>
          <w:tab w:val="clear" w:pos="1584"/>
          <w:tab w:val="left" w:pos="1440"/>
          <w:tab w:val="left" w:pos="1800"/>
        </w:tabs>
        <w:ind w:left="1800" w:hanging="1800"/>
      </w:pPr>
      <w:r>
        <w:rPr>
          <w:i/>
        </w:rPr>
        <w:tab/>
      </w:r>
      <w:r w:rsidRPr="00EA0969">
        <w:rPr>
          <w:i/>
        </w:rPr>
        <w:t>EF</w:t>
      </w:r>
      <w:r w:rsidRPr="00DF1C3F">
        <w:rPr>
          <w:i/>
          <w:vertAlign w:val="subscript"/>
        </w:rPr>
        <w:t>PM25</w:t>
      </w:r>
      <w:proofErr w:type="gramStart"/>
      <w:r>
        <w:rPr>
          <w:i/>
        </w:rPr>
        <w:t>,</w:t>
      </w:r>
      <w:r w:rsidRPr="00EA0969">
        <w:rPr>
          <w:i/>
          <w:vertAlign w:val="subscript"/>
        </w:rPr>
        <w:t>nm</w:t>
      </w:r>
      <w:proofErr w:type="gramEnd"/>
      <w:r>
        <w:rPr>
          <w:i/>
          <w:vertAlign w:val="subscript"/>
        </w:rPr>
        <w:tab/>
      </w:r>
      <w:r>
        <w:t>=</w:t>
      </w:r>
      <w:r>
        <w:tab/>
      </w:r>
      <w:r w:rsidRPr="006B28FE">
        <w:t>PM</w:t>
      </w:r>
      <w:r w:rsidRPr="00DA6572">
        <w:t>25</w:t>
      </w:r>
      <w:r>
        <w:t>-PRI</w:t>
      </w:r>
      <w:r w:rsidRPr="006B28FE">
        <w:t xml:space="preserve"> non-metallic ore mining emissions factor, in </w:t>
      </w:r>
      <w:r>
        <w:t>lbs./ton</w:t>
      </w:r>
      <w:r w:rsidRPr="006B28FE">
        <w:t xml:space="preserve"> </w:t>
      </w:r>
    </w:p>
    <w:p w14:paraId="2C752AAD" w14:textId="77777777" w:rsidR="00DA6572" w:rsidRPr="006B28FE" w:rsidRDefault="00DA6572" w:rsidP="0024417D">
      <w:pPr>
        <w:pStyle w:val="NoSpacing"/>
        <w:tabs>
          <w:tab w:val="clear" w:pos="1296"/>
          <w:tab w:val="clear" w:pos="1584"/>
          <w:tab w:val="left" w:pos="1440"/>
          <w:tab w:val="left" w:pos="1800"/>
        </w:tabs>
        <w:spacing w:after="200"/>
        <w:ind w:left="1800" w:hanging="1800"/>
      </w:pPr>
      <w:r>
        <w:rPr>
          <w:i/>
        </w:rPr>
        <w:tab/>
      </w:r>
      <w:r w:rsidRPr="00EA0969">
        <w:rPr>
          <w:i/>
        </w:rPr>
        <w:t>EF</w:t>
      </w:r>
      <w:r>
        <w:rPr>
          <w:i/>
          <w:vertAlign w:val="subscript"/>
        </w:rPr>
        <w:t>PM1</w:t>
      </w:r>
      <w:r w:rsidRPr="00EA0969">
        <w:rPr>
          <w:i/>
          <w:vertAlign w:val="subscript"/>
        </w:rPr>
        <w:t>0</w:t>
      </w:r>
      <w:proofErr w:type="gramStart"/>
      <w:r>
        <w:rPr>
          <w:i/>
          <w:vertAlign w:val="subscript"/>
        </w:rPr>
        <w:t>,nm</w:t>
      </w:r>
      <w:proofErr w:type="gramEnd"/>
      <w:r>
        <w:rPr>
          <w:i/>
          <w:vertAlign w:val="subscript"/>
        </w:rPr>
        <w:tab/>
      </w:r>
      <w:r w:rsidRPr="006B28FE">
        <w:t>=</w:t>
      </w:r>
      <w:r>
        <w:tab/>
      </w:r>
      <w:r w:rsidRPr="006B28FE">
        <w:t>PM</w:t>
      </w:r>
      <w:r w:rsidRPr="00DA6572">
        <w:t>10</w:t>
      </w:r>
      <w:r>
        <w:t>-PRI</w:t>
      </w:r>
      <w:r w:rsidRPr="006B28FE">
        <w:t xml:space="preserve"> non-metallic ore mining emissions factor, in </w:t>
      </w:r>
      <w:r>
        <w:t>lbs./ton</w:t>
      </w:r>
      <w:r w:rsidRPr="006B28FE">
        <w:t xml:space="preserve"> </w:t>
      </w:r>
    </w:p>
    <w:p w14:paraId="52A3B117" w14:textId="77777777" w:rsidR="00720DF7" w:rsidRPr="00B86742" w:rsidRDefault="00720DF7" w:rsidP="00A66885">
      <w:pPr>
        <w:pStyle w:val="Heading2"/>
      </w:pPr>
      <w:r w:rsidRPr="00B86742">
        <w:t>Coal Mining</w:t>
      </w:r>
    </w:p>
    <w:p w14:paraId="7ABB547D" w14:textId="77777777" w:rsidR="00321776" w:rsidRDefault="00321776" w:rsidP="00321776">
      <w:pPr>
        <w:rPr>
          <w:szCs w:val="20"/>
        </w:rPr>
      </w:pPr>
      <w:r w:rsidRPr="00B86742">
        <w:rPr>
          <w:szCs w:val="20"/>
        </w:rPr>
        <w:t>The emissions factor for coal mining includes overburden removal, drilling and blasting, loading and unloading and overburden replacement activities. The amount of overburden material handled is assumed to equal ten times the quantity of coal mined and coal unloading is assumed to split evenly between end-dump and bottom-dump operations.</w:t>
      </w:r>
      <w:r>
        <w:rPr>
          <w:szCs w:val="20"/>
        </w:rPr>
        <w:t xml:space="preserve"> </w:t>
      </w:r>
      <w:r w:rsidRPr="00B86742">
        <w:rPr>
          <w:szCs w:val="20"/>
        </w:rPr>
        <w:t>The emissions factor is based on</w:t>
      </w:r>
      <w:r>
        <w:rPr>
          <w:szCs w:val="20"/>
        </w:rPr>
        <w:t xml:space="preserve"> </w:t>
      </w:r>
      <w:r w:rsidRPr="00B86742">
        <w:rPr>
          <w:szCs w:val="20"/>
        </w:rPr>
        <w:t xml:space="preserve">the </w:t>
      </w:r>
      <w:r>
        <w:rPr>
          <w:szCs w:val="20"/>
        </w:rPr>
        <w:t>PM</w:t>
      </w:r>
      <w:r w:rsidRPr="00DF1C3F">
        <w:rPr>
          <w:szCs w:val="20"/>
          <w:vertAlign w:val="subscript"/>
        </w:rPr>
        <w:t>10</w:t>
      </w:r>
      <w:r w:rsidRPr="00B86742">
        <w:rPr>
          <w:szCs w:val="20"/>
        </w:rPr>
        <w:t xml:space="preserve"> emissions factors developed for western surface coal mining operations from AP-42</w:t>
      </w:r>
      <w:r>
        <w:rPr>
          <w:szCs w:val="20"/>
        </w:rPr>
        <w:t>.</w:t>
      </w:r>
      <w:r w:rsidRPr="00321776">
        <w:rPr>
          <w:szCs w:val="20"/>
          <w:vertAlign w:val="superscript"/>
        </w:rPr>
        <w:fldChar w:fldCharType="begin"/>
      </w:r>
      <w:r w:rsidRPr="00321776">
        <w:rPr>
          <w:szCs w:val="20"/>
          <w:vertAlign w:val="superscript"/>
        </w:rPr>
        <w:instrText xml:space="preserve"> NOTEREF _Ref479330982 \h  \* MERGEFORMAT </w:instrText>
      </w:r>
      <w:r w:rsidRPr="00321776">
        <w:rPr>
          <w:szCs w:val="20"/>
          <w:vertAlign w:val="superscript"/>
        </w:rPr>
      </w:r>
      <w:r w:rsidRPr="00321776">
        <w:rPr>
          <w:szCs w:val="20"/>
          <w:vertAlign w:val="superscript"/>
        </w:rPr>
        <w:fldChar w:fldCharType="separate"/>
      </w:r>
      <w:r w:rsidR="00700556">
        <w:rPr>
          <w:szCs w:val="20"/>
          <w:vertAlign w:val="superscript"/>
        </w:rPr>
        <w:t>7</w:t>
      </w:r>
      <w:r w:rsidRPr="00321776">
        <w:rPr>
          <w:szCs w:val="20"/>
          <w:vertAlign w:val="superscript"/>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24417D" w14:paraId="05728138" w14:textId="77777777" w:rsidTr="002B5506">
        <w:tc>
          <w:tcPr>
            <w:tcW w:w="8748" w:type="dxa"/>
          </w:tcPr>
          <w:p w14:paraId="70646746" w14:textId="77777777" w:rsidR="0024417D"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PM10,co</m:t>
                    </m:r>
                  </m:sub>
                </m:sSub>
                <m:r>
                  <w:rPr>
                    <w:rFonts w:ascii="Cambria Math" w:hAnsi="Cambria Math"/>
                    <w:szCs w:val="20"/>
                  </w:rPr>
                  <m:t>=</m:t>
                </m:r>
                <m:d>
                  <m:dPr>
                    <m:ctrlPr>
                      <w:rPr>
                        <w:rFonts w:ascii="Cambria Math" w:hAnsi="Cambria Math"/>
                        <w:i/>
                        <w:szCs w:val="20"/>
                      </w:rPr>
                    </m:ctrlPr>
                  </m:dPr>
                  <m:e>
                    <m:r>
                      <w:rPr>
                        <w:rFonts w:ascii="Cambria Math" w:hAnsi="Cambria Math"/>
                        <w:szCs w:val="20"/>
                      </w:rPr>
                      <m:t>10×</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EF</m:t>
                            </m:r>
                          </m:e>
                          <m:sub>
                            <m:r>
                              <w:rPr>
                                <w:rFonts w:ascii="Cambria Math" w:hAnsi="Cambria Math"/>
                                <w:szCs w:val="20"/>
                              </w:rPr>
                              <m:t>to</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or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dt</m:t>
                            </m:r>
                          </m:sub>
                        </m:sSub>
                      </m:e>
                    </m:d>
                  </m:e>
                </m:d>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v</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a</m:t>
                    </m:r>
                  </m:sub>
                </m:sSub>
                <m:r>
                  <w:rPr>
                    <w:rFonts w:ascii="Cambria Math" w:hAnsi="Cambria Math"/>
                    <w:szCs w:val="20"/>
                  </w:rPr>
                  <m:t>+(0.5×</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EF</m:t>
                        </m:r>
                      </m:e>
                      <m:sub>
                        <m:r>
                          <w:rPr>
                            <w:rFonts w:ascii="Cambria Math" w:hAnsi="Cambria Math"/>
                            <w:szCs w:val="20"/>
                          </w:rPr>
                          <m:t>e</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t</m:t>
                        </m:r>
                      </m:sub>
                    </m:sSub>
                  </m:e>
                </m:d>
                <m:r>
                  <w:rPr>
                    <w:rFonts w:ascii="Cambria Math" w:hAnsi="Cambria Math"/>
                    <w:szCs w:val="20"/>
                  </w:rPr>
                  <m:t>)</m:t>
                </m:r>
              </m:oMath>
            </m:oMathPara>
          </w:p>
        </w:tc>
        <w:tc>
          <w:tcPr>
            <w:tcW w:w="828" w:type="dxa"/>
            <w:vAlign w:val="center"/>
          </w:tcPr>
          <w:p w14:paraId="3F36C13C" w14:textId="77777777" w:rsidR="0024417D" w:rsidRPr="00271697" w:rsidRDefault="0024417D" w:rsidP="0024417D">
            <w:pPr>
              <w:pStyle w:val="ListParagraph"/>
              <w:numPr>
                <w:ilvl w:val="0"/>
                <w:numId w:val="29"/>
              </w:numPr>
              <w:tabs>
                <w:tab w:val="left" w:pos="0"/>
                <w:tab w:val="center" w:pos="4320"/>
                <w:tab w:val="right" w:pos="8467"/>
              </w:tabs>
              <w:spacing w:before="60" w:after="60"/>
              <w:jc w:val="right"/>
              <w:rPr>
                <w:szCs w:val="20"/>
              </w:rPr>
            </w:pPr>
          </w:p>
        </w:tc>
      </w:tr>
    </w:tbl>
    <w:p w14:paraId="7DD485D4" w14:textId="77777777" w:rsidR="00321776" w:rsidRPr="006B28FE" w:rsidRDefault="00321776" w:rsidP="00321776">
      <w:pPr>
        <w:tabs>
          <w:tab w:val="left" w:pos="0"/>
          <w:tab w:val="center" w:pos="4320"/>
          <w:tab w:val="right" w:pos="8467"/>
        </w:tabs>
        <w:rPr>
          <w:szCs w:val="20"/>
        </w:rPr>
      </w:pPr>
      <w:r>
        <w:rPr>
          <w:szCs w:val="20"/>
        </w:rPr>
        <w:tab/>
      </w:r>
      <w:r w:rsidR="0024417D">
        <w:rPr>
          <w:szCs w:val="20"/>
        </w:rPr>
        <w:tab/>
      </w:r>
    </w:p>
    <w:p w14:paraId="4C0B2D31" w14:textId="77777777" w:rsidR="00321776" w:rsidRPr="006B28FE" w:rsidRDefault="00321776" w:rsidP="00321776">
      <w:pPr>
        <w:rPr>
          <w:szCs w:val="20"/>
        </w:rPr>
      </w:pPr>
      <w:r w:rsidRPr="006B28FE">
        <w:rPr>
          <w:szCs w:val="20"/>
        </w:rPr>
        <w:t>Where:</w:t>
      </w:r>
    </w:p>
    <w:p w14:paraId="48BD809F" w14:textId="77777777" w:rsidR="00321776" w:rsidRPr="006B28FE" w:rsidRDefault="00321776" w:rsidP="006A3608">
      <w:pPr>
        <w:pStyle w:val="NoSpacing"/>
      </w:pPr>
      <w:r>
        <w:rPr>
          <w:i/>
        </w:rPr>
        <w:tab/>
      </w:r>
      <w:r w:rsidRPr="00EA0969">
        <w:rPr>
          <w:i/>
        </w:rPr>
        <w:t>EF</w:t>
      </w:r>
      <w:r w:rsidRPr="00DF1C3F">
        <w:rPr>
          <w:i/>
          <w:vertAlign w:val="subscript"/>
        </w:rPr>
        <w:t>PM</w:t>
      </w:r>
      <w:r w:rsidRPr="00EA0969">
        <w:rPr>
          <w:i/>
          <w:vertAlign w:val="subscript"/>
        </w:rPr>
        <w:t>1</w:t>
      </w:r>
      <w:r>
        <w:rPr>
          <w:i/>
          <w:vertAlign w:val="subscript"/>
        </w:rPr>
        <w:t>0</w:t>
      </w:r>
      <w:proofErr w:type="gramStart"/>
      <w:r>
        <w:rPr>
          <w:i/>
          <w:vertAlign w:val="subscript"/>
        </w:rPr>
        <w:t>,co</w:t>
      </w:r>
      <w:proofErr w:type="gramEnd"/>
      <w:r>
        <w:rPr>
          <w:i/>
          <w:vertAlign w:val="subscript"/>
        </w:rPr>
        <w:tab/>
      </w:r>
      <w:r w:rsidRPr="006B28FE">
        <w:t>=</w:t>
      </w:r>
      <w:r>
        <w:tab/>
      </w:r>
      <w:r w:rsidRPr="006B28FE">
        <w:t>PM</w:t>
      </w:r>
      <w:r w:rsidRPr="0024417D">
        <w:t>10</w:t>
      </w:r>
      <w:r w:rsidR="0024417D">
        <w:t>-PRI</w:t>
      </w:r>
      <w:r w:rsidRPr="006B28FE">
        <w:t xml:space="preserve"> coal mining emissions factor, in lbs./ton</w:t>
      </w:r>
    </w:p>
    <w:p w14:paraId="0CBD5EA1" w14:textId="77777777" w:rsidR="00321776" w:rsidRPr="006B28FE" w:rsidRDefault="00321776" w:rsidP="006A3608">
      <w:pPr>
        <w:pStyle w:val="NoSpacing"/>
      </w:pPr>
      <w:r>
        <w:rPr>
          <w:i/>
        </w:rPr>
        <w:tab/>
      </w:r>
      <w:proofErr w:type="spellStart"/>
      <w:r w:rsidRPr="00EA0969">
        <w:rPr>
          <w:i/>
        </w:rPr>
        <w:t>EF</w:t>
      </w:r>
      <w:r w:rsidRPr="00EA0969">
        <w:rPr>
          <w:i/>
          <w:vertAlign w:val="subscript"/>
        </w:rPr>
        <w:t>to</w:t>
      </w:r>
      <w:proofErr w:type="spellEnd"/>
      <w:r>
        <w:rPr>
          <w:i/>
          <w:vertAlign w:val="subscript"/>
        </w:rPr>
        <w:tab/>
      </w:r>
      <w:r>
        <w:t>=</w:t>
      </w:r>
      <w:r>
        <w:tab/>
      </w:r>
      <w:r w:rsidR="0024417D" w:rsidRPr="006B28FE">
        <w:t>PM</w:t>
      </w:r>
      <w:r w:rsidR="0024417D" w:rsidRPr="0024417D">
        <w:t>10</w:t>
      </w:r>
      <w:r w:rsidR="0024417D">
        <w:t xml:space="preserve">-PRI </w:t>
      </w:r>
      <w:r w:rsidR="00CF469C">
        <w:t>emissions factor</w:t>
      </w:r>
      <w:r w:rsidRPr="006B28FE">
        <w:t xml:space="preserve"> for truck loading overburden at western surface coal mining operations, in lbs./ton of overburden</w:t>
      </w:r>
    </w:p>
    <w:p w14:paraId="5BB6BEE3" w14:textId="77777777" w:rsidR="00321776" w:rsidRPr="006B28FE" w:rsidRDefault="00321776" w:rsidP="006A3608">
      <w:pPr>
        <w:pStyle w:val="NoSpacing"/>
      </w:pPr>
      <w:r>
        <w:rPr>
          <w:i/>
        </w:rPr>
        <w:tab/>
      </w:r>
      <w:proofErr w:type="spellStart"/>
      <w:r w:rsidRPr="00EA0969">
        <w:rPr>
          <w:i/>
        </w:rPr>
        <w:t>EF</w:t>
      </w:r>
      <w:r w:rsidRPr="00EA0969">
        <w:rPr>
          <w:i/>
          <w:vertAlign w:val="subscript"/>
        </w:rPr>
        <w:t>or</w:t>
      </w:r>
      <w:proofErr w:type="spellEnd"/>
      <w:r>
        <w:rPr>
          <w:i/>
          <w:vertAlign w:val="subscript"/>
        </w:rPr>
        <w:tab/>
      </w:r>
      <w:r w:rsidRPr="006B28FE">
        <w:t>=</w:t>
      </w:r>
      <w:r>
        <w:tab/>
      </w:r>
      <w:r w:rsidR="0024417D" w:rsidRPr="006B28FE">
        <w:t>PM</w:t>
      </w:r>
      <w:r w:rsidR="0024417D" w:rsidRPr="0024417D">
        <w:t>10</w:t>
      </w:r>
      <w:r w:rsidR="0024417D">
        <w:t>-PRI</w:t>
      </w:r>
      <w:r w:rsidRPr="006B28FE">
        <w:t xml:space="preserve"> </w:t>
      </w:r>
      <w:r w:rsidR="00CF469C">
        <w:t>emissions factor</w:t>
      </w:r>
      <w:r w:rsidRPr="006B28FE">
        <w:t xml:space="preserve"> for overburden replacement at western surface coal mining operations, in lbs</w:t>
      </w:r>
      <w:proofErr w:type="gramStart"/>
      <w:r w:rsidRPr="006B28FE">
        <w:t>./</w:t>
      </w:r>
      <w:proofErr w:type="gramEnd"/>
      <w:r w:rsidRPr="006B28FE">
        <w:t>ton of overburden</w:t>
      </w:r>
    </w:p>
    <w:p w14:paraId="2BA0BF4B" w14:textId="77777777" w:rsidR="00321776" w:rsidRPr="006B28FE" w:rsidRDefault="00321776" w:rsidP="006A3608">
      <w:pPr>
        <w:pStyle w:val="NoSpacing"/>
      </w:pPr>
      <w:r>
        <w:rPr>
          <w:i/>
        </w:rPr>
        <w:tab/>
      </w:r>
      <w:proofErr w:type="spellStart"/>
      <w:r w:rsidRPr="00EA0969">
        <w:rPr>
          <w:i/>
        </w:rPr>
        <w:t>EF</w:t>
      </w:r>
      <w:r w:rsidRPr="00EA0969">
        <w:rPr>
          <w:i/>
          <w:vertAlign w:val="subscript"/>
        </w:rPr>
        <w:t>dt</w:t>
      </w:r>
      <w:proofErr w:type="spellEnd"/>
      <w:r>
        <w:rPr>
          <w:i/>
          <w:vertAlign w:val="subscript"/>
        </w:rPr>
        <w:tab/>
      </w:r>
      <w:r>
        <w:t>=</w:t>
      </w:r>
      <w:r>
        <w:tab/>
      </w:r>
      <w:r w:rsidR="0024417D" w:rsidRPr="006B28FE">
        <w:t>PM</w:t>
      </w:r>
      <w:r w:rsidR="0024417D" w:rsidRPr="0024417D">
        <w:t>10</w:t>
      </w:r>
      <w:r w:rsidR="0024417D">
        <w:t xml:space="preserve">-PRI </w:t>
      </w:r>
      <w:r w:rsidR="00CF469C">
        <w:t>emissions factor</w:t>
      </w:r>
      <w:r w:rsidRPr="006B28FE">
        <w:t>s for truck unloading: bottom dump-overburden at western surface coal mining operations, in lbs</w:t>
      </w:r>
      <w:proofErr w:type="gramStart"/>
      <w:r w:rsidRPr="006B28FE">
        <w:t>./</w:t>
      </w:r>
      <w:proofErr w:type="gramEnd"/>
      <w:r w:rsidRPr="006B28FE">
        <w:t>ton of overburden</w:t>
      </w:r>
    </w:p>
    <w:p w14:paraId="0993D122" w14:textId="77777777" w:rsidR="00321776" w:rsidRPr="006B28FE" w:rsidRDefault="00321776" w:rsidP="006A3608">
      <w:pPr>
        <w:pStyle w:val="NoSpacing"/>
      </w:pPr>
      <w:r>
        <w:rPr>
          <w:i/>
        </w:rPr>
        <w:tab/>
      </w:r>
      <w:proofErr w:type="spellStart"/>
      <w:r w:rsidRPr="00EA0969">
        <w:rPr>
          <w:i/>
        </w:rPr>
        <w:t>EF</w:t>
      </w:r>
      <w:r w:rsidRPr="00EA0969">
        <w:rPr>
          <w:i/>
          <w:vertAlign w:val="subscript"/>
        </w:rPr>
        <w:t>v</w:t>
      </w:r>
      <w:proofErr w:type="spellEnd"/>
      <w:r>
        <w:rPr>
          <w:i/>
          <w:vertAlign w:val="subscript"/>
        </w:rPr>
        <w:tab/>
      </w:r>
      <w:r w:rsidRPr="006B28FE">
        <w:t>=</w:t>
      </w:r>
      <w:r>
        <w:tab/>
      </w:r>
      <w:r w:rsidR="0024417D" w:rsidRPr="006B28FE">
        <w:t>PM</w:t>
      </w:r>
      <w:r w:rsidR="0024417D" w:rsidRPr="0024417D">
        <w:t>10</w:t>
      </w:r>
      <w:r w:rsidR="0024417D">
        <w:t>-PRI</w:t>
      </w:r>
      <w:r w:rsidR="0024417D" w:rsidRPr="006B28FE">
        <w:t xml:space="preserve"> </w:t>
      </w:r>
      <w:r w:rsidRPr="006B28FE">
        <w:t xml:space="preserve">open pit overburden removal </w:t>
      </w:r>
      <w:r w:rsidR="00CF469C">
        <w:t>emissions factor</w:t>
      </w:r>
      <w:r w:rsidRPr="006B28FE">
        <w:t xml:space="preserve"> at western surface coal mining operations, in lbs</w:t>
      </w:r>
      <w:proofErr w:type="gramStart"/>
      <w:r w:rsidRPr="006B28FE">
        <w:t>./</w:t>
      </w:r>
      <w:proofErr w:type="gramEnd"/>
      <w:r w:rsidRPr="006B28FE">
        <w:t>ton</w:t>
      </w:r>
    </w:p>
    <w:p w14:paraId="096E92CF" w14:textId="77777777" w:rsidR="00321776" w:rsidRPr="006B28FE" w:rsidRDefault="00321776" w:rsidP="006A3608">
      <w:pPr>
        <w:pStyle w:val="NoSpacing"/>
      </w:pPr>
      <w:r>
        <w:rPr>
          <w:i/>
        </w:rPr>
        <w:tab/>
      </w:r>
      <w:proofErr w:type="spellStart"/>
      <w:r w:rsidRPr="00EA0969">
        <w:rPr>
          <w:i/>
        </w:rPr>
        <w:t>EF</w:t>
      </w:r>
      <w:r w:rsidRPr="00EA0969">
        <w:rPr>
          <w:i/>
          <w:vertAlign w:val="subscript"/>
        </w:rPr>
        <w:t>r</w:t>
      </w:r>
      <w:proofErr w:type="spellEnd"/>
      <w:r>
        <w:rPr>
          <w:i/>
          <w:vertAlign w:val="subscript"/>
        </w:rPr>
        <w:tab/>
      </w:r>
      <w:r w:rsidRPr="006B28FE">
        <w:t>=</w:t>
      </w:r>
      <w:r>
        <w:tab/>
      </w:r>
      <w:r w:rsidR="0024417D" w:rsidRPr="006B28FE">
        <w:t>PM</w:t>
      </w:r>
      <w:r w:rsidR="0024417D" w:rsidRPr="0024417D">
        <w:t>10</w:t>
      </w:r>
      <w:r w:rsidR="0024417D">
        <w:t>-PRI</w:t>
      </w:r>
      <w:r w:rsidR="0024417D" w:rsidRPr="006B28FE">
        <w:t xml:space="preserve"> </w:t>
      </w:r>
      <w:r w:rsidRPr="006B28FE">
        <w:t xml:space="preserve">drilling/blasting </w:t>
      </w:r>
      <w:r w:rsidR="00CF469C">
        <w:t>emissions factor</w:t>
      </w:r>
      <w:r w:rsidRPr="006B28FE">
        <w:t xml:space="preserve"> at western surface coal mining operations, in lbs</w:t>
      </w:r>
      <w:proofErr w:type="gramStart"/>
      <w:r w:rsidRPr="006B28FE">
        <w:t>./</w:t>
      </w:r>
      <w:proofErr w:type="gramEnd"/>
      <w:r w:rsidRPr="006B28FE">
        <w:t>ton</w:t>
      </w:r>
    </w:p>
    <w:p w14:paraId="0415448B" w14:textId="77777777" w:rsidR="00321776" w:rsidRPr="006B28FE" w:rsidRDefault="00321776" w:rsidP="006A3608">
      <w:pPr>
        <w:pStyle w:val="NoSpacing"/>
      </w:pPr>
      <w:r>
        <w:rPr>
          <w:i/>
        </w:rPr>
        <w:tab/>
      </w:r>
      <w:proofErr w:type="spellStart"/>
      <w:r w:rsidRPr="00EA0969">
        <w:rPr>
          <w:i/>
        </w:rPr>
        <w:t>EF</w:t>
      </w:r>
      <w:r w:rsidRPr="00EA0969">
        <w:rPr>
          <w:i/>
          <w:vertAlign w:val="subscript"/>
        </w:rPr>
        <w:t>a</w:t>
      </w:r>
      <w:proofErr w:type="spellEnd"/>
      <w:r>
        <w:rPr>
          <w:i/>
          <w:vertAlign w:val="subscript"/>
        </w:rPr>
        <w:tab/>
      </w:r>
      <w:r w:rsidRPr="006B28FE">
        <w:t>=</w:t>
      </w:r>
      <w:r>
        <w:tab/>
      </w:r>
      <w:r w:rsidR="0024417D" w:rsidRPr="006B28FE">
        <w:t>PM</w:t>
      </w:r>
      <w:r w:rsidR="0024417D" w:rsidRPr="0024417D">
        <w:t>10</w:t>
      </w:r>
      <w:r w:rsidR="0024417D">
        <w:t>-PRI</w:t>
      </w:r>
      <w:r w:rsidR="0024417D" w:rsidRPr="006B28FE">
        <w:t xml:space="preserve"> </w:t>
      </w:r>
      <w:r w:rsidRPr="006B28FE">
        <w:t xml:space="preserve">loading </w:t>
      </w:r>
      <w:r w:rsidR="00CF469C">
        <w:t>emissions factor</w:t>
      </w:r>
      <w:r w:rsidRPr="006B28FE">
        <w:t xml:space="preserve"> at western surface coal mining operations, in lbs</w:t>
      </w:r>
      <w:proofErr w:type="gramStart"/>
      <w:r w:rsidRPr="006B28FE">
        <w:t>./</w:t>
      </w:r>
      <w:proofErr w:type="gramEnd"/>
      <w:r w:rsidRPr="006B28FE">
        <w:t>ton</w:t>
      </w:r>
    </w:p>
    <w:p w14:paraId="3393D5EA" w14:textId="77777777" w:rsidR="00321776" w:rsidRPr="006B28FE" w:rsidRDefault="00321776" w:rsidP="006A3608">
      <w:pPr>
        <w:pStyle w:val="NoSpacing"/>
      </w:pPr>
      <w:r>
        <w:rPr>
          <w:i/>
        </w:rPr>
        <w:tab/>
      </w:r>
      <w:proofErr w:type="spellStart"/>
      <w:r w:rsidRPr="00EA0969">
        <w:rPr>
          <w:i/>
        </w:rPr>
        <w:t>EF</w:t>
      </w:r>
      <w:r w:rsidRPr="00EA0969">
        <w:rPr>
          <w:i/>
          <w:vertAlign w:val="subscript"/>
        </w:rPr>
        <w:t>e</w:t>
      </w:r>
      <w:proofErr w:type="spellEnd"/>
      <w:r>
        <w:rPr>
          <w:i/>
          <w:vertAlign w:val="subscript"/>
        </w:rPr>
        <w:tab/>
      </w:r>
      <w:r w:rsidRPr="006B28FE">
        <w:t>=</w:t>
      </w:r>
      <w:r>
        <w:tab/>
      </w:r>
      <w:r w:rsidR="0024417D" w:rsidRPr="006B28FE">
        <w:t>PM</w:t>
      </w:r>
      <w:r w:rsidR="0024417D" w:rsidRPr="0024417D">
        <w:t>10</w:t>
      </w:r>
      <w:r w:rsidR="0024417D">
        <w:t>-PRI</w:t>
      </w:r>
      <w:r w:rsidR="0024417D" w:rsidRPr="006B28FE">
        <w:t xml:space="preserve"> </w:t>
      </w:r>
      <w:r w:rsidRPr="006B28FE">
        <w:t xml:space="preserve">truck unloading: end dump-coal </w:t>
      </w:r>
      <w:r w:rsidR="00CF469C">
        <w:t>emissions factor</w:t>
      </w:r>
      <w:r w:rsidRPr="006B28FE">
        <w:t xml:space="preserve"> at western surface coal mining operations, in lbs</w:t>
      </w:r>
      <w:proofErr w:type="gramStart"/>
      <w:r w:rsidRPr="006B28FE">
        <w:t>./</w:t>
      </w:r>
      <w:proofErr w:type="gramEnd"/>
      <w:r w:rsidRPr="006B28FE">
        <w:t>ton</w:t>
      </w:r>
    </w:p>
    <w:p w14:paraId="22424643" w14:textId="77777777" w:rsidR="00321776" w:rsidRPr="00B86742" w:rsidRDefault="00321776" w:rsidP="0024417D">
      <w:pPr>
        <w:pStyle w:val="NoSpacing"/>
        <w:spacing w:after="200"/>
      </w:pPr>
      <w:r>
        <w:rPr>
          <w:i/>
        </w:rPr>
        <w:tab/>
      </w:r>
      <w:proofErr w:type="spellStart"/>
      <w:r w:rsidRPr="00EA0969">
        <w:rPr>
          <w:i/>
        </w:rPr>
        <w:t>EF</w:t>
      </w:r>
      <w:r w:rsidRPr="00EA0969">
        <w:rPr>
          <w:i/>
          <w:vertAlign w:val="subscript"/>
        </w:rPr>
        <w:t>t</w:t>
      </w:r>
      <w:proofErr w:type="spellEnd"/>
      <w:r>
        <w:rPr>
          <w:i/>
          <w:vertAlign w:val="subscript"/>
        </w:rPr>
        <w:tab/>
      </w:r>
      <w:r w:rsidRPr="006B28FE">
        <w:t>=</w:t>
      </w:r>
      <w:r>
        <w:tab/>
      </w:r>
      <w:r w:rsidR="0024417D" w:rsidRPr="006B28FE">
        <w:t>PM</w:t>
      </w:r>
      <w:r w:rsidR="0024417D" w:rsidRPr="0024417D">
        <w:t>10</w:t>
      </w:r>
      <w:r w:rsidR="0024417D">
        <w:t>-PRI</w:t>
      </w:r>
      <w:r w:rsidR="0024417D" w:rsidRPr="006B28FE">
        <w:t xml:space="preserve"> </w:t>
      </w:r>
      <w:r w:rsidRPr="006B28FE">
        <w:t xml:space="preserve">truck unloading: bottom dump-coal </w:t>
      </w:r>
      <w:r w:rsidR="00CF469C">
        <w:t>emissions factor</w:t>
      </w:r>
      <w:r w:rsidRPr="006B28FE">
        <w:t xml:space="preserve"> at western surface coal mining operations, in lbs</w:t>
      </w:r>
      <w:proofErr w:type="gramStart"/>
      <w:r w:rsidRPr="006B28FE">
        <w:t>./</w:t>
      </w:r>
      <w:proofErr w:type="gramEnd"/>
      <w:r w:rsidRPr="006B28FE">
        <w:t>ton</w:t>
      </w:r>
    </w:p>
    <w:p w14:paraId="60F0FF75" w14:textId="77777777" w:rsidR="00720DF7" w:rsidRDefault="00720DF7" w:rsidP="00720DF7">
      <w:pPr>
        <w:rPr>
          <w:szCs w:val="20"/>
        </w:rPr>
      </w:pPr>
      <w:r w:rsidRPr="00B86742">
        <w:rPr>
          <w:szCs w:val="20"/>
        </w:rPr>
        <w:t xml:space="preserve">Applying the </w:t>
      </w:r>
      <w:r w:rsidR="0024417D" w:rsidRPr="006B28FE">
        <w:t>PM</w:t>
      </w:r>
      <w:r w:rsidR="0024417D" w:rsidRPr="0024417D">
        <w:t>10</w:t>
      </w:r>
      <w:r w:rsidR="0024417D">
        <w:t>-PRI</w:t>
      </w:r>
      <w:r w:rsidR="0024417D" w:rsidRPr="00B86742">
        <w:rPr>
          <w:szCs w:val="20"/>
        </w:rPr>
        <w:t xml:space="preserve"> </w:t>
      </w:r>
      <w:r w:rsidRPr="00B86742">
        <w:rPr>
          <w:szCs w:val="20"/>
        </w:rPr>
        <w:t>emissions factors developed for western surface coal mining operations</w:t>
      </w:r>
      <w:r w:rsidR="00321776" w:rsidRPr="00321776">
        <w:rPr>
          <w:szCs w:val="20"/>
          <w:vertAlign w:val="superscript"/>
        </w:rPr>
        <w:fldChar w:fldCharType="begin"/>
      </w:r>
      <w:r w:rsidR="00321776" w:rsidRPr="00321776">
        <w:rPr>
          <w:szCs w:val="20"/>
          <w:vertAlign w:val="superscript"/>
        </w:rPr>
        <w:instrText xml:space="preserve"> NOTEREF _Ref479330982 \h  \* MERGEFORMAT </w:instrText>
      </w:r>
      <w:r w:rsidR="00321776" w:rsidRPr="00321776">
        <w:rPr>
          <w:szCs w:val="20"/>
          <w:vertAlign w:val="superscript"/>
        </w:rPr>
      </w:r>
      <w:r w:rsidR="00321776" w:rsidRPr="00321776">
        <w:rPr>
          <w:szCs w:val="20"/>
          <w:vertAlign w:val="superscript"/>
        </w:rPr>
        <w:fldChar w:fldCharType="separate"/>
      </w:r>
      <w:r w:rsidR="00700556">
        <w:rPr>
          <w:szCs w:val="20"/>
          <w:vertAlign w:val="superscript"/>
        </w:rPr>
        <w:t>7</w:t>
      </w:r>
      <w:r w:rsidR="00321776" w:rsidRPr="00321776">
        <w:rPr>
          <w:szCs w:val="20"/>
          <w:vertAlign w:val="superscript"/>
        </w:rPr>
        <w:fldChar w:fldCharType="end"/>
      </w:r>
      <w:r w:rsidRPr="00B86742">
        <w:rPr>
          <w:szCs w:val="20"/>
        </w:rPr>
        <w:t xml:space="preserve"> yields the following coal mining emissions factor: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2"/>
        <w:gridCol w:w="1258"/>
      </w:tblGrid>
      <w:tr w:rsidR="0024417D" w14:paraId="0B7DB620" w14:textId="77777777" w:rsidTr="0024417D">
        <w:tc>
          <w:tcPr>
            <w:tcW w:w="8318" w:type="dxa"/>
          </w:tcPr>
          <w:p w14:paraId="382A9F43" w14:textId="77777777" w:rsidR="0024417D" w:rsidRDefault="0024417D" w:rsidP="0024417D">
            <w:pPr>
              <w:tabs>
                <w:tab w:val="left" w:pos="0"/>
                <w:tab w:val="center" w:pos="4320"/>
                <w:tab w:val="right" w:pos="8467"/>
              </w:tabs>
              <w:spacing w:before="60" w:after="60"/>
              <w:rPr>
                <w:szCs w:val="20"/>
              </w:rPr>
            </w:pPr>
            <m:oMathPara>
              <m:oMath>
                <m:r>
                  <m:rPr>
                    <m:sty m:val="p"/>
                  </m:rPr>
                  <w:rPr>
                    <w:rFonts w:ascii="Cambria Math" w:hAnsi="Cambria Math"/>
                    <w:szCs w:val="20"/>
                  </w:rPr>
                  <m:t xml:space="preserve">0.513 </m:t>
                </m:r>
                <m:r>
                  <w:rPr>
                    <w:rFonts w:ascii="Cambria Math" w:hAnsi="Cambria Math"/>
                    <w:szCs w:val="20"/>
                  </w:rPr>
                  <m:t>lbs/ton=</m:t>
                </m:r>
                <m:r>
                  <m:rPr>
                    <m:sty m:val="p"/>
                  </m:rPr>
                  <w:rPr>
                    <w:rFonts w:ascii="Cambria Math" w:hAnsi="Cambria Math"/>
                    <w:szCs w:val="20"/>
                  </w:rPr>
                  <m:t>(10 × (0.015 + 0.001 + 0.006)) + 0.225 + 0.00005 + 0.05 + (0.5 × (0.0035 + 0.033))</m:t>
                </m:r>
              </m:oMath>
            </m:oMathPara>
          </w:p>
        </w:tc>
        <w:tc>
          <w:tcPr>
            <w:tcW w:w="1258" w:type="dxa"/>
            <w:vAlign w:val="center"/>
          </w:tcPr>
          <w:p w14:paraId="3A196BF3" w14:textId="77777777" w:rsidR="0024417D" w:rsidRPr="00271697" w:rsidRDefault="0024417D" w:rsidP="0024417D">
            <w:pPr>
              <w:pStyle w:val="ListParagraph"/>
              <w:tabs>
                <w:tab w:val="left" w:pos="0"/>
                <w:tab w:val="center" w:pos="4320"/>
                <w:tab w:val="right" w:pos="8467"/>
              </w:tabs>
              <w:spacing w:before="60" w:after="60"/>
              <w:jc w:val="center"/>
              <w:rPr>
                <w:szCs w:val="20"/>
              </w:rPr>
            </w:pPr>
            <w:r>
              <w:rPr>
                <w:szCs w:val="20"/>
              </w:rPr>
              <w:t>(9a)</w:t>
            </w:r>
          </w:p>
        </w:tc>
      </w:tr>
    </w:tbl>
    <w:p w14:paraId="5DC324D3" w14:textId="77777777" w:rsidR="0024417D" w:rsidRDefault="0024417D" w:rsidP="0024417D">
      <w:pPr>
        <w:rPr>
          <w:szCs w:val="20"/>
        </w:rPr>
      </w:pPr>
    </w:p>
    <w:p w14:paraId="4398A5AB" w14:textId="77777777" w:rsidR="0024417D" w:rsidRPr="00A81090" w:rsidRDefault="0024417D" w:rsidP="0024417D">
      <w:pPr>
        <w:rPr>
          <w:szCs w:val="20"/>
        </w:rPr>
      </w:pPr>
      <w:r>
        <w:rPr>
          <w:szCs w:val="20"/>
        </w:rPr>
        <w:t>The PM25-PRI emissions factor is assumed to be 12.5% of the PM10-PRI emissions factor.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24417D" w14:paraId="7B044085" w14:textId="77777777" w:rsidTr="002B5506">
        <w:tc>
          <w:tcPr>
            <w:tcW w:w="8748" w:type="dxa"/>
          </w:tcPr>
          <w:p w14:paraId="492812CB" w14:textId="77777777" w:rsidR="0024417D"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PM25,co</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10,co</m:t>
                    </m:r>
                  </m:sub>
                </m:sSub>
                <m:r>
                  <w:rPr>
                    <w:rFonts w:ascii="Cambria Math" w:hAnsi="Cambria Math"/>
                    <w:szCs w:val="20"/>
                  </w:rPr>
                  <m:t>×0.125</m:t>
                </m:r>
              </m:oMath>
            </m:oMathPara>
          </w:p>
        </w:tc>
        <w:tc>
          <w:tcPr>
            <w:tcW w:w="828" w:type="dxa"/>
            <w:vAlign w:val="center"/>
          </w:tcPr>
          <w:p w14:paraId="12DCE23B" w14:textId="77777777" w:rsidR="0024417D" w:rsidRPr="00271697" w:rsidRDefault="0024417D" w:rsidP="0024417D">
            <w:pPr>
              <w:pStyle w:val="ListParagraph"/>
              <w:numPr>
                <w:ilvl w:val="0"/>
                <w:numId w:val="29"/>
              </w:numPr>
              <w:tabs>
                <w:tab w:val="left" w:pos="0"/>
                <w:tab w:val="center" w:pos="4320"/>
                <w:tab w:val="right" w:pos="8467"/>
              </w:tabs>
              <w:spacing w:before="60" w:after="60"/>
              <w:jc w:val="right"/>
              <w:rPr>
                <w:szCs w:val="20"/>
              </w:rPr>
            </w:pPr>
          </w:p>
        </w:tc>
      </w:tr>
    </w:tbl>
    <w:p w14:paraId="21804DE1" w14:textId="77777777" w:rsidR="0024417D" w:rsidRPr="006B28FE" w:rsidRDefault="0024417D" w:rsidP="0024417D">
      <w:pPr>
        <w:rPr>
          <w:szCs w:val="20"/>
        </w:rPr>
      </w:pPr>
      <w:r w:rsidRPr="006B28FE">
        <w:rPr>
          <w:szCs w:val="20"/>
        </w:rPr>
        <w:t>Where:</w:t>
      </w:r>
    </w:p>
    <w:p w14:paraId="34403906" w14:textId="77777777" w:rsidR="0024417D" w:rsidRPr="006B28FE" w:rsidRDefault="0024417D" w:rsidP="0024417D">
      <w:pPr>
        <w:pStyle w:val="NoSpacing"/>
      </w:pPr>
      <w:r>
        <w:rPr>
          <w:i/>
        </w:rPr>
        <w:lastRenderedPageBreak/>
        <w:tab/>
      </w:r>
      <w:r w:rsidRPr="00EA0969">
        <w:rPr>
          <w:i/>
        </w:rPr>
        <w:t>EF</w:t>
      </w:r>
      <w:r w:rsidRPr="00DF1C3F">
        <w:rPr>
          <w:i/>
          <w:vertAlign w:val="subscript"/>
        </w:rPr>
        <w:t>PM</w:t>
      </w:r>
      <w:r>
        <w:rPr>
          <w:i/>
          <w:vertAlign w:val="subscript"/>
        </w:rPr>
        <w:t>25</w:t>
      </w:r>
      <w:proofErr w:type="gramStart"/>
      <w:r>
        <w:rPr>
          <w:i/>
          <w:vertAlign w:val="subscript"/>
        </w:rPr>
        <w:t>,co</w:t>
      </w:r>
      <w:proofErr w:type="gramEnd"/>
      <w:r>
        <w:rPr>
          <w:i/>
          <w:vertAlign w:val="subscript"/>
        </w:rPr>
        <w:tab/>
      </w:r>
      <w:r w:rsidRPr="006B28FE">
        <w:t>=</w:t>
      </w:r>
      <w:r>
        <w:tab/>
      </w:r>
      <w:r w:rsidRPr="006B28FE">
        <w:t>PM</w:t>
      </w:r>
      <w:r w:rsidRPr="0024417D">
        <w:t>25</w:t>
      </w:r>
      <w:r>
        <w:t>-PRI</w:t>
      </w:r>
      <w:r w:rsidRPr="006B28FE">
        <w:t xml:space="preserve"> coal mining emissions factor, in lbs./ton</w:t>
      </w:r>
    </w:p>
    <w:p w14:paraId="0C7B4574" w14:textId="77777777" w:rsidR="0024417D" w:rsidRPr="006B28FE" w:rsidRDefault="0024417D" w:rsidP="0024417D">
      <w:pPr>
        <w:pStyle w:val="NoSpacing"/>
        <w:spacing w:after="200"/>
      </w:pPr>
      <w:r>
        <w:rPr>
          <w:i/>
        </w:rPr>
        <w:tab/>
      </w:r>
      <w:r w:rsidRPr="00EA0969">
        <w:rPr>
          <w:i/>
        </w:rPr>
        <w:t>EF</w:t>
      </w:r>
      <w:r w:rsidRPr="00DF1C3F">
        <w:rPr>
          <w:i/>
          <w:vertAlign w:val="subscript"/>
        </w:rPr>
        <w:t>PM</w:t>
      </w:r>
      <w:r w:rsidRPr="00EA0969">
        <w:rPr>
          <w:i/>
          <w:vertAlign w:val="subscript"/>
        </w:rPr>
        <w:t>1</w:t>
      </w:r>
      <w:r>
        <w:rPr>
          <w:i/>
          <w:vertAlign w:val="subscript"/>
        </w:rPr>
        <w:t>0</w:t>
      </w:r>
      <w:proofErr w:type="gramStart"/>
      <w:r>
        <w:rPr>
          <w:i/>
          <w:vertAlign w:val="subscript"/>
        </w:rPr>
        <w:t>,co</w:t>
      </w:r>
      <w:proofErr w:type="gramEnd"/>
      <w:r>
        <w:rPr>
          <w:i/>
          <w:vertAlign w:val="subscript"/>
        </w:rPr>
        <w:tab/>
      </w:r>
      <w:r w:rsidRPr="006B28FE">
        <w:t>=</w:t>
      </w:r>
      <w:r>
        <w:tab/>
      </w:r>
      <w:r w:rsidRPr="006B28FE">
        <w:t>PM</w:t>
      </w:r>
      <w:r w:rsidRPr="0024417D">
        <w:t>10</w:t>
      </w:r>
      <w:r>
        <w:t>-PRI</w:t>
      </w:r>
      <w:r w:rsidRPr="006B28FE">
        <w:t xml:space="preserve"> coal mining emissions factor, in lbs./ton</w:t>
      </w:r>
    </w:p>
    <w:p w14:paraId="65DBBA46" w14:textId="77777777" w:rsidR="00321776" w:rsidRPr="00321776" w:rsidRDefault="00321776" w:rsidP="00E43758">
      <w:pPr>
        <w:pStyle w:val="Heading2"/>
      </w:pPr>
      <w:r w:rsidRPr="00321776">
        <w:t>PM-FIL and PM2.5-PRI Emissions Factors</w:t>
      </w:r>
    </w:p>
    <w:p w14:paraId="054E887E" w14:textId="77777777" w:rsidR="00720DF7" w:rsidRDefault="00720DF7" w:rsidP="00720DF7">
      <w:pPr>
        <w:rPr>
          <w:szCs w:val="20"/>
        </w:rPr>
      </w:pPr>
      <w:r w:rsidRPr="00B86742">
        <w:rPr>
          <w:szCs w:val="20"/>
        </w:rPr>
        <w:t>PM-FIL emissions factors are assumed to be the s</w:t>
      </w:r>
      <w:r>
        <w:rPr>
          <w:szCs w:val="20"/>
        </w:rPr>
        <w:t>ame as PM-PRI emissions factors.</w:t>
      </w:r>
      <w:r w:rsidRPr="00B86742">
        <w:rPr>
          <w:szCs w:val="20"/>
        </w:rPr>
        <w:t xml:space="preserve"> </w:t>
      </w:r>
      <w:r>
        <w:rPr>
          <w:szCs w:val="20"/>
        </w:rPr>
        <w:t>I</w:t>
      </w:r>
      <w:r w:rsidRPr="00B86742">
        <w:rPr>
          <w:szCs w:val="20"/>
        </w:rPr>
        <w:t xml:space="preserve">n reality, there is a small amount of PM-CON emissions included in the PM-PRI emissions but insufficient data exists to </w:t>
      </w:r>
      <w:r>
        <w:rPr>
          <w:szCs w:val="20"/>
        </w:rPr>
        <w:t xml:space="preserve">estimate </w:t>
      </w:r>
      <w:r w:rsidRPr="00B86742">
        <w:rPr>
          <w:szCs w:val="20"/>
        </w:rPr>
        <w:t>the PM-CON portion. In 2006, the EPA adopted new PM2.5/PM10 ratios for several fugitive dust categories and concluded that the PM2.5/PM10 ratios for fugitive dust categories should be in the range of 0.1 to 0.15.</w:t>
      </w:r>
      <w:bookmarkStart w:id="17" w:name="_Ref479333108"/>
      <w:r w:rsidR="00321776">
        <w:rPr>
          <w:rStyle w:val="EndnoteReference"/>
          <w:szCs w:val="20"/>
        </w:rPr>
        <w:endnoteReference w:id="10"/>
      </w:r>
      <w:bookmarkEnd w:id="17"/>
      <w:r w:rsidRPr="00B86742">
        <w:rPr>
          <w:szCs w:val="20"/>
        </w:rPr>
        <w:t xml:space="preserve"> Consequently, a ratio of 0.125 was applied to the PM10 emissions factors to estimate PM2.5 emissions factors for mining and quarrying. A summary of emissions facto</w:t>
      </w:r>
      <w:r>
        <w:rPr>
          <w:szCs w:val="20"/>
        </w:rPr>
        <w:t xml:space="preserve">rs is presented in </w:t>
      </w:r>
      <w:r w:rsidR="00321776">
        <w:rPr>
          <w:szCs w:val="20"/>
        </w:rPr>
        <w:fldChar w:fldCharType="begin"/>
      </w:r>
      <w:r w:rsidR="00321776">
        <w:rPr>
          <w:szCs w:val="20"/>
        </w:rPr>
        <w:instrText xml:space="preserve"> REF _Ref479331482 \h </w:instrText>
      </w:r>
      <w:r w:rsidR="00321776">
        <w:rPr>
          <w:szCs w:val="20"/>
        </w:rPr>
      </w:r>
      <w:r w:rsidR="00321776">
        <w:rPr>
          <w:szCs w:val="20"/>
        </w:rPr>
        <w:fldChar w:fldCharType="separate"/>
      </w:r>
      <w:r w:rsidR="00700556" w:rsidRPr="00321776">
        <w:rPr>
          <w:szCs w:val="20"/>
        </w:rPr>
        <w:t xml:space="preserve">Table </w:t>
      </w:r>
      <w:r w:rsidR="00700556">
        <w:rPr>
          <w:noProof/>
          <w:szCs w:val="20"/>
        </w:rPr>
        <w:t>4</w:t>
      </w:r>
      <w:r w:rsidR="00321776">
        <w:rPr>
          <w:szCs w:val="20"/>
        </w:rPr>
        <w:fldChar w:fldCharType="end"/>
      </w:r>
      <w:r w:rsidRPr="00B86742">
        <w:rPr>
          <w:szCs w:val="20"/>
        </w:rPr>
        <w:t>.</w:t>
      </w:r>
    </w:p>
    <w:p w14:paraId="2FEB8A83" w14:textId="77777777" w:rsidR="00720DF7" w:rsidRDefault="00720DF7" w:rsidP="00700556">
      <w:pPr>
        <w:pStyle w:val="Caption"/>
        <w:keepNext/>
        <w:spacing w:after="60"/>
        <w:jc w:val="center"/>
        <w:rPr>
          <w:color w:val="auto"/>
          <w:sz w:val="20"/>
          <w:szCs w:val="20"/>
        </w:rPr>
      </w:pPr>
      <w:bookmarkStart w:id="18" w:name="_Ref479331482"/>
      <w:r w:rsidRPr="00321776">
        <w:rPr>
          <w:color w:val="auto"/>
          <w:sz w:val="20"/>
          <w:szCs w:val="20"/>
        </w:rPr>
        <w:t xml:space="preserve">Table </w:t>
      </w:r>
      <w:r w:rsidRPr="00321776">
        <w:rPr>
          <w:color w:val="auto"/>
          <w:sz w:val="20"/>
          <w:szCs w:val="20"/>
        </w:rPr>
        <w:fldChar w:fldCharType="begin"/>
      </w:r>
      <w:r w:rsidRPr="00321776">
        <w:rPr>
          <w:color w:val="auto"/>
          <w:sz w:val="20"/>
          <w:szCs w:val="20"/>
        </w:rPr>
        <w:instrText xml:space="preserve"> SEQ Table \* ARABIC </w:instrText>
      </w:r>
      <w:r w:rsidRPr="00321776">
        <w:rPr>
          <w:color w:val="auto"/>
          <w:sz w:val="20"/>
          <w:szCs w:val="20"/>
        </w:rPr>
        <w:fldChar w:fldCharType="separate"/>
      </w:r>
      <w:r w:rsidR="00700556">
        <w:rPr>
          <w:noProof/>
          <w:color w:val="auto"/>
          <w:sz w:val="20"/>
          <w:szCs w:val="20"/>
        </w:rPr>
        <w:t>4</w:t>
      </w:r>
      <w:r w:rsidRPr="00321776">
        <w:rPr>
          <w:color w:val="auto"/>
          <w:sz w:val="20"/>
          <w:szCs w:val="20"/>
        </w:rPr>
        <w:fldChar w:fldCharType="end"/>
      </w:r>
      <w:bookmarkEnd w:id="18"/>
      <w:r w:rsidRPr="00321776">
        <w:rPr>
          <w:color w:val="auto"/>
          <w:sz w:val="20"/>
          <w:szCs w:val="20"/>
        </w:rPr>
        <w:t xml:space="preserve">. </w:t>
      </w:r>
      <w:r w:rsidR="00CF469C">
        <w:rPr>
          <w:color w:val="auto"/>
          <w:sz w:val="20"/>
          <w:szCs w:val="20"/>
        </w:rPr>
        <w:t>Emissions factor</w:t>
      </w:r>
      <w:r w:rsidRPr="00321776">
        <w:rPr>
          <w:color w:val="auto"/>
          <w:sz w:val="20"/>
          <w:szCs w:val="20"/>
        </w:rPr>
        <w:t>s</w:t>
      </w:r>
      <w:r w:rsidR="00866C53">
        <w:rPr>
          <w:color w:val="auto"/>
          <w:sz w:val="20"/>
          <w:szCs w:val="20"/>
        </w:rPr>
        <w:t xml:space="preserve"> for Mining and </w:t>
      </w:r>
      <w:r w:rsidR="00866C53" w:rsidRPr="00866C53">
        <w:rPr>
          <w:color w:val="auto"/>
          <w:sz w:val="20"/>
          <w:szCs w:val="20"/>
        </w:rPr>
        <w:t>Quarrying (</w:t>
      </w:r>
      <w:r w:rsidR="00866C53" w:rsidRPr="00866C53">
        <w:rPr>
          <w:color w:val="000000"/>
          <w:sz w:val="20"/>
          <w:szCs w:val="20"/>
        </w:rPr>
        <w:t>2325000000)</w:t>
      </w:r>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00"/>
        <w:gridCol w:w="1152"/>
        <w:gridCol w:w="1584"/>
        <w:gridCol w:w="1728"/>
      </w:tblGrid>
      <w:tr w:rsidR="00153D5E" w:rsidRPr="00B86742" w14:paraId="0253A831" w14:textId="77777777" w:rsidTr="00153D5E">
        <w:trPr>
          <w:trHeight w:val="144"/>
          <w:tblHeader/>
          <w:jc w:val="center"/>
        </w:trPr>
        <w:tc>
          <w:tcPr>
            <w:tcW w:w="1380" w:type="dxa"/>
            <w:shd w:val="clear" w:color="auto" w:fill="BFBFBF" w:themeFill="background1" w:themeFillShade="BF"/>
            <w:noWrap/>
            <w:vAlign w:val="center"/>
            <w:hideMark/>
          </w:tcPr>
          <w:p w14:paraId="5E2E863B" w14:textId="77777777" w:rsidR="00153D5E" w:rsidRPr="00B86742" w:rsidRDefault="00153D5E" w:rsidP="006A3608">
            <w:pPr>
              <w:spacing w:after="0"/>
              <w:jc w:val="center"/>
              <w:rPr>
                <w:b/>
                <w:bCs/>
                <w:color w:val="000000"/>
                <w:szCs w:val="20"/>
              </w:rPr>
            </w:pPr>
            <w:r w:rsidRPr="00B86742">
              <w:rPr>
                <w:b/>
                <w:bCs/>
                <w:color w:val="000000"/>
                <w:szCs w:val="20"/>
              </w:rPr>
              <w:t>Mining Type</w:t>
            </w:r>
          </w:p>
        </w:tc>
        <w:tc>
          <w:tcPr>
            <w:tcW w:w="1500" w:type="dxa"/>
            <w:shd w:val="clear" w:color="auto" w:fill="BFBFBF" w:themeFill="background1" w:themeFillShade="BF"/>
            <w:noWrap/>
            <w:vAlign w:val="center"/>
            <w:hideMark/>
          </w:tcPr>
          <w:p w14:paraId="548D34CB" w14:textId="77777777" w:rsidR="00153D5E" w:rsidRPr="00B86742" w:rsidRDefault="00153D5E" w:rsidP="006A3608">
            <w:pPr>
              <w:spacing w:after="0"/>
              <w:jc w:val="center"/>
              <w:rPr>
                <w:b/>
                <w:bCs/>
                <w:color w:val="000000"/>
                <w:szCs w:val="20"/>
              </w:rPr>
            </w:pPr>
            <w:r w:rsidRPr="00B86742">
              <w:rPr>
                <w:b/>
                <w:bCs/>
                <w:color w:val="000000"/>
                <w:szCs w:val="20"/>
              </w:rPr>
              <w:t xml:space="preserve">Pollutant </w:t>
            </w:r>
          </w:p>
        </w:tc>
        <w:tc>
          <w:tcPr>
            <w:tcW w:w="1152" w:type="dxa"/>
            <w:shd w:val="clear" w:color="auto" w:fill="BFBFBF" w:themeFill="background1" w:themeFillShade="BF"/>
            <w:noWrap/>
            <w:vAlign w:val="center"/>
            <w:hideMark/>
          </w:tcPr>
          <w:p w14:paraId="41903EAF" w14:textId="77777777" w:rsidR="00153D5E" w:rsidRPr="00B86742" w:rsidRDefault="00153D5E" w:rsidP="006A3608">
            <w:pPr>
              <w:spacing w:after="0"/>
              <w:jc w:val="center"/>
              <w:rPr>
                <w:b/>
                <w:bCs/>
                <w:color w:val="000000"/>
                <w:szCs w:val="20"/>
              </w:rPr>
            </w:pPr>
            <w:r>
              <w:rPr>
                <w:b/>
                <w:bCs/>
                <w:color w:val="000000"/>
                <w:szCs w:val="20"/>
              </w:rPr>
              <w:t>Emissions Factor</w:t>
            </w:r>
          </w:p>
        </w:tc>
        <w:tc>
          <w:tcPr>
            <w:tcW w:w="1584" w:type="dxa"/>
            <w:shd w:val="clear" w:color="auto" w:fill="BFBFBF" w:themeFill="background1" w:themeFillShade="BF"/>
            <w:noWrap/>
            <w:vAlign w:val="center"/>
            <w:hideMark/>
          </w:tcPr>
          <w:p w14:paraId="04F88943" w14:textId="77777777" w:rsidR="00153D5E" w:rsidRPr="00B86742" w:rsidRDefault="00153D5E" w:rsidP="006A3608">
            <w:pPr>
              <w:spacing w:after="0"/>
              <w:jc w:val="center"/>
              <w:rPr>
                <w:b/>
                <w:bCs/>
                <w:color w:val="000000"/>
                <w:szCs w:val="20"/>
              </w:rPr>
            </w:pPr>
            <w:r>
              <w:rPr>
                <w:b/>
                <w:bCs/>
                <w:color w:val="000000"/>
                <w:szCs w:val="20"/>
              </w:rPr>
              <w:t>Emissions Factor Units</w:t>
            </w:r>
          </w:p>
        </w:tc>
        <w:tc>
          <w:tcPr>
            <w:tcW w:w="1728" w:type="dxa"/>
            <w:shd w:val="clear" w:color="auto" w:fill="BFBFBF" w:themeFill="background1" w:themeFillShade="BF"/>
          </w:tcPr>
          <w:p w14:paraId="02F94BDC" w14:textId="77777777" w:rsidR="00153D5E" w:rsidRDefault="00153D5E" w:rsidP="006A3608">
            <w:pPr>
              <w:spacing w:after="0"/>
              <w:jc w:val="center"/>
              <w:rPr>
                <w:b/>
                <w:bCs/>
                <w:color w:val="000000"/>
                <w:szCs w:val="20"/>
              </w:rPr>
            </w:pPr>
            <w:r>
              <w:rPr>
                <w:b/>
                <w:bCs/>
                <w:color w:val="000000"/>
                <w:szCs w:val="20"/>
              </w:rPr>
              <w:t>Emissions Factor Reference</w:t>
            </w:r>
          </w:p>
        </w:tc>
      </w:tr>
      <w:tr w:rsidR="00153D5E" w:rsidRPr="00B86742" w14:paraId="69BCC4E7" w14:textId="77777777" w:rsidTr="00153D5E">
        <w:trPr>
          <w:trHeight w:val="144"/>
          <w:jc w:val="center"/>
        </w:trPr>
        <w:tc>
          <w:tcPr>
            <w:tcW w:w="1380" w:type="dxa"/>
            <w:shd w:val="clear" w:color="auto" w:fill="auto"/>
            <w:noWrap/>
            <w:vAlign w:val="bottom"/>
            <w:hideMark/>
          </w:tcPr>
          <w:p w14:paraId="37DD3AD4" w14:textId="77777777" w:rsidR="00153D5E" w:rsidRPr="00B86742" w:rsidRDefault="00153D5E" w:rsidP="006A3608">
            <w:pPr>
              <w:spacing w:after="0"/>
              <w:rPr>
                <w:color w:val="000000"/>
                <w:szCs w:val="20"/>
              </w:rPr>
            </w:pPr>
            <w:r w:rsidRPr="00B86742">
              <w:rPr>
                <w:color w:val="000000"/>
                <w:szCs w:val="20"/>
              </w:rPr>
              <w:t>Metallic</w:t>
            </w:r>
          </w:p>
        </w:tc>
        <w:tc>
          <w:tcPr>
            <w:tcW w:w="1500" w:type="dxa"/>
            <w:shd w:val="clear" w:color="auto" w:fill="auto"/>
            <w:noWrap/>
            <w:vAlign w:val="bottom"/>
            <w:hideMark/>
          </w:tcPr>
          <w:p w14:paraId="56A0A074" w14:textId="77777777" w:rsidR="00153D5E" w:rsidRPr="00B86742" w:rsidRDefault="00153D5E" w:rsidP="006A3608">
            <w:pPr>
              <w:spacing w:after="0"/>
              <w:rPr>
                <w:color w:val="000000"/>
                <w:szCs w:val="20"/>
              </w:rPr>
            </w:pPr>
            <w:r w:rsidRPr="00B86742">
              <w:rPr>
                <w:color w:val="000000"/>
                <w:szCs w:val="20"/>
              </w:rPr>
              <w:t>PM10-PRI</w:t>
            </w:r>
          </w:p>
        </w:tc>
        <w:tc>
          <w:tcPr>
            <w:tcW w:w="1152" w:type="dxa"/>
            <w:shd w:val="clear" w:color="auto" w:fill="auto"/>
            <w:noWrap/>
            <w:vAlign w:val="bottom"/>
            <w:hideMark/>
          </w:tcPr>
          <w:p w14:paraId="54094F56" w14:textId="77777777" w:rsidR="00153D5E" w:rsidRPr="00B86742" w:rsidRDefault="00153D5E" w:rsidP="006A3608">
            <w:pPr>
              <w:spacing w:after="0"/>
              <w:ind w:right="76"/>
              <w:jc w:val="right"/>
              <w:rPr>
                <w:color w:val="000000"/>
                <w:szCs w:val="20"/>
              </w:rPr>
            </w:pPr>
            <w:r w:rsidRPr="00B86742">
              <w:rPr>
                <w:color w:val="000000"/>
                <w:szCs w:val="20"/>
              </w:rPr>
              <w:t>0.0548</w:t>
            </w:r>
          </w:p>
        </w:tc>
        <w:tc>
          <w:tcPr>
            <w:tcW w:w="1584" w:type="dxa"/>
            <w:shd w:val="clear" w:color="auto" w:fill="auto"/>
            <w:noWrap/>
            <w:vAlign w:val="center"/>
            <w:hideMark/>
          </w:tcPr>
          <w:p w14:paraId="2732A716" w14:textId="77777777" w:rsidR="00153D5E" w:rsidRDefault="00153D5E" w:rsidP="006A3608">
            <w:pPr>
              <w:spacing w:after="0"/>
              <w:jc w:val="center"/>
            </w:pPr>
            <w:r w:rsidRPr="00C5396C">
              <w:rPr>
                <w:color w:val="000000"/>
                <w:szCs w:val="20"/>
              </w:rPr>
              <w:t>lbs./ton</w:t>
            </w:r>
          </w:p>
        </w:tc>
        <w:tc>
          <w:tcPr>
            <w:tcW w:w="1728" w:type="dxa"/>
          </w:tcPr>
          <w:p w14:paraId="606C49F6" w14:textId="77777777" w:rsidR="00153D5E" w:rsidRPr="00C5396C" w:rsidRDefault="00153D5E" w:rsidP="006A3608">
            <w:pPr>
              <w:spacing w:after="0"/>
              <w:jc w:val="center"/>
              <w:rPr>
                <w:color w:val="000000"/>
                <w:szCs w:val="20"/>
              </w:rPr>
            </w:pPr>
            <w:r>
              <w:rPr>
                <w:color w:val="000000"/>
                <w:szCs w:val="20"/>
              </w:rPr>
              <w:fldChar w:fldCharType="begin"/>
            </w:r>
            <w:r>
              <w:rPr>
                <w:color w:val="000000"/>
                <w:szCs w:val="20"/>
              </w:rPr>
              <w:instrText xml:space="preserve"> NOTEREF _Ref479344966 \h </w:instrText>
            </w:r>
            <w:r>
              <w:rPr>
                <w:color w:val="000000"/>
                <w:szCs w:val="20"/>
              </w:rPr>
            </w:r>
            <w:r>
              <w:rPr>
                <w:color w:val="000000"/>
                <w:szCs w:val="20"/>
              </w:rPr>
              <w:fldChar w:fldCharType="separate"/>
            </w:r>
            <w:r w:rsidR="00700556">
              <w:rPr>
                <w:color w:val="000000"/>
                <w:szCs w:val="20"/>
              </w:rPr>
              <w:t>4</w:t>
            </w:r>
            <w:r>
              <w:rPr>
                <w:color w:val="000000"/>
                <w:szCs w:val="20"/>
              </w:rPr>
              <w:fldChar w:fldCharType="end"/>
            </w:r>
          </w:p>
        </w:tc>
      </w:tr>
      <w:tr w:rsidR="00153D5E" w:rsidRPr="00B86742" w14:paraId="13706E96" w14:textId="77777777" w:rsidTr="00153D5E">
        <w:trPr>
          <w:trHeight w:val="144"/>
          <w:jc w:val="center"/>
        </w:trPr>
        <w:tc>
          <w:tcPr>
            <w:tcW w:w="1380" w:type="dxa"/>
            <w:shd w:val="clear" w:color="auto" w:fill="auto"/>
            <w:noWrap/>
            <w:vAlign w:val="bottom"/>
            <w:hideMark/>
          </w:tcPr>
          <w:p w14:paraId="754DB57F" w14:textId="77777777" w:rsidR="00153D5E" w:rsidRPr="00B86742" w:rsidRDefault="00153D5E" w:rsidP="006A3608">
            <w:pPr>
              <w:spacing w:after="0"/>
              <w:rPr>
                <w:color w:val="000000"/>
                <w:szCs w:val="20"/>
              </w:rPr>
            </w:pPr>
            <w:r w:rsidRPr="00B86742">
              <w:rPr>
                <w:color w:val="000000"/>
                <w:szCs w:val="20"/>
              </w:rPr>
              <w:t>Metallic</w:t>
            </w:r>
          </w:p>
        </w:tc>
        <w:tc>
          <w:tcPr>
            <w:tcW w:w="1500" w:type="dxa"/>
            <w:shd w:val="clear" w:color="auto" w:fill="auto"/>
            <w:noWrap/>
            <w:vAlign w:val="bottom"/>
            <w:hideMark/>
          </w:tcPr>
          <w:p w14:paraId="4F9F4C89" w14:textId="77777777" w:rsidR="00153D5E" w:rsidRPr="00B86742" w:rsidRDefault="00153D5E" w:rsidP="006A3608">
            <w:pPr>
              <w:spacing w:after="0"/>
              <w:rPr>
                <w:color w:val="000000"/>
                <w:szCs w:val="20"/>
              </w:rPr>
            </w:pPr>
            <w:r w:rsidRPr="00B86742">
              <w:rPr>
                <w:color w:val="000000"/>
                <w:szCs w:val="20"/>
              </w:rPr>
              <w:t>PM10-FIL</w:t>
            </w:r>
          </w:p>
        </w:tc>
        <w:tc>
          <w:tcPr>
            <w:tcW w:w="1152" w:type="dxa"/>
            <w:shd w:val="clear" w:color="auto" w:fill="auto"/>
            <w:noWrap/>
            <w:vAlign w:val="bottom"/>
            <w:hideMark/>
          </w:tcPr>
          <w:p w14:paraId="0E6A9184" w14:textId="77777777" w:rsidR="00153D5E" w:rsidRPr="00B86742" w:rsidRDefault="00153D5E" w:rsidP="006A3608">
            <w:pPr>
              <w:spacing w:after="0"/>
              <w:ind w:right="76"/>
              <w:jc w:val="right"/>
              <w:rPr>
                <w:color w:val="000000"/>
                <w:szCs w:val="20"/>
              </w:rPr>
            </w:pPr>
            <w:r w:rsidRPr="00B86742">
              <w:rPr>
                <w:color w:val="000000"/>
                <w:szCs w:val="20"/>
              </w:rPr>
              <w:t>0.0548</w:t>
            </w:r>
          </w:p>
        </w:tc>
        <w:tc>
          <w:tcPr>
            <w:tcW w:w="1584" w:type="dxa"/>
            <w:shd w:val="clear" w:color="auto" w:fill="auto"/>
            <w:noWrap/>
            <w:vAlign w:val="center"/>
            <w:hideMark/>
          </w:tcPr>
          <w:p w14:paraId="5A8BC285" w14:textId="77777777" w:rsidR="00153D5E" w:rsidRDefault="00153D5E" w:rsidP="006A3608">
            <w:pPr>
              <w:spacing w:after="0"/>
              <w:jc w:val="center"/>
            </w:pPr>
            <w:r w:rsidRPr="00C5396C">
              <w:rPr>
                <w:color w:val="000000"/>
                <w:szCs w:val="20"/>
              </w:rPr>
              <w:t>lbs./ton</w:t>
            </w:r>
          </w:p>
        </w:tc>
        <w:tc>
          <w:tcPr>
            <w:tcW w:w="1728" w:type="dxa"/>
          </w:tcPr>
          <w:p w14:paraId="6DAAD869" w14:textId="77777777" w:rsidR="00153D5E" w:rsidRPr="00C5396C" w:rsidRDefault="00153D5E" w:rsidP="006A3608">
            <w:pPr>
              <w:spacing w:after="0"/>
              <w:jc w:val="center"/>
              <w:rPr>
                <w:color w:val="000000"/>
                <w:szCs w:val="20"/>
              </w:rPr>
            </w:pPr>
            <w:r>
              <w:rPr>
                <w:color w:val="000000"/>
                <w:szCs w:val="20"/>
              </w:rPr>
              <w:fldChar w:fldCharType="begin"/>
            </w:r>
            <w:r>
              <w:rPr>
                <w:color w:val="000000"/>
                <w:szCs w:val="20"/>
              </w:rPr>
              <w:instrText xml:space="preserve"> NOTEREF _Ref479344966 \h </w:instrText>
            </w:r>
            <w:r>
              <w:rPr>
                <w:color w:val="000000"/>
                <w:szCs w:val="20"/>
              </w:rPr>
            </w:r>
            <w:r>
              <w:rPr>
                <w:color w:val="000000"/>
                <w:szCs w:val="20"/>
              </w:rPr>
              <w:fldChar w:fldCharType="separate"/>
            </w:r>
            <w:r w:rsidR="00700556">
              <w:rPr>
                <w:color w:val="000000"/>
                <w:szCs w:val="20"/>
              </w:rPr>
              <w:t>4</w:t>
            </w:r>
            <w:r>
              <w:rPr>
                <w:color w:val="000000"/>
                <w:szCs w:val="20"/>
              </w:rPr>
              <w:fldChar w:fldCharType="end"/>
            </w:r>
          </w:p>
        </w:tc>
      </w:tr>
      <w:tr w:rsidR="00153D5E" w:rsidRPr="00B86742" w14:paraId="033817B9" w14:textId="77777777" w:rsidTr="00153D5E">
        <w:trPr>
          <w:trHeight w:val="144"/>
          <w:jc w:val="center"/>
        </w:trPr>
        <w:tc>
          <w:tcPr>
            <w:tcW w:w="1380" w:type="dxa"/>
            <w:shd w:val="clear" w:color="auto" w:fill="auto"/>
            <w:noWrap/>
            <w:vAlign w:val="bottom"/>
            <w:hideMark/>
          </w:tcPr>
          <w:p w14:paraId="21F3DB79" w14:textId="77777777" w:rsidR="00153D5E" w:rsidRPr="00B86742" w:rsidRDefault="00153D5E" w:rsidP="006A3608">
            <w:pPr>
              <w:spacing w:after="0"/>
              <w:rPr>
                <w:color w:val="000000"/>
                <w:szCs w:val="20"/>
              </w:rPr>
            </w:pPr>
            <w:r w:rsidRPr="00B86742">
              <w:rPr>
                <w:color w:val="000000"/>
                <w:szCs w:val="20"/>
              </w:rPr>
              <w:t>Metallic</w:t>
            </w:r>
          </w:p>
        </w:tc>
        <w:tc>
          <w:tcPr>
            <w:tcW w:w="1500" w:type="dxa"/>
            <w:shd w:val="clear" w:color="auto" w:fill="auto"/>
            <w:noWrap/>
            <w:vAlign w:val="bottom"/>
            <w:hideMark/>
          </w:tcPr>
          <w:p w14:paraId="7EEE4748" w14:textId="77777777" w:rsidR="00153D5E" w:rsidRPr="00B86742" w:rsidRDefault="00153D5E" w:rsidP="006A3608">
            <w:pPr>
              <w:spacing w:after="0"/>
              <w:rPr>
                <w:color w:val="000000"/>
                <w:szCs w:val="20"/>
              </w:rPr>
            </w:pPr>
            <w:r w:rsidRPr="00B86742">
              <w:rPr>
                <w:color w:val="000000"/>
                <w:szCs w:val="20"/>
              </w:rPr>
              <w:t>PM25-PRI</w:t>
            </w:r>
          </w:p>
        </w:tc>
        <w:tc>
          <w:tcPr>
            <w:tcW w:w="1152" w:type="dxa"/>
            <w:shd w:val="clear" w:color="auto" w:fill="auto"/>
            <w:noWrap/>
            <w:vAlign w:val="bottom"/>
            <w:hideMark/>
          </w:tcPr>
          <w:p w14:paraId="1FA5ECD2" w14:textId="77777777" w:rsidR="00153D5E" w:rsidRPr="00B86742" w:rsidRDefault="00153D5E" w:rsidP="006A3608">
            <w:pPr>
              <w:spacing w:after="0"/>
              <w:ind w:right="76"/>
              <w:jc w:val="right"/>
              <w:rPr>
                <w:color w:val="000000"/>
                <w:szCs w:val="20"/>
              </w:rPr>
            </w:pPr>
            <w:r>
              <w:rPr>
                <w:color w:val="000000"/>
                <w:szCs w:val="20"/>
              </w:rPr>
              <w:t>0.0069</w:t>
            </w:r>
          </w:p>
        </w:tc>
        <w:tc>
          <w:tcPr>
            <w:tcW w:w="1584" w:type="dxa"/>
            <w:shd w:val="clear" w:color="auto" w:fill="auto"/>
            <w:noWrap/>
            <w:vAlign w:val="center"/>
            <w:hideMark/>
          </w:tcPr>
          <w:p w14:paraId="02B96163" w14:textId="77777777" w:rsidR="00153D5E" w:rsidRDefault="00153D5E" w:rsidP="006A3608">
            <w:pPr>
              <w:spacing w:after="0"/>
              <w:jc w:val="center"/>
            </w:pPr>
            <w:r w:rsidRPr="00C5396C">
              <w:rPr>
                <w:color w:val="000000"/>
                <w:szCs w:val="20"/>
              </w:rPr>
              <w:t>lbs./ton</w:t>
            </w:r>
          </w:p>
        </w:tc>
        <w:tc>
          <w:tcPr>
            <w:tcW w:w="1728" w:type="dxa"/>
          </w:tcPr>
          <w:p w14:paraId="4EB205D9" w14:textId="77777777" w:rsidR="00153D5E" w:rsidRPr="00C5396C" w:rsidRDefault="00153D5E" w:rsidP="002B5506">
            <w:pPr>
              <w:spacing w:after="0"/>
              <w:jc w:val="center"/>
              <w:rPr>
                <w:color w:val="000000"/>
                <w:szCs w:val="20"/>
              </w:rPr>
            </w:pPr>
            <w:r>
              <w:rPr>
                <w:color w:val="000000"/>
                <w:szCs w:val="20"/>
              </w:rPr>
              <w:t>PM10 × 0.125</w:t>
            </w:r>
          </w:p>
        </w:tc>
      </w:tr>
      <w:tr w:rsidR="00153D5E" w:rsidRPr="00B86742" w14:paraId="0F0B0B6C" w14:textId="77777777" w:rsidTr="00153D5E">
        <w:trPr>
          <w:trHeight w:val="144"/>
          <w:jc w:val="center"/>
        </w:trPr>
        <w:tc>
          <w:tcPr>
            <w:tcW w:w="1380" w:type="dxa"/>
            <w:shd w:val="clear" w:color="auto" w:fill="auto"/>
            <w:noWrap/>
            <w:vAlign w:val="bottom"/>
            <w:hideMark/>
          </w:tcPr>
          <w:p w14:paraId="7FB713F7" w14:textId="77777777" w:rsidR="00153D5E" w:rsidRPr="00B86742" w:rsidRDefault="00153D5E" w:rsidP="006A3608">
            <w:pPr>
              <w:spacing w:after="0"/>
              <w:rPr>
                <w:color w:val="000000"/>
                <w:szCs w:val="20"/>
              </w:rPr>
            </w:pPr>
            <w:r w:rsidRPr="00B86742">
              <w:rPr>
                <w:color w:val="000000"/>
                <w:szCs w:val="20"/>
              </w:rPr>
              <w:t>Metallic</w:t>
            </w:r>
          </w:p>
        </w:tc>
        <w:tc>
          <w:tcPr>
            <w:tcW w:w="1500" w:type="dxa"/>
            <w:shd w:val="clear" w:color="auto" w:fill="auto"/>
            <w:noWrap/>
            <w:vAlign w:val="bottom"/>
            <w:hideMark/>
          </w:tcPr>
          <w:p w14:paraId="3C4A6E6C" w14:textId="77777777" w:rsidR="00153D5E" w:rsidRPr="00B86742" w:rsidRDefault="00153D5E" w:rsidP="006A3608">
            <w:pPr>
              <w:spacing w:after="0"/>
              <w:rPr>
                <w:color w:val="000000"/>
                <w:szCs w:val="20"/>
              </w:rPr>
            </w:pPr>
            <w:r w:rsidRPr="00B86742">
              <w:rPr>
                <w:color w:val="000000"/>
                <w:szCs w:val="20"/>
              </w:rPr>
              <w:t>PM25-FIL</w:t>
            </w:r>
          </w:p>
        </w:tc>
        <w:tc>
          <w:tcPr>
            <w:tcW w:w="1152" w:type="dxa"/>
            <w:shd w:val="clear" w:color="auto" w:fill="auto"/>
            <w:noWrap/>
            <w:vAlign w:val="bottom"/>
            <w:hideMark/>
          </w:tcPr>
          <w:p w14:paraId="5D87850B" w14:textId="77777777" w:rsidR="00153D5E" w:rsidRPr="00B86742" w:rsidRDefault="00153D5E" w:rsidP="006A3608">
            <w:pPr>
              <w:spacing w:after="0"/>
              <w:ind w:right="76"/>
              <w:jc w:val="right"/>
              <w:rPr>
                <w:color w:val="000000"/>
                <w:szCs w:val="20"/>
              </w:rPr>
            </w:pPr>
            <w:r>
              <w:rPr>
                <w:color w:val="000000"/>
                <w:szCs w:val="20"/>
              </w:rPr>
              <w:t>0.0069</w:t>
            </w:r>
          </w:p>
        </w:tc>
        <w:tc>
          <w:tcPr>
            <w:tcW w:w="1584" w:type="dxa"/>
            <w:shd w:val="clear" w:color="auto" w:fill="auto"/>
            <w:noWrap/>
            <w:vAlign w:val="center"/>
            <w:hideMark/>
          </w:tcPr>
          <w:p w14:paraId="1DB6735B" w14:textId="77777777" w:rsidR="00153D5E" w:rsidRDefault="00153D5E" w:rsidP="006A3608">
            <w:pPr>
              <w:spacing w:after="0"/>
              <w:jc w:val="center"/>
            </w:pPr>
            <w:r w:rsidRPr="00C5396C">
              <w:rPr>
                <w:color w:val="000000"/>
                <w:szCs w:val="20"/>
              </w:rPr>
              <w:t>lbs./ton</w:t>
            </w:r>
          </w:p>
        </w:tc>
        <w:tc>
          <w:tcPr>
            <w:tcW w:w="1728" w:type="dxa"/>
          </w:tcPr>
          <w:p w14:paraId="49944CCE" w14:textId="77777777" w:rsidR="00153D5E" w:rsidRPr="00C5396C" w:rsidRDefault="00153D5E" w:rsidP="002B5506">
            <w:pPr>
              <w:spacing w:after="0"/>
              <w:jc w:val="center"/>
              <w:rPr>
                <w:color w:val="000000"/>
                <w:szCs w:val="20"/>
              </w:rPr>
            </w:pPr>
            <w:r>
              <w:rPr>
                <w:color w:val="000000"/>
                <w:szCs w:val="20"/>
              </w:rPr>
              <w:t>PM10 × 0.125</w:t>
            </w:r>
          </w:p>
        </w:tc>
      </w:tr>
      <w:tr w:rsidR="0024417D" w:rsidRPr="00B86742" w14:paraId="3F8FE7BD" w14:textId="77777777" w:rsidTr="002B5506">
        <w:trPr>
          <w:trHeight w:val="144"/>
          <w:jc w:val="center"/>
        </w:trPr>
        <w:tc>
          <w:tcPr>
            <w:tcW w:w="1380" w:type="dxa"/>
            <w:shd w:val="clear" w:color="auto" w:fill="auto"/>
            <w:noWrap/>
            <w:vAlign w:val="bottom"/>
            <w:hideMark/>
          </w:tcPr>
          <w:p w14:paraId="62E1C658" w14:textId="77777777" w:rsidR="0024417D" w:rsidRPr="00B86742" w:rsidRDefault="0024417D" w:rsidP="006A3608">
            <w:pPr>
              <w:spacing w:after="0"/>
              <w:rPr>
                <w:color w:val="000000"/>
                <w:szCs w:val="20"/>
              </w:rPr>
            </w:pPr>
            <w:r w:rsidRPr="00B86742">
              <w:rPr>
                <w:color w:val="000000"/>
                <w:szCs w:val="20"/>
              </w:rPr>
              <w:t>Non-Metallic</w:t>
            </w:r>
          </w:p>
        </w:tc>
        <w:tc>
          <w:tcPr>
            <w:tcW w:w="1500" w:type="dxa"/>
            <w:shd w:val="clear" w:color="auto" w:fill="auto"/>
            <w:noWrap/>
            <w:vAlign w:val="bottom"/>
            <w:hideMark/>
          </w:tcPr>
          <w:p w14:paraId="076ED623" w14:textId="77777777" w:rsidR="0024417D" w:rsidRPr="00B86742" w:rsidRDefault="0024417D" w:rsidP="006A3608">
            <w:pPr>
              <w:spacing w:after="0"/>
              <w:rPr>
                <w:color w:val="000000"/>
                <w:szCs w:val="20"/>
              </w:rPr>
            </w:pPr>
            <w:r w:rsidRPr="00B86742">
              <w:rPr>
                <w:color w:val="000000"/>
                <w:szCs w:val="20"/>
              </w:rPr>
              <w:t>PM10-PRI</w:t>
            </w:r>
          </w:p>
        </w:tc>
        <w:tc>
          <w:tcPr>
            <w:tcW w:w="1152" w:type="dxa"/>
            <w:shd w:val="clear" w:color="auto" w:fill="auto"/>
            <w:noWrap/>
            <w:vAlign w:val="bottom"/>
            <w:hideMark/>
          </w:tcPr>
          <w:p w14:paraId="2BCB3460" w14:textId="77777777" w:rsidR="0024417D" w:rsidRPr="00B86742" w:rsidRDefault="0024417D" w:rsidP="006A3608">
            <w:pPr>
              <w:spacing w:after="0"/>
              <w:ind w:right="76"/>
              <w:jc w:val="right"/>
              <w:rPr>
                <w:color w:val="000000"/>
                <w:szCs w:val="20"/>
              </w:rPr>
            </w:pPr>
            <w:r w:rsidRPr="00B86742">
              <w:rPr>
                <w:color w:val="000000"/>
                <w:szCs w:val="20"/>
              </w:rPr>
              <w:t>0.293</w:t>
            </w:r>
          </w:p>
        </w:tc>
        <w:tc>
          <w:tcPr>
            <w:tcW w:w="1584" w:type="dxa"/>
            <w:shd w:val="clear" w:color="auto" w:fill="auto"/>
            <w:noWrap/>
            <w:vAlign w:val="center"/>
            <w:hideMark/>
          </w:tcPr>
          <w:p w14:paraId="294D171A" w14:textId="77777777" w:rsidR="0024417D" w:rsidRDefault="0024417D" w:rsidP="006A3608">
            <w:pPr>
              <w:spacing w:after="0"/>
              <w:jc w:val="center"/>
            </w:pPr>
            <w:r w:rsidRPr="00EA67A4">
              <w:rPr>
                <w:color w:val="000000"/>
                <w:szCs w:val="20"/>
              </w:rPr>
              <w:t>lbs./ton</w:t>
            </w:r>
          </w:p>
        </w:tc>
        <w:tc>
          <w:tcPr>
            <w:tcW w:w="1728" w:type="dxa"/>
            <w:vAlign w:val="bottom"/>
          </w:tcPr>
          <w:p w14:paraId="2B654AE6" w14:textId="77777777" w:rsidR="0024417D" w:rsidRPr="00B86742" w:rsidRDefault="0024417D" w:rsidP="002B5506">
            <w:pPr>
              <w:spacing w:after="0"/>
              <w:jc w:val="center"/>
              <w:rPr>
                <w:color w:val="000000"/>
                <w:szCs w:val="20"/>
              </w:rPr>
            </w:pPr>
            <w:r>
              <w:rPr>
                <w:color w:val="000000"/>
                <w:szCs w:val="20"/>
              </w:rPr>
              <w:fldChar w:fldCharType="begin"/>
            </w:r>
            <w:r>
              <w:rPr>
                <w:color w:val="000000"/>
                <w:szCs w:val="20"/>
              </w:rPr>
              <w:instrText xml:space="preserve"> NOTEREF _Ref479330982 \h </w:instrText>
            </w:r>
            <w:r>
              <w:rPr>
                <w:color w:val="000000"/>
                <w:szCs w:val="20"/>
              </w:rPr>
            </w:r>
            <w:r>
              <w:rPr>
                <w:color w:val="000000"/>
                <w:szCs w:val="20"/>
              </w:rPr>
              <w:fldChar w:fldCharType="separate"/>
            </w:r>
            <w:r w:rsidR="00700556">
              <w:rPr>
                <w:color w:val="000000"/>
                <w:szCs w:val="20"/>
              </w:rPr>
              <w:t>7</w:t>
            </w:r>
            <w:r>
              <w:rPr>
                <w:color w:val="000000"/>
                <w:szCs w:val="20"/>
              </w:rPr>
              <w:fldChar w:fldCharType="end"/>
            </w:r>
            <w:r>
              <w:rPr>
                <w:color w:val="000000"/>
                <w:szCs w:val="20"/>
              </w:rPr>
              <w:t xml:space="preserve">, </w:t>
            </w:r>
            <w:r>
              <w:rPr>
                <w:color w:val="000000"/>
                <w:szCs w:val="20"/>
              </w:rPr>
              <w:fldChar w:fldCharType="begin"/>
            </w:r>
            <w:r>
              <w:rPr>
                <w:color w:val="000000"/>
                <w:szCs w:val="20"/>
              </w:rPr>
              <w:instrText xml:space="preserve"> NOTEREF _Ref479333058 \h </w:instrText>
            </w:r>
            <w:r>
              <w:rPr>
                <w:color w:val="000000"/>
                <w:szCs w:val="20"/>
              </w:rPr>
            </w:r>
            <w:r>
              <w:rPr>
                <w:color w:val="000000"/>
                <w:szCs w:val="20"/>
              </w:rPr>
              <w:fldChar w:fldCharType="separate"/>
            </w:r>
            <w:r w:rsidR="00700556">
              <w:rPr>
                <w:color w:val="000000"/>
                <w:szCs w:val="20"/>
              </w:rPr>
              <w:t>8</w:t>
            </w:r>
            <w:r>
              <w:rPr>
                <w:color w:val="000000"/>
                <w:szCs w:val="20"/>
              </w:rPr>
              <w:fldChar w:fldCharType="end"/>
            </w:r>
          </w:p>
        </w:tc>
      </w:tr>
      <w:tr w:rsidR="0024417D" w:rsidRPr="00B86742" w14:paraId="34E15E03" w14:textId="77777777" w:rsidTr="002B5506">
        <w:trPr>
          <w:trHeight w:val="144"/>
          <w:jc w:val="center"/>
        </w:trPr>
        <w:tc>
          <w:tcPr>
            <w:tcW w:w="1380" w:type="dxa"/>
            <w:shd w:val="clear" w:color="auto" w:fill="auto"/>
            <w:noWrap/>
            <w:vAlign w:val="bottom"/>
            <w:hideMark/>
          </w:tcPr>
          <w:p w14:paraId="428505DB" w14:textId="77777777" w:rsidR="0024417D" w:rsidRPr="00B86742" w:rsidRDefault="0024417D" w:rsidP="006A3608">
            <w:pPr>
              <w:spacing w:after="0"/>
              <w:rPr>
                <w:color w:val="000000"/>
                <w:szCs w:val="20"/>
              </w:rPr>
            </w:pPr>
            <w:r w:rsidRPr="00B86742">
              <w:rPr>
                <w:color w:val="000000"/>
                <w:szCs w:val="20"/>
              </w:rPr>
              <w:t>Non-Metallic</w:t>
            </w:r>
          </w:p>
        </w:tc>
        <w:tc>
          <w:tcPr>
            <w:tcW w:w="1500" w:type="dxa"/>
            <w:shd w:val="clear" w:color="auto" w:fill="auto"/>
            <w:noWrap/>
            <w:vAlign w:val="bottom"/>
            <w:hideMark/>
          </w:tcPr>
          <w:p w14:paraId="2E9B4CA7" w14:textId="77777777" w:rsidR="0024417D" w:rsidRPr="00B86742" w:rsidRDefault="0024417D" w:rsidP="006A3608">
            <w:pPr>
              <w:spacing w:after="0"/>
              <w:rPr>
                <w:color w:val="000000"/>
                <w:szCs w:val="20"/>
              </w:rPr>
            </w:pPr>
            <w:r w:rsidRPr="00B86742">
              <w:rPr>
                <w:color w:val="000000"/>
                <w:szCs w:val="20"/>
              </w:rPr>
              <w:t>PM10-FIL</w:t>
            </w:r>
          </w:p>
        </w:tc>
        <w:tc>
          <w:tcPr>
            <w:tcW w:w="1152" w:type="dxa"/>
            <w:shd w:val="clear" w:color="auto" w:fill="auto"/>
            <w:noWrap/>
            <w:vAlign w:val="bottom"/>
            <w:hideMark/>
          </w:tcPr>
          <w:p w14:paraId="1F48FA67" w14:textId="77777777" w:rsidR="0024417D" w:rsidRPr="00B86742" w:rsidRDefault="0024417D" w:rsidP="006A3608">
            <w:pPr>
              <w:spacing w:after="0"/>
              <w:ind w:right="76"/>
              <w:jc w:val="right"/>
              <w:rPr>
                <w:color w:val="000000"/>
                <w:szCs w:val="20"/>
              </w:rPr>
            </w:pPr>
            <w:r w:rsidRPr="00B86742">
              <w:rPr>
                <w:color w:val="000000"/>
                <w:szCs w:val="20"/>
              </w:rPr>
              <w:t>0.293</w:t>
            </w:r>
          </w:p>
        </w:tc>
        <w:tc>
          <w:tcPr>
            <w:tcW w:w="1584" w:type="dxa"/>
            <w:shd w:val="clear" w:color="auto" w:fill="auto"/>
            <w:noWrap/>
            <w:vAlign w:val="center"/>
            <w:hideMark/>
          </w:tcPr>
          <w:p w14:paraId="77343A8D" w14:textId="77777777" w:rsidR="0024417D" w:rsidRDefault="0024417D" w:rsidP="006A3608">
            <w:pPr>
              <w:spacing w:after="0"/>
              <w:jc w:val="center"/>
            </w:pPr>
            <w:r w:rsidRPr="00EA67A4">
              <w:rPr>
                <w:color w:val="000000"/>
                <w:szCs w:val="20"/>
              </w:rPr>
              <w:t>lbs./ton</w:t>
            </w:r>
          </w:p>
        </w:tc>
        <w:tc>
          <w:tcPr>
            <w:tcW w:w="1728" w:type="dxa"/>
            <w:vAlign w:val="bottom"/>
          </w:tcPr>
          <w:p w14:paraId="53A07B4B" w14:textId="77777777" w:rsidR="0024417D" w:rsidRPr="00B86742" w:rsidRDefault="0024417D" w:rsidP="002B5506">
            <w:pPr>
              <w:spacing w:after="0"/>
              <w:jc w:val="center"/>
              <w:rPr>
                <w:color w:val="000000"/>
                <w:szCs w:val="20"/>
              </w:rPr>
            </w:pPr>
            <w:r>
              <w:rPr>
                <w:color w:val="000000"/>
                <w:szCs w:val="20"/>
              </w:rPr>
              <w:fldChar w:fldCharType="begin"/>
            </w:r>
            <w:r>
              <w:rPr>
                <w:color w:val="000000"/>
                <w:szCs w:val="20"/>
              </w:rPr>
              <w:instrText xml:space="preserve"> NOTEREF _Ref479330982 \h </w:instrText>
            </w:r>
            <w:r>
              <w:rPr>
                <w:color w:val="000000"/>
                <w:szCs w:val="20"/>
              </w:rPr>
            </w:r>
            <w:r>
              <w:rPr>
                <w:color w:val="000000"/>
                <w:szCs w:val="20"/>
              </w:rPr>
              <w:fldChar w:fldCharType="separate"/>
            </w:r>
            <w:r w:rsidR="00700556">
              <w:rPr>
                <w:color w:val="000000"/>
                <w:szCs w:val="20"/>
              </w:rPr>
              <w:t>7</w:t>
            </w:r>
            <w:r>
              <w:rPr>
                <w:color w:val="000000"/>
                <w:szCs w:val="20"/>
              </w:rPr>
              <w:fldChar w:fldCharType="end"/>
            </w:r>
            <w:r>
              <w:rPr>
                <w:color w:val="000000"/>
                <w:szCs w:val="20"/>
              </w:rPr>
              <w:t xml:space="preserve">, </w:t>
            </w:r>
            <w:r>
              <w:rPr>
                <w:color w:val="000000"/>
                <w:szCs w:val="20"/>
              </w:rPr>
              <w:fldChar w:fldCharType="begin"/>
            </w:r>
            <w:r>
              <w:rPr>
                <w:color w:val="000000"/>
                <w:szCs w:val="20"/>
              </w:rPr>
              <w:instrText xml:space="preserve"> NOTEREF _Ref479333058 \h </w:instrText>
            </w:r>
            <w:r>
              <w:rPr>
                <w:color w:val="000000"/>
                <w:szCs w:val="20"/>
              </w:rPr>
            </w:r>
            <w:r>
              <w:rPr>
                <w:color w:val="000000"/>
                <w:szCs w:val="20"/>
              </w:rPr>
              <w:fldChar w:fldCharType="separate"/>
            </w:r>
            <w:r w:rsidR="00700556">
              <w:rPr>
                <w:color w:val="000000"/>
                <w:szCs w:val="20"/>
              </w:rPr>
              <w:t>8</w:t>
            </w:r>
            <w:r>
              <w:rPr>
                <w:color w:val="000000"/>
                <w:szCs w:val="20"/>
              </w:rPr>
              <w:fldChar w:fldCharType="end"/>
            </w:r>
          </w:p>
        </w:tc>
      </w:tr>
      <w:tr w:rsidR="00DA6572" w:rsidRPr="00B86742" w14:paraId="6189FECE" w14:textId="77777777" w:rsidTr="00153D5E">
        <w:trPr>
          <w:trHeight w:val="144"/>
          <w:jc w:val="center"/>
        </w:trPr>
        <w:tc>
          <w:tcPr>
            <w:tcW w:w="1380" w:type="dxa"/>
            <w:shd w:val="clear" w:color="auto" w:fill="auto"/>
            <w:noWrap/>
            <w:vAlign w:val="bottom"/>
            <w:hideMark/>
          </w:tcPr>
          <w:p w14:paraId="66101C9C" w14:textId="77777777" w:rsidR="00DA6572" w:rsidRPr="00B86742" w:rsidRDefault="00DA6572" w:rsidP="006A3608">
            <w:pPr>
              <w:spacing w:after="0"/>
              <w:rPr>
                <w:color w:val="000000"/>
                <w:szCs w:val="20"/>
              </w:rPr>
            </w:pPr>
            <w:r w:rsidRPr="00B86742">
              <w:rPr>
                <w:color w:val="000000"/>
                <w:szCs w:val="20"/>
              </w:rPr>
              <w:t>Non-Metallic</w:t>
            </w:r>
          </w:p>
        </w:tc>
        <w:tc>
          <w:tcPr>
            <w:tcW w:w="1500" w:type="dxa"/>
            <w:shd w:val="clear" w:color="auto" w:fill="auto"/>
            <w:noWrap/>
            <w:vAlign w:val="bottom"/>
            <w:hideMark/>
          </w:tcPr>
          <w:p w14:paraId="36907DBD" w14:textId="77777777" w:rsidR="00DA6572" w:rsidRPr="00B86742" w:rsidRDefault="00DA6572" w:rsidP="006A3608">
            <w:pPr>
              <w:spacing w:after="0"/>
              <w:rPr>
                <w:color w:val="000000"/>
                <w:szCs w:val="20"/>
              </w:rPr>
            </w:pPr>
            <w:r w:rsidRPr="00B86742">
              <w:rPr>
                <w:color w:val="000000"/>
                <w:szCs w:val="20"/>
              </w:rPr>
              <w:t>PM25-PRI</w:t>
            </w:r>
          </w:p>
        </w:tc>
        <w:tc>
          <w:tcPr>
            <w:tcW w:w="1152" w:type="dxa"/>
            <w:shd w:val="clear" w:color="auto" w:fill="auto"/>
            <w:noWrap/>
            <w:vAlign w:val="bottom"/>
            <w:hideMark/>
          </w:tcPr>
          <w:p w14:paraId="632C5BB4" w14:textId="77777777" w:rsidR="00DA6572" w:rsidRPr="00B86742" w:rsidRDefault="00DA6572" w:rsidP="006A3608">
            <w:pPr>
              <w:spacing w:after="0"/>
              <w:ind w:right="76"/>
              <w:jc w:val="right"/>
              <w:rPr>
                <w:color w:val="000000"/>
                <w:szCs w:val="20"/>
              </w:rPr>
            </w:pPr>
            <w:r w:rsidRPr="00B86742">
              <w:rPr>
                <w:color w:val="000000"/>
                <w:szCs w:val="20"/>
              </w:rPr>
              <w:t>0.037</w:t>
            </w:r>
          </w:p>
        </w:tc>
        <w:tc>
          <w:tcPr>
            <w:tcW w:w="1584" w:type="dxa"/>
            <w:shd w:val="clear" w:color="auto" w:fill="auto"/>
            <w:noWrap/>
            <w:vAlign w:val="center"/>
            <w:hideMark/>
          </w:tcPr>
          <w:p w14:paraId="6793D1EF" w14:textId="77777777" w:rsidR="00DA6572" w:rsidRDefault="00DA6572" w:rsidP="006A3608">
            <w:pPr>
              <w:spacing w:after="0"/>
              <w:jc w:val="center"/>
            </w:pPr>
            <w:r w:rsidRPr="00EA67A4">
              <w:rPr>
                <w:color w:val="000000"/>
                <w:szCs w:val="20"/>
              </w:rPr>
              <w:t>lbs./ton</w:t>
            </w:r>
          </w:p>
        </w:tc>
        <w:tc>
          <w:tcPr>
            <w:tcW w:w="1728" w:type="dxa"/>
          </w:tcPr>
          <w:p w14:paraId="53DA5D4B" w14:textId="77777777" w:rsidR="00DA6572" w:rsidRPr="00C5396C" w:rsidRDefault="00DA6572" w:rsidP="002B5506">
            <w:pPr>
              <w:spacing w:after="0"/>
              <w:jc w:val="center"/>
              <w:rPr>
                <w:color w:val="000000"/>
                <w:szCs w:val="20"/>
              </w:rPr>
            </w:pPr>
            <w:r>
              <w:rPr>
                <w:color w:val="000000"/>
                <w:szCs w:val="20"/>
              </w:rPr>
              <w:t>PM10 × 0.125</w:t>
            </w:r>
          </w:p>
        </w:tc>
      </w:tr>
      <w:tr w:rsidR="00DA6572" w:rsidRPr="00B86742" w14:paraId="433D95B1" w14:textId="77777777" w:rsidTr="00153D5E">
        <w:trPr>
          <w:trHeight w:val="144"/>
          <w:jc w:val="center"/>
        </w:trPr>
        <w:tc>
          <w:tcPr>
            <w:tcW w:w="1380" w:type="dxa"/>
            <w:shd w:val="clear" w:color="auto" w:fill="auto"/>
            <w:noWrap/>
            <w:vAlign w:val="bottom"/>
            <w:hideMark/>
          </w:tcPr>
          <w:p w14:paraId="1315BC5D" w14:textId="77777777" w:rsidR="00DA6572" w:rsidRPr="00B86742" w:rsidRDefault="00DA6572" w:rsidP="006A3608">
            <w:pPr>
              <w:spacing w:after="0"/>
              <w:rPr>
                <w:color w:val="000000"/>
                <w:szCs w:val="20"/>
              </w:rPr>
            </w:pPr>
            <w:r w:rsidRPr="00B86742">
              <w:rPr>
                <w:color w:val="000000"/>
                <w:szCs w:val="20"/>
              </w:rPr>
              <w:t>Non-Metallic</w:t>
            </w:r>
          </w:p>
        </w:tc>
        <w:tc>
          <w:tcPr>
            <w:tcW w:w="1500" w:type="dxa"/>
            <w:shd w:val="clear" w:color="auto" w:fill="auto"/>
            <w:noWrap/>
            <w:vAlign w:val="bottom"/>
            <w:hideMark/>
          </w:tcPr>
          <w:p w14:paraId="59B47680" w14:textId="77777777" w:rsidR="00DA6572" w:rsidRPr="00B86742" w:rsidRDefault="00DA6572" w:rsidP="006A3608">
            <w:pPr>
              <w:spacing w:after="0"/>
              <w:rPr>
                <w:color w:val="000000"/>
                <w:szCs w:val="20"/>
              </w:rPr>
            </w:pPr>
            <w:r w:rsidRPr="00B86742">
              <w:rPr>
                <w:color w:val="000000"/>
                <w:szCs w:val="20"/>
              </w:rPr>
              <w:t>PM25-FIL</w:t>
            </w:r>
          </w:p>
        </w:tc>
        <w:tc>
          <w:tcPr>
            <w:tcW w:w="1152" w:type="dxa"/>
            <w:shd w:val="clear" w:color="auto" w:fill="auto"/>
            <w:noWrap/>
            <w:vAlign w:val="bottom"/>
            <w:hideMark/>
          </w:tcPr>
          <w:p w14:paraId="1ED06D0A" w14:textId="77777777" w:rsidR="00DA6572" w:rsidRPr="00B86742" w:rsidRDefault="00DA6572" w:rsidP="006A3608">
            <w:pPr>
              <w:spacing w:after="0"/>
              <w:ind w:right="76"/>
              <w:jc w:val="right"/>
              <w:rPr>
                <w:color w:val="000000"/>
                <w:szCs w:val="20"/>
              </w:rPr>
            </w:pPr>
            <w:r w:rsidRPr="00B86742">
              <w:rPr>
                <w:color w:val="000000"/>
                <w:szCs w:val="20"/>
              </w:rPr>
              <w:t>0.037</w:t>
            </w:r>
          </w:p>
        </w:tc>
        <w:tc>
          <w:tcPr>
            <w:tcW w:w="1584" w:type="dxa"/>
            <w:shd w:val="clear" w:color="auto" w:fill="auto"/>
            <w:noWrap/>
            <w:vAlign w:val="center"/>
            <w:hideMark/>
          </w:tcPr>
          <w:p w14:paraId="62A3A28D" w14:textId="77777777" w:rsidR="00DA6572" w:rsidRDefault="00DA6572" w:rsidP="006A3608">
            <w:pPr>
              <w:spacing w:after="0"/>
              <w:jc w:val="center"/>
            </w:pPr>
            <w:r w:rsidRPr="00EA67A4">
              <w:rPr>
                <w:color w:val="000000"/>
                <w:szCs w:val="20"/>
              </w:rPr>
              <w:t>lbs./ton</w:t>
            </w:r>
          </w:p>
        </w:tc>
        <w:tc>
          <w:tcPr>
            <w:tcW w:w="1728" w:type="dxa"/>
          </w:tcPr>
          <w:p w14:paraId="635AAD04" w14:textId="77777777" w:rsidR="00DA6572" w:rsidRPr="00C5396C" w:rsidRDefault="00DA6572" w:rsidP="002B5506">
            <w:pPr>
              <w:spacing w:after="0"/>
              <w:jc w:val="center"/>
              <w:rPr>
                <w:color w:val="000000"/>
                <w:szCs w:val="20"/>
              </w:rPr>
            </w:pPr>
            <w:r>
              <w:rPr>
                <w:color w:val="000000"/>
                <w:szCs w:val="20"/>
              </w:rPr>
              <w:t>PM10 × 0.125</w:t>
            </w:r>
          </w:p>
        </w:tc>
      </w:tr>
      <w:tr w:rsidR="0024417D" w:rsidRPr="00B86742" w14:paraId="30FD433A" w14:textId="77777777" w:rsidTr="002B5506">
        <w:trPr>
          <w:trHeight w:val="144"/>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BB5E" w14:textId="77777777" w:rsidR="0024417D" w:rsidRPr="00B86742" w:rsidRDefault="0024417D" w:rsidP="006A3608">
            <w:pPr>
              <w:spacing w:after="0"/>
              <w:rPr>
                <w:color w:val="000000"/>
                <w:szCs w:val="20"/>
              </w:rPr>
            </w:pPr>
            <w:r w:rsidRPr="00B86742">
              <w:rPr>
                <w:color w:val="000000"/>
                <w:szCs w:val="20"/>
              </w:rPr>
              <w:t>Coal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24D8" w14:textId="77777777" w:rsidR="0024417D" w:rsidRPr="00B86742" w:rsidRDefault="0024417D" w:rsidP="006A3608">
            <w:pPr>
              <w:spacing w:after="0"/>
              <w:rPr>
                <w:color w:val="000000"/>
                <w:szCs w:val="20"/>
              </w:rPr>
            </w:pPr>
            <w:r w:rsidRPr="00B86742">
              <w:rPr>
                <w:color w:val="000000"/>
                <w:szCs w:val="20"/>
              </w:rPr>
              <w:t>PM10-PRI</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B2EF2" w14:textId="77777777" w:rsidR="0024417D" w:rsidRPr="00B86742" w:rsidRDefault="0024417D" w:rsidP="006A3608">
            <w:pPr>
              <w:spacing w:after="0"/>
              <w:ind w:right="76"/>
              <w:jc w:val="right"/>
              <w:rPr>
                <w:color w:val="000000"/>
                <w:szCs w:val="20"/>
              </w:rPr>
            </w:pPr>
            <w:r w:rsidRPr="00B86742">
              <w:rPr>
                <w:color w:val="000000"/>
                <w:szCs w:val="20"/>
              </w:rPr>
              <w:t>0.513</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53343" w14:textId="77777777" w:rsidR="0024417D" w:rsidRPr="00B86742" w:rsidRDefault="0024417D" w:rsidP="006A3608">
            <w:pPr>
              <w:spacing w:after="0"/>
              <w:jc w:val="center"/>
              <w:rPr>
                <w:color w:val="000000"/>
                <w:szCs w:val="20"/>
              </w:rPr>
            </w:pPr>
            <w:r>
              <w:rPr>
                <w:color w:val="000000"/>
                <w:szCs w:val="20"/>
              </w:rPr>
              <w:t>lbs./ton</w:t>
            </w:r>
          </w:p>
        </w:tc>
        <w:tc>
          <w:tcPr>
            <w:tcW w:w="1728" w:type="dxa"/>
            <w:tcBorders>
              <w:top w:val="single" w:sz="4" w:space="0" w:color="auto"/>
              <w:left w:val="single" w:sz="4" w:space="0" w:color="auto"/>
              <w:bottom w:val="single" w:sz="4" w:space="0" w:color="auto"/>
              <w:right w:val="single" w:sz="4" w:space="0" w:color="auto"/>
            </w:tcBorders>
            <w:vAlign w:val="bottom"/>
          </w:tcPr>
          <w:p w14:paraId="0541754B" w14:textId="77777777" w:rsidR="0024417D" w:rsidRPr="00B86742" w:rsidRDefault="0024417D" w:rsidP="002B5506">
            <w:pPr>
              <w:spacing w:after="0"/>
              <w:jc w:val="center"/>
              <w:rPr>
                <w:color w:val="000000"/>
                <w:szCs w:val="20"/>
              </w:rPr>
            </w:pPr>
            <w:r>
              <w:rPr>
                <w:color w:val="000000"/>
                <w:szCs w:val="20"/>
              </w:rPr>
              <w:fldChar w:fldCharType="begin"/>
            </w:r>
            <w:r>
              <w:rPr>
                <w:color w:val="000000"/>
                <w:szCs w:val="20"/>
              </w:rPr>
              <w:instrText xml:space="preserve"> NOTEREF _Ref479330982 \h </w:instrText>
            </w:r>
            <w:r>
              <w:rPr>
                <w:color w:val="000000"/>
                <w:szCs w:val="20"/>
              </w:rPr>
            </w:r>
            <w:r>
              <w:rPr>
                <w:color w:val="000000"/>
                <w:szCs w:val="20"/>
              </w:rPr>
              <w:fldChar w:fldCharType="separate"/>
            </w:r>
            <w:r w:rsidR="00700556">
              <w:rPr>
                <w:color w:val="000000"/>
                <w:szCs w:val="20"/>
              </w:rPr>
              <w:t>7</w:t>
            </w:r>
            <w:r>
              <w:rPr>
                <w:color w:val="000000"/>
                <w:szCs w:val="20"/>
              </w:rPr>
              <w:fldChar w:fldCharType="end"/>
            </w:r>
          </w:p>
        </w:tc>
      </w:tr>
      <w:tr w:rsidR="0024417D" w:rsidRPr="00B86742" w14:paraId="46AEDD6F" w14:textId="77777777" w:rsidTr="002B5506">
        <w:trPr>
          <w:trHeight w:val="144"/>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53FDC" w14:textId="77777777" w:rsidR="0024417D" w:rsidRPr="00B86742" w:rsidRDefault="0024417D" w:rsidP="006A3608">
            <w:pPr>
              <w:spacing w:after="0"/>
              <w:rPr>
                <w:color w:val="000000"/>
                <w:szCs w:val="20"/>
              </w:rPr>
            </w:pPr>
            <w:r w:rsidRPr="00B86742">
              <w:rPr>
                <w:color w:val="000000"/>
                <w:szCs w:val="20"/>
              </w:rPr>
              <w:t>Coal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6C779" w14:textId="77777777" w:rsidR="0024417D" w:rsidRPr="00B86742" w:rsidRDefault="0024417D" w:rsidP="006A3608">
            <w:pPr>
              <w:spacing w:after="0"/>
              <w:rPr>
                <w:color w:val="000000"/>
                <w:szCs w:val="20"/>
              </w:rPr>
            </w:pPr>
            <w:r w:rsidRPr="00B86742">
              <w:rPr>
                <w:color w:val="000000"/>
                <w:szCs w:val="20"/>
              </w:rPr>
              <w:t>PM10-FIL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C53A6" w14:textId="77777777" w:rsidR="0024417D" w:rsidRPr="00B86742" w:rsidRDefault="0024417D" w:rsidP="006A3608">
            <w:pPr>
              <w:spacing w:after="0"/>
              <w:ind w:right="76"/>
              <w:jc w:val="right"/>
              <w:rPr>
                <w:color w:val="000000"/>
                <w:szCs w:val="20"/>
              </w:rPr>
            </w:pPr>
            <w:r w:rsidRPr="00B86742">
              <w:rPr>
                <w:color w:val="000000"/>
                <w:szCs w:val="20"/>
              </w:rPr>
              <w:t>0.513</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96799" w14:textId="77777777" w:rsidR="0024417D" w:rsidRPr="00866C53" w:rsidRDefault="0024417D" w:rsidP="006A3608">
            <w:pPr>
              <w:spacing w:after="0"/>
              <w:jc w:val="center"/>
              <w:rPr>
                <w:color w:val="000000"/>
                <w:szCs w:val="20"/>
              </w:rPr>
            </w:pPr>
            <w:r w:rsidRPr="00C5396C">
              <w:rPr>
                <w:color w:val="000000"/>
                <w:szCs w:val="20"/>
              </w:rPr>
              <w:t>lbs./ton</w:t>
            </w:r>
          </w:p>
        </w:tc>
        <w:tc>
          <w:tcPr>
            <w:tcW w:w="1728" w:type="dxa"/>
            <w:tcBorders>
              <w:top w:val="single" w:sz="4" w:space="0" w:color="auto"/>
              <w:left w:val="single" w:sz="4" w:space="0" w:color="auto"/>
              <w:bottom w:val="single" w:sz="4" w:space="0" w:color="auto"/>
              <w:right w:val="single" w:sz="4" w:space="0" w:color="auto"/>
            </w:tcBorders>
            <w:vAlign w:val="bottom"/>
          </w:tcPr>
          <w:p w14:paraId="4450E0BD" w14:textId="77777777" w:rsidR="0024417D" w:rsidRPr="00B86742" w:rsidRDefault="0024417D" w:rsidP="002B5506">
            <w:pPr>
              <w:spacing w:after="0"/>
              <w:jc w:val="center"/>
              <w:rPr>
                <w:color w:val="000000"/>
                <w:szCs w:val="20"/>
              </w:rPr>
            </w:pPr>
            <w:r>
              <w:rPr>
                <w:color w:val="000000"/>
                <w:szCs w:val="20"/>
              </w:rPr>
              <w:fldChar w:fldCharType="begin"/>
            </w:r>
            <w:r>
              <w:rPr>
                <w:color w:val="000000"/>
                <w:szCs w:val="20"/>
              </w:rPr>
              <w:instrText xml:space="preserve"> NOTEREF _Ref479330982 \h </w:instrText>
            </w:r>
            <w:r>
              <w:rPr>
                <w:color w:val="000000"/>
                <w:szCs w:val="20"/>
              </w:rPr>
            </w:r>
            <w:r>
              <w:rPr>
                <w:color w:val="000000"/>
                <w:szCs w:val="20"/>
              </w:rPr>
              <w:fldChar w:fldCharType="separate"/>
            </w:r>
            <w:r w:rsidR="00700556">
              <w:rPr>
                <w:color w:val="000000"/>
                <w:szCs w:val="20"/>
              </w:rPr>
              <w:t>7</w:t>
            </w:r>
            <w:r>
              <w:rPr>
                <w:color w:val="000000"/>
                <w:szCs w:val="20"/>
              </w:rPr>
              <w:fldChar w:fldCharType="end"/>
            </w:r>
          </w:p>
        </w:tc>
      </w:tr>
      <w:tr w:rsidR="0024417D" w:rsidRPr="00B86742" w14:paraId="58FD73D3" w14:textId="77777777" w:rsidTr="00153D5E">
        <w:trPr>
          <w:trHeight w:val="144"/>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53A35" w14:textId="77777777" w:rsidR="0024417D" w:rsidRPr="00B86742" w:rsidRDefault="0024417D" w:rsidP="006A3608">
            <w:pPr>
              <w:spacing w:after="0"/>
              <w:rPr>
                <w:color w:val="000000"/>
                <w:szCs w:val="20"/>
              </w:rPr>
            </w:pPr>
            <w:r w:rsidRPr="00B86742">
              <w:rPr>
                <w:color w:val="000000"/>
                <w:szCs w:val="20"/>
              </w:rPr>
              <w:t>Coal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9E65" w14:textId="77777777" w:rsidR="0024417D" w:rsidRPr="00B86742" w:rsidRDefault="0024417D" w:rsidP="006A3608">
            <w:pPr>
              <w:spacing w:after="0"/>
              <w:rPr>
                <w:color w:val="000000"/>
                <w:szCs w:val="20"/>
              </w:rPr>
            </w:pPr>
            <w:r w:rsidRPr="00B86742">
              <w:rPr>
                <w:color w:val="000000"/>
                <w:szCs w:val="20"/>
              </w:rPr>
              <w:t>PM25-PRI</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01A3" w14:textId="77777777" w:rsidR="0024417D" w:rsidRPr="00B86742" w:rsidRDefault="0024417D" w:rsidP="006A3608">
            <w:pPr>
              <w:spacing w:after="0"/>
              <w:ind w:right="76"/>
              <w:jc w:val="right"/>
              <w:rPr>
                <w:color w:val="000000"/>
                <w:szCs w:val="20"/>
              </w:rPr>
            </w:pPr>
            <w:r w:rsidRPr="00B86742">
              <w:rPr>
                <w:color w:val="000000"/>
                <w:szCs w:val="20"/>
              </w:rPr>
              <w:t>0.064</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93380" w14:textId="77777777" w:rsidR="0024417D" w:rsidRPr="00866C53" w:rsidRDefault="0024417D" w:rsidP="006A3608">
            <w:pPr>
              <w:spacing w:after="0"/>
              <w:jc w:val="center"/>
              <w:rPr>
                <w:color w:val="000000"/>
                <w:szCs w:val="20"/>
              </w:rPr>
            </w:pPr>
            <w:r w:rsidRPr="00C5396C">
              <w:rPr>
                <w:color w:val="000000"/>
                <w:szCs w:val="20"/>
              </w:rPr>
              <w:t>lbs./ton</w:t>
            </w:r>
          </w:p>
        </w:tc>
        <w:tc>
          <w:tcPr>
            <w:tcW w:w="1728" w:type="dxa"/>
            <w:tcBorders>
              <w:top w:val="single" w:sz="4" w:space="0" w:color="auto"/>
              <w:left w:val="single" w:sz="4" w:space="0" w:color="auto"/>
              <w:bottom w:val="single" w:sz="4" w:space="0" w:color="auto"/>
              <w:right w:val="single" w:sz="4" w:space="0" w:color="auto"/>
            </w:tcBorders>
          </w:tcPr>
          <w:p w14:paraId="1806BCAA" w14:textId="77777777" w:rsidR="0024417D" w:rsidRPr="00C5396C" w:rsidRDefault="0024417D" w:rsidP="002B5506">
            <w:pPr>
              <w:spacing w:after="0"/>
              <w:jc w:val="center"/>
              <w:rPr>
                <w:color w:val="000000"/>
                <w:szCs w:val="20"/>
              </w:rPr>
            </w:pPr>
            <w:r>
              <w:rPr>
                <w:color w:val="000000"/>
                <w:szCs w:val="20"/>
              </w:rPr>
              <w:t>PM10 × 0.125</w:t>
            </w:r>
          </w:p>
        </w:tc>
      </w:tr>
      <w:tr w:rsidR="0024417D" w:rsidRPr="00B86742" w14:paraId="3F0F8BC2" w14:textId="77777777" w:rsidTr="00153D5E">
        <w:trPr>
          <w:trHeight w:val="144"/>
          <w:jc w:val="center"/>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F1D51" w14:textId="77777777" w:rsidR="0024417D" w:rsidRPr="00B86742" w:rsidRDefault="0024417D" w:rsidP="006A3608">
            <w:pPr>
              <w:spacing w:after="0"/>
              <w:rPr>
                <w:color w:val="000000"/>
                <w:szCs w:val="20"/>
              </w:rPr>
            </w:pPr>
            <w:r w:rsidRPr="00B86742">
              <w:rPr>
                <w:color w:val="000000"/>
                <w:szCs w:val="20"/>
              </w:rPr>
              <w:t>Coal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FA0EB" w14:textId="77777777" w:rsidR="0024417D" w:rsidRPr="00B86742" w:rsidRDefault="0024417D" w:rsidP="006A3608">
            <w:pPr>
              <w:spacing w:after="0"/>
              <w:rPr>
                <w:color w:val="000000"/>
                <w:szCs w:val="20"/>
              </w:rPr>
            </w:pPr>
            <w:r w:rsidRPr="00B86742">
              <w:rPr>
                <w:color w:val="000000"/>
                <w:szCs w:val="20"/>
              </w:rPr>
              <w:t>PM25-FIL</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DCBFD" w14:textId="77777777" w:rsidR="0024417D" w:rsidRPr="00B86742" w:rsidRDefault="0024417D" w:rsidP="006A3608">
            <w:pPr>
              <w:spacing w:after="0"/>
              <w:ind w:right="76"/>
              <w:jc w:val="right"/>
              <w:rPr>
                <w:color w:val="000000"/>
                <w:szCs w:val="20"/>
              </w:rPr>
            </w:pPr>
            <w:r w:rsidRPr="00B86742">
              <w:rPr>
                <w:color w:val="000000"/>
                <w:szCs w:val="20"/>
              </w:rPr>
              <w:t>0.064</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BEE03" w14:textId="77777777" w:rsidR="0024417D" w:rsidRPr="00866C53" w:rsidRDefault="0024417D" w:rsidP="006A3608">
            <w:pPr>
              <w:spacing w:after="0"/>
              <w:jc w:val="center"/>
              <w:rPr>
                <w:color w:val="000000"/>
                <w:szCs w:val="20"/>
              </w:rPr>
            </w:pPr>
            <w:r w:rsidRPr="00C5396C">
              <w:rPr>
                <w:color w:val="000000"/>
                <w:szCs w:val="20"/>
              </w:rPr>
              <w:t>lbs./ton</w:t>
            </w:r>
          </w:p>
        </w:tc>
        <w:tc>
          <w:tcPr>
            <w:tcW w:w="1728" w:type="dxa"/>
            <w:tcBorders>
              <w:top w:val="single" w:sz="4" w:space="0" w:color="auto"/>
              <w:left w:val="single" w:sz="4" w:space="0" w:color="auto"/>
              <w:bottom w:val="single" w:sz="4" w:space="0" w:color="auto"/>
              <w:right w:val="single" w:sz="4" w:space="0" w:color="auto"/>
            </w:tcBorders>
          </w:tcPr>
          <w:p w14:paraId="1CA944C6" w14:textId="77777777" w:rsidR="0024417D" w:rsidRPr="00C5396C" w:rsidRDefault="0024417D" w:rsidP="002B5506">
            <w:pPr>
              <w:spacing w:after="0"/>
              <w:jc w:val="center"/>
              <w:rPr>
                <w:color w:val="000000"/>
                <w:szCs w:val="20"/>
              </w:rPr>
            </w:pPr>
            <w:r>
              <w:rPr>
                <w:color w:val="000000"/>
                <w:szCs w:val="20"/>
              </w:rPr>
              <w:t>PM10 × 0.125</w:t>
            </w:r>
          </w:p>
        </w:tc>
      </w:tr>
    </w:tbl>
    <w:p w14:paraId="1821881C" w14:textId="77777777" w:rsidR="00866C53" w:rsidRDefault="00866C53" w:rsidP="00700556">
      <w:pPr>
        <w:spacing w:after="0"/>
      </w:pPr>
    </w:p>
    <w:p w14:paraId="2BDEAFB7" w14:textId="77777777" w:rsidR="00B97E6E" w:rsidRPr="00886F17" w:rsidRDefault="00B97E6E" w:rsidP="00052E59">
      <w:pPr>
        <w:pStyle w:val="Heading1"/>
      </w:pPr>
      <w:r w:rsidRPr="00886F17">
        <w:t>Controls</w:t>
      </w:r>
    </w:p>
    <w:p w14:paraId="18234208" w14:textId="77777777" w:rsidR="00B97E6E" w:rsidRDefault="0043462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p>
    <w:p w14:paraId="68701120" w14:textId="77777777" w:rsidR="00B97E6E" w:rsidRDefault="00B97E6E" w:rsidP="00052E59">
      <w:pPr>
        <w:pStyle w:val="Heading1"/>
      </w:pPr>
      <w:bookmarkStart w:id="19" w:name="_Ref477177564"/>
      <w:r w:rsidRPr="00886F17">
        <w:t>Emissions</w:t>
      </w:r>
      <w:bookmarkEnd w:id="19"/>
    </w:p>
    <w:p w14:paraId="1A49EF5A" w14:textId="77777777" w:rsidR="00720DF7" w:rsidRDefault="007D586A" w:rsidP="00720DF7">
      <w:pPr>
        <w:rPr>
          <w:szCs w:val="20"/>
        </w:rPr>
      </w:pPr>
      <w:r>
        <w:rPr>
          <w:szCs w:val="20"/>
        </w:rPr>
        <w:t xml:space="preserve">Emissions from mining and quarrying are calculated </w:t>
      </w:r>
      <w:r w:rsidR="00720DF7">
        <w:rPr>
          <w:szCs w:val="20"/>
        </w:rPr>
        <w:t xml:space="preserve">by multiplying the amount of mining material produced (from equation </w:t>
      </w:r>
      <w:r>
        <w:rPr>
          <w:szCs w:val="20"/>
        </w:rPr>
        <w:t>4</w:t>
      </w:r>
      <w:r w:rsidR="00720DF7">
        <w:rPr>
          <w:szCs w:val="20"/>
        </w:rPr>
        <w:t xml:space="preserve"> for metal</w:t>
      </w:r>
      <w:r w:rsidR="00ED4071">
        <w:rPr>
          <w:szCs w:val="20"/>
        </w:rPr>
        <w:t>lic</w:t>
      </w:r>
      <w:r w:rsidR="00720DF7">
        <w:rPr>
          <w:szCs w:val="20"/>
        </w:rPr>
        <w:t xml:space="preserve"> and non-metal</w:t>
      </w:r>
      <w:r w:rsidR="00ED4071">
        <w:rPr>
          <w:szCs w:val="20"/>
        </w:rPr>
        <w:t>lic</w:t>
      </w:r>
      <w:r w:rsidR="00720DF7">
        <w:rPr>
          <w:szCs w:val="20"/>
        </w:rPr>
        <w:t xml:space="preserve"> mining, and from the EIA</w:t>
      </w:r>
      <w:r w:rsidRPr="007D586A">
        <w:rPr>
          <w:szCs w:val="20"/>
          <w:vertAlign w:val="superscript"/>
        </w:rPr>
        <w:fldChar w:fldCharType="begin"/>
      </w:r>
      <w:r w:rsidRPr="007D586A">
        <w:rPr>
          <w:szCs w:val="20"/>
          <w:vertAlign w:val="superscript"/>
        </w:rPr>
        <w:instrText xml:space="preserve"> NOTEREF _Ref479343268 \h </w:instrText>
      </w:r>
      <w:r>
        <w:rPr>
          <w:szCs w:val="20"/>
          <w:vertAlign w:val="superscript"/>
        </w:rPr>
        <w:instrText xml:space="preserve"> \* MERGEFORMAT </w:instrText>
      </w:r>
      <w:r w:rsidRPr="007D586A">
        <w:rPr>
          <w:szCs w:val="20"/>
          <w:vertAlign w:val="superscript"/>
        </w:rPr>
      </w:r>
      <w:r w:rsidRPr="007D586A">
        <w:rPr>
          <w:szCs w:val="20"/>
          <w:vertAlign w:val="superscript"/>
        </w:rPr>
        <w:fldChar w:fldCharType="separate"/>
      </w:r>
      <w:r w:rsidR="00700556">
        <w:rPr>
          <w:szCs w:val="20"/>
          <w:vertAlign w:val="superscript"/>
        </w:rPr>
        <w:t>2</w:t>
      </w:r>
      <w:r w:rsidRPr="007D586A">
        <w:rPr>
          <w:szCs w:val="20"/>
          <w:vertAlign w:val="superscript"/>
        </w:rPr>
        <w:fldChar w:fldCharType="end"/>
      </w:r>
      <w:r w:rsidR="00720DF7">
        <w:rPr>
          <w:szCs w:val="20"/>
        </w:rPr>
        <w:t xml:space="preserve"> for coal) by an emissions factor (from</w:t>
      </w:r>
      <w:r>
        <w:rPr>
          <w:szCs w:val="20"/>
        </w:rPr>
        <w:t xml:space="preserve"> </w:t>
      </w:r>
      <w:r>
        <w:rPr>
          <w:szCs w:val="20"/>
        </w:rPr>
        <w:fldChar w:fldCharType="begin"/>
      </w:r>
      <w:r>
        <w:rPr>
          <w:szCs w:val="20"/>
        </w:rPr>
        <w:instrText xml:space="preserve"> REF _Ref479331482 \h </w:instrText>
      </w:r>
      <w:r>
        <w:rPr>
          <w:szCs w:val="20"/>
        </w:rPr>
      </w:r>
      <w:r>
        <w:rPr>
          <w:szCs w:val="20"/>
        </w:rPr>
        <w:fldChar w:fldCharType="separate"/>
      </w:r>
      <w:r w:rsidR="00700556" w:rsidRPr="00321776">
        <w:rPr>
          <w:szCs w:val="20"/>
        </w:rPr>
        <w:t xml:space="preserve">Table </w:t>
      </w:r>
      <w:r w:rsidR="00700556">
        <w:rPr>
          <w:noProof/>
          <w:szCs w:val="20"/>
        </w:rPr>
        <w:t>4</w:t>
      </w:r>
      <w:r>
        <w:rPr>
          <w:szCs w:val="20"/>
        </w:rPr>
        <w:fldChar w:fldCharType="end"/>
      </w:r>
      <w:r w:rsidR="00720DF7">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E43758" w14:paraId="0AA0B6FE" w14:textId="77777777" w:rsidTr="002B5506">
        <w:tc>
          <w:tcPr>
            <w:tcW w:w="8748" w:type="dxa"/>
          </w:tcPr>
          <w:p w14:paraId="6FDFD64D" w14:textId="77777777" w:rsidR="00E43758" w:rsidRDefault="0018092A" w:rsidP="002B5506">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 xml:space="preserve">t,p </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MP</m:t>
                    </m:r>
                  </m:e>
                  <m:sub>
                    <m:r>
                      <w:rPr>
                        <w:rFonts w:ascii="Cambria Math" w:hAnsi="Cambria Math"/>
                        <w:szCs w:val="20"/>
                      </w:rPr>
                      <m:t>t,c</m:t>
                    </m:r>
                  </m:sub>
                </m:sSub>
              </m:oMath>
            </m:oMathPara>
          </w:p>
        </w:tc>
        <w:tc>
          <w:tcPr>
            <w:tcW w:w="828" w:type="dxa"/>
            <w:vAlign w:val="center"/>
          </w:tcPr>
          <w:p w14:paraId="20BF7AB3" w14:textId="77777777" w:rsidR="00E43758" w:rsidRPr="00271697" w:rsidRDefault="00E43758" w:rsidP="0024417D">
            <w:pPr>
              <w:pStyle w:val="ListParagraph"/>
              <w:numPr>
                <w:ilvl w:val="0"/>
                <w:numId w:val="29"/>
              </w:numPr>
              <w:tabs>
                <w:tab w:val="left" w:pos="0"/>
                <w:tab w:val="center" w:pos="4320"/>
                <w:tab w:val="right" w:pos="8467"/>
              </w:tabs>
              <w:spacing w:before="60" w:after="60"/>
              <w:jc w:val="right"/>
              <w:rPr>
                <w:szCs w:val="20"/>
              </w:rPr>
            </w:pPr>
          </w:p>
        </w:tc>
      </w:tr>
    </w:tbl>
    <w:p w14:paraId="003E23CB" w14:textId="77777777" w:rsidR="00720DF7" w:rsidRDefault="00720DF7" w:rsidP="00720DF7">
      <w:pPr>
        <w:rPr>
          <w:szCs w:val="20"/>
        </w:rPr>
      </w:pPr>
      <w:r>
        <w:rPr>
          <w:szCs w:val="20"/>
        </w:rPr>
        <w:t>Where:</w:t>
      </w:r>
      <w:r w:rsidRPr="00B86742">
        <w:rPr>
          <w:szCs w:val="20"/>
        </w:rPr>
        <w:t xml:space="preserve"> </w:t>
      </w:r>
    </w:p>
    <w:p w14:paraId="2414291E" w14:textId="77777777" w:rsidR="00720DF7" w:rsidRPr="00B86742" w:rsidRDefault="00720DF7" w:rsidP="006A3608">
      <w:pPr>
        <w:pStyle w:val="NoSpacing"/>
      </w:pPr>
      <w:r>
        <w:rPr>
          <w:i/>
        </w:rPr>
        <w:tab/>
      </w:r>
      <w:proofErr w:type="spellStart"/>
      <w:r w:rsidRPr="00434BA5">
        <w:rPr>
          <w:i/>
        </w:rPr>
        <w:t>E</w:t>
      </w:r>
      <w:r w:rsidRPr="00434BA5">
        <w:rPr>
          <w:i/>
          <w:vertAlign w:val="subscript"/>
        </w:rPr>
        <w:t>t</w:t>
      </w:r>
      <w:proofErr w:type="gramStart"/>
      <w:r w:rsidRPr="00434BA5">
        <w:rPr>
          <w:i/>
          <w:vertAlign w:val="subscript"/>
        </w:rPr>
        <w:t>,p,c</w:t>
      </w:r>
      <w:proofErr w:type="spellEnd"/>
      <w:proofErr w:type="gramEnd"/>
      <w:r>
        <w:rPr>
          <w:i/>
          <w:vertAlign w:val="subscript"/>
        </w:rPr>
        <w:tab/>
      </w:r>
      <w:r w:rsidRPr="00B86742">
        <w:t>=</w:t>
      </w:r>
      <w:r>
        <w:tab/>
        <w:t xml:space="preserve">Annual emissions of pollutant </w:t>
      </w:r>
      <w:r>
        <w:rPr>
          <w:i/>
        </w:rPr>
        <w:t xml:space="preserve">p </w:t>
      </w:r>
      <w:r>
        <w:t xml:space="preserve">from mining material type </w:t>
      </w:r>
      <w:r>
        <w:rPr>
          <w:i/>
        </w:rPr>
        <w:t xml:space="preserve">t </w:t>
      </w:r>
      <w:r>
        <w:t xml:space="preserve">in county </w:t>
      </w:r>
      <w:r>
        <w:rPr>
          <w:i/>
        </w:rPr>
        <w:t>c</w:t>
      </w:r>
      <w:r>
        <w:t xml:space="preserve">, in </w:t>
      </w:r>
      <w:r w:rsidRPr="00B86742">
        <w:t>lbs</w:t>
      </w:r>
      <w:r>
        <w:t>.</w:t>
      </w:r>
    </w:p>
    <w:p w14:paraId="270019B3" w14:textId="1D13809B" w:rsidR="00025A43" w:rsidRDefault="00720DF7" w:rsidP="00162E55">
      <w:pPr>
        <w:pStyle w:val="NoSpacing"/>
        <w:rPr>
          <w:i/>
        </w:rPr>
      </w:pPr>
      <w:r>
        <w:rPr>
          <w:i/>
        </w:rPr>
        <w:tab/>
      </w:r>
      <w:proofErr w:type="spellStart"/>
      <w:r w:rsidRPr="00434BA5">
        <w:rPr>
          <w:i/>
        </w:rPr>
        <w:t>EF</w:t>
      </w:r>
      <w:r w:rsidRPr="00434BA5">
        <w:rPr>
          <w:i/>
          <w:vertAlign w:val="subscript"/>
        </w:rPr>
        <w:t>t</w:t>
      </w:r>
      <w:proofErr w:type="gramStart"/>
      <w:r w:rsidRPr="00434BA5">
        <w:rPr>
          <w:i/>
          <w:vertAlign w:val="subscript"/>
        </w:rPr>
        <w:t>,p</w:t>
      </w:r>
      <w:proofErr w:type="spellEnd"/>
      <w:proofErr w:type="gramEnd"/>
      <w:r>
        <w:rPr>
          <w:i/>
          <w:vertAlign w:val="subscript"/>
        </w:rPr>
        <w:tab/>
      </w:r>
      <w:r>
        <w:t>=</w:t>
      </w:r>
      <w:r>
        <w:tab/>
      </w:r>
      <w:r w:rsidR="00CF469C">
        <w:t>Emissions factor</w:t>
      </w:r>
      <w:r>
        <w:t xml:space="preserve"> for pollutant </w:t>
      </w:r>
      <w:r w:rsidRPr="00DC3307">
        <w:rPr>
          <w:i/>
        </w:rPr>
        <w:t>p</w:t>
      </w:r>
      <w:r>
        <w:t xml:space="preserve"> from mining material type </w:t>
      </w:r>
      <w:r w:rsidRPr="00DC3307">
        <w:rPr>
          <w:i/>
        </w:rPr>
        <w:t>t</w:t>
      </w:r>
      <w:r>
        <w:t>, in lbs./ton of material produced</w:t>
      </w:r>
    </w:p>
    <w:p w14:paraId="469F5BBB" w14:textId="0A34DBA8" w:rsidR="007D586A" w:rsidRDefault="00025A43" w:rsidP="00162E55">
      <w:pPr>
        <w:pStyle w:val="NoSpacing"/>
        <w:spacing w:after="200"/>
      </w:pPr>
      <w:r>
        <w:rPr>
          <w:i/>
        </w:rPr>
        <w:tab/>
      </w:r>
      <w:proofErr w:type="spellStart"/>
      <w:r w:rsidR="007D586A" w:rsidRPr="0031137D">
        <w:rPr>
          <w:i/>
        </w:rPr>
        <w:t>MP</w:t>
      </w:r>
      <w:r w:rsidR="007D586A">
        <w:rPr>
          <w:i/>
          <w:vertAlign w:val="subscript"/>
        </w:rPr>
        <w:t>t</w:t>
      </w:r>
      <w:proofErr w:type="gramStart"/>
      <w:r w:rsidR="007D586A">
        <w:rPr>
          <w:i/>
          <w:vertAlign w:val="subscript"/>
        </w:rPr>
        <w:t>,c</w:t>
      </w:r>
      <w:proofErr w:type="spellEnd"/>
      <w:proofErr w:type="gramEnd"/>
      <w:r>
        <w:rPr>
          <w:i/>
          <w:vertAlign w:val="subscript"/>
        </w:rPr>
        <w:tab/>
      </w:r>
      <w:r w:rsidR="007D586A">
        <w:t>=</w:t>
      </w:r>
      <w:r w:rsidR="007D586A">
        <w:tab/>
        <w:t xml:space="preserve">Amount of mining material type </w:t>
      </w:r>
      <w:r w:rsidR="007D586A">
        <w:rPr>
          <w:i/>
        </w:rPr>
        <w:t xml:space="preserve">t </w:t>
      </w:r>
      <w:r w:rsidR="007D586A">
        <w:t xml:space="preserve">produced in county </w:t>
      </w:r>
      <w:r w:rsidR="007D586A">
        <w:rPr>
          <w:i/>
        </w:rPr>
        <w:t>c</w:t>
      </w:r>
      <w:r w:rsidR="007D586A">
        <w:t>, in tons</w:t>
      </w:r>
    </w:p>
    <w:p w14:paraId="4FF0260D" w14:textId="03DBF0B7" w:rsidR="00720DF7" w:rsidRDefault="00720DF7" w:rsidP="00720DF7">
      <w:pPr>
        <w:rPr>
          <w:szCs w:val="20"/>
        </w:rPr>
      </w:pPr>
      <w:r>
        <w:rPr>
          <w:szCs w:val="20"/>
        </w:rPr>
        <w:t xml:space="preserve">The final step of the process is to sum the mining emissions estimates for each pollutant in each county. Emissions estimates are then converted from </w:t>
      </w:r>
      <w:r w:rsidR="007E412B">
        <w:rPr>
          <w:szCs w:val="20"/>
        </w:rPr>
        <w:t>pounds</w:t>
      </w:r>
      <w:r>
        <w:rPr>
          <w:szCs w:val="20"/>
        </w:rPr>
        <w:t xml:space="preserve"> to tons.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E43758" w14:paraId="2F062F11" w14:textId="77777777" w:rsidTr="002B5506">
        <w:tc>
          <w:tcPr>
            <w:tcW w:w="8748" w:type="dxa"/>
          </w:tcPr>
          <w:p w14:paraId="0FFFD298" w14:textId="5ED3AE84" w:rsidR="00E43758" w:rsidRDefault="0018092A" w:rsidP="00FE1C89">
            <w:pPr>
              <w:tabs>
                <w:tab w:val="left" w:pos="0"/>
                <w:tab w:val="center" w:pos="4320"/>
                <w:tab w:val="right" w:pos="8467"/>
              </w:tabs>
              <w:spacing w:before="60" w:after="60"/>
              <w:rPr>
                <w:szCs w:val="20"/>
              </w:rPr>
            </w:pPr>
            <m:oMathPara>
              <m:oMath>
                <m:sSub>
                  <m:sSubPr>
                    <m:ctrlPr>
                      <w:rPr>
                        <w:rFonts w:ascii="Cambria Math" w:hAnsi="Cambria Math"/>
                        <w:i/>
                        <w:szCs w:val="20"/>
                      </w:rPr>
                    </m:ctrlPr>
                  </m:sSubPr>
                  <m:e>
                    <m:r>
                      <w:rPr>
                        <w:rFonts w:ascii="Cambria Math" w:hAnsi="Cambria Math"/>
                        <w:szCs w:val="20"/>
                      </w:rPr>
                      <m:t>AE</m:t>
                    </m:r>
                  </m:e>
                  <m:sub>
                    <m:r>
                      <w:rPr>
                        <w:rFonts w:ascii="Cambria Math" w:hAnsi="Cambria Math"/>
                        <w:szCs w:val="20"/>
                      </w:rPr>
                      <m:t>p,c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t</m:t>
                    </m:r>
                  </m:sub>
                  <m:sup/>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p,t,c</m:t>
                        </m:r>
                      </m:sub>
                    </m:sSub>
                  </m:e>
                </m:nary>
                <m:r>
                  <w:rPr>
                    <w:rFonts w:ascii="Cambria Math" w:hAnsi="Cambria Math"/>
                    <w:szCs w:val="20"/>
                  </w:rPr>
                  <m:t>×0.0005</m:t>
                </m:r>
                <m:f>
                  <m:fPr>
                    <m:type m:val="skw"/>
                    <m:ctrlPr>
                      <w:rPr>
                        <w:rFonts w:ascii="Cambria Math" w:hAnsi="Cambria Math"/>
                        <w:i/>
                        <w:szCs w:val="20"/>
                      </w:rPr>
                    </m:ctrlPr>
                  </m:fPr>
                  <m:num>
                    <m:r>
                      <w:rPr>
                        <w:rFonts w:ascii="Cambria Math" w:hAnsi="Cambria Math"/>
                        <w:szCs w:val="20"/>
                      </w:rPr>
                      <m:t>ton</m:t>
                    </m:r>
                  </m:num>
                  <m:den>
                    <m:r>
                      <w:rPr>
                        <w:rFonts w:ascii="Cambria Math" w:hAnsi="Cambria Math"/>
                        <w:szCs w:val="20"/>
                      </w:rPr>
                      <m:t>lb.</m:t>
                    </m:r>
                  </m:den>
                </m:f>
              </m:oMath>
            </m:oMathPara>
          </w:p>
        </w:tc>
        <w:tc>
          <w:tcPr>
            <w:tcW w:w="828" w:type="dxa"/>
            <w:vAlign w:val="center"/>
          </w:tcPr>
          <w:p w14:paraId="2959D75C" w14:textId="77777777" w:rsidR="00E43758" w:rsidRPr="00271697" w:rsidRDefault="00E43758" w:rsidP="0024417D">
            <w:pPr>
              <w:pStyle w:val="ListParagraph"/>
              <w:numPr>
                <w:ilvl w:val="0"/>
                <w:numId w:val="29"/>
              </w:numPr>
              <w:tabs>
                <w:tab w:val="left" w:pos="0"/>
                <w:tab w:val="center" w:pos="4320"/>
                <w:tab w:val="right" w:pos="8467"/>
              </w:tabs>
              <w:spacing w:before="60" w:after="60"/>
              <w:jc w:val="right"/>
              <w:rPr>
                <w:szCs w:val="20"/>
              </w:rPr>
            </w:pPr>
          </w:p>
        </w:tc>
      </w:tr>
    </w:tbl>
    <w:p w14:paraId="589A1CF7" w14:textId="77777777" w:rsidR="00720DF7" w:rsidRDefault="00720DF7" w:rsidP="00720DF7">
      <w:pPr>
        <w:rPr>
          <w:szCs w:val="20"/>
        </w:rPr>
      </w:pPr>
      <w:r>
        <w:rPr>
          <w:szCs w:val="20"/>
        </w:rPr>
        <w:t>Where:</w:t>
      </w:r>
    </w:p>
    <w:p w14:paraId="6AFEFAB1" w14:textId="6CA0BD0C" w:rsidR="00720DF7" w:rsidRDefault="00720DF7" w:rsidP="00E43758">
      <w:pPr>
        <w:pStyle w:val="NoSpacing"/>
        <w:rPr>
          <w:i/>
        </w:rPr>
      </w:pPr>
      <w:r>
        <w:tab/>
      </w:r>
      <w:proofErr w:type="spellStart"/>
      <w:r w:rsidRPr="00E43758">
        <w:rPr>
          <w:i/>
        </w:rPr>
        <w:t>AE</w:t>
      </w:r>
      <w:r w:rsidRPr="00E43758">
        <w:rPr>
          <w:i/>
          <w:vertAlign w:val="subscript"/>
        </w:rPr>
        <w:t>p</w:t>
      </w:r>
      <w:proofErr w:type="gramStart"/>
      <w:r w:rsidRPr="00E43758">
        <w:rPr>
          <w:i/>
          <w:vertAlign w:val="subscript"/>
        </w:rPr>
        <w:t>,c</w:t>
      </w:r>
      <w:proofErr w:type="spellEnd"/>
      <w:proofErr w:type="gramEnd"/>
      <w:r>
        <w:rPr>
          <w:vertAlign w:val="subscript"/>
        </w:rPr>
        <w:tab/>
      </w:r>
      <w:r>
        <w:t>=</w:t>
      </w:r>
      <w:r>
        <w:tab/>
        <w:t xml:space="preserve">Annual emissions of pollutant </w:t>
      </w:r>
      <w:r w:rsidRPr="00D66364">
        <w:rPr>
          <w:i/>
        </w:rPr>
        <w:t>p</w:t>
      </w:r>
      <w:r>
        <w:rPr>
          <w:i/>
        </w:rPr>
        <w:t xml:space="preserve"> </w:t>
      </w:r>
      <w:r>
        <w:t xml:space="preserve">in county </w:t>
      </w:r>
      <w:r>
        <w:rPr>
          <w:i/>
        </w:rPr>
        <w:t>c</w:t>
      </w:r>
      <w:r w:rsidR="00516870" w:rsidRPr="00162E55">
        <w:t>, in tons</w:t>
      </w:r>
    </w:p>
    <w:p w14:paraId="3979B3D2" w14:textId="77777777" w:rsidR="00E43758" w:rsidRPr="00700556" w:rsidRDefault="00E43758" w:rsidP="00700556">
      <w:pPr>
        <w:pStyle w:val="NoSpacing"/>
        <w:spacing w:after="200"/>
      </w:pPr>
      <w:r>
        <w:rPr>
          <w:i/>
        </w:rPr>
        <w:tab/>
      </w:r>
      <w:proofErr w:type="spellStart"/>
      <w:r w:rsidRPr="00434BA5">
        <w:rPr>
          <w:i/>
        </w:rPr>
        <w:t>E</w:t>
      </w:r>
      <w:r w:rsidRPr="00434BA5">
        <w:rPr>
          <w:i/>
          <w:vertAlign w:val="subscript"/>
        </w:rPr>
        <w:t>t</w:t>
      </w:r>
      <w:proofErr w:type="gramStart"/>
      <w:r w:rsidRPr="00434BA5">
        <w:rPr>
          <w:i/>
          <w:vertAlign w:val="subscript"/>
        </w:rPr>
        <w:t>,p,c</w:t>
      </w:r>
      <w:proofErr w:type="spellEnd"/>
      <w:proofErr w:type="gramEnd"/>
      <w:r>
        <w:rPr>
          <w:i/>
          <w:vertAlign w:val="subscript"/>
        </w:rPr>
        <w:tab/>
      </w:r>
      <w:r w:rsidRPr="00B86742">
        <w:t>=</w:t>
      </w:r>
      <w:r>
        <w:tab/>
        <w:t xml:space="preserve">Annual emissions of pollutant </w:t>
      </w:r>
      <w:r>
        <w:rPr>
          <w:i/>
        </w:rPr>
        <w:t xml:space="preserve">p </w:t>
      </w:r>
      <w:r>
        <w:t xml:space="preserve">from mining material type </w:t>
      </w:r>
      <w:r>
        <w:rPr>
          <w:i/>
        </w:rPr>
        <w:t xml:space="preserve">t </w:t>
      </w:r>
      <w:r>
        <w:t xml:space="preserve">in county </w:t>
      </w:r>
      <w:r>
        <w:rPr>
          <w:i/>
        </w:rPr>
        <w:t>c</w:t>
      </w:r>
      <w:r>
        <w:t xml:space="preserve">, in </w:t>
      </w:r>
      <w:r w:rsidRPr="00B86742">
        <w:t>lbs</w:t>
      </w:r>
      <w:r>
        <w:t>.</w:t>
      </w:r>
    </w:p>
    <w:p w14:paraId="547DAB28" w14:textId="77777777" w:rsidR="00B97E6E" w:rsidRDefault="00B97E6E" w:rsidP="00052E59">
      <w:pPr>
        <w:pStyle w:val="Heading1"/>
      </w:pPr>
      <w:r>
        <w:lastRenderedPageBreak/>
        <w:t>Point Source Subtraction</w:t>
      </w:r>
    </w:p>
    <w:p w14:paraId="5196B503" w14:textId="77777777" w:rsidR="00B97E6E" w:rsidRDefault="00444173" w:rsidP="00B97E6E">
      <w:pPr>
        <w:widowControl/>
        <w:tabs>
          <w:tab w:val="left" w:pos="0"/>
        </w:tabs>
        <w:rPr>
          <w:szCs w:val="20"/>
        </w:rPr>
      </w:pPr>
      <w:r>
        <w:rPr>
          <w:szCs w:val="20"/>
        </w:rPr>
        <w:t>There are no point source-specific SCCs for mining and quarrying; therefore point source subtraction is not performed for this category</w:t>
      </w:r>
      <w:r w:rsidR="00CE2FBF" w:rsidRPr="00CE2FBF">
        <w:rPr>
          <w:szCs w:val="20"/>
        </w:rPr>
        <w:t>.</w:t>
      </w:r>
    </w:p>
    <w:p w14:paraId="723F9CFF" w14:textId="77777777" w:rsidR="00B97E6E" w:rsidRPr="003E3AC3" w:rsidRDefault="00B97E6E" w:rsidP="00052E59">
      <w:pPr>
        <w:pStyle w:val="Heading1"/>
      </w:pPr>
      <w:r>
        <w:t>Sample</w:t>
      </w:r>
      <w:r w:rsidRPr="00036CF5">
        <w:t xml:space="preserve"> Calculations </w:t>
      </w:r>
    </w:p>
    <w:p w14:paraId="0A2EE7E1" w14:textId="1EF9E5D4" w:rsidR="00192A64" w:rsidRDefault="00C054C7" w:rsidP="00192A64">
      <w:pPr>
        <w:rPr>
          <w:szCs w:val="20"/>
        </w:rPr>
      </w:pPr>
      <w:r>
        <w:t xml:space="preserve">The steps below provide sample calculations to determine the PM25-PRI emissions from mining and quarrying operations in </w:t>
      </w:r>
      <w:r w:rsidRPr="00B86742">
        <w:t>Barbour County, Alabama</w:t>
      </w:r>
      <w:r>
        <w:t>.</w:t>
      </w:r>
      <w:r w:rsidR="00192A64">
        <w:t xml:space="preserve"> Constant emissions factor calculations that are used in all counties are not repeated here. </w:t>
      </w:r>
      <w:r>
        <w:t xml:space="preserve"> </w:t>
      </w:r>
    </w:p>
    <w:p w14:paraId="7FEE97B9" w14:textId="57AF46F3" w:rsidR="008D3ED8" w:rsidRDefault="00192A64" w:rsidP="00700556">
      <w:r>
        <w:rPr>
          <w:szCs w:val="20"/>
        </w:rPr>
        <w:fldChar w:fldCharType="begin"/>
      </w:r>
      <w:r>
        <w:rPr>
          <w:szCs w:val="20"/>
        </w:rPr>
        <w:instrText xml:space="preserve"> REF _Ref500428062 \h </w:instrText>
      </w:r>
      <w:r>
        <w:rPr>
          <w:szCs w:val="20"/>
        </w:rPr>
      </w:r>
      <w:r>
        <w:rPr>
          <w:szCs w:val="20"/>
        </w:rPr>
        <w:fldChar w:fldCharType="separate"/>
      </w:r>
      <w:r>
        <w:t xml:space="preserve">Table </w:t>
      </w:r>
      <w:r>
        <w:rPr>
          <w:noProof/>
        </w:rPr>
        <w:t>5</w:t>
      </w:r>
      <w:r>
        <w:rPr>
          <w:szCs w:val="20"/>
        </w:rPr>
        <w:fldChar w:fldCharType="end"/>
      </w:r>
      <w:r>
        <w:rPr>
          <w:szCs w:val="20"/>
        </w:rPr>
        <w:t xml:space="preserve"> </w:t>
      </w:r>
      <w:r w:rsidR="00C054C7">
        <w:rPr>
          <w:szCs w:val="20"/>
        </w:rPr>
        <w:t>provides a summary of these calculations</w:t>
      </w:r>
      <w:r w:rsidR="001634C5">
        <w:rPr>
          <w:szCs w:val="20"/>
        </w:rPr>
        <w:t>.</w:t>
      </w:r>
      <w:r w:rsidR="00700556">
        <w:rPr>
          <w:szCs w:val="20"/>
        </w:rPr>
        <w:t xml:space="preserve"> Note that equations 5-10 produce </w:t>
      </w:r>
      <w:bookmarkStart w:id="20" w:name="_Ref477187560"/>
      <w:r w:rsidR="00700556">
        <w:rPr>
          <w:szCs w:val="20"/>
        </w:rPr>
        <w:t>constant emissions factors that are used in all counties. Those calculations are not repeated here.</w:t>
      </w:r>
    </w:p>
    <w:p w14:paraId="07D9BEE6" w14:textId="77777777" w:rsidR="0097139E" w:rsidRDefault="0097139E" w:rsidP="0097139E">
      <w:pPr>
        <w:pStyle w:val="TableCaption"/>
      </w:pPr>
      <w:bookmarkStart w:id="21" w:name="_Ref500428062"/>
      <w:r>
        <w:t xml:space="preserve">Table </w:t>
      </w:r>
      <w:fldSimple w:instr=" SEQ Table \* ARABIC ">
        <w:r w:rsidR="00700556">
          <w:rPr>
            <w:noProof/>
          </w:rPr>
          <w:t>5</w:t>
        </w:r>
      </w:fldSimple>
      <w:bookmarkEnd w:id="20"/>
      <w:bookmarkEnd w:id="21"/>
      <w:r>
        <w:t xml:space="preserve">. Sample calculations for </w:t>
      </w:r>
      <w:r w:rsidR="00CF469C">
        <w:t>estimating PM25-PRI</w:t>
      </w:r>
      <w:r>
        <w:t xml:space="preserve"> emissions</w:t>
      </w:r>
      <w:r w:rsidR="00274F91">
        <w:t xml:space="preserve"> </w:t>
      </w:r>
      <w:r w:rsidR="00D040D1">
        <w:t>from</w:t>
      </w:r>
      <w:r w:rsidR="00274F91">
        <w:t xml:space="preserve"> </w:t>
      </w:r>
      <w:r w:rsidR="00CF469C">
        <w:t xml:space="preserve">mining and quarrying </w:t>
      </w:r>
      <w:r>
        <w:t xml:space="preserve">in </w:t>
      </w:r>
      <w:r w:rsidR="00CF469C" w:rsidRPr="00B86742">
        <w:rPr>
          <w:szCs w:val="20"/>
        </w:rPr>
        <w:t>Barbour County, Alabama</w:t>
      </w:r>
    </w:p>
    <w:tbl>
      <w:tblPr>
        <w:tblStyle w:val="TableGrid"/>
        <w:tblW w:w="10098" w:type="dxa"/>
        <w:tblLayout w:type="fixed"/>
        <w:tblLook w:val="04A0" w:firstRow="1" w:lastRow="0" w:firstColumn="1" w:lastColumn="0" w:noHBand="0" w:noVBand="1"/>
      </w:tblPr>
      <w:tblGrid>
        <w:gridCol w:w="558"/>
        <w:gridCol w:w="3600"/>
        <w:gridCol w:w="4230"/>
        <w:gridCol w:w="1710"/>
      </w:tblGrid>
      <w:tr w:rsidR="00FE02FD" w:rsidRPr="00DF0B38" w14:paraId="1F03940E" w14:textId="77777777" w:rsidTr="007D6A29">
        <w:trPr>
          <w:cantSplit/>
          <w:tblHeader/>
        </w:trPr>
        <w:tc>
          <w:tcPr>
            <w:tcW w:w="558" w:type="dxa"/>
            <w:shd w:val="clear" w:color="auto" w:fill="BFBFBF" w:themeFill="background1" w:themeFillShade="BF"/>
            <w:vAlign w:val="center"/>
          </w:tcPr>
          <w:p w14:paraId="398C88DC" w14:textId="77777777" w:rsidR="00DF0B38" w:rsidRPr="00DF0B38" w:rsidRDefault="00DF0B38" w:rsidP="00FE7F5B">
            <w:pPr>
              <w:widowControl/>
              <w:tabs>
                <w:tab w:val="left" w:pos="0"/>
              </w:tabs>
              <w:jc w:val="center"/>
              <w:rPr>
                <w:b/>
                <w:szCs w:val="20"/>
              </w:rPr>
            </w:pPr>
            <w:r w:rsidRPr="00DF0B38">
              <w:rPr>
                <w:b/>
                <w:szCs w:val="20"/>
              </w:rPr>
              <w:t>Eq. #</w:t>
            </w:r>
          </w:p>
        </w:tc>
        <w:tc>
          <w:tcPr>
            <w:tcW w:w="3600" w:type="dxa"/>
            <w:shd w:val="clear" w:color="auto" w:fill="BFBFBF" w:themeFill="background1" w:themeFillShade="BF"/>
            <w:vAlign w:val="center"/>
          </w:tcPr>
          <w:p w14:paraId="41ADB9D6" w14:textId="77777777" w:rsidR="00DF0B38" w:rsidRPr="00DF0B38" w:rsidRDefault="00DF0B38" w:rsidP="00FE7F5B">
            <w:pPr>
              <w:widowControl/>
              <w:tabs>
                <w:tab w:val="left" w:pos="0"/>
              </w:tabs>
              <w:jc w:val="center"/>
              <w:rPr>
                <w:b/>
                <w:szCs w:val="20"/>
              </w:rPr>
            </w:pPr>
            <w:r w:rsidRPr="00DF0B38">
              <w:rPr>
                <w:b/>
                <w:szCs w:val="20"/>
              </w:rPr>
              <w:t>Equation</w:t>
            </w:r>
          </w:p>
        </w:tc>
        <w:tc>
          <w:tcPr>
            <w:tcW w:w="4230" w:type="dxa"/>
            <w:shd w:val="clear" w:color="auto" w:fill="BFBFBF" w:themeFill="background1" w:themeFillShade="BF"/>
            <w:vAlign w:val="center"/>
          </w:tcPr>
          <w:p w14:paraId="5FC0E147" w14:textId="77777777" w:rsidR="00DF0B38" w:rsidRPr="00DF0B38" w:rsidRDefault="00DF0B38" w:rsidP="00C054C7">
            <w:pPr>
              <w:widowControl/>
              <w:tabs>
                <w:tab w:val="left" w:pos="0"/>
              </w:tabs>
              <w:jc w:val="center"/>
              <w:rPr>
                <w:b/>
                <w:szCs w:val="20"/>
              </w:rPr>
            </w:pPr>
            <w:r w:rsidRPr="00DF0B38">
              <w:rPr>
                <w:b/>
                <w:szCs w:val="20"/>
              </w:rPr>
              <w:t>Values</w:t>
            </w:r>
            <w:r w:rsidR="0097139E">
              <w:rPr>
                <w:b/>
                <w:szCs w:val="20"/>
              </w:rPr>
              <w:t xml:space="preserve"> for </w:t>
            </w:r>
            <w:r w:rsidR="00C054C7">
              <w:rPr>
                <w:b/>
                <w:szCs w:val="20"/>
              </w:rPr>
              <w:t>Barbour</w:t>
            </w:r>
            <w:r w:rsidR="0097139E">
              <w:rPr>
                <w:b/>
                <w:szCs w:val="20"/>
              </w:rPr>
              <w:t xml:space="preserve"> County, A</w:t>
            </w:r>
            <w:r w:rsidR="001634C5">
              <w:rPr>
                <w:b/>
                <w:szCs w:val="20"/>
              </w:rPr>
              <w:t>L</w:t>
            </w:r>
          </w:p>
        </w:tc>
        <w:tc>
          <w:tcPr>
            <w:tcW w:w="1710" w:type="dxa"/>
            <w:shd w:val="clear" w:color="auto" w:fill="BFBFBF" w:themeFill="background1" w:themeFillShade="BF"/>
            <w:vAlign w:val="center"/>
          </w:tcPr>
          <w:p w14:paraId="7EB4853B" w14:textId="77777777" w:rsidR="00DF0B38" w:rsidRPr="00DF0B38" w:rsidRDefault="00DF0B38" w:rsidP="00274F91">
            <w:pPr>
              <w:widowControl/>
              <w:tabs>
                <w:tab w:val="left" w:pos="0"/>
              </w:tabs>
              <w:ind w:left="234"/>
              <w:jc w:val="center"/>
              <w:rPr>
                <w:b/>
                <w:szCs w:val="20"/>
              </w:rPr>
            </w:pPr>
            <w:r w:rsidRPr="00DF0B38">
              <w:rPr>
                <w:b/>
                <w:szCs w:val="20"/>
              </w:rPr>
              <w:t>Result</w:t>
            </w:r>
          </w:p>
        </w:tc>
      </w:tr>
      <w:tr w:rsidR="00FE02FD" w14:paraId="389B0C19" w14:textId="77777777" w:rsidTr="007D6A29">
        <w:trPr>
          <w:cantSplit/>
        </w:trPr>
        <w:tc>
          <w:tcPr>
            <w:tcW w:w="558" w:type="dxa"/>
            <w:vAlign w:val="center"/>
          </w:tcPr>
          <w:p w14:paraId="05AF773D" w14:textId="77777777" w:rsidR="0003373D" w:rsidRDefault="0024417D" w:rsidP="00FE7F5B">
            <w:pPr>
              <w:widowControl/>
              <w:tabs>
                <w:tab w:val="left" w:pos="0"/>
              </w:tabs>
              <w:spacing w:after="60"/>
              <w:jc w:val="center"/>
              <w:rPr>
                <w:szCs w:val="20"/>
              </w:rPr>
            </w:pPr>
            <w:r>
              <w:rPr>
                <w:szCs w:val="20"/>
              </w:rPr>
              <w:t>1</w:t>
            </w:r>
          </w:p>
        </w:tc>
        <w:tc>
          <w:tcPr>
            <w:tcW w:w="3600" w:type="dxa"/>
            <w:vAlign w:val="center"/>
          </w:tcPr>
          <w:p w14:paraId="2491CD5B" w14:textId="77777777" w:rsidR="0003373D" w:rsidRDefault="0018092A"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W</m:t>
                    </m:r>
                  </m:e>
                  <m:sub>
                    <m:r>
                      <w:rPr>
                        <w:rFonts w:ascii="Cambria Math" w:hAnsi="Cambria Math"/>
                        <w:szCs w:val="20"/>
                      </w:rPr>
                      <m:t>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O</m:t>
                        </m:r>
                      </m:e>
                      <m:sub>
                        <m:r>
                          <w:rPr>
                            <w:rFonts w:ascii="Cambria Math" w:hAnsi="Cambria Math"/>
                            <w:szCs w:val="20"/>
                          </w:rPr>
                          <m:t>s</m:t>
                        </m:r>
                      </m:sub>
                    </m:sSub>
                  </m:num>
                  <m:den>
                    <m:sSub>
                      <m:sSubPr>
                        <m:ctrlPr>
                          <w:rPr>
                            <w:rFonts w:ascii="Cambria Math" w:hAnsi="Cambria Math"/>
                            <w:i/>
                            <w:szCs w:val="20"/>
                          </w:rPr>
                        </m:ctrlPr>
                      </m:sSubPr>
                      <m:e>
                        <m:r>
                          <w:rPr>
                            <w:rFonts w:ascii="Cambria Math" w:hAnsi="Cambria Math"/>
                            <w:szCs w:val="20"/>
                          </w:rPr>
                          <m:t>O</m:t>
                        </m:r>
                      </m:e>
                      <m:sub>
                        <m:r>
                          <w:rPr>
                            <w:rFonts w:ascii="Cambria Math" w:hAnsi="Cambria Math"/>
                            <w:szCs w:val="20"/>
                          </w:rPr>
                          <m:t>US</m:t>
                        </m:r>
                      </m:sub>
                    </m:sSub>
                  </m:den>
                </m:f>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US</m:t>
                    </m:r>
                  </m:sub>
                </m:sSub>
              </m:oMath>
            </m:oMathPara>
          </w:p>
        </w:tc>
        <w:tc>
          <w:tcPr>
            <w:tcW w:w="4230" w:type="dxa"/>
            <w:vAlign w:val="center"/>
          </w:tcPr>
          <w:p w14:paraId="3ECBE012" w14:textId="77777777" w:rsidR="0003373D" w:rsidRDefault="0024417D" w:rsidP="0024417D">
            <w:pPr>
              <w:widowControl/>
              <w:tabs>
                <w:tab w:val="left" w:pos="0"/>
              </w:tabs>
              <w:spacing w:after="60"/>
              <w:jc w:val="center"/>
              <w:rPr>
                <w:szCs w:val="20"/>
              </w:rPr>
            </w:pPr>
            <m:oMathPara>
              <m:oMath>
                <m:r>
                  <w:rPr>
                    <w:rFonts w:ascii="Cambria Math" w:hAnsi="Cambria Math"/>
                    <w:szCs w:val="20"/>
                  </w:rPr>
                  <m:t>N/A</m:t>
                </m:r>
              </m:oMath>
            </m:oMathPara>
          </w:p>
        </w:tc>
        <w:tc>
          <w:tcPr>
            <w:tcW w:w="1710" w:type="dxa"/>
          </w:tcPr>
          <w:p w14:paraId="6DB9A6D5" w14:textId="77777777" w:rsidR="0003373D" w:rsidRDefault="0024417D" w:rsidP="00996ADE">
            <w:pPr>
              <w:widowControl/>
              <w:tabs>
                <w:tab w:val="left" w:pos="0"/>
              </w:tabs>
              <w:spacing w:after="60"/>
              <w:rPr>
                <w:szCs w:val="20"/>
              </w:rPr>
            </w:pPr>
            <w:r>
              <w:rPr>
                <w:szCs w:val="20"/>
              </w:rPr>
              <w:t>Waste data is not withheld for Alabama.</w:t>
            </w:r>
          </w:p>
        </w:tc>
      </w:tr>
      <w:tr w:rsidR="00461DB2" w14:paraId="06A6838C" w14:textId="77777777" w:rsidTr="007D6A29">
        <w:trPr>
          <w:cantSplit/>
        </w:trPr>
        <w:tc>
          <w:tcPr>
            <w:tcW w:w="558" w:type="dxa"/>
            <w:vMerge w:val="restart"/>
            <w:vAlign w:val="center"/>
          </w:tcPr>
          <w:p w14:paraId="6D1E3342" w14:textId="77777777" w:rsidR="00461DB2" w:rsidRDefault="00461DB2" w:rsidP="00FE7F5B">
            <w:pPr>
              <w:widowControl/>
              <w:tabs>
                <w:tab w:val="left" w:pos="0"/>
              </w:tabs>
              <w:spacing w:after="60"/>
              <w:jc w:val="center"/>
              <w:rPr>
                <w:szCs w:val="20"/>
              </w:rPr>
            </w:pPr>
            <w:r>
              <w:rPr>
                <w:szCs w:val="20"/>
              </w:rPr>
              <w:t>2</w:t>
            </w:r>
          </w:p>
        </w:tc>
        <w:tc>
          <w:tcPr>
            <w:tcW w:w="3600" w:type="dxa"/>
            <w:vMerge w:val="restart"/>
            <w:vAlign w:val="center"/>
          </w:tcPr>
          <w:p w14:paraId="5E3ECC4E" w14:textId="77777777" w:rsidR="00461DB2" w:rsidRDefault="0018092A"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MP</m:t>
                    </m:r>
                  </m:e>
                  <m:sub>
                    <m:r>
                      <w:rPr>
                        <w:rFonts w:ascii="Cambria Math" w:hAnsi="Cambria Math"/>
                        <w:szCs w:val="20"/>
                      </w:rPr>
                      <m:t>t,s</m:t>
                    </m:r>
                  </m:sub>
                </m:sSub>
                <m:r>
                  <w:rPr>
                    <w:rFonts w:ascii="Cambria Math" w:hAnsi="Cambria Math"/>
                    <w:szCs w:val="20"/>
                  </w:rPr>
                  <m:t>=</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O</m:t>
                        </m:r>
                      </m:e>
                      <m:sub>
                        <m:r>
                          <w:rPr>
                            <w:rFonts w:ascii="Cambria Math" w:hAnsi="Cambria Math"/>
                            <w:szCs w:val="20"/>
                          </w:rPr>
                          <m:t>s</m:t>
                        </m:r>
                      </m:sub>
                    </m:sSub>
                  </m:e>
                </m:d>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MP</m:t>
                        </m:r>
                      </m:e>
                      <m:sub>
                        <m:r>
                          <w:rPr>
                            <w:rFonts w:ascii="Cambria Math" w:hAnsi="Cambria Math"/>
                            <w:szCs w:val="20"/>
                          </w:rPr>
                          <m:t>t,US</m:t>
                        </m:r>
                      </m:sub>
                    </m:sSub>
                  </m:num>
                  <m:den>
                    <m:sSub>
                      <m:sSubPr>
                        <m:ctrlPr>
                          <w:rPr>
                            <w:rFonts w:ascii="Cambria Math" w:hAnsi="Cambria Math"/>
                            <w:i/>
                            <w:szCs w:val="20"/>
                          </w:rPr>
                        </m:ctrlPr>
                      </m:sSubPr>
                      <m:e>
                        <m:r>
                          <w:rPr>
                            <w:rFonts w:ascii="Cambria Math" w:hAnsi="Cambria Math"/>
                            <w:szCs w:val="20"/>
                          </w:rPr>
                          <m:t>MP</m:t>
                        </m:r>
                      </m:e>
                      <m:sub>
                        <m:r>
                          <w:rPr>
                            <w:rFonts w:ascii="Cambria Math" w:hAnsi="Cambria Math"/>
                            <w:szCs w:val="20"/>
                          </w:rPr>
                          <m:t>US</m:t>
                        </m:r>
                      </m:sub>
                    </m:sSub>
                  </m:den>
                </m:f>
                <m:r>
                  <w:rPr>
                    <w:rFonts w:ascii="Cambria Math" w:hAnsi="Cambria Math"/>
                    <w:szCs w:val="20"/>
                  </w:rPr>
                  <m:t>×1.1023</m:t>
                </m:r>
                <m:f>
                  <m:fPr>
                    <m:type m:val="skw"/>
                    <m:ctrlPr>
                      <w:rPr>
                        <w:rFonts w:ascii="Cambria Math" w:hAnsi="Cambria Math"/>
                        <w:i/>
                        <w:szCs w:val="20"/>
                      </w:rPr>
                    </m:ctrlPr>
                  </m:fPr>
                  <m:num>
                    <m:r>
                      <w:rPr>
                        <w:rFonts w:ascii="Cambria Math" w:hAnsi="Cambria Math"/>
                        <w:szCs w:val="20"/>
                      </w:rPr>
                      <m:t>short ton</m:t>
                    </m:r>
                  </m:num>
                  <m:den>
                    <m:r>
                      <w:rPr>
                        <w:rFonts w:ascii="Cambria Math" w:hAnsi="Cambria Math"/>
                        <w:szCs w:val="20"/>
                      </w:rPr>
                      <m:t>metric ton</m:t>
                    </m:r>
                  </m:den>
                </m:f>
              </m:oMath>
            </m:oMathPara>
          </w:p>
        </w:tc>
        <w:tc>
          <w:tcPr>
            <w:tcW w:w="4230" w:type="dxa"/>
            <w:vAlign w:val="center"/>
          </w:tcPr>
          <w:p w14:paraId="71EB5081" w14:textId="13F6E118" w:rsidR="00461DB2" w:rsidRPr="005B3C9D" w:rsidRDefault="0018092A" w:rsidP="00C054C7">
            <w:pPr>
              <w:ind w:left="720" w:firstLine="720"/>
              <w:rPr>
                <w:szCs w:val="20"/>
              </w:rPr>
            </w:pPr>
            <m:oMathPara>
              <m:oMathParaPr>
                <m:jc m:val="left"/>
              </m:oMathParaPr>
              <m:oMath>
                <m:d>
                  <m:dPr>
                    <m:ctrlPr>
                      <w:rPr>
                        <w:rFonts w:ascii="Cambria Math" w:hAnsi="Cambria Math"/>
                        <w:i/>
                        <w:szCs w:val="20"/>
                      </w:rPr>
                    </m:ctrlPr>
                  </m:dPr>
                  <m:e>
                    <m:r>
                      <w:rPr>
                        <w:rFonts w:ascii="Cambria Math" w:hAnsi="Cambria Math"/>
                        <w:szCs w:val="20"/>
                      </w:rPr>
                      <m:t>3,720+42,900</m:t>
                    </m:r>
                  </m:e>
                </m:d>
                <m:r>
                  <w:rPr>
                    <w:rFonts w:ascii="Cambria Math" w:hAnsi="Cambria Math"/>
                    <w:szCs w:val="20"/>
                  </w:rPr>
                  <m:t>×</m:t>
                </m:r>
                <m:d>
                  <m:dPr>
                    <m:ctrlPr>
                      <w:rPr>
                        <w:rFonts w:ascii="Cambria Math" w:hAnsi="Cambria Math"/>
                        <w:i/>
                        <w:szCs w:val="20"/>
                      </w:rPr>
                    </m:ctrlPr>
                  </m:dPr>
                  <m:e>
                    <m:r>
                      <w:rPr>
                        <w:rFonts w:ascii="Cambria Math" w:hAnsi="Cambria Math"/>
                        <w:szCs w:val="20"/>
                      </w:rPr>
                      <m:t>2,660,000÷5,060,000</m:t>
                    </m:r>
                  </m:e>
                </m:d>
                <m:r>
                  <w:rPr>
                    <w:rFonts w:ascii="Cambria Math" w:hAnsi="Cambria Math"/>
                    <w:szCs w:val="20"/>
                  </w:rPr>
                  <m:t>×1.1023</m:t>
                </m:r>
                <m:f>
                  <m:fPr>
                    <m:type m:val="skw"/>
                    <m:ctrlPr>
                      <w:rPr>
                        <w:rFonts w:ascii="Cambria Math" w:hAnsi="Cambria Math"/>
                        <w:i/>
                        <w:szCs w:val="20"/>
                      </w:rPr>
                    </m:ctrlPr>
                  </m:fPr>
                  <m:num>
                    <m:r>
                      <w:rPr>
                        <w:rFonts w:ascii="Cambria Math" w:hAnsi="Cambria Math"/>
                        <w:szCs w:val="20"/>
                      </w:rPr>
                      <m:t>ton</m:t>
                    </m:r>
                  </m:num>
                  <m:den>
                    <m:r>
                      <w:rPr>
                        <w:rFonts w:ascii="Cambria Math" w:hAnsi="Cambria Math"/>
                        <w:szCs w:val="20"/>
                      </w:rPr>
                      <m:t>metric ton</m:t>
                    </m:r>
                  </m:den>
                </m:f>
              </m:oMath>
            </m:oMathPara>
          </w:p>
          <w:p w14:paraId="0F86107B" w14:textId="77777777" w:rsidR="00461DB2" w:rsidRDefault="00461DB2" w:rsidP="0024417D">
            <w:pPr>
              <w:ind w:left="720" w:firstLine="720"/>
              <w:rPr>
                <w:szCs w:val="20"/>
              </w:rPr>
            </w:pPr>
          </w:p>
        </w:tc>
        <w:tc>
          <w:tcPr>
            <w:tcW w:w="1710" w:type="dxa"/>
          </w:tcPr>
          <w:p w14:paraId="1D2C7D58" w14:textId="01260E25" w:rsidR="00461DB2" w:rsidRDefault="00461DB2" w:rsidP="00996ADE">
            <w:pPr>
              <w:widowControl/>
              <w:tabs>
                <w:tab w:val="left" w:pos="0"/>
              </w:tabs>
              <w:spacing w:after="60"/>
              <w:rPr>
                <w:szCs w:val="20"/>
              </w:rPr>
            </w:pPr>
            <w:r>
              <w:rPr>
                <w:szCs w:val="20"/>
              </w:rPr>
              <w:t>27,015 thousand tons metallic ore in Alabama</w:t>
            </w:r>
          </w:p>
        </w:tc>
      </w:tr>
      <w:tr w:rsidR="00461DB2" w14:paraId="73B9ECE5" w14:textId="77777777" w:rsidTr="007D6A29">
        <w:trPr>
          <w:cantSplit/>
        </w:trPr>
        <w:tc>
          <w:tcPr>
            <w:tcW w:w="558" w:type="dxa"/>
            <w:vMerge/>
            <w:vAlign w:val="center"/>
          </w:tcPr>
          <w:p w14:paraId="4412BCF2" w14:textId="77777777" w:rsidR="00461DB2" w:rsidRDefault="00461DB2" w:rsidP="00FE7F5B">
            <w:pPr>
              <w:widowControl/>
              <w:tabs>
                <w:tab w:val="left" w:pos="0"/>
              </w:tabs>
              <w:spacing w:after="60"/>
              <w:jc w:val="center"/>
              <w:rPr>
                <w:szCs w:val="20"/>
              </w:rPr>
            </w:pPr>
          </w:p>
        </w:tc>
        <w:tc>
          <w:tcPr>
            <w:tcW w:w="3600" w:type="dxa"/>
            <w:vMerge/>
            <w:vAlign w:val="center"/>
          </w:tcPr>
          <w:p w14:paraId="34E94AB5" w14:textId="77777777" w:rsidR="00461DB2" w:rsidRDefault="00461DB2" w:rsidP="00FE7F5B">
            <w:pPr>
              <w:widowControl/>
              <w:tabs>
                <w:tab w:val="left" w:pos="0"/>
              </w:tabs>
              <w:spacing w:after="60"/>
              <w:jc w:val="center"/>
              <w:rPr>
                <w:szCs w:val="20"/>
              </w:rPr>
            </w:pPr>
          </w:p>
        </w:tc>
        <w:tc>
          <w:tcPr>
            <w:tcW w:w="4230" w:type="dxa"/>
            <w:vAlign w:val="center"/>
          </w:tcPr>
          <w:p w14:paraId="6CD7490F" w14:textId="0485B106" w:rsidR="00461DB2" w:rsidRPr="003E7378" w:rsidRDefault="0018092A" w:rsidP="0024417D">
            <w:pPr>
              <w:ind w:left="720" w:firstLine="720"/>
              <w:rPr>
                <w:rFonts w:ascii="Cambria Math" w:hAnsi="Cambria Math"/>
                <w:i/>
                <w:szCs w:val="20"/>
              </w:rPr>
            </w:pPr>
            <m:oMathPara>
              <m:oMathParaPr>
                <m:jc m:val="left"/>
              </m:oMathParaPr>
              <m:oMath>
                <m:d>
                  <m:dPr>
                    <m:ctrlPr>
                      <w:rPr>
                        <w:rFonts w:ascii="Cambria Math" w:hAnsi="Cambria Math"/>
                        <w:i/>
                        <w:szCs w:val="20"/>
                      </w:rPr>
                    </m:ctrlPr>
                  </m:dPr>
                  <m:e>
                    <m:r>
                      <w:rPr>
                        <w:rFonts w:ascii="Cambria Math" w:hAnsi="Cambria Math"/>
                        <w:szCs w:val="20"/>
                      </w:rPr>
                      <m:t>3,720+42,900</m:t>
                    </m:r>
                  </m:e>
                </m:d>
                <m:r>
                  <w:rPr>
                    <w:rFonts w:ascii="Cambria Math" w:hAnsi="Cambria Math"/>
                    <w:szCs w:val="20"/>
                  </w:rPr>
                  <m:t>×</m:t>
                </m:r>
                <m:d>
                  <m:dPr>
                    <m:ctrlPr>
                      <w:rPr>
                        <w:rFonts w:ascii="Cambria Math" w:hAnsi="Cambria Math"/>
                        <w:i/>
                        <w:szCs w:val="20"/>
                      </w:rPr>
                    </m:ctrlPr>
                  </m:dPr>
                  <m:e>
                    <m:r>
                      <w:rPr>
                        <w:rFonts w:ascii="Cambria Math" w:hAnsi="Cambria Math"/>
                        <w:szCs w:val="20"/>
                      </w:rPr>
                      <m:t>2,400,000÷5,060,000</m:t>
                    </m:r>
                  </m:e>
                </m:d>
                <m:r>
                  <w:rPr>
                    <w:rFonts w:ascii="Cambria Math" w:hAnsi="Cambria Math"/>
                    <w:szCs w:val="20"/>
                  </w:rPr>
                  <m:t>×1.1023</m:t>
                </m:r>
                <m:f>
                  <m:fPr>
                    <m:type m:val="skw"/>
                    <m:ctrlPr>
                      <w:rPr>
                        <w:rFonts w:ascii="Cambria Math" w:hAnsi="Cambria Math"/>
                        <w:i/>
                        <w:szCs w:val="20"/>
                      </w:rPr>
                    </m:ctrlPr>
                  </m:fPr>
                  <m:num>
                    <m:r>
                      <w:rPr>
                        <w:rFonts w:ascii="Cambria Math" w:hAnsi="Cambria Math"/>
                        <w:szCs w:val="20"/>
                      </w:rPr>
                      <m:t>ton</m:t>
                    </m:r>
                  </m:num>
                  <m:den>
                    <m:r>
                      <w:rPr>
                        <w:rFonts w:ascii="Cambria Math" w:hAnsi="Cambria Math"/>
                        <w:szCs w:val="20"/>
                      </w:rPr>
                      <m:t>metric ton</m:t>
                    </m:r>
                  </m:den>
                </m:f>
              </m:oMath>
            </m:oMathPara>
          </w:p>
          <w:p w14:paraId="056142AA" w14:textId="77777777" w:rsidR="00461DB2" w:rsidRDefault="00461DB2" w:rsidP="00C054C7">
            <w:pPr>
              <w:ind w:left="720" w:firstLine="720"/>
              <w:rPr>
                <w:szCs w:val="20"/>
              </w:rPr>
            </w:pPr>
          </w:p>
        </w:tc>
        <w:tc>
          <w:tcPr>
            <w:tcW w:w="1710" w:type="dxa"/>
          </w:tcPr>
          <w:p w14:paraId="5449DB95" w14:textId="17E4EE60" w:rsidR="00461DB2" w:rsidRDefault="00461DB2" w:rsidP="00996ADE">
            <w:pPr>
              <w:widowControl/>
              <w:tabs>
                <w:tab w:val="left" w:pos="0"/>
              </w:tabs>
              <w:spacing w:after="60"/>
              <w:rPr>
                <w:szCs w:val="20"/>
              </w:rPr>
            </w:pPr>
            <w:r>
              <w:rPr>
                <w:szCs w:val="20"/>
              </w:rPr>
              <w:t>24,375 thousand tons non-metallic ore in Alabama</w:t>
            </w:r>
          </w:p>
        </w:tc>
      </w:tr>
      <w:tr w:rsidR="00461DB2" w14:paraId="2A83046F" w14:textId="77777777" w:rsidTr="007D6A29">
        <w:trPr>
          <w:cantSplit/>
        </w:trPr>
        <w:tc>
          <w:tcPr>
            <w:tcW w:w="558" w:type="dxa"/>
            <w:vMerge w:val="restart"/>
            <w:vAlign w:val="center"/>
          </w:tcPr>
          <w:p w14:paraId="0806EA12" w14:textId="77777777" w:rsidR="00461DB2" w:rsidRDefault="00461DB2" w:rsidP="00FE7F5B">
            <w:pPr>
              <w:widowControl/>
              <w:tabs>
                <w:tab w:val="left" w:pos="0"/>
              </w:tabs>
              <w:spacing w:after="60"/>
              <w:jc w:val="center"/>
              <w:rPr>
                <w:szCs w:val="20"/>
              </w:rPr>
            </w:pPr>
            <w:r>
              <w:rPr>
                <w:szCs w:val="20"/>
              </w:rPr>
              <w:t>3</w:t>
            </w:r>
          </w:p>
        </w:tc>
        <w:tc>
          <w:tcPr>
            <w:tcW w:w="3600" w:type="dxa"/>
            <w:vMerge w:val="restart"/>
            <w:vAlign w:val="center"/>
          </w:tcPr>
          <w:p w14:paraId="15B5B466" w14:textId="77777777" w:rsidR="00461DB2" w:rsidRDefault="0018092A">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Emp</m:t>
                        </m:r>
                      </m:e>
                      <m:sub>
                        <m:r>
                          <w:rPr>
                            <w:rFonts w:ascii="Cambria Math" w:hAnsi="Cambria Math"/>
                            <w:szCs w:val="20"/>
                          </w:rPr>
                          <m:t>t,c</m:t>
                        </m:r>
                      </m:sub>
                    </m:sSub>
                  </m:num>
                  <m:den>
                    <m:sSub>
                      <m:sSubPr>
                        <m:ctrlPr>
                          <w:rPr>
                            <w:rFonts w:ascii="Cambria Math" w:hAnsi="Cambria Math"/>
                            <w:i/>
                            <w:szCs w:val="20"/>
                          </w:rPr>
                        </m:ctrlPr>
                      </m:sSubPr>
                      <m:e>
                        <m:r>
                          <w:rPr>
                            <w:rFonts w:ascii="Cambria Math" w:hAnsi="Cambria Math"/>
                            <w:szCs w:val="20"/>
                          </w:rPr>
                          <m:t>Emp</m:t>
                        </m:r>
                      </m:e>
                      <m:sub>
                        <m:r>
                          <w:rPr>
                            <w:rFonts w:ascii="Cambria Math" w:hAnsi="Cambria Math"/>
                            <w:szCs w:val="20"/>
                          </w:rPr>
                          <m:t>t,s</m:t>
                        </m:r>
                      </m:sub>
                    </m:sSub>
                  </m:den>
                </m:f>
              </m:oMath>
            </m:oMathPara>
          </w:p>
        </w:tc>
        <w:tc>
          <w:tcPr>
            <w:tcW w:w="4230" w:type="dxa"/>
            <w:vAlign w:val="center"/>
          </w:tcPr>
          <w:p w14:paraId="0B55005A" w14:textId="77777777" w:rsidR="00461DB2" w:rsidRDefault="0018092A" w:rsidP="00461DB2">
            <w:pPr>
              <w:ind w:left="72" w:hanging="18"/>
              <w:rPr>
                <w:szCs w:val="20"/>
              </w:rPr>
            </w:pPr>
            <m:oMathPara>
              <m:oMath>
                <m:f>
                  <m:fPr>
                    <m:ctrlPr>
                      <w:rPr>
                        <w:rFonts w:ascii="Cambria Math" w:hAnsi="Cambria Math"/>
                        <w:i/>
                        <w:szCs w:val="20"/>
                      </w:rPr>
                    </m:ctrlPr>
                  </m:fPr>
                  <m:num>
                    <m:r>
                      <w:rPr>
                        <w:rFonts w:ascii="Cambria Math" w:hAnsi="Cambria Math"/>
                        <w:szCs w:val="20"/>
                      </w:rPr>
                      <m:t>67 metallic mining employess in Barbour</m:t>
                    </m:r>
                  </m:num>
                  <m:den>
                    <m:r>
                      <w:rPr>
                        <w:rFonts w:ascii="Cambria Math" w:hAnsi="Cambria Math"/>
                        <w:szCs w:val="20"/>
                      </w:rPr>
                      <m:t>67 metallic mining employees in Alabama</m:t>
                    </m:r>
                  </m:den>
                </m:f>
              </m:oMath>
            </m:oMathPara>
          </w:p>
        </w:tc>
        <w:tc>
          <w:tcPr>
            <w:tcW w:w="1710" w:type="dxa"/>
          </w:tcPr>
          <w:p w14:paraId="3FC0A639" w14:textId="77777777" w:rsidR="00461DB2" w:rsidRDefault="00461DB2" w:rsidP="00461DB2">
            <w:pPr>
              <w:widowControl/>
              <w:tabs>
                <w:tab w:val="left" w:pos="0"/>
              </w:tabs>
              <w:spacing w:after="60"/>
              <w:rPr>
                <w:szCs w:val="20"/>
              </w:rPr>
            </w:pPr>
            <w:r>
              <w:rPr>
                <w:szCs w:val="20"/>
              </w:rPr>
              <w:t>Metallic employee fraction of 1 for Barbour County, AL</w:t>
            </w:r>
          </w:p>
        </w:tc>
      </w:tr>
      <w:tr w:rsidR="00461DB2" w14:paraId="71D4182A" w14:textId="77777777" w:rsidTr="007D6A29">
        <w:trPr>
          <w:cantSplit/>
        </w:trPr>
        <w:tc>
          <w:tcPr>
            <w:tcW w:w="558" w:type="dxa"/>
            <w:vMerge/>
            <w:vAlign w:val="center"/>
          </w:tcPr>
          <w:p w14:paraId="699E42DA" w14:textId="77777777" w:rsidR="00461DB2" w:rsidRDefault="00461DB2" w:rsidP="00FE7F5B">
            <w:pPr>
              <w:widowControl/>
              <w:tabs>
                <w:tab w:val="left" w:pos="0"/>
              </w:tabs>
              <w:spacing w:after="60"/>
              <w:jc w:val="center"/>
              <w:rPr>
                <w:szCs w:val="20"/>
              </w:rPr>
            </w:pPr>
          </w:p>
        </w:tc>
        <w:tc>
          <w:tcPr>
            <w:tcW w:w="3600" w:type="dxa"/>
            <w:vMerge/>
            <w:vAlign w:val="center"/>
          </w:tcPr>
          <w:p w14:paraId="4B128FC2" w14:textId="77777777" w:rsidR="00461DB2" w:rsidRDefault="00461DB2">
            <w:pPr>
              <w:widowControl/>
              <w:tabs>
                <w:tab w:val="left" w:pos="0"/>
                <w:tab w:val="center" w:pos="4320"/>
                <w:tab w:val="right" w:pos="8460"/>
              </w:tabs>
              <w:spacing w:after="60"/>
              <w:jc w:val="center"/>
              <w:rPr>
                <w:szCs w:val="20"/>
              </w:rPr>
            </w:pPr>
          </w:p>
        </w:tc>
        <w:tc>
          <w:tcPr>
            <w:tcW w:w="4230" w:type="dxa"/>
            <w:vAlign w:val="center"/>
          </w:tcPr>
          <w:p w14:paraId="25E1EB1C" w14:textId="77777777" w:rsidR="00461DB2" w:rsidRDefault="0018092A" w:rsidP="00461DB2">
            <w:pPr>
              <w:ind w:left="72" w:hanging="18"/>
              <w:rPr>
                <w:szCs w:val="20"/>
              </w:rPr>
            </w:pPr>
            <m:oMathPara>
              <m:oMath>
                <m:f>
                  <m:fPr>
                    <m:ctrlPr>
                      <w:rPr>
                        <w:rFonts w:ascii="Cambria Math" w:hAnsi="Cambria Math"/>
                        <w:i/>
                        <w:szCs w:val="20"/>
                      </w:rPr>
                    </m:ctrlPr>
                  </m:fPr>
                  <m:num>
                    <m:r>
                      <w:rPr>
                        <w:rFonts w:ascii="Cambria Math" w:hAnsi="Cambria Math"/>
                        <w:szCs w:val="20"/>
                      </w:rPr>
                      <m:t>8 nonmetallic mining employess in Barbor</m:t>
                    </m:r>
                  </m:num>
                  <m:den>
                    <m:r>
                      <w:rPr>
                        <w:rFonts w:ascii="Cambria Math" w:hAnsi="Cambria Math"/>
                        <w:szCs w:val="20"/>
                      </w:rPr>
                      <m:t>1,778 nonmetallic mining employess in AL</m:t>
                    </m:r>
                  </m:den>
                </m:f>
              </m:oMath>
            </m:oMathPara>
          </w:p>
        </w:tc>
        <w:tc>
          <w:tcPr>
            <w:tcW w:w="1710" w:type="dxa"/>
          </w:tcPr>
          <w:p w14:paraId="21AFC7D6" w14:textId="77777777" w:rsidR="00461DB2" w:rsidRPr="00461DB2" w:rsidRDefault="00461DB2" w:rsidP="00996ADE">
            <w:pPr>
              <w:widowControl/>
              <w:tabs>
                <w:tab w:val="left" w:pos="0"/>
              </w:tabs>
              <w:spacing w:after="60"/>
              <w:rPr>
                <w:szCs w:val="20"/>
              </w:rPr>
            </w:pPr>
            <w:r>
              <w:rPr>
                <w:szCs w:val="20"/>
              </w:rPr>
              <w:t>Nonmetallic employee fraction of 4.5 × 10</w:t>
            </w:r>
            <w:r w:rsidRPr="00461DB2">
              <w:rPr>
                <w:szCs w:val="20"/>
                <w:vertAlign w:val="superscript"/>
              </w:rPr>
              <w:t>-3</w:t>
            </w:r>
            <w:r>
              <w:rPr>
                <w:szCs w:val="20"/>
                <w:vertAlign w:val="superscript"/>
              </w:rPr>
              <w:t xml:space="preserve"> </w:t>
            </w:r>
            <w:r>
              <w:rPr>
                <w:szCs w:val="20"/>
              </w:rPr>
              <w:t>for Barbour County, AL</w:t>
            </w:r>
          </w:p>
        </w:tc>
      </w:tr>
      <w:tr w:rsidR="00461DB2" w14:paraId="1834AA4E" w14:textId="77777777" w:rsidTr="007D6A29">
        <w:trPr>
          <w:cantSplit/>
        </w:trPr>
        <w:tc>
          <w:tcPr>
            <w:tcW w:w="558" w:type="dxa"/>
            <w:vMerge w:val="restart"/>
            <w:vAlign w:val="center"/>
          </w:tcPr>
          <w:p w14:paraId="6096523A" w14:textId="77777777" w:rsidR="00461DB2" w:rsidRDefault="00461DB2" w:rsidP="00FE7F5B">
            <w:pPr>
              <w:widowControl/>
              <w:tabs>
                <w:tab w:val="left" w:pos="0"/>
              </w:tabs>
              <w:spacing w:after="60"/>
              <w:jc w:val="center"/>
              <w:rPr>
                <w:szCs w:val="20"/>
              </w:rPr>
            </w:pPr>
            <w:r>
              <w:rPr>
                <w:szCs w:val="20"/>
              </w:rPr>
              <w:t>4</w:t>
            </w:r>
          </w:p>
        </w:tc>
        <w:tc>
          <w:tcPr>
            <w:tcW w:w="3600" w:type="dxa"/>
            <w:vMerge w:val="restart"/>
            <w:vAlign w:val="center"/>
          </w:tcPr>
          <w:p w14:paraId="7B465B4B" w14:textId="77777777" w:rsidR="00461DB2" w:rsidRDefault="0018092A"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MP</m:t>
                    </m:r>
                  </m:e>
                  <m:sub>
                    <m:r>
                      <w:rPr>
                        <w:rFonts w:ascii="Cambria Math" w:hAnsi="Cambria Math"/>
                        <w:szCs w:val="20"/>
                      </w:rPr>
                      <m:t>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MP</m:t>
                    </m:r>
                  </m:e>
                  <m:sub>
                    <m:r>
                      <w:rPr>
                        <w:rFonts w:ascii="Cambria Math" w:hAnsi="Cambria Math"/>
                        <w:szCs w:val="20"/>
                      </w:rPr>
                      <m:t>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EmpFrac</m:t>
                    </m:r>
                  </m:e>
                  <m:sub>
                    <m:r>
                      <w:rPr>
                        <w:rFonts w:ascii="Cambria Math" w:hAnsi="Cambria Math"/>
                        <w:szCs w:val="20"/>
                      </w:rPr>
                      <m:t>t,c</m:t>
                    </m:r>
                  </m:sub>
                </m:sSub>
              </m:oMath>
            </m:oMathPara>
          </w:p>
        </w:tc>
        <w:tc>
          <w:tcPr>
            <w:tcW w:w="4230" w:type="dxa"/>
            <w:vAlign w:val="center"/>
          </w:tcPr>
          <w:p w14:paraId="51142E21" w14:textId="77777777" w:rsidR="00461DB2" w:rsidRDefault="00461DB2" w:rsidP="00700556">
            <w:pPr>
              <w:ind w:left="72" w:hanging="18"/>
              <w:rPr>
                <w:szCs w:val="20"/>
              </w:rPr>
            </w:pPr>
            <m:oMathPara>
              <m:oMath>
                <m:r>
                  <w:rPr>
                    <w:rFonts w:ascii="Cambria Math" w:hAnsi="Cambria Math"/>
                    <w:szCs w:val="20"/>
                  </w:rPr>
                  <m:t>27,015 tons×1</m:t>
                </m:r>
              </m:oMath>
            </m:oMathPara>
          </w:p>
        </w:tc>
        <w:tc>
          <w:tcPr>
            <w:tcW w:w="1710" w:type="dxa"/>
          </w:tcPr>
          <w:p w14:paraId="2E321C77" w14:textId="44999F62" w:rsidR="00461DB2" w:rsidRDefault="00461DB2" w:rsidP="00461DB2">
            <w:pPr>
              <w:widowControl/>
              <w:tabs>
                <w:tab w:val="left" w:pos="0"/>
              </w:tabs>
              <w:spacing w:after="60"/>
              <w:rPr>
                <w:szCs w:val="20"/>
              </w:rPr>
            </w:pPr>
            <w:r>
              <w:rPr>
                <w:szCs w:val="20"/>
              </w:rPr>
              <w:t>27,015 thousand tons metallic ore in Barbour County, AL</w:t>
            </w:r>
          </w:p>
        </w:tc>
      </w:tr>
      <w:tr w:rsidR="00461DB2" w14:paraId="40FE996B" w14:textId="77777777" w:rsidTr="007D6A29">
        <w:trPr>
          <w:cantSplit/>
        </w:trPr>
        <w:tc>
          <w:tcPr>
            <w:tcW w:w="558" w:type="dxa"/>
            <w:vMerge/>
            <w:vAlign w:val="center"/>
          </w:tcPr>
          <w:p w14:paraId="01899E8F" w14:textId="77777777" w:rsidR="00461DB2" w:rsidRDefault="00461DB2" w:rsidP="00FE7F5B">
            <w:pPr>
              <w:widowControl/>
              <w:tabs>
                <w:tab w:val="left" w:pos="0"/>
              </w:tabs>
              <w:spacing w:after="60"/>
              <w:jc w:val="center"/>
              <w:rPr>
                <w:szCs w:val="20"/>
              </w:rPr>
            </w:pPr>
          </w:p>
        </w:tc>
        <w:tc>
          <w:tcPr>
            <w:tcW w:w="3600" w:type="dxa"/>
            <w:vMerge/>
            <w:vAlign w:val="center"/>
          </w:tcPr>
          <w:p w14:paraId="6B791D04" w14:textId="77777777" w:rsidR="00461DB2" w:rsidRDefault="00461DB2" w:rsidP="00FE7F5B">
            <w:pPr>
              <w:widowControl/>
              <w:tabs>
                <w:tab w:val="left" w:pos="0"/>
              </w:tabs>
              <w:spacing w:after="60"/>
              <w:jc w:val="center"/>
              <w:rPr>
                <w:szCs w:val="20"/>
              </w:rPr>
            </w:pPr>
          </w:p>
        </w:tc>
        <w:tc>
          <w:tcPr>
            <w:tcW w:w="4230" w:type="dxa"/>
            <w:vAlign w:val="center"/>
          </w:tcPr>
          <w:p w14:paraId="751E79E8" w14:textId="77777777" w:rsidR="00461DB2" w:rsidRDefault="00461DB2" w:rsidP="00461DB2">
            <w:pPr>
              <w:ind w:left="72" w:hanging="18"/>
              <w:rPr>
                <w:szCs w:val="20"/>
              </w:rPr>
            </w:pPr>
            <m:oMathPara>
              <m:oMath>
                <m:r>
                  <w:rPr>
                    <w:rFonts w:ascii="Cambria Math" w:hAnsi="Cambria Math"/>
                    <w:szCs w:val="20"/>
                  </w:rPr>
                  <m:t>24,375 tons×4.5×</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m:oMathPara>
          </w:p>
        </w:tc>
        <w:tc>
          <w:tcPr>
            <w:tcW w:w="1710" w:type="dxa"/>
          </w:tcPr>
          <w:p w14:paraId="220D8E60" w14:textId="54844984" w:rsidR="00461DB2" w:rsidRDefault="00461DB2" w:rsidP="00DF0B38">
            <w:pPr>
              <w:widowControl/>
              <w:tabs>
                <w:tab w:val="left" w:pos="0"/>
              </w:tabs>
              <w:spacing w:after="60"/>
              <w:rPr>
                <w:szCs w:val="20"/>
              </w:rPr>
            </w:pPr>
            <w:r>
              <w:rPr>
                <w:szCs w:val="20"/>
              </w:rPr>
              <w:t>112 thousand tons non-metallic ore in Barbour County, AL</w:t>
            </w:r>
          </w:p>
        </w:tc>
      </w:tr>
      <w:tr w:rsidR="00700556" w14:paraId="112445FB" w14:textId="77777777" w:rsidTr="007D6A29">
        <w:trPr>
          <w:cantSplit/>
        </w:trPr>
        <w:tc>
          <w:tcPr>
            <w:tcW w:w="558" w:type="dxa"/>
            <w:vMerge w:val="restart"/>
            <w:vAlign w:val="center"/>
          </w:tcPr>
          <w:p w14:paraId="414C883B" w14:textId="77777777" w:rsidR="00700556" w:rsidRDefault="00700556" w:rsidP="00FE7F5B">
            <w:pPr>
              <w:widowControl/>
              <w:tabs>
                <w:tab w:val="left" w:pos="0"/>
              </w:tabs>
              <w:spacing w:after="60"/>
              <w:jc w:val="center"/>
              <w:rPr>
                <w:szCs w:val="20"/>
              </w:rPr>
            </w:pPr>
            <w:r>
              <w:rPr>
                <w:szCs w:val="20"/>
              </w:rPr>
              <w:t>11</w:t>
            </w:r>
          </w:p>
        </w:tc>
        <w:tc>
          <w:tcPr>
            <w:tcW w:w="3600" w:type="dxa"/>
            <w:vMerge w:val="restart"/>
            <w:vAlign w:val="center"/>
          </w:tcPr>
          <w:p w14:paraId="09594F0C" w14:textId="77777777" w:rsidR="00700556" w:rsidRDefault="0018092A"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 xml:space="preserve">t,p </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MP</m:t>
                    </m:r>
                  </m:e>
                  <m:sub>
                    <m:r>
                      <w:rPr>
                        <w:rFonts w:ascii="Cambria Math" w:hAnsi="Cambria Math"/>
                        <w:szCs w:val="20"/>
                      </w:rPr>
                      <m:t>t,c</m:t>
                    </m:r>
                  </m:sub>
                </m:sSub>
              </m:oMath>
            </m:oMathPara>
          </w:p>
        </w:tc>
        <w:tc>
          <w:tcPr>
            <w:tcW w:w="4230" w:type="dxa"/>
            <w:vAlign w:val="center"/>
          </w:tcPr>
          <w:p w14:paraId="3C3BA419" w14:textId="77777777" w:rsidR="00700556" w:rsidRDefault="00700556" w:rsidP="00700556">
            <w:pPr>
              <w:jc w:val="center"/>
              <w:rPr>
                <w:szCs w:val="20"/>
              </w:rPr>
            </w:pPr>
            <m:oMathPara>
              <m:oMath>
                <m:r>
                  <w:rPr>
                    <w:rFonts w:ascii="Cambria Math" w:hAnsi="Cambria Math"/>
                    <w:szCs w:val="20"/>
                  </w:rPr>
                  <m:t xml:space="preserve">0.0068 </m:t>
                </m:r>
                <m:f>
                  <m:fPr>
                    <m:type m:val="skw"/>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×27,015,167 tons</m:t>
                </m:r>
              </m:oMath>
            </m:oMathPara>
          </w:p>
        </w:tc>
        <w:tc>
          <w:tcPr>
            <w:tcW w:w="1710" w:type="dxa"/>
          </w:tcPr>
          <w:p w14:paraId="7A5B50A8" w14:textId="77777777" w:rsidR="00700556" w:rsidRDefault="00700556" w:rsidP="00DF0B38">
            <w:pPr>
              <w:widowControl/>
              <w:tabs>
                <w:tab w:val="left" w:pos="0"/>
              </w:tabs>
              <w:spacing w:after="60"/>
              <w:rPr>
                <w:szCs w:val="20"/>
              </w:rPr>
            </w:pPr>
            <w:r w:rsidRPr="00700556">
              <w:rPr>
                <w:szCs w:val="20"/>
              </w:rPr>
              <w:t>184,922.19 lbs.</w:t>
            </w:r>
            <w:r>
              <w:rPr>
                <w:szCs w:val="20"/>
              </w:rPr>
              <w:t xml:space="preserve"> PM25-PRI emissions from metallic ore in Barbour County, AL</w:t>
            </w:r>
          </w:p>
        </w:tc>
      </w:tr>
      <w:tr w:rsidR="00700556" w14:paraId="7913AA2F" w14:textId="77777777" w:rsidTr="007D6A29">
        <w:trPr>
          <w:cantSplit/>
        </w:trPr>
        <w:tc>
          <w:tcPr>
            <w:tcW w:w="558" w:type="dxa"/>
            <w:vMerge/>
            <w:vAlign w:val="center"/>
          </w:tcPr>
          <w:p w14:paraId="29F3A357" w14:textId="77777777" w:rsidR="00700556" w:rsidRDefault="00700556" w:rsidP="00FE7F5B">
            <w:pPr>
              <w:widowControl/>
              <w:tabs>
                <w:tab w:val="left" w:pos="0"/>
              </w:tabs>
              <w:spacing w:after="60"/>
              <w:jc w:val="center"/>
              <w:rPr>
                <w:szCs w:val="20"/>
              </w:rPr>
            </w:pPr>
          </w:p>
        </w:tc>
        <w:tc>
          <w:tcPr>
            <w:tcW w:w="3600" w:type="dxa"/>
            <w:vMerge/>
            <w:vAlign w:val="center"/>
          </w:tcPr>
          <w:p w14:paraId="37512DD0" w14:textId="77777777" w:rsidR="00700556" w:rsidRDefault="00700556" w:rsidP="00FE7F5B">
            <w:pPr>
              <w:widowControl/>
              <w:tabs>
                <w:tab w:val="left" w:pos="0"/>
              </w:tabs>
              <w:spacing w:after="60"/>
              <w:jc w:val="center"/>
              <w:rPr>
                <w:szCs w:val="20"/>
              </w:rPr>
            </w:pPr>
          </w:p>
        </w:tc>
        <w:tc>
          <w:tcPr>
            <w:tcW w:w="4230" w:type="dxa"/>
            <w:vAlign w:val="center"/>
          </w:tcPr>
          <w:p w14:paraId="5DDCC81D" w14:textId="77777777" w:rsidR="00700556" w:rsidRDefault="00700556" w:rsidP="00C054C7">
            <w:pPr>
              <w:jc w:val="center"/>
              <w:rPr>
                <w:szCs w:val="20"/>
              </w:rPr>
            </w:pPr>
            <m:oMathPara>
              <m:oMath>
                <m:r>
                  <w:rPr>
                    <w:rFonts w:ascii="Cambria Math" w:hAnsi="Cambria Math"/>
                    <w:szCs w:val="20"/>
                  </w:rPr>
                  <m:t>0.037</m:t>
                </m:r>
                <m:f>
                  <m:fPr>
                    <m:type m:val="skw"/>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×112,039 tons</m:t>
                </m:r>
              </m:oMath>
            </m:oMathPara>
          </w:p>
        </w:tc>
        <w:tc>
          <w:tcPr>
            <w:tcW w:w="1710" w:type="dxa"/>
          </w:tcPr>
          <w:p w14:paraId="2E2CE00D" w14:textId="77777777" w:rsidR="00700556" w:rsidRDefault="00700556" w:rsidP="00DF0B38">
            <w:pPr>
              <w:widowControl/>
              <w:tabs>
                <w:tab w:val="left" w:pos="0"/>
              </w:tabs>
              <w:spacing w:after="60"/>
              <w:rPr>
                <w:szCs w:val="20"/>
              </w:rPr>
            </w:pPr>
            <w:r>
              <w:rPr>
                <w:szCs w:val="20"/>
              </w:rPr>
              <w:t>4,107.38 lbs. PM25-PRI emissions from non-metallic ore in Barbour County, AL</w:t>
            </w:r>
          </w:p>
        </w:tc>
      </w:tr>
      <w:tr w:rsidR="00700556" w14:paraId="55459D2B" w14:textId="77777777" w:rsidTr="007D6A29">
        <w:trPr>
          <w:cantSplit/>
        </w:trPr>
        <w:tc>
          <w:tcPr>
            <w:tcW w:w="558" w:type="dxa"/>
            <w:vMerge/>
            <w:vAlign w:val="center"/>
          </w:tcPr>
          <w:p w14:paraId="13174EAA" w14:textId="77777777" w:rsidR="00700556" w:rsidRDefault="00700556" w:rsidP="00FE7F5B">
            <w:pPr>
              <w:widowControl/>
              <w:tabs>
                <w:tab w:val="left" w:pos="0"/>
              </w:tabs>
              <w:spacing w:after="60"/>
              <w:jc w:val="center"/>
              <w:rPr>
                <w:szCs w:val="20"/>
              </w:rPr>
            </w:pPr>
          </w:p>
        </w:tc>
        <w:tc>
          <w:tcPr>
            <w:tcW w:w="3600" w:type="dxa"/>
            <w:vMerge/>
            <w:vAlign w:val="center"/>
          </w:tcPr>
          <w:p w14:paraId="02787C3C" w14:textId="77777777" w:rsidR="00700556" w:rsidRDefault="00700556" w:rsidP="00FE7F5B">
            <w:pPr>
              <w:widowControl/>
              <w:tabs>
                <w:tab w:val="left" w:pos="0"/>
              </w:tabs>
              <w:spacing w:after="60"/>
              <w:jc w:val="center"/>
              <w:rPr>
                <w:szCs w:val="20"/>
              </w:rPr>
            </w:pPr>
          </w:p>
        </w:tc>
        <w:tc>
          <w:tcPr>
            <w:tcW w:w="4230" w:type="dxa"/>
            <w:vAlign w:val="center"/>
          </w:tcPr>
          <w:p w14:paraId="4AB9B878" w14:textId="77777777" w:rsidR="00700556" w:rsidRPr="00700556" w:rsidRDefault="00700556" w:rsidP="00C054C7">
            <w:pPr>
              <w:jc w:val="center"/>
              <w:rPr>
                <w:szCs w:val="20"/>
              </w:rPr>
            </w:pPr>
            <m:oMathPara>
              <m:oMathParaPr>
                <m:jc m:val="center"/>
              </m:oMathParaPr>
              <m:oMath>
                <m:r>
                  <w:rPr>
                    <w:rFonts w:ascii="Cambria Math" w:hAnsi="Cambria Math"/>
                    <w:szCs w:val="20"/>
                  </w:rPr>
                  <m:t>0.064</m:t>
                </m:r>
                <m:f>
                  <m:fPr>
                    <m:type m:val="skw"/>
                    <m:ctrlPr>
                      <w:rPr>
                        <w:rFonts w:ascii="Cambria Math" w:hAnsi="Cambria Math"/>
                        <w:i/>
                        <w:szCs w:val="20"/>
                      </w:rPr>
                    </m:ctrlPr>
                  </m:fPr>
                  <m:num>
                    <m:r>
                      <w:rPr>
                        <w:rFonts w:ascii="Cambria Math" w:hAnsi="Cambria Math"/>
                        <w:szCs w:val="20"/>
                      </w:rPr>
                      <m:t>lbs</m:t>
                    </m:r>
                  </m:num>
                  <m:den>
                    <m:r>
                      <w:rPr>
                        <w:rFonts w:ascii="Cambria Math" w:hAnsi="Cambria Math"/>
                        <w:szCs w:val="20"/>
                      </w:rPr>
                      <m:t>ton</m:t>
                    </m:r>
                  </m:den>
                </m:f>
                <m:r>
                  <w:rPr>
                    <w:rFonts w:ascii="Cambria Math" w:hAnsi="Cambria Math"/>
                    <w:szCs w:val="20"/>
                  </w:rPr>
                  <m:t>×0 tons</m:t>
                </m:r>
              </m:oMath>
            </m:oMathPara>
          </w:p>
        </w:tc>
        <w:tc>
          <w:tcPr>
            <w:tcW w:w="1710" w:type="dxa"/>
          </w:tcPr>
          <w:p w14:paraId="0F09846D" w14:textId="77777777" w:rsidR="00700556" w:rsidRDefault="00700556" w:rsidP="00DF0B38">
            <w:pPr>
              <w:widowControl/>
              <w:tabs>
                <w:tab w:val="left" w:pos="0"/>
              </w:tabs>
              <w:spacing w:after="60"/>
              <w:rPr>
                <w:szCs w:val="20"/>
              </w:rPr>
            </w:pPr>
            <w:r>
              <w:rPr>
                <w:szCs w:val="20"/>
              </w:rPr>
              <w:t>0 lbs. PM25-PRI from coal mining in Barbour County, AL</w:t>
            </w:r>
          </w:p>
        </w:tc>
      </w:tr>
      <w:tr w:rsidR="0043462E" w14:paraId="39A6CFC4" w14:textId="77777777" w:rsidTr="007D6A29">
        <w:trPr>
          <w:cantSplit/>
        </w:trPr>
        <w:tc>
          <w:tcPr>
            <w:tcW w:w="558" w:type="dxa"/>
            <w:vAlign w:val="center"/>
          </w:tcPr>
          <w:p w14:paraId="4A0B2CE1" w14:textId="77777777" w:rsidR="0043462E" w:rsidRDefault="00C054C7" w:rsidP="00FE7F5B">
            <w:pPr>
              <w:widowControl/>
              <w:tabs>
                <w:tab w:val="left" w:pos="0"/>
              </w:tabs>
              <w:spacing w:after="60"/>
              <w:jc w:val="center"/>
              <w:rPr>
                <w:szCs w:val="20"/>
              </w:rPr>
            </w:pPr>
            <w:r>
              <w:rPr>
                <w:szCs w:val="20"/>
              </w:rPr>
              <w:t>12</w:t>
            </w:r>
          </w:p>
        </w:tc>
        <w:tc>
          <w:tcPr>
            <w:tcW w:w="3600" w:type="dxa"/>
            <w:vAlign w:val="center"/>
          </w:tcPr>
          <w:p w14:paraId="735F84E1" w14:textId="77777777" w:rsidR="0043462E" w:rsidRDefault="0018092A"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AE</m:t>
                    </m:r>
                  </m:e>
                  <m:sub>
                    <m:r>
                      <w:rPr>
                        <w:rFonts w:ascii="Cambria Math" w:hAnsi="Cambria Math"/>
                        <w:szCs w:val="20"/>
                      </w:rPr>
                      <m:t>p,c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t</m:t>
                    </m:r>
                  </m:sub>
                  <m:sup/>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e>
                </m:nary>
                <m:r>
                  <w:rPr>
                    <w:rFonts w:ascii="Cambria Math" w:hAnsi="Cambria Math"/>
                    <w:szCs w:val="20"/>
                  </w:rPr>
                  <m:t>×0.0005</m:t>
                </m:r>
                <m:f>
                  <m:fPr>
                    <m:type m:val="skw"/>
                    <m:ctrlPr>
                      <w:rPr>
                        <w:rFonts w:ascii="Cambria Math" w:hAnsi="Cambria Math"/>
                        <w:i/>
                        <w:szCs w:val="20"/>
                      </w:rPr>
                    </m:ctrlPr>
                  </m:fPr>
                  <m:num>
                    <m:r>
                      <w:rPr>
                        <w:rFonts w:ascii="Cambria Math" w:hAnsi="Cambria Math"/>
                        <w:szCs w:val="20"/>
                      </w:rPr>
                      <m:t>short ton</m:t>
                    </m:r>
                  </m:num>
                  <m:den>
                    <m:r>
                      <w:rPr>
                        <w:rFonts w:ascii="Cambria Math" w:hAnsi="Cambria Math"/>
                        <w:szCs w:val="20"/>
                      </w:rPr>
                      <m:t>lb.</m:t>
                    </m:r>
                  </m:den>
                </m:f>
              </m:oMath>
            </m:oMathPara>
          </w:p>
        </w:tc>
        <w:tc>
          <w:tcPr>
            <w:tcW w:w="4230" w:type="dxa"/>
            <w:vAlign w:val="center"/>
          </w:tcPr>
          <w:p w14:paraId="78DA65DF" w14:textId="373D1E4E" w:rsidR="0043462E" w:rsidRDefault="00C054C7" w:rsidP="00700556">
            <w:pPr>
              <w:widowControl/>
              <w:tabs>
                <w:tab w:val="left" w:pos="0"/>
              </w:tabs>
              <w:spacing w:after="60"/>
              <w:jc w:val="center"/>
              <w:rPr>
                <w:szCs w:val="20"/>
              </w:rPr>
            </w:pPr>
            <m:oMathPara>
              <m:oMath>
                <m:r>
                  <w:rPr>
                    <w:rFonts w:ascii="Cambria Math" w:hAnsi="Cambria Math"/>
                    <w:szCs w:val="20"/>
                  </w:rPr>
                  <m:t>184,922.19 lbs.+4,107.38 lbs.+0 lbs.×0.0005</m:t>
                </m:r>
                <m:f>
                  <m:fPr>
                    <m:type m:val="skw"/>
                    <m:ctrlPr>
                      <w:rPr>
                        <w:rFonts w:ascii="Cambria Math" w:hAnsi="Cambria Math"/>
                        <w:i/>
                        <w:szCs w:val="20"/>
                      </w:rPr>
                    </m:ctrlPr>
                  </m:fPr>
                  <m:num>
                    <m:r>
                      <w:rPr>
                        <w:rFonts w:ascii="Cambria Math" w:hAnsi="Cambria Math"/>
                        <w:szCs w:val="20"/>
                      </w:rPr>
                      <m:t>ton</m:t>
                    </m:r>
                  </m:num>
                  <m:den>
                    <m:r>
                      <w:rPr>
                        <w:rFonts w:ascii="Cambria Math" w:hAnsi="Cambria Math"/>
                        <w:szCs w:val="20"/>
                      </w:rPr>
                      <m:t>lb.</m:t>
                    </m:r>
                  </m:den>
                </m:f>
              </m:oMath>
            </m:oMathPara>
          </w:p>
        </w:tc>
        <w:tc>
          <w:tcPr>
            <w:tcW w:w="1710" w:type="dxa"/>
          </w:tcPr>
          <w:p w14:paraId="13DB5F12" w14:textId="3EC0580C" w:rsidR="0043462E" w:rsidRDefault="00700556" w:rsidP="00DF0B38">
            <w:pPr>
              <w:widowControl/>
              <w:tabs>
                <w:tab w:val="left" w:pos="0"/>
              </w:tabs>
              <w:spacing w:after="60"/>
              <w:rPr>
                <w:szCs w:val="20"/>
              </w:rPr>
            </w:pPr>
            <w:r>
              <w:rPr>
                <w:szCs w:val="20"/>
              </w:rPr>
              <w:t>95 tons PM25-PRI from mining and quarrying in Barbour County, AL</w:t>
            </w:r>
          </w:p>
        </w:tc>
      </w:tr>
    </w:tbl>
    <w:p w14:paraId="3AF38A80" w14:textId="77777777" w:rsidR="00B97E6E" w:rsidRPr="004008E6" w:rsidRDefault="00B97E6E" w:rsidP="00B97E6E">
      <w:pPr>
        <w:widowControl/>
        <w:tabs>
          <w:tab w:val="left" w:pos="0"/>
        </w:tabs>
        <w:ind w:firstLine="720"/>
        <w:rPr>
          <w:szCs w:val="20"/>
        </w:rPr>
      </w:pPr>
    </w:p>
    <w:p w14:paraId="73B9504F" w14:textId="77777777" w:rsidR="00B97E6E" w:rsidRDefault="00B97E6E" w:rsidP="00052E59">
      <w:pPr>
        <w:pStyle w:val="Heading1"/>
      </w:pPr>
      <w:r>
        <w:t>Changes from 2014 Methodology</w:t>
      </w:r>
    </w:p>
    <w:p w14:paraId="47D7BBB9" w14:textId="77777777" w:rsidR="00B97E6E" w:rsidRDefault="00CE2FBF" w:rsidP="00B97E6E">
      <w:pPr>
        <w:widowControl/>
        <w:tabs>
          <w:tab w:val="left" w:pos="0"/>
        </w:tabs>
        <w:rPr>
          <w:szCs w:val="20"/>
        </w:rPr>
      </w:pPr>
      <w:r w:rsidRPr="00CE2FBF">
        <w:rPr>
          <w:szCs w:val="20"/>
        </w:rPr>
        <w:t>There are no significant changes for this methodology from the methodology used for the 2014 NEI.</w:t>
      </w:r>
    </w:p>
    <w:p w14:paraId="64F6BBB5"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54E988F4" w14:textId="77777777" w:rsidR="00720DF7" w:rsidRDefault="00720DF7" w:rsidP="00720DF7">
      <w:pPr>
        <w:rPr>
          <w:szCs w:val="20"/>
        </w:rPr>
      </w:pPr>
      <w:r w:rsidRPr="00B86742">
        <w:rPr>
          <w:szCs w:val="20"/>
        </w:rPr>
        <w:t xml:space="preserve">Since insufficient data exists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w:t>
      </w:r>
      <w:r w:rsidR="00CF469C">
        <w:rPr>
          <w:szCs w:val="20"/>
        </w:rPr>
        <w:t>emissions factor</w:t>
      </w:r>
      <w:r w:rsidRPr="00B86742">
        <w:rPr>
          <w:szCs w:val="20"/>
        </w:rPr>
        <w:t xml:space="preserve">.  For each Puerto Rico and US Virgin Island </w:t>
      </w:r>
      <w:proofErr w:type="gramStart"/>
      <w:r w:rsidRPr="00B86742">
        <w:rPr>
          <w:szCs w:val="20"/>
        </w:rPr>
        <w:t>county</w:t>
      </w:r>
      <w:proofErr w:type="gramEnd"/>
      <w:r w:rsidRPr="00B86742">
        <w:rPr>
          <w:szCs w:val="20"/>
        </w:rPr>
        <w:t xml:space="preserve">, the tons per capita </w:t>
      </w:r>
      <w:r w:rsidR="00CF469C">
        <w:rPr>
          <w:szCs w:val="20"/>
        </w:rPr>
        <w:t>emissions factor</w:t>
      </w:r>
      <w:r w:rsidRPr="00B86742">
        <w:rPr>
          <w:szCs w:val="20"/>
        </w:rPr>
        <w:t xml:space="preserve"> is multiplied by the county population (from the same year as the inventory’s activity data) which served as the activity data. In these cases, the throughput (activity data) unit and the emissions denominator unit are “EACH”.</w:t>
      </w:r>
    </w:p>
    <w:p w14:paraId="7DA87A13" w14:textId="77777777" w:rsidR="0043462E" w:rsidRDefault="0043462E" w:rsidP="00444173">
      <w:pPr>
        <w:pStyle w:val="Heading1"/>
        <w:widowControl/>
        <w:autoSpaceDE/>
        <w:autoSpaceDN/>
        <w:adjustRightInd/>
        <w:spacing w:after="0" w:line="276" w:lineRule="auto"/>
      </w:pPr>
      <w:bookmarkStart w:id="22" w:name="_GoBack"/>
      <w:bookmarkEnd w:id="22"/>
      <w:r>
        <w:t>References</w:t>
      </w:r>
    </w:p>
    <w:sectPr w:rsidR="0043462E" w:rsidSect="00871A75">
      <w:footerReference w:type="default" r:id="rId12"/>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A60E0" w14:textId="77777777" w:rsidR="00F1634E" w:rsidRPr="005A2CA7" w:rsidRDefault="00F1634E" w:rsidP="005A2CA7">
      <w:pPr>
        <w:pStyle w:val="Footer"/>
      </w:pPr>
    </w:p>
  </w:endnote>
  <w:endnote w:type="continuationSeparator" w:id="0">
    <w:p w14:paraId="32BB537A" w14:textId="77777777" w:rsidR="00F1634E" w:rsidRPr="00D05698" w:rsidRDefault="00F1634E" w:rsidP="00D05698">
      <w:pPr>
        <w:pStyle w:val="Footer"/>
      </w:pPr>
    </w:p>
  </w:endnote>
  <w:endnote w:type="continuationNotice" w:id="1">
    <w:p w14:paraId="42891E63" w14:textId="77777777" w:rsidR="00F1634E" w:rsidRDefault="00F1634E">
      <w:pPr>
        <w:spacing w:after="0"/>
      </w:pPr>
    </w:p>
  </w:endnote>
  <w:endnote w:id="2">
    <w:p w14:paraId="49702DB0" w14:textId="77777777" w:rsidR="00F1634E" w:rsidRDefault="00F1634E" w:rsidP="006A3608">
      <w:pPr>
        <w:pStyle w:val="References"/>
      </w:pPr>
      <w:r>
        <w:rPr>
          <w:rStyle w:val="EndnoteReference"/>
        </w:rPr>
        <w:endnoteRef/>
      </w:r>
      <w:r>
        <w:t xml:space="preserve"> U.S. </w:t>
      </w:r>
      <w:r w:rsidRPr="00B86742">
        <w:t>Geologic Survey</w:t>
      </w:r>
      <w:r>
        <w:t>.</w:t>
      </w:r>
      <w:r w:rsidRPr="00B86742">
        <w:t xml:space="preserve"> </w:t>
      </w:r>
      <w:r>
        <w:t>Minerals Yearbook 2012,</w:t>
      </w:r>
      <w:r w:rsidRPr="00B86742">
        <w:t xml:space="preserve"> </w:t>
      </w:r>
      <w:hyperlink r:id="rId1" w:anchor="myb" w:history="1">
        <w:r w:rsidRPr="00B86742">
          <w:rPr>
            <w:rStyle w:val="Hyperlink"/>
          </w:rPr>
          <w:t>http://minerals.usgs.gov/minerals/pubs/commodity/m&amp;q/index.html#myb</w:t>
        </w:r>
      </w:hyperlink>
      <w:r w:rsidRPr="00B86742">
        <w:t>.</w:t>
      </w:r>
    </w:p>
  </w:endnote>
  <w:endnote w:id="3">
    <w:p w14:paraId="77B8CF26" w14:textId="1FFADB3B" w:rsidR="00F1634E" w:rsidRDefault="00F1634E" w:rsidP="006A3608">
      <w:pPr>
        <w:pStyle w:val="References"/>
      </w:pPr>
      <w:r>
        <w:rPr>
          <w:rStyle w:val="EndnoteReference"/>
        </w:rPr>
        <w:endnoteRef/>
      </w:r>
      <w:r>
        <w:t xml:space="preserve"> U.S. Department of Energy, </w:t>
      </w:r>
      <w:r w:rsidRPr="00B86742">
        <w:t>Energy Information Administration</w:t>
      </w:r>
      <w:r>
        <w:t>.</w:t>
      </w:r>
      <w:r w:rsidRPr="00B86742">
        <w:t xml:space="preserve"> “Detailed data from the EIA-7A and the U.S. Mine Safety and Health Administration”, data pul</w:t>
      </w:r>
      <w:r>
        <w:t xml:space="preserve">led for year 2017, </w:t>
      </w:r>
      <w:hyperlink r:id="rId2" w:history="1">
        <w:r>
          <w:rPr>
            <w:rStyle w:val="Hyperlink"/>
          </w:rPr>
          <w:t>https://www.eia.gov/coal/data.php</w:t>
        </w:r>
      </w:hyperlink>
      <w:r w:rsidRPr="00B86742">
        <w:t>.</w:t>
      </w:r>
    </w:p>
  </w:endnote>
  <w:endnote w:id="4">
    <w:p w14:paraId="6353B449" w14:textId="2C564FFD" w:rsidR="00F1634E" w:rsidRDefault="00F1634E" w:rsidP="00EC6AF8">
      <w:pPr>
        <w:pStyle w:val="References"/>
      </w:pPr>
      <w:r>
        <w:rPr>
          <w:rStyle w:val="EndnoteReference"/>
        </w:rPr>
        <w:endnoteRef/>
      </w:r>
      <w:r>
        <w:t xml:space="preserve"> </w:t>
      </w:r>
      <w:r w:rsidRPr="00B86742">
        <w:t>U.S. Census Bureau</w:t>
      </w:r>
      <w:r>
        <w:t>.</w:t>
      </w:r>
      <w:r w:rsidRPr="00B86742">
        <w:t xml:space="preserve"> 201</w:t>
      </w:r>
      <w:r>
        <w:t>6</w:t>
      </w:r>
      <w:r w:rsidRPr="00B86742">
        <w:t xml:space="preserve"> County Business Patterns, available at </w:t>
      </w:r>
      <w:hyperlink r:id="rId3" w:history="1">
        <w:r>
          <w:rPr>
            <w:rStyle w:val="Hyperlink"/>
          </w:rPr>
          <w:t>https://www.census.gov/content/census/en/data/datasets/2016/econ/cbp/2016-cbp.html</w:t>
        </w:r>
      </w:hyperlink>
    </w:p>
  </w:endnote>
  <w:endnote w:id="5">
    <w:p w14:paraId="4325959A" w14:textId="77777777" w:rsidR="00F1634E" w:rsidRDefault="00F1634E" w:rsidP="006A3608">
      <w:pPr>
        <w:pStyle w:val="References"/>
      </w:pPr>
      <w:r>
        <w:rPr>
          <w:rStyle w:val="EndnoteReference"/>
        </w:rPr>
        <w:endnoteRef/>
      </w:r>
      <w:r>
        <w:t xml:space="preserve"> U.S. </w:t>
      </w:r>
      <w:r w:rsidRPr="00B86742">
        <w:t>Environmental Protection Agency</w:t>
      </w:r>
      <w:r>
        <w:t>. 1998.</w:t>
      </w:r>
      <w:r w:rsidRPr="00B86742">
        <w:t xml:space="preserve"> </w:t>
      </w:r>
      <w:r w:rsidRPr="00B86742">
        <w:rPr>
          <w:i/>
          <w:iCs/>
        </w:rPr>
        <w:t>National Air Pollutant Emission Trends Procedure Document for 1900-1996</w:t>
      </w:r>
      <w:r w:rsidRPr="00B86742">
        <w:t>, EPA-454/R-98-008.</w:t>
      </w:r>
    </w:p>
  </w:endnote>
  <w:endnote w:id="6">
    <w:p w14:paraId="69367C33" w14:textId="77777777" w:rsidR="00F1634E" w:rsidRDefault="00F1634E" w:rsidP="006A3608">
      <w:pPr>
        <w:pStyle w:val="References"/>
      </w:pPr>
      <w:r>
        <w:rPr>
          <w:rStyle w:val="EndnoteReference"/>
        </w:rPr>
        <w:endnoteRef/>
      </w:r>
      <w:r>
        <w:t xml:space="preserve"> U.S. </w:t>
      </w:r>
      <w:r w:rsidRPr="00B86742">
        <w:t>Environmental Protection Agency, AP-42, Fifth Edition, Volume 1, Chapter 1</w:t>
      </w:r>
      <w:r>
        <w:t>3</w:t>
      </w:r>
      <w:r w:rsidRPr="00B86742">
        <w:t xml:space="preserve">: </w:t>
      </w:r>
      <w:r>
        <w:t>Miscellaneous Sources</w:t>
      </w:r>
      <w:r w:rsidRPr="00B86742">
        <w:t>, Section 1</w:t>
      </w:r>
      <w:r>
        <w:t>3</w:t>
      </w:r>
      <w:r w:rsidRPr="00B86742">
        <w:t>.</w:t>
      </w:r>
      <w:r>
        <w:t>2.4</w:t>
      </w:r>
      <w:r w:rsidRPr="00B86742">
        <w:t xml:space="preserve">: </w:t>
      </w:r>
      <w:r>
        <w:t>Aggregate Handling and Storage Piles</w:t>
      </w:r>
      <w:r w:rsidRPr="00B86742">
        <w:t xml:space="preserve"> </w:t>
      </w:r>
      <w:hyperlink r:id="rId4" w:history="1">
        <w:r w:rsidRPr="00305E30">
          <w:rPr>
            <w:rStyle w:val="Hyperlink"/>
          </w:rPr>
          <w:t>https://www3.epa.gov/ttn/chief/ap42/ch13/final/c13s0204.pdf</w:t>
        </w:r>
      </w:hyperlink>
      <w:r w:rsidRPr="00B86742">
        <w:t>.</w:t>
      </w:r>
    </w:p>
  </w:endnote>
  <w:endnote w:id="7">
    <w:p w14:paraId="4B5477D1" w14:textId="225FB1E4" w:rsidR="00F1634E" w:rsidRDefault="00F1634E" w:rsidP="00162E55">
      <w:pPr>
        <w:pStyle w:val="EndnoteText"/>
        <w:spacing w:after="0"/>
        <w:ind w:left="547" w:hanging="547"/>
      </w:pPr>
      <w:r>
        <w:rPr>
          <w:rStyle w:val="EndnoteReference"/>
        </w:rPr>
        <w:endnoteRef/>
      </w:r>
      <w:r>
        <w:t xml:space="preserve"> U.S. </w:t>
      </w:r>
      <w:r w:rsidRPr="00B86742">
        <w:t>Environmental Protection Agency.</w:t>
      </w:r>
      <w:r>
        <w:t xml:space="preserve"> 1986.</w:t>
      </w:r>
      <w:r w:rsidRPr="00B86742">
        <w:t xml:space="preserve"> </w:t>
      </w:r>
      <w:r w:rsidRPr="00B86742">
        <w:rPr>
          <w:i/>
        </w:rPr>
        <w:t>Generalized Particle Size Distributions for Use in Preparing Size-Specific Particulate Emissions Inventories</w:t>
      </w:r>
      <w:r w:rsidRPr="00B86742">
        <w:t>, EPA-450/4-86-013.</w:t>
      </w:r>
    </w:p>
  </w:endnote>
  <w:endnote w:id="8">
    <w:p w14:paraId="597A104C" w14:textId="77777777" w:rsidR="00F1634E" w:rsidRDefault="00F1634E" w:rsidP="006A3608">
      <w:pPr>
        <w:pStyle w:val="References"/>
      </w:pPr>
      <w:r>
        <w:rPr>
          <w:rStyle w:val="EndnoteReference"/>
        </w:rPr>
        <w:endnoteRef/>
      </w:r>
      <w:r>
        <w:t xml:space="preserve"> U.S. </w:t>
      </w:r>
      <w:r w:rsidRPr="00B86742">
        <w:t xml:space="preserve">Environmental Protection Agency, AP-42, Fifth Edition, Volume 1, </w:t>
      </w:r>
      <w:proofErr w:type="gramStart"/>
      <w:r w:rsidRPr="00B86742">
        <w:t>Chapter</w:t>
      </w:r>
      <w:proofErr w:type="gramEnd"/>
      <w:r w:rsidRPr="00B86742">
        <w:t xml:space="preserve"> 11: Mineral Products Industry, Section 11.9: Western Surface Coal Mining</w:t>
      </w:r>
      <w:r>
        <w:t xml:space="preserve">, </w:t>
      </w:r>
      <w:hyperlink r:id="rId5" w:history="1">
        <w:r w:rsidRPr="00B86742">
          <w:rPr>
            <w:rStyle w:val="Hyperlink"/>
          </w:rPr>
          <w:t>http://www.epa.gov/ttn/chief/ap42/ch11/final/c11s09.pdf</w:t>
        </w:r>
      </w:hyperlink>
      <w:r w:rsidRPr="00B86742">
        <w:t>.</w:t>
      </w:r>
    </w:p>
  </w:endnote>
  <w:endnote w:id="9">
    <w:p w14:paraId="10F9AFB1" w14:textId="77777777" w:rsidR="00F1634E" w:rsidRDefault="00F1634E" w:rsidP="00DA6572">
      <w:pPr>
        <w:pStyle w:val="References"/>
      </w:pPr>
      <w:r>
        <w:rPr>
          <w:rStyle w:val="EndnoteReference"/>
        </w:rPr>
        <w:endnoteRef/>
      </w:r>
      <w:r>
        <w:t xml:space="preserve"> </w:t>
      </w:r>
      <w:r w:rsidRPr="00B86742">
        <w:t>United States Environmental Protection Agency,</w:t>
      </w:r>
      <w:r w:rsidRPr="00B86742">
        <w:rPr>
          <w:i/>
          <w:iCs/>
        </w:rPr>
        <w:t xml:space="preserve"> AIRS Facility Subsystem Source Classification Codes and Emission Factor Listing for Criteria Air Pollutants</w:t>
      </w:r>
      <w:r w:rsidRPr="00B86742">
        <w:t>, EPA-450/4-90-003, March 1990.</w:t>
      </w:r>
    </w:p>
  </w:endnote>
  <w:endnote w:id="10">
    <w:p w14:paraId="46ACFC09" w14:textId="77777777" w:rsidR="00F1634E" w:rsidRPr="00B86742" w:rsidRDefault="00F1634E" w:rsidP="006A3608">
      <w:pPr>
        <w:pStyle w:val="References"/>
      </w:pPr>
      <w:r>
        <w:rPr>
          <w:rStyle w:val="EndnoteReference"/>
        </w:rPr>
        <w:endnoteRef/>
      </w:r>
      <w:r>
        <w:t xml:space="preserve"> </w:t>
      </w:r>
      <w:r w:rsidRPr="00B86742">
        <w:t>Midwest Research Institute</w:t>
      </w:r>
      <w:r>
        <w:t>. 2006.</w:t>
      </w:r>
      <w:r w:rsidRPr="00B86742">
        <w:t xml:space="preserve"> </w:t>
      </w:r>
      <w:r w:rsidRPr="00B86742">
        <w:rPr>
          <w:bCs/>
          <w:i/>
        </w:rPr>
        <w:t>Background Document for Revisions to Fine Fraction Ratios Used for AP-42 Fugitive Dust Emission Factors</w:t>
      </w:r>
      <w:r>
        <w:rPr>
          <w:bCs/>
        </w:rPr>
        <w:t xml:space="preserve">, MRI Project No. 110397 </w:t>
      </w:r>
      <w:hyperlink r:id="rId6" w:history="1">
        <w:r w:rsidRPr="00B86742">
          <w:rPr>
            <w:rStyle w:val="Hyperlink"/>
            <w:bCs/>
          </w:rPr>
          <w:t>http://www.epa.gov/ttnchie1/ap42/ch13/bgdocs/b13s02.pdf</w:t>
        </w:r>
      </w:hyperlink>
      <w:r w:rsidRPr="00B86742">
        <w:rPr>
          <w:bCs/>
        </w:rPr>
        <w:t>.</w:t>
      </w:r>
    </w:p>
    <w:p w14:paraId="47E074D3" w14:textId="77777777" w:rsidR="00F1634E" w:rsidRDefault="00F1634E" w:rsidP="006A3608">
      <w:pPr>
        <w:pStyle w:val="Reference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22484"/>
      <w:docPartObj>
        <w:docPartGallery w:val="Page Numbers (Bottom of Page)"/>
        <w:docPartUnique/>
      </w:docPartObj>
    </w:sdtPr>
    <w:sdtEndPr>
      <w:rPr>
        <w:noProof/>
      </w:rPr>
    </w:sdtEndPr>
    <w:sdtContent>
      <w:p w14:paraId="77B50B0E" w14:textId="77777777" w:rsidR="00F1634E" w:rsidRDefault="00F1634E">
        <w:pPr>
          <w:pStyle w:val="Footer"/>
          <w:jc w:val="right"/>
        </w:pPr>
        <w:r>
          <w:fldChar w:fldCharType="begin"/>
        </w:r>
        <w:r>
          <w:instrText xml:space="preserve"> PAGE   \* MERGEFORMAT </w:instrText>
        </w:r>
        <w:r>
          <w:fldChar w:fldCharType="separate"/>
        </w:r>
        <w:r w:rsidR="0018092A">
          <w:rPr>
            <w:noProof/>
          </w:rPr>
          <w:t>9</w:t>
        </w:r>
        <w:r>
          <w:rPr>
            <w:noProof/>
          </w:rPr>
          <w:fldChar w:fldCharType="end"/>
        </w:r>
      </w:p>
    </w:sdtContent>
  </w:sdt>
  <w:p w14:paraId="4C6A2AAA" w14:textId="77777777" w:rsidR="00F1634E" w:rsidRDefault="00F16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D150A" w14:textId="77777777" w:rsidR="00F1634E" w:rsidRDefault="00F1634E" w:rsidP="005A2CA7">
      <w:r>
        <w:separator/>
      </w:r>
    </w:p>
  </w:footnote>
  <w:footnote w:type="continuationSeparator" w:id="0">
    <w:p w14:paraId="6D35C7A4" w14:textId="77777777" w:rsidR="00F1634E" w:rsidRDefault="00F1634E"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E6E"/>
    <w:multiLevelType w:val="hybridMultilevel"/>
    <w:tmpl w:val="AD809FD8"/>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B1DF5"/>
    <w:multiLevelType w:val="hybridMultilevel"/>
    <w:tmpl w:val="F6C23C4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A1930"/>
    <w:multiLevelType w:val="hybridMultilevel"/>
    <w:tmpl w:val="5D9EF95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2458A"/>
    <w:multiLevelType w:val="hybridMultilevel"/>
    <w:tmpl w:val="2AB84B5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B608D7"/>
    <w:multiLevelType w:val="hybridMultilevel"/>
    <w:tmpl w:val="ADC6336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F2A6C"/>
    <w:multiLevelType w:val="hybridMultilevel"/>
    <w:tmpl w:val="E2683862"/>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95FA7"/>
    <w:multiLevelType w:val="hybridMultilevel"/>
    <w:tmpl w:val="49EC2F96"/>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A7860"/>
    <w:multiLevelType w:val="hybridMultilevel"/>
    <w:tmpl w:val="7C78AD5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C7CB2"/>
    <w:multiLevelType w:val="hybridMultilevel"/>
    <w:tmpl w:val="BF0A7A6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8D1FEE"/>
    <w:multiLevelType w:val="hybridMultilevel"/>
    <w:tmpl w:val="6DBAFE72"/>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2574A"/>
    <w:multiLevelType w:val="hybridMultilevel"/>
    <w:tmpl w:val="1B3075F0"/>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00A22"/>
    <w:multiLevelType w:val="hybridMultilevel"/>
    <w:tmpl w:val="6D18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42938"/>
    <w:multiLevelType w:val="hybridMultilevel"/>
    <w:tmpl w:val="AFFCC21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011C3"/>
    <w:multiLevelType w:val="hybridMultilevel"/>
    <w:tmpl w:val="FBACA64A"/>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63567"/>
    <w:multiLevelType w:val="hybridMultilevel"/>
    <w:tmpl w:val="8F2628FE"/>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05172"/>
    <w:multiLevelType w:val="hybridMultilevel"/>
    <w:tmpl w:val="A802EF9C"/>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838AE"/>
    <w:multiLevelType w:val="hybridMultilevel"/>
    <w:tmpl w:val="EA681E58"/>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BC6E10"/>
    <w:multiLevelType w:val="hybridMultilevel"/>
    <w:tmpl w:val="6D18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C5DF6"/>
    <w:multiLevelType w:val="hybridMultilevel"/>
    <w:tmpl w:val="B50C0A74"/>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B4837"/>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E6E32"/>
    <w:multiLevelType w:val="hybridMultilevel"/>
    <w:tmpl w:val="D0DE723C"/>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321916"/>
    <w:multiLevelType w:val="hybridMultilevel"/>
    <w:tmpl w:val="43B86AB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63941"/>
    <w:multiLevelType w:val="multilevel"/>
    <w:tmpl w:val="49C2FC06"/>
    <w:lvl w:ilvl="0">
      <w:numFmt w:val="decimal"/>
      <w:lvlText w:val="%1"/>
      <w:lvlJc w:val="left"/>
      <w:pPr>
        <w:ind w:left="585" w:hanging="585"/>
      </w:pPr>
      <w:rPr>
        <w:rFonts w:ascii="Cambria Math" w:hAnsi="Cambria Math" w:hint="default"/>
      </w:rPr>
    </w:lvl>
    <w:lvl w:ilvl="1">
      <w:start w:val="548"/>
      <w:numFmt w:val="decimalZero"/>
      <w:lvlText w:val="%1.%2"/>
      <w:lvlJc w:val="left"/>
      <w:pPr>
        <w:ind w:left="585" w:hanging="585"/>
      </w:pPr>
      <w:rPr>
        <w:rFonts w:ascii="Cambria Math" w:hAnsi="Cambria Math" w:hint="default"/>
      </w:rPr>
    </w:lvl>
    <w:lvl w:ilvl="2">
      <w:start w:val="1"/>
      <w:numFmt w:val="decimal"/>
      <w:lvlText w:val="%1.%2.%3"/>
      <w:lvlJc w:val="left"/>
      <w:pPr>
        <w:ind w:left="720" w:hanging="720"/>
      </w:pPr>
      <w:rPr>
        <w:rFonts w:ascii="Cambria Math" w:hAnsi="Cambria Math" w:hint="default"/>
      </w:rPr>
    </w:lvl>
    <w:lvl w:ilvl="3">
      <w:start w:val="1"/>
      <w:numFmt w:val="decimal"/>
      <w:lvlText w:val="%1.%2.%3.%4"/>
      <w:lvlJc w:val="left"/>
      <w:pPr>
        <w:ind w:left="720" w:hanging="720"/>
      </w:pPr>
      <w:rPr>
        <w:rFonts w:ascii="Cambria Math" w:hAnsi="Cambria Math" w:hint="default"/>
      </w:rPr>
    </w:lvl>
    <w:lvl w:ilvl="4">
      <w:start w:val="1"/>
      <w:numFmt w:val="decimal"/>
      <w:lvlText w:val="%1.%2.%3.%4.%5"/>
      <w:lvlJc w:val="left"/>
      <w:pPr>
        <w:ind w:left="720" w:hanging="720"/>
      </w:pPr>
      <w:rPr>
        <w:rFonts w:ascii="Cambria Math" w:hAnsi="Cambria Math" w:hint="default"/>
      </w:rPr>
    </w:lvl>
    <w:lvl w:ilvl="5">
      <w:start w:val="1"/>
      <w:numFmt w:val="decimal"/>
      <w:lvlText w:val="%1.%2.%3.%4.%5.%6"/>
      <w:lvlJc w:val="left"/>
      <w:pPr>
        <w:ind w:left="1080" w:hanging="1080"/>
      </w:pPr>
      <w:rPr>
        <w:rFonts w:ascii="Cambria Math" w:hAnsi="Cambria Math" w:hint="default"/>
      </w:rPr>
    </w:lvl>
    <w:lvl w:ilvl="6">
      <w:start w:val="1"/>
      <w:numFmt w:val="decimal"/>
      <w:lvlText w:val="%1.%2.%3.%4.%5.%6.%7"/>
      <w:lvlJc w:val="left"/>
      <w:pPr>
        <w:ind w:left="1080" w:hanging="1080"/>
      </w:pPr>
      <w:rPr>
        <w:rFonts w:ascii="Cambria Math" w:hAnsi="Cambria Math" w:hint="default"/>
      </w:rPr>
    </w:lvl>
    <w:lvl w:ilvl="7">
      <w:start w:val="1"/>
      <w:numFmt w:val="decimal"/>
      <w:lvlText w:val="%1.%2.%3.%4.%5.%6.%7.%8"/>
      <w:lvlJc w:val="left"/>
      <w:pPr>
        <w:ind w:left="1440" w:hanging="1440"/>
      </w:pPr>
      <w:rPr>
        <w:rFonts w:ascii="Cambria Math" w:hAnsi="Cambria Math" w:hint="default"/>
      </w:rPr>
    </w:lvl>
    <w:lvl w:ilvl="8">
      <w:start w:val="1"/>
      <w:numFmt w:val="decimal"/>
      <w:lvlText w:val="%1.%2.%3.%4.%5.%6.%7.%8.%9"/>
      <w:lvlJc w:val="left"/>
      <w:pPr>
        <w:ind w:left="1440" w:hanging="1440"/>
      </w:pPr>
      <w:rPr>
        <w:rFonts w:ascii="Cambria Math" w:hAnsi="Cambria Math" w:hint="default"/>
      </w:rPr>
    </w:lvl>
  </w:abstractNum>
  <w:abstractNum w:abstractNumId="37"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7468C"/>
    <w:multiLevelType w:val="hybridMultilevel"/>
    <w:tmpl w:val="4424840A"/>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A028B"/>
    <w:multiLevelType w:val="hybridMultilevel"/>
    <w:tmpl w:val="60A882B0"/>
    <w:lvl w:ilvl="0" w:tplc="37C6FEF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900516"/>
    <w:multiLevelType w:val="hybridMultilevel"/>
    <w:tmpl w:val="49EC2F96"/>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D4C58"/>
    <w:multiLevelType w:val="hybridMultilevel"/>
    <w:tmpl w:val="7D64DFF8"/>
    <w:lvl w:ilvl="0" w:tplc="FE025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12"/>
  </w:num>
  <w:num w:numId="4">
    <w:abstractNumId w:val="26"/>
  </w:num>
  <w:num w:numId="5">
    <w:abstractNumId w:val="6"/>
  </w:num>
  <w:num w:numId="6">
    <w:abstractNumId w:val="29"/>
  </w:num>
  <w:num w:numId="7">
    <w:abstractNumId w:val="42"/>
  </w:num>
  <w:num w:numId="8">
    <w:abstractNumId w:val="40"/>
  </w:num>
  <w:num w:numId="9">
    <w:abstractNumId w:val="32"/>
  </w:num>
  <w:num w:numId="10">
    <w:abstractNumId w:val="35"/>
  </w:num>
  <w:num w:numId="11">
    <w:abstractNumId w:val="25"/>
  </w:num>
  <w:num w:numId="12">
    <w:abstractNumId w:val="17"/>
  </w:num>
  <w:num w:numId="13">
    <w:abstractNumId w:val="10"/>
  </w:num>
  <w:num w:numId="14">
    <w:abstractNumId w:val="5"/>
  </w:num>
  <w:num w:numId="15">
    <w:abstractNumId w:val="37"/>
  </w:num>
  <w:num w:numId="16">
    <w:abstractNumId w:val="28"/>
  </w:num>
  <w:num w:numId="17">
    <w:abstractNumId w:val="1"/>
  </w:num>
  <w:num w:numId="18">
    <w:abstractNumId w:val="23"/>
  </w:num>
  <w:num w:numId="19">
    <w:abstractNumId w:val="21"/>
  </w:num>
  <w:num w:numId="20">
    <w:abstractNumId w:val="31"/>
  </w:num>
  <w:num w:numId="21">
    <w:abstractNumId w:val="13"/>
  </w:num>
  <w:num w:numId="22">
    <w:abstractNumId w:val="11"/>
  </w:num>
  <w:num w:numId="23">
    <w:abstractNumId w:val="18"/>
  </w:num>
  <w:num w:numId="24">
    <w:abstractNumId w:val="3"/>
  </w:num>
  <w:num w:numId="25">
    <w:abstractNumId w:val="14"/>
  </w:num>
  <w:num w:numId="26">
    <w:abstractNumId w:val="39"/>
  </w:num>
  <w:num w:numId="27">
    <w:abstractNumId w:val="27"/>
  </w:num>
  <w:num w:numId="28">
    <w:abstractNumId w:val="16"/>
  </w:num>
  <w:num w:numId="29">
    <w:abstractNumId w:val="19"/>
  </w:num>
  <w:num w:numId="30">
    <w:abstractNumId w:val="4"/>
  </w:num>
  <w:num w:numId="31">
    <w:abstractNumId w:val="43"/>
  </w:num>
  <w:num w:numId="32">
    <w:abstractNumId w:val="34"/>
  </w:num>
  <w:num w:numId="33">
    <w:abstractNumId w:val="8"/>
  </w:num>
  <w:num w:numId="34">
    <w:abstractNumId w:val="38"/>
  </w:num>
  <w:num w:numId="35">
    <w:abstractNumId w:val="20"/>
  </w:num>
  <w:num w:numId="36">
    <w:abstractNumId w:val="41"/>
  </w:num>
  <w:num w:numId="37">
    <w:abstractNumId w:val="9"/>
  </w:num>
  <w:num w:numId="38">
    <w:abstractNumId w:val="36"/>
  </w:num>
  <w:num w:numId="39">
    <w:abstractNumId w:val="0"/>
  </w:num>
  <w:num w:numId="40">
    <w:abstractNumId w:val="22"/>
  </w:num>
  <w:num w:numId="41">
    <w:abstractNumId w:val="7"/>
  </w:num>
  <w:num w:numId="42">
    <w:abstractNumId w:val="30"/>
  </w:num>
  <w:num w:numId="43">
    <w:abstractNumId w:val="15"/>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C6"/>
    <w:rsid w:val="00010E6C"/>
    <w:rsid w:val="00016464"/>
    <w:rsid w:val="00024A94"/>
    <w:rsid w:val="00025A43"/>
    <w:rsid w:val="00032214"/>
    <w:rsid w:val="0003373D"/>
    <w:rsid w:val="00052E59"/>
    <w:rsid w:val="00060A69"/>
    <w:rsid w:val="00073181"/>
    <w:rsid w:val="00091662"/>
    <w:rsid w:val="00097897"/>
    <w:rsid w:val="000C0667"/>
    <w:rsid w:val="00153D5E"/>
    <w:rsid w:val="00157738"/>
    <w:rsid w:val="00161095"/>
    <w:rsid w:val="00162E55"/>
    <w:rsid w:val="001634C5"/>
    <w:rsid w:val="0018092A"/>
    <w:rsid w:val="00186E1E"/>
    <w:rsid w:val="00192A64"/>
    <w:rsid w:val="001A09E7"/>
    <w:rsid w:val="001A19EB"/>
    <w:rsid w:val="001A498F"/>
    <w:rsid w:val="001D6A38"/>
    <w:rsid w:val="001D6DD4"/>
    <w:rsid w:val="002005B7"/>
    <w:rsid w:val="00213CB4"/>
    <w:rsid w:val="002375F1"/>
    <w:rsid w:val="0024417D"/>
    <w:rsid w:val="00271697"/>
    <w:rsid w:val="00274F91"/>
    <w:rsid w:val="00294DE2"/>
    <w:rsid w:val="002958BB"/>
    <w:rsid w:val="002B5506"/>
    <w:rsid w:val="002E5ADD"/>
    <w:rsid w:val="002F4210"/>
    <w:rsid w:val="003165C3"/>
    <w:rsid w:val="00321776"/>
    <w:rsid w:val="0033702E"/>
    <w:rsid w:val="00340DAC"/>
    <w:rsid w:val="003478A9"/>
    <w:rsid w:val="00387957"/>
    <w:rsid w:val="003933F5"/>
    <w:rsid w:val="003D38C0"/>
    <w:rsid w:val="003D471D"/>
    <w:rsid w:val="003E35AF"/>
    <w:rsid w:val="003F3D3C"/>
    <w:rsid w:val="00402D36"/>
    <w:rsid w:val="004062A6"/>
    <w:rsid w:val="004263A6"/>
    <w:rsid w:val="00433E3C"/>
    <w:rsid w:val="0043462E"/>
    <w:rsid w:val="00444173"/>
    <w:rsid w:val="0044447B"/>
    <w:rsid w:val="00454AD5"/>
    <w:rsid w:val="00461DB2"/>
    <w:rsid w:val="00474955"/>
    <w:rsid w:val="004A1B25"/>
    <w:rsid w:val="004B0DDF"/>
    <w:rsid w:val="004C7E55"/>
    <w:rsid w:val="004D541D"/>
    <w:rsid w:val="004E1CBE"/>
    <w:rsid w:val="004E30A7"/>
    <w:rsid w:val="004E5DDA"/>
    <w:rsid w:val="00512C79"/>
    <w:rsid w:val="00516870"/>
    <w:rsid w:val="0056502F"/>
    <w:rsid w:val="00576E8A"/>
    <w:rsid w:val="00582A0C"/>
    <w:rsid w:val="0058392B"/>
    <w:rsid w:val="00594085"/>
    <w:rsid w:val="005A2CA7"/>
    <w:rsid w:val="00601CFB"/>
    <w:rsid w:val="00607C13"/>
    <w:rsid w:val="00641FAE"/>
    <w:rsid w:val="00646D28"/>
    <w:rsid w:val="006558C2"/>
    <w:rsid w:val="00676FE8"/>
    <w:rsid w:val="00680037"/>
    <w:rsid w:val="006860C8"/>
    <w:rsid w:val="00697D2A"/>
    <w:rsid w:val="006A19AD"/>
    <w:rsid w:val="006A3608"/>
    <w:rsid w:val="006B3338"/>
    <w:rsid w:val="006F5441"/>
    <w:rsid w:val="00700556"/>
    <w:rsid w:val="00705DD0"/>
    <w:rsid w:val="0071346C"/>
    <w:rsid w:val="00720DF7"/>
    <w:rsid w:val="0075019B"/>
    <w:rsid w:val="007540EB"/>
    <w:rsid w:val="007614AA"/>
    <w:rsid w:val="00762BC6"/>
    <w:rsid w:val="007648E0"/>
    <w:rsid w:val="007660D8"/>
    <w:rsid w:val="00770E9B"/>
    <w:rsid w:val="00774431"/>
    <w:rsid w:val="00780F50"/>
    <w:rsid w:val="00781DB4"/>
    <w:rsid w:val="007C3960"/>
    <w:rsid w:val="007D586A"/>
    <w:rsid w:val="007D6365"/>
    <w:rsid w:val="007D6A29"/>
    <w:rsid w:val="007E28CD"/>
    <w:rsid w:val="007E412B"/>
    <w:rsid w:val="007F53C1"/>
    <w:rsid w:val="007F574A"/>
    <w:rsid w:val="00801C17"/>
    <w:rsid w:val="00824E07"/>
    <w:rsid w:val="00837710"/>
    <w:rsid w:val="008423C7"/>
    <w:rsid w:val="00866C53"/>
    <w:rsid w:val="00871A75"/>
    <w:rsid w:val="00873FFC"/>
    <w:rsid w:val="008810A9"/>
    <w:rsid w:val="008A5821"/>
    <w:rsid w:val="008D3ED8"/>
    <w:rsid w:val="008E1A37"/>
    <w:rsid w:val="008E2445"/>
    <w:rsid w:val="00944444"/>
    <w:rsid w:val="009563F2"/>
    <w:rsid w:val="00960B1C"/>
    <w:rsid w:val="00960EEE"/>
    <w:rsid w:val="009644AD"/>
    <w:rsid w:val="0097139E"/>
    <w:rsid w:val="0097551A"/>
    <w:rsid w:val="00986448"/>
    <w:rsid w:val="0099175D"/>
    <w:rsid w:val="00996ADE"/>
    <w:rsid w:val="009B0FFA"/>
    <w:rsid w:val="009C0F97"/>
    <w:rsid w:val="009D22C4"/>
    <w:rsid w:val="009F5C98"/>
    <w:rsid w:val="00A254EC"/>
    <w:rsid w:val="00A329DA"/>
    <w:rsid w:val="00A40820"/>
    <w:rsid w:val="00A4319E"/>
    <w:rsid w:val="00A54167"/>
    <w:rsid w:val="00A6061A"/>
    <w:rsid w:val="00A66885"/>
    <w:rsid w:val="00A81090"/>
    <w:rsid w:val="00A84DAA"/>
    <w:rsid w:val="00AA23CB"/>
    <w:rsid w:val="00AA771E"/>
    <w:rsid w:val="00AB23B5"/>
    <w:rsid w:val="00AD70B8"/>
    <w:rsid w:val="00AE30FA"/>
    <w:rsid w:val="00AE6CC9"/>
    <w:rsid w:val="00AF1787"/>
    <w:rsid w:val="00B24CB0"/>
    <w:rsid w:val="00B259AF"/>
    <w:rsid w:val="00B302A4"/>
    <w:rsid w:val="00B32469"/>
    <w:rsid w:val="00B974B5"/>
    <w:rsid w:val="00B97E6E"/>
    <w:rsid w:val="00BB0A3A"/>
    <w:rsid w:val="00BB33FE"/>
    <w:rsid w:val="00BC47F1"/>
    <w:rsid w:val="00BD21A4"/>
    <w:rsid w:val="00BD4D5F"/>
    <w:rsid w:val="00BD61EA"/>
    <w:rsid w:val="00BE0480"/>
    <w:rsid w:val="00BF1A76"/>
    <w:rsid w:val="00C054C7"/>
    <w:rsid w:val="00C2093D"/>
    <w:rsid w:val="00C900AF"/>
    <w:rsid w:val="00CA6FB5"/>
    <w:rsid w:val="00CA76F8"/>
    <w:rsid w:val="00CA7B18"/>
    <w:rsid w:val="00CD6F54"/>
    <w:rsid w:val="00CE2FBF"/>
    <w:rsid w:val="00CE7DA2"/>
    <w:rsid w:val="00CF469C"/>
    <w:rsid w:val="00CF47B4"/>
    <w:rsid w:val="00D040D1"/>
    <w:rsid w:val="00D05698"/>
    <w:rsid w:val="00D360C1"/>
    <w:rsid w:val="00D53975"/>
    <w:rsid w:val="00D74764"/>
    <w:rsid w:val="00D86F1C"/>
    <w:rsid w:val="00DA1272"/>
    <w:rsid w:val="00DA6572"/>
    <w:rsid w:val="00DC3D92"/>
    <w:rsid w:val="00DF0B38"/>
    <w:rsid w:val="00E10956"/>
    <w:rsid w:val="00E12236"/>
    <w:rsid w:val="00E14E00"/>
    <w:rsid w:val="00E267BB"/>
    <w:rsid w:val="00E43758"/>
    <w:rsid w:val="00E438D7"/>
    <w:rsid w:val="00E576D3"/>
    <w:rsid w:val="00E61A28"/>
    <w:rsid w:val="00E746A4"/>
    <w:rsid w:val="00E7492B"/>
    <w:rsid w:val="00E84363"/>
    <w:rsid w:val="00E900F8"/>
    <w:rsid w:val="00E91F7F"/>
    <w:rsid w:val="00E95198"/>
    <w:rsid w:val="00EB2EA3"/>
    <w:rsid w:val="00EC0C41"/>
    <w:rsid w:val="00EC6AF8"/>
    <w:rsid w:val="00ED0BEB"/>
    <w:rsid w:val="00ED4071"/>
    <w:rsid w:val="00ED598D"/>
    <w:rsid w:val="00EE0E08"/>
    <w:rsid w:val="00EE7CB6"/>
    <w:rsid w:val="00EF4865"/>
    <w:rsid w:val="00EF7D35"/>
    <w:rsid w:val="00F1596A"/>
    <w:rsid w:val="00F1634E"/>
    <w:rsid w:val="00F3203A"/>
    <w:rsid w:val="00F33727"/>
    <w:rsid w:val="00F33E46"/>
    <w:rsid w:val="00F43ACC"/>
    <w:rsid w:val="00F53A95"/>
    <w:rsid w:val="00F71199"/>
    <w:rsid w:val="00FA6A41"/>
    <w:rsid w:val="00FB02D3"/>
    <w:rsid w:val="00FB2A35"/>
    <w:rsid w:val="00FC1167"/>
    <w:rsid w:val="00FE02FD"/>
    <w:rsid w:val="00FE1C89"/>
    <w:rsid w:val="00FE4B25"/>
    <w:rsid w:val="00FE7F5B"/>
    <w:rsid w:val="13F6D399"/>
    <w:rsid w:val="2C4B1521"/>
    <w:rsid w:val="4D96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02CC"/>
  <w15:docId w15:val="{2CB98D0F-B054-4606-B393-EC891CAE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A66885"/>
    <w:pPr>
      <w:keepNext/>
      <w:keepLines/>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9563F2"/>
    <w:pPr>
      <w:tabs>
        <w:tab w:val="center" w:pos="4680"/>
        <w:tab w:val="right" w:pos="9360"/>
      </w:tabs>
      <w:spacing w:after="0"/>
    </w:pPr>
  </w:style>
  <w:style w:type="character" w:customStyle="1" w:styleId="HeaderChar">
    <w:name w:val="Header Char"/>
    <w:basedOn w:val="DefaultParagraphFont"/>
    <w:link w:val="Header"/>
    <w:uiPriority w:val="99"/>
    <w:rsid w:val="009563F2"/>
    <w:rPr>
      <w:rFonts w:ascii="Times New Roman" w:eastAsia="Times New Roman" w:hAnsi="Times New Roman" w:cs="Times New Roman"/>
      <w:sz w:val="20"/>
      <w:szCs w:val="24"/>
    </w:rPr>
  </w:style>
  <w:style w:type="character" w:customStyle="1" w:styleId="Heading2Char">
    <w:name w:val="Heading 2 Char"/>
    <w:basedOn w:val="DefaultParagraphFont"/>
    <w:link w:val="Heading2"/>
    <w:uiPriority w:val="9"/>
    <w:rsid w:val="00A66885"/>
    <w:rPr>
      <w:rFonts w:ascii="Times New Roman" w:eastAsiaTheme="majorEastAsia" w:hAnsi="Times New Roman" w:cstheme="majorBidi"/>
      <w:b/>
      <w:bCs/>
      <w:i/>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census.gov/content/census/en/data/datasets/2016/econ/cbp/2016-cbp.html" TargetMode="External"/><Relationship Id="rId2" Type="http://schemas.openxmlformats.org/officeDocument/2006/relationships/hyperlink" Target="https://www.eia.gov/coal/data.php" TargetMode="External"/><Relationship Id="rId1" Type="http://schemas.openxmlformats.org/officeDocument/2006/relationships/hyperlink" Target="http://minerals.usgs.gov/minerals/pubs/commodity/m&amp;q/index.html" TargetMode="External"/><Relationship Id="rId6" Type="http://schemas.openxmlformats.org/officeDocument/2006/relationships/hyperlink" Target="http://www.epa.gov/ttnchie1/ap42/ch13/bgdocs/b13s02.pdf" TargetMode="External"/><Relationship Id="rId5" Type="http://schemas.openxmlformats.org/officeDocument/2006/relationships/hyperlink" Target="http://www.epa.gov/ttn/chief/ap42/ch11/final/c11s09.pdf" TargetMode="External"/><Relationship Id="rId4" Type="http://schemas.openxmlformats.org/officeDocument/2006/relationships/hyperlink" Target="https://www3.epa.gov/ttn/chief/ap42/ch13/final/c13s0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09DAA641-E08F-4FD6-A201-074F24501D52}"/>
</file>

<file path=customXml/itemProps4.xml><?xml version="1.0" encoding="utf-8"?>
<ds:datastoreItem xmlns:ds="http://schemas.openxmlformats.org/officeDocument/2006/customXml" ds:itemID="{8320840A-CB90-4B4C-BB34-4F22FEDE0888}">
  <ds:schemaRefs>
    <ds:schemaRef ds:uri="http://schemas.microsoft.com/sharepoint.v3"/>
    <ds:schemaRef ds:uri="http://www.w3.org/XML/1998/namespace"/>
    <ds:schemaRef ds:uri="4ffa91fb-a0ff-4ac5-b2db-65c790d184a4"/>
    <ds:schemaRef ds:uri="eae1606c-bbef-499f-bb66-c2dbf02f8e2b"/>
    <ds:schemaRef ds:uri="http://purl.org/dc/elements/1.1/"/>
    <ds:schemaRef ds:uri="http://schemas.microsoft.com/office/infopath/2007/PartnerControls"/>
    <ds:schemaRef ds:uri="7d8dd676-26ca-4e08-b90f-b4e0026a58ac"/>
    <ds:schemaRef ds:uri="http://schemas.openxmlformats.org/package/2006/metadata/core-properties"/>
    <ds:schemaRef ds:uri="http://schemas.microsoft.com/sharepoint/v3/fields"/>
    <ds:schemaRef ds:uri="http://schemas.microsoft.com/sharepoint/v3"/>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953C7442-A7DC-40FF-A70B-6E3D855F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3397</Words>
  <Characters>19364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Hoer</dc:creator>
  <cp:lastModifiedBy>David Cooley</cp:lastModifiedBy>
  <cp:revision>7</cp:revision>
  <dcterms:created xsi:type="dcterms:W3CDTF">2020-04-03T01:19:00Z</dcterms:created>
  <dcterms:modified xsi:type="dcterms:W3CDTF">2020-04-04T11:47:00Z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