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glossary/document.xml" ContentType="application/vnd.openxmlformats-officedocument.wordprocessingml.document.glossary+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Pr="005F309A" w:rsidR="00D360C1" w:rsidP="00387957" w:rsidRDefault="00CA7F23" w14:paraId="7CBD0B01" w14:textId="22A7506B">
      <w:pPr>
        <w:pStyle w:val="Title"/>
      </w:pPr>
      <w:r w:rsidRPr="005F309A">
        <w:t>Open Burning – residential household waste</w:t>
      </w:r>
    </w:p>
    <w:p w:rsidRPr="005F309A" w:rsidR="00D360C1" w:rsidP="00387957" w:rsidRDefault="00D360C1" w14:paraId="7B5C1AD9" w14:textId="77777777">
      <w:pPr>
        <w:pStyle w:val="Heading1"/>
      </w:pPr>
      <w:r w:rsidRPr="005F309A">
        <w:t>Source Category Description</w:t>
      </w:r>
    </w:p>
    <w:p w:rsidR="00D360C1" w:rsidP="7D9108F3" w:rsidRDefault="005B0489" w14:paraId="177EEFD8" w14:textId="6EA670DB">
      <w:pPr>
        <w:widowControl/>
        <w:tabs>
          <w:tab w:val="left" w:pos="0"/>
        </w:tabs>
        <w:spacing w:line="226" w:lineRule="auto"/>
        <w:rPr>
          <w:szCs w:val="20"/>
        </w:rPr>
      </w:pPr>
      <w:r>
        <w:t>Open burning of residential household waste (RH</w:t>
      </w:r>
      <w:r w:rsidRPr="009F14D2" w:rsidR="00CA7F23">
        <w:t xml:space="preserve">W) </w:t>
      </w:r>
      <w:r>
        <w:t>is the purposeful burning of RHW</w:t>
      </w:r>
      <w:r w:rsidRPr="009F14D2" w:rsidR="00CA7F23">
        <w:t xml:space="preserve"> in outdoor areas. Criteria air pollutant (CAP) and hazardous air pollutant (HAP) emission es</w:t>
      </w:r>
      <w:r>
        <w:t>timates for RHW</w:t>
      </w:r>
      <w:r w:rsidRPr="009F14D2" w:rsidR="00CA7F23">
        <w:t xml:space="preserve"> burning are a function of the amount of waste burned per year.</w:t>
      </w:r>
      <w:r w:rsidRPr="009F14D2" w:rsidR="00811E42">
        <w:t xml:space="preserve"> </w:t>
      </w:r>
      <w:r w:rsidRPr="009F14D2" w:rsidR="001A09E7">
        <w:t>I</w:t>
      </w:r>
      <w:r>
        <w:t xml:space="preserve">n </w:t>
      </w:r>
      <w:bookmarkStart w:name="_GoBack" w:id="0"/>
      <w:r>
        <w:t>2014</w:t>
      </w:r>
      <w:bookmarkEnd w:id="0"/>
      <w:r>
        <w:t>, open burning of RHW</w:t>
      </w:r>
      <w:r w:rsidR="00FA31F3">
        <w:t xml:space="preserve"> in the U.S., Puerto Rico, and U.S. Virgin Islands</w:t>
      </w:r>
      <w:r w:rsidRPr="009F14D2" w:rsidR="001A09E7">
        <w:t xml:space="preserve"> resulted in approximately</w:t>
      </w:r>
      <w:r w:rsidR="00FA31F3">
        <w:t xml:space="preserve"> 18,</w:t>
      </w:r>
      <w:r w:rsidRPr="009F14D2" w:rsidR="00FA31F3">
        <w:t>614</w:t>
      </w:r>
      <w:r w:rsidRPr="009F14D2" w:rsidR="00174AE6">
        <w:t xml:space="preserve"> </w:t>
      </w:r>
      <w:r w:rsidRPr="009F14D2" w:rsidR="001A09E7">
        <w:t xml:space="preserve">tons of </w:t>
      </w:r>
      <w:r w:rsidRPr="009F14D2" w:rsidR="00174AE6">
        <w:t>VOC</w:t>
      </w:r>
      <w:r w:rsidRPr="009F14D2" w:rsidR="001A09E7">
        <w:t xml:space="preserve"> emissions</w:t>
      </w:r>
      <w:r w:rsidR="008711BE">
        <w:t xml:space="preserve">, </w:t>
      </w:r>
      <w:r w:rsidRPr="009F14D2" w:rsidR="00174AE6">
        <w:t>292,400 tons of CO emissions</w:t>
      </w:r>
      <w:r w:rsidR="008711BE">
        <w:t>, 87,300 tons of primary PM25 emissions, and 95,327 tons of primary PM10 emissions</w:t>
      </w:r>
      <w:r w:rsidRPr="009F14D2" w:rsidR="001A09E7">
        <w:t>.</w:t>
      </w:r>
    </w:p>
    <w:p w:rsidRPr="003E3AC3" w:rsidR="00D360C1" w:rsidP="00D360C1" w:rsidRDefault="00D360C1" w14:paraId="7BC3F26E" w14:textId="306B1138">
      <w:pPr>
        <w:widowControl/>
        <w:tabs>
          <w:tab w:val="left" w:pos="0"/>
        </w:tabs>
        <w:rPr>
          <w:szCs w:val="20"/>
        </w:rPr>
      </w:pPr>
      <w:r w:rsidRPr="003E3AC3">
        <w:rPr>
          <w:szCs w:val="20"/>
        </w:rPr>
        <w:t xml:space="preserve">For this source category, the following SCC </w:t>
      </w:r>
      <w:r w:rsidR="00157738">
        <w:rPr>
          <w:szCs w:val="20"/>
        </w:rPr>
        <w:t>i</w:t>
      </w:r>
      <w:r w:rsidRPr="003E3AC3">
        <w:rPr>
          <w:szCs w:val="20"/>
        </w:rPr>
        <w:t>s assigned:</w:t>
      </w:r>
    </w:p>
    <w:tbl>
      <w:tblPr>
        <w:tblW w:w="9249" w:type="dxa"/>
        <w:jc w:val="center"/>
        <w:tblBorders>
          <w:top w:val="single" w:color="000000" w:sz="4" w:space="0"/>
          <w:left w:val="single" w:color="000000" w:sz="4" w:space="0"/>
          <w:bottom w:val="single" w:color="auto" w:sz="4" w:space="0"/>
          <w:right w:val="single" w:color="000000" w:sz="4" w:space="0"/>
          <w:insideH w:val="single" w:color="000000" w:sz="4" w:space="0"/>
          <w:insideV w:val="single" w:color="000000" w:sz="4" w:space="0"/>
        </w:tblBorders>
        <w:tblLook w:val="0000" w:firstRow="0" w:lastRow="0" w:firstColumn="0" w:lastColumn="0" w:noHBand="0" w:noVBand="0"/>
      </w:tblPr>
      <w:tblGrid>
        <w:gridCol w:w="1222"/>
        <w:gridCol w:w="2267"/>
        <w:gridCol w:w="1584"/>
        <w:gridCol w:w="1584"/>
        <w:gridCol w:w="2592"/>
      </w:tblGrid>
      <w:tr w:rsidRPr="003E3AC3" w:rsidR="00D360C1" w:rsidTr="7D9108F3" w14:paraId="4D8BCE6B" w14:textId="77777777">
        <w:trPr>
          <w:trHeight w:val="265"/>
          <w:jc w:val="center"/>
        </w:trPr>
        <w:tc>
          <w:tcPr>
            <w:tcW w:w="1222" w:type="dxa"/>
            <w:shd w:val="clear" w:color="auto" w:fill="BFBFBF" w:themeFill="background1" w:themeFillShade="BF"/>
            <w:noWrap/>
          </w:tcPr>
          <w:p w:rsidRPr="003E3AC3" w:rsidR="00D360C1" w:rsidP="00052E59" w:rsidRDefault="00D360C1" w14:paraId="2738524F" w14:textId="77777777">
            <w:pPr>
              <w:widowControl/>
              <w:tabs>
                <w:tab w:val="left" w:pos="0"/>
              </w:tabs>
              <w:spacing w:after="0"/>
              <w:rPr>
                <w:b/>
                <w:bCs/>
                <w:szCs w:val="20"/>
              </w:rPr>
            </w:pPr>
            <w:r w:rsidRPr="003E3AC3">
              <w:rPr>
                <w:b/>
                <w:bCs/>
                <w:szCs w:val="20"/>
              </w:rPr>
              <w:t>SCC</w:t>
            </w:r>
          </w:p>
        </w:tc>
        <w:tc>
          <w:tcPr>
            <w:tcW w:w="2267" w:type="dxa"/>
            <w:shd w:val="clear" w:color="auto" w:fill="BFBFBF" w:themeFill="background1" w:themeFillShade="BF"/>
            <w:noWrap/>
          </w:tcPr>
          <w:p w:rsidRPr="003E3AC3" w:rsidR="00D360C1" w:rsidP="00052E59" w:rsidRDefault="00D360C1" w14:paraId="36BA6D5A" w14:textId="77777777">
            <w:pPr>
              <w:widowControl/>
              <w:tabs>
                <w:tab w:val="left" w:pos="0"/>
              </w:tabs>
              <w:spacing w:after="0"/>
              <w:rPr>
                <w:b/>
                <w:bCs/>
                <w:szCs w:val="20"/>
              </w:rPr>
            </w:pPr>
            <w:r w:rsidRPr="003E3AC3">
              <w:rPr>
                <w:b/>
                <w:bCs/>
                <w:szCs w:val="20"/>
              </w:rPr>
              <w:t>SCC Level 1</w:t>
            </w:r>
          </w:p>
        </w:tc>
        <w:tc>
          <w:tcPr>
            <w:tcW w:w="1584" w:type="dxa"/>
            <w:shd w:val="clear" w:color="auto" w:fill="BFBFBF" w:themeFill="background1" w:themeFillShade="BF"/>
            <w:noWrap/>
          </w:tcPr>
          <w:p w:rsidRPr="003E3AC3" w:rsidR="00D360C1" w:rsidP="00052E59" w:rsidRDefault="00D360C1" w14:paraId="2901E891" w14:textId="77777777">
            <w:pPr>
              <w:widowControl/>
              <w:tabs>
                <w:tab w:val="left" w:pos="0"/>
              </w:tabs>
              <w:spacing w:after="0"/>
              <w:rPr>
                <w:b/>
                <w:bCs/>
                <w:szCs w:val="20"/>
              </w:rPr>
            </w:pPr>
            <w:r w:rsidRPr="003E3AC3">
              <w:rPr>
                <w:b/>
                <w:bCs/>
                <w:szCs w:val="20"/>
              </w:rPr>
              <w:t>SCC Level 2</w:t>
            </w:r>
          </w:p>
        </w:tc>
        <w:tc>
          <w:tcPr>
            <w:tcW w:w="1584" w:type="dxa"/>
            <w:shd w:val="clear" w:color="auto" w:fill="BFBFBF" w:themeFill="background1" w:themeFillShade="BF"/>
            <w:noWrap/>
          </w:tcPr>
          <w:p w:rsidRPr="003E3AC3" w:rsidR="00D360C1" w:rsidP="00052E59" w:rsidRDefault="00D360C1" w14:paraId="4943D878" w14:textId="77777777">
            <w:pPr>
              <w:widowControl/>
              <w:tabs>
                <w:tab w:val="left" w:pos="0"/>
              </w:tabs>
              <w:spacing w:after="0"/>
              <w:rPr>
                <w:b/>
                <w:bCs/>
                <w:szCs w:val="20"/>
              </w:rPr>
            </w:pPr>
            <w:r w:rsidRPr="003E3AC3">
              <w:rPr>
                <w:b/>
                <w:bCs/>
                <w:szCs w:val="20"/>
              </w:rPr>
              <w:t>SCC Level 3</w:t>
            </w:r>
          </w:p>
        </w:tc>
        <w:tc>
          <w:tcPr>
            <w:tcW w:w="2592" w:type="dxa"/>
            <w:shd w:val="clear" w:color="auto" w:fill="BFBFBF" w:themeFill="background1" w:themeFillShade="BF"/>
            <w:noWrap/>
          </w:tcPr>
          <w:p w:rsidRPr="003E3AC3" w:rsidR="00D360C1" w:rsidP="00052E59" w:rsidRDefault="00D360C1" w14:paraId="4AD44C9C" w14:textId="77777777">
            <w:pPr>
              <w:widowControl/>
              <w:tabs>
                <w:tab w:val="left" w:pos="0"/>
              </w:tabs>
              <w:spacing w:after="0"/>
              <w:rPr>
                <w:b/>
                <w:bCs/>
                <w:szCs w:val="20"/>
              </w:rPr>
            </w:pPr>
            <w:r w:rsidRPr="003E3AC3">
              <w:rPr>
                <w:b/>
                <w:bCs/>
                <w:szCs w:val="20"/>
              </w:rPr>
              <w:t>SCC Level 4</w:t>
            </w:r>
          </w:p>
        </w:tc>
      </w:tr>
      <w:tr w:rsidRPr="003E3AC3" w:rsidR="00CA7F23" w:rsidTr="00FA31F3" w14:paraId="46135A5B" w14:textId="77777777">
        <w:trPr>
          <w:trHeight w:val="567"/>
          <w:jc w:val="center"/>
        </w:trPr>
        <w:tc>
          <w:tcPr>
            <w:tcW w:w="1222" w:type="dxa"/>
            <w:vAlign w:val="center"/>
          </w:tcPr>
          <w:p w:rsidRPr="003733A0" w:rsidR="00CA7F23" w:rsidP="7D9108F3" w:rsidRDefault="00CA7F23" w14:paraId="077ABF3C" w14:textId="76CFB8EE">
            <w:pPr>
              <w:spacing w:after="0"/>
              <w:rPr>
                <w:szCs w:val="20"/>
              </w:rPr>
            </w:pPr>
            <w:r w:rsidRPr="009F14D2">
              <w:t>2610030000</w:t>
            </w:r>
          </w:p>
        </w:tc>
        <w:tc>
          <w:tcPr>
            <w:tcW w:w="2267" w:type="dxa"/>
            <w:vAlign w:val="center"/>
          </w:tcPr>
          <w:p w:rsidRPr="003733A0" w:rsidR="00CA7F23" w:rsidP="00052E59" w:rsidRDefault="00CA7F23" w14:paraId="0B07048B" w14:textId="1D4DCFFB">
            <w:pPr>
              <w:spacing w:after="0"/>
              <w:rPr>
                <w:szCs w:val="20"/>
              </w:rPr>
            </w:pPr>
            <w:r w:rsidRPr="003733A0">
              <w:rPr>
                <w:szCs w:val="20"/>
              </w:rPr>
              <w:t>Waste Disposal, Treatment, and Recovery</w:t>
            </w:r>
          </w:p>
        </w:tc>
        <w:tc>
          <w:tcPr>
            <w:tcW w:w="1584" w:type="dxa"/>
            <w:vAlign w:val="center"/>
          </w:tcPr>
          <w:p w:rsidRPr="003733A0" w:rsidR="00CA7F23" w:rsidP="00052E59" w:rsidRDefault="00CA7F23" w14:paraId="2745EE43" w14:textId="5B1D8635">
            <w:pPr>
              <w:spacing w:after="0"/>
              <w:rPr>
                <w:szCs w:val="20"/>
              </w:rPr>
            </w:pPr>
            <w:r w:rsidRPr="003733A0">
              <w:rPr>
                <w:szCs w:val="20"/>
              </w:rPr>
              <w:t>Open Burning</w:t>
            </w:r>
          </w:p>
        </w:tc>
        <w:tc>
          <w:tcPr>
            <w:tcW w:w="1584" w:type="dxa"/>
            <w:vAlign w:val="center"/>
          </w:tcPr>
          <w:p w:rsidRPr="003733A0" w:rsidR="00CA7F23" w:rsidP="00052E59" w:rsidRDefault="00CA7F23" w14:paraId="40D248CC" w14:textId="5CA7C82B">
            <w:pPr>
              <w:spacing w:after="0"/>
              <w:rPr>
                <w:color w:val="000000"/>
                <w:szCs w:val="20"/>
              </w:rPr>
            </w:pPr>
            <w:r w:rsidRPr="003733A0">
              <w:rPr>
                <w:color w:val="000000"/>
                <w:szCs w:val="20"/>
              </w:rPr>
              <w:t>Residential</w:t>
            </w:r>
          </w:p>
        </w:tc>
        <w:tc>
          <w:tcPr>
            <w:tcW w:w="2592" w:type="dxa"/>
            <w:vAlign w:val="center"/>
          </w:tcPr>
          <w:p w:rsidRPr="003733A0" w:rsidR="00CA7F23" w:rsidP="00052E59" w:rsidRDefault="00CA7F23" w14:paraId="5E3F8663" w14:textId="25561FA7">
            <w:pPr>
              <w:spacing w:after="0"/>
              <w:rPr>
                <w:color w:val="000000"/>
                <w:szCs w:val="20"/>
              </w:rPr>
            </w:pPr>
            <w:r w:rsidRPr="003733A0">
              <w:rPr>
                <w:color w:val="000000"/>
                <w:szCs w:val="20"/>
              </w:rPr>
              <w:t>Household Waste (use 26-10-000-xxx for Yard Wastes)</w:t>
            </w:r>
          </w:p>
        </w:tc>
      </w:tr>
    </w:tbl>
    <w:p w:rsidR="00811E42" w:rsidP="00811E42" w:rsidRDefault="00811E42" w14:paraId="4217115A"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rPr>
          <w:szCs w:val="20"/>
        </w:rPr>
      </w:pPr>
    </w:p>
    <w:p w:rsidR="00811E42" w:rsidP="00D360C1" w:rsidRDefault="00811E42" w14:paraId="1C6731F0" w14:textId="7BD4A87B">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Cs w:val="20"/>
        </w:rPr>
      </w:pPr>
      <w:r w:rsidRPr="003733A0">
        <w:rPr>
          <w:szCs w:val="20"/>
        </w:rPr>
        <w:t xml:space="preserve">Burning of yard waste is included in SCC 2610000100 and SCC 2610000400; therefore, it is not part of residential </w:t>
      </w:r>
      <w:r w:rsidR="005B0489">
        <w:rPr>
          <w:szCs w:val="20"/>
        </w:rPr>
        <w:t>household waste</w:t>
      </w:r>
      <w:r>
        <w:rPr>
          <w:szCs w:val="20"/>
        </w:rPr>
        <w:t>.</w:t>
      </w:r>
    </w:p>
    <w:p w:rsidR="00D360C1" w:rsidP="00052E59" w:rsidRDefault="00D360C1" w14:paraId="36EA975F" w14:textId="77777777">
      <w:pPr>
        <w:pStyle w:val="Heading1"/>
      </w:pPr>
      <w:r w:rsidRPr="00052E59">
        <w:t>Overview</w:t>
      </w:r>
      <w:r>
        <w:t xml:space="preserve"> of Calculations</w:t>
      </w:r>
    </w:p>
    <w:p w:rsidRPr="002958BB" w:rsidR="002958BB" w:rsidP="00D360C1" w:rsidRDefault="00D360C1" w14:paraId="60BDF2C6" w14:textId="0825E7A3">
      <w:pPr>
        <w:widowControl/>
        <w:tabs>
          <w:tab w:val="left" w:pos="0"/>
        </w:tabs>
        <w:rPr>
          <w:szCs w:val="20"/>
        </w:rPr>
      </w:pPr>
      <w:r>
        <w:rPr>
          <w:szCs w:val="20"/>
        </w:rPr>
        <w:t xml:space="preserve">The calculations for </w:t>
      </w:r>
      <w:r w:rsidR="00BE0480">
        <w:rPr>
          <w:szCs w:val="20"/>
        </w:rPr>
        <w:t xml:space="preserve">estimating </w:t>
      </w:r>
      <w:r>
        <w:rPr>
          <w:szCs w:val="20"/>
        </w:rPr>
        <w:t xml:space="preserve">the emissions from </w:t>
      </w:r>
      <w:r w:rsidR="005B0489">
        <w:rPr>
          <w:szCs w:val="20"/>
        </w:rPr>
        <w:t>the burning of RHW</w:t>
      </w:r>
      <w:r w:rsidR="00CA7F23">
        <w:rPr>
          <w:szCs w:val="20"/>
        </w:rPr>
        <w:t xml:space="preserve"> i</w:t>
      </w:r>
      <w:r>
        <w:rPr>
          <w:szCs w:val="20"/>
        </w:rPr>
        <w:t xml:space="preserve">nvolve </w:t>
      </w:r>
      <w:r w:rsidR="00BE0480">
        <w:rPr>
          <w:szCs w:val="20"/>
        </w:rPr>
        <w:t xml:space="preserve">first </w:t>
      </w:r>
      <w:r w:rsidR="00052E59">
        <w:rPr>
          <w:szCs w:val="20"/>
        </w:rPr>
        <w:t xml:space="preserve">estimating the </w:t>
      </w:r>
      <w:r w:rsidR="00060A69">
        <w:rPr>
          <w:szCs w:val="20"/>
        </w:rPr>
        <w:t xml:space="preserve">amount of </w:t>
      </w:r>
      <w:r w:rsidRPr="001213FA" w:rsidR="00456573">
        <w:rPr>
          <w:szCs w:val="20"/>
        </w:rPr>
        <w:t>combustible waste generated</w:t>
      </w:r>
      <w:r w:rsidR="00456573">
        <w:rPr>
          <w:szCs w:val="20"/>
        </w:rPr>
        <w:t xml:space="preserve"> </w:t>
      </w:r>
      <w:r w:rsidR="00060A69">
        <w:rPr>
          <w:szCs w:val="20"/>
        </w:rPr>
        <w:t xml:space="preserve">in each county. </w:t>
      </w:r>
      <w:r w:rsidR="006B3338">
        <w:rPr>
          <w:szCs w:val="20"/>
        </w:rPr>
        <w:t xml:space="preserve">The amount of </w:t>
      </w:r>
      <w:r w:rsidR="00060A69">
        <w:rPr>
          <w:szCs w:val="20"/>
        </w:rPr>
        <w:t xml:space="preserve">waste </w:t>
      </w:r>
      <w:r w:rsidR="00456573">
        <w:rPr>
          <w:szCs w:val="20"/>
        </w:rPr>
        <w:t>generated in the U.S.</w:t>
      </w:r>
      <w:r w:rsidR="00E73FF9">
        <w:rPr>
          <w:szCs w:val="20"/>
        </w:rPr>
        <w:t xml:space="preserve"> </w:t>
      </w:r>
      <w:r w:rsidR="00456573">
        <w:rPr>
          <w:szCs w:val="20"/>
        </w:rPr>
        <w:t>i</w:t>
      </w:r>
      <w:r w:rsidR="00060A69">
        <w:rPr>
          <w:szCs w:val="20"/>
        </w:rPr>
        <w:t xml:space="preserve">s available from </w:t>
      </w:r>
      <w:r w:rsidR="003F1FE0">
        <w:rPr>
          <w:szCs w:val="20"/>
        </w:rPr>
        <w:t xml:space="preserve">the </w:t>
      </w:r>
      <w:r w:rsidR="00060A69">
        <w:rPr>
          <w:szCs w:val="20"/>
        </w:rPr>
        <w:t>EPA</w:t>
      </w:r>
      <w:r w:rsidR="006B3338">
        <w:rPr>
          <w:szCs w:val="20"/>
        </w:rPr>
        <w:t xml:space="preserve"> report</w:t>
      </w:r>
      <w:r w:rsidR="003F1FE0">
        <w:rPr>
          <w:szCs w:val="20"/>
        </w:rPr>
        <w:t xml:space="preserve">, </w:t>
      </w:r>
      <w:r w:rsidRPr="00100372" w:rsidR="003F1FE0">
        <w:rPr>
          <w:i/>
          <w:szCs w:val="20"/>
        </w:rPr>
        <w:t>Advancing Sustainable Materials Management: 2</w:t>
      </w:r>
      <w:r w:rsidR="008B1324">
        <w:rPr>
          <w:i/>
          <w:szCs w:val="20"/>
        </w:rPr>
        <w:t>015</w:t>
      </w:r>
      <w:r w:rsidRPr="00100372" w:rsidR="003F1FE0">
        <w:rPr>
          <w:i/>
          <w:szCs w:val="20"/>
        </w:rPr>
        <w:t xml:space="preserve"> Fact Sheet</w:t>
      </w:r>
      <w:r w:rsidRPr="003733A0" w:rsidR="003F1FE0">
        <w:rPr>
          <w:szCs w:val="20"/>
        </w:rPr>
        <w:t>.</w:t>
      </w:r>
      <w:bookmarkStart w:name="_Ref478631552" w:id="1"/>
      <w:r w:rsidR="003F1FE0">
        <w:rPr>
          <w:rStyle w:val="EndnoteReference"/>
          <w:szCs w:val="20"/>
        </w:rPr>
        <w:endnoteReference w:id="2"/>
      </w:r>
      <w:bookmarkEnd w:id="1"/>
      <w:r w:rsidR="00060A69">
        <w:rPr>
          <w:szCs w:val="20"/>
        </w:rPr>
        <w:t xml:space="preserve"> </w:t>
      </w:r>
      <w:r w:rsidR="006B3338">
        <w:rPr>
          <w:szCs w:val="20"/>
        </w:rPr>
        <w:t xml:space="preserve">The amount of </w:t>
      </w:r>
      <w:r w:rsidR="00456573">
        <w:rPr>
          <w:szCs w:val="20"/>
        </w:rPr>
        <w:t>county</w:t>
      </w:r>
      <w:r w:rsidR="00060A69">
        <w:rPr>
          <w:szCs w:val="20"/>
        </w:rPr>
        <w:t>-level</w:t>
      </w:r>
      <w:r w:rsidR="005B0489">
        <w:rPr>
          <w:szCs w:val="20"/>
        </w:rPr>
        <w:t xml:space="preserve"> RH</w:t>
      </w:r>
      <w:r w:rsidR="00456573">
        <w:rPr>
          <w:szCs w:val="20"/>
        </w:rPr>
        <w:t xml:space="preserve">W burned </w:t>
      </w:r>
      <w:r w:rsidR="00060A69">
        <w:rPr>
          <w:szCs w:val="20"/>
        </w:rPr>
        <w:t xml:space="preserve">is estimated by calculating the </w:t>
      </w:r>
      <w:r w:rsidR="008A6FC7">
        <w:rPr>
          <w:szCs w:val="20"/>
        </w:rPr>
        <w:t xml:space="preserve">per </w:t>
      </w:r>
      <w:r w:rsidR="00052E59">
        <w:rPr>
          <w:szCs w:val="20"/>
        </w:rPr>
        <w:t xml:space="preserve">capita amount of </w:t>
      </w:r>
      <w:r w:rsidR="00FA31F3">
        <w:rPr>
          <w:szCs w:val="20"/>
        </w:rPr>
        <w:t>RHW</w:t>
      </w:r>
      <w:r w:rsidR="00456573">
        <w:rPr>
          <w:szCs w:val="20"/>
        </w:rPr>
        <w:t xml:space="preserve"> generated </w:t>
      </w:r>
      <w:r w:rsidR="00060A69">
        <w:rPr>
          <w:szCs w:val="20"/>
        </w:rPr>
        <w:t xml:space="preserve">using </w:t>
      </w:r>
      <w:r w:rsidR="009A0471">
        <w:rPr>
          <w:szCs w:val="20"/>
        </w:rPr>
        <w:t xml:space="preserve">the </w:t>
      </w:r>
      <w:r w:rsidR="00060A69">
        <w:rPr>
          <w:szCs w:val="20"/>
        </w:rPr>
        <w:t>national data</w:t>
      </w:r>
      <w:r w:rsidR="006B3338">
        <w:rPr>
          <w:szCs w:val="20"/>
        </w:rPr>
        <w:t xml:space="preserve"> from EPA</w:t>
      </w:r>
      <w:r w:rsidR="00060A69">
        <w:rPr>
          <w:szCs w:val="20"/>
        </w:rPr>
        <w:t xml:space="preserve">, and multiplying that by the </w:t>
      </w:r>
      <w:r w:rsidR="00E73FF9">
        <w:rPr>
          <w:szCs w:val="20"/>
        </w:rPr>
        <w:t>number of people likely to burn waste in</w:t>
      </w:r>
      <w:r w:rsidR="00456573">
        <w:rPr>
          <w:szCs w:val="20"/>
        </w:rPr>
        <w:t xml:space="preserve"> each county</w:t>
      </w:r>
      <w:r w:rsidR="00060A69">
        <w:rPr>
          <w:szCs w:val="20"/>
        </w:rPr>
        <w:t>.</w:t>
      </w:r>
      <w:r w:rsidR="00340DAC">
        <w:rPr>
          <w:szCs w:val="20"/>
        </w:rPr>
        <w:t xml:space="preserve"> </w:t>
      </w:r>
      <w:r w:rsidR="00E73FF9">
        <w:rPr>
          <w:szCs w:val="20"/>
        </w:rPr>
        <w:t>The number of people lik</w:t>
      </w:r>
      <w:r w:rsidR="009A0471">
        <w:rPr>
          <w:szCs w:val="20"/>
        </w:rPr>
        <w:t xml:space="preserve">ely to burn waste is </w:t>
      </w:r>
      <w:r w:rsidR="00E73FF9">
        <w:rPr>
          <w:szCs w:val="20"/>
        </w:rPr>
        <w:t>based on</w:t>
      </w:r>
      <w:r w:rsidR="00F964AB">
        <w:rPr>
          <w:szCs w:val="20"/>
        </w:rPr>
        <w:t xml:space="preserve"> the rural </w:t>
      </w:r>
      <w:r w:rsidR="00E73FF9">
        <w:rPr>
          <w:szCs w:val="20"/>
        </w:rPr>
        <w:t xml:space="preserve">population in each county from the 2010 census. </w:t>
      </w:r>
      <w:r w:rsidRPr="00C91401" w:rsidR="00347529">
        <w:rPr>
          <w:szCs w:val="20"/>
        </w:rPr>
        <w:t>To estimate emission</w:t>
      </w:r>
      <w:r w:rsidRPr="00C91401" w:rsidR="001213FA">
        <w:rPr>
          <w:szCs w:val="20"/>
        </w:rPr>
        <w:t>s</w:t>
      </w:r>
      <w:r w:rsidRPr="00C91401" w:rsidR="00C91401">
        <w:rPr>
          <w:szCs w:val="20"/>
        </w:rPr>
        <w:t xml:space="preserve"> from RHW burning, pollutant</w:t>
      </w:r>
      <w:r w:rsidRPr="00C91401" w:rsidR="00347529">
        <w:rPr>
          <w:szCs w:val="20"/>
        </w:rPr>
        <w:t xml:space="preserve"> </w:t>
      </w:r>
      <w:r w:rsidRPr="00C91401" w:rsidR="00C91401">
        <w:rPr>
          <w:szCs w:val="20"/>
        </w:rPr>
        <w:t>emissions factors</w:t>
      </w:r>
      <w:r w:rsidRPr="00C91401" w:rsidR="001213FA">
        <w:rPr>
          <w:szCs w:val="20"/>
        </w:rPr>
        <w:t xml:space="preserve"> are multiplied by</w:t>
      </w:r>
      <w:r w:rsidRPr="00C91401" w:rsidR="00347529">
        <w:rPr>
          <w:szCs w:val="20"/>
        </w:rPr>
        <w:t xml:space="preserve"> the amount of combustible waste</w:t>
      </w:r>
      <w:r w:rsidRPr="00C91401" w:rsidR="00C91401">
        <w:rPr>
          <w:szCs w:val="20"/>
        </w:rPr>
        <w:t xml:space="preserve"> burned</w:t>
      </w:r>
      <w:r w:rsidRPr="00C91401" w:rsidR="00347529">
        <w:rPr>
          <w:szCs w:val="20"/>
        </w:rPr>
        <w:t>.</w:t>
      </w:r>
      <w:r w:rsidRPr="00C91401" w:rsidR="001213FA">
        <w:rPr>
          <w:szCs w:val="20"/>
        </w:rPr>
        <w:t xml:space="preserve"> Emissions factors for </w:t>
      </w:r>
      <w:proofErr w:type="gramStart"/>
      <w:r w:rsidRPr="00C91401" w:rsidR="00C91401">
        <w:rPr>
          <w:szCs w:val="20"/>
        </w:rPr>
        <w:t>PM ,</w:t>
      </w:r>
      <w:proofErr w:type="gramEnd"/>
      <w:r w:rsidRPr="00C91401" w:rsidR="00C91401">
        <w:rPr>
          <w:szCs w:val="20"/>
        </w:rPr>
        <w:t xml:space="preserve"> VOC, and HAPs are from the literature, whereas emissions factors for </w:t>
      </w:r>
      <w:r w:rsidRPr="00C91401" w:rsidR="001213FA">
        <w:rPr>
          <w:szCs w:val="20"/>
        </w:rPr>
        <w:t>CO, NOX, and SO2</w:t>
      </w:r>
      <w:r w:rsidRPr="00C91401" w:rsidR="00C91401">
        <w:rPr>
          <w:szCs w:val="20"/>
        </w:rPr>
        <w:t xml:space="preserve"> are</w:t>
      </w:r>
      <w:r w:rsidR="00C91401">
        <w:rPr>
          <w:szCs w:val="20"/>
        </w:rPr>
        <w:t xml:space="preserve"> adjusted based on the ratio of total waste to combustible waste. </w:t>
      </w:r>
      <w:r w:rsidR="002958BB">
        <w:rPr>
          <w:szCs w:val="20"/>
        </w:rPr>
        <w:t xml:space="preserve">Sources of data and calculations for the amount of </w:t>
      </w:r>
      <w:r w:rsidR="00E73FF9">
        <w:rPr>
          <w:szCs w:val="20"/>
        </w:rPr>
        <w:t>waste generated are</w:t>
      </w:r>
      <w:r w:rsidR="00052E59">
        <w:rPr>
          <w:szCs w:val="20"/>
        </w:rPr>
        <w:t xml:space="preserve"> discussed in section </w:t>
      </w:r>
      <w:r w:rsidR="00052E59">
        <w:rPr>
          <w:szCs w:val="20"/>
        </w:rPr>
        <w:fldChar w:fldCharType="begin"/>
      </w:r>
      <w:r w:rsidR="00052E59">
        <w:rPr>
          <w:szCs w:val="20"/>
        </w:rPr>
        <w:instrText xml:space="preserve"> REF _Ref477177316 \r \h </w:instrText>
      </w:r>
      <w:r w:rsidR="00052E59">
        <w:rPr>
          <w:szCs w:val="20"/>
        </w:rPr>
      </w:r>
      <w:r w:rsidR="00052E59">
        <w:rPr>
          <w:szCs w:val="20"/>
        </w:rPr>
        <w:fldChar w:fldCharType="separate"/>
      </w:r>
      <w:r w:rsidR="00117BBF">
        <w:rPr>
          <w:szCs w:val="20"/>
        </w:rPr>
        <w:t>C</w:t>
      </w:r>
      <w:r w:rsidR="00052E59">
        <w:rPr>
          <w:szCs w:val="20"/>
        </w:rPr>
        <w:fldChar w:fldCharType="end"/>
      </w:r>
      <w:r w:rsidR="002958BB">
        <w:rPr>
          <w:szCs w:val="20"/>
        </w:rPr>
        <w:t>.</w:t>
      </w:r>
      <w:r w:rsidR="00E73FF9">
        <w:rPr>
          <w:szCs w:val="20"/>
        </w:rPr>
        <w:t xml:space="preserve"> </w:t>
      </w:r>
      <w:r w:rsidR="00052E59">
        <w:rPr>
          <w:szCs w:val="20"/>
        </w:rPr>
        <w:t>Emission</w:t>
      </w:r>
      <w:r w:rsidR="009944E8">
        <w:rPr>
          <w:szCs w:val="20"/>
        </w:rPr>
        <w:t>s</w:t>
      </w:r>
      <w:r w:rsidR="00052E59">
        <w:rPr>
          <w:szCs w:val="20"/>
        </w:rPr>
        <w:t xml:space="preserve"> factors are discussed in section</w:t>
      </w:r>
      <w:r w:rsidR="00B259AF">
        <w:rPr>
          <w:szCs w:val="20"/>
        </w:rPr>
        <w:t xml:space="preserve"> </w:t>
      </w:r>
      <w:r w:rsidR="00B259AF">
        <w:rPr>
          <w:szCs w:val="20"/>
        </w:rPr>
        <w:fldChar w:fldCharType="begin"/>
      </w:r>
      <w:r w:rsidR="00B259AF">
        <w:rPr>
          <w:szCs w:val="20"/>
        </w:rPr>
        <w:instrText xml:space="preserve"> REF _Ref477187901 \r \h </w:instrText>
      </w:r>
      <w:r w:rsidR="00B259AF">
        <w:rPr>
          <w:szCs w:val="20"/>
        </w:rPr>
      </w:r>
      <w:r w:rsidR="00B259AF">
        <w:rPr>
          <w:szCs w:val="20"/>
        </w:rPr>
        <w:fldChar w:fldCharType="separate"/>
      </w:r>
      <w:r w:rsidR="00117BBF">
        <w:rPr>
          <w:szCs w:val="20"/>
        </w:rPr>
        <w:t>E</w:t>
      </w:r>
      <w:r w:rsidR="00B259AF">
        <w:rPr>
          <w:szCs w:val="20"/>
        </w:rPr>
        <w:fldChar w:fldCharType="end"/>
      </w:r>
      <w:r w:rsidR="00052E59">
        <w:rPr>
          <w:szCs w:val="20"/>
        </w:rPr>
        <w:t xml:space="preserve">. </w:t>
      </w:r>
      <w:r w:rsidR="008E2445">
        <w:rPr>
          <w:szCs w:val="20"/>
        </w:rPr>
        <w:t xml:space="preserve">The estimation of emissions from </w:t>
      </w:r>
      <w:r w:rsidR="00FA31F3">
        <w:rPr>
          <w:szCs w:val="20"/>
        </w:rPr>
        <w:t>open burning of RH</w:t>
      </w:r>
      <w:r w:rsidR="00E73FF9">
        <w:rPr>
          <w:szCs w:val="20"/>
        </w:rPr>
        <w:t>W</w:t>
      </w:r>
      <w:r w:rsidR="008E2445">
        <w:rPr>
          <w:szCs w:val="20"/>
        </w:rPr>
        <w:t xml:space="preserve"> is discussed in section</w:t>
      </w:r>
      <w:r w:rsidR="004A75C7">
        <w:rPr>
          <w:szCs w:val="20"/>
        </w:rPr>
        <w:t xml:space="preserve"> </w:t>
      </w:r>
      <w:r w:rsidR="004A75C7">
        <w:rPr>
          <w:szCs w:val="20"/>
        </w:rPr>
        <w:fldChar w:fldCharType="begin"/>
      </w:r>
      <w:r w:rsidR="004A75C7">
        <w:rPr>
          <w:szCs w:val="20"/>
        </w:rPr>
        <w:instrText xml:space="preserve"> REF _Ref478996341 \r \h </w:instrText>
      </w:r>
      <w:r w:rsidR="004A75C7">
        <w:rPr>
          <w:szCs w:val="20"/>
        </w:rPr>
      </w:r>
      <w:r w:rsidR="004A75C7">
        <w:rPr>
          <w:szCs w:val="20"/>
        </w:rPr>
        <w:fldChar w:fldCharType="separate"/>
      </w:r>
      <w:r w:rsidR="00117BBF">
        <w:rPr>
          <w:szCs w:val="20"/>
        </w:rPr>
        <w:t>G</w:t>
      </w:r>
      <w:r w:rsidR="004A75C7">
        <w:rPr>
          <w:szCs w:val="20"/>
        </w:rPr>
        <w:fldChar w:fldCharType="end"/>
      </w:r>
      <w:r w:rsidR="008E2445">
        <w:rPr>
          <w:szCs w:val="20"/>
        </w:rPr>
        <w:t>.</w:t>
      </w:r>
    </w:p>
    <w:p w:rsidR="00B97E6E" w:rsidP="00052E59" w:rsidRDefault="00B97E6E" w14:paraId="721778E8" w14:textId="77777777">
      <w:pPr>
        <w:pStyle w:val="Heading1"/>
      </w:pPr>
      <w:bookmarkStart w:name="_Ref477177316" w:id="2"/>
      <w:r w:rsidRPr="00886F17">
        <w:t>Activity Data</w:t>
      </w:r>
      <w:bookmarkEnd w:id="2"/>
    </w:p>
    <w:p w:rsidR="00B24CB0" w:rsidP="00B97E6E" w:rsidRDefault="00B97E6E" w14:paraId="2382C3BA" w14:textId="4893CC9E">
      <w:pPr>
        <w:widowControl/>
        <w:autoSpaceDE/>
        <w:autoSpaceDN/>
        <w:adjustRightInd/>
        <w:rPr>
          <w:szCs w:val="20"/>
        </w:rPr>
      </w:pPr>
      <w:r w:rsidRPr="003733A0">
        <w:rPr>
          <w:szCs w:val="20"/>
        </w:rPr>
        <w:t xml:space="preserve">The </w:t>
      </w:r>
      <w:r w:rsidR="008E2445">
        <w:rPr>
          <w:szCs w:val="20"/>
        </w:rPr>
        <w:t xml:space="preserve">activity data for this source category is the </w:t>
      </w:r>
      <w:r w:rsidRPr="003733A0">
        <w:rPr>
          <w:szCs w:val="20"/>
        </w:rPr>
        <w:t xml:space="preserve">amount of </w:t>
      </w:r>
      <w:r w:rsidR="00FA31F3">
        <w:rPr>
          <w:szCs w:val="20"/>
        </w:rPr>
        <w:t>RH</w:t>
      </w:r>
      <w:r w:rsidR="007F3EDA">
        <w:rPr>
          <w:szCs w:val="20"/>
        </w:rPr>
        <w:t>W</w:t>
      </w:r>
      <w:r w:rsidR="00F964AB">
        <w:rPr>
          <w:szCs w:val="20"/>
        </w:rPr>
        <w:t xml:space="preserve"> burned in each county</w:t>
      </w:r>
      <w:r w:rsidR="008E2445">
        <w:rPr>
          <w:szCs w:val="20"/>
        </w:rPr>
        <w:t>, which</w:t>
      </w:r>
      <w:r>
        <w:rPr>
          <w:szCs w:val="20"/>
        </w:rPr>
        <w:t xml:space="preserve"> </w:t>
      </w:r>
      <w:r w:rsidR="002E5ADD">
        <w:rPr>
          <w:szCs w:val="20"/>
        </w:rPr>
        <w:t>i</w:t>
      </w:r>
      <w:r w:rsidRPr="003733A0">
        <w:rPr>
          <w:szCs w:val="20"/>
        </w:rPr>
        <w:t>s estimated using data</w:t>
      </w:r>
      <w:r w:rsidR="007F3EDA">
        <w:rPr>
          <w:szCs w:val="20"/>
        </w:rPr>
        <w:t xml:space="preserve"> the</w:t>
      </w:r>
      <w:r w:rsidR="00060A69">
        <w:rPr>
          <w:szCs w:val="20"/>
        </w:rPr>
        <w:t xml:space="preserve"> </w:t>
      </w:r>
      <w:r w:rsidRPr="003733A0">
        <w:rPr>
          <w:szCs w:val="20"/>
        </w:rPr>
        <w:t>EPA report</w:t>
      </w:r>
      <w:r w:rsidR="007F3EDA">
        <w:rPr>
          <w:szCs w:val="20"/>
        </w:rPr>
        <w:t xml:space="preserve"> </w:t>
      </w:r>
      <w:r w:rsidRPr="00100372">
        <w:rPr>
          <w:i/>
          <w:szCs w:val="20"/>
        </w:rPr>
        <w:t>Advancing Sustainable Materials Management: 2</w:t>
      </w:r>
      <w:r w:rsidR="008B1324">
        <w:rPr>
          <w:i/>
          <w:szCs w:val="20"/>
        </w:rPr>
        <w:t>015</w:t>
      </w:r>
      <w:r w:rsidRPr="00100372">
        <w:rPr>
          <w:i/>
          <w:szCs w:val="20"/>
        </w:rPr>
        <w:t xml:space="preserve"> Fact Sheet</w:t>
      </w:r>
      <w:r w:rsidRPr="003733A0">
        <w:rPr>
          <w:szCs w:val="20"/>
        </w:rPr>
        <w:t>.</w:t>
      </w:r>
      <w:r w:rsidRPr="003F1FE0" w:rsidR="003F1FE0">
        <w:rPr>
          <w:vertAlign w:val="superscript"/>
        </w:rPr>
        <w:fldChar w:fldCharType="begin"/>
      </w:r>
      <w:r w:rsidRPr="003F1FE0" w:rsidR="003F1FE0">
        <w:rPr>
          <w:szCs w:val="20"/>
          <w:vertAlign w:val="superscript"/>
        </w:rPr>
        <w:instrText xml:space="preserve"> NOTEREF _Ref478631552 \h </w:instrText>
      </w:r>
      <w:r w:rsidR="003F1FE0">
        <w:rPr>
          <w:vertAlign w:val="superscript"/>
        </w:rPr>
        <w:instrText xml:space="preserve"> \* MERGEFORMAT </w:instrText>
      </w:r>
      <w:r w:rsidRPr="003F1FE0" w:rsidR="003F1FE0">
        <w:rPr>
          <w:vertAlign w:val="superscript"/>
        </w:rPr>
      </w:r>
      <w:r w:rsidRPr="003F1FE0" w:rsidR="003F1FE0">
        <w:rPr>
          <w:vertAlign w:val="superscript"/>
        </w:rPr>
        <w:fldChar w:fldCharType="separate"/>
      </w:r>
      <w:r w:rsidR="00117BBF">
        <w:rPr>
          <w:szCs w:val="20"/>
          <w:vertAlign w:val="superscript"/>
        </w:rPr>
        <w:t>1</w:t>
      </w:r>
      <w:r w:rsidRPr="003F1FE0" w:rsidR="003F1FE0">
        <w:rPr>
          <w:vertAlign w:val="superscript"/>
        </w:rPr>
        <w:fldChar w:fldCharType="end"/>
      </w:r>
      <w:r w:rsidR="00700C74">
        <w:rPr>
          <w:szCs w:val="20"/>
        </w:rPr>
        <w:t xml:space="preserve"> </w:t>
      </w:r>
      <w:r w:rsidRPr="003733A0" w:rsidR="00700C74">
        <w:rPr>
          <w:szCs w:val="20"/>
        </w:rPr>
        <w:t xml:space="preserve">The report presents the total mass of waste generated </w:t>
      </w:r>
      <w:r w:rsidR="00700C74">
        <w:rPr>
          <w:szCs w:val="20"/>
        </w:rPr>
        <w:t xml:space="preserve">from the residential and commercial sectors </w:t>
      </w:r>
      <w:r w:rsidRPr="003733A0" w:rsidR="00700C74">
        <w:rPr>
          <w:szCs w:val="20"/>
        </w:rPr>
        <w:t>in the United States by type</w:t>
      </w:r>
      <w:r w:rsidR="00700C74">
        <w:rPr>
          <w:szCs w:val="20"/>
        </w:rPr>
        <w:t xml:space="preserve"> of </w:t>
      </w:r>
      <w:r w:rsidR="008B1324">
        <w:rPr>
          <w:szCs w:val="20"/>
        </w:rPr>
        <w:t>waste for the calendar year 2015</w:t>
      </w:r>
      <w:r w:rsidR="00700C74">
        <w:rPr>
          <w:szCs w:val="20"/>
        </w:rPr>
        <w:t>.</w:t>
      </w:r>
    </w:p>
    <w:p w:rsidRPr="0020702C" w:rsidR="008A6FC7" w:rsidP="003F1FE0" w:rsidRDefault="001F1A1E" w14:paraId="7963EE55" w14:textId="341449EA">
      <w:pPr>
        <w:widowControl/>
        <w:autoSpaceDE/>
        <w:autoSpaceDN/>
        <w:adjustRightInd/>
        <w:spacing w:after="0"/>
        <w:rPr>
          <w:szCs w:val="20"/>
        </w:rPr>
      </w:pPr>
      <w:r>
        <w:rPr>
          <w:szCs w:val="20"/>
        </w:rPr>
        <w:fldChar w:fldCharType="begin"/>
      </w:r>
      <w:r>
        <w:rPr>
          <w:szCs w:val="20"/>
        </w:rPr>
        <w:instrText xml:space="preserve"> REF _Ref478469978 \h </w:instrText>
      </w:r>
      <w:r>
        <w:rPr>
          <w:szCs w:val="20"/>
        </w:rPr>
      </w:r>
      <w:r>
        <w:rPr>
          <w:szCs w:val="20"/>
        </w:rPr>
        <w:fldChar w:fldCharType="separate"/>
      </w:r>
      <w:r w:rsidR="00117BBF">
        <w:t xml:space="preserve">Table </w:t>
      </w:r>
      <w:r w:rsidR="00117BBF">
        <w:rPr>
          <w:noProof/>
        </w:rPr>
        <w:t>1</w:t>
      </w:r>
      <w:r>
        <w:rPr>
          <w:szCs w:val="20"/>
        </w:rPr>
        <w:fldChar w:fldCharType="end"/>
      </w:r>
      <w:r>
        <w:rPr>
          <w:szCs w:val="20"/>
        </w:rPr>
        <w:t xml:space="preserve"> </w:t>
      </w:r>
      <w:r w:rsidRPr="004B0DDF" w:rsidR="00B97E6E">
        <w:rPr>
          <w:szCs w:val="20"/>
        </w:rPr>
        <w:t>shows</w:t>
      </w:r>
      <w:r w:rsidR="00B97E6E">
        <w:rPr>
          <w:szCs w:val="20"/>
        </w:rPr>
        <w:t xml:space="preserve"> the total </w:t>
      </w:r>
      <w:r w:rsidR="00B24CB0">
        <w:rPr>
          <w:szCs w:val="20"/>
        </w:rPr>
        <w:t xml:space="preserve">national-level </w:t>
      </w:r>
      <w:r w:rsidR="00700C74">
        <w:rPr>
          <w:szCs w:val="20"/>
        </w:rPr>
        <w:t xml:space="preserve">waste generated </w:t>
      </w:r>
      <w:r w:rsidR="00BF2D63">
        <w:rPr>
          <w:szCs w:val="20"/>
        </w:rPr>
        <w:t>by</w:t>
      </w:r>
      <w:r w:rsidR="008A6FC7">
        <w:rPr>
          <w:szCs w:val="20"/>
        </w:rPr>
        <w:t xml:space="preserve"> type and the corresponding per </w:t>
      </w:r>
      <w:r w:rsidR="00BF2D63">
        <w:rPr>
          <w:szCs w:val="20"/>
        </w:rPr>
        <w:t>capita values</w:t>
      </w:r>
      <w:r w:rsidR="00B97E6E">
        <w:rPr>
          <w:szCs w:val="20"/>
        </w:rPr>
        <w:t xml:space="preserve">. </w:t>
      </w:r>
      <w:r w:rsidR="008A6FC7">
        <w:rPr>
          <w:szCs w:val="20"/>
        </w:rPr>
        <w:t xml:space="preserve">Per </w:t>
      </w:r>
      <w:r w:rsidR="0020702C">
        <w:rPr>
          <w:szCs w:val="20"/>
        </w:rPr>
        <w:t xml:space="preserve">capita values of </w:t>
      </w:r>
      <w:r w:rsidR="00FA31F3">
        <w:rPr>
          <w:szCs w:val="20"/>
        </w:rPr>
        <w:t>RH</w:t>
      </w:r>
      <w:r w:rsidR="000A6FCD">
        <w:rPr>
          <w:szCs w:val="20"/>
        </w:rPr>
        <w:t xml:space="preserve">W </w:t>
      </w:r>
      <w:r w:rsidR="0020702C">
        <w:rPr>
          <w:szCs w:val="20"/>
        </w:rPr>
        <w:t>subject to burning were developed based on EPA’s total amount of waste generated</w:t>
      </w:r>
      <w:r w:rsidR="008B1324">
        <w:rPr>
          <w:szCs w:val="20"/>
        </w:rPr>
        <w:t xml:space="preserve"> in 2015</w:t>
      </w:r>
      <w:r w:rsidR="0020702C">
        <w:rPr>
          <w:szCs w:val="20"/>
        </w:rPr>
        <w:t xml:space="preserve">. According to the 2010 version of the </w:t>
      </w:r>
      <w:r w:rsidR="00C91401">
        <w:rPr>
          <w:szCs w:val="20"/>
        </w:rPr>
        <w:t xml:space="preserve">same </w:t>
      </w:r>
      <w:r w:rsidR="0020702C">
        <w:rPr>
          <w:szCs w:val="20"/>
        </w:rPr>
        <w:t>EPA report, residential wast</w:t>
      </w:r>
      <w:r w:rsidR="003F1FE0">
        <w:rPr>
          <w:szCs w:val="20"/>
        </w:rPr>
        <w:t>e generation accounts for 55-65%</w:t>
      </w:r>
      <w:r w:rsidR="0020702C">
        <w:rPr>
          <w:szCs w:val="20"/>
        </w:rPr>
        <w:t xml:space="preserve"> of the total waste from the residential and commercial sectors;</w:t>
      </w:r>
      <w:r w:rsidR="00BE1458">
        <w:rPr>
          <w:rStyle w:val="EndnoteReference"/>
          <w:szCs w:val="20"/>
        </w:rPr>
        <w:endnoteReference w:id="3"/>
      </w:r>
      <w:r w:rsidR="003F1FE0">
        <w:rPr>
          <w:szCs w:val="20"/>
        </w:rPr>
        <w:t xml:space="preserve"> </w:t>
      </w:r>
      <w:r w:rsidR="008A6FC7">
        <w:rPr>
          <w:szCs w:val="20"/>
        </w:rPr>
        <w:t xml:space="preserve">for the per </w:t>
      </w:r>
      <w:r w:rsidR="0020702C">
        <w:rPr>
          <w:szCs w:val="20"/>
        </w:rPr>
        <w:t>capita calculation, the median value of 6</w:t>
      </w:r>
      <w:r w:rsidR="003F1FE0">
        <w:rPr>
          <w:szCs w:val="20"/>
        </w:rPr>
        <w:t>0</w:t>
      </w:r>
      <w:r w:rsidR="00DB0467">
        <w:rPr>
          <w:szCs w:val="20"/>
        </w:rPr>
        <w:t>% of total waste generated is</w:t>
      </w:r>
      <w:r w:rsidR="0020702C">
        <w:rPr>
          <w:szCs w:val="20"/>
        </w:rPr>
        <w:t xml:space="preserve"> assume</w:t>
      </w:r>
      <w:r w:rsidR="00DB0467">
        <w:rPr>
          <w:szCs w:val="20"/>
        </w:rPr>
        <w:t xml:space="preserve">d. </w:t>
      </w:r>
      <w:r w:rsidR="008A6FC7">
        <w:rPr>
          <w:szCs w:val="20"/>
        </w:rPr>
        <w:t>This number is mu</w:t>
      </w:r>
      <w:r w:rsidR="00C91401">
        <w:rPr>
          <w:szCs w:val="20"/>
        </w:rPr>
        <w:t xml:space="preserve">ltiplied by the sums of the total and </w:t>
      </w:r>
      <w:r w:rsidR="008A6FC7">
        <w:rPr>
          <w:szCs w:val="20"/>
        </w:rPr>
        <w:t xml:space="preserve">combustible waste, respectively. Each number is then divided by the </w:t>
      </w:r>
      <w:r w:rsidR="00DB0467">
        <w:rPr>
          <w:szCs w:val="20"/>
        </w:rPr>
        <w:t>U</w:t>
      </w:r>
      <w:r w:rsidR="008A6FC7">
        <w:rPr>
          <w:szCs w:val="20"/>
        </w:rPr>
        <w:t>.</w:t>
      </w:r>
      <w:r w:rsidR="00DB0467">
        <w:rPr>
          <w:szCs w:val="20"/>
        </w:rPr>
        <w:t>S</w:t>
      </w:r>
      <w:r w:rsidR="008A6FC7">
        <w:rPr>
          <w:szCs w:val="20"/>
        </w:rPr>
        <w:t>.</w:t>
      </w:r>
      <w:r w:rsidR="00DB0467">
        <w:rPr>
          <w:szCs w:val="20"/>
        </w:rPr>
        <w:t xml:space="preserve"> population</w:t>
      </w:r>
      <w:r w:rsidR="000A6FCD">
        <w:rPr>
          <w:szCs w:val="20"/>
        </w:rPr>
        <w:t xml:space="preserve"> in 201</w:t>
      </w:r>
      <w:r w:rsidR="009C796E">
        <w:rPr>
          <w:szCs w:val="20"/>
        </w:rPr>
        <w:t>7</w:t>
      </w:r>
      <w:r w:rsidR="000A6FCD">
        <w:rPr>
          <w:szCs w:val="20"/>
        </w:rPr>
        <w:t xml:space="preserve"> </w:t>
      </w:r>
      <w:r w:rsidR="008A6FC7">
        <w:rPr>
          <w:szCs w:val="20"/>
        </w:rPr>
        <w:t>(</w:t>
      </w:r>
      <w:r w:rsidR="0020702C">
        <w:rPr>
          <w:szCs w:val="20"/>
        </w:rPr>
        <w:t>3</w:t>
      </w:r>
      <w:r w:rsidR="009C796E">
        <w:rPr>
          <w:szCs w:val="20"/>
        </w:rPr>
        <w:t>2</w:t>
      </w:r>
      <w:r w:rsidR="0020702C">
        <w:rPr>
          <w:szCs w:val="20"/>
        </w:rPr>
        <w:t>9 million people</w:t>
      </w:r>
      <w:r w:rsidR="008A6FC7">
        <w:rPr>
          <w:szCs w:val="20"/>
        </w:rPr>
        <w:t>)</w:t>
      </w:r>
      <w:r w:rsidR="00BE1458">
        <w:rPr>
          <w:rStyle w:val="EndnoteReference"/>
          <w:szCs w:val="20"/>
        </w:rPr>
        <w:endnoteReference w:id="4"/>
      </w:r>
      <w:r w:rsidR="008A6FC7">
        <w:rPr>
          <w:szCs w:val="20"/>
        </w:rPr>
        <w:t xml:space="preserve"> to determine separate </w:t>
      </w:r>
      <w:r w:rsidR="000A6FCD">
        <w:rPr>
          <w:szCs w:val="20"/>
        </w:rPr>
        <w:t>per</w:t>
      </w:r>
      <w:r w:rsidR="009715A4">
        <w:rPr>
          <w:szCs w:val="20"/>
        </w:rPr>
        <w:t xml:space="preserve"> </w:t>
      </w:r>
      <w:r w:rsidR="000A6FCD">
        <w:rPr>
          <w:szCs w:val="20"/>
        </w:rPr>
        <w:t xml:space="preserve">capita values </w:t>
      </w:r>
      <w:r w:rsidR="008A6FC7">
        <w:rPr>
          <w:szCs w:val="20"/>
        </w:rPr>
        <w:t xml:space="preserve">for </w:t>
      </w:r>
      <w:r w:rsidR="00C91401">
        <w:rPr>
          <w:szCs w:val="20"/>
        </w:rPr>
        <w:t xml:space="preserve">total and </w:t>
      </w:r>
      <w:r w:rsidR="008A6FC7">
        <w:rPr>
          <w:szCs w:val="20"/>
        </w:rPr>
        <w:t>combustible waste.</w:t>
      </w:r>
      <w:r w:rsidRPr="003733A0" w:rsidR="0020702C">
        <w:rPr>
          <w:szCs w:val="20"/>
        </w:rPr>
        <w:t xml:space="preserve"> </w:t>
      </w:r>
      <w:r w:rsidR="00C91401">
        <w:rPr>
          <w:szCs w:val="20"/>
        </w:rPr>
        <w:t>Note that yard waste is not included in either per capita value as emissions from the burning of yard waste</w:t>
      </w:r>
      <w:r w:rsidR="00844121">
        <w:rPr>
          <w:szCs w:val="20"/>
        </w:rPr>
        <w:t xml:space="preserve"> are calculated in</w:t>
      </w:r>
      <w:r w:rsidR="00C91401">
        <w:rPr>
          <w:szCs w:val="20"/>
        </w:rPr>
        <w:t xml:space="preserve"> </w:t>
      </w:r>
      <w:r w:rsidR="00844121">
        <w:rPr>
          <w:szCs w:val="20"/>
        </w:rPr>
        <w:t>separate SCCs.</w:t>
      </w:r>
    </w:p>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8549"/>
        <w:gridCol w:w="811"/>
      </w:tblGrid>
      <w:tr w:rsidR="00B76CA8" w:rsidTr="008936CB" w14:paraId="7B274542" w14:textId="77777777">
        <w:trPr>
          <w:trHeight w:val="864"/>
        </w:trPr>
        <w:tc>
          <w:tcPr>
            <w:tcW w:w="8748" w:type="dxa"/>
            <w:vAlign w:val="center"/>
          </w:tcPr>
          <w:p w:rsidRPr="00770E9B" w:rsidR="00B76CA8" w:rsidP="000932CD" w:rsidRDefault="008B1324" w14:paraId="1FEA0E95" w14:textId="1CC6E57A">
            <w:pPr>
              <w:widowControl/>
              <w:autoSpaceDE/>
              <w:autoSpaceDN/>
              <w:adjustRightInd/>
              <w:spacing w:before="120" w:after="120"/>
              <w:jc w:val="center"/>
              <w:rPr>
                <w:szCs w:val="20"/>
              </w:rPr>
            </w:pPr>
            <m:oMathPara>
              <m:oMathParaPr>
                <m:jc m:val="center"/>
              </m:oMathParaPr>
              <m:oMath>
                <m:sSub>
                  <m:sSubPr>
                    <m:ctrlPr>
                      <w:rPr>
                        <w:rFonts w:ascii="Cambria Math" w:hAnsi="Cambria Math"/>
                        <w:i/>
                        <w:szCs w:val="20"/>
                      </w:rPr>
                    </m:ctrlPr>
                  </m:sSubPr>
                  <m:e>
                    <m:r>
                      <w:rPr>
                        <w:rFonts w:ascii="Cambria Math" w:hAnsi="Cambria Math"/>
                        <w:szCs w:val="20"/>
                      </w:rPr>
                      <m:t>PC</m:t>
                    </m:r>
                  </m:e>
                  <m:sub>
                    <m:r>
                      <w:rPr>
                        <w:rFonts w:ascii="Cambria Math" w:hAnsi="Cambria Math"/>
                        <w:szCs w:val="20"/>
                      </w:rPr>
                      <m:t>cwaste</m:t>
                    </m:r>
                  </m:sub>
                </m:sSub>
                <m:r>
                  <w:rPr>
                    <w:rFonts w:ascii="Cambria Math" w:hAnsi="Cambria Math"/>
                    <w:szCs w:val="20"/>
                  </w:rPr>
                  <m:t>=</m:t>
                </m:r>
                <m:f>
                  <m:fPr>
                    <m:ctrlPr>
                      <w:rPr>
                        <w:rFonts w:ascii="Cambria Math" w:hAnsi="Cambria Math"/>
                        <w:i/>
                        <w:szCs w:val="20"/>
                      </w:rPr>
                    </m:ctrlPr>
                  </m:fPr>
                  <m:num>
                    <m:nary>
                      <m:naryPr>
                        <m:chr m:val="∑"/>
                        <m:limLoc m:val="subSup"/>
                        <m:supHide m:val="1"/>
                        <m:ctrlPr>
                          <w:rPr>
                            <w:rFonts w:ascii="Cambria Math" w:hAnsi="Cambria Math"/>
                            <w:i/>
                            <w:szCs w:val="20"/>
                          </w:rPr>
                        </m:ctrlPr>
                      </m:naryPr>
                      <m:sub>
                        <m:r>
                          <w:rPr>
                            <w:rFonts w:ascii="Cambria Math" w:hAnsi="Cambria Math"/>
                            <w:szCs w:val="20"/>
                          </w:rPr>
                          <m:t>Com</m:t>
                        </m:r>
                      </m:sub>
                      <m:sup/>
                      <m:e>
                        <m:r>
                          <w:rPr>
                            <w:rFonts w:ascii="Cambria Math" w:hAnsi="Cambria Math"/>
                            <w:szCs w:val="20"/>
                          </w:rPr>
                          <m:t>W</m:t>
                        </m:r>
                      </m:e>
                    </m:nary>
                    <m:r>
                      <w:rPr>
                        <w:rFonts w:ascii="Cambria Math" w:hAnsi="Cambria Math"/>
                        <w:szCs w:val="20"/>
                      </w:rPr>
                      <m:t>×0.60</m:t>
                    </m:r>
                  </m:num>
                  <m:den>
                    <m:sSub>
                      <m:sSubPr>
                        <m:ctrlPr>
                          <w:rPr>
                            <w:rFonts w:ascii="Cambria Math" w:hAnsi="Cambria Math"/>
                            <w:i/>
                            <w:szCs w:val="20"/>
                          </w:rPr>
                        </m:ctrlPr>
                      </m:sSubPr>
                      <m:e>
                        <m:r>
                          <w:rPr>
                            <w:rFonts w:ascii="Cambria Math" w:hAnsi="Cambria Math"/>
                            <w:szCs w:val="20"/>
                          </w:rPr>
                          <m:t>P</m:t>
                        </m:r>
                      </m:e>
                      <m:sub>
                        <m:r>
                          <w:rPr>
                            <w:rFonts w:ascii="Cambria Math" w:hAnsi="Cambria Math"/>
                            <w:szCs w:val="20"/>
                          </w:rPr>
                          <m:t>y,US</m:t>
                        </m:r>
                      </m:sub>
                    </m:sSub>
                  </m:den>
                </m:f>
              </m:oMath>
            </m:oMathPara>
          </w:p>
        </w:tc>
        <w:tc>
          <w:tcPr>
            <w:tcW w:w="828" w:type="dxa"/>
            <w:vAlign w:val="center"/>
          </w:tcPr>
          <w:p w:rsidRPr="003D471D" w:rsidR="00B76CA8" w:rsidP="000932CD" w:rsidRDefault="00B76CA8" w14:paraId="713E3940" w14:textId="77777777">
            <w:pPr>
              <w:pStyle w:val="ListParagraph"/>
              <w:widowControl/>
              <w:numPr>
                <w:ilvl w:val="0"/>
                <w:numId w:val="10"/>
              </w:numPr>
              <w:autoSpaceDE/>
              <w:autoSpaceDN/>
              <w:adjustRightInd/>
              <w:spacing w:before="120" w:after="120"/>
              <w:jc w:val="center"/>
              <w:rPr>
                <w:szCs w:val="20"/>
              </w:rPr>
            </w:pPr>
          </w:p>
        </w:tc>
      </w:tr>
      <w:tr w:rsidR="00811E42" w:rsidTr="008936CB" w14:paraId="2A3E6625" w14:textId="77777777">
        <w:trPr>
          <w:trHeight w:val="720"/>
        </w:trPr>
        <w:tc>
          <w:tcPr>
            <w:tcW w:w="8748" w:type="dxa"/>
            <w:vAlign w:val="center"/>
          </w:tcPr>
          <w:p w:rsidRPr="00770E9B" w:rsidR="00811E42" w:rsidP="000932CD" w:rsidRDefault="008B1324" w14:paraId="7E389D7B" w14:textId="66B89C71">
            <w:pPr>
              <w:widowControl/>
              <w:autoSpaceDE/>
              <w:autoSpaceDN/>
              <w:adjustRightInd/>
              <w:spacing w:before="120" w:after="120"/>
              <w:jc w:val="center"/>
              <w:rPr>
                <w:szCs w:val="20"/>
              </w:rPr>
            </w:pPr>
            <m:oMathPara>
              <m:oMathParaPr>
                <m:jc m:val="center"/>
              </m:oMathParaPr>
              <m:oMath>
                <m:sSub>
                  <m:sSubPr>
                    <m:ctrlPr>
                      <w:rPr>
                        <w:rFonts w:ascii="Cambria Math" w:hAnsi="Cambria Math"/>
                        <w:i/>
                        <w:szCs w:val="20"/>
                      </w:rPr>
                    </m:ctrlPr>
                  </m:sSubPr>
                  <m:e>
                    <m:r>
                      <w:rPr>
                        <w:rFonts w:ascii="Cambria Math" w:hAnsi="Cambria Math"/>
                        <w:szCs w:val="20"/>
                      </w:rPr>
                      <m:t>PC</m:t>
                    </m:r>
                  </m:e>
                  <m:sub>
                    <m:r>
                      <w:rPr>
                        <w:rFonts w:ascii="Cambria Math" w:hAnsi="Cambria Math"/>
                        <w:szCs w:val="20"/>
                      </w:rPr>
                      <m:t>twaste</m:t>
                    </m:r>
                  </m:sub>
                </m:sSub>
                <m:r>
                  <w:rPr>
                    <w:rFonts w:ascii="Cambria Math" w:hAnsi="Cambria Math"/>
                    <w:szCs w:val="20"/>
                  </w:rPr>
                  <m:t>=</m:t>
                </m:r>
                <m:f>
                  <m:fPr>
                    <m:ctrlPr>
                      <w:rPr>
                        <w:rFonts w:ascii="Cambria Math" w:hAnsi="Cambria Math"/>
                        <w:i/>
                        <w:szCs w:val="20"/>
                      </w:rPr>
                    </m:ctrlPr>
                  </m:fPr>
                  <m:num>
                    <m:nary>
                      <m:naryPr>
                        <m:chr m:val="∑"/>
                        <m:limLoc m:val="subSup"/>
                        <m:supHide m:val="1"/>
                        <m:ctrlPr>
                          <w:rPr>
                            <w:rFonts w:ascii="Cambria Math" w:hAnsi="Cambria Math"/>
                            <w:i/>
                            <w:szCs w:val="20"/>
                          </w:rPr>
                        </m:ctrlPr>
                      </m:naryPr>
                      <m:sub>
                        <m:r>
                          <w:rPr>
                            <w:rFonts w:ascii="Cambria Math" w:hAnsi="Cambria Math"/>
                            <w:szCs w:val="20"/>
                          </w:rPr>
                          <m:t>T</m:t>
                        </m:r>
                      </m:sub>
                      <m:sup/>
                      <m:e>
                        <m:r>
                          <w:rPr>
                            <w:rFonts w:ascii="Cambria Math" w:hAnsi="Cambria Math"/>
                            <w:szCs w:val="20"/>
                          </w:rPr>
                          <m:t>W</m:t>
                        </m:r>
                      </m:e>
                    </m:nary>
                    <m:r>
                      <w:rPr>
                        <w:rFonts w:ascii="Cambria Math" w:hAnsi="Cambria Math"/>
                        <w:szCs w:val="20"/>
                      </w:rPr>
                      <m:t>×0.60</m:t>
                    </m:r>
                  </m:num>
                  <m:den>
                    <m:sSub>
                      <m:sSubPr>
                        <m:ctrlPr>
                          <w:rPr>
                            <w:rFonts w:ascii="Cambria Math" w:hAnsi="Cambria Math"/>
                            <w:i/>
                            <w:szCs w:val="20"/>
                          </w:rPr>
                        </m:ctrlPr>
                      </m:sSubPr>
                      <m:e>
                        <m:r>
                          <w:rPr>
                            <w:rFonts w:ascii="Cambria Math" w:hAnsi="Cambria Math"/>
                            <w:szCs w:val="20"/>
                          </w:rPr>
                          <m:t>P</m:t>
                        </m:r>
                      </m:e>
                      <m:sub>
                        <m:r>
                          <w:rPr>
                            <w:rFonts w:ascii="Cambria Math" w:hAnsi="Cambria Math"/>
                            <w:szCs w:val="20"/>
                          </w:rPr>
                          <m:t>US</m:t>
                        </m:r>
                      </m:sub>
                    </m:sSub>
                  </m:den>
                </m:f>
              </m:oMath>
            </m:oMathPara>
          </w:p>
        </w:tc>
        <w:tc>
          <w:tcPr>
            <w:tcW w:w="828" w:type="dxa"/>
            <w:vAlign w:val="center"/>
          </w:tcPr>
          <w:p w:rsidRPr="003D471D" w:rsidR="00811E42" w:rsidP="000932CD" w:rsidRDefault="00811E42" w14:paraId="5CFE7E41" w14:textId="77777777">
            <w:pPr>
              <w:pStyle w:val="ListParagraph"/>
              <w:widowControl/>
              <w:numPr>
                <w:ilvl w:val="0"/>
                <w:numId w:val="10"/>
              </w:numPr>
              <w:autoSpaceDE/>
              <w:autoSpaceDN/>
              <w:adjustRightInd/>
              <w:spacing w:before="120" w:after="120"/>
              <w:jc w:val="center"/>
              <w:rPr>
                <w:szCs w:val="20"/>
              </w:rPr>
            </w:pPr>
          </w:p>
        </w:tc>
      </w:tr>
    </w:tbl>
    <w:p w:rsidR="009715A4" w:rsidP="00B76CA8" w:rsidRDefault="009715A4" w14:paraId="0D1C5961" w14:textId="77777777">
      <w:pPr>
        <w:widowControl/>
        <w:tabs>
          <w:tab w:val="left" w:pos="0"/>
        </w:tabs>
        <w:rPr>
          <w:szCs w:val="20"/>
        </w:rPr>
      </w:pPr>
    </w:p>
    <w:p w:rsidRPr="0006347C" w:rsidR="00B76CA8" w:rsidP="00B76CA8" w:rsidRDefault="00B76CA8" w14:paraId="2C98DC4E" w14:textId="77777777">
      <w:pPr>
        <w:widowControl/>
        <w:tabs>
          <w:tab w:val="left" w:pos="0"/>
        </w:tabs>
        <w:rPr>
          <w:szCs w:val="20"/>
        </w:rPr>
      </w:pPr>
      <w:r w:rsidRPr="0006347C">
        <w:rPr>
          <w:szCs w:val="20"/>
        </w:rPr>
        <w:lastRenderedPageBreak/>
        <w:t>Where:</w:t>
      </w:r>
    </w:p>
    <w:p w:rsidR="00811E42" w:rsidP="00811E42" w:rsidRDefault="00811E42" w14:paraId="7D5335D8" w14:textId="3DFB7E35">
      <w:pPr>
        <w:pStyle w:val="NoSpacing"/>
      </w:pPr>
      <w:r>
        <w:tab/>
      </w:r>
      <w:proofErr w:type="spellStart"/>
      <w:r w:rsidRPr="00D36600">
        <w:rPr>
          <w:i/>
        </w:rPr>
        <w:t>PC</w:t>
      </w:r>
      <w:r w:rsidRPr="00D36600">
        <w:rPr>
          <w:i/>
          <w:vertAlign w:val="subscript"/>
        </w:rPr>
        <w:t>cwaste</w:t>
      </w:r>
      <w:proofErr w:type="spellEnd"/>
      <w:r w:rsidR="008A6FC7">
        <w:tab/>
      </w:r>
      <w:r w:rsidR="008A6FC7">
        <w:t>=</w:t>
      </w:r>
      <w:r w:rsidR="008A6FC7">
        <w:tab/>
      </w:r>
      <w:r w:rsidR="008A6FC7">
        <w:t xml:space="preserve">Per </w:t>
      </w:r>
      <w:r>
        <w:t>capita value of combustible waste in the U</w:t>
      </w:r>
      <w:r w:rsidR="009715A4">
        <w:t>.</w:t>
      </w:r>
      <w:r>
        <w:t>S</w:t>
      </w:r>
      <w:r w:rsidR="009715A4">
        <w:t>.</w:t>
      </w:r>
      <w:r>
        <w:t xml:space="preserve">, in tons per person </w:t>
      </w:r>
    </w:p>
    <w:p w:rsidR="00811E42" w:rsidP="00811E42" w:rsidRDefault="00811E42" w14:paraId="31754DA0" w14:textId="5E115059">
      <w:pPr>
        <w:pStyle w:val="NoSpacing"/>
        <w:rPr>
          <w:szCs w:val="20"/>
        </w:rPr>
      </w:pPr>
      <w:r w:rsidRPr="005171E8">
        <w:rPr>
          <w:i/>
          <w:szCs w:val="20"/>
        </w:rPr>
        <w:tab/>
      </w:r>
      <w:proofErr w:type="spellStart"/>
      <w:r>
        <w:rPr>
          <w:i/>
          <w:szCs w:val="20"/>
        </w:rPr>
        <w:t>PC</w:t>
      </w:r>
      <w:r w:rsidR="00BB219A">
        <w:rPr>
          <w:i/>
          <w:szCs w:val="20"/>
          <w:vertAlign w:val="subscript"/>
        </w:rPr>
        <w:t>t</w:t>
      </w:r>
      <w:r w:rsidRPr="000E58A8">
        <w:rPr>
          <w:i/>
          <w:szCs w:val="20"/>
          <w:vertAlign w:val="subscript"/>
        </w:rPr>
        <w:t>waste</w:t>
      </w:r>
      <w:proofErr w:type="spellEnd"/>
      <w:r w:rsidR="008A6FC7">
        <w:rPr>
          <w:szCs w:val="20"/>
        </w:rPr>
        <w:tab/>
      </w:r>
      <w:r w:rsidR="008A6FC7">
        <w:rPr>
          <w:szCs w:val="20"/>
        </w:rPr>
        <w:t>=</w:t>
      </w:r>
      <w:r w:rsidR="008A6FC7">
        <w:rPr>
          <w:szCs w:val="20"/>
        </w:rPr>
        <w:tab/>
      </w:r>
      <w:r w:rsidR="008A6FC7">
        <w:rPr>
          <w:szCs w:val="20"/>
        </w:rPr>
        <w:t xml:space="preserve">Per </w:t>
      </w:r>
      <w:r>
        <w:rPr>
          <w:szCs w:val="20"/>
        </w:rPr>
        <w:t xml:space="preserve">capita value of </w:t>
      </w:r>
      <w:r w:rsidR="00844121">
        <w:rPr>
          <w:szCs w:val="20"/>
        </w:rPr>
        <w:t>total</w:t>
      </w:r>
      <w:r>
        <w:rPr>
          <w:szCs w:val="20"/>
        </w:rPr>
        <w:t xml:space="preserve"> waste in the U</w:t>
      </w:r>
      <w:r w:rsidR="009715A4">
        <w:rPr>
          <w:szCs w:val="20"/>
        </w:rPr>
        <w:t>.</w:t>
      </w:r>
      <w:r>
        <w:rPr>
          <w:szCs w:val="20"/>
        </w:rPr>
        <w:t>S</w:t>
      </w:r>
      <w:r w:rsidR="009715A4">
        <w:rPr>
          <w:szCs w:val="20"/>
        </w:rPr>
        <w:t>.</w:t>
      </w:r>
      <w:r>
        <w:rPr>
          <w:szCs w:val="20"/>
        </w:rPr>
        <w:t xml:space="preserve">, in tons per person </w:t>
      </w:r>
    </w:p>
    <w:p w:rsidR="00811E42" w:rsidP="00811E42" w:rsidRDefault="00811E42" w14:paraId="7C4588D1" w14:textId="46692977">
      <w:pPr>
        <w:pStyle w:val="NoSpacing"/>
      </w:pPr>
      <w:r>
        <w:tab/>
      </w:r>
      <w:r w:rsidRPr="005171E8">
        <w:rPr>
          <w:i/>
        </w:rPr>
        <w:t>Com</w:t>
      </w:r>
      <w:r>
        <w:tab/>
      </w:r>
      <w:r>
        <w:t>=</w:t>
      </w:r>
      <w:r>
        <w:tab/>
      </w:r>
      <w:r>
        <w:t>Types of combustible waste</w:t>
      </w:r>
      <w:r w:rsidR="00844121">
        <w:t xml:space="preserve"> (not including yard waste)</w:t>
      </w:r>
    </w:p>
    <w:p w:rsidRPr="00811E42" w:rsidR="00811E42" w:rsidP="00811E42" w:rsidRDefault="00AE432D" w14:paraId="7E2D83B8" w14:textId="463AFB6A">
      <w:pPr>
        <w:pStyle w:val="NoSpacing"/>
        <w:rPr>
          <w:szCs w:val="20"/>
        </w:rPr>
      </w:pPr>
      <w:r>
        <w:rPr>
          <w:i/>
          <w:szCs w:val="20"/>
        </w:rPr>
        <w:tab/>
      </w:r>
      <w:r w:rsidR="00BB219A">
        <w:rPr>
          <w:i/>
          <w:szCs w:val="20"/>
        </w:rPr>
        <w:t>T</w:t>
      </w:r>
      <w:r w:rsidR="00811E42">
        <w:rPr>
          <w:szCs w:val="20"/>
        </w:rPr>
        <w:tab/>
      </w:r>
      <w:r w:rsidR="00811E42">
        <w:rPr>
          <w:szCs w:val="20"/>
        </w:rPr>
        <w:t>=</w:t>
      </w:r>
      <w:r w:rsidR="00811E42">
        <w:rPr>
          <w:szCs w:val="20"/>
        </w:rPr>
        <w:tab/>
      </w:r>
      <w:r w:rsidR="00844121">
        <w:rPr>
          <w:szCs w:val="20"/>
        </w:rPr>
        <w:t>All t</w:t>
      </w:r>
      <w:r w:rsidR="00811E42">
        <w:rPr>
          <w:szCs w:val="20"/>
        </w:rPr>
        <w:t>ypes of waste</w:t>
      </w:r>
      <w:r w:rsidR="00844121">
        <w:rPr>
          <w:szCs w:val="20"/>
        </w:rPr>
        <w:t xml:space="preserve"> (not including yard waste)</w:t>
      </w:r>
    </w:p>
    <w:p w:rsidR="00811E42" w:rsidP="00811E42" w:rsidRDefault="00811E42" w14:paraId="129EA29B" w14:textId="77777777">
      <w:pPr>
        <w:pStyle w:val="NoSpacing"/>
      </w:pPr>
      <w:r w:rsidRPr="005171E8">
        <w:rPr>
          <w:i/>
        </w:rPr>
        <w:tab/>
      </w:r>
      <w:r w:rsidRPr="005171E8">
        <w:rPr>
          <w:i/>
        </w:rPr>
        <w:t>W</w:t>
      </w:r>
      <w:r>
        <w:tab/>
      </w:r>
      <w:r>
        <w:t>=</w:t>
      </w:r>
      <w:r>
        <w:tab/>
      </w:r>
      <w:r>
        <w:t>Annual weight of waste, in million tons</w:t>
      </w:r>
    </w:p>
    <w:p w:rsidR="0020702C" w:rsidP="00811E42" w:rsidRDefault="00811E42" w14:paraId="1D0E0203" w14:textId="2E8639CF">
      <w:pPr>
        <w:pStyle w:val="NoSpacing"/>
      </w:pPr>
      <w:r w:rsidRPr="005171E8">
        <w:rPr>
          <w:i/>
        </w:rPr>
        <w:tab/>
      </w:r>
      <w:proofErr w:type="spellStart"/>
      <w:r w:rsidRPr="003F1FE0">
        <w:rPr>
          <w:i/>
        </w:rPr>
        <w:t>P</w:t>
      </w:r>
      <w:r>
        <w:rPr>
          <w:i/>
          <w:vertAlign w:val="subscript"/>
        </w:rPr>
        <w:t>y</w:t>
      </w:r>
      <w:proofErr w:type="gramStart"/>
      <w:r>
        <w:rPr>
          <w:i/>
          <w:vertAlign w:val="subscript"/>
        </w:rPr>
        <w:t>,</w:t>
      </w:r>
      <w:r w:rsidRPr="00865297">
        <w:rPr>
          <w:i/>
          <w:vertAlign w:val="subscript"/>
        </w:rPr>
        <w:t>US</w:t>
      </w:r>
      <w:proofErr w:type="spellEnd"/>
      <w:proofErr w:type="gramEnd"/>
      <w:r>
        <w:tab/>
      </w:r>
      <w:r>
        <w:t>=</w:t>
      </w:r>
      <w:r>
        <w:tab/>
      </w:r>
      <w:r>
        <w:t>Population of the U</w:t>
      </w:r>
      <w:r w:rsidR="009715A4">
        <w:t>.</w:t>
      </w:r>
      <w:r>
        <w:t>S</w:t>
      </w:r>
      <w:r w:rsidR="009715A4">
        <w:t>.</w:t>
      </w:r>
      <w:r>
        <w:t xml:space="preserve"> for year of inventory, in million people</w:t>
      </w:r>
    </w:p>
    <w:p w:rsidR="00811E42" w:rsidP="00811E42" w:rsidRDefault="00811E42" w14:paraId="6189E798" w14:textId="77777777">
      <w:pPr>
        <w:pStyle w:val="NoSpacing"/>
      </w:pPr>
    </w:p>
    <w:p w:rsidRPr="0020702C" w:rsidR="00684CBB" w:rsidP="00AE432D" w:rsidRDefault="00DB0467" w14:paraId="2805B64B" w14:textId="6D0CAA89">
      <w:r>
        <w:t xml:space="preserve">The </w:t>
      </w:r>
      <w:r w:rsidR="008A6FC7">
        <w:t xml:space="preserve">per </w:t>
      </w:r>
      <w:r w:rsidRPr="003733A0" w:rsidR="00684CBB">
        <w:t>capita</w:t>
      </w:r>
      <w:r w:rsidR="00684CBB">
        <w:t xml:space="preserve"> value of combustible </w:t>
      </w:r>
      <w:r w:rsidRPr="003733A0" w:rsidR="00684CBB">
        <w:t>hou</w:t>
      </w:r>
      <w:r w:rsidR="00684CBB">
        <w:t>sehold waste</w:t>
      </w:r>
      <w:r>
        <w:t xml:space="preserve"> is estimated to be</w:t>
      </w:r>
      <w:r w:rsidR="001F1A1E">
        <w:t xml:space="preserve"> 0.354 tons </w:t>
      </w:r>
      <w:r w:rsidR="008A6FC7">
        <w:t xml:space="preserve">generated </w:t>
      </w:r>
      <w:r w:rsidR="001F1A1E">
        <w:t xml:space="preserve">per </w:t>
      </w:r>
      <w:r w:rsidR="00684CBB">
        <w:t>person</w:t>
      </w:r>
      <w:r w:rsidR="008B1324">
        <w:t xml:space="preserve"> in 2015</w:t>
      </w:r>
      <w:r w:rsidR="00684CBB">
        <w:t>, and</w:t>
      </w:r>
      <w:r>
        <w:t xml:space="preserve"> the</w:t>
      </w:r>
      <w:r w:rsidR="00684CBB">
        <w:t xml:space="preserve"> per</w:t>
      </w:r>
      <w:r w:rsidR="008A6FC7">
        <w:t xml:space="preserve"> </w:t>
      </w:r>
      <w:r w:rsidR="00684CBB">
        <w:t xml:space="preserve">capita value of </w:t>
      </w:r>
      <w:r w:rsidR="00844121">
        <w:t>total</w:t>
      </w:r>
      <w:r>
        <w:t xml:space="preserve"> waste is </w:t>
      </w:r>
      <w:r w:rsidR="001F1A1E">
        <w:t xml:space="preserve">0.420 tons </w:t>
      </w:r>
      <w:r w:rsidR="008A6FC7">
        <w:t xml:space="preserve">generated </w:t>
      </w:r>
      <w:r w:rsidR="001F1A1E">
        <w:t xml:space="preserve">per </w:t>
      </w:r>
      <w:r w:rsidR="00684CBB">
        <w:t xml:space="preserve">person. </w:t>
      </w:r>
    </w:p>
    <w:p w:rsidR="0020702C" w:rsidP="0020702C" w:rsidRDefault="0020702C" w14:paraId="51BE779A" w14:textId="3DFD714B">
      <w:pPr>
        <w:pStyle w:val="TableCaption"/>
      </w:pPr>
      <w:bookmarkStart w:name="_Ref478469978" w:id="3"/>
      <w:r>
        <w:t xml:space="preserve">Table </w:t>
      </w:r>
      <w:r>
        <w:fldChar w:fldCharType="begin"/>
      </w:r>
      <w:r>
        <w:instrText> SEQ Table \* ARABIC </w:instrText>
      </w:r>
      <w:r>
        <w:fldChar w:fldCharType="separate"/>
      </w:r>
      <w:r w:rsidR="00117BBF">
        <w:rPr>
          <w:noProof/>
        </w:rPr>
        <w:t>1</w:t>
      </w:r>
      <w:r>
        <w:fldChar w:fldCharType="end"/>
      </w:r>
      <w:bookmarkEnd w:id="3"/>
      <w:r>
        <w:t xml:space="preserve">. </w:t>
      </w:r>
      <w:r w:rsidRPr="004B0DDF">
        <w:t>Annual Waste Generated</w:t>
      </w:r>
      <w:r>
        <w:t xml:space="preserve"> in the U</w:t>
      </w:r>
      <w:r w:rsidR="009715A4">
        <w:t>.</w:t>
      </w:r>
      <w:r>
        <w:t>S</w:t>
      </w:r>
      <w:r w:rsidR="009715A4">
        <w:t>.</w:t>
      </w:r>
      <w:r w:rsidR="008B1324">
        <w:t xml:space="preserve"> in 2015</w:t>
      </w: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4A0" w:firstRow="1" w:lastRow="0" w:firstColumn="1" w:lastColumn="0" w:noHBand="0" w:noVBand="1"/>
      </w:tblPr>
      <w:tblGrid>
        <w:gridCol w:w="2360"/>
        <w:gridCol w:w="2360"/>
        <w:gridCol w:w="2360"/>
        <w:gridCol w:w="2361"/>
      </w:tblGrid>
      <w:tr w:rsidRPr="0020702C" w:rsidR="0020702C" w:rsidTr="00844121" w14:paraId="5ED99E99" w14:textId="77777777">
        <w:trPr>
          <w:trHeight w:val="20"/>
        </w:trPr>
        <w:tc>
          <w:tcPr>
            <w:tcW w:w="4720" w:type="dxa"/>
            <w:gridSpan w:val="2"/>
            <w:tcBorders>
              <w:top w:val="nil"/>
              <w:left w:val="nil"/>
              <w:bottom w:val="single" w:color="auto" w:sz="4" w:space="0"/>
              <w:right w:val="single" w:color="auto" w:sz="4" w:space="0"/>
            </w:tcBorders>
            <w:shd w:val="clear" w:color="auto" w:fill="auto"/>
            <w:noWrap/>
            <w:vAlign w:val="center"/>
            <w:hideMark/>
          </w:tcPr>
          <w:p w:rsidRPr="0020702C" w:rsidR="0020702C" w:rsidP="0020702C" w:rsidRDefault="0020702C" w14:paraId="428431C6" w14:textId="70AF32A6">
            <w:pPr>
              <w:widowControl/>
              <w:autoSpaceDE/>
              <w:autoSpaceDN/>
              <w:adjustRightInd/>
              <w:spacing w:after="0"/>
              <w:jc w:val="center"/>
              <w:rPr>
                <w:szCs w:val="20"/>
              </w:rPr>
            </w:pPr>
          </w:p>
          <w:p w:rsidRPr="0020702C" w:rsidR="0020702C" w:rsidP="0020702C" w:rsidRDefault="0020702C" w14:paraId="64765996" w14:textId="0C370138">
            <w:pPr>
              <w:widowControl/>
              <w:autoSpaceDE/>
              <w:autoSpaceDN/>
              <w:adjustRightInd/>
              <w:spacing w:after="0"/>
              <w:jc w:val="center"/>
              <w:rPr>
                <w:szCs w:val="20"/>
              </w:rPr>
            </w:pPr>
          </w:p>
        </w:tc>
        <w:tc>
          <w:tcPr>
            <w:tcW w:w="4721" w:type="dxa"/>
            <w:gridSpan w:val="2"/>
            <w:tcBorders>
              <w:top w:val="single" w:color="auto" w:sz="4" w:space="0"/>
              <w:left w:val="single" w:color="auto" w:sz="4" w:space="0"/>
              <w:bottom w:val="single" w:color="auto" w:sz="4" w:space="0"/>
              <w:right w:val="single" w:color="auto" w:sz="4" w:space="0"/>
            </w:tcBorders>
            <w:shd w:val="clear" w:color="auto" w:fill="C0C0C0"/>
            <w:noWrap/>
            <w:vAlign w:val="center"/>
            <w:hideMark/>
          </w:tcPr>
          <w:p w:rsidRPr="0020702C" w:rsidR="0020702C" w:rsidP="008A6FC7" w:rsidRDefault="008A6FC7" w14:paraId="2B57B579" w14:textId="3EC4F505">
            <w:pPr>
              <w:widowControl/>
              <w:autoSpaceDE/>
              <w:autoSpaceDN/>
              <w:adjustRightInd/>
              <w:spacing w:after="0"/>
              <w:jc w:val="center"/>
              <w:rPr>
                <w:b/>
                <w:bCs/>
                <w:szCs w:val="20"/>
              </w:rPr>
            </w:pPr>
            <w:r>
              <w:rPr>
                <w:b/>
                <w:bCs/>
                <w:szCs w:val="20"/>
              </w:rPr>
              <w:t>T</w:t>
            </w:r>
            <w:r w:rsidRPr="0020702C" w:rsidR="0020702C">
              <w:rPr>
                <w:b/>
                <w:bCs/>
                <w:szCs w:val="20"/>
              </w:rPr>
              <w:t xml:space="preserve">ons </w:t>
            </w:r>
            <w:r>
              <w:rPr>
                <w:b/>
                <w:bCs/>
                <w:szCs w:val="20"/>
              </w:rPr>
              <w:t xml:space="preserve">Generated </w:t>
            </w:r>
            <w:r w:rsidRPr="0020702C" w:rsidR="0020702C">
              <w:rPr>
                <w:b/>
                <w:bCs/>
                <w:szCs w:val="20"/>
              </w:rPr>
              <w:t xml:space="preserve">per </w:t>
            </w:r>
            <w:r>
              <w:rPr>
                <w:b/>
                <w:bCs/>
                <w:szCs w:val="20"/>
              </w:rPr>
              <w:t>P</w:t>
            </w:r>
            <w:r w:rsidRPr="0020702C" w:rsidR="0020702C">
              <w:rPr>
                <w:b/>
                <w:bCs/>
                <w:szCs w:val="20"/>
              </w:rPr>
              <w:t>erson</w:t>
            </w:r>
          </w:p>
        </w:tc>
      </w:tr>
      <w:tr w:rsidRPr="0020702C" w:rsidR="0020702C" w:rsidTr="00844121" w14:paraId="39423A92" w14:textId="77777777">
        <w:trPr>
          <w:trHeight w:val="20"/>
        </w:trPr>
        <w:tc>
          <w:tcPr>
            <w:tcW w:w="2360" w:type="dxa"/>
            <w:tcBorders>
              <w:top w:val="single" w:color="auto" w:sz="4" w:space="0"/>
            </w:tcBorders>
            <w:shd w:val="clear" w:color="auto" w:fill="BFBFBF" w:themeFill="background1" w:themeFillShade="BF"/>
            <w:vAlign w:val="center"/>
            <w:hideMark/>
          </w:tcPr>
          <w:p w:rsidRPr="0020702C" w:rsidR="0020702C" w:rsidP="0020702C" w:rsidRDefault="0020702C" w14:paraId="5DA643E6" w14:textId="35367F03">
            <w:pPr>
              <w:widowControl/>
              <w:autoSpaceDE/>
              <w:autoSpaceDN/>
              <w:adjustRightInd/>
              <w:spacing w:after="0"/>
              <w:jc w:val="center"/>
              <w:rPr>
                <w:b/>
                <w:bCs/>
                <w:szCs w:val="20"/>
              </w:rPr>
            </w:pPr>
            <w:r w:rsidRPr="0020702C">
              <w:rPr>
                <w:b/>
                <w:bCs/>
                <w:szCs w:val="20"/>
              </w:rPr>
              <w:t>Material</w:t>
            </w:r>
          </w:p>
        </w:tc>
        <w:tc>
          <w:tcPr>
            <w:tcW w:w="2360" w:type="dxa"/>
            <w:tcBorders>
              <w:top w:val="single" w:color="auto" w:sz="4" w:space="0"/>
            </w:tcBorders>
            <w:shd w:val="clear" w:color="auto" w:fill="BFBFBF" w:themeFill="background1" w:themeFillShade="BF"/>
            <w:vAlign w:val="center"/>
            <w:hideMark/>
          </w:tcPr>
          <w:p w:rsidRPr="0020702C" w:rsidR="0020702C" w:rsidP="0020702C" w:rsidRDefault="0020702C" w14:paraId="4E87B31C" w14:textId="77777777">
            <w:pPr>
              <w:widowControl/>
              <w:autoSpaceDE/>
              <w:autoSpaceDN/>
              <w:adjustRightInd/>
              <w:spacing w:after="0"/>
              <w:jc w:val="center"/>
              <w:rPr>
                <w:b/>
                <w:bCs/>
                <w:szCs w:val="20"/>
              </w:rPr>
            </w:pPr>
            <w:r w:rsidRPr="0020702C">
              <w:rPr>
                <w:b/>
                <w:bCs/>
                <w:szCs w:val="20"/>
              </w:rPr>
              <w:t>Weight Generated (million tons)</w:t>
            </w:r>
          </w:p>
        </w:tc>
        <w:tc>
          <w:tcPr>
            <w:tcW w:w="2360" w:type="dxa"/>
            <w:tcBorders>
              <w:top w:val="single" w:color="auto" w:sz="4" w:space="0"/>
            </w:tcBorders>
            <w:shd w:val="clear" w:color="auto" w:fill="BFBFBF" w:themeFill="background1" w:themeFillShade="BF"/>
            <w:vAlign w:val="center"/>
            <w:hideMark/>
          </w:tcPr>
          <w:p w:rsidRPr="0020702C" w:rsidR="0020702C" w:rsidP="00844121" w:rsidRDefault="0020702C" w14:paraId="46EF09DF" w14:textId="08D1D0D2">
            <w:pPr>
              <w:widowControl/>
              <w:autoSpaceDE/>
              <w:autoSpaceDN/>
              <w:adjustRightInd/>
              <w:spacing w:after="0"/>
              <w:jc w:val="center"/>
              <w:rPr>
                <w:b/>
                <w:bCs/>
                <w:szCs w:val="20"/>
              </w:rPr>
            </w:pPr>
            <w:r w:rsidRPr="0020702C">
              <w:rPr>
                <w:b/>
                <w:bCs/>
                <w:szCs w:val="20"/>
              </w:rPr>
              <w:t xml:space="preserve">Total </w:t>
            </w:r>
            <w:r w:rsidR="00844121">
              <w:rPr>
                <w:b/>
                <w:bCs/>
                <w:szCs w:val="20"/>
              </w:rPr>
              <w:t>RHW</w:t>
            </w:r>
          </w:p>
        </w:tc>
        <w:tc>
          <w:tcPr>
            <w:tcW w:w="2361" w:type="dxa"/>
            <w:tcBorders>
              <w:top w:val="single" w:color="auto" w:sz="4" w:space="0"/>
            </w:tcBorders>
            <w:shd w:val="clear" w:color="auto" w:fill="BFBFBF" w:themeFill="background1" w:themeFillShade="BF"/>
            <w:vAlign w:val="center"/>
            <w:hideMark/>
          </w:tcPr>
          <w:p w:rsidRPr="0020702C" w:rsidR="0020702C" w:rsidP="0020702C" w:rsidRDefault="00844121" w14:paraId="5B5A7B8A" w14:textId="58853E18">
            <w:pPr>
              <w:widowControl/>
              <w:autoSpaceDE/>
              <w:autoSpaceDN/>
              <w:adjustRightInd/>
              <w:spacing w:after="0"/>
              <w:jc w:val="center"/>
              <w:rPr>
                <w:b/>
                <w:bCs/>
                <w:szCs w:val="20"/>
              </w:rPr>
            </w:pPr>
            <w:r>
              <w:rPr>
                <w:b/>
                <w:bCs/>
                <w:szCs w:val="20"/>
              </w:rPr>
              <w:t>Combustible RH</w:t>
            </w:r>
            <w:r w:rsidRPr="0020702C" w:rsidR="0020702C">
              <w:rPr>
                <w:b/>
                <w:bCs/>
                <w:szCs w:val="20"/>
              </w:rPr>
              <w:t>W</w:t>
            </w:r>
          </w:p>
        </w:tc>
      </w:tr>
      <w:tr w:rsidRPr="0020702C" w:rsidR="0020702C" w:rsidTr="00844121" w14:paraId="29724109" w14:textId="77777777">
        <w:trPr>
          <w:trHeight w:val="20"/>
        </w:trPr>
        <w:tc>
          <w:tcPr>
            <w:tcW w:w="2360" w:type="dxa"/>
            <w:shd w:val="clear" w:color="auto" w:fill="auto"/>
            <w:noWrap/>
            <w:vAlign w:val="center"/>
            <w:hideMark/>
          </w:tcPr>
          <w:p w:rsidRPr="0020702C" w:rsidR="0020702C" w:rsidP="0020702C" w:rsidRDefault="0020702C" w14:paraId="3CCDB9EC" w14:textId="77777777">
            <w:pPr>
              <w:widowControl/>
              <w:autoSpaceDE/>
              <w:autoSpaceDN/>
              <w:adjustRightInd/>
              <w:spacing w:after="0"/>
              <w:jc w:val="center"/>
              <w:rPr>
                <w:szCs w:val="20"/>
              </w:rPr>
            </w:pPr>
            <w:r w:rsidRPr="0020702C">
              <w:rPr>
                <w:szCs w:val="20"/>
              </w:rPr>
              <w:t>Paper</w:t>
            </w:r>
          </w:p>
        </w:tc>
        <w:tc>
          <w:tcPr>
            <w:tcW w:w="2360" w:type="dxa"/>
            <w:shd w:val="clear" w:color="auto" w:fill="auto"/>
            <w:noWrap/>
            <w:vAlign w:val="center"/>
            <w:hideMark/>
          </w:tcPr>
          <w:p w:rsidRPr="0020702C" w:rsidR="0020702C" w:rsidP="7D9108F3" w:rsidRDefault="00B76CA8" w14:paraId="3B626621" w14:textId="23B084C8">
            <w:pPr>
              <w:widowControl/>
              <w:autoSpaceDE/>
              <w:autoSpaceDN/>
              <w:adjustRightInd/>
              <w:spacing w:after="0"/>
              <w:jc w:val="center"/>
              <w:rPr>
                <w:szCs w:val="20"/>
              </w:rPr>
            </w:pPr>
            <w:r w:rsidRPr="009F14D2">
              <w:t>68.61</w:t>
            </w:r>
          </w:p>
        </w:tc>
        <w:tc>
          <w:tcPr>
            <w:tcW w:w="2360" w:type="dxa"/>
            <w:shd w:val="clear" w:color="auto" w:fill="auto"/>
            <w:noWrap/>
            <w:vAlign w:val="center"/>
            <w:hideMark/>
          </w:tcPr>
          <w:p w:rsidRPr="0020702C" w:rsidR="0020702C" w:rsidP="7D9108F3" w:rsidRDefault="0020702C" w14:paraId="48F4E032" w14:textId="77777777">
            <w:pPr>
              <w:widowControl/>
              <w:autoSpaceDE/>
              <w:autoSpaceDN/>
              <w:adjustRightInd/>
              <w:spacing w:after="0"/>
              <w:jc w:val="center"/>
              <w:rPr>
                <w:szCs w:val="20"/>
              </w:rPr>
            </w:pPr>
            <w:r w:rsidRPr="009F14D2">
              <w:t>0.129</w:t>
            </w:r>
          </w:p>
        </w:tc>
        <w:tc>
          <w:tcPr>
            <w:tcW w:w="2361" w:type="dxa"/>
            <w:shd w:val="clear" w:color="auto" w:fill="auto"/>
            <w:noWrap/>
            <w:vAlign w:val="center"/>
            <w:hideMark/>
          </w:tcPr>
          <w:p w:rsidRPr="0020702C" w:rsidR="0020702C" w:rsidP="7D9108F3" w:rsidRDefault="0020702C" w14:paraId="7549C0B1" w14:textId="77777777">
            <w:pPr>
              <w:widowControl/>
              <w:autoSpaceDE/>
              <w:autoSpaceDN/>
              <w:adjustRightInd/>
              <w:spacing w:after="0"/>
              <w:jc w:val="center"/>
              <w:rPr>
                <w:szCs w:val="20"/>
              </w:rPr>
            </w:pPr>
            <w:r w:rsidRPr="009F14D2">
              <w:t>0.129</w:t>
            </w:r>
          </w:p>
        </w:tc>
      </w:tr>
      <w:tr w:rsidRPr="0020702C" w:rsidR="0020702C" w:rsidTr="00844121" w14:paraId="2F75C222" w14:textId="77777777">
        <w:trPr>
          <w:trHeight w:val="20"/>
        </w:trPr>
        <w:tc>
          <w:tcPr>
            <w:tcW w:w="2360" w:type="dxa"/>
            <w:shd w:val="clear" w:color="auto" w:fill="auto"/>
            <w:noWrap/>
            <w:vAlign w:val="center"/>
            <w:hideMark/>
          </w:tcPr>
          <w:p w:rsidRPr="0020702C" w:rsidR="0020702C" w:rsidP="0020702C" w:rsidRDefault="0020702C" w14:paraId="1F35BDFA" w14:textId="77777777">
            <w:pPr>
              <w:widowControl/>
              <w:autoSpaceDE/>
              <w:autoSpaceDN/>
              <w:adjustRightInd/>
              <w:spacing w:after="0"/>
              <w:jc w:val="center"/>
              <w:rPr>
                <w:szCs w:val="20"/>
              </w:rPr>
            </w:pPr>
            <w:r w:rsidRPr="0020702C">
              <w:rPr>
                <w:szCs w:val="20"/>
              </w:rPr>
              <w:t>Glass</w:t>
            </w:r>
          </w:p>
        </w:tc>
        <w:tc>
          <w:tcPr>
            <w:tcW w:w="2360" w:type="dxa"/>
            <w:shd w:val="clear" w:color="auto" w:fill="auto"/>
            <w:noWrap/>
            <w:vAlign w:val="center"/>
            <w:hideMark/>
          </w:tcPr>
          <w:p w:rsidRPr="0020702C" w:rsidR="0020702C" w:rsidP="7D9108F3" w:rsidRDefault="00B76CA8" w14:paraId="6BC5F323" w14:textId="10A501BE">
            <w:pPr>
              <w:widowControl/>
              <w:autoSpaceDE/>
              <w:autoSpaceDN/>
              <w:adjustRightInd/>
              <w:spacing w:after="0"/>
              <w:jc w:val="center"/>
              <w:rPr>
                <w:szCs w:val="20"/>
              </w:rPr>
            </w:pPr>
            <w:r w:rsidRPr="009F14D2">
              <w:t>11.48</w:t>
            </w:r>
          </w:p>
        </w:tc>
        <w:tc>
          <w:tcPr>
            <w:tcW w:w="2360" w:type="dxa"/>
            <w:shd w:val="clear" w:color="auto" w:fill="auto"/>
            <w:noWrap/>
            <w:vAlign w:val="center"/>
            <w:hideMark/>
          </w:tcPr>
          <w:p w:rsidRPr="0020702C" w:rsidR="0020702C" w:rsidP="7D9108F3" w:rsidRDefault="0020702C" w14:paraId="240D8552" w14:textId="77777777">
            <w:pPr>
              <w:widowControl/>
              <w:autoSpaceDE/>
              <w:autoSpaceDN/>
              <w:adjustRightInd/>
              <w:spacing w:after="0"/>
              <w:jc w:val="center"/>
              <w:rPr>
                <w:szCs w:val="20"/>
              </w:rPr>
            </w:pPr>
            <w:r w:rsidRPr="009F14D2">
              <w:t>0.022</w:t>
            </w:r>
          </w:p>
        </w:tc>
        <w:tc>
          <w:tcPr>
            <w:tcW w:w="2361" w:type="dxa"/>
            <w:shd w:val="clear" w:color="auto" w:fill="auto"/>
            <w:noWrap/>
            <w:vAlign w:val="center"/>
            <w:hideMark/>
          </w:tcPr>
          <w:p w:rsidRPr="0020702C" w:rsidR="0020702C" w:rsidP="7D9108F3" w:rsidRDefault="0020702C" w14:paraId="35C05B27" w14:textId="29EB90E3">
            <w:pPr>
              <w:widowControl/>
              <w:autoSpaceDE/>
              <w:autoSpaceDN/>
              <w:adjustRightInd/>
              <w:spacing w:after="0"/>
              <w:jc w:val="center"/>
              <w:rPr>
                <w:szCs w:val="20"/>
              </w:rPr>
            </w:pPr>
            <w:r w:rsidRPr="009F14D2">
              <w:t>0</w:t>
            </w:r>
          </w:p>
        </w:tc>
      </w:tr>
      <w:tr w:rsidRPr="0020702C" w:rsidR="0020702C" w:rsidTr="00844121" w14:paraId="36770774" w14:textId="77777777">
        <w:trPr>
          <w:trHeight w:val="20"/>
        </w:trPr>
        <w:tc>
          <w:tcPr>
            <w:tcW w:w="2360" w:type="dxa"/>
            <w:shd w:val="clear" w:color="auto" w:fill="D9D9D9" w:themeFill="background1" w:themeFillShade="D9"/>
            <w:noWrap/>
            <w:vAlign w:val="center"/>
            <w:hideMark/>
          </w:tcPr>
          <w:p w:rsidRPr="0020702C" w:rsidR="0020702C" w:rsidP="0020702C" w:rsidRDefault="0020702C" w14:paraId="53A55975" w14:textId="77777777">
            <w:pPr>
              <w:widowControl/>
              <w:autoSpaceDE/>
              <w:autoSpaceDN/>
              <w:adjustRightInd/>
              <w:spacing w:after="0"/>
              <w:jc w:val="center"/>
              <w:rPr>
                <w:i/>
                <w:iCs/>
                <w:szCs w:val="20"/>
                <w:u w:val="single"/>
              </w:rPr>
            </w:pPr>
            <w:r w:rsidRPr="0020702C">
              <w:rPr>
                <w:i/>
                <w:iCs/>
                <w:szCs w:val="20"/>
                <w:u w:val="single"/>
              </w:rPr>
              <w:t>Metals</w:t>
            </w:r>
          </w:p>
        </w:tc>
        <w:tc>
          <w:tcPr>
            <w:tcW w:w="2360" w:type="dxa"/>
            <w:shd w:val="clear" w:color="auto" w:fill="D9D9D9" w:themeFill="background1" w:themeFillShade="D9"/>
            <w:noWrap/>
            <w:vAlign w:val="center"/>
            <w:hideMark/>
          </w:tcPr>
          <w:p w:rsidRPr="0020702C" w:rsidR="0020702C" w:rsidP="0020702C" w:rsidRDefault="0020702C" w14:paraId="0965C5CF" w14:textId="77777777">
            <w:pPr>
              <w:widowControl/>
              <w:autoSpaceDE/>
              <w:autoSpaceDN/>
              <w:adjustRightInd/>
              <w:spacing w:after="0"/>
              <w:jc w:val="center"/>
              <w:rPr>
                <w:szCs w:val="20"/>
              </w:rPr>
            </w:pPr>
          </w:p>
        </w:tc>
        <w:tc>
          <w:tcPr>
            <w:tcW w:w="2360" w:type="dxa"/>
            <w:shd w:val="clear" w:color="auto" w:fill="D9D9D9" w:themeFill="background1" w:themeFillShade="D9"/>
            <w:noWrap/>
            <w:vAlign w:val="center"/>
            <w:hideMark/>
          </w:tcPr>
          <w:p w:rsidRPr="0020702C" w:rsidR="0020702C" w:rsidP="0020702C" w:rsidRDefault="0020702C" w14:paraId="206243AF" w14:textId="4D222F47">
            <w:pPr>
              <w:widowControl/>
              <w:autoSpaceDE/>
              <w:autoSpaceDN/>
              <w:adjustRightInd/>
              <w:spacing w:after="0"/>
              <w:jc w:val="center"/>
              <w:rPr>
                <w:szCs w:val="20"/>
              </w:rPr>
            </w:pPr>
          </w:p>
        </w:tc>
        <w:tc>
          <w:tcPr>
            <w:tcW w:w="2361" w:type="dxa"/>
            <w:shd w:val="clear" w:color="auto" w:fill="D9D9D9" w:themeFill="background1" w:themeFillShade="D9"/>
            <w:noWrap/>
            <w:vAlign w:val="center"/>
            <w:hideMark/>
          </w:tcPr>
          <w:p w:rsidRPr="0020702C" w:rsidR="0020702C" w:rsidP="0020702C" w:rsidRDefault="0020702C" w14:paraId="74CB4DDD" w14:textId="337C9654">
            <w:pPr>
              <w:widowControl/>
              <w:autoSpaceDE/>
              <w:autoSpaceDN/>
              <w:adjustRightInd/>
              <w:spacing w:after="0"/>
              <w:jc w:val="center"/>
              <w:rPr>
                <w:szCs w:val="20"/>
              </w:rPr>
            </w:pPr>
          </w:p>
        </w:tc>
      </w:tr>
      <w:tr w:rsidRPr="0020702C" w:rsidR="0020702C" w:rsidTr="00844121" w14:paraId="73F7691D" w14:textId="77777777">
        <w:trPr>
          <w:trHeight w:val="20"/>
        </w:trPr>
        <w:tc>
          <w:tcPr>
            <w:tcW w:w="2360" w:type="dxa"/>
            <w:shd w:val="clear" w:color="auto" w:fill="auto"/>
            <w:noWrap/>
            <w:vAlign w:val="center"/>
            <w:hideMark/>
          </w:tcPr>
          <w:p w:rsidRPr="0020702C" w:rsidR="0020702C" w:rsidP="0020702C" w:rsidRDefault="0020702C" w14:paraId="0F65C3D6" w14:textId="77777777">
            <w:pPr>
              <w:widowControl/>
              <w:autoSpaceDE/>
              <w:autoSpaceDN/>
              <w:adjustRightInd/>
              <w:spacing w:after="0"/>
              <w:ind w:firstLine="200" w:firstLineChars="100"/>
              <w:jc w:val="center"/>
              <w:rPr>
                <w:szCs w:val="20"/>
              </w:rPr>
            </w:pPr>
            <w:r w:rsidRPr="0020702C">
              <w:rPr>
                <w:szCs w:val="20"/>
              </w:rPr>
              <w:t>Steel</w:t>
            </w:r>
          </w:p>
        </w:tc>
        <w:tc>
          <w:tcPr>
            <w:tcW w:w="2360" w:type="dxa"/>
            <w:shd w:val="clear" w:color="auto" w:fill="auto"/>
            <w:noWrap/>
            <w:vAlign w:val="center"/>
            <w:hideMark/>
          </w:tcPr>
          <w:p w:rsidRPr="0020702C" w:rsidR="0020702C" w:rsidP="7D9108F3" w:rsidRDefault="00B76CA8" w14:paraId="4E16A249" w14:textId="74B97664">
            <w:pPr>
              <w:widowControl/>
              <w:autoSpaceDE/>
              <w:autoSpaceDN/>
              <w:adjustRightInd/>
              <w:spacing w:after="0"/>
              <w:jc w:val="center"/>
              <w:rPr>
                <w:szCs w:val="20"/>
              </w:rPr>
            </w:pPr>
            <w:r w:rsidRPr="009F14D2">
              <w:t>17.69</w:t>
            </w:r>
          </w:p>
        </w:tc>
        <w:tc>
          <w:tcPr>
            <w:tcW w:w="2360" w:type="dxa"/>
            <w:shd w:val="clear" w:color="auto" w:fill="auto"/>
            <w:noWrap/>
            <w:vAlign w:val="center"/>
            <w:hideMark/>
          </w:tcPr>
          <w:p w:rsidRPr="0020702C" w:rsidR="0020702C" w:rsidP="7D9108F3" w:rsidRDefault="0020702C" w14:paraId="555CB78A" w14:textId="77777777">
            <w:pPr>
              <w:widowControl/>
              <w:autoSpaceDE/>
              <w:autoSpaceDN/>
              <w:adjustRightInd/>
              <w:spacing w:after="0"/>
              <w:jc w:val="center"/>
              <w:rPr>
                <w:szCs w:val="20"/>
              </w:rPr>
            </w:pPr>
            <w:r w:rsidRPr="009F14D2">
              <w:t>0.033</w:t>
            </w:r>
          </w:p>
        </w:tc>
        <w:tc>
          <w:tcPr>
            <w:tcW w:w="2361" w:type="dxa"/>
            <w:shd w:val="clear" w:color="auto" w:fill="auto"/>
            <w:noWrap/>
            <w:vAlign w:val="center"/>
            <w:hideMark/>
          </w:tcPr>
          <w:p w:rsidRPr="0020702C" w:rsidR="0020702C" w:rsidP="7D9108F3" w:rsidRDefault="0020702C" w14:paraId="60FA0DFC" w14:textId="77777777">
            <w:pPr>
              <w:widowControl/>
              <w:autoSpaceDE/>
              <w:autoSpaceDN/>
              <w:adjustRightInd/>
              <w:spacing w:after="0"/>
              <w:jc w:val="center"/>
              <w:rPr>
                <w:szCs w:val="20"/>
              </w:rPr>
            </w:pPr>
            <w:r w:rsidRPr="009F14D2">
              <w:t>0. 0</w:t>
            </w:r>
          </w:p>
        </w:tc>
      </w:tr>
      <w:tr w:rsidRPr="0020702C" w:rsidR="0020702C" w:rsidTr="00844121" w14:paraId="59356328" w14:textId="77777777">
        <w:trPr>
          <w:trHeight w:val="20"/>
        </w:trPr>
        <w:tc>
          <w:tcPr>
            <w:tcW w:w="2360" w:type="dxa"/>
            <w:shd w:val="clear" w:color="auto" w:fill="auto"/>
            <w:noWrap/>
            <w:vAlign w:val="center"/>
            <w:hideMark/>
          </w:tcPr>
          <w:p w:rsidRPr="0020702C" w:rsidR="0020702C" w:rsidP="0020702C" w:rsidRDefault="0020702C" w14:paraId="7588854D" w14:textId="77777777">
            <w:pPr>
              <w:widowControl/>
              <w:autoSpaceDE/>
              <w:autoSpaceDN/>
              <w:adjustRightInd/>
              <w:spacing w:after="0"/>
              <w:ind w:firstLine="200" w:firstLineChars="100"/>
              <w:jc w:val="center"/>
              <w:rPr>
                <w:szCs w:val="20"/>
              </w:rPr>
            </w:pPr>
            <w:r w:rsidRPr="0020702C">
              <w:rPr>
                <w:szCs w:val="20"/>
              </w:rPr>
              <w:t>Aluminum</w:t>
            </w:r>
          </w:p>
        </w:tc>
        <w:tc>
          <w:tcPr>
            <w:tcW w:w="2360" w:type="dxa"/>
            <w:shd w:val="clear" w:color="auto" w:fill="auto"/>
            <w:noWrap/>
            <w:vAlign w:val="center"/>
            <w:hideMark/>
          </w:tcPr>
          <w:p w:rsidRPr="0020702C" w:rsidR="0020702C" w:rsidP="7D9108F3" w:rsidRDefault="00B76CA8" w14:paraId="116EE046" w14:textId="33E8CDC3">
            <w:pPr>
              <w:widowControl/>
              <w:autoSpaceDE/>
              <w:autoSpaceDN/>
              <w:adjustRightInd/>
              <w:spacing w:after="0"/>
              <w:jc w:val="center"/>
              <w:rPr>
                <w:szCs w:val="20"/>
              </w:rPr>
            </w:pPr>
            <w:r w:rsidRPr="009F14D2">
              <w:t>3.53</w:t>
            </w:r>
          </w:p>
        </w:tc>
        <w:tc>
          <w:tcPr>
            <w:tcW w:w="2360" w:type="dxa"/>
            <w:shd w:val="clear" w:color="auto" w:fill="auto"/>
            <w:noWrap/>
            <w:vAlign w:val="center"/>
            <w:hideMark/>
          </w:tcPr>
          <w:p w:rsidRPr="0020702C" w:rsidR="0020702C" w:rsidP="7D9108F3" w:rsidRDefault="0020702C" w14:paraId="659E964C" w14:textId="77777777">
            <w:pPr>
              <w:widowControl/>
              <w:autoSpaceDE/>
              <w:autoSpaceDN/>
              <w:adjustRightInd/>
              <w:spacing w:after="0"/>
              <w:jc w:val="center"/>
              <w:rPr>
                <w:szCs w:val="20"/>
              </w:rPr>
            </w:pPr>
            <w:r w:rsidRPr="009F14D2">
              <w:t>0.007</w:t>
            </w:r>
          </w:p>
        </w:tc>
        <w:tc>
          <w:tcPr>
            <w:tcW w:w="2361" w:type="dxa"/>
            <w:shd w:val="clear" w:color="auto" w:fill="auto"/>
            <w:noWrap/>
            <w:vAlign w:val="center"/>
            <w:hideMark/>
          </w:tcPr>
          <w:p w:rsidRPr="0020702C" w:rsidR="0020702C" w:rsidP="7D9108F3" w:rsidRDefault="0020702C" w14:paraId="0FF8DCA5" w14:textId="4D9FDEB2">
            <w:pPr>
              <w:widowControl/>
              <w:autoSpaceDE/>
              <w:autoSpaceDN/>
              <w:adjustRightInd/>
              <w:spacing w:after="0"/>
              <w:jc w:val="center"/>
              <w:rPr>
                <w:szCs w:val="20"/>
              </w:rPr>
            </w:pPr>
            <w:r w:rsidRPr="009F14D2">
              <w:t>0.0</w:t>
            </w:r>
          </w:p>
        </w:tc>
      </w:tr>
      <w:tr w:rsidRPr="0020702C" w:rsidR="0020702C" w:rsidTr="00844121" w14:paraId="4558B4CB" w14:textId="77777777">
        <w:trPr>
          <w:trHeight w:val="20"/>
        </w:trPr>
        <w:tc>
          <w:tcPr>
            <w:tcW w:w="2360" w:type="dxa"/>
            <w:shd w:val="clear" w:color="auto" w:fill="auto"/>
            <w:noWrap/>
            <w:vAlign w:val="center"/>
            <w:hideMark/>
          </w:tcPr>
          <w:p w:rsidRPr="0020702C" w:rsidR="0020702C" w:rsidP="0020702C" w:rsidRDefault="0020702C" w14:paraId="7029DEBA" w14:textId="77777777">
            <w:pPr>
              <w:widowControl/>
              <w:autoSpaceDE/>
              <w:autoSpaceDN/>
              <w:adjustRightInd/>
              <w:spacing w:after="0"/>
              <w:ind w:firstLine="200" w:firstLineChars="100"/>
              <w:jc w:val="center"/>
              <w:rPr>
                <w:szCs w:val="20"/>
              </w:rPr>
            </w:pPr>
            <w:r w:rsidRPr="0020702C">
              <w:rPr>
                <w:szCs w:val="20"/>
              </w:rPr>
              <w:t>Other nonferrous</w:t>
            </w:r>
          </w:p>
        </w:tc>
        <w:tc>
          <w:tcPr>
            <w:tcW w:w="2360" w:type="dxa"/>
            <w:shd w:val="clear" w:color="auto" w:fill="auto"/>
            <w:noWrap/>
            <w:vAlign w:val="center"/>
            <w:hideMark/>
          </w:tcPr>
          <w:p w:rsidRPr="0020702C" w:rsidR="0020702C" w:rsidP="7D9108F3" w:rsidRDefault="00B76CA8" w14:paraId="115286AD" w14:textId="72269611">
            <w:pPr>
              <w:widowControl/>
              <w:autoSpaceDE/>
              <w:autoSpaceDN/>
              <w:adjustRightInd/>
              <w:spacing w:after="0"/>
              <w:jc w:val="center"/>
              <w:rPr>
                <w:szCs w:val="20"/>
              </w:rPr>
            </w:pPr>
            <w:r w:rsidRPr="009F14D2">
              <w:t>2.04</w:t>
            </w:r>
          </w:p>
        </w:tc>
        <w:tc>
          <w:tcPr>
            <w:tcW w:w="2360" w:type="dxa"/>
            <w:shd w:val="clear" w:color="auto" w:fill="auto"/>
            <w:noWrap/>
            <w:vAlign w:val="center"/>
            <w:hideMark/>
          </w:tcPr>
          <w:p w:rsidRPr="0020702C" w:rsidR="0020702C" w:rsidP="7D9108F3" w:rsidRDefault="0020702C" w14:paraId="26054D20" w14:textId="77777777">
            <w:pPr>
              <w:widowControl/>
              <w:autoSpaceDE/>
              <w:autoSpaceDN/>
              <w:adjustRightInd/>
              <w:spacing w:after="0"/>
              <w:jc w:val="center"/>
              <w:rPr>
                <w:szCs w:val="20"/>
              </w:rPr>
            </w:pPr>
            <w:r w:rsidRPr="009F14D2">
              <w:t>0.004</w:t>
            </w:r>
          </w:p>
        </w:tc>
        <w:tc>
          <w:tcPr>
            <w:tcW w:w="2361" w:type="dxa"/>
            <w:shd w:val="clear" w:color="auto" w:fill="auto"/>
            <w:noWrap/>
            <w:vAlign w:val="center"/>
            <w:hideMark/>
          </w:tcPr>
          <w:p w:rsidRPr="0020702C" w:rsidR="0020702C" w:rsidP="7D9108F3" w:rsidRDefault="0020702C" w14:paraId="346C99E5" w14:textId="092F25C3">
            <w:pPr>
              <w:widowControl/>
              <w:autoSpaceDE/>
              <w:autoSpaceDN/>
              <w:adjustRightInd/>
              <w:spacing w:after="0"/>
              <w:jc w:val="center"/>
              <w:rPr>
                <w:szCs w:val="20"/>
              </w:rPr>
            </w:pPr>
            <w:r w:rsidRPr="009F14D2">
              <w:t>0.0</w:t>
            </w:r>
          </w:p>
        </w:tc>
      </w:tr>
      <w:tr w:rsidRPr="0020702C" w:rsidR="0020702C" w:rsidTr="00844121" w14:paraId="4D56D256" w14:textId="77777777">
        <w:trPr>
          <w:trHeight w:val="20"/>
        </w:trPr>
        <w:tc>
          <w:tcPr>
            <w:tcW w:w="2360" w:type="dxa"/>
            <w:shd w:val="clear" w:color="auto" w:fill="F2F2F2" w:themeFill="background1" w:themeFillShade="F2"/>
            <w:noWrap/>
            <w:vAlign w:val="center"/>
            <w:hideMark/>
          </w:tcPr>
          <w:p w:rsidRPr="0020702C" w:rsidR="0020702C" w:rsidP="0020702C" w:rsidRDefault="0020702C" w14:paraId="771C97F9" w14:textId="70C86E2C">
            <w:pPr>
              <w:widowControl/>
              <w:autoSpaceDE/>
              <w:autoSpaceDN/>
              <w:adjustRightInd/>
              <w:spacing w:after="0"/>
              <w:jc w:val="center"/>
              <w:rPr>
                <w:i/>
                <w:iCs/>
                <w:szCs w:val="20"/>
              </w:rPr>
            </w:pPr>
            <w:r w:rsidRPr="0020702C">
              <w:rPr>
                <w:i/>
                <w:iCs/>
                <w:szCs w:val="20"/>
              </w:rPr>
              <w:t>Total Metals</w:t>
            </w:r>
          </w:p>
        </w:tc>
        <w:tc>
          <w:tcPr>
            <w:tcW w:w="2360" w:type="dxa"/>
            <w:shd w:val="clear" w:color="auto" w:fill="F2F2F2" w:themeFill="background1" w:themeFillShade="F2"/>
            <w:noWrap/>
            <w:vAlign w:val="center"/>
            <w:hideMark/>
          </w:tcPr>
          <w:p w:rsidRPr="009F14D2" w:rsidR="0020702C" w:rsidP="00844121" w:rsidRDefault="00B76CA8" w14:paraId="1EFF2F8F" w14:textId="163A98BC">
            <w:pPr>
              <w:widowControl/>
              <w:autoSpaceDE/>
              <w:autoSpaceDN/>
              <w:adjustRightInd/>
              <w:spacing w:after="0"/>
              <w:jc w:val="center"/>
              <w:rPr>
                <w:i/>
                <w:iCs/>
              </w:rPr>
            </w:pPr>
            <w:r w:rsidRPr="009F14D2">
              <w:rPr>
                <w:i/>
                <w:iCs/>
              </w:rPr>
              <w:t>23.2</w:t>
            </w:r>
            <w:r w:rsidRPr="009F14D2" w:rsidR="0020702C">
              <w:rPr>
                <w:i/>
                <w:iCs/>
              </w:rPr>
              <w:t>6</w:t>
            </w:r>
          </w:p>
        </w:tc>
        <w:tc>
          <w:tcPr>
            <w:tcW w:w="2360" w:type="dxa"/>
            <w:shd w:val="clear" w:color="auto" w:fill="F2F2F2" w:themeFill="background1" w:themeFillShade="F2"/>
            <w:noWrap/>
            <w:vAlign w:val="center"/>
            <w:hideMark/>
          </w:tcPr>
          <w:p w:rsidRPr="009F14D2" w:rsidR="0020702C" w:rsidP="00844121" w:rsidRDefault="00830499" w14:paraId="3ED03D6B" w14:textId="26D0CBE8">
            <w:pPr>
              <w:widowControl/>
              <w:autoSpaceDE/>
              <w:autoSpaceDN/>
              <w:adjustRightInd/>
              <w:spacing w:after="0"/>
              <w:jc w:val="center"/>
              <w:rPr>
                <w:i/>
                <w:iCs/>
              </w:rPr>
            </w:pPr>
            <w:r w:rsidRPr="009F14D2">
              <w:rPr>
                <w:i/>
                <w:iCs/>
              </w:rPr>
              <w:t>0.044</w:t>
            </w:r>
          </w:p>
        </w:tc>
        <w:tc>
          <w:tcPr>
            <w:tcW w:w="2361" w:type="dxa"/>
            <w:shd w:val="clear" w:color="auto" w:fill="F2F2F2" w:themeFill="background1" w:themeFillShade="F2"/>
            <w:noWrap/>
            <w:vAlign w:val="center"/>
            <w:hideMark/>
          </w:tcPr>
          <w:p w:rsidRPr="009F14D2" w:rsidR="0020702C" w:rsidP="00844121" w:rsidRDefault="0020702C" w14:paraId="55D0FBC0" w14:textId="54378100">
            <w:pPr>
              <w:widowControl/>
              <w:autoSpaceDE/>
              <w:autoSpaceDN/>
              <w:adjustRightInd/>
              <w:spacing w:after="0"/>
              <w:jc w:val="center"/>
              <w:rPr>
                <w:i/>
                <w:iCs/>
              </w:rPr>
            </w:pPr>
            <w:r w:rsidRPr="009F14D2">
              <w:rPr>
                <w:i/>
                <w:iCs/>
              </w:rPr>
              <w:t>0.0</w:t>
            </w:r>
          </w:p>
        </w:tc>
      </w:tr>
      <w:tr w:rsidRPr="0020702C" w:rsidR="0020702C" w:rsidTr="00844121" w14:paraId="1C0B2C1F" w14:textId="77777777">
        <w:trPr>
          <w:trHeight w:val="20"/>
        </w:trPr>
        <w:tc>
          <w:tcPr>
            <w:tcW w:w="2360" w:type="dxa"/>
            <w:shd w:val="clear" w:color="auto" w:fill="auto"/>
            <w:noWrap/>
            <w:vAlign w:val="center"/>
            <w:hideMark/>
          </w:tcPr>
          <w:p w:rsidRPr="0020702C" w:rsidR="0020702C" w:rsidP="0020702C" w:rsidRDefault="0020702C" w14:paraId="16D00210" w14:textId="77777777">
            <w:pPr>
              <w:widowControl/>
              <w:autoSpaceDE/>
              <w:autoSpaceDN/>
              <w:adjustRightInd/>
              <w:spacing w:after="0"/>
              <w:jc w:val="center"/>
              <w:rPr>
                <w:szCs w:val="20"/>
              </w:rPr>
            </w:pPr>
            <w:r w:rsidRPr="0020702C">
              <w:rPr>
                <w:szCs w:val="20"/>
              </w:rPr>
              <w:t>Plastics</w:t>
            </w:r>
          </w:p>
        </w:tc>
        <w:tc>
          <w:tcPr>
            <w:tcW w:w="2360" w:type="dxa"/>
            <w:shd w:val="clear" w:color="auto" w:fill="auto"/>
            <w:noWrap/>
            <w:vAlign w:val="center"/>
            <w:hideMark/>
          </w:tcPr>
          <w:p w:rsidRPr="0020702C" w:rsidR="0020702C" w:rsidP="7D9108F3" w:rsidRDefault="00B76CA8" w14:paraId="44EBEAF7" w14:textId="5AD6C40B">
            <w:pPr>
              <w:widowControl/>
              <w:autoSpaceDE/>
              <w:autoSpaceDN/>
              <w:adjustRightInd/>
              <w:spacing w:after="0"/>
              <w:jc w:val="center"/>
              <w:rPr>
                <w:szCs w:val="20"/>
              </w:rPr>
            </w:pPr>
            <w:r w:rsidRPr="009F14D2">
              <w:t>32.25</w:t>
            </w:r>
          </w:p>
        </w:tc>
        <w:tc>
          <w:tcPr>
            <w:tcW w:w="2360" w:type="dxa"/>
            <w:shd w:val="clear" w:color="auto" w:fill="auto"/>
            <w:noWrap/>
            <w:vAlign w:val="center"/>
            <w:hideMark/>
          </w:tcPr>
          <w:p w:rsidRPr="0020702C" w:rsidR="0020702C" w:rsidP="7D9108F3" w:rsidRDefault="0020702C" w14:paraId="29A1E6B0" w14:textId="77777777">
            <w:pPr>
              <w:widowControl/>
              <w:autoSpaceDE/>
              <w:autoSpaceDN/>
              <w:adjustRightInd/>
              <w:spacing w:after="0"/>
              <w:jc w:val="center"/>
              <w:rPr>
                <w:szCs w:val="20"/>
              </w:rPr>
            </w:pPr>
            <w:r w:rsidRPr="009F14D2">
              <w:t>0.061</w:t>
            </w:r>
          </w:p>
        </w:tc>
        <w:tc>
          <w:tcPr>
            <w:tcW w:w="2361" w:type="dxa"/>
            <w:shd w:val="clear" w:color="auto" w:fill="auto"/>
            <w:noWrap/>
            <w:vAlign w:val="center"/>
            <w:hideMark/>
          </w:tcPr>
          <w:p w:rsidRPr="0020702C" w:rsidR="0020702C" w:rsidP="7D9108F3" w:rsidRDefault="0020702C" w14:paraId="431BC96D" w14:textId="77777777">
            <w:pPr>
              <w:widowControl/>
              <w:autoSpaceDE/>
              <w:autoSpaceDN/>
              <w:adjustRightInd/>
              <w:spacing w:after="0"/>
              <w:jc w:val="center"/>
              <w:rPr>
                <w:szCs w:val="20"/>
              </w:rPr>
            </w:pPr>
            <w:r w:rsidRPr="009F14D2">
              <w:t>0.061</w:t>
            </w:r>
          </w:p>
        </w:tc>
      </w:tr>
      <w:tr w:rsidRPr="0020702C" w:rsidR="0020702C" w:rsidTr="00844121" w14:paraId="3E06BE14" w14:textId="77777777">
        <w:trPr>
          <w:trHeight w:val="20"/>
        </w:trPr>
        <w:tc>
          <w:tcPr>
            <w:tcW w:w="2360" w:type="dxa"/>
            <w:shd w:val="clear" w:color="auto" w:fill="auto"/>
            <w:noWrap/>
            <w:vAlign w:val="center"/>
            <w:hideMark/>
          </w:tcPr>
          <w:p w:rsidRPr="0020702C" w:rsidR="0020702C" w:rsidP="0020702C" w:rsidRDefault="0020702C" w14:paraId="73A86CB6" w14:textId="77777777">
            <w:pPr>
              <w:widowControl/>
              <w:autoSpaceDE/>
              <w:autoSpaceDN/>
              <w:adjustRightInd/>
              <w:spacing w:after="0"/>
              <w:jc w:val="center"/>
              <w:rPr>
                <w:szCs w:val="20"/>
              </w:rPr>
            </w:pPr>
            <w:r w:rsidRPr="0020702C">
              <w:rPr>
                <w:szCs w:val="20"/>
              </w:rPr>
              <w:t>Rubber/leather</w:t>
            </w:r>
          </w:p>
        </w:tc>
        <w:tc>
          <w:tcPr>
            <w:tcW w:w="2360" w:type="dxa"/>
            <w:shd w:val="clear" w:color="auto" w:fill="auto"/>
            <w:noWrap/>
            <w:vAlign w:val="center"/>
            <w:hideMark/>
          </w:tcPr>
          <w:p w:rsidRPr="0020702C" w:rsidR="0020702C" w:rsidP="7D9108F3" w:rsidRDefault="00B76CA8" w14:paraId="1F5F7EF3" w14:textId="5E8D97D7">
            <w:pPr>
              <w:widowControl/>
              <w:autoSpaceDE/>
              <w:autoSpaceDN/>
              <w:adjustRightInd/>
              <w:spacing w:after="0"/>
              <w:jc w:val="center"/>
              <w:rPr>
                <w:szCs w:val="20"/>
              </w:rPr>
            </w:pPr>
            <w:r w:rsidRPr="009F14D2">
              <w:t>8.21</w:t>
            </w:r>
          </w:p>
        </w:tc>
        <w:tc>
          <w:tcPr>
            <w:tcW w:w="2360" w:type="dxa"/>
            <w:shd w:val="clear" w:color="auto" w:fill="auto"/>
            <w:noWrap/>
            <w:vAlign w:val="center"/>
            <w:hideMark/>
          </w:tcPr>
          <w:p w:rsidRPr="0020702C" w:rsidR="0020702C" w:rsidP="7D9108F3" w:rsidRDefault="0020702C" w14:paraId="2D95FB48" w14:textId="77777777">
            <w:pPr>
              <w:widowControl/>
              <w:autoSpaceDE/>
              <w:autoSpaceDN/>
              <w:adjustRightInd/>
              <w:spacing w:after="0"/>
              <w:jc w:val="center"/>
              <w:rPr>
                <w:szCs w:val="20"/>
              </w:rPr>
            </w:pPr>
            <w:r w:rsidRPr="009F14D2">
              <w:t>0.015</w:t>
            </w:r>
          </w:p>
        </w:tc>
        <w:tc>
          <w:tcPr>
            <w:tcW w:w="2361" w:type="dxa"/>
            <w:shd w:val="clear" w:color="auto" w:fill="auto"/>
            <w:noWrap/>
            <w:vAlign w:val="center"/>
            <w:hideMark/>
          </w:tcPr>
          <w:p w:rsidRPr="0020702C" w:rsidR="0020702C" w:rsidP="7D9108F3" w:rsidRDefault="0020702C" w14:paraId="6DD5CC2D" w14:textId="77777777">
            <w:pPr>
              <w:widowControl/>
              <w:autoSpaceDE/>
              <w:autoSpaceDN/>
              <w:adjustRightInd/>
              <w:spacing w:after="0"/>
              <w:jc w:val="center"/>
              <w:rPr>
                <w:szCs w:val="20"/>
              </w:rPr>
            </w:pPr>
            <w:r w:rsidRPr="009F14D2">
              <w:t>0.015</w:t>
            </w:r>
          </w:p>
        </w:tc>
      </w:tr>
      <w:tr w:rsidRPr="0020702C" w:rsidR="0020702C" w:rsidTr="00844121" w14:paraId="39DF5C76" w14:textId="77777777">
        <w:trPr>
          <w:trHeight w:val="20"/>
        </w:trPr>
        <w:tc>
          <w:tcPr>
            <w:tcW w:w="2360" w:type="dxa"/>
            <w:shd w:val="clear" w:color="auto" w:fill="auto"/>
            <w:noWrap/>
            <w:vAlign w:val="center"/>
            <w:hideMark/>
          </w:tcPr>
          <w:p w:rsidRPr="0020702C" w:rsidR="0020702C" w:rsidP="0020702C" w:rsidRDefault="0020702C" w14:paraId="23B6D61E" w14:textId="77777777">
            <w:pPr>
              <w:widowControl/>
              <w:autoSpaceDE/>
              <w:autoSpaceDN/>
              <w:adjustRightInd/>
              <w:spacing w:after="0"/>
              <w:jc w:val="center"/>
              <w:rPr>
                <w:szCs w:val="20"/>
              </w:rPr>
            </w:pPr>
            <w:r w:rsidRPr="0020702C">
              <w:rPr>
                <w:szCs w:val="20"/>
              </w:rPr>
              <w:t>Textiles</w:t>
            </w:r>
          </w:p>
        </w:tc>
        <w:tc>
          <w:tcPr>
            <w:tcW w:w="2360" w:type="dxa"/>
            <w:shd w:val="clear" w:color="auto" w:fill="auto"/>
            <w:noWrap/>
            <w:vAlign w:val="center"/>
            <w:hideMark/>
          </w:tcPr>
          <w:p w:rsidRPr="0020702C" w:rsidR="0020702C" w:rsidP="7D9108F3" w:rsidRDefault="00B76CA8" w14:paraId="3840F000" w14:textId="2D792624">
            <w:pPr>
              <w:widowControl/>
              <w:autoSpaceDE/>
              <w:autoSpaceDN/>
              <w:adjustRightInd/>
              <w:spacing w:after="0"/>
              <w:jc w:val="center"/>
              <w:rPr>
                <w:szCs w:val="20"/>
              </w:rPr>
            </w:pPr>
            <w:r w:rsidRPr="009F14D2">
              <w:t>16.22</w:t>
            </w:r>
          </w:p>
        </w:tc>
        <w:tc>
          <w:tcPr>
            <w:tcW w:w="2360" w:type="dxa"/>
            <w:shd w:val="clear" w:color="auto" w:fill="auto"/>
            <w:noWrap/>
            <w:vAlign w:val="center"/>
            <w:hideMark/>
          </w:tcPr>
          <w:p w:rsidRPr="0020702C" w:rsidR="0020702C" w:rsidP="7D9108F3" w:rsidRDefault="00830499" w14:paraId="2E440532" w14:textId="2473F529">
            <w:pPr>
              <w:widowControl/>
              <w:autoSpaceDE/>
              <w:autoSpaceDN/>
              <w:adjustRightInd/>
              <w:spacing w:after="0"/>
              <w:jc w:val="center"/>
              <w:rPr>
                <w:szCs w:val="20"/>
              </w:rPr>
            </w:pPr>
            <w:r w:rsidRPr="009F14D2">
              <w:t>0.031</w:t>
            </w:r>
          </w:p>
        </w:tc>
        <w:tc>
          <w:tcPr>
            <w:tcW w:w="2361" w:type="dxa"/>
            <w:shd w:val="clear" w:color="auto" w:fill="auto"/>
            <w:noWrap/>
            <w:vAlign w:val="center"/>
            <w:hideMark/>
          </w:tcPr>
          <w:p w:rsidRPr="0020702C" w:rsidR="0020702C" w:rsidP="7D9108F3" w:rsidRDefault="00830499" w14:paraId="028816CD" w14:textId="1C9A31A1">
            <w:pPr>
              <w:widowControl/>
              <w:autoSpaceDE/>
              <w:autoSpaceDN/>
              <w:adjustRightInd/>
              <w:spacing w:after="0"/>
              <w:jc w:val="center"/>
              <w:rPr>
                <w:szCs w:val="20"/>
              </w:rPr>
            </w:pPr>
            <w:r w:rsidRPr="009F14D2">
              <w:t>0.031</w:t>
            </w:r>
          </w:p>
        </w:tc>
      </w:tr>
      <w:tr w:rsidRPr="0020702C" w:rsidR="0020702C" w:rsidTr="00844121" w14:paraId="45C98201" w14:textId="77777777">
        <w:trPr>
          <w:trHeight w:val="20"/>
        </w:trPr>
        <w:tc>
          <w:tcPr>
            <w:tcW w:w="2360" w:type="dxa"/>
            <w:shd w:val="clear" w:color="auto" w:fill="auto"/>
            <w:noWrap/>
            <w:vAlign w:val="center"/>
            <w:hideMark/>
          </w:tcPr>
          <w:p w:rsidRPr="0020702C" w:rsidR="0020702C" w:rsidP="0020702C" w:rsidRDefault="0020702C" w14:paraId="48EAF83B" w14:textId="77777777">
            <w:pPr>
              <w:widowControl/>
              <w:autoSpaceDE/>
              <w:autoSpaceDN/>
              <w:adjustRightInd/>
              <w:spacing w:after="0"/>
              <w:jc w:val="center"/>
              <w:rPr>
                <w:szCs w:val="20"/>
              </w:rPr>
            </w:pPr>
            <w:r w:rsidRPr="0020702C">
              <w:rPr>
                <w:szCs w:val="20"/>
              </w:rPr>
              <w:t>Wood</w:t>
            </w:r>
          </w:p>
        </w:tc>
        <w:tc>
          <w:tcPr>
            <w:tcW w:w="2360" w:type="dxa"/>
            <w:shd w:val="clear" w:color="auto" w:fill="auto"/>
            <w:noWrap/>
            <w:vAlign w:val="center"/>
            <w:hideMark/>
          </w:tcPr>
          <w:p w:rsidRPr="0020702C" w:rsidR="0020702C" w:rsidP="7D9108F3" w:rsidRDefault="00B76CA8" w14:paraId="7941C659" w14:textId="5BAE9A13">
            <w:pPr>
              <w:widowControl/>
              <w:autoSpaceDE/>
              <w:autoSpaceDN/>
              <w:adjustRightInd/>
              <w:spacing w:after="0"/>
              <w:jc w:val="center"/>
              <w:rPr>
                <w:szCs w:val="20"/>
              </w:rPr>
            </w:pPr>
            <w:r w:rsidRPr="009F14D2">
              <w:t>16.12</w:t>
            </w:r>
          </w:p>
        </w:tc>
        <w:tc>
          <w:tcPr>
            <w:tcW w:w="2360" w:type="dxa"/>
            <w:shd w:val="clear" w:color="auto" w:fill="auto"/>
            <w:noWrap/>
            <w:vAlign w:val="center"/>
            <w:hideMark/>
          </w:tcPr>
          <w:p w:rsidRPr="0020702C" w:rsidR="0020702C" w:rsidP="7D9108F3" w:rsidRDefault="0020702C" w14:paraId="6B633925" w14:textId="77777777">
            <w:pPr>
              <w:widowControl/>
              <w:autoSpaceDE/>
              <w:autoSpaceDN/>
              <w:adjustRightInd/>
              <w:spacing w:after="0"/>
              <w:jc w:val="center"/>
              <w:rPr>
                <w:szCs w:val="20"/>
              </w:rPr>
            </w:pPr>
            <w:r w:rsidRPr="009F14D2">
              <w:t>0.030</w:t>
            </w:r>
          </w:p>
        </w:tc>
        <w:tc>
          <w:tcPr>
            <w:tcW w:w="2361" w:type="dxa"/>
            <w:shd w:val="clear" w:color="auto" w:fill="auto"/>
            <w:noWrap/>
            <w:vAlign w:val="center"/>
            <w:hideMark/>
          </w:tcPr>
          <w:p w:rsidRPr="0020702C" w:rsidR="0020702C" w:rsidP="7D9108F3" w:rsidRDefault="0020702C" w14:paraId="5894212C" w14:textId="77777777">
            <w:pPr>
              <w:widowControl/>
              <w:autoSpaceDE/>
              <w:autoSpaceDN/>
              <w:adjustRightInd/>
              <w:spacing w:after="0"/>
              <w:jc w:val="center"/>
              <w:rPr>
                <w:szCs w:val="20"/>
              </w:rPr>
            </w:pPr>
            <w:r w:rsidRPr="009F14D2">
              <w:t>0.030</w:t>
            </w:r>
          </w:p>
        </w:tc>
      </w:tr>
      <w:tr w:rsidRPr="0020702C" w:rsidR="0020702C" w:rsidTr="00844121" w14:paraId="32E76A65" w14:textId="77777777">
        <w:trPr>
          <w:trHeight w:val="20"/>
        </w:trPr>
        <w:tc>
          <w:tcPr>
            <w:tcW w:w="2360" w:type="dxa"/>
            <w:shd w:val="clear" w:color="auto" w:fill="auto"/>
            <w:noWrap/>
            <w:vAlign w:val="center"/>
            <w:hideMark/>
          </w:tcPr>
          <w:p w:rsidRPr="0020702C" w:rsidR="0020702C" w:rsidP="0020702C" w:rsidRDefault="0020702C" w14:paraId="5E8D4537" w14:textId="77777777">
            <w:pPr>
              <w:widowControl/>
              <w:autoSpaceDE/>
              <w:autoSpaceDN/>
              <w:adjustRightInd/>
              <w:spacing w:after="0"/>
              <w:jc w:val="center"/>
              <w:rPr>
                <w:szCs w:val="20"/>
              </w:rPr>
            </w:pPr>
            <w:r w:rsidRPr="0020702C">
              <w:rPr>
                <w:szCs w:val="20"/>
              </w:rPr>
              <w:t>Other</w:t>
            </w:r>
          </w:p>
        </w:tc>
        <w:tc>
          <w:tcPr>
            <w:tcW w:w="2360" w:type="dxa"/>
            <w:shd w:val="clear" w:color="auto" w:fill="auto"/>
            <w:noWrap/>
            <w:vAlign w:val="center"/>
            <w:hideMark/>
          </w:tcPr>
          <w:p w:rsidRPr="0020702C" w:rsidR="0020702C" w:rsidP="7D9108F3" w:rsidRDefault="00B76CA8" w14:paraId="6CA53B8D" w14:textId="2BDDD403">
            <w:pPr>
              <w:widowControl/>
              <w:autoSpaceDE/>
              <w:autoSpaceDN/>
              <w:adjustRightInd/>
              <w:spacing w:after="0"/>
              <w:jc w:val="center"/>
              <w:rPr>
                <w:szCs w:val="20"/>
              </w:rPr>
            </w:pPr>
            <w:r w:rsidRPr="009F14D2">
              <w:t>4.44</w:t>
            </w:r>
          </w:p>
        </w:tc>
        <w:tc>
          <w:tcPr>
            <w:tcW w:w="2360" w:type="dxa"/>
            <w:shd w:val="clear" w:color="auto" w:fill="auto"/>
            <w:noWrap/>
            <w:vAlign w:val="center"/>
            <w:hideMark/>
          </w:tcPr>
          <w:p w:rsidRPr="0020702C" w:rsidR="0020702C" w:rsidP="7D9108F3" w:rsidRDefault="00830499" w14:paraId="19EA71A2" w14:textId="54866017">
            <w:pPr>
              <w:widowControl/>
              <w:autoSpaceDE/>
              <w:autoSpaceDN/>
              <w:adjustRightInd/>
              <w:spacing w:after="0"/>
              <w:jc w:val="center"/>
              <w:rPr>
                <w:szCs w:val="20"/>
              </w:rPr>
            </w:pPr>
            <w:r w:rsidRPr="009F14D2">
              <w:t>0.008</w:t>
            </w:r>
          </w:p>
        </w:tc>
        <w:tc>
          <w:tcPr>
            <w:tcW w:w="2361" w:type="dxa"/>
            <w:shd w:val="clear" w:color="auto" w:fill="auto"/>
            <w:noWrap/>
            <w:vAlign w:val="center"/>
            <w:hideMark/>
          </w:tcPr>
          <w:p w:rsidRPr="0020702C" w:rsidR="0020702C" w:rsidP="7D9108F3" w:rsidRDefault="00830499" w14:paraId="52160C6C" w14:textId="6B8097B5">
            <w:pPr>
              <w:widowControl/>
              <w:autoSpaceDE/>
              <w:autoSpaceDN/>
              <w:adjustRightInd/>
              <w:spacing w:after="0"/>
              <w:jc w:val="center"/>
              <w:rPr>
                <w:szCs w:val="20"/>
              </w:rPr>
            </w:pPr>
            <w:r w:rsidRPr="009F14D2">
              <w:t>0.008</w:t>
            </w:r>
          </w:p>
        </w:tc>
      </w:tr>
      <w:tr w:rsidRPr="0020702C" w:rsidR="0020702C" w:rsidTr="00844121" w14:paraId="0615156B" w14:textId="77777777">
        <w:trPr>
          <w:trHeight w:val="20"/>
        </w:trPr>
        <w:tc>
          <w:tcPr>
            <w:tcW w:w="2360" w:type="dxa"/>
            <w:shd w:val="clear" w:color="auto" w:fill="F2F2F2" w:themeFill="background1" w:themeFillShade="F2"/>
            <w:noWrap/>
            <w:vAlign w:val="center"/>
            <w:hideMark/>
          </w:tcPr>
          <w:p w:rsidRPr="0020702C" w:rsidR="0020702C" w:rsidP="0020702C" w:rsidRDefault="0020702C" w14:paraId="72E97264" w14:textId="705CAFF1">
            <w:pPr>
              <w:widowControl/>
              <w:autoSpaceDE/>
              <w:autoSpaceDN/>
              <w:adjustRightInd/>
              <w:spacing w:after="0"/>
              <w:jc w:val="center"/>
              <w:rPr>
                <w:i/>
                <w:iCs/>
                <w:szCs w:val="20"/>
              </w:rPr>
            </w:pPr>
            <w:r w:rsidRPr="0020702C">
              <w:rPr>
                <w:i/>
                <w:iCs/>
                <w:szCs w:val="20"/>
              </w:rPr>
              <w:t>Total Materials</w:t>
            </w:r>
          </w:p>
        </w:tc>
        <w:tc>
          <w:tcPr>
            <w:tcW w:w="2360" w:type="dxa"/>
            <w:shd w:val="clear" w:color="auto" w:fill="F2F2F2" w:themeFill="background1" w:themeFillShade="F2"/>
            <w:noWrap/>
            <w:vAlign w:val="center"/>
            <w:hideMark/>
          </w:tcPr>
          <w:p w:rsidRPr="009F14D2" w:rsidR="0020702C" w:rsidP="00844121" w:rsidRDefault="009F7029" w14:paraId="00D64E08" w14:textId="12015D9D">
            <w:pPr>
              <w:widowControl/>
              <w:autoSpaceDE/>
              <w:autoSpaceDN/>
              <w:adjustRightInd/>
              <w:spacing w:after="0"/>
              <w:jc w:val="center"/>
              <w:rPr>
                <w:i/>
                <w:iCs/>
              </w:rPr>
            </w:pPr>
            <w:r w:rsidRPr="009F14D2">
              <w:rPr>
                <w:i/>
                <w:iCs/>
              </w:rPr>
              <w:t>180</w:t>
            </w:r>
            <w:r w:rsidRPr="009F14D2" w:rsidR="00B76CA8">
              <w:rPr>
                <w:i/>
                <w:iCs/>
              </w:rPr>
              <w:t>.59</w:t>
            </w:r>
          </w:p>
        </w:tc>
        <w:tc>
          <w:tcPr>
            <w:tcW w:w="2360" w:type="dxa"/>
            <w:shd w:val="clear" w:color="auto" w:fill="F2F2F2" w:themeFill="background1" w:themeFillShade="F2"/>
            <w:noWrap/>
            <w:vAlign w:val="center"/>
            <w:hideMark/>
          </w:tcPr>
          <w:p w:rsidRPr="009F14D2" w:rsidR="0020702C" w:rsidP="00844121" w:rsidRDefault="00830499" w14:paraId="387C4B5E" w14:textId="4DCF5B65">
            <w:pPr>
              <w:widowControl/>
              <w:autoSpaceDE/>
              <w:autoSpaceDN/>
              <w:adjustRightInd/>
              <w:spacing w:after="0"/>
              <w:jc w:val="center"/>
              <w:rPr>
                <w:i/>
                <w:iCs/>
              </w:rPr>
            </w:pPr>
            <w:r w:rsidRPr="009F14D2">
              <w:rPr>
                <w:i/>
                <w:iCs/>
              </w:rPr>
              <w:t>0.340</w:t>
            </w:r>
          </w:p>
        </w:tc>
        <w:tc>
          <w:tcPr>
            <w:tcW w:w="2361" w:type="dxa"/>
            <w:shd w:val="clear" w:color="auto" w:fill="F2F2F2" w:themeFill="background1" w:themeFillShade="F2"/>
            <w:noWrap/>
            <w:vAlign w:val="center"/>
            <w:hideMark/>
          </w:tcPr>
          <w:p w:rsidRPr="009F14D2" w:rsidR="0020702C" w:rsidP="00844121" w:rsidRDefault="00830499" w14:paraId="1364336A" w14:textId="58A11E71">
            <w:pPr>
              <w:widowControl/>
              <w:autoSpaceDE/>
              <w:autoSpaceDN/>
              <w:adjustRightInd/>
              <w:spacing w:after="0"/>
              <w:jc w:val="center"/>
              <w:rPr>
                <w:i/>
                <w:iCs/>
              </w:rPr>
            </w:pPr>
            <w:r w:rsidRPr="009F14D2">
              <w:rPr>
                <w:i/>
                <w:iCs/>
              </w:rPr>
              <w:t>0.274</w:t>
            </w:r>
          </w:p>
        </w:tc>
      </w:tr>
      <w:tr w:rsidRPr="0020702C" w:rsidR="0020702C" w:rsidTr="00844121" w14:paraId="1F2074C1" w14:textId="77777777">
        <w:trPr>
          <w:trHeight w:val="20"/>
        </w:trPr>
        <w:tc>
          <w:tcPr>
            <w:tcW w:w="2360" w:type="dxa"/>
            <w:shd w:val="clear" w:color="auto" w:fill="D9D9D9" w:themeFill="background1" w:themeFillShade="D9"/>
            <w:noWrap/>
            <w:vAlign w:val="center"/>
            <w:hideMark/>
          </w:tcPr>
          <w:p w:rsidRPr="0020702C" w:rsidR="0020702C" w:rsidP="0020702C" w:rsidRDefault="0020702C" w14:paraId="71E36E47" w14:textId="77777777">
            <w:pPr>
              <w:widowControl/>
              <w:autoSpaceDE/>
              <w:autoSpaceDN/>
              <w:adjustRightInd/>
              <w:spacing w:after="0"/>
              <w:jc w:val="center"/>
              <w:rPr>
                <w:i/>
                <w:iCs/>
                <w:szCs w:val="20"/>
                <w:u w:val="single"/>
              </w:rPr>
            </w:pPr>
            <w:r w:rsidRPr="0020702C">
              <w:rPr>
                <w:i/>
                <w:iCs/>
                <w:szCs w:val="20"/>
                <w:u w:val="single"/>
              </w:rPr>
              <w:t>Other wastes</w:t>
            </w:r>
          </w:p>
        </w:tc>
        <w:tc>
          <w:tcPr>
            <w:tcW w:w="2360" w:type="dxa"/>
            <w:shd w:val="clear" w:color="auto" w:fill="D9D9D9" w:themeFill="background1" w:themeFillShade="D9"/>
            <w:noWrap/>
            <w:vAlign w:val="center"/>
            <w:hideMark/>
          </w:tcPr>
          <w:p w:rsidRPr="0020702C" w:rsidR="0020702C" w:rsidP="0020702C" w:rsidRDefault="0020702C" w14:paraId="3D0A93C7" w14:textId="77777777">
            <w:pPr>
              <w:widowControl/>
              <w:autoSpaceDE/>
              <w:autoSpaceDN/>
              <w:adjustRightInd/>
              <w:spacing w:after="0"/>
              <w:jc w:val="center"/>
              <w:rPr>
                <w:szCs w:val="20"/>
              </w:rPr>
            </w:pPr>
          </w:p>
        </w:tc>
        <w:tc>
          <w:tcPr>
            <w:tcW w:w="2360" w:type="dxa"/>
            <w:shd w:val="clear" w:color="auto" w:fill="D9D9D9" w:themeFill="background1" w:themeFillShade="D9"/>
            <w:noWrap/>
            <w:vAlign w:val="center"/>
            <w:hideMark/>
          </w:tcPr>
          <w:p w:rsidRPr="0020702C" w:rsidR="0020702C" w:rsidP="0020702C" w:rsidRDefault="0020702C" w14:paraId="59D4080B" w14:textId="2ED6B3AD">
            <w:pPr>
              <w:widowControl/>
              <w:autoSpaceDE/>
              <w:autoSpaceDN/>
              <w:adjustRightInd/>
              <w:spacing w:after="0"/>
              <w:jc w:val="center"/>
              <w:rPr>
                <w:szCs w:val="20"/>
              </w:rPr>
            </w:pPr>
          </w:p>
        </w:tc>
        <w:tc>
          <w:tcPr>
            <w:tcW w:w="2361" w:type="dxa"/>
            <w:shd w:val="clear" w:color="auto" w:fill="D9D9D9" w:themeFill="background1" w:themeFillShade="D9"/>
            <w:noWrap/>
            <w:vAlign w:val="center"/>
            <w:hideMark/>
          </w:tcPr>
          <w:p w:rsidRPr="0020702C" w:rsidR="0020702C" w:rsidP="0020702C" w:rsidRDefault="0020702C" w14:paraId="3645642A" w14:textId="7DB7C8BD">
            <w:pPr>
              <w:widowControl/>
              <w:autoSpaceDE/>
              <w:autoSpaceDN/>
              <w:adjustRightInd/>
              <w:spacing w:after="0"/>
              <w:jc w:val="center"/>
              <w:rPr>
                <w:szCs w:val="20"/>
              </w:rPr>
            </w:pPr>
          </w:p>
        </w:tc>
      </w:tr>
      <w:tr w:rsidRPr="0020702C" w:rsidR="0020702C" w:rsidTr="00844121" w14:paraId="482D4493" w14:textId="77777777">
        <w:trPr>
          <w:trHeight w:val="20"/>
        </w:trPr>
        <w:tc>
          <w:tcPr>
            <w:tcW w:w="2360" w:type="dxa"/>
            <w:shd w:val="clear" w:color="auto" w:fill="auto"/>
            <w:noWrap/>
            <w:vAlign w:val="center"/>
            <w:hideMark/>
          </w:tcPr>
          <w:p w:rsidRPr="0020702C" w:rsidR="0020702C" w:rsidP="0020702C" w:rsidRDefault="0020702C" w14:paraId="3B2BCD41" w14:textId="77777777">
            <w:pPr>
              <w:widowControl/>
              <w:autoSpaceDE/>
              <w:autoSpaceDN/>
              <w:adjustRightInd/>
              <w:spacing w:after="0"/>
              <w:ind w:firstLine="200" w:firstLineChars="100"/>
              <w:jc w:val="center"/>
              <w:rPr>
                <w:szCs w:val="20"/>
              </w:rPr>
            </w:pPr>
            <w:r w:rsidRPr="0020702C">
              <w:rPr>
                <w:szCs w:val="20"/>
              </w:rPr>
              <w:t>Food</w:t>
            </w:r>
          </w:p>
        </w:tc>
        <w:tc>
          <w:tcPr>
            <w:tcW w:w="2360" w:type="dxa"/>
            <w:shd w:val="clear" w:color="auto" w:fill="auto"/>
            <w:noWrap/>
            <w:vAlign w:val="center"/>
            <w:hideMark/>
          </w:tcPr>
          <w:p w:rsidRPr="0020702C" w:rsidR="0020702C" w:rsidP="7D9108F3" w:rsidRDefault="00B76CA8" w14:paraId="1A6E18D9" w14:textId="2EFC9742">
            <w:pPr>
              <w:widowControl/>
              <w:autoSpaceDE/>
              <w:autoSpaceDN/>
              <w:adjustRightInd/>
              <w:spacing w:after="0"/>
              <w:jc w:val="center"/>
              <w:rPr>
                <w:szCs w:val="20"/>
              </w:rPr>
            </w:pPr>
            <w:r w:rsidRPr="009F14D2">
              <w:t>38.40</w:t>
            </w:r>
          </w:p>
        </w:tc>
        <w:tc>
          <w:tcPr>
            <w:tcW w:w="2360" w:type="dxa"/>
            <w:shd w:val="clear" w:color="auto" w:fill="auto"/>
            <w:noWrap/>
            <w:vAlign w:val="center"/>
            <w:hideMark/>
          </w:tcPr>
          <w:p w:rsidRPr="0020702C" w:rsidR="0020702C" w:rsidP="7D9108F3" w:rsidRDefault="00830499" w14:paraId="0CBBF555" w14:textId="40FD6585">
            <w:pPr>
              <w:widowControl/>
              <w:autoSpaceDE/>
              <w:autoSpaceDN/>
              <w:adjustRightInd/>
              <w:spacing w:after="0"/>
              <w:jc w:val="center"/>
              <w:rPr>
                <w:szCs w:val="20"/>
              </w:rPr>
            </w:pPr>
            <w:r w:rsidRPr="009F14D2">
              <w:t>0.072</w:t>
            </w:r>
          </w:p>
        </w:tc>
        <w:tc>
          <w:tcPr>
            <w:tcW w:w="2361" w:type="dxa"/>
            <w:shd w:val="clear" w:color="auto" w:fill="auto"/>
            <w:noWrap/>
            <w:vAlign w:val="center"/>
            <w:hideMark/>
          </w:tcPr>
          <w:p w:rsidRPr="0020702C" w:rsidR="0020702C" w:rsidP="7D9108F3" w:rsidRDefault="00830499" w14:paraId="21BF6FB5" w14:textId="341C434A">
            <w:pPr>
              <w:widowControl/>
              <w:autoSpaceDE/>
              <w:autoSpaceDN/>
              <w:adjustRightInd/>
              <w:spacing w:after="0"/>
              <w:jc w:val="center"/>
              <w:rPr>
                <w:szCs w:val="20"/>
              </w:rPr>
            </w:pPr>
            <w:r w:rsidRPr="009F14D2">
              <w:t>0.072</w:t>
            </w:r>
          </w:p>
        </w:tc>
      </w:tr>
      <w:tr w:rsidRPr="0020702C" w:rsidR="0020702C" w:rsidTr="00844121" w14:paraId="5820669B" w14:textId="77777777">
        <w:trPr>
          <w:trHeight w:val="20"/>
        </w:trPr>
        <w:tc>
          <w:tcPr>
            <w:tcW w:w="2360" w:type="dxa"/>
            <w:shd w:val="clear" w:color="auto" w:fill="auto"/>
            <w:noWrap/>
            <w:vAlign w:val="center"/>
            <w:hideMark/>
          </w:tcPr>
          <w:p w:rsidRPr="0020702C" w:rsidR="0020702C" w:rsidP="0020702C" w:rsidRDefault="0020702C" w14:paraId="0BACA2BB" w14:textId="77777777">
            <w:pPr>
              <w:widowControl/>
              <w:autoSpaceDE/>
              <w:autoSpaceDN/>
              <w:adjustRightInd/>
              <w:spacing w:after="0"/>
              <w:ind w:firstLine="200" w:firstLineChars="100"/>
              <w:jc w:val="center"/>
              <w:rPr>
                <w:szCs w:val="20"/>
              </w:rPr>
            </w:pPr>
            <w:r w:rsidRPr="0020702C">
              <w:rPr>
                <w:szCs w:val="20"/>
              </w:rPr>
              <w:t>Yard</w:t>
            </w:r>
          </w:p>
        </w:tc>
        <w:tc>
          <w:tcPr>
            <w:tcW w:w="2360" w:type="dxa"/>
            <w:shd w:val="clear" w:color="auto" w:fill="auto"/>
            <w:noWrap/>
            <w:vAlign w:val="center"/>
            <w:hideMark/>
          </w:tcPr>
          <w:p w:rsidRPr="0020702C" w:rsidR="0020702C" w:rsidP="7D9108F3" w:rsidRDefault="00B76CA8" w14:paraId="78EBA5EA" w14:textId="2A1E69A2">
            <w:pPr>
              <w:widowControl/>
              <w:autoSpaceDE/>
              <w:autoSpaceDN/>
              <w:adjustRightInd/>
              <w:spacing w:after="0"/>
              <w:jc w:val="center"/>
              <w:rPr>
                <w:szCs w:val="20"/>
              </w:rPr>
            </w:pPr>
            <w:r w:rsidRPr="009F14D2">
              <w:t>34.50</w:t>
            </w:r>
          </w:p>
        </w:tc>
        <w:tc>
          <w:tcPr>
            <w:tcW w:w="2360" w:type="dxa"/>
            <w:shd w:val="clear" w:color="auto" w:fill="auto"/>
            <w:noWrap/>
            <w:vAlign w:val="center"/>
            <w:hideMark/>
          </w:tcPr>
          <w:p w:rsidRPr="0020702C" w:rsidR="0020702C" w:rsidP="7D9108F3" w:rsidRDefault="0020702C" w14:paraId="0348F4E0" w14:textId="77777777">
            <w:pPr>
              <w:widowControl/>
              <w:autoSpaceDE/>
              <w:autoSpaceDN/>
              <w:adjustRightInd/>
              <w:spacing w:after="0"/>
              <w:jc w:val="center"/>
              <w:rPr>
                <w:szCs w:val="20"/>
              </w:rPr>
            </w:pPr>
            <w:r w:rsidRPr="009F14D2">
              <w:t>0.0</w:t>
            </w:r>
          </w:p>
        </w:tc>
        <w:tc>
          <w:tcPr>
            <w:tcW w:w="2361" w:type="dxa"/>
            <w:shd w:val="clear" w:color="auto" w:fill="auto"/>
            <w:noWrap/>
            <w:vAlign w:val="center"/>
            <w:hideMark/>
          </w:tcPr>
          <w:p w:rsidRPr="0020702C" w:rsidR="0020702C" w:rsidP="7D9108F3" w:rsidRDefault="0020702C" w14:paraId="20E6FA63" w14:textId="0E9CF326">
            <w:pPr>
              <w:widowControl/>
              <w:autoSpaceDE/>
              <w:autoSpaceDN/>
              <w:adjustRightInd/>
              <w:spacing w:after="0"/>
              <w:jc w:val="center"/>
              <w:rPr>
                <w:szCs w:val="20"/>
              </w:rPr>
            </w:pPr>
            <w:r w:rsidRPr="009F14D2">
              <w:t>0.0</w:t>
            </w:r>
          </w:p>
        </w:tc>
      </w:tr>
      <w:tr w:rsidRPr="0020702C" w:rsidR="0020702C" w:rsidTr="00844121" w14:paraId="12F339DA" w14:textId="77777777">
        <w:trPr>
          <w:trHeight w:val="20"/>
        </w:trPr>
        <w:tc>
          <w:tcPr>
            <w:tcW w:w="2360" w:type="dxa"/>
            <w:shd w:val="clear" w:color="auto" w:fill="auto"/>
            <w:noWrap/>
            <w:vAlign w:val="center"/>
            <w:hideMark/>
          </w:tcPr>
          <w:p w:rsidRPr="0020702C" w:rsidR="0020702C" w:rsidP="0020702C" w:rsidRDefault="0020702C" w14:paraId="6E0D3374" w14:textId="77777777">
            <w:pPr>
              <w:widowControl/>
              <w:autoSpaceDE/>
              <w:autoSpaceDN/>
              <w:adjustRightInd/>
              <w:spacing w:after="0"/>
              <w:ind w:firstLine="200" w:firstLineChars="100"/>
              <w:jc w:val="center"/>
              <w:rPr>
                <w:szCs w:val="20"/>
              </w:rPr>
            </w:pPr>
            <w:r w:rsidRPr="0020702C">
              <w:rPr>
                <w:szCs w:val="20"/>
              </w:rPr>
              <w:t>Miscellaneous inorganic</w:t>
            </w:r>
          </w:p>
        </w:tc>
        <w:tc>
          <w:tcPr>
            <w:tcW w:w="2360" w:type="dxa"/>
            <w:shd w:val="clear" w:color="auto" w:fill="auto"/>
            <w:noWrap/>
            <w:vAlign w:val="center"/>
            <w:hideMark/>
          </w:tcPr>
          <w:p w:rsidRPr="0020702C" w:rsidR="0020702C" w:rsidP="7D9108F3" w:rsidRDefault="00B76CA8" w14:paraId="0B7BDF9B" w14:textId="56AC31EF">
            <w:pPr>
              <w:widowControl/>
              <w:autoSpaceDE/>
              <w:autoSpaceDN/>
              <w:adjustRightInd/>
              <w:spacing w:after="0"/>
              <w:jc w:val="center"/>
              <w:rPr>
                <w:szCs w:val="20"/>
              </w:rPr>
            </w:pPr>
            <w:r w:rsidRPr="009F14D2">
              <w:t>3.97</w:t>
            </w:r>
          </w:p>
        </w:tc>
        <w:tc>
          <w:tcPr>
            <w:tcW w:w="2360" w:type="dxa"/>
            <w:shd w:val="clear" w:color="auto" w:fill="auto"/>
            <w:noWrap/>
            <w:vAlign w:val="center"/>
            <w:hideMark/>
          </w:tcPr>
          <w:p w:rsidRPr="0020702C" w:rsidR="0020702C" w:rsidP="7D9108F3" w:rsidRDefault="0020702C" w14:paraId="2A3DF788" w14:textId="77777777">
            <w:pPr>
              <w:widowControl/>
              <w:autoSpaceDE/>
              <w:autoSpaceDN/>
              <w:adjustRightInd/>
              <w:spacing w:after="0"/>
              <w:jc w:val="center"/>
              <w:rPr>
                <w:szCs w:val="20"/>
              </w:rPr>
            </w:pPr>
            <w:r w:rsidRPr="009F14D2">
              <w:t>0.007</w:t>
            </w:r>
          </w:p>
        </w:tc>
        <w:tc>
          <w:tcPr>
            <w:tcW w:w="2361" w:type="dxa"/>
            <w:shd w:val="clear" w:color="auto" w:fill="auto"/>
            <w:noWrap/>
            <w:vAlign w:val="center"/>
            <w:hideMark/>
          </w:tcPr>
          <w:p w:rsidRPr="0020702C" w:rsidR="0020702C" w:rsidP="7D9108F3" w:rsidRDefault="0020702C" w14:paraId="264DD50E" w14:textId="77777777">
            <w:pPr>
              <w:widowControl/>
              <w:autoSpaceDE/>
              <w:autoSpaceDN/>
              <w:adjustRightInd/>
              <w:spacing w:after="0"/>
              <w:jc w:val="center"/>
              <w:rPr>
                <w:szCs w:val="20"/>
              </w:rPr>
            </w:pPr>
            <w:r w:rsidRPr="009F14D2">
              <w:t>0.007</w:t>
            </w:r>
          </w:p>
        </w:tc>
      </w:tr>
      <w:tr w:rsidRPr="0020702C" w:rsidR="0020702C" w:rsidTr="00844121" w14:paraId="6755BFF9" w14:textId="77777777">
        <w:trPr>
          <w:trHeight w:val="20"/>
        </w:trPr>
        <w:tc>
          <w:tcPr>
            <w:tcW w:w="2360" w:type="dxa"/>
            <w:shd w:val="clear" w:color="auto" w:fill="F2F2F2" w:themeFill="background1" w:themeFillShade="F2"/>
            <w:noWrap/>
            <w:vAlign w:val="center"/>
            <w:hideMark/>
          </w:tcPr>
          <w:p w:rsidRPr="0020702C" w:rsidR="0020702C" w:rsidP="0020702C" w:rsidRDefault="0020702C" w14:paraId="17FF29C7" w14:textId="77777777">
            <w:pPr>
              <w:widowControl/>
              <w:autoSpaceDE/>
              <w:autoSpaceDN/>
              <w:adjustRightInd/>
              <w:spacing w:after="0"/>
              <w:jc w:val="center"/>
              <w:rPr>
                <w:i/>
                <w:iCs/>
                <w:szCs w:val="20"/>
              </w:rPr>
            </w:pPr>
            <w:r w:rsidRPr="0020702C">
              <w:rPr>
                <w:i/>
                <w:iCs/>
                <w:szCs w:val="20"/>
              </w:rPr>
              <w:t>Total Other</w:t>
            </w:r>
          </w:p>
        </w:tc>
        <w:tc>
          <w:tcPr>
            <w:tcW w:w="2360" w:type="dxa"/>
            <w:shd w:val="clear" w:color="auto" w:fill="F2F2F2" w:themeFill="background1" w:themeFillShade="F2"/>
            <w:noWrap/>
            <w:vAlign w:val="center"/>
            <w:hideMark/>
          </w:tcPr>
          <w:p w:rsidRPr="009F14D2" w:rsidR="0020702C" w:rsidP="00844121" w:rsidRDefault="00B76CA8" w14:paraId="32F27902" w14:textId="4CF2A9E5">
            <w:pPr>
              <w:widowControl/>
              <w:autoSpaceDE/>
              <w:autoSpaceDN/>
              <w:adjustRightInd/>
              <w:spacing w:after="0"/>
              <w:jc w:val="center"/>
              <w:rPr>
                <w:i/>
                <w:iCs/>
              </w:rPr>
            </w:pPr>
            <w:r w:rsidRPr="009F14D2">
              <w:rPr>
                <w:i/>
                <w:iCs/>
              </w:rPr>
              <w:t>76.87</w:t>
            </w:r>
          </w:p>
        </w:tc>
        <w:tc>
          <w:tcPr>
            <w:tcW w:w="2360" w:type="dxa"/>
            <w:shd w:val="clear" w:color="auto" w:fill="F2F2F2" w:themeFill="background1" w:themeFillShade="F2"/>
            <w:noWrap/>
            <w:vAlign w:val="center"/>
            <w:hideMark/>
          </w:tcPr>
          <w:p w:rsidRPr="009F14D2" w:rsidR="0020702C" w:rsidP="00844121" w:rsidRDefault="00830499" w14:paraId="1B1900AB" w14:textId="19114D1C">
            <w:pPr>
              <w:widowControl/>
              <w:autoSpaceDE/>
              <w:autoSpaceDN/>
              <w:adjustRightInd/>
              <w:spacing w:after="0"/>
              <w:jc w:val="center"/>
              <w:rPr>
                <w:i/>
                <w:iCs/>
              </w:rPr>
            </w:pPr>
            <w:r w:rsidRPr="009F14D2">
              <w:rPr>
                <w:i/>
                <w:iCs/>
              </w:rPr>
              <w:t>0.080</w:t>
            </w:r>
          </w:p>
        </w:tc>
        <w:tc>
          <w:tcPr>
            <w:tcW w:w="2361" w:type="dxa"/>
            <w:shd w:val="clear" w:color="auto" w:fill="F2F2F2" w:themeFill="background1" w:themeFillShade="F2"/>
            <w:noWrap/>
            <w:vAlign w:val="center"/>
            <w:hideMark/>
          </w:tcPr>
          <w:p w:rsidRPr="009F14D2" w:rsidR="0020702C" w:rsidP="00844121" w:rsidRDefault="0020702C" w14:paraId="293B69C7" w14:textId="3628AF47">
            <w:pPr>
              <w:widowControl/>
              <w:autoSpaceDE/>
              <w:autoSpaceDN/>
              <w:adjustRightInd/>
              <w:spacing w:after="0"/>
              <w:jc w:val="center"/>
              <w:rPr>
                <w:i/>
                <w:iCs/>
              </w:rPr>
            </w:pPr>
            <w:r w:rsidRPr="009F14D2">
              <w:rPr>
                <w:i/>
                <w:iCs/>
              </w:rPr>
              <w:t>0.080</w:t>
            </w:r>
          </w:p>
        </w:tc>
      </w:tr>
      <w:tr w:rsidRPr="0020702C" w:rsidR="0020702C" w:rsidTr="00844121" w14:paraId="1105AFE9" w14:textId="77777777">
        <w:trPr>
          <w:trHeight w:val="20"/>
        </w:trPr>
        <w:tc>
          <w:tcPr>
            <w:tcW w:w="2360" w:type="dxa"/>
            <w:shd w:val="clear" w:color="auto" w:fill="auto"/>
            <w:noWrap/>
            <w:vAlign w:val="center"/>
            <w:hideMark/>
          </w:tcPr>
          <w:p w:rsidRPr="0020702C" w:rsidR="0020702C" w:rsidP="0020702C" w:rsidRDefault="00BB219A" w14:paraId="5FB294A3" w14:textId="22395216">
            <w:pPr>
              <w:widowControl/>
              <w:autoSpaceDE/>
              <w:autoSpaceDN/>
              <w:adjustRightInd/>
              <w:spacing w:after="0"/>
              <w:jc w:val="center"/>
              <w:rPr>
                <w:b/>
                <w:bCs/>
                <w:szCs w:val="20"/>
              </w:rPr>
            </w:pPr>
            <w:r>
              <w:rPr>
                <w:b/>
                <w:bCs/>
                <w:szCs w:val="20"/>
              </w:rPr>
              <w:t>TOTAL RH</w:t>
            </w:r>
            <w:r w:rsidRPr="0020702C" w:rsidR="0020702C">
              <w:rPr>
                <w:b/>
                <w:bCs/>
                <w:szCs w:val="20"/>
              </w:rPr>
              <w:t>W</w:t>
            </w:r>
          </w:p>
        </w:tc>
        <w:tc>
          <w:tcPr>
            <w:tcW w:w="2360" w:type="dxa"/>
            <w:shd w:val="clear" w:color="auto" w:fill="auto"/>
            <w:noWrap/>
            <w:vAlign w:val="center"/>
            <w:hideMark/>
          </w:tcPr>
          <w:p w:rsidRPr="009F14D2" w:rsidR="0020702C" w:rsidP="00844121" w:rsidRDefault="009F7029" w14:paraId="60FD219B" w14:textId="04E962BF">
            <w:pPr>
              <w:widowControl/>
              <w:autoSpaceDE/>
              <w:autoSpaceDN/>
              <w:adjustRightInd/>
              <w:spacing w:after="0"/>
              <w:jc w:val="center"/>
              <w:rPr>
                <w:b/>
                <w:bCs/>
              </w:rPr>
            </w:pPr>
            <w:r w:rsidRPr="009F14D2">
              <w:rPr>
                <w:b/>
                <w:bCs/>
              </w:rPr>
              <w:t>257</w:t>
            </w:r>
            <w:r w:rsidRPr="009F14D2" w:rsidR="00B76CA8">
              <w:rPr>
                <w:b/>
                <w:bCs/>
              </w:rPr>
              <w:t>.46</w:t>
            </w:r>
          </w:p>
        </w:tc>
        <w:tc>
          <w:tcPr>
            <w:tcW w:w="2360" w:type="dxa"/>
            <w:shd w:val="clear" w:color="auto" w:fill="auto"/>
            <w:noWrap/>
            <w:vAlign w:val="center"/>
            <w:hideMark/>
          </w:tcPr>
          <w:p w:rsidRPr="009F14D2" w:rsidR="00830499" w:rsidP="00844121" w:rsidRDefault="00830499" w14:paraId="69FF22D4" w14:textId="3F704A04">
            <w:pPr>
              <w:widowControl/>
              <w:autoSpaceDE/>
              <w:autoSpaceDN/>
              <w:adjustRightInd/>
              <w:spacing w:after="0"/>
              <w:jc w:val="center"/>
              <w:rPr>
                <w:b/>
                <w:bCs/>
              </w:rPr>
            </w:pPr>
            <w:r w:rsidRPr="009F14D2">
              <w:rPr>
                <w:b/>
                <w:bCs/>
              </w:rPr>
              <w:t>0.420</w:t>
            </w:r>
          </w:p>
        </w:tc>
        <w:tc>
          <w:tcPr>
            <w:tcW w:w="2361" w:type="dxa"/>
            <w:shd w:val="clear" w:color="auto" w:fill="auto"/>
            <w:noWrap/>
            <w:vAlign w:val="center"/>
            <w:hideMark/>
          </w:tcPr>
          <w:p w:rsidRPr="009F14D2" w:rsidR="0020702C" w:rsidP="00844121" w:rsidRDefault="00830499" w14:paraId="7BE811F4" w14:textId="4FCADDCE">
            <w:pPr>
              <w:widowControl/>
              <w:autoSpaceDE/>
              <w:autoSpaceDN/>
              <w:adjustRightInd/>
              <w:spacing w:after="0"/>
              <w:jc w:val="center"/>
              <w:rPr>
                <w:b/>
                <w:bCs/>
              </w:rPr>
            </w:pPr>
            <w:r w:rsidRPr="009F14D2">
              <w:rPr>
                <w:b/>
                <w:bCs/>
              </w:rPr>
              <w:t>0.354</w:t>
            </w:r>
          </w:p>
        </w:tc>
      </w:tr>
    </w:tbl>
    <w:p w:rsidRPr="00DA4458" w:rsidR="00986448" w:rsidP="0020702C" w:rsidRDefault="00986448" w14:paraId="31C9C37E" w14:textId="1F7D1DB5">
      <w:pPr>
        <w:widowControl/>
        <w:autoSpaceDE/>
        <w:autoSpaceDN/>
        <w:adjustRightInd/>
        <w:spacing w:before="60"/>
        <w:rPr>
          <w:rFonts w:ascii="Calibri" w:hAnsi="Calibri"/>
          <w:color w:val="000000"/>
          <w:szCs w:val="22"/>
        </w:rPr>
      </w:pPr>
      <w:r w:rsidRPr="005A2CA7">
        <w:rPr>
          <w:i/>
          <w:sz w:val="18"/>
          <w:szCs w:val="20"/>
        </w:rPr>
        <w:t>Source:</w:t>
      </w:r>
      <w:r w:rsidR="00BE0480">
        <w:rPr>
          <w:sz w:val="18"/>
          <w:szCs w:val="20"/>
        </w:rPr>
        <w:t xml:space="preserve"> </w:t>
      </w:r>
      <w:r>
        <w:rPr>
          <w:sz w:val="18"/>
          <w:szCs w:val="20"/>
        </w:rPr>
        <w:t>Reference</w:t>
      </w:r>
      <w:r w:rsidR="008C24D0">
        <w:rPr>
          <w:sz w:val="18"/>
          <w:szCs w:val="20"/>
        </w:rPr>
        <w:t xml:space="preserve"> </w:t>
      </w:r>
      <w:r w:rsidR="008C24D0">
        <w:rPr>
          <w:sz w:val="18"/>
          <w:szCs w:val="20"/>
        </w:rPr>
        <w:fldChar w:fldCharType="begin"/>
      </w:r>
      <w:r w:rsidR="008C24D0">
        <w:rPr>
          <w:sz w:val="18"/>
          <w:szCs w:val="20"/>
        </w:rPr>
        <w:instrText xml:space="preserve"> NOTEREF _Ref478631552 \h </w:instrText>
      </w:r>
      <w:r w:rsidR="008C24D0">
        <w:rPr>
          <w:sz w:val="18"/>
          <w:szCs w:val="20"/>
        </w:rPr>
      </w:r>
      <w:r w:rsidR="008C24D0">
        <w:rPr>
          <w:sz w:val="18"/>
          <w:szCs w:val="20"/>
        </w:rPr>
        <w:fldChar w:fldCharType="separate"/>
      </w:r>
      <w:r w:rsidR="00117BBF">
        <w:rPr>
          <w:sz w:val="18"/>
          <w:szCs w:val="20"/>
        </w:rPr>
        <w:t>1</w:t>
      </w:r>
      <w:r w:rsidR="008C24D0">
        <w:rPr>
          <w:sz w:val="18"/>
          <w:szCs w:val="20"/>
        </w:rPr>
        <w:fldChar w:fldCharType="end"/>
      </w:r>
      <w:r>
        <w:rPr>
          <w:sz w:val="18"/>
          <w:szCs w:val="20"/>
        </w:rPr>
        <w:t>, Table 1</w:t>
      </w:r>
    </w:p>
    <w:p w:rsidRPr="00BB219A" w:rsidR="00DB0467" w:rsidP="00BB219A" w:rsidRDefault="00B511A0" w14:paraId="3C1126BC" w14:textId="4DB189B0">
      <w:r>
        <w:rPr>
          <w:szCs w:val="20"/>
        </w:rPr>
        <w:t xml:space="preserve">As </w:t>
      </w:r>
      <w:r w:rsidRPr="003733A0">
        <w:rPr>
          <w:szCs w:val="20"/>
        </w:rPr>
        <w:t xml:space="preserve">open burning </w:t>
      </w:r>
      <w:r w:rsidR="00FA31F3">
        <w:rPr>
          <w:szCs w:val="20"/>
        </w:rPr>
        <w:t>of RH</w:t>
      </w:r>
      <w:r w:rsidR="008A6FC7">
        <w:rPr>
          <w:szCs w:val="20"/>
        </w:rPr>
        <w:t xml:space="preserve">W </w:t>
      </w:r>
      <w:r w:rsidRPr="003733A0">
        <w:rPr>
          <w:szCs w:val="20"/>
        </w:rPr>
        <w:t>is generally not practiced in urban areas, only the</w:t>
      </w:r>
      <w:r w:rsidR="00844121">
        <w:rPr>
          <w:szCs w:val="20"/>
        </w:rPr>
        <w:t xml:space="preserve"> rural </w:t>
      </w:r>
      <w:r w:rsidR="00BB219A">
        <w:rPr>
          <w:szCs w:val="20"/>
        </w:rPr>
        <w:t>population in each county is</w:t>
      </w:r>
      <w:r w:rsidRPr="003733A0">
        <w:rPr>
          <w:szCs w:val="20"/>
        </w:rPr>
        <w:t xml:space="preserve"> assumed to practice open burning.</w:t>
      </w:r>
      <w:r w:rsidR="00634C5A">
        <w:rPr>
          <w:szCs w:val="20"/>
        </w:rPr>
        <w:t xml:space="preserve"> </w:t>
      </w:r>
      <w:r w:rsidR="00DD56FB">
        <w:rPr>
          <w:szCs w:val="20"/>
        </w:rPr>
        <w:t>The r</w:t>
      </w:r>
      <w:r>
        <w:rPr>
          <w:szCs w:val="20"/>
        </w:rPr>
        <w:t>ural</w:t>
      </w:r>
      <w:r w:rsidR="00DD56FB">
        <w:rPr>
          <w:szCs w:val="20"/>
        </w:rPr>
        <w:t xml:space="preserve"> </w:t>
      </w:r>
      <w:r w:rsidR="00844121">
        <w:rPr>
          <w:szCs w:val="20"/>
        </w:rPr>
        <w:t xml:space="preserve">and </w:t>
      </w:r>
      <w:r w:rsidR="00DD56FB">
        <w:rPr>
          <w:szCs w:val="20"/>
        </w:rPr>
        <w:t xml:space="preserve">urban </w:t>
      </w:r>
      <w:r>
        <w:rPr>
          <w:szCs w:val="20"/>
        </w:rPr>
        <w:t>population</w:t>
      </w:r>
      <w:r w:rsidR="00070AF8">
        <w:rPr>
          <w:szCs w:val="20"/>
        </w:rPr>
        <w:t>s</w:t>
      </w:r>
      <w:r w:rsidR="00DB0467">
        <w:rPr>
          <w:szCs w:val="20"/>
        </w:rPr>
        <w:t xml:space="preserve"> </w:t>
      </w:r>
      <w:r w:rsidR="00070AF8">
        <w:rPr>
          <w:szCs w:val="20"/>
        </w:rPr>
        <w:t>are</w:t>
      </w:r>
      <w:r w:rsidR="00DB0467">
        <w:rPr>
          <w:szCs w:val="20"/>
        </w:rPr>
        <w:t xml:space="preserve"> taken</w:t>
      </w:r>
      <w:r w:rsidRPr="003733A0">
        <w:rPr>
          <w:szCs w:val="20"/>
        </w:rPr>
        <w:t xml:space="preserve"> from 20</w:t>
      </w:r>
      <w:r>
        <w:rPr>
          <w:szCs w:val="20"/>
        </w:rPr>
        <w:t>1</w:t>
      </w:r>
      <w:r w:rsidRPr="003733A0">
        <w:rPr>
          <w:szCs w:val="20"/>
        </w:rPr>
        <w:t>0 U.S. Census data</w:t>
      </w:r>
      <w:r w:rsidR="00070AF8">
        <w:rPr>
          <w:szCs w:val="20"/>
        </w:rPr>
        <w:t xml:space="preserve"> for each county</w:t>
      </w:r>
      <w:r w:rsidRPr="003733A0">
        <w:rPr>
          <w:szCs w:val="20"/>
        </w:rPr>
        <w:t>.</w:t>
      </w:r>
      <w:r w:rsidR="00BE1458">
        <w:rPr>
          <w:rStyle w:val="EndnoteReference"/>
          <w:szCs w:val="20"/>
        </w:rPr>
        <w:endnoteReference w:id="5"/>
      </w:r>
      <w:r w:rsidRPr="003733A0">
        <w:rPr>
          <w:szCs w:val="20"/>
        </w:rPr>
        <w:t xml:space="preserve"> </w:t>
      </w:r>
      <w:r w:rsidR="00DA126A">
        <w:rPr>
          <w:szCs w:val="20"/>
        </w:rPr>
        <w:t xml:space="preserve">It is assumed </w:t>
      </w:r>
      <w:r w:rsidR="00DB0467">
        <w:rPr>
          <w:szCs w:val="20"/>
        </w:rPr>
        <w:t xml:space="preserve">that </w:t>
      </w:r>
      <w:r w:rsidR="003F1FE0">
        <w:rPr>
          <w:szCs w:val="20"/>
        </w:rPr>
        <w:t>24%</w:t>
      </w:r>
      <w:r w:rsidRPr="00697E78">
        <w:rPr>
          <w:szCs w:val="20"/>
        </w:rPr>
        <w:t xml:space="preserve"> of </w:t>
      </w:r>
      <w:r>
        <w:rPr>
          <w:szCs w:val="20"/>
        </w:rPr>
        <w:t xml:space="preserve">the rural population </w:t>
      </w:r>
      <w:r w:rsidR="00FA31F3">
        <w:rPr>
          <w:szCs w:val="20"/>
        </w:rPr>
        <w:t>burns RH</w:t>
      </w:r>
      <w:r w:rsidR="00DA126A">
        <w:rPr>
          <w:szCs w:val="20"/>
        </w:rPr>
        <w:t>W</w:t>
      </w:r>
      <w:r>
        <w:rPr>
          <w:szCs w:val="20"/>
        </w:rPr>
        <w:t>.</w:t>
      </w:r>
      <w:r w:rsidR="00BE1458">
        <w:rPr>
          <w:rStyle w:val="EndnoteReference"/>
          <w:szCs w:val="20"/>
        </w:rPr>
        <w:endnoteReference w:id="6"/>
      </w:r>
      <w:r w:rsidRPr="00697E78">
        <w:rPr>
          <w:szCs w:val="20"/>
        </w:rPr>
        <w:t xml:space="preserve"> </w:t>
      </w:r>
    </w:p>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8092"/>
        <w:gridCol w:w="1268"/>
      </w:tblGrid>
      <w:tr w:rsidRPr="003D471D" w:rsidR="00BB219A" w:rsidTr="009715A4" w14:paraId="4C09C610" w14:textId="77777777">
        <w:trPr>
          <w:trHeight w:val="558"/>
        </w:trPr>
        <w:tc>
          <w:tcPr>
            <w:tcW w:w="8280" w:type="dxa"/>
            <w:vAlign w:val="center"/>
          </w:tcPr>
          <w:p w:rsidRPr="00770E9B" w:rsidR="00BB219A" w:rsidP="00BB219A" w:rsidRDefault="008B1324" w14:paraId="45EAD4B3" w14:textId="7839AE58">
            <w:pPr>
              <w:widowControl/>
              <w:autoSpaceDE/>
              <w:autoSpaceDN/>
              <w:adjustRightInd/>
              <w:jc w:val="center"/>
              <w:rPr>
                <w:szCs w:val="20"/>
              </w:rPr>
            </w:pPr>
            <m:oMathPara>
              <m:oMathParaPr>
                <m:jc m:val="center"/>
              </m:oMathParaPr>
              <m:oMath>
                <m:sSub>
                  <m:sSubPr>
                    <m:ctrlPr>
                      <w:rPr>
                        <w:rFonts w:ascii="Cambria Math" w:hAnsi="Cambria Math"/>
                        <w:i/>
                      </w:rPr>
                    </m:ctrlPr>
                  </m:sSubPr>
                  <m:e>
                    <m:r>
                      <w:rPr>
                        <w:rFonts w:ascii="Cambria Math" w:hAnsi="Cambria Math"/>
                      </w:rPr>
                      <m:t>PBurn</m:t>
                    </m:r>
                  </m:e>
                  <m:sub>
                    <m:r>
                      <w:rPr>
                        <w:rFonts w:ascii="Cambria Math" w:hAnsi="Cambria Math"/>
                      </w:rPr>
                      <m:t>c</m:t>
                    </m:r>
                  </m:sub>
                </m:sSub>
                <m:r>
                  <w:rPr>
                    <w:rFonts w:ascii="Cambria Math" w:hAnsi="Cambria Math"/>
                  </w:rPr>
                  <m:t>=</m:t>
                </m:r>
                <m:sSub>
                  <m:sSubPr>
                    <m:ctrlPr>
                      <w:rPr>
                        <w:rFonts w:ascii="Cambria Math" w:hAnsi="Cambria Math"/>
                        <w:i/>
                      </w:rPr>
                    </m:ctrlPr>
                  </m:sSubPr>
                  <m:e>
                    <m:r>
                      <w:rPr>
                        <w:rFonts w:ascii="Cambria Math" w:hAnsi="Cambria Math"/>
                      </w:rPr>
                      <m:t>RPop</m:t>
                    </m:r>
                  </m:e>
                  <m:sub>
                    <m:r>
                      <w:rPr>
                        <w:rFonts w:ascii="Cambria Math" w:hAnsi="Cambria Math"/>
                      </w:rPr>
                      <m:t>c</m:t>
                    </m:r>
                  </m:sub>
                </m:sSub>
                <m:r>
                  <w:rPr>
                    <w:rFonts w:ascii="Cambria Math" w:hAnsi="Cambria Math"/>
                  </w:rPr>
                  <m:t>×0.24</m:t>
                </m:r>
              </m:oMath>
            </m:oMathPara>
          </w:p>
        </w:tc>
        <w:tc>
          <w:tcPr>
            <w:tcW w:w="1296" w:type="dxa"/>
            <w:vAlign w:val="center"/>
          </w:tcPr>
          <w:p w:rsidRPr="003D471D" w:rsidR="00BB219A" w:rsidP="008936CB" w:rsidRDefault="00BB219A" w14:paraId="5CEEB104" w14:textId="77777777">
            <w:pPr>
              <w:pStyle w:val="ListParagraph"/>
              <w:widowControl/>
              <w:numPr>
                <w:ilvl w:val="0"/>
                <w:numId w:val="10"/>
              </w:numPr>
              <w:autoSpaceDE/>
              <w:autoSpaceDN/>
              <w:adjustRightInd/>
              <w:jc w:val="center"/>
              <w:rPr>
                <w:szCs w:val="20"/>
              </w:rPr>
            </w:pPr>
          </w:p>
        </w:tc>
      </w:tr>
    </w:tbl>
    <w:p w:rsidRPr="00BB219A" w:rsidR="008936CB" w:rsidP="00BB219A" w:rsidRDefault="008936CB" w14:paraId="321FAEF1" w14:textId="03879DF2">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26" w:lineRule="auto"/>
        <w:rPr>
          <w:szCs w:val="20"/>
        </w:rPr>
      </w:pPr>
      <w:r>
        <w:rPr>
          <w:szCs w:val="20"/>
        </w:rPr>
        <w:t>Where:</w:t>
      </w:r>
    </w:p>
    <w:p w:rsidR="008936CB" w:rsidP="00BB219A" w:rsidRDefault="00B403CA" w14:paraId="04872E25" w14:textId="45E7BDB1">
      <w:pPr>
        <w:pStyle w:val="NoSpacing"/>
        <w:rPr>
          <w:i/>
        </w:rPr>
      </w:pPr>
      <w:r>
        <w:rPr>
          <w:i/>
        </w:rPr>
        <w:tab/>
      </w:r>
      <w:proofErr w:type="spellStart"/>
      <w:r w:rsidR="00BB219A">
        <w:rPr>
          <w:i/>
        </w:rPr>
        <w:t>RPop</w:t>
      </w:r>
      <w:proofErr w:type="gramStart"/>
      <w:r w:rsidRPr="00D36600">
        <w:rPr>
          <w:i/>
          <w:vertAlign w:val="subscript"/>
        </w:rPr>
        <w:t>,c</w:t>
      </w:r>
      <w:proofErr w:type="spellEnd"/>
      <w:proofErr w:type="gramEnd"/>
      <w:r>
        <w:rPr>
          <w:vertAlign w:val="subscript"/>
        </w:rPr>
        <w:tab/>
      </w:r>
      <w:r w:rsidR="00BB219A">
        <w:t>=</w:t>
      </w:r>
      <w:r w:rsidR="00BB219A">
        <w:tab/>
      </w:r>
      <w:r w:rsidR="00BB219A">
        <w:t>Rural</w:t>
      </w:r>
      <w:r>
        <w:t xml:space="preserve"> population in county </w:t>
      </w:r>
      <w:r>
        <w:rPr>
          <w:i/>
        </w:rPr>
        <w:t>c</w:t>
      </w:r>
      <w:r w:rsidR="00BB219A">
        <w:rPr>
          <w:i/>
        </w:rPr>
        <w:t xml:space="preserve"> </w:t>
      </w:r>
      <w:r w:rsidR="00BB219A">
        <w:t>in 2010</w:t>
      </w:r>
    </w:p>
    <w:p w:rsidR="008936CB" w:rsidP="008936CB" w:rsidRDefault="008936CB" w14:paraId="42AE6095" w14:textId="5DEBD970">
      <w:pPr>
        <w:pStyle w:val="NoSpacing"/>
        <w:rPr>
          <w:i/>
        </w:rPr>
      </w:pPr>
      <w:r w:rsidRPr="00D36600">
        <w:rPr>
          <w:i/>
        </w:rPr>
        <w:tab/>
      </w:r>
      <w:proofErr w:type="spellStart"/>
      <w:r w:rsidRPr="00D36600">
        <w:rPr>
          <w:i/>
        </w:rPr>
        <w:t>PBurn</w:t>
      </w:r>
      <w:r w:rsidRPr="00D36600">
        <w:rPr>
          <w:i/>
          <w:vertAlign w:val="subscript"/>
        </w:rPr>
        <w:t>c</w:t>
      </w:r>
      <w:proofErr w:type="spellEnd"/>
      <w:r>
        <w:rPr>
          <w:vertAlign w:val="subscript"/>
        </w:rPr>
        <w:tab/>
      </w:r>
      <w:r>
        <w:t>=</w:t>
      </w:r>
      <w:r>
        <w:tab/>
      </w:r>
      <w:r>
        <w:t>Population likely to burn</w:t>
      </w:r>
      <w:r w:rsidR="00FA31F3">
        <w:t xml:space="preserve"> RH</w:t>
      </w:r>
      <w:r w:rsidR="00DA126A">
        <w:t>W</w:t>
      </w:r>
      <w:r>
        <w:t xml:space="preserve"> in county </w:t>
      </w:r>
      <w:r>
        <w:rPr>
          <w:i/>
        </w:rPr>
        <w:t>c</w:t>
      </w:r>
    </w:p>
    <w:p w:rsidRPr="00504CFB" w:rsidR="008936CB" w:rsidP="008936CB" w:rsidRDefault="008936CB" w14:paraId="14A583D8" w14:textId="77777777">
      <w:pPr>
        <w:pStyle w:val="NoSpacing"/>
        <w:rPr>
          <w:u w:val="single"/>
        </w:rPr>
      </w:pPr>
    </w:p>
    <w:p w:rsidRPr="003733A0" w:rsidR="00B511A0" w:rsidP="00B511A0" w:rsidRDefault="00F87189" w14:paraId="1BBB232B" w14:textId="43EFAB18">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26" w:lineRule="auto"/>
        <w:rPr>
          <w:szCs w:val="20"/>
        </w:rPr>
      </w:pPr>
      <w:r>
        <w:rPr>
          <w:szCs w:val="20"/>
        </w:rPr>
        <w:t>The number of people likely to burn waste in each county</w:t>
      </w:r>
      <w:r w:rsidR="008E21D5">
        <w:rPr>
          <w:szCs w:val="20"/>
        </w:rPr>
        <w:t xml:space="preserve"> (from equation 3</w:t>
      </w:r>
      <w:r w:rsidR="00202A79">
        <w:rPr>
          <w:szCs w:val="20"/>
        </w:rPr>
        <w:t xml:space="preserve">) </w:t>
      </w:r>
      <w:r>
        <w:rPr>
          <w:szCs w:val="20"/>
        </w:rPr>
        <w:t xml:space="preserve">is </w:t>
      </w:r>
      <w:r w:rsidR="00B511A0">
        <w:rPr>
          <w:szCs w:val="20"/>
        </w:rPr>
        <w:t>then used with the values of per capita household waste subject to burning</w:t>
      </w:r>
      <w:r w:rsidR="00202A79">
        <w:rPr>
          <w:szCs w:val="20"/>
        </w:rPr>
        <w:t xml:space="preserve"> (from equation</w:t>
      </w:r>
      <w:r w:rsidR="00DA126A">
        <w:rPr>
          <w:szCs w:val="20"/>
        </w:rPr>
        <w:t>s</w:t>
      </w:r>
      <w:r w:rsidR="00202A79">
        <w:rPr>
          <w:szCs w:val="20"/>
        </w:rPr>
        <w:t xml:space="preserve"> 1 </w:t>
      </w:r>
      <w:r w:rsidR="00DA126A">
        <w:rPr>
          <w:szCs w:val="20"/>
        </w:rPr>
        <w:t>and</w:t>
      </w:r>
      <w:r w:rsidR="00202A79">
        <w:rPr>
          <w:szCs w:val="20"/>
        </w:rPr>
        <w:t xml:space="preserve"> 2)</w:t>
      </w:r>
      <w:r w:rsidR="00B511A0">
        <w:rPr>
          <w:szCs w:val="20"/>
        </w:rPr>
        <w:t xml:space="preserve"> to dete</w:t>
      </w:r>
      <w:r w:rsidR="00FA31F3">
        <w:rPr>
          <w:szCs w:val="20"/>
        </w:rPr>
        <w:t>rmine the amount of household RH</w:t>
      </w:r>
      <w:r w:rsidR="00B511A0">
        <w:rPr>
          <w:szCs w:val="20"/>
        </w:rPr>
        <w:t>W burned</w:t>
      </w:r>
      <w:r>
        <w:rPr>
          <w:szCs w:val="20"/>
        </w:rPr>
        <w:t>.</w:t>
      </w:r>
    </w:p>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8548"/>
        <w:gridCol w:w="812"/>
      </w:tblGrid>
      <w:tr w:rsidRPr="003D471D" w:rsidR="008936CB" w:rsidTr="008936CB" w14:paraId="09CA5CFC" w14:textId="77777777">
        <w:trPr>
          <w:trHeight w:val="432"/>
        </w:trPr>
        <w:tc>
          <w:tcPr>
            <w:tcW w:w="8748" w:type="dxa"/>
            <w:vAlign w:val="center"/>
          </w:tcPr>
          <w:p w:rsidRPr="00770E9B" w:rsidR="008936CB" w:rsidP="008936CB" w:rsidRDefault="008B1324" w14:paraId="08FEAAAA" w14:textId="5286455D">
            <w:pPr>
              <w:widowControl/>
              <w:autoSpaceDE/>
              <w:autoSpaceDN/>
              <w:adjustRightInd/>
              <w:jc w:val="center"/>
              <w:rPr>
                <w:szCs w:val="20"/>
              </w:rPr>
            </w:pPr>
            <m:oMathPara>
              <m:oMathParaPr>
                <m:jc m:val="center"/>
              </m:oMathParaPr>
              <m:oMath>
                <m:sSub>
                  <m:sSubPr>
                    <m:ctrlPr>
                      <w:rPr>
                        <w:rFonts w:ascii="Cambria Math" w:hAnsi="Cambria Math"/>
                        <w:i/>
                      </w:rPr>
                    </m:ctrlPr>
                  </m:sSubPr>
                  <m:e>
                    <m:r>
                      <w:rPr>
                        <w:rFonts w:ascii="Cambria Math" w:hAnsi="Cambria Math"/>
                      </w:rPr>
                      <m:t>CWst</m:t>
                    </m:r>
                  </m:e>
                  <m:sub>
                    <m:r>
                      <w:rPr>
                        <w:rFonts w:ascii="Cambria Math" w:hAnsi="Cambria Math"/>
                      </w:rPr>
                      <m:t>c</m:t>
                    </m:r>
                  </m:sub>
                </m:sSub>
                <m:r>
                  <w:rPr>
                    <w:rFonts w:ascii="Cambria Math" w:hAnsi="Cambria Math"/>
                  </w:rPr>
                  <m:t>=</m:t>
                </m:r>
                <m:sSub>
                  <m:sSubPr>
                    <m:ctrlPr>
                      <w:rPr>
                        <w:rFonts w:ascii="Cambria Math" w:hAnsi="Cambria Math"/>
                        <w:i/>
                      </w:rPr>
                    </m:ctrlPr>
                  </m:sSubPr>
                  <m:e>
                    <m:r>
                      <w:rPr>
                        <w:rFonts w:ascii="Cambria Math" w:hAnsi="Cambria Math"/>
                      </w:rPr>
                      <m:t>PBurn</m:t>
                    </m:r>
                  </m:e>
                  <m:sub>
                    <m:r>
                      <w:rPr>
                        <w:rFonts w:ascii="Cambria Math" w:hAnsi="Cambria Math"/>
                      </w:rPr>
                      <m:t>c</m:t>
                    </m:r>
                  </m:sub>
                </m:sSub>
                <m:r>
                  <w:rPr>
                    <w:rFonts w:ascii="Cambria Math" w:hAnsi="Cambria Math"/>
                  </w:rPr>
                  <m:t>×</m:t>
                </m:r>
                <m:sSub>
                  <m:sSubPr>
                    <m:ctrlPr>
                      <w:rPr>
                        <w:rFonts w:ascii="Cambria Math" w:hAnsi="Cambria Math"/>
                        <w:i/>
                      </w:rPr>
                    </m:ctrlPr>
                  </m:sSubPr>
                  <m:e>
                    <m:r>
                      <w:rPr>
                        <w:rFonts w:ascii="Cambria Math" w:hAnsi="Cambria Math"/>
                      </w:rPr>
                      <m:t>PC</m:t>
                    </m:r>
                  </m:e>
                  <m:sub>
                    <m:r>
                      <w:rPr>
                        <w:rFonts w:ascii="Cambria Math" w:hAnsi="Cambria Math"/>
                      </w:rPr>
                      <m:t>cwaste</m:t>
                    </m:r>
                  </m:sub>
                </m:sSub>
              </m:oMath>
            </m:oMathPara>
          </w:p>
        </w:tc>
        <w:tc>
          <w:tcPr>
            <w:tcW w:w="828" w:type="dxa"/>
            <w:vAlign w:val="center"/>
          </w:tcPr>
          <w:p w:rsidRPr="003D471D" w:rsidR="008936CB" w:rsidP="008936CB" w:rsidRDefault="008936CB" w14:paraId="2CE5DFE0" w14:textId="77777777">
            <w:pPr>
              <w:pStyle w:val="ListParagraph"/>
              <w:widowControl/>
              <w:numPr>
                <w:ilvl w:val="0"/>
                <w:numId w:val="10"/>
              </w:numPr>
              <w:autoSpaceDE/>
              <w:autoSpaceDN/>
              <w:adjustRightInd/>
              <w:jc w:val="center"/>
              <w:rPr>
                <w:szCs w:val="20"/>
              </w:rPr>
            </w:pPr>
          </w:p>
        </w:tc>
      </w:tr>
    </w:tbl>
    <w:p w:rsidR="008936CB" w:rsidP="008936CB" w:rsidRDefault="008936CB" w14:paraId="2F699FE6"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26" w:lineRule="auto"/>
        <w:rPr>
          <w:szCs w:val="20"/>
        </w:rPr>
      </w:pPr>
      <w:r>
        <w:rPr>
          <w:szCs w:val="20"/>
        </w:rPr>
        <w:t>Where:</w:t>
      </w:r>
    </w:p>
    <w:p w:rsidR="008936CB" w:rsidP="00BB219A" w:rsidRDefault="008936CB" w14:paraId="2EA2D723" w14:textId="3A5342EB">
      <w:pPr>
        <w:pStyle w:val="NoSpacing"/>
      </w:pPr>
      <w:r w:rsidRPr="008936CB">
        <w:tab/>
      </w:r>
      <w:proofErr w:type="spellStart"/>
      <w:r w:rsidR="00F60ED8">
        <w:rPr>
          <w:i/>
        </w:rPr>
        <w:t>CWst</w:t>
      </w:r>
      <w:r w:rsidRPr="008936CB">
        <w:rPr>
          <w:i/>
          <w:vertAlign w:val="subscript"/>
        </w:rPr>
        <w:t>c</w:t>
      </w:r>
      <w:proofErr w:type="spellEnd"/>
      <w:r w:rsidRPr="008936CB">
        <w:rPr>
          <w:i/>
        </w:rPr>
        <w:tab/>
      </w:r>
      <w:r w:rsidR="00FA31F3">
        <w:t>=</w:t>
      </w:r>
      <w:r w:rsidR="00FA31F3">
        <w:tab/>
      </w:r>
      <w:r w:rsidR="00FA31F3">
        <w:t>Annual combustible RHW</w:t>
      </w:r>
      <w:r w:rsidRPr="008936CB">
        <w:t xml:space="preserve"> burned in county c, in tons</w:t>
      </w:r>
    </w:p>
    <w:p w:rsidR="00B403CA" w:rsidP="008936CB" w:rsidRDefault="00B403CA" w14:paraId="10843335" w14:textId="213CAD8E">
      <w:pPr>
        <w:pStyle w:val="NoSpacing"/>
        <w:rPr>
          <w:i/>
        </w:rPr>
      </w:pPr>
      <w:r>
        <w:rPr>
          <w:i/>
        </w:rPr>
        <w:tab/>
      </w:r>
      <w:proofErr w:type="spellStart"/>
      <w:r w:rsidRPr="00D36600">
        <w:rPr>
          <w:i/>
        </w:rPr>
        <w:t>PBurn</w:t>
      </w:r>
      <w:r w:rsidRPr="00D36600">
        <w:rPr>
          <w:i/>
          <w:vertAlign w:val="subscript"/>
        </w:rPr>
        <w:t>c</w:t>
      </w:r>
      <w:proofErr w:type="spellEnd"/>
      <w:r>
        <w:rPr>
          <w:vertAlign w:val="subscript"/>
        </w:rPr>
        <w:tab/>
      </w:r>
      <w:r>
        <w:t>=</w:t>
      </w:r>
      <w:r>
        <w:tab/>
      </w:r>
      <w:r>
        <w:t xml:space="preserve">Population likely to burn in county </w:t>
      </w:r>
      <w:r>
        <w:rPr>
          <w:i/>
        </w:rPr>
        <w:t>c</w:t>
      </w:r>
    </w:p>
    <w:p w:rsidRPr="00BB219A" w:rsidR="00B403CA" w:rsidP="00BB219A" w:rsidRDefault="00B403CA" w14:paraId="5FB32B41" w14:textId="0E606120">
      <w:pPr>
        <w:pStyle w:val="NoSpacing"/>
      </w:pPr>
      <w:r>
        <w:tab/>
      </w:r>
      <w:proofErr w:type="spellStart"/>
      <w:r w:rsidRPr="00D36600">
        <w:rPr>
          <w:i/>
        </w:rPr>
        <w:t>PC</w:t>
      </w:r>
      <w:r w:rsidRPr="00D36600">
        <w:rPr>
          <w:i/>
          <w:vertAlign w:val="subscript"/>
        </w:rPr>
        <w:t>cwaste</w:t>
      </w:r>
      <w:proofErr w:type="spellEnd"/>
      <w:r>
        <w:tab/>
      </w:r>
      <w:r>
        <w:t>=</w:t>
      </w:r>
      <w:r>
        <w:tab/>
      </w:r>
      <w:r>
        <w:t>Per capita value of combustible waste in the U</w:t>
      </w:r>
      <w:r w:rsidR="009715A4">
        <w:t>.</w:t>
      </w:r>
      <w:r>
        <w:t>S</w:t>
      </w:r>
      <w:r w:rsidR="009715A4">
        <w:t>.</w:t>
      </w:r>
      <w:r>
        <w:t xml:space="preserve">, in tons per person </w:t>
      </w:r>
      <w:r>
        <w:rPr>
          <w:szCs w:val="20"/>
        </w:rPr>
        <w:t xml:space="preserve"> </w:t>
      </w:r>
    </w:p>
    <w:p w:rsidR="003D471D" w:rsidP="008936CB" w:rsidRDefault="003D471D" w14:paraId="4D21D2E9" w14:textId="77777777">
      <w:pPr>
        <w:pStyle w:val="NoSpacing"/>
        <w:ind w:left="0" w:firstLine="0"/>
      </w:pPr>
    </w:p>
    <w:p w:rsidR="00B97E6E" w:rsidP="00052E59" w:rsidRDefault="007D6365" w14:paraId="229D649F" w14:textId="3B49A132">
      <w:pPr>
        <w:pStyle w:val="Heading1"/>
      </w:pPr>
      <w:bookmarkStart w:name="_Ref477177506" w:id="4"/>
      <w:r>
        <w:t>A</w:t>
      </w:r>
      <w:r w:rsidRPr="00203DFF" w:rsidR="00B97E6E">
        <w:t>llocation Procedure</w:t>
      </w:r>
      <w:bookmarkEnd w:id="4"/>
      <w:r w:rsidRPr="009820A2" w:rsidR="00B97E6E">
        <w:t xml:space="preserve"> </w:t>
      </w:r>
    </w:p>
    <w:p w:rsidRPr="00B511A0" w:rsidR="003D38C0" w:rsidP="00B511A0" w:rsidRDefault="00A25C1C" w14:paraId="482CAC6D" w14:textId="3FC1CE32">
      <w:pPr>
        <w:rPr>
          <w:szCs w:val="20"/>
        </w:rPr>
      </w:pPr>
      <w:bookmarkStart w:name="_Ref477177456" w:id="5"/>
      <w:r>
        <w:rPr>
          <w:szCs w:val="20"/>
        </w:rPr>
        <w:t xml:space="preserve">National values for the amount of waste generated are distributed to the counties based on rural population, as described in Section </w:t>
      </w:r>
      <w:r>
        <w:rPr>
          <w:szCs w:val="20"/>
        </w:rPr>
        <w:fldChar w:fldCharType="begin"/>
      </w:r>
      <w:r>
        <w:rPr>
          <w:szCs w:val="20"/>
        </w:rPr>
        <w:instrText xml:space="preserve"> REF _Ref477177316 \r \h </w:instrText>
      </w:r>
      <w:r>
        <w:rPr>
          <w:szCs w:val="20"/>
        </w:rPr>
      </w:r>
      <w:r>
        <w:rPr>
          <w:szCs w:val="20"/>
        </w:rPr>
        <w:fldChar w:fldCharType="separate"/>
      </w:r>
      <w:r w:rsidR="00117BBF">
        <w:rPr>
          <w:szCs w:val="20"/>
        </w:rPr>
        <w:t>C</w:t>
      </w:r>
      <w:r>
        <w:rPr>
          <w:szCs w:val="20"/>
        </w:rPr>
        <w:fldChar w:fldCharType="end"/>
      </w:r>
      <w:r w:rsidRPr="006F0FDA" w:rsidR="00B511A0">
        <w:rPr>
          <w:szCs w:val="20"/>
        </w:rPr>
        <w:t>.</w:t>
      </w:r>
    </w:p>
    <w:p w:rsidRPr="00886F17" w:rsidR="00B97E6E" w:rsidP="003D38C0" w:rsidRDefault="00B97E6E" w14:paraId="74DFA48A" w14:textId="78DFB3BB">
      <w:pPr>
        <w:pStyle w:val="Heading1"/>
      </w:pPr>
      <w:bookmarkStart w:name="_Ref477187901" w:id="6"/>
      <w:r w:rsidRPr="00886F17">
        <w:t>Emission</w:t>
      </w:r>
      <w:r w:rsidR="009944E8">
        <w:t>s</w:t>
      </w:r>
      <w:r w:rsidRPr="00886F17">
        <w:t xml:space="preserve"> Factors</w:t>
      </w:r>
      <w:bookmarkEnd w:id="5"/>
      <w:bookmarkEnd w:id="6"/>
    </w:p>
    <w:p w:rsidR="00AD62B6" w:rsidP="00820422" w:rsidRDefault="00B97E6E" w14:paraId="2E2C606F"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Cs w:val="20"/>
        </w:rPr>
      </w:pPr>
      <w:r w:rsidRPr="006132E6">
        <w:rPr>
          <w:szCs w:val="20"/>
        </w:rPr>
        <w:t>Emission</w:t>
      </w:r>
      <w:r w:rsidR="009944E8">
        <w:rPr>
          <w:szCs w:val="20"/>
        </w:rPr>
        <w:t>s</w:t>
      </w:r>
      <w:r w:rsidR="0097551A">
        <w:rPr>
          <w:szCs w:val="20"/>
        </w:rPr>
        <w:t xml:space="preserve"> factors </w:t>
      </w:r>
      <w:r w:rsidR="00646D28">
        <w:rPr>
          <w:szCs w:val="20"/>
        </w:rPr>
        <w:t xml:space="preserve">for </w:t>
      </w:r>
      <w:r w:rsidR="00FA31F3">
        <w:rPr>
          <w:szCs w:val="20"/>
        </w:rPr>
        <w:t>open burning of RH</w:t>
      </w:r>
      <w:r w:rsidR="00B511A0">
        <w:rPr>
          <w:szCs w:val="20"/>
        </w:rPr>
        <w:t xml:space="preserve">W </w:t>
      </w:r>
      <w:r w:rsidR="0097551A">
        <w:rPr>
          <w:szCs w:val="20"/>
        </w:rPr>
        <w:t xml:space="preserve">are </w:t>
      </w:r>
      <w:r w:rsidRPr="0097551A" w:rsidR="0097551A">
        <w:rPr>
          <w:szCs w:val="20"/>
        </w:rPr>
        <w:t>reported in</w:t>
      </w:r>
      <w:r w:rsidR="009D4555">
        <w:rPr>
          <w:szCs w:val="20"/>
        </w:rPr>
        <w:t xml:space="preserve"> </w:t>
      </w:r>
      <w:r w:rsidR="009D4555">
        <w:rPr>
          <w:szCs w:val="20"/>
        </w:rPr>
        <w:fldChar w:fldCharType="begin"/>
      </w:r>
      <w:r w:rsidR="009D4555">
        <w:rPr>
          <w:szCs w:val="20"/>
        </w:rPr>
        <w:instrText xml:space="preserve"> REF _Ref478471503 \h </w:instrText>
      </w:r>
      <w:r w:rsidR="009D4555">
        <w:rPr>
          <w:szCs w:val="20"/>
        </w:rPr>
      </w:r>
      <w:r w:rsidR="009D4555">
        <w:rPr>
          <w:szCs w:val="20"/>
        </w:rPr>
        <w:fldChar w:fldCharType="separate"/>
      </w:r>
      <w:r w:rsidR="00117BBF">
        <w:t xml:space="preserve">Table </w:t>
      </w:r>
      <w:r w:rsidR="00117BBF">
        <w:rPr>
          <w:noProof/>
        </w:rPr>
        <w:t>3</w:t>
      </w:r>
      <w:r w:rsidR="009D4555">
        <w:rPr>
          <w:szCs w:val="20"/>
        </w:rPr>
        <w:fldChar w:fldCharType="end"/>
      </w:r>
      <w:r w:rsidRPr="006132E6">
        <w:rPr>
          <w:szCs w:val="20"/>
        </w:rPr>
        <w:t xml:space="preserve">. </w:t>
      </w:r>
      <w:r w:rsidR="00646D28">
        <w:rPr>
          <w:szCs w:val="20"/>
        </w:rPr>
        <w:t>The e</w:t>
      </w:r>
      <w:r w:rsidRPr="006132E6">
        <w:rPr>
          <w:szCs w:val="20"/>
        </w:rPr>
        <w:t>mission</w:t>
      </w:r>
      <w:r w:rsidR="009944E8">
        <w:rPr>
          <w:szCs w:val="20"/>
        </w:rPr>
        <w:t>s</w:t>
      </w:r>
      <w:r w:rsidRPr="006132E6">
        <w:rPr>
          <w:szCs w:val="20"/>
        </w:rPr>
        <w:t xml:space="preserve"> factors </w:t>
      </w:r>
      <w:r>
        <w:rPr>
          <w:szCs w:val="20"/>
        </w:rPr>
        <w:t xml:space="preserve">for </w:t>
      </w:r>
      <w:r w:rsidR="00820422">
        <w:rPr>
          <w:szCs w:val="20"/>
        </w:rPr>
        <w:t xml:space="preserve">CO, NOX, PM, SO2, and VOC </w:t>
      </w:r>
      <w:r w:rsidR="008C24D0">
        <w:rPr>
          <w:szCs w:val="20"/>
        </w:rPr>
        <w:t xml:space="preserve">and some HAPs are from </w:t>
      </w:r>
      <w:r w:rsidRPr="006132E6" w:rsidR="00820422">
        <w:rPr>
          <w:szCs w:val="20"/>
        </w:rPr>
        <w:t>AP-42</w:t>
      </w:r>
      <w:bookmarkStart w:name="_Ref478478664" w:id="7"/>
      <w:r w:rsidR="00AF2479">
        <w:rPr>
          <w:rStyle w:val="EndnoteReference"/>
          <w:szCs w:val="20"/>
        </w:rPr>
        <w:endnoteReference w:id="7"/>
      </w:r>
      <w:bookmarkEnd w:id="7"/>
      <w:r w:rsidR="008C24D0">
        <w:rPr>
          <w:szCs w:val="20"/>
        </w:rPr>
        <w:t xml:space="preserve"> and the EPA report </w:t>
      </w:r>
      <w:r w:rsidRPr="008C24D0" w:rsidR="008C24D0">
        <w:rPr>
          <w:i/>
        </w:rPr>
        <w:t>Evaluation of Emissions from the Open Burning of Household Waste in Barrels</w:t>
      </w:r>
      <w:r w:rsidR="008C24D0">
        <w:rPr>
          <w:szCs w:val="20"/>
        </w:rPr>
        <w:t>.</w:t>
      </w:r>
      <w:bookmarkStart w:name="_Ref478479861" w:id="8"/>
      <w:r w:rsidR="008C24D0">
        <w:rPr>
          <w:rStyle w:val="EndnoteReference"/>
          <w:szCs w:val="20"/>
        </w:rPr>
        <w:endnoteReference w:id="8"/>
      </w:r>
      <w:bookmarkEnd w:id="8"/>
      <w:r w:rsidR="00820422">
        <w:rPr>
          <w:szCs w:val="20"/>
        </w:rPr>
        <w:t xml:space="preserve"> </w:t>
      </w:r>
      <w:r w:rsidRPr="006132E6" w:rsidR="00820422">
        <w:rPr>
          <w:szCs w:val="20"/>
        </w:rPr>
        <w:t>Emission</w:t>
      </w:r>
      <w:r w:rsidR="00F87189">
        <w:rPr>
          <w:szCs w:val="20"/>
        </w:rPr>
        <w:t>s</w:t>
      </w:r>
      <w:r w:rsidRPr="006132E6" w:rsidR="00820422">
        <w:rPr>
          <w:szCs w:val="20"/>
        </w:rPr>
        <w:t xml:space="preserve"> factors for HAPs are from an EPA Office of Research and Development report</w:t>
      </w:r>
      <w:bookmarkStart w:name="_Ref478482810" w:id="10"/>
      <w:r w:rsidR="00EA44CB">
        <w:rPr>
          <w:rStyle w:val="EndnoteReference"/>
          <w:szCs w:val="20"/>
        </w:rPr>
        <w:endnoteReference w:id="9"/>
      </w:r>
      <w:bookmarkEnd w:id="10"/>
      <w:r w:rsidR="00820422">
        <w:rPr>
          <w:szCs w:val="20"/>
        </w:rPr>
        <w:t xml:space="preserve"> and </w:t>
      </w:r>
      <w:r w:rsidR="00F87189">
        <w:rPr>
          <w:szCs w:val="20"/>
        </w:rPr>
        <w:t xml:space="preserve">a </w:t>
      </w:r>
      <w:r w:rsidR="00820422">
        <w:rPr>
          <w:szCs w:val="20"/>
        </w:rPr>
        <w:t>Minnesota Pollution Control Agency Report</w:t>
      </w:r>
      <w:r w:rsidRPr="006132E6" w:rsidR="00820422">
        <w:rPr>
          <w:szCs w:val="20"/>
        </w:rPr>
        <w:t>.</w:t>
      </w:r>
      <w:bookmarkStart w:name="_Ref478480084" w:id="11"/>
      <w:r w:rsidR="00EA44CB">
        <w:rPr>
          <w:rStyle w:val="EndnoteReference"/>
          <w:szCs w:val="20"/>
        </w:rPr>
        <w:endnoteReference w:id="10"/>
      </w:r>
      <w:bookmarkEnd w:id="11"/>
      <w:r w:rsidR="00F87189">
        <w:rPr>
          <w:szCs w:val="20"/>
          <w:vertAlign w:val="superscript"/>
        </w:rPr>
        <w:t xml:space="preserve"> </w:t>
      </w:r>
      <w:r w:rsidR="00813CA8">
        <w:rPr>
          <w:szCs w:val="20"/>
        </w:rPr>
        <w:t xml:space="preserve">For HAP emissions factors from the </w:t>
      </w:r>
      <w:r w:rsidRPr="006132E6" w:rsidR="00813CA8">
        <w:rPr>
          <w:szCs w:val="20"/>
        </w:rPr>
        <w:t>EPA Control Technology Center report</w:t>
      </w:r>
      <w:proofErr w:type="gramStart"/>
      <w:r w:rsidR="00813CA8">
        <w:rPr>
          <w:szCs w:val="20"/>
        </w:rPr>
        <w:t>,</w:t>
      </w:r>
      <w:proofErr w:type="gramEnd"/>
      <w:r w:rsidRPr="00813CA8" w:rsidR="00813CA8">
        <w:rPr>
          <w:szCs w:val="20"/>
          <w:vertAlign w:val="superscript"/>
        </w:rPr>
        <w:fldChar w:fldCharType="begin"/>
      </w:r>
      <w:r w:rsidRPr="00813CA8" w:rsidR="00813CA8">
        <w:rPr>
          <w:szCs w:val="20"/>
          <w:vertAlign w:val="superscript"/>
        </w:rPr>
        <w:instrText xml:space="preserve"> NOTEREF _Ref478479861 \h </w:instrText>
      </w:r>
      <w:r w:rsidR="00813CA8">
        <w:rPr>
          <w:szCs w:val="20"/>
          <w:vertAlign w:val="superscript"/>
        </w:rPr>
        <w:instrText xml:space="preserve"> \* MERGEFORMAT </w:instrText>
      </w:r>
      <w:r w:rsidRPr="00813CA8" w:rsidR="00813CA8">
        <w:rPr>
          <w:szCs w:val="20"/>
          <w:vertAlign w:val="superscript"/>
        </w:rPr>
      </w:r>
      <w:r w:rsidRPr="00813CA8" w:rsidR="00813CA8">
        <w:rPr>
          <w:szCs w:val="20"/>
          <w:vertAlign w:val="superscript"/>
        </w:rPr>
        <w:fldChar w:fldCharType="separate"/>
      </w:r>
      <w:r w:rsidR="00117BBF">
        <w:rPr>
          <w:szCs w:val="20"/>
          <w:vertAlign w:val="superscript"/>
        </w:rPr>
        <w:t>7</w:t>
      </w:r>
      <w:r w:rsidRPr="00813CA8" w:rsidR="00813CA8">
        <w:rPr>
          <w:szCs w:val="20"/>
          <w:vertAlign w:val="superscript"/>
        </w:rPr>
        <w:fldChar w:fldCharType="end"/>
      </w:r>
      <w:r w:rsidR="00813CA8">
        <w:rPr>
          <w:szCs w:val="20"/>
        </w:rPr>
        <w:t xml:space="preserve"> the emissions factors are based on an average of emissions factors for non-recyclers. This </w:t>
      </w:r>
      <w:r w:rsidR="00FA31F3">
        <w:rPr>
          <w:szCs w:val="20"/>
        </w:rPr>
        <w:t>assumes that a person burning RH</w:t>
      </w:r>
      <w:r w:rsidR="00813CA8">
        <w:rPr>
          <w:szCs w:val="20"/>
        </w:rPr>
        <w:t>W in their yard is more likely to be a non-recycler than an avid recycler.</w:t>
      </w:r>
    </w:p>
    <w:p w:rsidR="00B97E6E" w:rsidP="00820422" w:rsidRDefault="009715A4" w14:paraId="06978720" w14:textId="1B0D2F8A">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Cs w:val="20"/>
        </w:rPr>
      </w:pPr>
      <w:r>
        <w:rPr>
          <w:szCs w:val="20"/>
        </w:rPr>
        <w:t xml:space="preserve">The emissions factors for PM, VOC, and HAPs were developed based on the amount of combustible waste burned. </w:t>
      </w:r>
      <w:r w:rsidR="00AD62B6">
        <w:rPr>
          <w:szCs w:val="20"/>
        </w:rPr>
        <w:t>Emissions factors for CO, NOX, and SO2 were developed based on the amount of total waste burned</w:t>
      </w:r>
      <w:r w:rsidR="002E16A8">
        <w:rPr>
          <w:szCs w:val="20"/>
        </w:rPr>
        <w:t>; t</w:t>
      </w:r>
      <w:r w:rsidR="00AD62B6">
        <w:rPr>
          <w:szCs w:val="20"/>
        </w:rPr>
        <w:t>herefore, these fact</w:t>
      </w:r>
      <w:r w:rsidR="002E16A8">
        <w:rPr>
          <w:szCs w:val="20"/>
        </w:rPr>
        <w:t>ors need to be adjusted to be used with the values of combustible waste burned. This is accomplished by multiplying the emissions factors by a ratio of the total per capita waste to comb</w:t>
      </w:r>
      <w:r w:rsidR="008B1324">
        <w:rPr>
          <w:szCs w:val="20"/>
        </w:rPr>
        <w:t>ustible per capita waste in 2015</w:t>
      </w:r>
      <w:r w:rsidR="002E16A8">
        <w:rPr>
          <w:szCs w:val="20"/>
        </w:rPr>
        <w:t xml:space="preserve">.   </w:t>
      </w:r>
      <w:r w:rsidR="00AD62B6">
        <w:rPr>
          <w:szCs w:val="20"/>
        </w:rPr>
        <w:t xml:space="preserve"> </w:t>
      </w:r>
      <w:r w:rsidR="00813CA8">
        <w:rPr>
          <w:szCs w:val="20"/>
        </w:rPr>
        <w:t xml:space="preserve"> </w:t>
      </w:r>
    </w:p>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8548"/>
        <w:gridCol w:w="812"/>
      </w:tblGrid>
      <w:tr w:rsidRPr="003D471D" w:rsidR="002E16A8" w:rsidTr="008E21D5" w14:paraId="708A9880" w14:textId="77777777">
        <w:trPr>
          <w:trHeight w:val="432"/>
        </w:trPr>
        <w:tc>
          <w:tcPr>
            <w:tcW w:w="8748" w:type="dxa"/>
            <w:vAlign w:val="center"/>
          </w:tcPr>
          <w:p w:rsidRPr="00770E9B" w:rsidR="002E16A8" w:rsidP="002E16A8" w:rsidRDefault="008B1324" w14:paraId="489DBB32" w14:textId="0B57F401">
            <w:pPr>
              <w:widowControl/>
              <w:autoSpaceDE/>
              <w:autoSpaceDN/>
              <w:adjustRightInd/>
              <w:jc w:val="center"/>
              <w:rPr>
                <w:szCs w:val="20"/>
              </w:rPr>
            </w:pPr>
            <m:oMathPara>
              <m:oMathParaPr>
                <m:jc m:val="center"/>
              </m:oMathParaPr>
              <m:oMath>
                <m:sSub>
                  <m:sSubPr>
                    <m:ctrlPr>
                      <w:rPr>
                        <w:rFonts w:ascii="Cambria Math" w:hAnsi="Cambria Math"/>
                        <w:i/>
                      </w:rPr>
                    </m:ctrlPr>
                  </m:sSubPr>
                  <m:e>
                    <m:r>
                      <w:rPr>
                        <w:rFonts w:ascii="Cambria Math" w:hAnsi="Cambria Math"/>
                      </w:rPr>
                      <m:t>EF</m:t>
                    </m:r>
                  </m:e>
                  <m:sub>
                    <m:r>
                      <w:rPr>
                        <w:rFonts w:ascii="Cambria Math" w:hAnsi="Cambria Math"/>
                      </w:rPr>
                      <m:t>p,Com</m:t>
                    </m:r>
                  </m:sub>
                </m:sSub>
                <m:r>
                  <w:rPr>
                    <w:rFonts w:ascii="Cambria Math" w:hAnsi="Cambria Math"/>
                  </w:rPr>
                  <m:t>=</m:t>
                </m:r>
                <m:sSub>
                  <m:sSubPr>
                    <m:ctrlPr>
                      <w:rPr>
                        <w:rFonts w:ascii="Cambria Math" w:hAnsi="Cambria Math"/>
                        <w:i/>
                      </w:rPr>
                    </m:ctrlPr>
                  </m:sSubPr>
                  <m:e>
                    <m:r>
                      <w:rPr>
                        <w:rFonts w:ascii="Cambria Math" w:hAnsi="Cambria Math"/>
                      </w:rPr>
                      <m:t>EF</m:t>
                    </m:r>
                  </m:e>
                  <m:sub>
                    <m:r>
                      <w:rPr>
                        <w:rFonts w:ascii="Cambria Math" w:hAnsi="Cambria Math"/>
                      </w:rPr>
                      <m:t>p,T</m:t>
                    </m:r>
                  </m:sub>
                </m:sSub>
                <m:r>
                  <w:rPr>
                    <w:rFonts w:ascii="Cambria Math" w:hAnsi="Cambria Math"/>
                  </w:rPr>
                  <m:t>×</m:t>
                </m:r>
                <m:f>
                  <m:fPr>
                    <m:ctrlPr>
                      <w:rPr>
                        <w:rFonts w:ascii="Cambria Math" w:hAnsi="Cambria Math"/>
                        <w:i/>
                      </w:rPr>
                    </m:ctrlPr>
                  </m:fPr>
                  <m:num>
                    <m:sSub>
                      <m:sSubPr>
                        <m:ctrlPr>
                          <w:rPr>
                            <w:rFonts w:ascii="Cambria Math" w:hAnsi="Cambria Math"/>
                            <w:i/>
                          </w:rPr>
                        </m:ctrlPr>
                      </m:sSubPr>
                      <m:e>
                        <m:r>
                          <w:rPr>
                            <w:rFonts w:ascii="Cambria Math" w:hAnsi="Cambria Math"/>
                          </w:rPr>
                          <m:t>PC</m:t>
                        </m:r>
                      </m:e>
                      <m:sub>
                        <m:r>
                          <w:rPr>
                            <w:rFonts w:ascii="Cambria Math" w:hAnsi="Cambria Math"/>
                          </w:rPr>
                          <m:t>twaste</m:t>
                        </m:r>
                      </m:sub>
                    </m:sSub>
                  </m:num>
                  <m:den>
                    <m:sSub>
                      <m:sSubPr>
                        <m:ctrlPr>
                          <w:rPr>
                            <w:rFonts w:ascii="Cambria Math" w:hAnsi="Cambria Math"/>
                            <w:i/>
                          </w:rPr>
                        </m:ctrlPr>
                      </m:sSubPr>
                      <m:e>
                        <m:r>
                          <w:rPr>
                            <w:rFonts w:ascii="Cambria Math" w:hAnsi="Cambria Math"/>
                          </w:rPr>
                          <m:t>PC</m:t>
                        </m:r>
                      </m:e>
                      <m:sub>
                        <m:r>
                          <w:rPr>
                            <w:rFonts w:ascii="Cambria Math" w:hAnsi="Cambria Math"/>
                          </w:rPr>
                          <m:t>cwaste</m:t>
                        </m:r>
                      </m:sub>
                    </m:sSub>
                  </m:den>
                </m:f>
              </m:oMath>
            </m:oMathPara>
          </w:p>
        </w:tc>
        <w:tc>
          <w:tcPr>
            <w:tcW w:w="828" w:type="dxa"/>
            <w:vAlign w:val="center"/>
          </w:tcPr>
          <w:p w:rsidRPr="003D471D" w:rsidR="002E16A8" w:rsidP="002E16A8" w:rsidRDefault="002E16A8" w14:paraId="66233A90" w14:textId="77777777">
            <w:pPr>
              <w:pStyle w:val="ListParagraph"/>
              <w:widowControl/>
              <w:numPr>
                <w:ilvl w:val="0"/>
                <w:numId w:val="10"/>
              </w:numPr>
              <w:autoSpaceDE/>
              <w:autoSpaceDN/>
              <w:adjustRightInd/>
              <w:jc w:val="center"/>
              <w:rPr>
                <w:szCs w:val="20"/>
              </w:rPr>
            </w:pPr>
          </w:p>
        </w:tc>
      </w:tr>
    </w:tbl>
    <w:p w:rsidRPr="002E16A8" w:rsidR="002E16A8" w:rsidP="002E16A8" w:rsidRDefault="002E16A8" w14:paraId="566520C9" w14:textId="5B77B91A">
      <w:pPr>
        <w:widowControl/>
        <w:tabs>
          <w:tab w:val="left" w:pos="0"/>
        </w:tabs>
        <w:rPr>
          <w:szCs w:val="20"/>
        </w:rPr>
      </w:pPr>
      <w:r>
        <w:rPr>
          <w:szCs w:val="20"/>
        </w:rPr>
        <w:t>Where:</w:t>
      </w:r>
    </w:p>
    <w:p w:rsidR="002E16A8" w:rsidP="002E16A8" w:rsidRDefault="002E16A8" w14:paraId="00A7B1BD" w14:textId="77777777">
      <w:pPr>
        <w:pStyle w:val="NoSpacing"/>
      </w:pPr>
      <w:r>
        <w:rPr>
          <w:i/>
        </w:rPr>
        <w:tab/>
      </w:r>
      <w:proofErr w:type="spellStart"/>
      <w:r w:rsidRPr="00D36600">
        <w:rPr>
          <w:i/>
        </w:rPr>
        <w:t>EF</w:t>
      </w:r>
      <w:r w:rsidRPr="00D36600">
        <w:rPr>
          <w:i/>
          <w:vertAlign w:val="subscript"/>
        </w:rPr>
        <w:t>p</w:t>
      </w:r>
      <w:proofErr w:type="spellEnd"/>
      <w:r>
        <w:rPr>
          <w:vertAlign w:val="subscript"/>
        </w:rPr>
        <w:tab/>
      </w:r>
      <w:r>
        <w:t>=</w:t>
      </w:r>
      <w:r>
        <w:tab/>
      </w:r>
      <w:r>
        <w:t xml:space="preserve">Emission factor for pollutant </w:t>
      </w:r>
      <w:r>
        <w:rPr>
          <w:i/>
        </w:rPr>
        <w:t xml:space="preserve">p, </w:t>
      </w:r>
      <w:r>
        <w:t>in lbs. of pollution per ton of waste burned</w:t>
      </w:r>
    </w:p>
    <w:p w:rsidR="009715A4" w:rsidP="009715A4" w:rsidRDefault="009715A4" w14:paraId="5B98878D" w14:textId="77777777">
      <w:pPr>
        <w:pStyle w:val="NoSpacing"/>
      </w:pPr>
      <w:r>
        <w:tab/>
      </w:r>
      <w:r w:rsidRPr="005171E8">
        <w:rPr>
          <w:i/>
        </w:rPr>
        <w:t>Com</w:t>
      </w:r>
      <w:r>
        <w:tab/>
      </w:r>
      <w:r>
        <w:t>=</w:t>
      </w:r>
      <w:r>
        <w:tab/>
      </w:r>
      <w:r>
        <w:t>Types of combustible waste (not including yard waste)</w:t>
      </w:r>
    </w:p>
    <w:p w:rsidRPr="009715A4" w:rsidR="009715A4" w:rsidP="009715A4" w:rsidRDefault="009715A4" w14:paraId="09820222" w14:textId="40E2A7D0">
      <w:pPr>
        <w:pStyle w:val="NoSpacing"/>
        <w:rPr>
          <w:szCs w:val="20"/>
        </w:rPr>
      </w:pPr>
      <w:r>
        <w:rPr>
          <w:i/>
          <w:szCs w:val="20"/>
        </w:rPr>
        <w:tab/>
      </w:r>
      <w:r>
        <w:rPr>
          <w:i/>
          <w:szCs w:val="20"/>
        </w:rPr>
        <w:t>T</w:t>
      </w:r>
      <w:r>
        <w:rPr>
          <w:szCs w:val="20"/>
        </w:rPr>
        <w:tab/>
      </w:r>
      <w:r>
        <w:rPr>
          <w:szCs w:val="20"/>
        </w:rPr>
        <w:t>=</w:t>
      </w:r>
      <w:r>
        <w:rPr>
          <w:szCs w:val="20"/>
        </w:rPr>
        <w:tab/>
      </w:r>
      <w:r>
        <w:rPr>
          <w:szCs w:val="20"/>
        </w:rPr>
        <w:t>All types of waste (not including yard waste)</w:t>
      </w:r>
    </w:p>
    <w:p w:rsidR="002E16A8" w:rsidP="002E16A8" w:rsidRDefault="002E16A8" w14:paraId="1B9CE596" w14:textId="77777777">
      <w:pPr>
        <w:pStyle w:val="NoSpacing"/>
      </w:pPr>
      <w:r>
        <w:tab/>
      </w:r>
      <w:proofErr w:type="spellStart"/>
      <w:r w:rsidRPr="00D36600">
        <w:rPr>
          <w:i/>
        </w:rPr>
        <w:t>PC</w:t>
      </w:r>
      <w:r w:rsidRPr="00D36600">
        <w:rPr>
          <w:i/>
          <w:vertAlign w:val="subscript"/>
        </w:rPr>
        <w:t>cwaste</w:t>
      </w:r>
      <w:proofErr w:type="spellEnd"/>
      <w:r>
        <w:tab/>
      </w:r>
      <w:r>
        <w:t>=</w:t>
      </w:r>
      <w:r>
        <w:tab/>
      </w:r>
      <w:r>
        <w:t xml:space="preserve">Per capita value of combustible waste in the US, in tons per person </w:t>
      </w:r>
    </w:p>
    <w:p w:rsidR="002E16A8" w:rsidP="002E16A8" w:rsidRDefault="002E16A8" w14:paraId="6D205FB7" w14:textId="77777777">
      <w:pPr>
        <w:pStyle w:val="NoSpacing"/>
        <w:rPr>
          <w:szCs w:val="20"/>
        </w:rPr>
      </w:pPr>
      <w:r w:rsidRPr="005171E8">
        <w:rPr>
          <w:i/>
          <w:szCs w:val="20"/>
        </w:rPr>
        <w:tab/>
      </w:r>
      <w:proofErr w:type="spellStart"/>
      <w:r>
        <w:rPr>
          <w:i/>
          <w:szCs w:val="20"/>
        </w:rPr>
        <w:t>PC</w:t>
      </w:r>
      <w:r>
        <w:rPr>
          <w:i/>
          <w:szCs w:val="20"/>
          <w:vertAlign w:val="subscript"/>
        </w:rPr>
        <w:t>t</w:t>
      </w:r>
      <w:r w:rsidRPr="000E58A8">
        <w:rPr>
          <w:i/>
          <w:szCs w:val="20"/>
          <w:vertAlign w:val="subscript"/>
        </w:rPr>
        <w:t>waste</w:t>
      </w:r>
      <w:proofErr w:type="spellEnd"/>
      <w:r>
        <w:rPr>
          <w:szCs w:val="20"/>
        </w:rPr>
        <w:tab/>
      </w:r>
      <w:r>
        <w:rPr>
          <w:szCs w:val="20"/>
        </w:rPr>
        <w:t>=</w:t>
      </w:r>
      <w:r>
        <w:rPr>
          <w:szCs w:val="20"/>
        </w:rPr>
        <w:tab/>
      </w:r>
      <w:r>
        <w:rPr>
          <w:szCs w:val="20"/>
        </w:rPr>
        <w:t xml:space="preserve">Per capita value of total waste in the US, in tons per person </w:t>
      </w:r>
    </w:p>
    <w:p w:rsidRPr="00813CA8" w:rsidR="002E16A8" w:rsidP="00820422" w:rsidRDefault="002E16A8" w14:paraId="0425BB3B"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Cs w:val="20"/>
        </w:rPr>
      </w:pPr>
    </w:p>
    <w:p w:rsidRPr="00886F17" w:rsidR="00B97E6E" w:rsidP="00052E59" w:rsidRDefault="00B97E6E" w14:paraId="7E277CE9" w14:textId="77777777">
      <w:pPr>
        <w:pStyle w:val="Heading1"/>
      </w:pPr>
      <w:r w:rsidRPr="00886F17">
        <w:t>Controls</w:t>
      </w:r>
    </w:p>
    <w:p w:rsidR="00820422" w:rsidP="00820422" w:rsidRDefault="005B0489" w14:paraId="1B2594B9" w14:textId="33015D7B">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26" w:lineRule="auto"/>
        <w:rPr>
          <w:szCs w:val="20"/>
        </w:rPr>
      </w:pPr>
      <w:bookmarkStart w:name="_Ref477177564" w:id="12"/>
      <w:r>
        <w:rPr>
          <w:szCs w:val="20"/>
        </w:rPr>
        <w:t>Controls for residential household waste</w:t>
      </w:r>
      <w:r w:rsidRPr="003733A0" w:rsidR="00820422">
        <w:rPr>
          <w:szCs w:val="20"/>
        </w:rPr>
        <w:t xml:space="preserve"> burning are generally in the form of a ban on open burning of waste in a given municipality or county. </w:t>
      </w:r>
      <w:r w:rsidR="00820422">
        <w:rPr>
          <w:szCs w:val="20"/>
        </w:rPr>
        <w:t>However, literature suggests that burn ban</w:t>
      </w:r>
      <w:r w:rsidR="00C9776F">
        <w:rPr>
          <w:szCs w:val="20"/>
        </w:rPr>
        <w:t>s are not 100% effective. It is</w:t>
      </w:r>
      <w:r w:rsidR="00820422">
        <w:rPr>
          <w:szCs w:val="20"/>
        </w:rPr>
        <w:t xml:space="preserve"> therefore</w:t>
      </w:r>
      <w:r w:rsidRPr="00B41571" w:rsidR="00820422">
        <w:rPr>
          <w:szCs w:val="20"/>
        </w:rPr>
        <w:t xml:space="preserve"> assume</w:t>
      </w:r>
      <w:r w:rsidR="00820422">
        <w:rPr>
          <w:szCs w:val="20"/>
        </w:rPr>
        <w:t>d</w:t>
      </w:r>
      <w:r w:rsidRPr="00B41571" w:rsidR="00820422">
        <w:rPr>
          <w:szCs w:val="20"/>
        </w:rPr>
        <w:t xml:space="preserve"> that approximately 25% of the residents that may burn trash in </w:t>
      </w:r>
      <w:r w:rsidR="00820422">
        <w:rPr>
          <w:szCs w:val="20"/>
        </w:rPr>
        <w:t>the yard would</w:t>
      </w:r>
      <w:r w:rsidRPr="00B41571" w:rsidR="00820422">
        <w:rPr>
          <w:szCs w:val="20"/>
        </w:rPr>
        <w:t xml:space="preserve"> burn</w:t>
      </w:r>
      <w:r w:rsidR="00820422">
        <w:rPr>
          <w:szCs w:val="20"/>
        </w:rPr>
        <w:t xml:space="preserve"> waste</w:t>
      </w:r>
      <w:r w:rsidRPr="00B41571" w:rsidR="00820422">
        <w:rPr>
          <w:szCs w:val="20"/>
        </w:rPr>
        <w:t xml:space="preserve"> even if a ban is in place.</w:t>
      </w:r>
      <w:r w:rsidR="00F87189">
        <w:rPr>
          <w:szCs w:val="20"/>
        </w:rPr>
        <w:t xml:space="preserve"> </w:t>
      </w:r>
      <w:r w:rsidRPr="00B41571" w:rsidR="00820422">
        <w:rPr>
          <w:szCs w:val="20"/>
        </w:rPr>
        <w:t>For counties that have burn bans,</w:t>
      </w:r>
      <w:r w:rsidR="00C9776F">
        <w:rPr>
          <w:szCs w:val="20"/>
        </w:rPr>
        <w:t xml:space="preserve"> the assumption is</w:t>
      </w:r>
      <w:r w:rsidR="00820422">
        <w:rPr>
          <w:szCs w:val="20"/>
        </w:rPr>
        <w:t xml:space="preserve"> applied by multiplying</w:t>
      </w:r>
      <w:r w:rsidRPr="00B41571" w:rsidR="00820422">
        <w:rPr>
          <w:szCs w:val="20"/>
        </w:rPr>
        <w:t xml:space="preserve"> </w:t>
      </w:r>
      <w:r w:rsidR="00820422">
        <w:rPr>
          <w:szCs w:val="20"/>
        </w:rPr>
        <w:t>0</w:t>
      </w:r>
      <w:r w:rsidRPr="00B41571" w:rsidR="00820422">
        <w:rPr>
          <w:szCs w:val="20"/>
        </w:rPr>
        <w:t>.25</w:t>
      </w:r>
      <w:r w:rsidR="00820422">
        <w:rPr>
          <w:szCs w:val="20"/>
        </w:rPr>
        <w:t xml:space="preserve"> by </w:t>
      </w:r>
      <w:r w:rsidRPr="00B41571" w:rsidR="00820422">
        <w:rPr>
          <w:szCs w:val="20"/>
        </w:rPr>
        <w:t xml:space="preserve">the </w:t>
      </w:r>
      <w:r w:rsidR="006E7E04">
        <w:rPr>
          <w:szCs w:val="20"/>
        </w:rPr>
        <w:t>annual waste burned</w:t>
      </w:r>
      <w:r w:rsidR="00820422">
        <w:rPr>
          <w:szCs w:val="20"/>
        </w:rPr>
        <w:t xml:space="preserve">. </w:t>
      </w:r>
      <w:r w:rsidR="00A75F47">
        <w:rPr>
          <w:szCs w:val="20"/>
        </w:rPr>
        <w:t>Currently no counties are assumed to have burn bans in place.</w:t>
      </w:r>
    </w:p>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8551"/>
        <w:gridCol w:w="809"/>
      </w:tblGrid>
      <w:tr w:rsidRPr="003D471D" w:rsidR="006E7E04" w:rsidTr="00202A79" w14:paraId="6894142F" w14:textId="77777777">
        <w:trPr>
          <w:trHeight w:val="720"/>
        </w:trPr>
        <w:tc>
          <w:tcPr>
            <w:tcW w:w="8748" w:type="dxa"/>
            <w:vAlign w:val="center"/>
          </w:tcPr>
          <w:p w:rsidRPr="009A0471" w:rsidR="006E7E04" w:rsidP="00202A79" w:rsidRDefault="009A0471" w14:paraId="47361A5A" w14:textId="51340487">
            <w:pPr>
              <w:widowControl/>
              <w:autoSpaceDE/>
              <w:autoSpaceDN/>
              <w:adjustRightInd/>
              <w:jc w:val="center"/>
            </w:pPr>
            <m:oMathPara>
              <m:oMathParaPr>
                <m:jc m:val="center"/>
              </m:oMathParaPr>
              <m:oMath>
                <m:r>
                  <w:rPr>
                    <w:rFonts w:ascii="Cambria Math" w:hAnsi="Cambria Math"/>
                  </w:rPr>
                  <m:t>If county c has a burn ban</m:t>
                </m:r>
              </m:oMath>
            </m:oMathPara>
          </w:p>
          <w:p w:rsidRPr="00770E9B" w:rsidR="009A0471" w:rsidP="00202A79" w:rsidRDefault="009A0471" w14:paraId="0C810523" w14:textId="27CCBD75">
            <w:pPr>
              <w:widowControl/>
              <w:autoSpaceDE/>
              <w:autoSpaceDN/>
              <w:adjustRightInd/>
              <w:jc w:val="center"/>
              <w:rPr>
                <w:szCs w:val="20"/>
              </w:rPr>
            </w:pPr>
            <m:oMathPara>
              <m:oMathParaPr>
                <m:jc m:val="center"/>
              </m:oMathParaPr>
              <m:oMath>
                <m:r>
                  <w:rPr>
                    <w:rFonts w:ascii="Cambria Math" w:hAnsi="Cambria Math"/>
                  </w:rPr>
                  <m:t xml:space="preserve">Then </m:t>
                </m:r>
                <m:sSub>
                  <m:sSubPr>
                    <m:ctrlPr>
                      <w:rPr>
                        <w:rFonts w:ascii="Cambria Math" w:hAnsi="Cambria Math"/>
                        <w:i/>
                      </w:rPr>
                    </m:ctrlPr>
                  </m:sSubPr>
                  <m:e>
                    <m:r>
                      <w:rPr>
                        <w:rFonts w:ascii="Cambria Math" w:hAnsi="Cambria Math"/>
                      </w:rPr>
                      <m:t>CWst</m:t>
                    </m:r>
                  </m:e>
                  <m:sub>
                    <m:r>
                      <w:rPr>
                        <w:rFonts w:ascii="Cambria Math" w:hAnsi="Cambria Math"/>
                      </w:rPr>
                      <m:t>c</m:t>
                    </m:r>
                  </m:sub>
                </m:sSub>
                <m:r>
                  <w:rPr>
                    <w:rFonts w:ascii="Cambria Math" w:hAnsi="Cambria Math"/>
                  </w:rPr>
                  <m:t>=</m:t>
                </m:r>
                <m:sSub>
                  <m:sSubPr>
                    <m:ctrlPr>
                      <w:rPr>
                        <w:rFonts w:ascii="Cambria Math" w:hAnsi="Cambria Math"/>
                        <w:i/>
                      </w:rPr>
                    </m:ctrlPr>
                  </m:sSubPr>
                  <m:e>
                    <m:r>
                      <w:rPr>
                        <w:rFonts w:ascii="Cambria Math" w:hAnsi="Cambria Math"/>
                      </w:rPr>
                      <m:t>CWst</m:t>
                    </m:r>
                  </m:e>
                  <m:sub>
                    <m:r>
                      <w:rPr>
                        <w:rFonts w:ascii="Cambria Math" w:hAnsi="Cambria Math"/>
                      </w:rPr>
                      <m:t>c</m:t>
                    </m:r>
                  </m:sub>
                </m:sSub>
                <m:r>
                  <w:rPr>
                    <w:rFonts w:ascii="Cambria Math" w:hAnsi="Cambria Math"/>
                  </w:rPr>
                  <m:t>×0.25</m:t>
                </m:r>
              </m:oMath>
            </m:oMathPara>
          </w:p>
        </w:tc>
        <w:tc>
          <w:tcPr>
            <w:tcW w:w="828" w:type="dxa"/>
            <w:vAlign w:val="center"/>
          </w:tcPr>
          <w:p w:rsidRPr="003D471D" w:rsidR="006E7E04" w:rsidP="002E16A8" w:rsidRDefault="006E7E04" w14:paraId="4CAECA4F" w14:textId="77777777">
            <w:pPr>
              <w:pStyle w:val="ListParagraph"/>
              <w:widowControl/>
              <w:numPr>
                <w:ilvl w:val="0"/>
                <w:numId w:val="10"/>
              </w:numPr>
              <w:autoSpaceDE/>
              <w:autoSpaceDN/>
              <w:adjustRightInd/>
              <w:jc w:val="center"/>
              <w:rPr>
                <w:szCs w:val="20"/>
              </w:rPr>
            </w:pPr>
          </w:p>
        </w:tc>
      </w:tr>
    </w:tbl>
    <w:p w:rsidR="00202A79" w:rsidP="00202A79" w:rsidRDefault="00202A79" w14:paraId="72E83FA6" w14:textId="52DEC561">
      <w:r>
        <w:t>Where:</w:t>
      </w:r>
    </w:p>
    <w:p w:rsidR="00202A79" w:rsidP="00A75F47" w:rsidRDefault="00202A79" w14:paraId="2382F505" w14:textId="017D5F7C">
      <w:pPr>
        <w:pStyle w:val="NoSpacing"/>
      </w:pPr>
      <w:r w:rsidRPr="008936CB">
        <w:tab/>
      </w:r>
      <w:proofErr w:type="spellStart"/>
      <w:r>
        <w:rPr>
          <w:i/>
        </w:rPr>
        <w:t>CWst</w:t>
      </w:r>
      <w:r w:rsidRPr="008936CB">
        <w:rPr>
          <w:i/>
          <w:vertAlign w:val="subscript"/>
        </w:rPr>
        <w:t>c</w:t>
      </w:r>
      <w:proofErr w:type="spellEnd"/>
      <w:r w:rsidRPr="008936CB">
        <w:rPr>
          <w:i/>
        </w:rPr>
        <w:tab/>
      </w:r>
      <w:r w:rsidR="00FA31F3">
        <w:t>=</w:t>
      </w:r>
      <w:r w:rsidR="00FA31F3">
        <w:tab/>
      </w:r>
      <w:r w:rsidR="00FA31F3">
        <w:t>Annual combustible RH</w:t>
      </w:r>
      <w:r w:rsidR="00A75F47">
        <w:t>W burned in county c, in tons</w:t>
      </w:r>
    </w:p>
    <w:p w:rsidR="00A75F47" w:rsidP="00A75F47" w:rsidRDefault="00A75F47" w14:paraId="6CEDFFDB" w14:textId="77777777">
      <w:pPr>
        <w:pStyle w:val="NoSpacing"/>
      </w:pPr>
    </w:p>
    <w:p w:rsidR="00B97E6E" w:rsidP="00052E59" w:rsidRDefault="00B97E6E" w14:paraId="4ED260AE" w14:textId="77777777">
      <w:pPr>
        <w:pStyle w:val="Heading1"/>
      </w:pPr>
      <w:bookmarkStart w:name="_Ref478996341" w:id="13"/>
      <w:r w:rsidRPr="00886F17">
        <w:t>Emissions</w:t>
      </w:r>
      <w:bookmarkEnd w:id="12"/>
      <w:bookmarkEnd w:id="13"/>
    </w:p>
    <w:p w:rsidR="00646D28" w:rsidP="00B97E6E" w:rsidRDefault="005F309A" w14:paraId="026C5FC1" w14:textId="3F0F0A6C">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Cs w:val="20"/>
        </w:rPr>
      </w:pPr>
      <w:r>
        <w:rPr>
          <w:szCs w:val="20"/>
        </w:rPr>
        <w:t xml:space="preserve">The </w:t>
      </w:r>
      <w:r w:rsidR="00646D28">
        <w:rPr>
          <w:szCs w:val="20"/>
        </w:rPr>
        <w:t xml:space="preserve">annual </w:t>
      </w:r>
      <w:r w:rsidR="00FA31F3">
        <w:rPr>
          <w:szCs w:val="20"/>
        </w:rPr>
        <w:t>amount of</w:t>
      </w:r>
      <w:r w:rsidR="002E16A8">
        <w:rPr>
          <w:szCs w:val="20"/>
        </w:rPr>
        <w:t xml:space="preserve"> combustible</w:t>
      </w:r>
      <w:r w:rsidR="00FA31F3">
        <w:rPr>
          <w:szCs w:val="20"/>
        </w:rPr>
        <w:t xml:space="preserve"> RH</w:t>
      </w:r>
      <w:r>
        <w:rPr>
          <w:szCs w:val="20"/>
        </w:rPr>
        <w:t xml:space="preserve">W burned </w:t>
      </w:r>
      <w:r w:rsidR="00646D28">
        <w:rPr>
          <w:szCs w:val="20"/>
        </w:rPr>
        <w:t xml:space="preserve">in each county is multiplied </w:t>
      </w:r>
      <w:r w:rsidRPr="003733A0" w:rsidR="00B97E6E">
        <w:rPr>
          <w:szCs w:val="20"/>
        </w:rPr>
        <w:t xml:space="preserve">by </w:t>
      </w:r>
      <w:r w:rsidR="00837710">
        <w:rPr>
          <w:szCs w:val="20"/>
        </w:rPr>
        <w:t>the</w:t>
      </w:r>
      <w:r w:rsidRPr="003733A0" w:rsidR="00B97E6E">
        <w:rPr>
          <w:szCs w:val="20"/>
        </w:rPr>
        <w:t xml:space="preserve"> emission</w:t>
      </w:r>
      <w:r w:rsidR="009944E8">
        <w:rPr>
          <w:szCs w:val="20"/>
        </w:rPr>
        <w:t>s</w:t>
      </w:r>
      <w:r w:rsidRPr="003733A0" w:rsidR="00B97E6E">
        <w:rPr>
          <w:szCs w:val="20"/>
        </w:rPr>
        <w:t xml:space="preserve"> factor</w:t>
      </w:r>
      <w:r w:rsidR="00837710">
        <w:rPr>
          <w:szCs w:val="20"/>
        </w:rPr>
        <w:t>s</w:t>
      </w:r>
      <w:r w:rsidR="00F87189">
        <w:rPr>
          <w:szCs w:val="20"/>
        </w:rPr>
        <w:t xml:space="preserve"> listed</w:t>
      </w:r>
      <w:r w:rsidR="00837710">
        <w:rPr>
          <w:szCs w:val="20"/>
        </w:rPr>
        <w:t xml:space="preserve"> in</w:t>
      </w:r>
      <w:r w:rsidR="00646D28">
        <w:rPr>
          <w:szCs w:val="20"/>
        </w:rPr>
        <w:t xml:space="preserve"> </w:t>
      </w:r>
      <w:r w:rsidR="009A0471">
        <w:rPr>
          <w:szCs w:val="20"/>
        </w:rPr>
        <w:fldChar w:fldCharType="begin"/>
      </w:r>
      <w:r w:rsidR="009A0471">
        <w:rPr>
          <w:szCs w:val="20"/>
        </w:rPr>
        <w:instrText xml:space="preserve"> REF _Ref478471503 \h </w:instrText>
      </w:r>
      <w:r w:rsidR="009A0471">
        <w:rPr>
          <w:szCs w:val="20"/>
        </w:rPr>
      </w:r>
      <w:r w:rsidR="009A0471">
        <w:rPr>
          <w:szCs w:val="20"/>
        </w:rPr>
        <w:fldChar w:fldCharType="separate"/>
      </w:r>
      <w:r w:rsidR="00117BBF">
        <w:t xml:space="preserve">Table </w:t>
      </w:r>
      <w:r w:rsidR="00117BBF">
        <w:rPr>
          <w:noProof/>
        </w:rPr>
        <w:t>3</w:t>
      </w:r>
      <w:r w:rsidR="009A0471">
        <w:rPr>
          <w:szCs w:val="20"/>
        </w:rPr>
        <w:fldChar w:fldCharType="end"/>
      </w:r>
      <w:r>
        <w:rPr>
          <w:szCs w:val="20"/>
        </w:rPr>
        <w:t xml:space="preserve"> </w:t>
      </w:r>
      <w:r w:rsidR="00646D28">
        <w:rPr>
          <w:szCs w:val="20"/>
        </w:rPr>
        <w:t>to estimate emissions</w:t>
      </w:r>
      <w:r w:rsidRPr="003733A0" w:rsidR="00B97E6E">
        <w:rPr>
          <w:szCs w:val="20"/>
        </w:rPr>
        <w:t xml:space="preserve">. </w:t>
      </w:r>
    </w:p>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8548"/>
        <w:gridCol w:w="812"/>
      </w:tblGrid>
      <w:tr w:rsidR="009A0471" w:rsidTr="009A0471" w14:paraId="25008108" w14:textId="77777777">
        <w:trPr>
          <w:trHeight w:val="432"/>
        </w:trPr>
        <w:tc>
          <w:tcPr>
            <w:tcW w:w="8748" w:type="dxa"/>
          </w:tcPr>
          <w:p w:rsidR="009A0471" w:rsidP="00A25C1C" w:rsidRDefault="008B1324" w14:paraId="1787E282" w14:textId="2B1DFA23">
            <w:pPr>
              <w:widowControl/>
              <w:autoSpaceDE/>
              <w:autoSpaceDN/>
              <w:adjustRightInd/>
              <w:rPr>
                <w:szCs w:val="20"/>
              </w:rPr>
            </w:pPr>
            <m:oMathPara>
              <m:oMath>
                <m:sSub>
                  <m:sSubPr>
                    <m:ctrlPr>
                      <w:rPr>
                        <w:rFonts w:ascii="Cambria Math" w:hAnsi="Cambria Math"/>
                        <w:i/>
                        <w:szCs w:val="20"/>
                      </w:rPr>
                    </m:ctrlPr>
                  </m:sSubPr>
                  <m:e>
                    <m:r>
                      <w:rPr>
                        <w:rFonts w:ascii="Cambria Math" w:hAnsi="Cambria Math"/>
                        <w:szCs w:val="20"/>
                      </w:rPr>
                      <m:t>E</m:t>
                    </m:r>
                  </m:e>
                  <m:sub>
                    <m:r>
                      <w:rPr>
                        <w:rFonts w:ascii="Cambria Math" w:hAnsi="Cambria Math"/>
                        <w:szCs w:val="20"/>
                      </w:rPr>
                      <m:t>p,c</m:t>
                    </m:r>
                  </m:sub>
                </m:sSub>
                <m:r>
                  <w:rPr>
                    <w:rFonts w:ascii="Cambria Math" w:hAnsi="Cambria Math"/>
                    <w:szCs w:val="20"/>
                  </w:rPr>
                  <m:t>=</m:t>
                </m:r>
                <m:sSub>
                  <m:sSubPr>
                    <m:ctrlPr>
                      <w:rPr>
                        <w:rFonts w:ascii="Cambria Math" w:hAnsi="Cambria Math"/>
                        <w:i/>
                        <w:szCs w:val="20"/>
                      </w:rPr>
                    </m:ctrlPr>
                  </m:sSubPr>
                  <m:e>
                    <m:r>
                      <w:rPr>
                        <w:rFonts w:ascii="Cambria Math" w:hAnsi="Cambria Math"/>
                        <w:szCs w:val="20"/>
                      </w:rPr>
                      <m:t>CWst</m:t>
                    </m:r>
                  </m:e>
                  <m:sub>
                    <m:r>
                      <w:rPr>
                        <w:rFonts w:ascii="Cambria Math" w:hAnsi="Cambria Math"/>
                        <w:szCs w:val="20"/>
                      </w:rPr>
                      <m:t>c</m:t>
                    </m:r>
                  </m:sub>
                </m:sSub>
                <m:r>
                  <w:rPr>
                    <w:rFonts w:ascii="Cambria Math" w:hAnsi="Cambria Math"/>
                    <w:szCs w:val="20"/>
                  </w:rPr>
                  <m:t>×</m:t>
                </m:r>
                <m:sSub>
                  <m:sSubPr>
                    <m:ctrlPr>
                      <w:rPr>
                        <w:rFonts w:ascii="Cambria Math" w:hAnsi="Cambria Math"/>
                        <w:i/>
                        <w:szCs w:val="20"/>
                      </w:rPr>
                    </m:ctrlPr>
                  </m:sSubPr>
                  <m:e>
                    <m:r>
                      <w:rPr>
                        <w:rFonts w:ascii="Cambria Math" w:hAnsi="Cambria Math"/>
                        <w:szCs w:val="20"/>
                      </w:rPr>
                      <m:t>EF</m:t>
                    </m:r>
                  </m:e>
                  <m:sub>
                    <m:r>
                      <w:rPr>
                        <w:rFonts w:ascii="Cambria Math" w:hAnsi="Cambria Math"/>
                        <w:szCs w:val="20"/>
                      </w:rPr>
                      <m:t>p,Com</m:t>
                    </m:r>
                  </m:sub>
                </m:sSub>
              </m:oMath>
            </m:oMathPara>
          </w:p>
        </w:tc>
        <w:tc>
          <w:tcPr>
            <w:tcW w:w="828" w:type="dxa"/>
          </w:tcPr>
          <w:p w:rsidRPr="00986448" w:rsidR="009A0471" w:rsidP="002E16A8" w:rsidRDefault="009A0471" w14:paraId="5309409C" w14:textId="77777777">
            <w:pPr>
              <w:pStyle w:val="ListParagraph"/>
              <w:widowControl/>
              <w:numPr>
                <w:ilvl w:val="0"/>
                <w:numId w:val="10"/>
              </w:numPr>
              <w:autoSpaceDE/>
              <w:autoSpaceDN/>
              <w:adjustRightInd/>
              <w:spacing w:after="200"/>
              <w:jc w:val="right"/>
              <w:rPr>
                <w:szCs w:val="20"/>
              </w:rPr>
            </w:pPr>
          </w:p>
        </w:tc>
      </w:tr>
    </w:tbl>
    <w:p w:rsidR="00B403CA" w:rsidP="00B403CA" w:rsidRDefault="00B403CA" w14:paraId="1BB61C1F" w14:textId="77777777">
      <w:pPr>
        <w:widowControl/>
        <w:tabs>
          <w:tab w:val="left" w:pos="0"/>
        </w:tabs>
        <w:rPr>
          <w:szCs w:val="20"/>
        </w:rPr>
      </w:pPr>
      <w:r>
        <w:rPr>
          <w:szCs w:val="20"/>
        </w:rPr>
        <w:t>Where:</w:t>
      </w:r>
    </w:p>
    <w:p w:rsidR="00B403CA" w:rsidP="00B403CA" w:rsidRDefault="00B403CA" w14:paraId="3461985F" w14:textId="77777777">
      <w:pPr>
        <w:pStyle w:val="NoSpacing"/>
        <w:rPr>
          <w:i/>
        </w:rPr>
      </w:pPr>
      <w:r>
        <w:tab/>
      </w:r>
      <w:proofErr w:type="spellStart"/>
      <w:r w:rsidRPr="00D36600">
        <w:rPr>
          <w:i/>
        </w:rPr>
        <w:t>E</w:t>
      </w:r>
      <w:r w:rsidRPr="00D36600">
        <w:rPr>
          <w:i/>
          <w:vertAlign w:val="subscript"/>
        </w:rPr>
        <w:t>p</w:t>
      </w:r>
      <w:proofErr w:type="gramStart"/>
      <w:r w:rsidRPr="00D36600">
        <w:rPr>
          <w:i/>
          <w:vertAlign w:val="subscript"/>
        </w:rPr>
        <w:t>,c</w:t>
      </w:r>
      <w:proofErr w:type="spellEnd"/>
      <w:proofErr w:type="gramEnd"/>
      <w:r>
        <w:rPr>
          <w:vertAlign w:val="subscript"/>
        </w:rPr>
        <w:tab/>
      </w:r>
      <w:r>
        <w:t>=</w:t>
      </w:r>
      <w:r>
        <w:tab/>
      </w:r>
      <w:r>
        <w:t xml:space="preserve">Annual emissions of pollutant </w:t>
      </w:r>
      <w:r>
        <w:rPr>
          <w:i/>
        </w:rPr>
        <w:t xml:space="preserve">p </w:t>
      </w:r>
      <w:r>
        <w:t xml:space="preserve">in county </w:t>
      </w:r>
      <w:r>
        <w:rPr>
          <w:i/>
        </w:rPr>
        <w:t>c</w:t>
      </w:r>
    </w:p>
    <w:p w:rsidRPr="008936CB" w:rsidR="00B403CA" w:rsidP="00B403CA" w:rsidRDefault="00B403CA" w14:paraId="1F1F3673" w14:textId="1E3E4ADA">
      <w:pPr>
        <w:pStyle w:val="NoSpacing"/>
      </w:pPr>
      <w:r>
        <w:rPr>
          <w:i/>
        </w:rPr>
        <w:tab/>
      </w:r>
      <w:proofErr w:type="spellStart"/>
      <w:r w:rsidRPr="00D36600">
        <w:rPr>
          <w:i/>
        </w:rPr>
        <w:t>EF</w:t>
      </w:r>
      <w:r w:rsidRPr="00D36600">
        <w:rPr>
          <w:i/>
          <w:vertAlign w:val="subscript"/>
        </w:rPr>
        <w:t>p</w:t>
      </w:r>
      <w:proofErr w:type="gramStart"/>
      <w:r w:rsidR="00B66366">
        <w:rPr>
          <w:i/>
          <w:vertAlign w:val="subscript"/>
        </w:rPr>
        <w:t>,Com</w:t>
      </w:r>
      <w:proofErr w:type="spellEnd"/>
      <w:proofErr w:type="gramEnd"/>
      <w:r>
        <w:rPr>
          <w:vertAlign w:val="subscript"/>
        </w:rPr>
        <w:tab/>
      </w:r>
      <w:r>
        <w:t>=</w:t>
      </w:r>
      <w:r>
        <w:tab/>
      </w:r>
      <w:r>
        <w:t xml:space="preserve">Emission factor for pollutant </w:t>
      </w:r>
      <w:r>
        <w:rPr>
          <w:i/>
        </w:rPr>
        <w:t xml:space="preserve">p, </w:t>
      </w:r>
      <w:r>
        <w:t xml:space="preserve">in lbs. of pollution per ton of </w:t>
      </w:r>
      <w:r w:rsidR="00B66366">
        <w:t xml:space="preserve">combustible </w:t>
      </w:r>
      <w:r>
        <w:t>waste burned</w:t>
      </w:r>
    </w:p>
    <w:p w:rsidRPr="008936CB" w:rsidR="00B403CA" w:rsidP="00B403CA" w:rsidRDefault="00B403CA" w14:paraId="171622AE" w14:textId="3688E2C1">
      <w:pPr>
        <w:pStyle w:val="NoSpacing"/>
      </w:pPr>
      <w:r w:rsidRPr="008936CB">
        <w:tab/>
      </w:r>
      <w:proofErr w:type="spellStart"/>
      <w:r>
        <w:rPr>
          <w:i/>
        </w:rPr>
        <w:t>CWst</w:t>
      </w:r>
      <w:r w:rsidRPr="008936CB">
        <w:rPr>
          <w:i/>
          <w:vertAlign w:val="subscript"/>
        </w:rPr>
        <w:t>c</w:t>
      </w:r>
      <w:proofErr w:type="spellEnd"/>
      <w:r w:rsidRPr="008936CB">
        <w:rPr>
          <w:i/>
        </w:rPr>
        <w:tab/>
      </w:r>
      <w:r w:rsidR="00FA31F3">
        <w:t>=</w:t>
      </w:r>
      <w:r w:rsidR="00FA31F3">
        <w:tab/>
      </w:r>
      <w:r w:rsidR="00FA31F3">
        <w:t>Annual combustible RH</w:t>
      </w:r>
      <w:r w:rsidRPr="008936CB">
        <w:t>W burned in county c, in tons</w:t>
      </w:r>
    </w:p>
    <w:p w:rsidRPr="003733A0" w:rsidR="009A0471" w:rsidP="00F87189" w:rsidRDefault="009A0471" w14:paraId="36CDFDA1"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rPr>
          <w:szCs w:val="20"/>
        </w:rPr>
      </w:pPr>
    </w:p>
    <w:p w:rsidR="00B97E6E" w:rsidP="00052E59" w:rsidRDefault="00B97E6E" w14:paraId="12A21C4C" w14:textId="77777777">
      <w:pPr>
        <w:pStyle w:val="Heading1"/>
      </w:pPr>
      <w:r>
        <w:t>Point Source Subtraction</w:t>
      </w:r>
    </w:p>
    <w:p w:rsidR="00B97E6E" w:rsidP="00B97E6E" w:rsidRDefault="00A329DA" w14:paraId="70245764" w14:textId="78F4CEEA">
      <w:pPr>
        <w:widowControl/>
        <w:tabs>
          <w:tab w:val="left" w:pos="0"/>
        </w:tabs>
        <w:rPr>
          <w:szCs w:val="20"/>
        </w:rPr>
      </w:pPr>
      <w:r>
        <w:rPr>
          <w:szCs w:val="20"/>
        </w:rPr>
        <w:t xml:space="preserve">There are no point source-specific SCCs for </w:t>
      </w:r>
      <w:r w:rsidR="00A75F47">
        <w:rPr>
          <w:szCs w:val="20"/>
        </w:rPr>
        <w:t>open burning of RHW</w:t>
      </w:r>
      <w:r w:rsidR="0056502F">
        <w:rPr>
          <w:szCs w:val="20"/>
        </w:rPr>
        <w:t>;</w:t>
      </w:r>
      <w:r>
        <w:rPr>
          <w:szCs w:val="20"/>
        </w:rPr>
        <w:t xml:space="preserve"> therefore p</w:t>
      </w:r>
      <w:r w:rsidR="00B97E6E">
        <w:rPr>
          <w:szCs w:val="20"/>
        </w:rPr>
        <w:t>oint source subtraction is not performed for this category.</w:t>
      </w:r>
    </w:p>
    <w:p w:rsidRPr="003E3AC3" w:rsidR="00B97E6E" w:rsidP="00052E59" w:rsidRDefault="00B97E6E" w14:paraId="3D39889F" w14:textId="77777777">
      <w:pPr>
        <w:pStyle w:val="Heading1"/>
      </w:pPr>
      <w:r>
        <w:t>Sample</w:t>
      </w:r>
      <w:r w:rsidRPr="00036CF5">
        <w:t xml:space="preserve"> Calculations </w:t>
      </w:r>
    </w:p>
    <w:p w:rsidR="000932CD" w:rsidP="00B97E6E" w:rsidRDefault="00F87189" w14:paraId="0CACA188" w14:textId="25B7BF30">
      <w:pPr>
        <w:widowControl/>
        <w:tabs>
          <w:tab w:val="left" w:pos="0"/>
        </w:tabs>
        <w:rPr>
          <w:szCs w:val="20"/>
        </w:rPr>
      </w:pPr>
      <w:r>
        <w:rPr>
          <w:szCs w:val="20"/>
        </w:rPr>
        <w:fldChar w:fldCharType="begin"/>
      </w:r>
      <w:r>
        <w:rPr>
          <w:szCs w:val="20"/>
        </w:rPr>
        <w:instrText xml:space="preserve"> REF _Ref477187560 \h </w:instrText>
      </w:r>
      <w:r>
        <w:rPr>
          <w:szCs w:val="20"/>
        </w:rPr>
      </w:r>
      <w:r>
        <w:rPr>
          <w:szCs w:val="20"/>
        </w:rPr>
        <w:fldChar w:fldCharType="separate"/>
      </w:r>
      <w:r w:rsidR="00117BBF">
        <w:t xml:space="preserve">Table </w:t>
      </w:r>
      <w:r w:rsidR="00117BBF">
        <w:rPr>
          <w:noProof/>
        </w:rPr>
        <w:t>2</w:t>
      </w:r>
      <w:r>
        <w:rPr>
          <w:szCs w:val="20"/>
        </w:rPr>
        <w:fldChar w:fldCharType="end"/>
      </w:r>
      <w:r>
        <w:rPr>
          <w:szCs w:val="20"/>
        </w:rPr>
        <w:t xml:space="preserve"> </w:t>
      </w:r>
      <w:r w:rsidR="0097139E">
        <w:rPr>
          <w:szCs w:val="20"/>
        </w:rPr>
        <w:t xml:space="preserve">lists sample calculations to determine the </w:t>
      </w:r>
      <w:r w:rsidR="004A19A1">
        <w:rPr>
          <w:szCs w:val="20"/>
        </w:rPr>
        <w:t xml:space="preserve">CO and </w:t>
      </w:r>
      <w:r w:rsidRPr="004008E6" w:rsidR="00B97E6E">
        <w:rPr>
          <w:szCs w:val="20"/>
        </w:rPr>
        <w:t xml:space="preserve">VOC emissions from </w:t>
      </w:r>
      <w:r w:rsidR="004A19A1">
        <w:rPr>
          <w:szCs w:val="20"/>
        </w:rPr>
        <w:t>open burning</w:t>
      </w:r>
      <w:r w:rsidR="0097139E">
        <w:rPr>
          <w:szCs w:val="20"/>
        </w:rPr>
        <w:t xml:space="preserve"> </w:t>
      </w:r>
      <w:r w:rsidRPr="004008E6" w:rsidR="0097139E">
        <w:rPr>
          <w:szCs w:val="20"/>
        </w:rPr>
        <w:t xml:space="preserve">in </w:t>
      </w:r>
      <w:r w:rsidR="0097139E">
        <w:rPr>
          <w:szCs w:val="20"/>
        </w:rPr>
        <w:t>A</w:t>
      </w:r>
      <w:r w:rsidR="004A19A1">
        <w:rPr>
          <w:szCs w:val="20"/>
        </w:rPr>
        <w:t xml:space="preserve">utauga </w:t>
      </w:r>
      <w:r w:rsidR="0097139E">
        <w:rPr>
          <w:szCs w:val="20"/>
        </w:rPr>
        <w:t>County</w:t>
      </w:r>
      <w:r w:rsidRPr="004008E6" w:rsidR="0097139E">
        <w:rPr>
          <w:szCs w:val="20"/>
        </w:rPr>
        <w:t xml:space="preserve">, </w:t>
      </w:r>
      <w:r w:rsidR="004A19A1">
        <w:rPr>
          <w:szCs w:val="20"/>
        </w:rPr>
        <w:t>Alabama</w:t>
      </w:r>
      <w:r w:rsidR="0097139E">
        <w:rPr>
          <w:szCs w:val="20"/>
        </w:rPr>
        <w:t>.</w:t>
      </w:r>
    </w:p>
    <w:p w:rsidR="0097139E" w:rsidP="0097139E" w:rsidRDefault="0097139E" w14:paraId="1649524D" w14:textId="2F9270E7">
      <w:pPr>
        <w:pStyle w:val="TableCaption"/>
      </w:pPr>
      <w:bookmarkStart w:name="_Ref477187560" w:id="14"/>
      <w:r>
        <w:t xml:space="preserve">Table </w:t>
      </w:r>
      <w:r>
        <w:fldChar w:fldCharType="begin"/>
      </w:r>
      <w:r>
        <w:instrText> SEQ Table \* ARABIC </w:instrText>
      </w:r>
      <w:r>
        <w:fldChar w:fldCharType="separate"/>
      </w:r>
      <w:r w:rsidR="00117BBF">
        <w:rPr>
          <w:noProof/>
        </w:rPr>
        <w:t>2</w:t>
      </w:r>
      <w:r>
        <w:fldChar w:fldCharType="end"/>
      </w:r>
      <w:bookmarkEnd w:id="14"/>
      <w:r>
        <w:t>. Sample calculations for</w:t>
      </w:r>
      <w:r w:rsidR="004A19A1">
        <w:t xml:space="preserve"> CO and</w:t>
      </w:r>
      <w:r>
        <w:t xml:space="preserve"> VOC emissions from </w:t>
      </w:r>
      <w:r w:rsidR="005F309A">
        <w:t>open burning</w:t>
      </w:r>
      <w:r>
        <w:t xml:space="preserve"> in </w:t>
      </w:r>
      <w:r w:rsidR="005F309A">
        <w:t>Autauga County, Al</w:t>
      </w:r>
      <w:r>
        <w:t>.</w:t>
      </w:r>
    </w:p>
    <w:tbl>
      <w:tblPr>
        <w:tblStyle w:val="TableGrid"/>
        <w:tblW w:w="9581" w:type="dxa"/>
        <w:tblLook w:val="04A0" w:firstRow="1" w:lastRow="0" w:firstColumn="1" w:lastColumn="0" w:noHBand="0" w:noVBand="1"/>
      </w:tblPr>
      <w:tblGrid>
        <w:gridCol w:w="561"/>
        <w:gridCol w:w="3024"/>
        <w:gridCol w:w="3888"/>
        <w:gridCol w:w="2108"/>
      </w:tblGrid>
      <w:tr w:rsidRPr="00DF0B38" w:rsidR="00B162D6" w:rsidTr="00A75F47" w14:paraId="56321F79" w14:textId="77777777">
        <w:trPr>
          <w:cantSplit/>
          <w:tblHeader/>
        </w:trPr>
        <w:tc>
          <w:tcPr>
            <w:tcW w:w="561" w:type="dxa"/>
            <w:shd w:val="clear" w:color="auto" w:fill="BFBFBF" w:themeFill="background1" w:themeFillShade="BF"/>
            <w:vAlign w:val="center"/>
          </w:tcPr>
          <w:p w:rsidRPr="00DF0B38" w:rsidR="00DF0B38" w:rsidP="00FE7F5B" w:rsidRDefault="00DF0B38" w14:paraId="15E71B88" w14:textId="77777777">
            <w:pPr>
              <w:widowControl/>
              <w:tabs>
                <w:tab w:val="left" w:pos="0"/>
              </w:tabs>
              <w:jc w:val="center"/>
              <w:rPr>
                <w:b/>
                <w:szCs w:val="20"/>
              </w:rPr>
            </w:pPr>
            <w:r w:rsidRPr="00DF0B38">
              <w:rPr>
                <w:b/>
                <w:szCs w:val="20"/>
              </w:rPr>
              <w:t>Eq. #</w:t>
            </w:r>
          </w:p>
        </w:tc>
        <w:tc>
          <w:tcPr>
            <w:tcW w:w="3024" w:type="dxa"/>
            <w:shd w:val="clear" w:color="auto" w:fill="BFBFBF" w:themeFill="background1" w:themeFillShade="BF"/>
            <w:vAlign w:val="center"/>
          </w:tcPr>
          <w:p w:rsidRPr="00DF0B38" w:rsidR="00DF0B38" w:rsidP="00347529" w:rsidRDefault="00DF0B38" w14:paraId="5E17F5CA" w14:textId="77777777">
            <w:pPr>
              <w:widowControl/>
              <w:tabs>
                <w:tab w:val="left" w:pos="0"/>
              </w:tabs>
              <w:jc w:val="center"/>
              <w:rPr>
                <w:b/>
                <w:szCs w:val="20"/>
              </w:rPr>
            </w:pPr>
            <w:r w:rsidRPr="00DF0B38">
              <w:rPr>
                <w:b/>
                <w:szCs w:val="20"/>
              </w:rPr>
              <w:t>Equation</w:t>
            </w:r>
          </w:p>
        </w:tc>
        <w:tc>
          <w:tcPr>
            <w:tcW w:w="3888" w:type="dxa"/>
            <w:shd w:val="clear" w:color="auto" w:fill="BFBFBF" w:themeFill="background1" w:themeFillShade="BF"/>
            <w:vAlign w:val="center"/>
          </w:tcPr>
          <w:p w:rsidRPr="00DF0B38" w:rsidR="00DF0B38" w:rsidP="00B25B74" w:rsidRDefault="00DF0B38" w14:paraId="583D27DD" w14:textId="2B87ED82">
            <w:pPr>
              <w:widowControl/>
              <w:tabs>
                <w:tab w:val="left" w:pos="0"/>
              </w:tabs>
              <w:jc w:val="center"/>
              <w:rPr>
                <w:b/>
                <w:szCs w:val="20"/>
              </w:rPr>
            </w:pPr>
            <w:r w:rsidRPr="00DF0B38">
              <w:rPr>
                <w:b/>
                <w:szCs w:val="20"/>
              </w:rPr>
              <w:t>Values</w:t>
            </w:r>
            <w:r w:rsidR="0097139E">
              <w:rPr>
                <w:b/>
                <w:szCs w:val="20"/>
              </w:rPr>
              <w:t xml:space="preserve"> for A</w:t>
            </w:r>
            <w:r w:rsidR="00B25B74">
              <w:rPr>
                <w:b/>
                <w:szCs w:val="20"/>
              </w:rPr>
              <w:t>utauga County, AL</w:t>
            </w:r>
          </w:p>
        </w:tc>
        <w:tc>
          <w:tcPr>
            <w:tcW w:w="2108" w:type="dxa"/>
            <w:shd w:val="clear" w:color="auto" w:fill="BFBFBF" w:themeFill="background1" w:themeFillShade="BF"/>
            <w:vAlign w:val="center"/>
          </w:tcPr>
          <w:p w:rsidRPr="00DF0B38" w:rsidR="00DF0B38" w:rsidP="00FE7F5B" w:rsidRDefault="00DF0B38" w14:paraId="3D2F2F30" w14:textId="77777777">
            <w:pPr>
              <w:widowControl/>
              <w:tabs>
                <w:tab w:val="left" w:pos="0"/>
              </w:tabs>
              <w:jc w:val="center"/>
              <w:rPr>
                <w:b/>
                <w:szCs w:val="20"/>
              </w:rPr>
            </w:pPr>
            <w:r w:rsidRPr="00DF0B38">
              <w:rPr>
                <w:b/>
                <w:szCs w:val="20"/>
              </w:rPr>
              <w:t>Result</w:t>
            </w:r>
          </w:p>
        </w:tc>
      </w:tr>
      <w:tr w:rsidR="00B162D6" w:rsidTr="00A75F47" w14:paraId="784CAB0E" w14:textId="77777777">
        <w:trPr>
          <w:cantSplit/>
        </w:trPr>
        <w:tc>
          <w:tcPr>
            <w:tcW w:w="561" w:type="dxa"/>
            <w:vAlign w:val="center"/>
          </w:tcPr>
          <w:p w:rsidR="0003373D" w:rsidP="7D9108F3" w:rsidRDefault="0056502F" w14:paraId="4F80AFA6" w14:textId="1948AA87">
            <w:pPr>
              <w:widowControl/>
              <w:tabs>
                <w:tab w:val="left" w:pos="0"/>
              </w:tabs>
              <w:spacing w:before="240" w:after="60"/>
              <w:jc w:val="center"/>
              <w:rPr>
                <w:szCs w:val="20"/>
              </w:rPr>
            </w:pPr>
            <w:r w:rsidRPr="009F14D2">
              <w:t>1</w:t>
            </w:r>
          </w:p>
        </w:tc>
        <w:tc>
          <w:tcPr>
            <w:tcW w:w="3024" w:type="dxa"/>
            <w:vAlign w:val="center"/>
          </w:tcPr>
          <w:p w:rsidRPr="00347529" w:rsidR="00347529" w:rsidP="00347529" w:rsidRDefault="008B1324" w14:paraId="16DF6101" w14:textId="5BFB85EC">
            <w:pPr>
              <w:widowControl/>
              <w:tabs>
                <w:tab w:val="left" w:pos="0"/>
              </w:tabs>
              <w:spacing w:before="240"/>
              <w:jc w:val="center"/>
              <w:rPr>
                <w:szCs w:val="20"/>
              </w:rPr>
            </w:pPr>
            <m:oMathPara>
              <m:oMath>
                <m:sSub>
                  <m:sSubPr>
                    <m:ctrlPr>
                      <w:rPr>
                        <w:rFonts w:ascii="Cambria Math" w:hAnsi="Cambria Math"/>
                        <w:i/>
                        <w:szCs w:val="20"/>
                      </w:rPr>
                    </m:ctrlPr>
                  </m:sSubPr>
                  <m:e>
                    <m:r>
                      <w:rPr>
                        <w:rFonts w:ascii="Cambria Math" w:hAnsi="Cambria Math"/>
                        <w:szCs w:val="20"/>
                      </w:rPr>
                      <m:t>PC</m:t>
                    </m:r>
                  </m:e>
                  <m:sub>
                    <m:r>
                      <w:rPr>
                        <w:rFonts w:ascii="Cambria Math" w:hAnsi="Cambria Math"/>
                        <w:szCs w:val="20"/>
                      </w:rPr>
                      <m:t>cwaste</m:t>
                    </m:r>
                  </m:sub>
                </m:sSub>
                <m:r>
                  <w:rPr>
                    <w:rFonts w:ascii="Cambria Math" w:hAnsi="Cambria Math"/>
                    <w:szCs w:val="20"/>
                  </w:rPr>
                  <m:t>=</m:t>
                </m:r>
                <m:f>
                  <m:fPr>
                    <m:ctrlPr>
                      <w:rPr>
                        <w:rFonts w:ascii="Cambria Math" w:hAnsi="Cambria Math"/>
                        <w:i/>
                        <w:szCs w:val="20"/>
                      </w:rPr>
                    </m:ctrlPr>
                  </m:fPr>
                  <m:num>
                    <m:nary>
                      <m:naryPr>
                        <m:chr m:val="∑"/>
                        <m:limLoc m:val="subSup"/>
                        <m:supHide m:val="1"/>
                        <m:ctrlPr>
                          <w:rPr>
                            <w:rFonts w:ascii="Cambria Math" w:hAnsi="Cambria Math"/>
                            <w:i/>
                            <w:szCs w:val="20"/>
                          </w:rPr>
                        </m:ctrlPr>
                      </m:naryPr>
                      <m:sub>
                        <m:r>
                          <w:rPr>
                            <w:rFonts w:ascii="Cambria Math" w:hAnsi="Cambria Math"/>
                            <w:szCs w:val="20"/>
                          </w:rPr>
                          <m:t>Com</m:t>
                        </m:r>
                      </m:sub>
                      <m:sup/>
                      <m:e>
                        <m:r>
                          <w:rPr>
                            <w:rFonts w:ascii="Cambria Math" w:hAnsi="Cambria Math"/>
                            <w:szCs w:val="20"/>
                          </w:rPr>
                          <m:t>W</m:t>
                        </m:r>
                      </m:e>
                    </m:nary>
                    <m:r>
                      <w:rPr>
                        <w:rFonts w:ascii="Cambria Math" w:hAnsi="Cambria Math"/>
                        <w:szCs w:val="20"/>
                      </w:rPr>
                      <m:t>×0.60</m:t>
                    </m:r>
                  </m:num>
                  <m:den>
                    <m:sSub>
                      <m:sSubPr>
                        <m:ctrlPr>
                          <w:rPr>
                            <w:rFonts w:ascii="Cambria Math" w:hAnsi="Cambria Math"/>
                            <w:i/>
                            <w:szCs w:val="20"/>
                          </w:rPr>
                        </m:ctrlPr>
                      </m:sSubPr>
                      <m:e>
                        <m:r>
                          <w:rPr>
                            <w:rFonts w:ascii="Cambria Math" w:hAnsi="Cambria Math"/>
                            <w:szCs w:val="20"/>
                          </w:rPr>
                          <m:t>P</m:t>
                        </m:r>
                      </m:e>
                      <m:sub>
                        <m:r>
                          <w:rPr>
                            <w:rFonts w:ascii="Cambria Math" w:hAnsi="Cambria Math"/>
                            <w:szCs w:val="20"/>
                          </w:rPr>
                          <m:t>y,US</m:t>
                        </m:r>
                      </m:sub>
                    </m:sSub>
                  </m:den>
                </m:f>
              </m:oMath>
            </m:oMathPara>
          </w:p>
        </w:tc>
        <w:tc>
          <w:tcPr>
            <w:tcW w:w="3888" w:type="dxa"/>
            <w:vAlign w:val="center"/>
          </w:tcPr>
          <w:p w:rsidR="0003373D" w:rsidP="00B25B74" w:rsidRDefault="008B1324" w14:paraId="129913D8" w14:textId="205D4742">
            <w:pPr>
              <w:widowControl/>
              <w:tabs>
                <w:tab w:val="left" w:pos="0"/>
              </w:tabs>
              <w:spacing w:before="240" w:after="60"/>
              <w:jc w:val="center"/>
              <w:rPr>
                <w:szCs w:val="20"/>
              </w:rPr>
            </w:pPr>
            <m:oMathPara>
              <m:oMath>
                <m:f>
                  <m:fPr>
                    <m:ctrlPr>
                      <w:rPr>
                        <w:rFonts w:ascii="Cambria Math" w:hAnsi="Cambria Math"/>
                        <w:i/>
                        <w:szCs w:val="20"/>
                      </w:rPr>
                    </m:ctrlPr>
                  </m:fPr>
                  <m:num>
                    <m:r>
                      <w:rPr>
                        <w:rFonts w:ascii="Cambria Math" w:hAnsi="Cambria Math"/>
                        <w:szCs w:val="20"/>
                      </w:rPr>
                      <m:t xml:space="preserve"> 188.22 million tons of waste×0.60</m:t>
                    </m:r>
                  </m:num>
                  <m:den>
                    <m:r>
                      <w:rPr>
                        <w:rFonts w:ascii="Cambria Math" w:hAnsi="Cambria Math"/>
                        <w:szCs w:val="20"/>
                      </w:rPr>
                      <m:t>318.85 million people</m:t>
                    </m:r>
                  </m:den>
                </m:f>
              </m:oMath>
            </m:oMathPara>
          </w:p>
        </w:tc>
        <w:tc>
          <w:tcPr>
            <w:tcW w:w="2108" w:type="dxa"/>
          </w:tcPr>
          <w:p w:rsidR="0003373D" w:rsidP="00B25B74" w:rsidRDefault="00B25B74" w14:paraId="159B0CF4" w14:textId="4AC1AC8D">
            <w:pPr>
              <w:widowControl/>
              <w:tabs>
                <w:tab w:val="left" w:pos="0"/>
              </w:tabs>
              <w:spacing w:after="60"/>
              <w:rPr>
                <w:szCs w:val="20"/>
              </w:rPr>
            </w:pPr>
            <w:r>
              <w:t>0.354 tons combustible waste per person per year</w:t>
            </w:r>
          </w:p>
        </w:tc>
      </w:tr>
      <w:tr w:rsidR="00B162D6" w:rsidTr="00A75F47" w14:paraId="3E98611E" w14:textId="77777777">
        <w:trPr>
          <w:cantSplit/>
        </w:trPr>
        <w:tc>
          <w:tcPr>
            <w:tcW w:w="561" w:type="dxa"/>
            <w:vAlign w:val="center"/>
          </w:tcPr>
          <w:p w:rsidR="00DF0B38" w:rsidP="7D9108F3" w:rsidRDefault="0056502F" w14:paraId="304B1DB1" w14:textId="13C2AE20">
            <w:pPr>
              <w:widowControl/>
              <w:tabs>
                <w:tab w:val="left" w:pos="0"/>
              </w:tabs>
              <w:spacing w:before="240" w:after="60"/>
              <w:jc w:val="center"/>
              <w:rPr>
                <w:szCs w:val="20"/>
              </w:rPr>
            </w:pPr>
            <w:r w:rsidRPr="009F14D2">
              <w:t>2</w:t>
            </w:r>
          </w:p>
        </w:tc>
        <w:tc>
          <w:tcPr>
            <w:tcW w:w="3024" w:type="dxa"/>
            <w:vAlign w:val="center"/>
          </w:tcPr>
          <w:p w:rsidR="00DF0B38" w:rsidP="00347529" w:rsidRDefault="008B1324" w14:paraId="4CBECE77" w14:textId="66CD5002">
            <w:pPr>
              <w:widowControl/>
              <w:tabs>
                <w:tab w:val="left" w:pos="0"/>
              </w:tabs>
              <w:spacing w:before="240" w:after="60"/>
              <w:jc w:val="center"/>
              <w:rPr>
                <w:szCs w:val="20"/>
              </w:rPr>
            </w:pPr>
            <m:oMathPara>
              <m:oMath>
                <m:sSub>
                  <m:sSubPr>
                    <m:ctrlPr>
                      <w:rPr>
                        <w:rFonts w:ascii="Cambria Math" w:hAnsi="Cambria Math"/>
                        <w:i/>
                        <w:szCs w:val="20"/>
                      </w:rPr>
                    </m:ctrlPr>
                  </m:sSubPr>
                  <m:e>
                    <m:r>
                      <w:rPr>
                        <w:rFonts w:ascii="Cambria Math" w:hAnsi="Cambria Math"/>
                        <w:szCs w:val="20"/>
                      </w:rPr>
                      <m:t>PR</m:t>
                    </m:r>
                  </m:e>
                  <m:sub>
                    <m:r>
                      <w:rPr>
                        <w:rFonts w:ascii="Cambria Math" w:hAnsi="Cambria Math"/>
                        <w:szCs w:val="20"/>
                      </w:rPr>
                      <m:t>twaste</m:t>
                    </m:r>
                  </m:sub>
                </m:sSub>
                <m:r>
                  <w:rPr>
                    <w:rFonts w:ascii="Cambria Math" w:hAnsi="Cambria Math"/>
                    <w:szCs w:val="20"/>
                  </w:rPr>
                  <m:t>=</m:t>
                </m:r>
                <m:f>
                  <m:fPr>
                    <m:ctrlPr>
                      <w:rPr>
                        <w:rFonts w:ascii="Cambria Math" w:hAnsi="Cambria Math"/>
                        <w:i/>
                        <w:szCs w:val="20"/>
                      </w:rPr>
                    </m:ctrlPr>
                  </m:fPr>
                  <m:num>
                    <m:nary>
                      <m:naryPr>
                        <m:chr m:val="∑"/>
                        <m:limLoc m:val="subSup"/>
                        <m:supHide m:val="1"/>
                        <m:ctrlPr>
                          <w:rPr>
                            <w:rFonts w:ascii="Cambria Math" w:hAnsi="Cambria Math"/>
                            <w:i/>
                            <w:szCs w:val="20"/>
                          </w:rPr>
                        </m:ctrlPr>
                      </m:naryPr>
                      <m:sub>
                        <m:r>
                          <w:rPr>
                            <w:rFonts w:ascii="Cambria Math" w:hAnsi="Cambria Math"/>
                            <w:szCs w:val="20"/>
                          </w:rPr>
                          <m:t>NC</m:t>
                        </m:r>
                      </m:sub>
                      <m:sup/>
                      <m:e>
                        <m:r>
                          <w:rPr>
                            <w:rFonts w:ascii="Cambria Math" w:hAnsi="Cambria Math"/>
                            <w:szCs w:val="20"/>
                          </w:rPr>
                          <m:t>W</m:t>
                        </m:r>
                      </m:e>
                    </m:nary>
                    <m:r>
                      <w:rPr>
                        <w:rFonts w:ascii="Cambria Math" w:hAnsi="Cambria Math"/>
                        <w:szCs w:val="20"/>
                      </w:rPr>
                      <m:t>×0.60</m:t>
                    </m:r>
                  </m:num>
                  <m:den>
                    <m:sSub>
                      <m:sSubPr>
                        <m:ctrlPr>
                          <w:rPr>
                            <w:rFonts w:ascii="Cambria Math" w:hAnsi="Cambria Math"/>
                            <w:i/>
                            <w:szCs w:val="20"/>
                          </w:rPr>
                        </m:ctrlPr>
                      </m:sSubPr>
                      <m:e>
                        <m:r>
                          <w:rPr>
                            <w:rFonts w:ascii="Cambria Math" w:hAnsi="Cambria Math"/>
                            <w:szCs w:val="20"/>
                          </w:rPr>
                          <m:t>P</m:t>
                        </m:r>
                      </m:e>
                      <m:sub>
                        <m:r>
                          <w:rPr>
                            <w:rFonts w:ascii="Cambria Math" w:hAnsi="Cambria Math"/>
                            <w:szCs w:val="20"/>
                          </w:rPr>
                          <m:t>US</m:t>
                        </m:r>
                      </m:sub>
                    </m:sSub>
                  </m:den>
                </m:f>
              </m:oMath>
            </m:oMathPara>
          </w:p>
        </w:tc>
        <w:tc>
          <w:tcPr>
            <w:tcW w:w="3888" w:type="dxa"/>
            <w:vAlign w:val="center"/>
          </w:tcPr>
          <w:p w:rsidR="00DF0B38" w:rsidP="00B25B74" w:rsidRDefault="008B1324" w14:paraId="4F0389CA" w14:textId="26C93BBD">
            <w:pPr>
              <w:widowControl/>
              <w:tabs>
                <w:tab w:val="left" w:pos="0"/>
              </w:tabs>
              <w:spacing w:before="240" w:after="60"/>
              <w:jc w:val="center"/>
              <w:rPr>
                <w:szCs w:val="20"/>
              </w:rPr>
            </w:pPr>
            <m:oMathPara>
              <m:oMath>
                <m:f>
                  <m:fPr>
                    <m:ctrlPr>
                      <w:rPr>
                        <w:rFonts w:ascii="Cambria Math" w:hAnsi="Cambria Math"/>
                        <w:i/>
                        <w:szCs w:val="20"/>
                      </w:rPr>
                    </m:ctrlPr>
                  </m:fPr>
                  <m:num>
                    <m:r>
                      <w:rPr>
                        <w:rFonts w:ascii="Cambria Math" w:hAnsi="Cambria Math"/>
                        <w:szCs w:val="20"/>
                      </w:rPr>
                      <m:t>222.96 million tons of waste×0.60</m:t>
                    </m:r>
                  </m:num>
                  <m:den>
                    <m:r>
                      <w:rPr>
                        <w:rFonts w:ascii="Cambria Math" w:hAnsi="Cambria Math"/>
                        <w:szCs w:val="20"/>
                      </w:rPr>
                      <m:t>318.85 million people</m:t>
                    </m:r>
                  </m:den>
                </m:f>
              </m:oMath>
            </m:oMathPara>
          </w:p>
        </w:tc>
        <w:tc>
          <w:tcPr>
            <w:tcW w:w="2108" w:type="dxa"/>
          </w:tcPr>
          <w:p w:rsidR="00DF0B38" w:rsidP="00B25B74" w:rsidRDefault="00B25B74" w14:paraId="55C9ED10" w14:textId="26548C86">
            <w:pPr>
              <w:widowControl/>
              <w:tabs>
                <w:tab w:val="left" w:pos="0"/>
              </w:tabs>
              <w:spacing w:after="60"/>
              <w:rPr>
                <w:szCs w:val="20"/>
              </w:rPr>
            </w:pPr>
            <w:r>
              <w:t xml:space="preserve">0.420 tons </w:t>
            </w:r>
            <w:r w:rsidR="002E16A8">
              <w:t xml:space="preserve">total </w:t>
            </w:r>
            <w:r>
              <w:t xml:space="preserve">waste per person per year </w:t>
            </w:r>
          </w:p>
        </w:tc>
      </w:tr>
      <w:tr w:rsidR="00B162D6" w:rsidTr="00A75F47" w14:paraId="7D51B074" w14:textId="77777777">
        <w:trPr>
          <w:cantSplit/>
        </w:trPr>
        <w:tc>
          <w:tcPr>
            <w:tcW w:w="561" w:type="dxa"/>
            <w:vAlign w:val="center"/>
          </w:tcPr>
          <w:p w:rsidR="00676FE8" w:rsidP="7D9108F3" w:rsidRDefault="00676FE8" w14:paraId="74D17854" w14:textId="2E9EB421">
            <w:pPr>
              <w:widowControl/>
              <w:tabs>
                <w:tab w:val="left" w:pos="0"/>
              </w:tabs>
              <w:spacing w:after="60"/>
              <w:jc w:val="center"/>
              <w:rPr>
                <w:szCs w:val="20"/>
              </w:rPr>
            </w:pPr>
            <w:r w:rsidRPr="009F14D2">
              <w:t>3</w:t>
            </w:r>
          </w:p>
        </w:tc>
        <w:tc>
          <w:tcPr>
            <w:tcW w:w="3024" w:type="dxa"/>
            <w:vAlign w:val="center"/>
          </w:tcPr>
          <w:p w:rsidR="00676FE8" w:rsidP="002E16A8" w:rsidRDefault="008B1324" w14:paraId="23021552" w14:textId="3B7A29C4">
            <w:pPr>
              <w:widowControl/>
              <w:tabs>
                <w:tab w:val="left" w:pos="0"/>
              </w:tabs>
              <w:spacing w:after="60"/>
              <w:jc w:val="center"/>
              <w:rPr>
                <w:szCs w:val="20"/>
              </w:rPr>
            </w:pPr>
            <m:oMathPara>
              <m:oMath>
                <m:sSub>
                  <m:sSubPr>
                    <m:ctrlPr>
                      <w:rPr>
                        <w:rFonts w:ascii="Cambria Math" w:hAnsi="Cambria Math"/>
                        <w:i/>
                      </w:rPr>
                    </m:ctrlPr>
                  </m:sSubPr>
                  <m:e>
                    <m:r>
                      <w:rPr>
                        <w:rFonts w:ascii="Cambria Math" w:hAnsi="Cambria Math"/>
                      </w:rPr>
                      <m:t>PBurn</m:t>
                    </m:r>
                  </m:e>
                  <m:sub>
                    <m:r>
                      <w:rPr>
                        <w:rFonts w:ascii="Cambria Math" w:hAnsi="Cambria Math"/>
                      </w:rPr>
                      <m:t>c</m:t>
                    </m:r>
                  </m:sub>
                </m:sSub>
                <m:r>
                  <w:rPr>
                    <w:rFonts w:ascii="Cambria Math" w:hAnsi="Cambria Math"/>
                  </w:rPr>
                  <m:t>=</m:t>
                </m:r>
                <m:sSub>
                  <m:sSubPr>
                    <m:ctrlPr>
                      <w:rPr>
                        <w:rFonts w:ascii="Cambria Math" w:hAnsi="Cambria Math"/>
                        <w:i/>
                      </w:rPr>
                    </m:ctrlPr>
                  </m:sSubPr>
                  <m:e>
                    <m:r>
                      <w:rPr>
                        <w:rFonts w:ascii="Cambria Math" w:hAnsi="Cambria Math"/>
                      </w:rPr>
                      <m:t>RPop</m:t>
                    </m:r>
                  </m:e>
                  <m:sub>
                    <m:r>
                      <w:rPr>
                        <w:rFonts w:ascii="Cambria Math" w:hAnsi="Cambria Math"/>
                      </w:rPr>
                      <m:t>c</m:t>
                    </m:r>
                  </m:sub>
                </m:sSub>
                <m:r>
                  <w:rPr>
                    <w:rFonts w:ascii="Cambria Math" w:hAnsi="Cambria Math"/>
                  </w:rPr>
                  <m:t>×0.24</m:t>
                </m:r>
              </m:oMath>
            </m:oMathPara>
          </w:p>
        </w:tc>
        <w:tc>
          <w:tcPr>
            <w:tcW w:w="3888" w:type="dxa"/>
            <w:vAlign w:val="center"/>
          </w:tcPr>
          <w:p w:rsidR="00676FE8" w:rsidP="00B701D2" w:rsidRDefault="00B701D2" w14:paraId="21F8A65C" w14:textId="7F3D8213">
            <w:pPr>
              <w:widowControl/>
              <w:tabs>
                <w:tab w:val="left" w:pos="0"/>
              </w:tabs>
              <w:spacing w:after="60"/>
              <w:jc w:val="center"/>
              <w:rPr>
                <w:szCs w:val="20"/>
              </w:rPr>
            </w:pPr>
            <m:oMathPara>
              <m:oMath>
                <m:r>
                  <w:rPr>
                    <w:rFonts w:ascii="Cambria Math" w:hAnsi="Cambria Math"/>
                  </w:rPr>
                  <m:t>22,921 people×0.24</m:t>
                </m:r>
              </m:oMath>
            </m:oMathPara>
          </w:p>
        </w:tc>
        <w:tc>
          <w:tcPr>
            <w:tcW w:w="2108" w:type="dxa"/>
          </w:tcPr>
          <w:p w:rsidR="00676FE8" w:rsidRDefault="00B701D2" w14:paraId="5B12DA68" w14:textId="75B41ABF">
            <w:pPr>
              <w:widowControl/>
              <w:tabs>
                <w:tab w:val="left" w:pos="0"/>
              </w:tabs>
              <w:spacing w:after="60"/>
              <w:rPr>
                <w:szCs w:val="20"/>
              </w:rPr>
            </w:pPr>
            <w:r>
              <w:rPr>
                <w:szCs w:val="20"/>
              </w:rPr>
              <w:t xml:space="preserve">5,501 people likely to burn </w:t>
            </w:r>
            <w:r w:rsidR="00347529">
              <w:rPr>
                <w:szCs w:val="20"/>
              </w:rPr>
              <w:t xml:space="preserve">in </w:t>
            </w:r>
            <w:r w:rsidR="009F7029">
              <w:rPr>
                <w:szCs w:val="20"/>
              </w:rPr>
              <w:t>Autauga County, AL</w:t>
            </w:r>
          </w:p>
        </w:tc>
      </w:tr>
      <w:tr w:rsidR="00B162D6" w:rsidTr="00A75F47" w14:paraId="4168EE61" w14:textId="77777777">
        <w:trPr>
          <w:cantSplit/>
        </w:trPr>
        <w:tc>
          <w:tcPr>
            <w:tcW w:w="561" w:type="dxa"/>
            <w:vAlign w:val="center"/>
          </w:tcPr>
          <w:p w:rsidR="00B25B74" w:rsidP="7D9108F3" w:rsidRDefault="002E16A8" w14:paraId="6AD5AE4F" w14:textId="64838E2E">
            <w:pPr>
              <w:widowControl/>
              <w:tabs>
                <w:tab w:val="left" w:pos="0"/>
              </w:tabs>
              <w:spacing w:after="60"/>
              <w:jc w:val="center"/>
              <w:rPr>
                <w:szCs w:val="20"/>
              </w:rPr>
            </w:pPr>
            <w:r>
              <w:t>4</w:t>
            </w:r>
          </w:p>
        </w:tc>
        <w:tc>
          <w:tcPr>
            <w:tcW w:w="3024" w:type="dxa"/>
            <w:vAlign w:val="center"/>
          </w:tcPr>
          <w:p w:rsidR="00B25B74" w:rsidP="00347529" w:rsidRDefault="008B1324" w14:paraId="228CF90C" w14:textId="35CE1D82">
            <w:pPr>
              <w:widowControl/>
              <w:autoSpaceDE/>
              <w:autoSpaceDN/>
              <w:adjustRightInd/>
              <w:jc w:val="center"/>
            </w:pPr>
            <m:oMathPara>
              <m:oMath>
                <m:sSub>
                  <m:sSubPr>
                    <m:ctrlPr>
                      <w:rPr>
                        <w:rFonts w:ascii="Cambria Math" w:hAnsi="Cambria Math"/>
                        <w:i/>
                      </w:rPr>
                    </m:ctrlPr>
                  </m:sSubPr>
                  <m:e>
                    <m:r>
                      <w:rPr>
                        <w:rFonts w:ascii="Cambria Math" w:hAnsi="Cambria Math"/>
                      </w:rPr>
                      <m:t>CWst</m:t>
                    </m:r>
                  </m:e>
                  <m:sub>
                    <m:r>
                      <w:rPr>
                        <w:rFonts w:ascii="Cambria Math" w:hAnsi="Cambria Math"/>
                      </w:rPr>
                      <m:t>c</m:t>
                    </m:r>
                  </m:sub>
                </m:sSub>
                <m:r>
                  <w:rPr>
                    <w:rFonts w:ascii="Cambria Math" w:hAnsi="Cambria Math"/>
                  </w:rPr>
                  <m:t>=</m:t>
                </m:r>
                <m:sSub>
                  <m:sSubPr>
                    <m:ctrlPr>
                      <w:rPr>
                        <w:rFonts w:ascii="Cambria Math" w:hAnsi="Cambria Math"/>
                        <w:i/>
                      </w:rPr>
                    </m:ctrlPr>
                  </m:sSubPr>
                  <m:e>
                    <m:r>
                      <w:rPr>
                        <w:rFonts w:ascii="Cambria Math" w:hAnsi="Cambria Math"/>
                      </w:rPr>
                      <m:t>PBurn</m:t>
                    </m:r>
                  </m:e>
                  <m:sub>
                    <m:r>
                      <w:rPr>
                        <w:rFonts w:ascii="Cambria Math" w:hAnsi="Cambria Math"/>
                      </w:rPr>
                      <m:t>c</m:t>
                    </m:r>
                  </m:sub>
                </m:sSub>
                <m:r>
                  <w:rPr>
                    <w:rFonts w:ascii="Cambria Math" w:hAnsi="Cambria Math"/>
                  </w:rPr>
                  <m:t>×</m:t>
                </m:r>
                <m:sSub>
                  <m:sSubPr>
                    <m:ctrlPr>
                      <w:rPr>
                        <w:rFonts w:ascii="Cambria Math" w:hAnsi="Cambria Math"/>
                        <w:i/>
                      </w:rPr>
                    </m:ctrlPr>
                  </m:sSubPr>
                  <m:e>
                    <m:r>
                      <w:rPr>
                        <w:rFonts w:ascii="Cambria Math" w:hAnsi="Cambria Math"/>
                      </w:rPr>
                      <m:t>PC</m:t>
                    </m:r>
                  </m:e>
                  <m:sub>
                    <m:r>
                      <w:rPr>
                        <w:rFonts w:ascii="Cambria Math" w:hAnsi="Cambria Math"/>
                      </w:rPr>
                      <m:t>cwaste</m:t>
                    </m:r>
                  </m:sub>
                </m:sSub>
              </m:oMath>
            </m:oMathPara>
          </w:p>
        </w:tc>
        <w:tc>
          <w:tcPr>
            <w:tcW w:w="3888" w:type="dxa"/>
            <w:vAlign w:val="center"/>
          </w:tcPr>
          <w:p w:rsidR="00B25B74" w:rsidP="00B162D6" w:rsidRDefault="00B701D2" w14:paraId="153B0DDD" w14:textId="1FD4FCD7">
            <w:pPr>
              <w:widowControl/>
              <w:tabs>
                <w:tab w:val="left" w:pos="0"/>
              </w:tabs>
              <w:spacing w:after="60"/>
              <w:jc w:val="center"/>
              <w:rPr>
                <w:szCs w:val="20"/>
              </w:rPr>
            </w:pPr>
            <m:oMath>
              <m:r>
                <w:rPr>
                  <w:rFonts w:ascii="Cambria Math" w:hAnsi="Cambria Math"/>
                </w:rPr>
                <m:t>5,501 people×</m:t>
              </m:r>
              <m:r>
                <w:rPr>
                  <w:rFonts w:ascii="Cambria Math" w:hAnsi="Cambria Math"/>
                  <w:szCs w:val="20"/>
                </w:rPr>
                <m:t>0.354 tons combustible</m:t>
              </m:r>
              <m:r>
                <m:rPr>
                  <m:sty m:val="p"/>
                </m:rPr>
                <w:rPr>
                  <w:rFonts w:ascii="Cambria Math" w:hAnsi="Cambria Math"/>
                </w:rPr>
                <m:t xml:space="preserve"> waste</m:t>
              </m:r>
              <m:r>
                <w:rPr>
                  <w:rFonts w:ascii="Cambria Math" w:hAnsi="Cambria Math"/>
                  <w:szCs w:val="20"/>
                </w:rPr>
                <m:t xml:space="preserve"> per person</m:t>
              </m:r>
            </m:oMath>
            <w:r w:rsidR="00B162D6">
              <w:rPr>
                <w:szCs w:val="20"/>
              </w:rPr>
              <w:t xml:space="preserve"> </w:t>
            </w:r>
          </w:p>
        </w:tc>
        <w:tc>
          <w:tcPr>
            <w:tcW w:w="2108" w:type="dxa"/>
          </w:tcPr>
          <w:p w:rsidR="00B25B74" w:rsidP="00DF0B38" w:rsidRDefault="00B66366" w14:paraId="158F9C39" w14:textId="4A181746">
            <w:pPr>
              <w:widowControl/>
              <w:tabs>
                <w:tab w:val="left" w:pos="0"/>
              </w:tabs>
              <w:spacing w:after="60"/>
              <w:rPr>
                <w:szCs w:val="20"/>
              </w:rPr>
            </w:pPr>
            <w:r>
              <w:rPr>
                <w:szCs w:val="20"/>
              </w:rPr>
              <w:t>1,947.4</w:t>
            </w:r>
            <w:r w:rsidR="0020011C">
              <w:rPr>
                <w:szCs w:val="20"/>
              </w:rPr>
              <w:t xml:space="preserve"> tons of combustible waste burned in Autauga County, AL</w:t>
            </w:r>
          </w:p>
        </w:tc>
      </w:tr>
      <w:tr w:rsidR="00B701D2" w:rsidTr="00A75F47" w14:paraId="72380FC0" w14:textId="77777777">
        <w:trPr>
          <w:cantSplit/>
        </w:trPr>
        <w:tc>
          <w:tcPr>
            <w:tcW w:w="561" w:type="dxa"/>
            <w:vAlign w:val="center"/>
          </w:tcPr>
          <w:p w:rsidR="00B701D2" w:rsidP="7D9108F3" w:rsidRDefault="00B701D2" w14:paraId="5DE73A29" w14:textId="5DEF84F4">
            <w:pPr>
              <w:widowControl/>
              <w:tabs>
                <w:tab w:val="left" w:pos="0"/>
              </w:tabs>
              <w:spacing w:after="60"/>
              <w:jc w:val="center"/>
            </w:pPr>
            <w:r>
              <w:t>5</w:t>
            </w:r>
          </w:p>
        </w:tc>
        <w:tc>
          <w:tcPr>
            <w:tcW w:w="3024" w:type="dxa"/>
            <w:vAlign w:val="center"/>
          </w:tcPr>
          <w:p w:rsidR="00B701D2" w:rsidP="00347529" w:rsidRDefault="008B1324" w14:paraId="0AAF10E3" w14:textId="4A2156D1">
            <w:pPr>
              <w:widowControl/>
              <w:autoSpaceDE/>
              <w:autoSpaceDN/>
              <w:adjustRightInd/>
              <w:jc w:val="center"/>
            </w:pPr>
            <m:oMathPara>
              <m:oMath>
                <m:sSub>
                  <m:sSubPr>
                    <m:ctrlPr>
                      <w:rPr>
                        <w:rFonts w:ascii="Cambria Math" w:hAnsi="Cambria Math"/>
                        <w:i/>
                      </w:rPr>
                    </m:ctrlPr>
                  </m:sSubPr>
                  <m:e>
                    <m:r>
                      <w:rPr>
                        <w:rFonts w:ascii="Cambria Math" w:hAnsi="Cambria Math"/>
                      </w:rPr>
                      <m:t>EF</m:t>
                    </m:r>
                  </m:e>
                  <m:sub>
                    <m:r>
                      <w:rPr>
                        <w:rFonts w:ascii="Cambria Math" w:hAnsi="Cambria Math"/>
                      </w:rPr>
                      <m:t>p,Com</m:t>
                    </m:r>
                  </m:sub>
                </m:sSub>
                <m:r>
                  <w:rPr>
                    <w:rFonts w:ascii="Cambria Math" w:hAnsi="Cambria Math"/>
                  </w:rPr>
                  <m:t>=</m:t>
                </m:r>
                <m:sSub>
                  <m:sSubPr>
                    <m:ctrlPr>
                      <w:rPr>
                        <w:rFonts w:ascii="Cambria Math" w:hAnsi="Cambria Math"/>
                        <w:i/>
                      </w:rPr>
                    </m:ctrlPr>
                  </m:sSubPr>
                  <m:e>
                    <m:r>
                      <w:rPr>
                        <w:rFonts w:ascii="Cambria Math" w:hAnsi="Cambria Math"/>
                      </w:rPr>
                      <m:t>EF</m:t>
                    </m:r>
                  </m:e>
                  <m:sub>
                    <m:r>
                      <w:rPr>
                        <w:rFonts w:ascii="Cambria Math" w:hAnsi="Cambria Math"/>
                      </w:rPr>
                      <m:t>p,T</m:t>
                    </m:r>
                  </m:sub>
                </m:sSub>
                <m:r>
                  <w:rPr>
                    <w:rFonts w:ascii="Cambria Math" w:hAnsi="Cambria Math"/>
                  </w:rPr>
                  <m:t>×</m:t>
                </m:r>
                <m:f>
                  <m:fPr>
                    <m:ctrlPr>
                      <w:rPr>
                        <w:rFonts w:ascii="Cambria Math" w:hAnsi="Cambria Math"/>
                        <w:i/>
                      </w:rPr>
                    </m:ctrlPr>
                  </m:fPr>
                  <m:num>
                    <m:sSub>
                      <m:sSubPr>
                        <m:ctrlPr>
                          <w:rPr>
                            <w:rFonts w:ascii="Cambria Math" w:hAnsi="Cambria Math"/>
                            <w:i/>
                          </w:rPr>
                        </m:ctrlPr>
                      </m:sSubPr>
                      <m:e>
                        <m:r>
                          <w:rPr>
                            <w:rFonts w:ascii="Cambria Math" w:hAnsi="Cambria Math"/>
                          </w:rPr>
                          <m:t>PC</m:t>
                        </m:r>
                      </m:e>
                      <m:sub>
                        <m:r>
                          <w:rPr>
                            <w:rFonts w:ascii="Cambria Math" w:hAnsi="Cambria Math"/>
                          </w:rPr>
                          <m:t>twaste</m:t>
                        </m:r>
                      </m:sub>
                    </m:sSub>
                  </m:num>
                  <m:den>
                    <m:sSub>
                      <m:sSubPr>
                        <m:ctrlPr>
                          <w:rPr>
                            <w:rFonts w:ascii="Cambria Math" w:hAnsi="Cambria Math"/>
                            <w:i/>
                          </w:rPr>
                        </m:ctrlPr>
                      </m:sSubPr>
                      <m:e>
                        <m:r>
                          <w:rPr>
                            <w:rFonts w:ascii="Cambria Math" w:hAnsi="Cambria Math"/>
                          </w:rPr>
                          <m:t>PC</m:t>
                        </m:r>
                      </m:e>
                      <m:sub>
                        <m:r>
                          <w:rPr>
                            <w:rFonts w:ascii="Cambria Math" w:hAnsi="Cambria Math"/>
                          </w:rPr>
                          <m:t>cwaste</m:t>
                        </m:r>
                      </m:sub>
                    </m:sSub>
                  </m:den>
                </m:f>
              </m:oMath>
            </m:oMathPara>
          </w:p>
        </w:tc>
        <w:tc>
          <w:tcPr>
            <w:tcW w:w="3888" w:type="dxa"/>
            <w:vAlign w:val="center"/>
          </w:tcPr>
          <w:p w:rsidR="00B701D2" w:rsidP="00B701D2" w:rsidRDefault="00B701D2" w14:paraId="79278DB5" w14:textId="4BCCBCB7">
            <w:pPr>
              <w:widowControl/>
              <w:tabs>
                <w:tab w:val="left" w:pos="0"/>
              </w:tabs>
              <w:spacing w:after="60"/>
              <w:jc w:val="center"/>
            </w:pPr>
            <m:oMathPara>
              <m:oMath>
                <m:r>
                  <w:rPr>
                    <w:rFonts w:ascii="Cambria Math" w:hAnsi="Cambria Math"/>
                  </w:rPr>
                  <m:t>85 lbs. per ton×</m:t>
                </m:r>
                <m:f>
                  <m:fPr>
                    <m:ctrlPr>
                      <w:rPr>
                        <w:rFonts w:ascii="Cambria Math" w:hAnsi="Cambria Math"/>
                        <w:i/>
                      </w:rPr>
                    </m:ctrlPr>
                  </m:fPr>
                  <m:num>
                    <m:r>
                      <w:rPr>
                        <w:rFonts w:ascii="Cambria Math" w:hAnsi="Cambria Math"/>
                      </w:rPr>
                      <m:t>0.42 tons per person</m:t>
                    </m:r>
                  </m:num>
                  <m:den>
                    <m:r>
                      <w:rPr>
                        <w:rFonts w:ascii="Cambria Math" w:hAnsi="Cambria Math"/>
                      </w:rPr>
                      <m:t>0.354 tons per person</m:t>
                    </m:r>
                  </m:den>
                </m:f>
              </m:oMath>
            </m:oMathPara>
          </w:p>
        </w:tc>
        <w:tc>
          <w:tcPr>
            <w:tcW w:w="2108" w:type="dxa"/>
          </w:tcPr>
          <w:p w:rsidR="00B701D2" w:rsidP="00B701D2" w:rsidRDefault="00B66366" w14:paraId="7D745043" w14:textId="2EDAB1C5">
            <w:pPr>
              <w:widowControl/>
              <w:tabs>
                <w:tab w:val="left" w:pos="0"/>
              </w:tabs>
              <w:spacing w:after="60"/>
              <w:rPr>
                <w:szCs w:val="20"/>
              </w:rPr>
            </w:pPr>
            <w:r>
              <w:rPr>
                <w:szCs w:val="20"/>
              </w:rPr>
              <w:t>100.8</w:t>
            </w:r>
            <w:r w:rsidR="00B701D2">
              <w:rPr>
                <w:szCs w:val="20"/>
              </w:rPr>
              <w:t xml:space="preserve"> lbs. of CO per ton of combustible waste burned</w:t>
            </w:r>
          </w:p>
        </w:tc>
      </w:tr>
      <w:tr w:rsidR="002E16A8" w:rsidTr="00A75F47" w14:paraId="783FE5C2" w14:textId="77777777">
        <w:trPr>
          <w:cantSplit/>
        </w:trPr>
        <w:tc>
          <w:tcPr>
            <w:tcW w:w="561" w:type="dxa"/>
            <w:vAlign w:val="center"/>
          </w:tcPr>
          <w:p w:rsidR="002E16A8" w:rsidP="7D9108F3" w:rsidRDefault="00B701D2" w14:paraId="45406865" w14:textId="62F56A7E">
            <w:pPr>
              <w:widowControl/>
              <w:tabs>
                <w:tab w:val="left" w:pos="0"/>
              </w:tabs>
              <w:spacing w:after="60"/>
              <w:jc w:val="center"/>
              <w:rPr>
                <w:szCs w:val="20"/>
              </w:rPr>
            </w:pPr>
            <w:r>
              <w:t>6</w:t>
            </w:r>
          </w:p>
        </w:tc>
        <w:tc>
          <w:tcPr>
            <w:tcW w:w="3024" w:type="dxa"/>
            <w:vAlign w:val="center"/>
          </w:tcPr>
          <w:p w:rsidRPr="009A0471" w:rsidR="002E16A8" w:rsidP="00347529" w:rsidRDefault="002E16A8" w14:paraId="1DA17EB3" w14:textId="77777777">
            <w:pPr>
              <w:widowControl/>
              <w:autoSpaceDE/>
              <w:autoSpaceDN/>
              <w:adjustRightInd/>
              <w:jc w:val="center"/>
            </w:pPr>
            <m:oMathPara>
              <m:oMathParaPr>
                <m:jc m:val="center"/>
              </m:oMathParaPr>
              <m:oMath>
                <m:r>
                  <w:rPr>
                    <w:rFonts w:ascii="Cambria Math" w:hAnsi="Cambria Math"/>
                  </w:rPr>
                  <m:t>If county c has a burn ban</m:t>
                </m:r>
              </m:oMath>
            </m:oMathPara>
          </w:p>
          <w:p w:rsidR="002E16A8" w:rsidP="00347529" w:rsidRDefault="002E16A8" w14:paraId="52F1D790" w14:textId="5786606F">
            <w:pPr>
              <w:widowControl/>
              <w:autoSpaceDE/>
              <w:autoSpaceDN/>
              <w:adjustRightInd/>
              <w:jc w:val="center"/>
            </w:pPr>
            <m:oMathPara>
              <m:oMath>
                <m:r>
                  <w:rPr>
                    <w:rFonts w:ascii="Cambria Math" w:hAnsi="Cambria Math"/>
                  </w:rPr>
                  <m:t xml:space="preserve">Then </m:t>
                </m:r>
                <m:sSub>
                  <m:sSubPr>
                    <m:ctrlPr>
                      <w:rPr>
                        <w:rFonts w:ascii="Cambria Math" w:hAnsi="Cambria Math"/>
                        <w:i/>
                      </w:rPr>
                    </m:ctrlPr>
                  </m:sSubPr>
                  <m:e>
                    <m:r>
                      <w:rPr>
                        <w:rFonts w:ascii="Cambria Math" w:hAnsi="Cambria Math"/>
                      </w:rPr>
                      <m:t>CWst</m:t>
                    </m:r>
                  </m:e>
                  <m:sub>
                    <m:r>
                      <w:rPr>
                        <w:rFonts w:ascii="Cambria Math" w:hAnsi="Cambria Math"/>
                      </w:rPr>
                      <m:t>c</m:t>
                    </m:r>
                  </m:sub>
                </m:sSub>
                <m:r>
                  <w:rPr>
                    <w:rFonts w:ascii="Cambria Math" w:hAnsi="Cambria Math"/>
                  </w:rPr>
                  <m:t>=</m:t>
                </m:r>
                <m:sSub>
                  <m:sSubPr>
                    <m:ctrlPr>
                      <w:rPr>
                        <w:rFonts w:ascii="Cambria Math" w:hAnsi="Cambria Math"/>
                        <w:i/>
                      </w:rPr>
                    </m:ctrlPr>
                  </m:sSubPr>
                  <m:e>
                    <m:r>
                      <w:rPr>
                        <w:rFonts w:ascii="Cambria Math" w:hAnsi="Cambria Math"/>
                      </w:rPr>
                      <m:t>CWst</m:t>
                    </m:r>
                  </m:e>
                  <m:sub>
                    <m:r>
                      <w:rPr>
                        <w:rFonts w:ascii="Cambria Math" w:hAnsi="Cambria Math"/>
                      </w:rPr>
                      <m:t>c</m:t>
                    </m:r>
                  </m:sub>
                </m:sSub>
                <m:r>
                  <w:rPr>
                    <w:rFonts w:ascii="Cambria Math" w:hAnsi="Cambria Math"/>
                  </w:rPr>
                  <m:t>×0.25</m:t>
                </m:r>
              </m:oMath>
            </m:oMathPara>
          </w:p>
        </w:tc>
        <w:tc>
          <w:tcPr>
            <w:tcW w:w="3888" w:type="dxa"/>
            <w:vAlign w:val="center"/>
          </w:tcPr>
          <w:p w:rsidR="002E16A8" w:rsidP="00FE7F5B" w:rsidRDefault="002E16A8" w14:paraId="22E7863B" w14:textId="632AE213">
            <w:pPr>
              <w:widowControl/>
              <w:tabs>
                <w:tab w:val="left" w:pos="0"/>
              </w:tabs>
              <w:spacing w:after="60"/>
              <w:jc w:val="center"/>
              <w:rPr>
                <w:szCs w:val="20"/>
              </w:rPr>
            </w:pPr>
            <m:oMathPara>
              <m:oMath>
                <m:r>
                  <w:rPr>
                    <w:rFonts w:ascii="Cambria Math" w:hAnsi="Cambria Math"/>
                  </w:rPr>
                  <m:t>N/A</m:t>
                </m:r>
              </m:oMath>
            </m:oMathPara>
          </w:p>
        </w:tc>
        <w:tc>
          <w:tcPr>
            <w:tcW w:w="2108" w:type="dxa"/>
          </w:tcPr>
          <w:p w:rsidR="002E16A8" w:rsidP="00DF0B38" w:rsidRDefault="002E16A8" w14:paraId="271553E3" w14:textId="6980732A">
            <w:pPr>
              <w:widowControl/>
              <w:tabs>
                <w:tab w:val="left" w:pos="0"/>
              </w:tabs>
              <w:spacing w:after="60"/>
              <w:rPr>
                <w:szCs w:val="20"/>
              </w:rPr>
            </w:pPr>
            <w:r>
              <w:rPr>
                <w:szCs w:val="20"/>
              </w:rPr>
              <w:t>Autauga County, AL does not have a burn ban</w:t>
            </w:r>
          </w:p>
        </w:tc>
      </w:tr>
      <w:tr w:rsidR="00B701D2" w:rsidTr="00A75F47" w14:paraId="6CEC5A1C" w14:textId="77777777">
        <w:trPr>
          <w:cantSplit/>
        </w:trPr>
        <w:tc>
          <w:tcPr>
            <w:tcW w:w="561" w:type="dxa"/>
            <w:vMerge w:val="restart"/>
            <w:vAlign w:val="center"/>
          </w:tcPr>
          <w:p w:rsidR="00B701D2" w:rsidP="7D9108F3" w:rsidRDefault="00B701D2" w14:paraId="5EADA4B2" w14:textId="77777777">
            <w:pPr>
              <w:widowControl/>
              <w:tabs>
                <w:tab w:val="left" w:pos="0"/>
              </w:tabs>
              <w:spacing w:after="60"/>
              <w:jc w:val="center"/>
              <w:rPr>
                <w:szCs w:val="20"/>
              </w:rPr>
            </w:pPr>
            <w:r>
              <w:t>7</w:t>
            </w:r>
          </w:p>
          <w:p w:rsidR="00B701D2" w:rsidP="7D9108F3" w:rsidRDefault="00B701D2" w14:paraId="121E414B" w14:textId="618D07C1">
            <w:pPr>
              <w:tabs>
                <w:tab w:val="left" w:pos="0"/>
              </w:tabs>
              <w:spacing w:after="60"/>
              <w:jc w:val="center"/>
              <w:rPr>
                <w:szCs w:val="20"/>
              </w:rPr>
            </w:pPr>
          </w:p>
        </w:tc>
        <w:tc>
          <w:tcPr>
            <w:tcW w:w="3024" w:type="dxa"/>
            <w:vMerge w:val="restart"/>
            <w:vAlign w:val="center"/>
          </w:tcPr>
          <w:p w:rsidR="00B701D2" w:rsidP="00347529" w:rsidRDefault="008B1324" w14:paraId="2DBBA613" w14:textId="049B9D61">
            <w:pPr>
              <w:jc w:val="center"/>
            </w:pPr>
            <m:oMathPara>
              <m:oMath>
                <m:sSub>
                  <m:sSubPr>
                    <m:ctrlPr>
                      <w:rPr>
                        <w:rFonts w:ascii="Cambria Math" w:hAnsi="Cambria Math"/>
                        <w:i/>
                        <w:szCs w:val="20"/>
                      </w:rPr>
                    </m:ctrlPr>
                  </m:sSubPr>
                  <m:e>
                    <m:r>
                      <w:rPr>
                        <w:rFonts w:ascii="Cambria Math" w:hAnsi="Cambria Math"/>
                        <w:szCs w:val="20"/>
                      </w:rPr>
                      <m:t>E</m:t>
                    </m:r>
                  </m:e>
                  <m:sub>
                    <m:r>
                      <w:rPr>
                        <w:rFonts w:ascii="Cambria Math" w:hAnsi="Cambria Math"/>
                        <w:szCs w:val="20"/>
                      </w:rPr>
                      <m:t>p,c</m:t>
                    </m:r>
                  </m:sub>
                </m:sSub>
                <m:r>
                  <w:rPr>
                    <w:rFonts w:ascii="Cambria Math" w:hAnsi="Cambria Math"/>
                    <w:szCs w:val="20"/>
                  </w:rPr>
                  <m:t>=</m:t>
                </m:r>
                <m:sSub>
                  <m:sSubPr>
                    <m:ctrlPr>
                      <w:rPr>
                        <w:rFonts w:ascii="Cambria Math" w:hAnsi="Cambria Math"/>
                        <w:i/>
                        <w:szCs w:val="20"/>
                      </w:rPr>
                    </m:ctrlPr>
                  </m:sSubPr>
                  <m:e>
                    <m:r>
                      <w:rPr>
                        <w:rFonts w:ascii="Cambria Math" w:hAnsi="Cambria Math"/>
                        <w:szCs w:val="20"/>
                      </w:rPr>
                      <m:t>CWst</m:t>
                    </m:r>
                  </m:e>
                  <m:sub>
                    <m:r>
                      <w:rPr>
                        <w:rFonts w:ascii="Cambria Math" w:hAnsi="Cambria Math"/>
                        <w:szCs w:val="20"/>
                      </w:rPr>
                      <m:t>c</m:t>
                    </m:r>
                  </m:sub>
                </m:sSub>
                <m:r>
                  <w:rPr>
                    <w:rFonts w:ascii="Cambria Math" w:hAnsi="Cambria Math"/>
                    <w:szCs w:val="20"/>
                  </w:rPr>
                  <m:t>×</m:t>
                </m:r>
                <m:sSub>
                  <m:sSubPr>
                    <m:ctrlPr>
                      <w:rPr>
                        <w:rFonts w:ascii="Cambria Math" w:hAnsi="Cambria Math"/>
                        <w:i/>
                        <w:szCs w:val="20"/>
                      </w:rPr>
                    </m:ctrlPr>
                  </m:sSubPr>
                  <m:e>
                    <m:r>
                      <w:rPr>
                        <w:rFonts w:ascii="Cambria Math" w:hAnsi="Cambria Math"/>
                        <w:szCs w:val="20"/>
                      </w:rPr>
                      <m:t>EF</m:t>
                    </m:r>
                  </m:e>
                  <m:sub>
                    <m:r>
                      <w:rPr>
                        <w:rFonts w:ascii="Cambria Math" w:hAnsi="Cambria Math"/>
                        <w:szCs w:val="20"/>
                      </w:rPr>
                      <m:t>p,Com</m:t>
                    </m:r>
                  </m:sub>
                </m:sSub>
              </m:oMath>
            </m:oMathPara>
          </w:p>
        </w:tc>
        <w:tc>
          <w:tcPr>
            <w:tcW w:w="3888" w:type="dxa"/>
            <w:vAlign w:val="center"/>
          </w:tcPr>
          <w:p w:rsidRPr="00347529" w:rsidR="00B701D2" w:rsidP="00B66366" w:rsidRDefault="00B701D2" w14:paraId="12DEF9DA" w14:textId="736CF7AE">
            <w:pPr>
              <w:widowControl/>
              <w:tabs>
                <w:tab w:val="left" w:pos="0"/>
              </w:tabs>
              <w:spacing w:after="60"/>
              <w:jc w:val="center"/>
              <w:rPr>
                <w:i/>
                <w:szCs w:val="20"/>
              </w:rPr>
            </w:pPr>
            <m:oMathPara>
              <m:oMath>
                <m:r>
                  <w:rPr>
                    <w:rFonts w:ascii="Cambria Math" w:hAnsi="Cambria Math"/>
                    <w:szCs w:val="20"/>
                  </w:rPr>
                  <m:t>1,947.4 tons×100.8 lbs. per ton</m:t>
                </m:r>
              </m:oMath>
            </m:oMathPara>
          </w:p>
        </w:tc>
        <w:tc>
          <w:tcPr>
            <w:tcW w:w="2108" w:type="dxa"/>
          </w:tcPr>
          <w:p w:rsidR="00B701D2" w:rsidP="00B66366" w:rsidRDefault="00B701D2" w14:paraId="0F23D699" w14:textId="0A853667">
            <w:pPr>
              <w:widowControl/>
              <w:tabs>
                <w:tab w:val="left" w:pos="0"/>
              </w:tabs>
              <w:spacing w:after="60"/>
              <w:rPr>
                <w:szCs w:val="20"/>
              </w:rPr>
            </w:pPr>
            <w:r>
              <w:rPr>
                <w:szCs w:val="20"/>
              </w:rPr>
              <w:t>9</w:t>
            </w:r>
            <w:r w:rsidR="00B66366">
              <w:rPr>
                <w:szCs w:val="20"/>
              </w:rPr>
              <w:t>8</w:t>
            </w:r>
            <w:r>
              <w:rPr>
                <w:szCs w:val="20"/>
              </w:rPr>
              <w:t>.</w:t>
            </w:r>
            <w:r w:rsidR="00B66366">
              <w:rPr>
                <w:szCs w:val="20"/>
              </w:rPr>
              <w:t>14</w:t>
            </w:r>
            <w:r>
              <w:rPr>
                <w:szCs w:val="20"/>
              </w:rPr>
              <w:t xml:space="preserve"> tons CO emissions from burning of RHW in Autauga County, AL</w:t>
            </w:r>
          </w:p>
        </w:tc>
      </w:tr>
      <w:tr w:rsidR="00B701D2" w:rsidTr="00A75F47" w14:paraId="2F33EFA0" w14:textId="77777777">
        <w:trPr>
          <w:cantSplit/>
        </w:trPr>
        <w:tc>
          <w:tcPr>
            <w:tcW w:w="561" w:type="dxa"/>
            <w:vMerge/>
            <w:vAlign w:val="center"/>
          </w:tcPr>
          <w:p w:rsidR="00B701D2" w:rsidP="7D9108F3" w:rsidRDefault="00B701D2" w14:paraId="0AD3BA12" w14:textId="2DFE2292">
            <w:pPr>
              <w:widowControl/>
              <w:tabs>
                <w:tab w:val="left" w:pos="0"/>
              </w:tabs>
              <w:spacing w:after="60"/>
              <w:jc w:val="center"/>
              <w:rPr>
                <w:szCs w:val="20"/>
              </w:rPr>
            </w:pPr>
          </w:p>
        </w:tc>
        <w:tc>
          <w:tcPr>
            <w:tcW w:w="3024" w:type="dxa"/>
            <w:vMerge/>
            <w:vAlign w:val="center"/>
          </w:tcPr>
          <w:p w:rsidR="00B701D2" w:rsidP="00347529" w:rsidRDefault="00B701D2" w14:paraId="7795F683" w14:textId="6DE6683B">
            <w:pPr>
              <w:widowControl/>
              <w:autoSpaceDE/>
              <w:autoSpaceDN/>
              <w:adjustRightInd/>
              <w:jc w:val="center"/>
            </w:pPr>
          </w:p>
        </w:tc>
        <w:tc>
          <w:tcPr>
            <w:tcW w:w="3888" w:type="dxa"/>
            <w:vAlign w:val="center"/>
          </w:tcPr>
          <w:p w:rsidR="00B701D2" w:rsidP="00B701D2" w:rsidRDefault="00B66366" w14:paraId="4F1F05B6" w14:textId="7F506BB7">
            <w:pPr>
              <w:widowControl/>
              <w:tabs>
                <w:tab w:val="left" w:pos="0"/>
              </w:tabs>
              <w:spacing w:after="60"/>
              <w:jc w:val="center"/>
              <w:rPr>
                <w:szCs w:val="20"/>
              </w:rPr>
            </w:pPr>
            <m:oMathPara>
              <m:oMath>
                <m:r>
                  <w:rPr>
                    <w:rFonts w:ascii="Cambria Math" w:hAnsi="Cambria Math"/>
                    <w:szCs w:val="20"/>
                  </w:rPr>
                  <m:t>1,947.4 tons×8.46 lbs. per ton</m:t>
                </m:r>
              </m:oMath>
            </m:oMathPara>
          </w:p>
        </w:tc>
        <w:tc>
          <w:tcPr>
            <w:tcW w:w="2108" w:type="dxa"/>
          </w:tcPr>
          <w:p w:rsidR="00B701D2" w:rsidP="00DF0B38" w:rsidRDefault="004E7B61" w14:paraId="742AF633" w14:textId="31E2659C">
            <w:pPr>
              <w:widowControl/>
              <w:tabs>
                <w:tab w:val="left" w:pos="0"/>
              </w:tabs>
              <w:spacing w:after="60"/>
              <w:rPr>
                <w:szCs w:val="20"/>
              </w:rPr>
            </w:pPr>
            <w:r>
              <w:rPr>
                <w:szCs w:val="20"/>
              </w:rPr>
              <w:t>8.23</w:t>
            </w:r>
            <w:r w:rsidR="00B701D2">
              <w:rPr>
                <w:szCs w:val="20"/>
              </w:rPr>
              <w:t xml:space="preserve"> tons VOC emissions from burning of RHW in Autauga County, AL</w:t>
            </w:r>
          </w:p>
        </w:tc>
      </w:tr>
    </w:tbl>
    <w:p w:rsidRPr="004008E6" w:rsidR="00B97E6E" w:rsidP="00B97E6E" w:rsidRDefault="00B97E6E" w14:paraId="5D4688CF" w14:textId="77777777">
      <w:pPr>
        <w:widowControl/>
        <w:tabs>
          <w:tab w:val="left" w:pos="0"/>
        </w:tabs>
        <w:ind w:firstLine="720"/>
        <w:rPr>
          <w:szCs w:val="20"/>
        </w:rPr>
      </w:pPr>
    </w:p>
    <w:p w:rsidR="00B97E6E" w:rsidP="00052E59" w:rsidRDefault="00B97E6E" w14:paraId="75FB51D3" w14:textId="77777777">
      <w:pPr>
        <w:pStyle w:val="Heading1"/>
      </w:pPr>
      <w:r>
        <w:lastRenderedPageBreak/>
        <w:t>Changes from 2014 Methodology</w:t>
      </w:r>
    </w:p>
    <w:p w:rsidR="00E7391A" w:rsidP="00B97E6E" w:rsidRDefault="00E7391A" w14:paraId="12437BB3" w14:textId="47D6D0D0">
      <w:pPr>
        <w:widowControl/>
        <w:tabs>
          <w:tab w:val="left" w:pos="0"/>
        </w:tabs>
        <w:rPr>
          <w:szCs w:val="20"/>
        </w:rPr>
      </w:pPr>
      <w:r>
        <w:rPr>
          <w:szCs w:val="20"/>
        </w:rPr>
        <w:t xml:space="preserve">The 2017 emissions inventory methodology for RHW burning includes changes to the method for determining population likely to burn, and changes to the emissions factors for CO, NOX, and SO2. The 2014 v2 NEI methodology determined the population likely to burn by identifying the rural and “like rural” population in each county in 2010 and using the fraction of 2010 rural and like rural population to total population in order to determine the rural population in 2014. The 2017 methodology only uses the 2010 rural population to determine the population likely to burn. </w:t>
      </w:r>
    </w:p>
    <w:p w:rsidRPr="00676FE8" w:rsidR="00B97E6E" w:rsidP="00B97E6E" w:rsidRDefault="00E7391A" w14:paraId="457F09AF" w14:textId="1E56554A">
      <w:pPr>
        <w:widowControl/>
        <w:tabs>
          <w:tab w:val="left" w:pos="0"/>
        </w:tabs>
        <w:rPr>
          <w:szCs w:val="20"/>
        </w:rPr>
      </w:pPr>
      <w:r>
        <w:rPr>
          <w:szCs w:val="20"/>
        </w:rPr>
        <w:t xml:space="preserve">Additionally the 2014 v2 NEI methodology used emissions factors for CO, NOX, and SO2 that corresponded to the amount of combustible plus non-combustible waste burned. The 2017 methodology uses a ratio of combustible to total waste burned in order to adjust the CO, NOX, and SO2 emissions factors to be used with the amount of combustible waste burned.   </w:t>
      </w:r>
    </w:p>
    <w:p w:rsidRPr="00641127" w:rsidR="00B97E6E" w:rsidP="00052E59" w:rsidRDefault="00B97E6E" w14:paraId="35A34622" w14:textId="77777777">
      <w:pPr>
        <w:pStyle w:val="Heading1"/>
      </w:pPr>
      <w:r w:rsidRPr="00641127">
        <w:t>Puerto Rico and U</w:t>
      </w:r>
      <w:r w:rsidR="00A54167">
        <w:t>.</w:t>
      </w:r>
      <w:r w:rsidRPr="00641127">
        <w:t>S</w:t>
      </w:r>
      <w:r w:rsidR="00A54167">
        <w:t>.</w:t>
      </w:r>
      <w:r w:rsidRPr="00641127">
        <w:t xml:space="preserve"> Virgin Islands Emissions Calculations</w:t>
      </w:r>
    </w:p>
    <w:p w:rsidR="00B97E6E" w:rsidP="00B97E6E" w:rsidRDefault="004B0DDF" w14:paraId="53C64BBC" w14:textId="65A9C2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sidR="004B0DDF">
        <w:rPr/>
        <w:t xml:space="preserve">Emissions from Puerto Rico are calculated using the same method described above. </w:t>
      </w:r>
      <w:r w:rsidR="00E10956">
        <w:rPr/>
        <w:t>F</w:t>
      </w:r>
      <w:r w:rsidR="00B97E6E">
        <w:rPr/>
        <w:t xml:space="preserve">or </w:t>
      </w:r>
      <w:r w:rsidR="00B97E6E">
        <w:rPr/>
        <w:t xml:space="preserve">the </w:t>
      </w:r>
      <w:r w:rsidR="00E10956">
        <w:rPr/>
        <w:t>U</w:t>
      </w:r>
      <w:r w:rsidR="00A54167">
        <w:rPr/>
        <w:t>.</w:t>
      </w:r>
      <w:r w:rsidR="00E10956">
        <w:rPr/>
        <w:t>S</w:t>
      </w:r>
      <w:r w:rsidR="00A54167">
        <w:rPr/>
        <w:t>.</w:t>
      </w:r>
      <w:r w:rsidR="00E10956">
        <w:rPr/>
        <w:t xml:space="preserve"> Virgin Islands,</w:t>
      </w:r>
      <w:r w:rsidR="00B97E6E">
        <w:rPr/>
        <w:t xml:space="preserve"> </w:t>
      </w:r>
      <w:r w:rsidR="00E10956">
        <w:rPr/>
        <w:t>e</w:t>
      </w:r>
      <w:r w:rsidR="00B97E6E">
        <w:rPr/>
        <w:t xml:space="preserve">missions are </w:t>
      </w:r>
      <w:r w:rsidR="00B97E6E">
        <w:rPr/>
        <w:t xml:space="preserve">calculated using </w:t>
      </w:r>
      <w:r w:rsidR="00E10956">
        <w:rPr/>
        <w:t>2010 population data,</w:t>
      </w:r>
      <w:r w:rsidR="009D4555">
        <w:rPr/>
        <w:t xml:space="preserve"> </w:t>
      </w:r>
      <w:r w:rsidR="00E10956">
        <w:rPr/>
        <w:t>since 201</w:t>
      </w:r>
      <w:r w:rsidR="2DAFE0AB">
        <w:rPr/>
        <w:t>7</w:t>
      </w:r>
      <w:r w:rsidR="00E10956">
        <w:rPr/>
        <w:t xml:space="preserve"> Census Data does not exist for the U</w:t>
      </w:r>
      <w:r w:rsidR="00A54167">
        <w:rPr/>
        <w:t>.</w:t>
      </w:r>
      <w:r w:rsidR="00E10956">
        <w:rPr/>
        <w:t>S</w:t>
      </w:r>
      <w:r w:rsidR="00A54167">
        <w:rPr/>
        <w:t>.</w:t>
      </w:r>
      <w:r w:rsidR="00E10956">
        <w:rPr/>
        <w:t xml:space="preserve"> Virgin Islands</w:t>
      </w:r>
      <w:r w:rsidR="00B97E6E">
        <w:rPr/>
        <w:t xml:space="preserve">. </w:t>
      </w:r>
    </w:p>
    <w:p w:rsidR="00CB0EFC" w:rsidP="00CB0EFC" w:rsidRDefault="00BC47F1" w14:paraId="5A34ED9F" w14:textId="1400E7A9">
      <w:pPr>
        <w:pStyle w:val="Heading1"/>
        <w:spacing w:after="0"/>
        <w:sectPr w:rsidR="00CB0EFC" w:rsidSect="007D6365">
          <w:footerReference w:type="default" r:id="rId12"/>
          <w:endnotePr>
            <w:numFmt w:val="decimal"/>
          </w:endnotePr>
          <w:pgSz w:w="12240" w:h="15840" w:orient="portrait"/>
          <w:pgMar w:top="1440" w:right="1440" w:bottom="1440" w:left="1440" w:header="720" w:footer="720" w:gutter="0"/>
          <w:cols w:space="720"/>
          <w:docGrid w:linePitch="360"/>
        </w:sectPr>
      </w:pPr>
      <w:r>
        <w:t>References</w:t>
      </w:r>
    </w:p>
    <w:p w:rsidR="009D4555" w:rsidP="009D4555" w:rsidRDefault="009D4555" w14:paraId="21837EFA" w14:textId="2250A846">
      <w:pPr>
        <w:pStyle w:val="TableCaption"/>
      </w:pPr>
      <w:bookmarkStart w:name="_Ref478471503" w:id="15"/>
      <w:r>
        <w:lastRenderedPageBreak/>
        <w:t xml:space="preserve">Table </w:t>
      </w:r>
      <w:r>
        <w:fldChar w:fldCharType="begin"/>
      </w:r>
      <w:r>
        <w:instrText> SEQ Table \* ARABIC </w:instrText>
      </w:r>
      <w:r>
        <w:fldChar w:fldCharType="separate"/>
      </w:r>
      <w:r w:rsidR="00117BBF">
        <w:rPr>
          <w:noProof/>
        </w:rPr>
        <w:t>3</w:t>
      </w:r>
      <w:r>
        <w:fldChar w:fldCharType="end"/>
      </w:r>
      <w:bookmarkEnd w:id="15"/>
      <w:r>
        <w:t>. Emissions Factors fo</w:t>
      </w:r>
      <w:r w:rsidR="005B0489">
        <w:t>r Open Burning of RH</w:t>
      </w:r>
      <w:r>
        <w:t>W</w:t>
      </w:r>
    </w:p>
    <w:tbl>
      <w:tblPr>
        <w:tblStyle w:val="LightList"/>
        <w:tblW w:w="5067"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2205"/>
        <w:gridCol w:w="1005"/>
        <w:gridCol w:w="1016"/>
        <w:gridCol w:w="1016"/>
        <w:gridCol w:w="1194"/>
        <w:gridCol w:w="1194"/>
        <w:gridCol w:w="3305"/>
      </w:tblGrid>
      <w:tr w:rsidRPr="00F8021B" w:rsidR="005F75F8" w:rsidTr="00030F9E" w14:paraId="2E286314" w14:textId="77777777">
        <w:trPr>
          <w:cnfStyle w:val="100000000000" w:firstRow="1" w:lastRow="0" w:firstColumn="0" w:lastColumn="0" w:oddVBand="0" w:evenVBand="0" w:oddHBand="0" w:evenHBand="0" w:firstRowFirstColumn="0" w:firstRowLastColumn="0" w:lastRowFirstColumn="0" w:lastRowLastColumn="0"/>
          <w:cantSplit/>
          <w:trHeight w:val="20"/>
          <w:tblHeader/>
        </w:trPr>
        <w:tc>
          <w:tcPr>
            <w:cnfStyle w:val="001000000000" w:firstRow="0" w:lastRow="0" w:firstColumn="1" w:lastColumn="0" w:oddVBand="0" w:evenVBand="0" w:oddHBand="0" w:evenHBand="0" w:firstRowFirstColumn="0" w:firstRowLastColumn="0" w:lastRowFirstColumn="0" w:lastRowLastColumn="0"/>
            <w:tcW w:w="988" w:type="pct"/>
            <w:shd w:val="clear" w:color="auto" w:fill="BFBFBF" w:themeFill="background1" w:themeFillShade="BF"/>
            <w:vAlign w:val="center"/>
            <w:hideMark/>
          </w:tcPr>
          <w:p w:rsidRPr="00F8021B" w:rsidR="009D4555" w:rsidP="005F75F8" w:rsidRDefault="009D4555" w14:paraId="4B4E37B0" w14:textId="77777777">
            <w:pPr>
              <w:widowControl/>
              <w:autoSpaceDE/>
              <w:autoSpaceDN/>
              <w:adjustRightInd/>
              <w:jc w:val="center"/>
              <w:rPr>
                <w:color w:val="000000"/>
                <w:szCs w:val="20"/>
              </w:rPr>
            </w:pPr>
            <w:r w:rsidRPr="00F8021B">
              <w:rPr>
                <w:color w:val="000000"/>
                <w:szCs w:val="20"/>
              </w:rPr>
              <w:t>Pollutant</w:t>
            </w:r>
          </w:p>
        </w:tc>
        <w:tc>
          <w:tcPr>
            <w:tcW w:w="450" w:type="pct"/>
            <w:shd w:val="clear" w:color="auto" w:fill="BFBFBF" w:themeFill="background1" w:themeFillShade="BF"/>
            <w:vAlign w:val="center"/>
            <w:hideMark/>
          </w:tcPr>
          <w:p w:rsidRPr="00F8021B" w:rsidR="009D4555" w:rsidP="009D4555" w:rsidRDefault="009D4555" w14:paraId="12BB366E" w14:textId="77777777">
            <w:pPr>
              <w:widowControl/>
              <w:autoSpaceDE/>
              <w:autoSpaceDN/>
              <w:adjustRightInd/>
              <w:jc w:val="center"/>
              <w:cnfStyle w:val="100000000000" w:firstRow="1" w:lastRow="0" w:firstColumn="0" w:lastColumn="0" w:oddVBand="0" w:evenVBand="0" w:oddHBand="0" w:evenHBand="0" w:firstRowFirstColumn="0" w:firstRowLastColumn="0" w:lastRowFirstColumn="0" w:lastRowLastColumn="0"/>
              <w:rPr>
                <w:color w:val="000000"/>
                <w:szCs w:val="20"/>
              </w:rPr>
            </w:pPr>
            <w:r w:rsidRPr="00F8021B">
              <w:rPr>
                <w:color w:val="000000"/>
                <w:szCs w:val="20"/>
              </w:rPr>
              <w:t>Pollutant Code</w:t>
            </w:r>
          </w:p>
        </w:tc>
        <w:tc>
          <w:tcPr>
            <w:tcW w:w="455" w:type="pct"/>
            <w:shd w:val="clear" w:color="auto" w:fill="BFBFBF" w:themeFill="background1" w:themeFillShade="BF"/>
            <w:vAlign w:val="center"/>
            <w:hideMark/>
          </w:tcPr>
          <w:p w:rsidRPr="00F8021B" w:rsidR="009D4555" w:rsidP="009D4555" w:rsidRDefault="009D4555" w14:paraId="3323C51F" w14:textId="77777777">
            <w:pPr>
              <w:widowControl/>
              <w:autoSpaceDE/>
              <w:autoSpaceDN/>
              <w:adjustRightInd/>
              <w:jc w:val="center"/>
              <w:cnfStyle w:val="100000000000" w:firstRow="1" w:lastRow="0" w:firstColumn="0" w:lastColumn="0" w:oddVBand="0" w:evenVBand="0" w:oddHBand="0" w:evenHBand="0" w:firstRowFirstColumn="0" w:firstRowLastColumn="0" w:lastRowFirstColumn="0" w:lastRowLastColumn="0"/>
              <w:rPr>
                <w:color w:val="000000"/>
                <w:szCs w:val="20"/>
              </w:rPr>
            </w:pPr>
            <w:r w:rsidRPr="00F8021B">
              <w:rPr>
                <w:color w:val="000000"/>
                <w:szCs w:val="20"/>
              </w:rPr>
              <w:t>Emission Factor (original)</w:t>
            </w:r>
          </w:p>
        </w:tc>
        <w:tc>
          <w:tcPr>
            <w:tcW w:w="455" w:type="pct"/>
            <w:shd w:val="clear" w:color="auto" w:fill="BFBFBF" w:themeFill="background1" w:themeFillShade="BF"/>
            <w:vAlign w:val="center"/>
            <w:hideMark/>
          </w:tcPr>
          <w:p w:rsidRPr="00F8021B" w:rsidR="009D4555" w:rsidP="009D4555" w:rsidRDefault="009D4555" w14:paraId="7E4E01B6" w14:textId="77777777">
            <w:pPr>
              <w:widowControl/>
              <w:autoSpaceDE/>
              <w:autoSpaceDN/>
              <w:adjustRightInd/>
              <w:jc w:val="center"/>
              <w:cnfStyle w:val="100000000000" w:firstRow="1" w:lastRow="0" w:firstColumn="0" w:lastColumn="0" w:oddVBand="0" w:evenVBand="0" w:oddHBand="0" w:evenHBand="0" w:firstRowFirstColumn="0" w:firstRowLastColumn="0" w:lastRowFirstColumn="0" w:lastRowLastColumn="0"/>
              <w:rPr>
                <w:color w:val="000000"/>
                <w:szCs w:val="20"/>
              </w:rPr>
            </w:pPr>
            <w:r w:rsidRPr="00F8021B">
              <w:rPr>
                <w:color w:val="000000"/>
                <w:szCs w:val="20"/>
              </w:rPr>
              <w:t>Emission Factor Units (original)</w:t>
            </w:r>
          </w:p>
        </w:tc>
        <w:tc>
          <w:tcPr>
            <w:tcW w:w="535" w:type="pct"/>
            <w:shd w:val="clear" w:color="auto" w:fill="BFBFBF" w:themeFill="background1" w:themeFillShade="BF"/>
            <w:vAlign w:val="center"/>
            <w:hideMark/>
          </w:tcPr>
          <w:p w:rsidRPr="00F8021B" w:rsidR="009D4555" w:rsidP="009D4555" w:rsidRDefault="009D4555" w14:paraId="11A49FF3" w14:textId="77777777">
            <w:pPr>
              <w:widowControl/>
              <w:autoSpaceDE/>
              <w:autoSpaceDN/>
              <w:adjustRightInd/>
              <w:jc w:val="center"/>
              <w:cnfStyle w:val="100000000000" w:firstRow="1" w:lastRow="0" w:firstColumn="0" w:lastColumn="0" w:oddVBand="0" w:evenVBand="0" w:oddHBand="0" w:evenHBand="0" w:firstRowFirstColumn="0" w:firstRowLastColumn="0" w:lastRowFirstColumn="0" w:lastRowLastColumn="0"/>
              <w:rPr>
                <w:color w:val="000000"/>
                <w:szCs w:val="20"/>
              </w:rPr>
            </w:pPr>
            <w:r w:rsidRPr="00F8021B">
              <w:rPr>
                <w:color w:val="000000"/>
                <w:szCs w:val="20"/>
              </w:rPr>
              <w:t>Emission Factor (converted)</w:t>
            </w:r>
          </w:p>
        </w:tc>
        <w:tc>
          <w:tcPr>
            <w:tcW w:w="535" w:type="pct"/>
            <w:shd w:val="clear" w:color="auto" w:fill="BFBFBF" w:themeFill="background1" w:themeFillShade="BF"/>
            <w:vAlign w:val="center"/>
            <w:hideMark/>
          </w:tcPr>
          <w:p w:rsidRPr="00F8021B" w:rsidR="009D4555" w:rsidP="009D4555" w:rsidRDefault="009D4555" w14:paraId="7398F847" w14:textId="77777777">
            <w:pPr>
              <w:widowControl/>
              <w:autoSpaceDE/>
              <w:autoSpaceDN/>
              <w:adjustRightInd/>
              <w:jc w:val="center"/>
              <w:cnfStyle w:val="100000000000" w:firstRow="1" w:lastRow="0" w:firstColumn="0" w:lastColumn="0" w:oddVBand="0" w:evenVBand="0" w:oddHBand="0" w:evenHBand="0" w:firstRowFirstColumn="0" w:firstRowLastColumn="0" w:lastRowFirstColumn="0" w:lastRowLastColumn="0"/>
              <w:rPr>
                <w:color w:val="000000"/>
                <w:szCs w:val="20"/>
              </w:rPr>
            </w:pPr>
            <w:r w:rsidRPr="00F8021B">
              <w:rPr>
                <w:color w:val="000000"/>
                <w:szCs w:val="20"/>
              </w:rPr>
              <w:t>Emission Factor Units (converted)</w:t>
            </w:r>
          </w:p>
        </w:tc>
        <w:tc>
          <w:tcPr>
            <w:tcW w:w="1582" w:type="pct"/>
            <w:shd w:val="clear" w:color="auto" w:fill="BFBFBF" w:themeFill="background1" w:themeFillShade="BF"/>
            <w:vAlign w:val="center"/>
            <w:hideMark/>
          </w:tcPr>
          <w:p w:rsidRPr="00F8021B" w:rsidR="009D4555" w:rsidP="009D4555" w:rsidRDefault="009D4555" w14:paraId="4E79B52D" w14:textId="77777777">
            <w:pPr>
              <w:widowControl/>
              <w:autoSpaceDE/>
              <w:autoSpaceDN/>
              <w:adjustRightInd/>
              <w:jc w:val="center"/>
              <w:cnfStyle w:val="100000000000" w:firstRow="1" w:lastRow="0" w:firstColumn="0" w:lastColumn="0" w:oddVBand="0" w:evenVBand="0" w:oddHBand="0" w:evenHBand="0" w:firstRowFirstColumn="0" w:firstRowLastColumn="0" w:lastRowFirstColumn="0" w:lastRowLastColumn="0"/>
              <w:rPr>
                <w:color w:val="000000"/>
                <w:szCs w:val="20"/>
              </w:rPr>
            </w:pPr>
            <w:r w:rsidRPr="00F8021B">
              <w:rPr>
                <w:color w:val="000000"/>
                <w:szCs w:val="20"/>
              </w:rPr>
              <w:t>Reference &amp; Table No.</w:t>
            </w:r>
          </w:p>
        </w:tc>
      </w:tr>
      <w:tr w:rsidRPr="00F8021B" w:rsidR="00FE1365" w:rsidTr="00FE1365" w14:paraId="6241D8ED" w14:textId="77777777">
        <w:trPr>
          <w:cnfStyle w:val="000000100000" w:firstRow="0" w:lastRow="0" w:firstColumn="0" w:lastColumn="0" w:oddVBand="0" w:evenVBand="0" w:oddHBand="1" w:evenHBand="0" w:firstRowFirstColumn="0" w:firstRowLastColumn="0" w:lastRowFirstColumn="0" w:lastRowLastColumn="0"/>
          <w:cantSplit/>
          <w:trHeight w:val="20"/>
        </w:trPr>
        <w:tc>
          <w:tcPr>
            <w:cnfStyle w:val="001000000000" w:firstRow="0" w:lastRow="0" w:firstColumn="1" w:lastColumn="0" w:oddVBand="0" w:evenVBand="0" w:oddHBand="0" w:evenHBand="0" w:firstRowFirstColumn="0" w:firstRowLastColumn="0" w:lastRowFirstColumn="0" w:lastRowLastColumn="0"/>
            <w:tcW w:w="988" w:type="pct"/>
            <w:vAlign w:val="center"/>
            <w:hideMark/>
          </w:tcPr>
          <w:p w:rsidRPr="00F8021B" w:rsidR="00FE1365" w:rsidP="005F75F8" w:rsidRDefault="00FE1365" w14:paraId="5E6DC709" w14:textId="77777777">
            <w:pPr>
              <w:widowControl/>
              <w:autoSpaceDE/>
              <w:autoSpaceDN/>
              <w:adjustRightInd/>
              <w:rPr>
                <w:b w:val="0"/>
                <w:color w:val="000000"/>
                <w:szCs w:val="20"/>
              </w:rPr>
            </w:pPr>
            <w:r w:rsidRPr="00F8021B">
              <w:rPr>
                <w:b w:val="0"/>
                <w:color w:val="000000"/>
                <w:szCs w:val="20"/>
              </w:rPr>
              <w:t>Carbon Monoxide</w:t>
            </w:r>
          </w:p>
        </w:tc>
        <w:tc>
          <w:tcPr>
            <w:tcW w:w="450" w:type="pct"/>
            <w:vAlign w:val="center"/>
            <w:hideMark/>
          </w:tcPr>
          <w:p w:rsidRPr="00F8021B" w:rsidR="00FE1365" w:rsidP="009D4555" w:rsidRDefault="00FE1365" w14:paraId="34799D21" w14:textId="77777777">
            <w:pPr>
              <w:widowControl/>
              <w:autoSpaceDE/>
              <w:autoSpaceDN/>
              <w:adjustRightInd/>
              <w:jc w:val="center"/>
              <w:cnfStyle w:val="000000100000" w:firstRow="0" w:lastRow="0" w:firstColumn="0" w:lastColumn="0" w:oddVBand="0" w:evenVBand="0" w:oddHBand="1" w:evenHBand="0" w:firstRowFirstColumn="0" w:firstRowLastColumn="0" w:lastRowFirstColumn="0" w:lastRowLastColumn="0"/>
              <w:rPr>
                <w:color w:val="000000"/>
                <w:szCs w:val="20"/>
              </w:rPr>
            </w:pPr>
            <w:r w:rsidRPr="00F8021B">
              <w:rPr>
                <w:color w:val="000000"/>
                <w:szCs w:val="20"/>
              </w:rPr>
              <w:t>CO</w:t>
            </w:r>
          </w:p>
        </w:tc>
        <w:tc>
          <w:tcPr>
            <w:tcW w:w="455" w:type="pct"/>
            <w:vAlign w:val="center"/>
            <w:hideMark/>
          </w:tcPr>
          <w:p w:rsidRPr="009F14D2" w:rsidR="00FE1365" w:rsidRDefault="00FE1365" w14:paraId="388DD44E" w14:textId="77777777">
            <w:pPr>
              <w:widowControl/>
              <w:autoSpaceDE/>
              <w:autoSpaceDN/>
              <w:adjustRightInd/>
              <w:jc w:val="center"/>
              <w:cnfStyle w:val="000000100000" w:firstRow="0" w:lastRow="0" w:firstColumn="0" w:lastColumn="0" w:oddVBand="0" w:evenVBand="0" w:oddHBand="1" w:evenHBand="0" w:firstRowFirstColumn="0" w:firstRowLastColumn="0" w:lastRowFirstColumn="0" w:lastRowLastColumn="0"/>
              <w:rPr>
                <w:color w:val="000000"/>
              </w:rPr>
            </w:pPr>
            <w:r w:rsidRPr="009F14D2">
              <w:rPr>
                <w:color w:val="000000"/>
              </w:rPr>
              <w:t>85</w:t>
            </w:r>
          </w:p>
        </w:tc>
        <w:tc>
          <w:tcPr>
            <w:tcW w:w="455" w:type="pct"/>
            <w:vAlign w:val="center"/>
            <w:hideMark/>
          </w:tcPr>
          <w:p w:rsidRPr="00F8021B" w:rsidR="00FE1365" w:rsidP="009D4555" w:rsidRDefault="00FE1365" w14:paraId="34167B98" w14:textId="62AA3160">
            <w:pPr>
              <w:widowControl/>
              <w:autoSpaceDE/>
              <w:autoSpaceDN/>
              <w:adjustRightInd/>
              <w:jc w:val="center"/>
              <w:cnfStyle w:val="000000100000" w:firstRow="0" w:lastRow="0" w:firstColumn="0" w:lastColumn="0" w:oddVBand="0" w:evenVBand="0" w:oddHBand="1" w:evenHBand="0" w:firstRowFirstColumn="0" w:firstRowLastColumn="0" w:lastRowFirstColumn="0" w:lastRowLastColumn="0"/>
              <w:rPr>
                <w:color w:val="000000"/>
                <w:szCs w:val="20"/>
              </w:rPr>
            </w:pPr>
            <w:r w:rsidRPr="00F8021B">
              <w:rPr>
                <w:color w:val="000000"/>
                <w:szCs w:val="20"/>
              </w:rPr>
              <w:t>lbs./ton</w:t>
            </w:r>
          </w:p>
        </w:tc>
        <w:tc>
          <w:tcPr>
            <w:tcW w:w="535" w:type="pct"/>
            <w:vAlign w:val="center"/>
          </w:tcPr>
          <w:p w:rsidRPr="009F14D2" w:rsidR="00FE1365" w:rsidRDefault="00FE1365" w14:paraId="5D904617" w14:textId="63DD66FF">
            <w:pPr>
              <w:widowControl/>
              <w:autoSpaceDE/>
              <w:autoSpaceDN/>
              <w:adjustRightInd/>
              <w:jc w:val="center"/>
              <w:cnfStyle w:val="000000100000" w:firstRow="0" w:lastRow="0" w:firstColumn="0" w:lastColumn="0" w:oddVBand="0" w:evenVBand="0" w:oddHBand="1" w:evenHBand="0" w:firstRowFirstColumn="0" w:firstRowLastColumn="0" w:lastRowFirstColumn="0" w:lastRowLastColumn="0"/>
              <w:rPr>
                <w:color w:val="000000"/>
              </w:rPr>
            </w:pPr>
            <w:r>
              <w:rPr>
                <w:color w:val="000000"/>
              </w:rPr>
              <w:t>100.61</w:t>
            </w:r>
          </w:p>
        </w:tc>
        <w:tc>
          <w:tcPr>
            <w:tcW w:w="535" w:type="pct"/>
            <w:vAlign w:val="center"/>
            <w:hideMark/>
          </w:tcPr>
          <w:p w:rsidRPr="009F14D2" w:rsidR="00FE1365" w:rsidRDefault="00FE1365" w14:paraId="02DDD253" w14:textId="1596BEA6">
            <w:pPr>
              <w:widowControl/>
              <w:autoSpaceDE/>
              <w:autoSpaceDN/>
              <w:adjustRightInd/>
              <w:jc w:val="center"/>
              <w:cnfStyle w:val="000000100000" w:firstRow="0" w:lastRow="0" w:firstColumn="0" w:lastColumn="0" w:oddVBand="0" w:evenVBand="0" w:oddHBand="1" w:evenHBand="0" w:firstRowFirstColumn="0" w:firstRowLastColumn="0" w:lastRowFirstColumn="0" w:lastRowLastColumn="0"/>
              <w:rPr>
                <w:color w:val="000000"/>
              </w:rPr>
            </w:pPr>
            <w:r w:rsidRPr="00F8021B">
              <w:rPr>
                <w:color w:val="000000"/>
                <w:szCs w:val="20"/>
              </w:rPr>
              <w:t>lbs./ton</w:t>
            </w:r>
          </w:p>
        </w:tc>
        <w:tc>
          <w:tcPr>
            <w:tcW w:w="1582" w:type="pct"/>
            <w:hideMark/>
          </w:tcPr>
          <w:p w:rsidRPr="00F8021B" w:rsidR="00FE1365" w:rsidP="009D4555" w:rsidRDefault="00FE1365" w14:paraId="12DA7832" w14:textId="6AEBA9FC">
            <w:pPr>
              <w:widowControl/>
              <w:autoSpaceDE/>
              <w:autoSpaceDN/>
              <w:adjustRightInd/>
              <w:cnfStyle w:val="000000100000" w:firstRow="0" w:lastRow="0" w:firstColumn="0" w:lastColumn="0" w:oddVBand="0" w:evenVBand="0" w:oddHBand="1" w:evenHBand="0" w:firstRowFirstColumn="0" w:firstRowLastColumn="0" w:lastRowFirstColumn="0" w:lastRowLastColumn="0"/>
              <w:rPr>
                <w:color w:val="000000"/>
                <w:szCs w:val="20"/>
              </w:rPr>
            </w:pPr>
            <w:r w:rsidRPr="00F8021B">
              <w:rPr>
                <w:color w:val="000000"/>
                <w:szCs w:val="20"/>
              </w:rPr>
              <w:t xml:space="preserve">Reference </w:t>
            </w:r>
            <w:r w:rsidRPr="00F8021B">
              <w:rPr>
                <w:color w:val="000000"/>
                <w:szCs w:val="20"/>
              </w:rPr>
              <w:fldChar w:fldCharType="begin"/>
            </w:r>
            <w:r w:rsidRPr="00F8021B">
              <w:rPr>
                <w:color w:val="000000"/>
                <w:szCs w:val="20"/>
              </w:rPr>
              <w:instrText xml:space="preserve"> NOTEREF _Ref478478664 \h </w:instrText>
            </w:r>
            <w:r>
              <w:rPr>
                <w:color w:val="000000"/>
                <w:szCs w:val="20"/>
              </w:rPr>
              <w:instrText xml:space="preserve"> \* MERGEFORMAT </w:instrText>
            </w:r>
            <w:r w:rsidRPr="00F8021B">
              <w:rPr>
                <w:color w:val="000000"/>
                <w:szCs w:val="20"/>
              </w:rPr>
            </w:r>
            <w:r w:rsidRPr="00F8021B">
              <w:rPr>
                <w:color w:val="000000"/>
                <w:szCs w:val="20"/>
              </w:rPr>
              <w:fldChar w:fldCharType="separate"/>
            </w:r>
            <w:r>
              <w:rPr>
                <w:color w:val="000000"/>
                <w:szCs w:val="20"/>
              </w:rPr>
              <w:t>6</w:t>
            </w:r>
            <w:r w:rsidRPr="00F8021B">
              <w:rPr>
                <w:color w:val="000000"/>
                <w:szCs w:val="20"/>
              </w:rPr>
              <w:fldChar w:fldCharType="end"/>
            </w:r>
            <w:r w:rsidRPr="00F8021B">
              <w:rPr>
                <w:color w:val="000000"/>
                <w:szCs w:val="20"/>
              </w:rPr>
              <w:t>, Table 2.5-1</w:t>
            </w:r>
            <w:r>
              <w:rPr>
                <w:color w:val="000000"/>
                <w:szCs w:val="20"/>
              </w:rPr>
              <w:t>; original factor based on total waste; converted factor based on combustible waste</w:t>
            </w:r>
          </w:p>
        </w:tc>
      </w:tr>
      <w:tr w:rsidRPr="00F8021B" w:rsidR="00FE1365" w:rsidTr="00FE1365" w14:paraId="0DADBC7B" w14:textId="77777777">
        <w:trPr>
          <w:cantSplit/>
          <w:trHeight w:val="20"/>
        </w:trPr>
        <w:tc>
          <w:tcPr>
            <w:cnfStyle w:val="001000000000" w:firstRow="0" w:lastRow="0" w:firstColumn="1" w:lastColumn="0" w:oddVBand="0" w:evenVBand="0" w:oddHBand="0" w:evenHBand="0" w:firstRowFirstColumn="0" w:firstRowLastColumn="0" w:lastRowFirstColumn="0" w:lastRowLastColumn="0"/>
            <w:tcW w:w="988" w:type="pct"/>
            <w:vAlign w:val="center"/>
            <w:hideMark/>
          </w:tcPr>
          <w:p w:rsidRPr="00F8021B" w:rsidR="00FE1365" w:rsidP="005F75F8" w:rsidRDefault="00FE1365" w14:paraId="132BE6E0" w14:textId="77777777">
            <w:pPr>
              <w:widowControl/>
              <w:autoSpaceDE/>
              <w:autoSpaceDN/>
              <w:adjustRightInd/>
              <w:rPr>
                <w:b w:val="0"/>
                <w:color w:val="000000"/>
                <w:szCs w:val="20"/>
              </w:rPr>
            </w:pPr>
            <w:r w:rsidRPr="00F8021B">
              <w:rPr>
                <w:b w:val="0"/>
                <w:color w:val="000000"/>
                <w:szCs w:val="20"/>
              </w:rPr>
              <w:t>Nitrogen Oxides</w:t>
            </w:r>
          </w:p>
        </w:tc>
        <w:tc>
          <w:tcPr>
            <w:tcW w:w="450" w:type="pct"/>
            <w:vAlign w:val="center"/>
            <w:hideMark/>
          </w:tcPr>
          <w:p w:rsidRPr="00F8021B" w:rsidR="00FE1365" w:rsidP="009D4555" w:rsidRDefault="00FE1365" w14:paraId="1644CCA2" w14:textId="77777777">
            <w:pPr>
              <w:widowControl/>
              <w:autoSpaceDE/>
              <w:autoSpaceDN/>
              <w:adjustRightInd/>
              <w:jc w:val="center"/>
              <w:cnfStyle w:val="000000000000" w:firstRow="0" w:lastRow="0" w:firstColumn="0" w:lastColumn="0" w:oddVBand="0" w:evenVBand="0" w:oddHBand="0" w:evenHBand="0" w:firstRowFirstColumn="0" w:firstRowLastColumn="0" w:lastRowFirstColumn="0" w:lastRowLastColumn="0"/>
              <w:rPr>
                <w:color w:val="000000"/>
                <w:szCs w:val="20"/>
              </w:rPr>
            </w:pPr>
            <w:r w:rsidRPr="00F8021B">
              <w:rPr>
                <w:color w:val="000000"/>
                <w:szCs w:val="20"/>
              </w:rPr>
              <w:t>NOX</w:t>
            </w:r>
          </w:p>
        </w:tc>
        <w:tc>
          <w:tcPr>
            <w:tcW w:w="455" w:type="pct"/>
            <w:vAlign w:val="center"/>
            <w:hideMark/>
          </w:tcPr>
          <w:p w:rsidRPr="009F14D2" w:rsidR="00FE1365" w:rsidRDefault="00FE1365" w14:paraId="686B3199" w14:textId="77777777">
            <w:pPr>
              <w:widowControl/>
              <w:autoSpaceDE/>
              <w:autoSpaceDN/>
              <w:adjustRightInd/>
              <w:jc w:val="center"/>
              <w:cnfStyle w:val="000000000000" w:firstRow="0" w:lastRow="0" w:firstColumn="0" w:lastColumn="0" w:oddVBand="0" w:evenVBand="0" w:oddHBand="0" w:evenHBand="0" w:firstRowFirstColumn="0" w:firstRowLastColumn="0" w:lastRowFirstColumn="0" w:lastRowLastColumn="0"/>
              <w:rPr>
                <w:color w:val="000000"/>
              </w:rPr>
            </w:pPr>
            <w:r w:rsidRPr="009F14D2">
              <w:rPr>
                <w:color w:val="000000"/>
              </w:rPr>
              <w:t>6</w:t>
            </w:r>
          </w:p>
        </w:tc>
        <w:tc>
          <w:tcPr>
            <w:tcW w:w="455" w:type="pct"/>
            <w:vAlign w:val="center"/>
            <w:hideMark/>
          </w:tcPr>
          <w:p w:rsidRPr="00F8021B" w:rsidR="00FE1365" w:rsidP="009D4555" w:rsidRDefault="00FE1365" w14:paraId="735AB71C" w14:textId="155B0AE3">
            <w:pPr>
              <w:widowControl/>
              <w:autoSpaceDE/>
              <w:autoSpaceDN/>
              <w:adjustRightInd/>
              <w:jc w:val="center"/>
              <w:cnfStyle w:val="000000000000" w:firstRow="0" w:lastRow="0" w:firstColumn="0" w:lastColumn="0" w:oddVBand="0" w:evenVBand="0" w:oddHBand="0" w:evenHBand="0" w:firstRowFirstColumn="0" w:firstRowLastColumn="0" w:lastRowFirstColumn="0" w:lastRowLastColumn="0"/>
              <w:rPr>
                <w:color w:val="000000"/>
                <w:szCs w:val="20"/>
              </w:rPr>
            </w:pPr>
            <w:r w:rsidRPr="00F8021B">
              <w:rPr>
                <w:color w:val="000000"/>
                <w:szCs w:val="20"/>
              </w:rPr>
              <w:t>lbs./ton</w:t>
            </w:r>
          </w:p>
        </w:tc>
        <w:tc>
          <w:tcPr>
            <w:tcW w:w="535" w:type="pct"/>
            <w:vAlign w:val="center"/>
          </w:tcPr>
          <w:p w:rsidRPr="009F14D2" w:rsidR="00FE1365" w:rsidRDefault="00FE1365" w14:paraId="7A2FA906" w14:textId="0D0BA7FF">
            <w:pPr>
              <w:widowControl/>
              <w:autoSpaceDE/>
              <w:autoSpaceDN/>
              <w:adjustRightInd/>
              <w:jc w:val="center"/>
              <w:cnfStyle w:val="000000000000" w:firstRow="0" w:lastRow="0" w:firstColumn="0" w:lastColumn="0" w:oddVBand="0" w:evenVBand="0" w:oddHBand="0" w:evenHBand="0" w:firstRowFirstColumn="0" w:firstRowLastColumn="0" w:lastRowFirstColumn="0" w:lastRowLastColumn="0"/>
              <w:rPr>
                <w:color w:val="000000"/>
              </w:rPr>
            </w:pPr>
            <w:r>
              <w:rPr>
                <w:color w:val="000000"/>
              </w:rPr>
              <w:t>7.10</w:t>
            </w:r>
          </w:p>
        </w:tc>
        <w:tc>
          <w:tcPr>
            <w:tcW w:w="535" w:type="pct"/>
            <w:vAlign w:val="center"/>
            <w:hideMark/>
          </w:tcPr>
          <w:p w:rsidRPr="009F14D2" w:rsidR="00FE1365" w:rsidRDefault="00FE1365" w14:paraId="11745520" w14:textId="0A334B9E">
            <w:pPr>
              <w:widowControl/>
              <w:autoSpaceDE/>
              <w:autoSpaceDN/>
              <w:adjustRightInd/>
              <w:jc w:val="center"/>
              <w:cnfStyle w:val="000000000000" w:firstRow="0" w:lastRow="0" w:firstColumn="0" w:lastColumn="0" w:oddVBand="0" w:evenVBand="0" w:oddHBand="0" w:evenHBand="0" w:firstRowFirstColumn="0" w:firstRowLastColumn="0" w:lastRowFirstColumn="0" w:lastRowLastColumn="0"/>
              <w:rPr>
                <w:color w:val="000000"/>
              </w:rPr>
            </w:pPr>
            <w:r w:rsidRPr="00F8021B">
              <w:rPr>
                <w:color w:val="000000"/>
                <w:szCs w:val="20"/>
              </w:rPr>
              <w:t>lbs./ton</w:t>
            </w:r>
          </w:p>
        </w:tc>
        <w:tc>
          <w:tcPr>
            <w:tcW w:w="1582" w:type="pct"/>
            <w:hideMark/>
          </w:tcPr>
          <w:p w:rsidRPr="00F8021B" w:rsidR="00FE1365" w:rsidP="009D4555" w:rsidRDefault="00FE1365" w14:paraId="36F26F89" w14:textId="78FD4A3C">
            <w:pPr>
              <w:widowControl/>
              <w:autoSpaceDE/>
              <w:autoSpaceDN/>
              <w:adjustRightInd/>
              <w:cnfStyle w:val="000000000000" w:firstRow="0" w:lastRow="0" w:firstColumn="0" w:lastColumn="0" w:oddVBand="0" w:evenVBand="0" w:oddHBand="0" w:evenHBand="0" w:firstRowFirstColumn="0" w:firstRowLastColumn="0" w:lastRowFirstColumn="0" w:lastRowLastColumn="0"/>
              <w:rPr>
                <w:color w:val="000000"/>
                <w:szCs w:val="20"/>
              </w:rPr>
            </w:pPr>
            <w:r w:rsidRPr="00F8021B">
              <w:rPr>
                <w:color w:val="000000"/>
                <w:szCs w:val="20"/>
              </w:rPr>
              <w:t xml:space="preserve">Reference </w:t>
            </w:r>
            <w:r w:rsidRPr="00F8021B">
              <w:rPr>
                <w:color w:val="000000"/>
                <w:szCs w:val="20"/>
              </w:rPr>
              <w:fldChar w:fldCharType="begin"/>
            </w:r>
            <w:r w:rsidRPr="00F8021B">
              <w:rPr>
                <w:color w:val="000000"/>
                <w:szCs w:val="20"/>
              </w:rPr>
              <w:instrText xml:space="preserve"> NOTEREF _Ref478478664 \h </w:instrText>
            </w:r>
            <w:r>
              <w:rPr>
                <w:color w:val="000000"/>
                <w:szCs w:val="20"/>
              </w:rPr>
              <w:instrText xml:space="preserve"> \* MERGEFORMAT </w:instrText>
            </w:r>
            <w:r w:rsidRPr="00F8021B">
              <w:rPr>
                <w:color w:val="000000"/>
                <w:szCs w:val="20"/>
              </w:rPr>
            </w:r>
            <w:r w:rsidRPr="00F8021B">
              <w:rPr>
                <w:color w:val="000000"/>
                <w:szCs w:val="20"/>
              </w:rPr>
              <w:fldChar w:fldCharType="separate"/>
            </w:r>
            <w:r>
              <w:rPr>
                <w:color w:val="000000"/>
                <w:szCs w:val="20"/>
              </w:rPr>
              <w:t>6</w:t>
            </w:r>
            <w:r w:rsidRPr="00F8021B">
              <w:rPr>
                <w:color w:val="000000"/>
                <w:szCs w:val="20"/>
              </w:rPr>
              <w:fldChar w:fldCharType="end"/>
            </w:r>
            <w:r w:rsidRPr="00F8021B">
              <w:rPr>
                <w:color w:val="000000"/>
                <w:szCs w:val="20"/>
              </w:rPr>
              <w:t>, Table 2.5-1</w:t>
            </w:r>
            <w:r>
              <w:rPr>
                <w:color w:val="000000"/>
                <w:szCs w:val="20"/>
              </w:rPr>
              <w:t>; original factor based on total waste; converted factor based on combustible waste</w:t>
            </w:r>
          </w:p>
        </w:tc>
      </w:tr>
      <w:tr w:rsidRPr="00F8021B" w:rsidR="005F75F8" w:rsidTr="00030F9E" w14:paraId="45033B4E" w14:textId="77777777">
        <w:trPr>
          <w:cnfStyle w:val="000000100000" w:firstRow="0" w:lastRow="0" w:firstColumn="0" w:lastColumn="0" w:oddVBand="0" w:evenVBand="0" w:oddHBand="1" w:evenHBand="0" w:firstRowFirstColumn="0" w:firstRowLastColumn="0" w:lastRowFirstColumn="0" w:lastRowLastColumn="0"/>
          <w:cantSplit/>
          <w:trHeight w:val="20"/>
        </w:trPr>
        <w:tc>
          <w:tcPr>
            <w:cnfStyle w:val="001000000000" w:firstRow="0" w:lastRow="0" w:firstColumn="1" w:lastColumn="0" w:oddVBand="0" w:evenVBand="0" w:oddHBand="0" w:evenHBand="0" w:firstRowFirstColumn="0" w:firstRowLastColumn="0" w:lastRowFirstColumn="0" w:lastRowLastColumn="0"/>
            <w:tcW w:w="988" w:type="pct"/>
            <w:vAlign w:val="center"/>
            <w:hideMark/>
          </w:tcPr>
          <w:p w:rsidRPr="00F8021B" w:rsidR="009D4555" w:rsidP="005F75F8" w:rsidRDefault="009D4555" w14:paraId="5D2468C3" w14:textId="77777777">
            <w:pPr>
              <w:widowControl/>
              <w:autoSpaceDE/>
              <w:autoSpaceDN/>
              <w:adjustRightInd/>
              <w:rPr>
                <w:b w:val="0"/>
                <w:color w:val="000000"/>
                <w:szCs w:val="20"/>
              </w:rPr>
            </w:pPr>
            <w:r w:rsidRPr="00F8021B">
              <w:rPr>
                <w:b w:val="0"/>
                <w:color w:val="000000"/>
                <w:szCs w:val="20"/>
              </w:rPr>
              <w:t>PM10-FIL</w:t>
            </w:r>
          </w:p>
        </w:tc>
        <w:tc>
          <w:tcPr>
            <w:tcW w:w="450" w:type="pct"/>
            <w:vAlign w:val="center"/>
            <w:hideMark/>
          </w:tcPr>
          <w:p w:rsidRPr="00F8021B" w:rsidR="009D4555" w:rsidP="009D4555" w:rsidRDefault="009D4555" w14:paraId="58D3F5E0" w14:textId="77777777">
            <w:pPr>
              <w:widowControl/>
              <w:autoSpaceDE/>
              <w:autoSpaceDN/>
              <w:adjustRightInd/>
              <w:jc w:val="center"/>
              <w:cnfStyle w:val="000000100000" w:firstRow="0" w:lastRow="0" w:firstColumn="0" w:lastColumn="0" w:oddVBand="0" w:evenVBand="0" w:oddHBand="1" w:evenHBand="0" w:firstRowFirstColumn="0" w:firstRowLastColumn="0" w:lastRowFirstColumn="0" w:lastRowLastColumn="0"/>
              <w:rPr>
                <w:color w:val="000000"/>
                <w:szCs w:val="20"/>
              </w:rPr>
            </w:pPr>
            <w:r w:rsidRPr="00F8021B">
              <w:rPr>
                <w:color w:val="000000"/>
                <w:szCs w:val="20"/>
              </w:rPr>
              <w:t>PM10-FIL</w:t>
            </w:r>
          </w:p>
        </w:tc>
        <w:tc>
          <w:tcPr>
            <w:tcW w:w="455" w:type="pct"/>
            <w:vAlign w:val="center"/>
            <w:hideMark/>
          </w:tcPr>
          <w:p w:rsidRPr="009F14D2" w:rsidR="009D4555" w:rsidRDefault="00F8021B" w14:paraId="568C87F0" w14:textId="0948A3D6">
            <w:pPr>
              <w:widowControl/>
              <w:autoSpaceDE/>
              <w:autoSpaceDN/>
              <w:adjustRightInd/>
              <w:jc w:val="center"/>
              <w:cnfStyle w:val="000000100000" w:firstRow="0" w:lastRow="0" w:firstColumn="0" w:lastColumn="0" w:oddVBand="0" w:evenVBand="0" w:oddHBand="1" w:evenHBand="0" w:firstRowFirstColumn="0" w:firstRowLastColumn="0" w:lastRowFirstColumn="0" w:lastRowLastColumn="0"/>
              <w:rPr>
                <w:color w:val="000000"/>
              </w:rPr>
            </w:pPr>
            <w:r w:rsidRPr="009F14D2">
              <w:rPr>
                <w:color w:val="000000"/>
              </w:rPr>
              <w:t>18.76</w:t>
            </w:r>
          </w:p>
        </w:tc>
        <w:tc>
          <w:tcPr>
            <w:tcW w:w="455" w:type="pct"/>
            <w:vAlign w:val="center"/>
            <w:hideMark/>
          </w:tcPr>
          <w:p w:rsidRPr="00F8021B" w:rsidR="009D4555" w:rsidP="00F8021B" w:rsidRDefault="00F8021B" w14:paraId="6847DBCD" w14:textId="0167DEC4">
            <w:pPr>
              <w:widowControl/>
              <w:autoSpaceDE/>
              <w:autoSpaceDN/>
              <w:adjustRightInd/>
              <w:jc w:val="center"/>
              <w:cnfStyle w:val="000000100000" w:firstRow="0" w:lastRow="0" w:firstColumn="0" w:lastColumn="0" w:oddVBand="0" w:evenVBand="0" w:oddHBand="1" w:evenHBand="0" w:firstRowFirstColumn="0" w:firstRowLastColumn="0" w:lastRowFirstColumn="0" w:lastRowLastColumn="0"/>
              <w:rPr>
                <w:color w:val="000000"/>
                <w:szCs w:val="20"/>
              </w:rPr>
            </w:pPr>
            <w:r w:rsidRPr="00F8021B">
              <w:rPr>
                <w:color w:val="000000"/>
                <w:szCs w:val="20"/>
              </w:rPr>
              <w:t>g</w:t>
            </w:r>
            <w:r w:rsidRPr="00F8021B" w:rsidR="009D4555">
              <w:rPr>
                <w:color w:val="000000"/>
                <w:szCs w:val="20"/>
              </w:rPr>
              <w:t>/</w:t>
            </w:r>
            <w:r w:rsidRPr="00F8021B">
              <w:rPr>
                <w:color w:val="000000"/>
                <w:szCs w:val="20"/>
              </w:rPr>
              <w:t>kg</w:t>
            </w:r>
          </w:p>
        </w:tc>
        <w:tc>
          <w:tcPr>
            <w:tcW w:w="535" w:type="pct"/>
            <w:noWrap/>
            <w:vAlign w:val="center"/>
            <w:hideMark/>
          </w:tcPr>
          <w:p w:rsidRPr="009F14D2" w:rsidR="009D4555" w:rsidRDefault="00F8021B" w14:paraId="27C82A9B" w14:textId="6C4CE98A">
            <w:pPr>
              <w:widowControl/>
              <w:autoSpaceDE/>
              <w:autoSpaceDN/>
              <w:adjustRightInd/>
              <w:jc w:val="center"/>
              <w:cnfStyle w:val="000000100000" w:firstRow="0" w:lastRow="0" w:firstColumn="0" w:lastColumn="0" w:oddVBand="0" w:evenVBand="0" w:oddHBand="1" w:evenHBand="0" w:firstRowFirstColumn="0" w:firstRowLastColumn="0" w:lastRowFirstColumn="0" w:lastRowLastColumn="0"/>
              <w:rPr>
                <w:color w:val="000000"/>
              </w:rPr>
            </w:pPr>
            <w:r w:rsidRPr="009F14D2">
              <w:rPr>
                <w:color w:val="000000"/>
              </w:rPr>
              <w:t>38</w:t>
            </w:r>
          </w:p>
        </w:tc>
        <w:tc>
          <w:tcPr>
            <w:tcW w:w="535" w:type="pct"/>
            <w:noWrap/>
            <w:vAlign w:val="center"/>
            <w:hideMark/>
          </w:tcPr>
          <w:p w:rsidRPr="00F8021B" w:rsidR="009D4555" w:rsidP="009D4555" w:rsidRDefault="00174AE6" w14:paraId="45173BB3" w14:textId="7EF43AA2">
            <w:pPr>
              <w:widowControl/>
              <w:autoSpaceDE/>
              <w:autoSpaceDN/>
              <w:adjustRightInd/>
              <w:jc w:val="center"/>
              <w:cnfStyle w:val="000000100000" w:firstRow="0" w:lastRow="0" w:firstColumn="0" w:lastColumn="0" w:oddVBand="0" w:evenVBand="0" w:oddHBand="1" w:evenHBand="0" w:firstRowFirstColumn="0" w:firstRowLastColumn="0" w:lastRowFirstColumn="0" w:lastRowLastColumn="0"/>
              <w:rPr>
                <w:color w:val="000000"/>
                <w:szCs w:val="20"/>
              </w:rPr>
            </w:pPr>
            <w:r>
              <w:rPr>
                <w:color w:val="000000"/>
                <w:szCs w:val="20"/>
              </w:rPr>
              <w:t>l</w:t>
            </w:r>
            <w:r w:rsidRPr="00F8021B" w:rsidR="00F8021B">
              <w:rPr>
                <w:color w:val="000000"/>
                <w:szCs w:val="20"/>
              </w:rPr>
              <w:t>bs./ton</w:t>
            </w:r>
          </w:p>
        </w:tc>
        <w:tc>
          <w:tcPr>
            <w:tcW w:w="1582" w:type="pct"/>
            <w:hideMark/>
          </w:tcPr>
          <w:p w:rsidR="009D4555" w:rsidP="009D4555" w:rsidRDefault="00274943" w14:paraId="2748B45F" w14:textId="4FC850D0">
            <w:pPr>
              <w:widowControl/>
              <w:autoSpaceDE/>
              <w:autoSpaceDN/>
              <w:adjustRightInd/>
              <w:cnfStyle w:val="000000100000" w:firstRow="0" w:lastRow="0" w:firstColumn="0" w:lastColumn="0" w:oddVBand="0" w:evenVBand="0" w:oddHBand="1" w:evenHBand="0" w:firstRowFirstColumn="0" w:firstRowLastColumn="0" w:lastRowFirstColumn="0" w:lastRowLastColumn="0"/>
              <w:rPr>
                <w:color w:val="000000"/>
                <w:szCs w:val="20"/>
              </w:rPr>
            </w:pPr>
            <w:r w:rsidRPr="00F8021B">
              <w:rPr>
                <w:color w:val="000000"/>
                <w:szCs w:val="20"/>
              </w:rPr>
              <w:t xml:space="preserve">Reference </w:t>
            </w:r>
            <w:r w:rsidRPr="00F8021B" w:rsidR="009B67B9">
              <w:rPr>
                <w:color w:val="000000"/>
                <w:szCs w:val="20"/>
              </w:rPr>
              <w:fldChar w:fldCharType="begin"/>
            </w:r>
            <w:r w:rsidRPr="00F8021B" w:rsidR="009B67B9">
              <w:rPr>
                <w:color w:val="000000"/>
                <w:szCs w:val="20"/>
              </w:rPr>
              <w:instrText xml:space="preserve"> NOTEREF _Ref478479861 \h </w:instrText>
            </w:r>
            <w:r w:rsidR="00F8021B">
              <w:rPr>
                <w:color w:val="000000"/>
                <w:szCs w:val="20"/>
              </w:rPr>
              <w:instrText xml:space="preserve"> \* MERGEFORMAT </w:instrText>
            </w:r>
            <w:r w:rsidRPr="00F8021B" w:rsidR="009B67B9">
              <w:rPr>
                <w:color w:val="000000"/>
                <w:szCs w:val="20"/>
              </w:rPr>
            </w:r>
            <w:r w:rsidRPr="00F8021B" w:rsidR="009B67B9">
              <w:rPr>
                <w:color w:val="000000"/>
                <w:szCs w:val="20"/>
              </w:rPr>
              <w:fldChar w:fldCharType="separate"/>
            </w:r>
            <w:r w:rsidR="00117BBF">
              <w:rPr>
                <w:color w:val="000000"/>
                <w:szCs w:val="20"/>
              </w:rPr>
              <w:t>7</w:t>
            </w:r>
            <w:r w:rsidRPr="00F8021B" w:rsidR="009B67B9">
              <w:rPr>
                <w:color w:val="000000"/>
                <w:szCs w:val="20"/>
              </w:rPr>
              <w:fldChar w:fldCharType="end"/>
            </w:r>
          </w:p>
          <w:p w:rsidRPr="00F8021B" w:rsidR="001123F3" w:rsidP="00FE1365" w:rsidRDefault="001123F3" w14:paraId="275A0F21" w14:textId="6E448D9C">
            <w:pPr>
              <w:widowControl/>
              <w:autoSpaceDE/>
              <w:autoSpaceDN/>
              <w:adjustRightInd/>
              <w:cnfStyle w:val="000000100000" w:firstRow="0" w:lastRow="0" w:firstColumn="0" w:lastColumn="0" w:oddVBand="0" w:evenVBand="0" w:oddHBand="1" w:evenHBand="0" w:firstRowFirstColumn="0" w:firstRowLastColumn="0" w:lastRowFirstColumn="0" w:lastRowLastColumn="0"/>
              <w:rPr>
                <w:color w:val="000000"/>
                <w:szCs w:val="20"/>
              </w:rPr>
            </w:pPr>
            <w:r w:rsidRPr="00F8021B">
              <w:rPr>
                <w:color w:val="000000"/>
                <w:szCs w:val="20"/>
              </w:rPr>
              <w:t>(average of non-recyclers)</w:t>
            </w:r>
          </w:p>
        </w:tc>
      </w:tr>
      <w:tr w:rsidRPr="00F8021B" w:rsidR="005F75F8" w:rsidTr="00030F9E" w14:paraId="1CBDF742" w14:textId="77777777">
        <w:trPr>
          <w:cantSplit/>
          <w:trHeight w:val="20"/>
        </w:trPr>
        <w:tc>
          <w:tcPr>
            <w:cnfStyle w:val="001000000000" w:firstRow="0" w:lastRow="0" w:firstColumn="1" w:lastColumn="0" w:oddVBand="0" w:evenVBand="0" w:oddHBand="0" w:evenHBand="0" w:firstRowFirstColumn="0" w:firstRowLastColumn="0" w:lastRowFirstColumn="0" w:lastRowLastColumn="0"/>
            <w:tcW w:w="988" w:type="pct"/>
            <w:vAlign w:val="center"/>
            <w:hideMark/>
          </w:tcPr>
          <w:p w:rsidRPr="00F8021B" w:rsidR="009D4555" w:rsidP="005F75F8" w:rsidRDefault="009D4555" w14:paraId="280702C4" w14:textId="77777777">
            <w:pPr>
              <w:widowControl/>
              <w:autoSpaceDE/>
              <w:autoSpaceDN/>
              <w:adjustRightInd/>
              <w:rPr>
                <w:b w:val="0"/>
                <w:color w:val="000000"/>
                <w:szCs w:val="20"/>
              </w:rPr>
            </w:pPr>
            <w:r w:rsidRPr="00F8021B">
              <w:rPr>
                <w:b w:val="0"/>
                <w:color w:val="000000"/>
                <w:szCs w:val="20"/>
              </w:rPr>
              <w:t>PM10-PRI</w:t>
            </w:r>
          </w:p>
        </w:tc>
        <w:tc>
          <w:tcPr>
            <w:tcW w:w="450" w:type="pct"/>
            <w:vAlign w:val="center"/>
            <w:hideMark/>
          </w:tcPr>
          <w:p w:rsidRPr="00F8021B" w:rsidR="009D4555" w:rsidP="009D4555" w:rsidRDefault="009D4555" w14:paraId="3001F478" w14:textId="77777777">
            <w:pPr>
              <w:widowControl/>
              <w:autoSpaceDE/>
              <w:autoSpaceDN/>
              <w:adjustRightInd/>
              <w:jc w:val="center"/>
              <w:cnfStyle w:val="000000000000" w:firstRow="0" w:lastRow="0" w:firstColumn="0" w:lastColumn="0" w:oddVBand="0" w:evenVBand="0" w:oddHBand="0" w:evenHBand="0" w:firstRowFirstColumn="0" w:firstRowLastColumn="0" w:lastRowFirstColumn="0" w:lastRowLastColumn="0"/>
              <w:rPr>
                <w:color w:val="000000"/>
                <w:szCs w:val="20"/>
              </w:rPr>
            </w:pPr>
            <w:r w:rsidRPr="00F8021B">
              <w:rPr>
                <w:color w:val="000000"/>
                <w:szCs w:val="20"/>
              </w:rPr>
              <w:t>PM10-PRI</w:t>
            </w:r>
          </w:p>
        </w:tc>
        <w:tc>
          <w:tcPr>
            <w:tcW w:w="455" w:type="pct"/>
            <w:vAlign w:val="center"/>
            <w:hideMark/>
          </w:tcPr>
          <w:p w:rsidRPr="009F14D2" w:rsidR="009D4555" w:rsidRDefault="00F8021B" w14:paraId="560C5C36" w14:textId="16E7BF5A">
            <w:pPr>
              <w:widowControl/>
              <w:autoSpaceDE/>
              <w:autoSpaceDN/>
              <w:adjustRightInd/>
              <w:jc w:val="center"/>
              <w:cnfStyle w:val="000000000000" w:firstRow="0" w:lastRow="0" w:firstColumn="0" w:lastColumn="0" w:oddVBand="0" w:evenVBand="0" w:oddHBand="0" w:evenHBand="0" w:firstRowFirstColumn="0" w:firstRowLastColumn="0" w:lastRowFirstColumn="0" w:lastRowLastColumn="0"/>
              <w:rPr>
                <w:color w:val="000000"/>
              </w:rPr>
            </w:pPr>
            <w:r w:rsidRPr="009F14D2">
              <w:rPr>
                <w:color w:val="000000"/>
              </w:rPr>
              <w:t>18.76</w:t>
            </w:r>
          </w:p>
        </w:tc>
        <w:tc>
          <w:tcPr>
            <w:tcW w:w="455" w:type="pct"/>
            <w:vAlign w:val="center"/>
            <w:hideMark/>
          </w:tcPr>
          <w:p w:rsidRPr="00F8021B" w:rsidR="009D4555" w:rsidP="009D4555" w:rsidRDefault="00F8021B" w14:paraId="333A5B6F" w14:textId="4EF6D4BE">
            <w:pPr>
              <w:widowControl/>
              <w:autoSpaceDE/>
              <w:autoSpaceDN/>
              <w:adjustRightInd/>
              <w:jc w:val="center"/>
              <w:cnfStyle w:val="000000000000" w:firstRow="0" w:lastRow="0" w:firstColumn="0" w:lastColumn="0" w:oddVBand="0" w:evenVBand="0" w:oddHBand="0" w:evenHBand="0" w:firstRowFirstColumn="0" w:firstRowLastColumn="0" w:lastRowFirstColumn="0" w:lastRowLastColumn="0"/>
              <w:rPr>
                <w:color w:val="000000"/>
                <w:szCs w:val="20"/>
              </w:rPr>
            </w:pPr>
            <w:r w:rsidRPr="00F8021B">
              <w:rPr>
                <w:color w:val="000000"/>
                <w:szCs w:val="20"/>
              </w:rPr>
              <w:t>g/kg</w:t>
            </w:r>
          </w:p>
        </w:tc>
        <w:tc>
          <w:tcPr>
            <w:tcW w:w="535" w:type="pct"/>
            <w:noWrap/>
            <w:vAlign w:val="center"/>
            <w:hideMark/>
          </w:tcPr>
          <w:p w:rsidRPr="009F14D2" w:rsidR="009D4555" w:rsidRDefault="00F8021B" w14:paraId="60D286AA" w14:textId="0809E668">
            <w:pPr>
              <w:widowControl/>
              <w:autoSpaceDE/>
              <w:autoSpaceDN/>
              <w:adjustRightInd/>
              <w:jc w:val="center"/>
              <w:cnfStyle w:val="000000000000" w:firstRow="0" w:lastRow="0" w:firstColumn="0" w:lastColumn="0" w:oddVBand="0" w:evenVBand="0" w:oddHBand="0" w:evenHBand="0" w:firstRowFirstColumn="0" w:firstRowLastColumn="0" w:lastRowFirstColumn="0" w:lastRowLastColumn="0"/>
              <w:rPr>
                <w:color w:val="000000"/>
              </w:rPr>
            </w:pPr>
            <w:r w:rsidRPr="009F14D2">
              <w:rPr>
                <w:color w:val="000000"/>
              </w:rPr>
              <w:t>38</w:t>
            </w:r>
          </w:p>
        </w:tc>
        <w:tc>
          <w:tcPr>
            <w:tcW w:w="535" w:type="pct"/>
            <w:noWrap/>
            <w:vAlign w:val="center"/>
            <w:hideMark/>
          </w:tcPr>
          <w:p w:rsidRPr="00F8021B" w:rsidR="009D4555" w:rsidP="009D4555" w:rsidRDefault="00174AE6" w14:paraId="078523B1" w14:textId="44A5A997">
            <w:pPr>
              <w:widowControl/>
              <w:autoSpaceDE/>
              <w:autoSpaceDN/>
              <w:adjustRightInd/>
              <w:jc w:val="center"/>
              <w:cnfStyle w:val="000000000000" w:firstRow="0" w:lastRow="0" w:firstColumn="0" w:lastColumn="0" w:oddVBand="0" w:evenVBand="0" w:oddHBand="0" w:evenHBand="0" w:firstRowFirstColumn="0" w:firstRowLastColumn="0" w:lastRowFirstColumn="0" w:lastRowLastColumn="0"/>
              <w:rPr>
                <w:color w:val="000000"/>
                <w:szCs w:val="20"/>
              </w:rPr>
            </w:pPr>
            <w:r>
              <w:rPr>
                <w:color w:val="000000"/>
                <w:szCs w:val="20"/>
              </w:rPr>
              <w:t>l</w:t>
            </w:r>
            <w:r w:rsidRPr="00F8021B" w:rsidR="00F8021B">
              <w:rPr>
                <w:color w:val="000000"/>
                <w:szCs w:val="20"/>
              </w:rPr>
              <w:t>bs./ton</w:t>
            </w:r>
          </w:p>
        </w:tc>
        <w:tc>
          <w:tcPr>
            <w:tcW w:w="1582" w:type="pct"/>
            <w:vAlign w:val="center"/>
            <w:hideMark/>
          </w:tcPr>
          <w:p w:rsidR="009D4555" w:rsidP="009D4555" w:rsidRDefault="00274943" w14:paraId="4523FA6F" w14:textId="3896B474">
            <w:pPr>
              <w:widowControl/>
              <w:autoSpaceDE/>
              <w:autoSpaceDN/>
              <w:adjustRightInd/>
              <w:cnfStyle w:val="000000000000" w:firstRow="0" w:lastRow="0" w:firstColumn="0" w:lastColumn="0" w:oddVBand="0" w:evenVBand="0" w:oddHBand="0" w:evenHBand="0" w:firstRowFirstColumn="0" w:firstRowLastColumn="0" w:lastRowFirstColumn="0" w:lastRowLastColumn="0"/>
              <w:rPr>
                <w:color w:val="000000"/>
                <w:szCs w:val="20"/>
              </w:rPr>
            </w:pPr>
            <w:r w:rsidRPr="00F8021B">
              <w:rPr>
                <w:color w:val="000000"/>
                <w:szCs w:val="20"/>
              </w:rPr>
              <w:t xml:space="preserve">Reference </w:t>
            </w:r>
            <w:r w:rsidR="00056E9D">
              <w:rPr>
                <w:color w:val="000000"/>
                <w:szCs w:val="20"/>
                <w:highlight w:val="yellow"/>
              </w:rPr>
              <w:fldChar w:fldCharType="begin"/>
            </w:r>
            <w:r w:rsidR="00056E9D">
              <w:rPr>
                <w:color w:val="000000"/>
                <w:szCs w:val="20"/>
              </w:rPr>
              <w:instrText xml:space="preserve"> NOTEREF _Ref478479861 \h </w:instrText>
            </w:r>
            <w:r w:rsidR="005F75F8">
              <w:rPr>
                <w:color w:val="000000"/>
                <w:szCs w:val="20"/>
                <w:highlight w:val="yellow"/>
              </w:rPr>
              <w:instrText xml:space="preserve"> \* MERGEFORMAT </w:instrText>
            </w:r>
            <w:r w:rsidR="00056E9D">
              <w:rPr>
                <w:color w:val="000000"/>
                <w:szCs w:val="20"/>
                <w:highlight w:val="yellow"/>
              </w:rPr>
            </w:r>
            <w:r w:rsidR="00056E9D">
              <w:rPr>
                <w:color w:val="000000"/>
                <w:szCs w:val="20"/>
                <w:highlight w:val="yellow"/>
              </w:rPr>
              <w:fldChar w:fldCharType="separate"/>
            </w:r>
            <w:r w:rsidR="00117BBF">
              <w:rPr>
                <w:color w:val="000000"/>
                <w:szCs w:val="20"/>
              </w:rPr>
              <w:t>7</w:t>
            </w:r>
            <w:r w:rsidR="00056E9D">
              <w:rPr>
                <w:color w:val="000000"/>
                <w:szCs w:val="20"/>
                <w:highlight w:val="yellow"/>
              </w:rPr>
              <w:fldChar w:fldCharType="end"/>
            </w:r>
          </w:p>
          <w:p w:rsidRPr="00F8021B" w:rsidR="001123F3" w:rsidP="00FE1365" w:rsidRDefault="001123F3" w14:paraId="19B7016A" w14:textId="56F98019">
            <w:pPr>
              <w:widowControl/>
              <w:autoSpaceDE/>
              <w:autoSpaceDN/>
              <w:adjustRightInd/>
              <w:cnfStyle w:val="000000000000" w:firstRow="0" w:lastRow="0" w:firstColumn="0" w:lastColumn="0" w:oddVBand="0" w:evenVBand="0" w:oddHBand="0" w:evenHBand="0" w:firstRowFirstColumn="0" w:firstRowLastColumn="0" w:lastRowFirstColumn="0" w:lastRowLastColumn="0"/>
              <w:rPr>
                <w:color w:val="000000"/>
                <w:szCs w:val="20"/>
              </w:rPr>
            </w:pPr>
            <w:r w:rsidRPr="00F8021B">
              <w:rPr>
                <w:color w:val="000000"/>
                <w:szCs w:val="20"/>
              </w:rPr>
              <w:t>(average of non-recyclers)</w:t>
            </w:r>
          </w:p>
        </w:tc>
      </w:tr>
      <w:tr w:rsidRPr="00F8021B" w:rsidR="005F75F8" w:rsidTr="00030F9E" w14:paraId="1F16C947" w14:textId="77777777">
        <w:trPr>
          <w:cnfStyle w:val="000000100000" w:firstRow="0" w:lastRow="0" w:firstColumn="0" w:lastColumn="0" w:oddVBand="0" w:evenVBand="0" w:oddHBand="1" w:evenHBand="0" w:firstRowFirstColumn="0" w:firstRowLastColumn="0" w:lastRowFirstColumn="0" w:lastRowLastColumn="0"/>
          <w:cantSplit/>
          <w:trHeight w:val="20"/>
        </w:trPr>
        <w:tc>
          <w:tcPr>
            <w:cnfStyle w:val="001000000000" w:firstRow="0" w:lastRow="0" w:firstColumn="1" w:lastColumn="0" w:oddVBand="0" w:evenVBand="0" w:oddHBand="0" w:evenHBand="0" w:firstRowFirstColumn="0" w:firstRowLastColumn="0" w:lastRowFirstColumn="0" w:lastRowLastColumn="0"/>
            <w:tcW w:w="988" w:type="pct"/>
            <w:vAlign w:val="center"/>
            <w:hideMark/>
          </w:tcPr>
          <w:p w:rsidRPr="00F8021B" w:rsidR="009D4555" w:rsidP="005F75F8" w:rsidRDefault="009D4555" w14:paraId="3EC357D9" w14:textId="77777777">
            <w:pPr>
              <w:widowControl/>
              <w:autoSpaceDE/>
              <w:autoSpaceDN/>
              <w:adjustRightInd/>
              <w:rPr>
                <w:b w:val="0"/>
                <w:color w:val="000000"/>
                <w:szCs w:val="20"/>
              </w:rPr>
            </w:pPr>
            <w:r w:rsidRPr="00F8021B">
              <w:rPr>
                <w:b w:val="0"/>
                <w:color w:val="000000"/>
                <w:szCs w:val="20"/>
              </w:rPr>
              <w:t>PM25-FIL</w:t>
            </w:r>
          </w:p>
        </w:tc>
        <w:tc>
          <w:tcPr>
            <w:tcW w:w="450" w:type="pct"/>
            <w:vAlign w:val="center"/>
            <w:hideMark/>
          </w:tcPr>
          <w:p w:rsidRPr="00F8021B" w:rsidR="009D4555" w:rsidP="009D4555" w:rsidRDefault="009D4555" w14:paraId="670DF480" w14:textId="77777777">
            <w:pPr>
              <w:widowControl/>
              <w:autoSpaceDE/>
              <w:autoSpaceDN/>
              <w:adjustRightInd/>
              <w:jc w:val="center"/>
              <w:cnfStyle w:val="000000100000" w:firstRow="0" w:lastRow="0" w:firstColumn="0" w:lastColumn="0" w:oddVBand="0" w:evenVBand="0" w:oddHBand="1" w:evenHBand="0" w:firstRowFirstColumn="0" w:firstRowLastColumn="0" w:lastRowFirstColumn="0" w:lastRowLastColumn="0"/>
              <w:rPr>
                <w:color w:val="000000"/>
                <w:szCs w:val="20"/>
              </w:rPr>
            </w:pPr>
            <w:r w:rsidRPr="00F8021B">
              <w:rPr>
                <w:color w:val="000000"/>
                <w:szCs w:val="20"/>
              </w:rPr>
              <w:t>PM25-FIL</w:t>
            </w:r>
          </w:p>
        </w:tc>
        <w:tc>
          <w:tcPr>
            <w:tcW w:w="455" w:type="pct"/>
            <w:vAlign w:val="center"/>
            <w:hideMark/>
          </w:tcPr>
          <w:p w:rsidRPr="009F14D2" w:rsidR="009D4555" w:rsidRDefault="00F8021B" w14:paraId="1D69B615" w14:textId="41796B42">
            <w:pPr>
              <w:widowControl/>
              <w:autoSpaceDE/>
              <w:autoSpaceDN/>
              <w:adjustRightInd/>
              <w:jc w:val="center"/>
              <w:cnfStyle w:val="000000100000" w:firstRow="0" w:lastRow="0" w:firstColumn="0" w:lastColumn="0" w:oddVBand="0" w:evenVBand="0" w:oddHBand="1" w:evenHBand="0" w:firstRowFirstColumn="0" w:firstRowLastColumn="0" w:lastRowFirstColumn="0" w:lastRowLastColumn="0"/>
              <w:rPr>
                <w:color w:val="000000"/>
              </w:rPr>
            </w:pPr>
            <w:r w:rsidRPr="009F14D2">
              <w:rPr>
                <w:color w:val="000000"/>
              </w:rPr>
              <w:t>17.44</w:t>
            </w:r>
          </w:p>
        </w:tc>
        <w:tc>
          <w:tcPr>
            <w:tcW w:w="455" w:type="pct"/>
            <w:vAlign w:val="center"/>
            <w:hideMark/>
          </w:tcPr>
          <w:p w:rsidRPr="00F8021B" w:rsidR="009D4555" w:rsidP="009D4555" w:rsidRDefault="00F8021B" w14:paraId="7B7B0676" w14:textId="5E3725F2">
            <w:pPr>
              <w:widowControl/>
              <w:autoSpaceDE/>
              <w:autoSpaceDN/>
              <w:adjustRightInd/>
              <w:jc w:val="center"/>
              <w:cnfStyle w:val="000000100000" w:firstRow="0" w:lastRow="0" w:firstColumn="0" w:lastColumn="0" w:oddVBand="0" w:evenVBand="0" w:oddHBand="1" w:evenHBand="0" w:firstRowFirstColumn="0" w:firstRowLastColumn="0" w:lastRowFirstColumn="0" w:lastRowLastColumn="0"/>
              <w:rPr>
                <w:color w:val="000000"/>
                <w:szCs w:val="20"/>
              </w:rPr>
            </w:pPr>
            <w:r w:rsidRPr="00F8021B">
              <w:rPr>
                <w:color w:val="000000"/>
                <w:szCs w:val="20"/>
              </w:rPr>
              <w:t>g/kg</w:t>
            </w:r>
          </w:p>
        </w:tc>
        <w:tc>
          <w:tcPr>
            <w:tcW w:w="535" w:type="pct"/>
            <w:noWrap/>
            <w:vAlign w:val="center"/>
            <w:hideMark/>
          </w:tcPr>
          <w:p w:rsidRPr="009F14D2" w:rsidR="009D4555" w:rsidRDefault="00F8021B" w14:paraId="39B3DDF8" w14:textId="7169D3FE">
            <w:pPr>
              <w:widowControl/>
              <w:autoSpaceDE/>
              <w:autoSpaceDN/>
              <w:adjustRightInd/>
              <w:jc w:val="center"/>
              <w:cnfStyle w:val="000000100000" w:firstRow="0" w:lastRow="0" w:firstColumn="0" w:lastColumn="0" w:oddVBand="0" w:evenVBand="0" w:oddHBand="1" w:evenHBand="0" w:firstRowFirstColumn="0" w:firstRowLastColumn="0" w:lastRowFirstColumn="0" w:lastRowLastColumn="0"/>
              <w:rPr>
                <w:color w:val="000000"/>
              </w:rPr>
            </w:pPr>
            <w:r w:rsidRPr="009F14D2">
              <w:rPr>
                <w:color w:val="000000"/>
              </w:rPr>
              <w:t>34.8</w:t>
            </w:r>
          </w:p>
        </w:tc>
        <w:tc>
          <w:tcPr>
            <w:tcW w:w="535" w:type="pct"/>
            <w:noWrap/>
            <w:vAlign w:val="center"/>
            <w:hideMark/>
          </w:tcPr>
          <w:p w:rsidRPr="00F8021B" w:rsidR="009D4555" w:rsidP="009D4555" w:rsidRDefault="00174AE6" w14:paraId="44574BBC" w14:textId="043D1584">
            <w:pPr>
              <w:widowControl/>
              <w:autoSpaceDE/>
              <w:autoSpaceDN/>
              <w:adjustRightInd/>
              <w:jc w:val="center"/>
              <w:cnfStyle w:val="000000100000" w:firstRow="0" w:lastRow="0" w:firstColumn="0" w:lastColumn="0" w:oddVBand="0" w:evenVBand="0" w:oddHBand="1" w:evenHBand="0" w:firstRowFirstColumn="0" w:firstRowLastColumn="0" w:lastRowFirstColumn="0" w:lastRowLastColumn="0"/>
              <w:rPr>
                <w:color w:val="000000"/>
                <w:szCs w:val="20"/>
              </w:rPr>
            </w:pPr>
            <w:r>
              <w:rPr>
                <w:color w:val="000000"/>
                <w:szCs w:val="20"/>
              </w:rPr>
              <w:t>l</w:t>
            </w:r>
            <w:r w:rsidR="00F8021B">
              <w:rPr>
                <w:color w:val="000000"/>
                <w:szCs w:val="20"/>
              </w:rPr>
              <w:t>bs./ton</w:t>
            </w:r>
          </w:p>
        </w:tc>
        <w:tc>
          <w:tcPr>
            <w:tcW w:w="1582" w:type="pct"/>
            <w:hideMark/>
          </w:tcPr>
          <w:p w:rsidR="009D4555" w:rsidP="009D4555" w:rsidRDefault="00274943" w14:paraId="35474451" w14:textId="708BA1D1">
            <w:pPr>
              <w:widowControl/>
              <w:autoSpaceDE/>
              <w:autoSpaceDN/>
              <w:adjustRightInd/>
              <w:cnfStyle w:val="000000100000" w:firstRow="0" w:lastRow="0" w:firstColumn="0" w:lastColumn="0" w:oddVBand="0" w:evenVBand="0" w:oddHBand="1" w:evenHBand="0" w:firstRowFirstColumn="0" w:firstRowLastColumn="0" w:lastRowFirstColumn="0" w:lastRowLastColumn="0"/>
              <w:rPr>
                <w:color w:val="000000"/>
                <w:szCs w:val="20"/>
              </w:rPr>
            </w:pPr>
            <w:r w:rsidRPr="00F8021B">
              <w:rPr>
                <w:color w:val="000000"/>
                <w:szCs w:val="20"/>
              </w:rPr>
              <w:t xml:space="preserve">Reference </w:t>
            </w:r>
            <w:r w:rsidR="00056E9D">
              <w:rPr>
                <w:color w:val="000000"/>
                <w:szCs w:val="20"/>
                <w:highlight w:val="yellow"/>
              </w:rPr>
              <w:fldChar w:fldCharType="begin"/>
            </w:r>
            <w:r w:rsidR="00056E9D">
              <w:rPr>
                <w:color w:val="000000"/>
                <w:szCs w:val="20"/>
              </w:rPr>
              <w:instrText xml:space="preserve"> NOTEREF _Ref478479861 \h </w:instrText>
            </w:r>
            <w:r w:rsidR="005F75F8">
              <w:rPr>
                <w:color w:val="000000"/>
                <w:szCs w:val="20"/>
                <w:highlight w:val="yellow"/>
              </w:rPr>
              <w:instrText xml:space="preserve"> \* MERGEFORMAT </w:instrText>
            </w:r>
            <w:r w:rsidR="00056E9D">
              <w:rPr>
                <w:color w:val="000000"/>
                <w:szCs w:val="20"/>
                <w:highlight w:val="yellow"/>
              </w:rPr>
            </w:r>
            <w:r w:rsidR="00056E9D">
              <w:rPr>
                <w:color w:val="000000"/>
                <w:szCs w:val="20"/>
                <w:highlight w:val="yellow"/>
              </w:rPr>
              <w:fldChar w:fldCharType="separate"/>
            </w:r>
            <w:r w:rsidR="00117BBF">
              <w:rPr>
                <w:color w:val="000000"/>
                <w:szCs w:val="20"/>
              </w:rPr>
              <w:t>7</w:t>
            </w:r>
            <w:r w:rsidR="00056E9D">
              <w:rPr>
                <w:color w:val="000000"/>
                <w:szCs w:val="20"/>
                <w:highlight w:val="yellow"/>
              </w:rPr>
              <w:fldChar w:fldCharType="end"/>
            </w:r>
          </w:p>
          <w:p w:rsidRPr="00F8021B" w:rsidR="001123F3" w:rsidP="00FE1365" w:rsidRDefault="001123F3" w14:paraId="64014090" w14:textId="3CB4249C">
            <w:pPr>
              <w:widowControl/>
              <w:autoSpaceDE/>
              <w:autoSpaceDN/>
              <w:adjustRightInd/>
              <w:cnfStyle w:val="000000100000" w:firstRow="0" w:lastRow="0" w:firstColumn="0" w:lastColumn="0" w:oddVBand="0" w:evenVBand="0" w:oddHBand="1" w:evenHBand="0" w:firstRowFirstColumn="0" w:firstRowLastColumn="0" w:lastRowFirstColumn="0" w:lastRowLastColumn="0"/>
              <w:rPr>
                <w:color w:val="000000"/>
                <w:szCs w:val="20"/>
              </w:rPr>
            </w:pPr>
            <w:r w:rsidRPr="00F8021B">
              <w:rPr>
                <w:color w:val="000000"/>
                <w:szCs w:val="20"/>
              </w:rPr>
              <w:t>(average of non-recyclers)</w:t>
            </w:r>
          </w:p>
        </w:tc>
      </w:tr>
      <w:tr w:rsidRPr="00F8021B" w:rsidR="005F75F8" w:rsidTr="00030F9E" w14:paraId="599D9E10" w14:textId="77777777">
        <w:trPr>
          <w:cantSplit/>
          <w:trHeight w:val="20"/>
        </w:trPr>
        <w:tc>
          <w:tcPr>
            <w:cnfStyle w:val="001000000000" w:firstRow="0" w:lastRow="0" w:firstColumn="1" w:lastColumn="0" w:oddVBand="0" w:evenVBand="0" w:oddHBand="0" w:evenHBand="0" w:firstRowFirstColumn="0" w:firstRowLastColumn="0" w:lastRowFirstColumn="0" w:lastRowLastColumn="0"/>
            <w:tcW w:w="988" w:type="pct"/>
            <w:vAlign w:val="center"/>
            <w:hideMark/>
          </w:tcPr>
          <w:p w:rsidRPr="00F8021B" w:rsidR="009D4555" w:rsidP="005F75F8" w:rsidRDefault="009D4555" w14:paraId="48347106" w14:textId="77777777">
            <w:pPr>
              <w:widowControl/>
              <w:autoSpaceDE/>
              <w:autoSpaceDN/>
              <w:adjustRightInd/>
              <w:rPr>
                <w:b w:val="0"/>
                <w:color w:val="000000"/>
                <w:szCs w:val="20"/>
              </w:rPr>
            </w:pPr>
            <w:r w:rsidRPr="00F8021B">
              <w:rPr>
                <w:b w:val="0"/>
                <w:color w:val="000000"/>
                <w:szCs w:val="20"/>
              </w:rPr>
              <w:t>PM25-PRI</w:t>
            </w:r>
          </w:p>
        </w:tc>
        <w:tc>
          <w:tcPr>
            <w:tcW w:w="450" w:type="pct"/>
            <w:vAlign w:val="center"/>
            <w:hideMark/>
          </w:tcPr>
          <w:p w:rsidRPr="00F8021B" w:rsidR="009D4555" w:rsidP="009D4555" w:rsidRDefault="009D4555" w14:paraId="1EE0D0EB" w14:textId="77777777">
            <w:pPr>
              <w:widowControl/>
              <w:autoSpaceDE/>
              <w:autoSpaceDN/>
              <w:adjustRightInd/>
              <w:jc w:val="center"/>
              <w:cnfStyle w:val="000000000000" w:firstRow="0" w:lastRow="0" w:firstColumn="0" w:lastColumn="0" w:oddVBand="0" w:evenVBand="0" w:oddHBand="0" w:evenHBand="0" w:firstRowFirstColumn="0" w:firstRowLastColumn="0" w:lastRowFirstColumn="0" w:lastRowLastColumn="0"/>
              <w:rPr>
                <w:color w:val="000000"/>
                <w:szCs w:val="20"/>
              </w:rPr>
            </w:pPr>
            <w:r w:rsidRPr="00F8021B">
              <w:rPr>
                <w:color w:val="000000"/>
                <w:szCs w:val="20"/>
              </w:rPr>
              <w:t>PM25-PRI</w:t>
            </w:r>
          </w:p>
        </w:tc>
        <w:tc>
          <w:tcPr>
            <w:tcW w:w="455" w:type="pct"/>
            <w:vAlign w:val="center"/>
            <w:hideMark/>
          </w:tcPr>
          <w:p w:rsidRPr="009F14D2" w:rsidR="009D4555" w:rsidRDefault="00F8021B" w14:paraId="31BB83C4" w14:textId="7CBDEDEA">
            <w:pPr>
              <w:widowControl/>
              <w:autoSpaceDE/>
              <w:autoSpaceDN/>
              <w:adjustRightInd/>
              <w:jc w:val="center"/>
              <w:cnfStyle w:val="000000000000" w:firstRow="0" w:lastRow="0" w:firstColumn="0" w:lastColumn="0" w:oddVBand="0" w:evenVBand="0" w:oddHBand="0" w:evenHBand="0" w:firstRowFirstColumn="0" w:firstRowLastColumn="0" w:lastRowFirstColumn="0" w:lastRowLastColumn="0"/>
              <w:rPr>
                <w:color w:val="000000"/>
              </w:rPr>
            </w:pPr>
            <w:r w:rsidRPr="009F14D2">
              <w:rPr>
                <w:color w:val="000000"/>
              </w:rPr>
              <w:t>17.44</w:t>
            </w:r>
          </w:p>
        </w:tc>
        <w:tc>
          <w:tcPr>
            <w:tcW w:w="455" w:type="pct"/>
            <w:vAlign w:val="center"/>
            <w:hideMark/>
          </w:tcPr>
          <w:p w:rsidRPr="00F8021B" w:rsidR="009D4555" w:rsidP="009D4555" w:rsidRDefault="00F8021B" w14:paraId="01BAB91E" w14:textId="75387105">
            <w:pPr>
              <w:widowControl/>
              <w:autoSpaceDE/>
              <w:autoSpaceDN/>
              <w:adjustRightInd/>
              <w:jc w:val="center"/>
              <w:cnfStyle w:val="000000000000" w:firstRow="0" w:lastRow="0" w:firstColumn="0" w:lastColumn="0" w:oddVBand="0" w:evenVBand="0" w:oddHBand="0" w:evenHBand="0" w:firstRowFirstColumn="0" w:firstRowLastColumn="0" w:lastRowFirstColumn="0" w:lastRowLastColumn="0"/>
              <w:rPr>
                <w:color w:val="000000"/>
                <w:szCs w:val="20"/>
              </w:rPr>
            </w:pPr>
            <w:r w:rsidRPr="00F8021B">
              <w:rPr>
                <w:color w:val="000000"/>
                <w:szCs w:val="20"/>
              </w:rPr>
              <w:t>g/kg</w:t>
            </w:r>
          </w:p>
        </w:tc>
        <w:tc>
          <w:tcPr>
            <w:tcW w:w="535" w:type="pct"/>
            <w:noWrap/>
            <w:vAlign w:val="center"/>
            <w:hideMark/>
          </w:tcPr>
          <w:p w:rsidRPr="009F14D2" w:rsidR="009D4555" w:rsidRDefault="00F8021B" w14:paraId="735C6F3D" w14:textId="36D330C1">
            <w:pPr>
              <w:widowControl/>
              <w:autoSpaceDE/>
              <w:autoSpaceDN/>
              <w:adjustRightInd/>
              <w:jc w:val="center"/>
              <w:cnfStyle w:val="000000000000" w:firstRow="0" w:lastRow="0" w:firstColumn="0" w:lastColumn="0" w:oddVBand="0" w:evenVBand="0" w:oddHBand="0" w:evenHBand="0" w:firstRowFirstColumn="0" w:firstRowLastColumn="0" w:lastRowFirstColumn="0" w:lastRowLastColumn="0"/>
              <w:rPr>
                <w:color w:val="000000"/>
              </w:rPr>
            </w:pPr>
            <w:r w:rsidRPr="009F14D2">
              <w:rPr>
                <w:color w:val="000000"/>
              </w:rPr>
              <w:t>34.8</w:t>
            </w:r>
          </w:p>
        </w:tc>
        <w:tc>
          <w:tcPr>
            <w:tcW w:w="535" w:type="pct"/>
            <w:noWrap/>
            <w:vAlign w:val="center"/>
            <w:hideMark/>
          </w:tcPr>
          <w:p w:rsidRPr="00F8021B" w:rsidR="009D4555" w:rsidP="009D4555" w:rsidRDefault="00174AE6" w14:paraId="3C2471F8" w14:textId="5E2CCA72">
            <w:pPr>
              <w:widowControl/>
              <w:autoSpaceDE/>
              <w:autoSpaceDN/>
              <w:adjustRightInd/>
              <w:jc w:val="center"/>
              <w:cnfStyle w:val="000000000000" w:firstRow="0" w:lastRow="0" w:firstColumn="0" w:lastColumn="0" w:oddVBand="0" w:evenVBand="0" w:oddHBand="0" w:evenHBand="0" w:firstRowFirstColumn="0" w:firstRowLastColumn="0" w:lastRowFirstColumn="0" w:lastRowLastColumn="0"/>
              <w:rPr>
                <w:color w:val="000000"/>
                <w:szCs w:val="20"/>
              </w:rPr>
            </w:pPr>
            <w:r>
              <w:rPr>
                <w:color w:val="000000"/>
                <w:szCs w:val="20"/>
              </w:rPr>
              <w:t>l</w:t>
            </w:r>
            <w:r w:rsidR="00F8021B">
              <w:rPr>
                <w:color w:val="000000"/>
                <w:szCs w:val="20"/>
              </w:rPr>
              <w:t>bs./ton</w:t>
            </w:r>
          </w:p>
        </w:tc>
        <w:tc>
          <w:tcPr>
            <w:tcW w:w="1582" w:type="pct"/>
            <w:hideMark/>
          </w:tcPr>
          <w:p w:rsidR="009D4555" w:rsidP="009D4555" w:rsidRDefault="00274943" w14:paraId="5603F955" w14:textId="1EED4CB9">
            <w:pPr>
              <w:widowControl/>
              <w:autoSpaceDE/>
              <w:autoSpaceDN/>
              <w:adjustRightInd/>
              <w:cnfStyle w:val="000000000000" w:firstRow="0" w:lastRow="0" w:firstColumn="0" w:lastColumn="0" w:oddVBand="0" w:evenVBand="0" w:oddHBand="0" w:evenHBand="0" w:firstRowFirstColumn="0" w:firstRowLastColumn="0" w:lastRowFirstColumn="0" w:lastRowLastColumn="0"/>
              <w:rPr>
                <w:color w:val="000000"/>
                <w:szCs w:val="20"/>
              </w:rPr>
            </w:pPr>
            <w:r w:rsidRPr="00F8021B">
              <w:rPr>
                <w:color w:val="000000"/>
                <w:szCs w:val="20"/>
              </w:rPr>
              <w:t xml:space="preserve">Reference </w:t>
            </w:r>
            <w:r w:rsidRPr="00056E9D" w:rsidR="00056E9D">
              <w:rPr>
                <w:color w:val="000000"/>
                <w:szCs w:val="20"/>
              </w:rPr>
              <w:fldChar w:fldCharType="begin"/>
            </w:r>
            <w:r w:rsidRPr="00056E9D" w:rsidR="00056E9D">
              <w:rPr>
                <w:color w:val="000000"/>
                <w:szCs w:val="20"/>
              </w:rPr>
              <w:instrText xml:space="preserve"> NOTEREF _Ref478479861 \h </w:instrText>
            </w:r>
            <w:r w:rsidR="00056E9D">
              <w:rPr>
                <w:color w:val="000000"/>
                <w:szCs w:val="20"/>
              </w:rPr>
              <w:instrText xml:space="preserve"> \* MERGEFORMAT </w:instrText>
            </w:r>
            <w:r w:rsidRPr="00056E9D" w:rsidR="00056E9D">
              <w:rPr>
                <w:color w:val="000000"/>
                <w:szCs w:val="20"/>
              </w:rPr>
            </w:r>
            <w:r w:rsidRPr="00056E9D" w:rsidR="00056E9D">
              <w:rPr>
                <w:color w:val="000000"/>
                <w:szCs w:val="20"/>
              </w:rPr>
              <w:fldChar w:fldCharType="separate"/>
            </w:r>
            <w:r w:rsidR="00117BBF">
              <w:rPr>
                <w:color w:val="000000"/>
                <w:szCs w:val="20"/>
              </w:rPr>
              <w:t>7</w:t>
            </w:r>
            <w:r w:rsidRPr="00056E9D" w:rsidR="00056E9D">
              <w:rPr>
                <w:color w:val="000000"/>
                <w:szCs w:val="20"/>
              </w:rPr>
              <w:fldChar w:fldCharType="end"/>
            </w:r>
          </w:p>
          <w:p w:rsidRPr="00F8021B" w:rsidR="001123F3" w:rsidP="00FE1365" w:rsidRDefault="001123F3" w14:paraId="5D351CC5" w14:textId="65ED533B">
            <w:pPr>
              <w:widowControl/>
              <w:autoSpaceDE/>
              <w:autoSpaceDN/>
              <w:adjustRightInd/>
              <w:cnfStyle w:val="000000000000" w:firstRow="0" w:lastRow="0" w:firstColumn="0" w:lastColumn="0" w:oddVBand="0" w:evenVBand="0" w:oddHBand="0" w:evenHBand="0" w:firstRowFirstColumn="0" w:firstRowLastColumn="0" w:lastRowFirstColumn="0" w:lastRowLastColumn="0"/>
              <w:rPr>
                <w:color w:val="000000"/>
                <w:szCs w:val="20"/>
              </w:rPr>
            </w:pPr>
            <w:r w:rsidRPr="00F8021B">
              <w:rPr>
                <w:color w:val="000000"/>
                <w:szCs w:val="20"/>
              </w:rPr>
              <w:t>(average of non-recyclers)</w:t>
            </w:r>
          </w:p>
        </w:tc>
      </w:tr>
      <w:tr w:rsidRPr="00F8021B" w:rsidR="005F75F8" w:rsidTr="00030F9E" w14:paraId="7AFBF099" w14:textId="77777777">
        <w:trPr>
          <w:cnfStyle w:val="000000100000" w:firstRow="0" w:lastRow="0" w:firstColumn="0" w:lastColumn="0" w:oddVBand="0" w:evenVBand="0" w:oddHBand="1" w:evenHBand="0" w:firstRowFirstColumn="0" w:firstRowLastColumn="0" w:lastRowFirstColumn="0" w:lastRowLastColumn="0"/>
          <w:cantSplit/>
          <w:trHeight w:val="20"/>
        </w:trPr>
        <w:tc>
          <w:tcPr>
            <w:cnfStyle w:val="001000000000" w:firstRow="0" w:lastRow="0" w:firstColumn="1" w:lastColumn="0" w:oddVBand="0" w:evenVBand="0" w:oddHBand="0" w:evenHBand="0" w:firstRowFirstColumn="0" w:firstRowLastColumn="0" w:lastRowFirstColumn="0" w:lastRowLastColumn="0"/>
            <w:tcW w:w="988" w:type="pct"/>
            <w:vAlign w:val="center"/>
            <w:hideMark/>
          </w:tcPr>
          <w:p w:rsidRPr="00F8021B" w:rsidR="009D4555" w:rsidP="005F75F8" w:rsidRDefault="009D4555" w14:paraId="0EC5A641" w14:textId="77777777">
            <w:pPr>
              <w:widowControl/>
              <w:autoSpaceDE/>
              <w:autoSpaceDN/>
              <w:adjustRightInd/>
              <w:rPr>
                <w:b w:val="0"/>
                <w:color w:val="000000"/>
                <w:szCs w:val="20"/>
              </w:rPr>
            </w:pPr>
            <w:r w:rsidRPr="00F8021B">
              <w:rPr>
                <w:b w:val="0"/>
                <w:color w:val="000000"/>
                <w:szCs w:val="20"/>
              </w:rPr>
              <w:t>Sulfur Oxides</w:t>
            </w:r>
          </w:p>
        </w:tc>
        <w:tc>
          <w:tcPr>
            <w:tcW w:w="450" w:type="pct"/>
            <w:vAlign w:val="center"/>
            <w:hideMark/>
          </w:tcPr>
          <w:p w:rsidRPr="00F8021B" w:rsidR="009D4555" w:rsidP="009D4555" w:rsidRDefault="009D4555" w14:paraId="4F87C84E" w14:textId="77777777">
            <w:pPr>
              <w:widowControl/>
              <w:autoSpaceDE/>
              <w:autoSpaceDN/>
              <w:adjustRightInd/>
              <w:jc w:val="center"/>
              <w:cnfStyle w:val="000000100000" w:firstRow="0" w:lastRow="0" w:firstColumn="0" w:lastColumn="0" w:oddVBand="0" w:evenVBand="0" w:oddHBand="1" w:evenHBand="0" w:firstRowFirstColumn="0" w:firstRowLastColumn="0" w:lastRowFirstColumn="0" w:lastRowLastColumn="0"/>
              <w:rPr>
                <w:color w:val="000000"/>
                <w:szCs w:val="20"/>
              </w:rPr>
            </w:pPr>
            <w:r w:rsidRPr="00F8021B">
              <w:rPr>
                <w:color w:val="000000"/>
                <w:szCs w:val="20"/>
              </w:rPr>
              <w:t>SO2</w:t>
            </w:r>
          </w:p>
        </w:tc>
        <w:tc>
          <w:tcPr>
            <w:tcW w:w="455" w:type="pct"/>
            <w:vAlign w:val="center"/>
            <w:hideMark/>
          </w:tcPr>
          <w:p w:rsidRPr="009F14D2" w:rsidR="009D4555" w:rsidRDefault="009D4555" w14:paraId="271C371F" w14:textId="77777777">
            <w:pPr>
              <w:widowControl/>
              <w:autoSpaceDE/>
              <w:autoSpaceDN/>
              <w:adjustRightInd/>
              <w:jc w:val="center"/>
              <w:cnfStyle w:val="000000100000" w:firstRow="0" w:lastRow="0" w:firstColumn="0" w:lastColumn="0" w:oddVBand="0" w:evenVBand="0" w:oddHBand="1" w:evenHBand="0" w:firstRowFirstColumn="0" w:firstRowLastColumn="0" w:lastRowFirstColumn="0" w:lastRowLastColumn="0"/>
              <w:rPr>
                <w:color w:val="000000"/>
              </w:rPr>
            </w:pPr>
            <w:r w:rsidRPr="009F14D2">
              <w:rPr>
                <w:color w:val="000000"/>
              </w:rPr>
              <w:t>1</w:t>
            </w:r>
          </w:p>
        </w:tc>
        <w:tc>
          <w:tcPr>
            <w:tcW w:w="455" w:type="pct"/>
            <w:vAlign w:val="center"/>
            <w:hideMark/>
          </w:tcPr>
          <w:p w:rsidRPr="00F8021B" w:rsidR="009D4555" w:rsidP="009D4555" w:rsidRDefault="00174AE6" w14:paraId="007B717D" w14:textId="37C78EB4">
            <w:pPr>
              <w:widowControl/>
              <w:autoSpaceDE/>
              <w:autoSpaceDN/>
              <w:adjustRightInd/>
              <w:jc w:val="center"/>
              <w:cnfStyle w:val="000000100000" w:firstRow="0" w:lastRow="0" w:firstColumn="0" w:lastColumn="0" w:oddVBand="0" w:evenVBand="0" w:oddHBand="1" w:evenHBand="0" w:firstRowFirstColumn="0" w:firstRowLastColumn="0" w:lastRowFirstColumn="0" w:lastRowLastColumn="0"/>
              <w:rPr>
                <w:color w:val="000000"/>
                <w:szCs w:val="20"/>
              </w:rPr>
            </w:pPr>
            <w:r w:rsidRPr="00F8021B">
              <w:rPr>
                <w:color w:val="000000"/>
                <w:szCs w:val="20"/>
              </w:rPr>
              <w:t>lbs.</w:t>
            </w:r>
            <w:r w:rsidRPr="00F8021B" w:rsidR="009D4555">
              <w:rPr>
                <w:color w:val="000000"/>
                <w:szCs w:val="20"/>
              </w:rPr>
              <w:t>/ton</w:t>
            </w:r>
          </w:p>
        </w:tc>
        <w:tc>
          <w:tcPr>
            <w:tcW w:w="535" w:type="pct"/>
            <w:vAlign w:val="center"/>
            <w:hideMark/>
          </w:tcPr>
          <w:p w:rsidRPr="009F14D2" w:rsidR="009D4555" w:rsidRDefault="009D4555" w14:paraId="1ABD77FE" w14:textId="2EBBB38B">
            <w:pPr>
              <w:widowControl/>
              <w:autoSpaceDE/>
              <w:autoSpaceDN/>
              <w:adjustRightInd/>
              <w:jc w:val="center"/>
              <w:cnfStyle w:val="000000100000" w:firstRow="0" w:lastRow="0" w:firstColumn="0" w:lastColumn="0" w:oddVBand="0" w:evenVBand="0" w:oddHBand="1" w:evenHBand="0" w:firstRowFirstColumn="0" w:firstRowLastColumn="0" w:lastRowFirstColumn="0" w:lastRowLastColumn="0"/>
              <w:rPr>
                <w:color w:val="000000"/>
              </w:rPr>
            </w:pPr>
            <w:r w:rsidRPr="009F14D2">
              <w:rPr>
                <w:color w:val="000000"/>
              </w:rPr>
              <w:t>1</w:t>
            </w:r>
            <w:r w:rsidR="00FE1365">
              <w:rPr>
                <w:color w:val="000000"/>
              </w:rPr>
              <w:t>.184</w:t>
            </w:r>
          </w:p>
        </w:tc>
        <w:tc>
          <w:tcPr>
            <w:tcW w:w="535" w:type="pct"/>
            <w:vAlign w:val="center"/>
            <w:hideMark/>
          </w:tcPr>
          <w:p w:rsidRPr="00F8021B" w:rsidR="009D4555" w:rsidP="009D4555" w:rsidRDefault="00174AE6" w14:paraId="71B10BDC" w14:textId="06209733">
            <w:pPr>
              <w:widowControl/>
              <w:autoSpaceDE/>
              <w:autoSpaceDN/>
              <w:adjustRightInd/>
              <w:jc w:val="center"/>
              <w:cnfStyle w:val="000000100000" w:firstRow="0" w:lastRow="0" w:firstColumn="0" w:lastColumn="0" w:oddVBand="0" w:evenVBand="0" w:oddHBand="1" w:evenHBand="0" w:firstRowFirstColumn="0" w:firstRowLastColumn="0" w:lastRowFirstColumn="0" w:lastRowLastColumn="0"/>
              <w:rPr>
                <w:color w:val="000000"/>
                <w:szCs w:val="20"/>
              </w:rPr>
            </w:pPr>
            <w:r w:rsidRPr="00F8021B">
              <w:rPr>
                <w:color w:val="000000"/>
                <w:szCs w:val="20"/>
              </w:rPr>
              <w:t>lbs.</w:t>
            </w:r>
            <w:r w:rsidRPr="00F8021B" w:rsidR="009D4555">
              <w:rPr>
                <w:color w:val="000000"/>
                <w:szCs w:val="20"/>
              </w:rPr>
              <w:t>/ton</w:t>
            </w:r>
          </w:p>
        </w:tc>
        <w:tc>
          <w:tcPr>
            <w:tcW w:w="1582" w:type="pct"/>
            <w:hideMark/>
          </w:tcPr>
          <w:p w:rsidRPr="00F8021B" w:rsidR="009D4555" w:rsidP="009D4555" w:rsidRDefault="00274943" w14:paraId="3020F24B" w14:textId="4388E5C4">
            <w:pPr>
              <w:widowControl/>
              <w:autoSpaceDE/>
              <w:autoSpaceDN/>
              <w:adjustRightInd/>
              <w:cnfStyle w:val="000000100000" w:firstRow="0" w:lastRow="0" w:firstColumn="0" w:lastColumn="0" w:oddVBand="0" w:evenVBand="0" w:oddHBand="1" w:evenHBand="0" w:firstRowFirstColumn="0" w:firstRowLastColumn="0" w:lastRowFirstColumn="0" w:lastRowLastColumn="0"/>
              <w:rPr>
                <w:color w:val="000000"/>
                <w:szCs w:val="20"/>
              </w:rPr>
            </w:pPr>
            <w:r w:rsidRPr="00F8021B">
              <w:rPr>
                <w:color w:val="000000"/>
                <w:szCs w:val="20"/>
              </w:rPr>
              <w:t xml:space="preserve">Reference </w:t>
            </w:r>
            <w:r w:rsidRPr="00F8021B">
              <w:rPr>
                <w:color w:val="000000"/>
                <w:szCs w:val="20"/>
              </w:rPr>
              <w:fldChar w:fldCharType="begin"/>
            </w:r>
            <w:r w:rsidRPr="00F8021B">
              <w:rPr>
                <w:color w:val="000000"/>
                <w:szCs w:val="20"/>
              </w:rPr>
              <w:instrText xml:space="preserve"> NOTEREF _Ref478478664 \h </w:instrText>
            </w:r>
            <w:r w:rsidR="00F8021B">
              <w:rPr>
                <w:color w:val="000000"/>
                <w:szCs w:val="20"/>
              </w:rPr>
              <w:instrText xml:space="preserve"> \* MERGEFORMAT </w:instrText>
            </w:r>
            <w:r w:rsidRPr="00F8021B">
              <w:rPr>
                <w:color w:val="000000"/>
                <w:szCs w:val="20"/>
              </w:rPr>
            </w:r>
            <w:r w:rsidRPr="00F8021B">
              <w:rPr>
                <w:color w:val="000000"/>
                <w:szCs w:val="20"/>
              </w:rPr>
              <w:fldChar w:fldCharType="separate"/>
            </w:r>
            <w:r w:rsidR="00117BBF">
              <w:rPr>
                <w:color w:val="000000"/>
                <w:szCs w:val="20"/>
              </w:rPr>
              <w:t>6</w:t>
            </w:r>
            <w:r w:rsidRPr="00F8021B">
              <w:rPr>
                <w:color w:val="000000"/>
                <w:szCs w:val="20"/>
              </w:rPr>
              <w:fldChar w:fldCharType="end"/>
            </w:r>
            <w:r w:rsidRPr="00F8021B" w:rsidR="009D4555">
              <w:rPr>
                <w:color w:val="000000"/>
                <w:szCs w:val="20"/>
              </w:rPr>
              <w:t>, Table 2.5-1</w:t>
            </w:r>
            <w:r w:rsidR="0046047E">
              <w:rPr>
                <w:color w:val="000000"/>
                <w:szCs w:val="20"/>
              </w:rPr>
              <w:t xml:space="preserve">; </w:t>
            </w:r>
            <w:r w:rsidR="00FE1365">
              <w:rPr>
                <w:color w:val="000000"/>
                <w:szCs w:val="20"/>
              </w:rPr>
              <w:t xml:space="preserve">original factor based on </w:t>
            </w:r>
            <w:r w:rsidR="0046047E">
              <w:rPr>
                <w:color w:val="000000"/>
                <w:szCs w:val="20"/>
              </w:rPr>
              <w:t>total waste</w:t>
            </w:r>
            <w:r w:rsidR="00FE1365">
              <w:rPr>
                <w:color w:val="000000"/>
                <w:szCs w:val="20"/>
              </w:rPr>
              <w:t>; converted factor based on combustible waste</w:t>
            </w:r>
          </w:p>
        </w:tc>
      </w:tr>
      <w:tr w:rsidRPr="00F8021B" w:rsidR="005F75F8" w:rsidTr="00ED5113" w14:paraId="024287BE" w14:textId="77777777">
        <w:trPr>
          <w:cantSplit/>
          <w:trHeight w:val="20"/>
        </w:trPr>
        <w:tc>
          <w:tcPr>
            <w:cnfStyle w:val="001000000000" w:firstRow="0" w:lastRow="0" w:firstColumn="1" w:lastColumn="0" w:oddVBand="0" w:evenVBand="0" w:oddHBand="0" w:evenHBand="0" w:firstRowFirstColumn="0" w:firstRowLastColumn="0" w:lastRowFirstColumn="0" w:lastRowLastColumn="0"/>
            <w:tcW w:w="988" w:type="pct"/>
            <w:vAlign w:val="center"/>
            <w:hideMark/>
          </w:tcPr>
          <w:p w:rsidRPr="00F8021B" w:rsidR="009D4555" w:rsidP="005F75F8" w:rsidRDefault="009D4555" w14:paraId="2E4A171E" w14:textId="77777777">
            <w:pPr>
              <w:widowControl/>
              <w:autoSpaceDE/>
              <w:autoSpaceDN/>
              <w:adjustRightInd/>
              <w:rPr>
                <w:b w:val="0"/>
                <w:color w:val="000000"/>
                <w:szCs w:val="20"/>
              </w:rPr>
            </w:pPr>
            <w:r w:rsidRPr="00F8021B">
              <w:rPr>
                <w:b w:val="0"/>
                <w:color w:val="000000"/>
                <w:szCs w:val="20"/>
              </w:rPr>
              <w:t>VOC</w:t>
            </w:r>
          </w:p>
        </w:tc>
        <w:tc>
          <w:tcPr>
            <w:tcW w:w="450" w:type="pct"/>
            <w:vAlign w:val="center"/>
            <w:hideMark/>
          </w:tcPr>
          <w:p w:rsidRPr="00F8021B" w:rsidR="009D4555" w:rsidP="009D4555" w:rsidRDefault="009D4555" w14:paraId="6B65A533" w14:textId="77777777">
            <w:pPr>
              <w:widowControl/>
              <w:autoSpaceDE/>
              <w:autoSpaceDN/>
              <w:adjustRightInd/>
              <w:jc w:val="center"/>
              <w:cnfStyle w:val="000000000000" w:firstRow="0" w:lastRow="0" w:firstColumn="0" w:lastColumn="0" w:oddVBand="0" w:evenVBand="0" w:oddHBand="0" w:evenHBand="0" w:firstRowFirstColumn="0" w:firstRowLastColumn="0" w:lastRowFirstColumn="0" w:lastRowLastColumn="0"/>
              <w:rPr>
                <w:color w:val="000000"/>
                <w:szCs w:val="20"/>
              </w:rPr>
            </w:pPr>
            <w:r w:rsidRPr="00F8021B">
              <w:rPr>
                <w:color w:val="000000"/>
                <w:szCs w:val="20"/>
              </w:rPr>
              <w:t>VOC</w:t>
            </w:r>
          </w:p>
        </w:tc>
        <w:tc>
          <w:tcPr>
            <w:tcW w:w="455" w:type="pct"/>
            <w:shd w:val="clear" w:color="auto" w:fill="auto"/>
            <w:vAlign w:val="center"/>
            <w:hideMark/>
          </w:tcPr>
          <w:p w:rsidRPr="000932CD" w:rsidR="009D4555" w:rsidP="00ED5113" w:rsidRDefault="00ED5113" w14:paraId="357F846C" w14:textId="7F359AA6">
            <w:pPr>
              <w:widowControl/>
              <w:autoSpaceDE/>
              <w:autoSpaceDN/>
              <w:adjustRightInd/>
              <w:jc w:val="center"/>
              <w:cnfStyle w:val="000000000000" w:firstRow="0" w:lastRow="0" w:firstColumn="0" w:lastColumn="0" w:oddVBand="0" w:evenVBand="0" w:oddHBand="0" w:evenHBand="0" w:firstRowFirstColumn="0" w:firstRowLastColumn="0" w:lastRowFirstColumn="0" w:lastRowLastColumn="0"/>
              <w:rPr>
                <w:color w:val="000000"/>
                <w:szCs w:val="20"/>
              </w:rPr>
            </w:pPr>
            <w:r>
              <w:rPr>
                <w:color w:val="000000"/>
                <w:szCs w:val="20"/>
              </w:rPr>
              <w:t>-</w:t>
            </w:r>
          </w:p>
        </w:tc>
        <w:tc>
          <w:tcPr>
            <w:tcW w:w="455" w:type="pct"/>
            <w:shd w:val="clear" w:color="auto" w:fill="auto"/>
            <w:vAlign w:val="center"/>
            <w:hideMark/>
          </w:tcPr>
          <w:p w:rsidRPr="000932CD" w:rsidR="009D4555" w:rsidP="009D4555" w:rsidRDefault="004E7B61" w14:paraId="7807F67A" w14:textId="64B89546">
            <w:pPr>
              <w:widowControl/>
              <w:autoSpaceDE/>
              <w:autoSpaceDN/>
              <w:adjustRightInd/>
              <w:jc w:val="center"/>
              <w:cnfStyle w:val="000000000000" w:firstRow="0" w:lastRow="0" w:firstColumn="0" w:lastColumn="0" w:oddVBand="0" w:evenVBand="0" w:oddHBand="0" w:evenHBand="0" w:firstRowFirstColumn="0" w:firstRowLastColumn="0" w:lastRowFirstColumn="0" w:lastRowLastColumn="0"/>
              <w:rPr>
                <w:color w:val="000000"/>
                <w:szCs w:val="20"/>
              </w:rPr>
            </w:pPr>
            <w:r>
              <w:rPr>
                <w:color w:val="000000"/>
                <w:szCs w:val="20"/>
              </w:rPr>
              <w:t>mg/kg</w:t>
            </w:r>
          </w:p>
        </w:tc>
        <w:tc>
          <w:tcPr>
            <w:tcW w:w="535" w:type="pct"/>
            <w:shd w:val="clear" w:color="auto" w:fill="auto"/>
            <w:vAlign w:val="center"/>
            <w:hideMark/>
          </w:tcPr>
          <w:p w:rsidRPr="009F14D2" w:rsidR="009D4555" w:rsidRDefault="00ED5113" w14:paraId="64879EF4" w14:textId="08DB671B">
            <w:pPr>
              <w:widowControl/>
              <w:autoSpaceDE/>
              <w:autoSpaceDN/>
              <w:adjustRightInd/>
              <w:jc w:val="center"/>
              <w:cnfStyle w:val="000000000000" w:firstRow="0" w:lastRow="0" w:firstColumn="0" w:lastColumn="0" w:oddVBand="0" w:evenVBand="0" w:oddHBand="0" w:evenHBand="0" w:firstRowFirstColumn="0" w:firstRowLastColumn="0" w:lastRowFirstColumn="0" w:lastRowLastColumn="0"/>
              <w:rPr>
                <w:color w:val="000000"/>
              </w:rPr>
            </w:pPr>
            <w:r>
              <w:rPr>
                <w:color w:val="000000"/>
              </w:rPr>
              <w:t>7.409</w:t>
            </w:r>
          </w:p>
        </w:tc>
        <w:tc>
          <w:tcPr>
            <w:tcW w:w="535" w:type="pct"/>
            <w:vAlign w:val="center"/>
            <w:hideMark/>
          </w:tcPr>
          <w:p w:rsidRPr="00F8021B" w:rsidR="009D4555" w:rsidP="009D4555" w:rsidRDefault="00174AE6" w14:paraId="41E9E16A" w14:textId="17DCAABE">
            <w:pPr>
              <w:widowControl/>
              <w:autoSpaceDE/>
              <w:autoSpaceDN/>
              <w:adjustRightInd/>
              <w:jc w:val="center"/>
              <w:cnfStyle w:val="000000000000" w:firstRow="0" w:lastRow="0" w:firstColumn="0" w:lastColumn="0" w:oddVBand="0" w:evenVBand="0" w:oddHBand="0" w:evenHBand="0" w:firstRowFirstColumn="0" w:firstRowLastColumn="0" w:lastRowFirstColumn="0" w:lastRowLastColumn="0"/>
              <w:rPr>
                <w:color w:val="000000"/>
                <w:szCs w:val="20"/>
              </w:rPr>
            </w:pPr>
            <w:r w:rsidRPr="00F8021B">
              <w:rPr>
                <w:color w:val="000000"/>
                <w:szCs w:val="20"/>
              </w:rPr>
              <w:t>lbs.</w:t>
            </w:r>
            <w:r w:rsidRPr="00F8021B" w:rsidR="009D4555">
              <w:rPr>
                <w:color w:val="000000"/>
                <w:szCs w:val="20"/>
              </w:rPr>
              <w:t>/ton</w:t>
            </w:r>
          </w:p>
        </w:tc>
        <w:tc>
          <w:tcPr>
            <w:tcW w:w="1582" w:type="pct"/>
            <w:hideMark/>
          </w:tcPr>
          <w:p w:rsidRPr="00F8021B" w:rsidR="009D4555" w:rsidP="00FE1365" w:rsidRDefault="009D4555" w14:paraId="44797321" w14:textId="1338A753">
            <w:pPr>
              <w:widowControl/>
              <w:autoSpaceDE/>
              <w:autoSpaceDN/>
              <w:adjustRightInd/>
              <w:cnfStyle w:val="000000000000" w:firstRow="0" w:lastRow="0" w:firstColumn="0" w:lastColumn="0" w:oddVBand="0" w:evenVBand="0" w:oddHBand="0" w:evenHBand="0" w:firstRowFirstColumn="0" w:firstRowLastColumn="0" w:lastRowFirstColumn="0" w:lastRowLastColumn="0"/>
              <w:rPr>
                <w:color w:val="000000"/>
                <w:szCs w:val="20"/>
              </w:rPr>
            </w:pPr>
            <w:r w:rsidRPr="00F8021B">
              <w:rPr>
                <w:color w:val="000000"/>
                <w:szCs w:val="20"/>
              </w:rPr>
              <w:t xml:space="preserve">Reference </w:t>
            </w:r>
            <w:r w:rsidR="004E7B61">
              <w:rPr>
                <w:color w:val="000000"/>
                <w:szCs w:val="20"/>
              </w:rPr>
              <w:t xml:space="preserve">8, Table 3-6 (sum of </w:t>
            </w:r>
            <w:r w:rsidR="00FE1365">
              <w:rPr>
                <w:color w:val="000000"/>
                <w:szCs w:val="20"/>
              </w:rPr>
              <w:t xml:space="preserve">HAP VOC </w:t>
            </w:r>
            <w:r w:rsidR="004E7B61">
              <w:rPr>
                <w:color w:val="000000"/>
                <w:szCs w:val="20"/>
              </w:rPr>
              <w:t>emissions factors)</w:t>
            </w:r>
          </w:p>
        </w:tc>
      </w:tr>
      <w:tr w:rsidRPr="00F8021B" w:rsidR="005F75F8" w:rsidTr="00030F9E" w14:paraId="70858402" w14:textId="77777777">
        <w:trPr>
          <w:cnfStyle w:val="000000100000" w:firstRow="0" w:lastRow="0" w:firstColumn="0" w:lastColumn="0" w:oddVBand="0" w:evenVBand="0" w:oddHBand="1" w:evenHBand="0" w:firstRowFirstColumn="0" w:firstRowLastColumn="0" w:lastRowFirstColumn="0" w:lastRowLastColumn="0"/>
          <w:cantSplit/>
          <w:trHeight w:val="20"/>
        </w:trPr>
        <w:tc>
          <w:tcPr>
            <w:cnfStyle w:val="001000000000" w:firstRow="0" w:lastRow="0" w:firstColumn="1" w:lastColumn="0" w:oddVBand="0" w:evenVBand="0" w:oddHBand="0" w:evenHBand="0" w:firstRowFirstColumn="0" w:firstRowLastColumn="0" w:lastRowFirstColumn="0" w:lastRowLastColumn="0"/>
            <w:tcW w:w="988" w:type="pct"/>
            <w:vAlign w:val="center"/>
            <w:hideMark/>
          </w:tcPr>
          <w:p w:rsidRPr="00F8021B" w:rsidR="009D4555" w:rsidP="005F75F8" w:rsidRDefault="009D4555" w14:paraId="5DD7CB44" w14:textId="77777777">
            <w:pPr>
              <w:widowControl/>
              <w:autoSpaceDE/>
              <w:autoSpaceDN/>
              <w:adjustRightInd/>
              <w:rPr>
                <w:b w:val="0"/>
                <w:color w:val="000000"/>
                <w:szCs w:val="20"/>
              </w:rPr>
            </w:pPr>
            <w:r w:rsidRPr="00F8021B">
              <w:rPr>
                <w:b w:val="0"/>
                <w:color w:val="000000"/>
                <w:szCs w:val="20"/>
              </w:rPr>
              <w:t>1,2,4-trichlorobenzene</w:t>
            </w:r>
          </w:p>
        </w:tc>
        <w:tc>
          <w:tcPr>
            <w:tcW w:w="450" w:type="pct"/>
            <w:vAlign w:val="center"/>
            <w:hideMark/>
          </w:tcPr>
          <w:p w:rsidRPr="009F14D2" w:rsidR="009D4555" w:rsidRDefault="009D4555" w14:paraId="3A9DD7B4" w14:textId="77777777">
            <w:pPr>
              <w:widowControl/>
              <w:autoSpaceDE/>
              <w:autoSpaceDN/>
              <w:adjustRightInd/>
              <w:jc w:val="center"/>
              <w:cnfStyle w:val="000000100000" w:firstRow="0" w:lastRow="0" w:firstColumn="0" w:lastColumn="0" w:oddVBand="0" w:evenVBand="0" w:oddHBand="1" w:evenHBand="0" w:firstRowFirstColumn="0" w:firstRowLastColumn="0" w:lastRowFirstColumn="0" w:lastRowLastColumn="0"/>
              <w:rPr>
                <w:color w:val="000000"/>
              </w:rPr>
            </w:pPr>
            <w:r w:rsidRPr="009F14D2">
              <w:rPr>
                <w:color w:val="000000"/>
              </w:rPr>
              <w:t>120821</w:t>
            </w:r>
          </w:p>
        </w:tc>
        <w:tc>
          <w:tcPr>
            <w:tcW w:w="455" w:type="pct"/>
            <w:vAlign w:val="center"/>
            <w:hideMark/>
          </w:tcPr>
          <w:p w:rsidRPr="009F14D2" w:rsidR="009D4555" w:rsidRDefault="006B3EF8" w14:paraId="5468F2B9" w14:textId="389A55A9">
            <w:pPr>
              <w:widowControl/>
              <w:autoSpaceDE/>
              <w:autoSpaceDN/>
              <w:adjustRightInd/>
              <w:jc w:val="center"/>
              <w:cnfStyle w:val="000000100000" w:firstRow="0" w:lastRow="0" w:firstColumn="0" w:lastColumn="0" w:oddVBand="0" w:evenVBand="0" w:oddHBand="1" w:evenHBand="0" w:firstRowFirstColumn="0" w:firstRowLastColumn="0" w:lastRowFirstColumn="0" w:lastRowLastColumn="0"/>
              <w:rPr>
                <w:color w:val="000000"/>
              </w:rPr>
            </w:pPr>
            <w:r>
              <w:rPr>
                <w:color w:val="000000"/>
              </w:rPr>
              <w:t>0.1</w:t>
            </w:r>
          </w:p>
        </w:tc>
        <w:tc>
          <w:tcPr>
            <w:tcW w:w="455" w:type="pct"/>
            <w:vAlign w:val="center"/>
            <w:hideMark/>
          </w:tcPr>
          <w:p w:rsidRPr="00F8021B" w:rsidR="009D4555" w:rsidP="009D4555" w:rsidRDefault="006375E3" w14:paraId="59349758" w14:textId="7AC0D4E6">
            <w:pPr>
              <w:widowControl/>
              <w:autoSpaceDE/>
              <w:autoSpaceDN/>
              <w:adjustRightInd/>
              <w:jc w:val="center"/>
              <w:cnfStyle w:val="000000100000" w:firstRow="0" w:lastRow="0" w:firstColumn="0" w:lastColumn="0" w:oddVBand="0" w:evenVBand="0" w:oddHBand="1" w:evenHBand="0" w:firstRowFirstColumn="0" w:firstRowLastColumn="0" w:lastRowFirstColumn="0" w:lastRowLastColumn="0"/>
              <w:rPr>
                <w:color w:val="000000"/>
                <w:szCs w:val="20"/>
              </w:rPr>
            </w:pPr>
            <w:r>
              <w:rPr>
                <w:color w:val="000000"/>
                <w:szCs w:val="20"/>
              </w:rPr>
              <w:t>mg/kg</w:t>
            </w:r>
          </w:p>
        </w:tc>
        <w:tc>
          <w:tcPr>
            <w:tcW w:w="535" w:type="pct"/>
            <w:vAlign w:val="center"/>
            <w:hideMark/>
          </w:tcPr>
          <w:p w:rsidRPr="00F8021B" w:rsidR="009D4555" w:rsidP="00A86EF8" w:rsidRDefault="00A86EF8" w14:paraId="519EF9A3" w14:textId="13AE0FB5">
            <w:pPr>
              <w:widowControl/>
              <w:autoSpaceDE/>
              <w:autoSpaceDN/>
              <w:adjustRightInd/>
              <w:jc w:val="center"/>
              <w:cnfStyle w:val="000000100000" w:firstRow="0" w:lastRow="0" w:firstColumn="0" w:lastColumn="0" w:oddVBand="0" w:evenVBand="0" w:oddHBand="1" w:evenHBand="0" w:firstRowFirstColumn="0" w:firstRowLastColumn="0" w:lastRowFirstColumn="0" w:lastRowLastColumn="0"/>
              <w:rPr>
                <w:color w:val="000000"/>
                <w:szCs w:val="20"/>
              </w:rPr>
            </w:pPr>
            <w:r>
              <w:rPr>
                <w:color w:val="000000"/>
                <w:szCs w:val="20"/>
              </w:rPr>
              <w:t>2.00</w:t>
            </w:r>
            <w:r w:rsidR="006375E3">
              <w:rPr>
                <w:color w:val="000000"/>
                <w:szCs w:val="20"/>
              </w:rPr>
              <w:t>E-0</w:t>
            </w:r>
            <w:r>
              <w:rPr>
                <w:color w:val="000000"/>
                <w:szCs w:val="20"/>
              </w:rPr>
              <w:t>4</w:t>
            </w:r>
          </w:p>
        </w:tc>
        <w:tc>
          <w:tcPr>
            <w:tcW w:w="535" w:type="pct"/>
            <w:vAlign w:val="center"/>
            <w:hideMark/>
          </w:tcPr>
          <w:p w:rsidRPr="00F8021B" w:rsidR="009D4555" w:rsidP="009D4555" w:rsidRDefault="00174AE6" w14:paraId="5ADBC6EB" w14:textId="7D30AB69">
            <w:pPr>
              <w:widowControl/>
              <w:autoSpaceDE/>
              <w:autoSpaceDN/>
              <w:adjustRightInd/>
              <w:jc w:val="center"/>
              <w:cnfStyle w:val="000000100000" w:firstRow="0" w:lastRow="0" w:firstColumn="0" w:lastColumn="0" w:oddVBand="0" w:evenVBand="0" w:oddHBand="1" w:evenHBand="0" w:firstRowFirstColumn="0" w:firstRowLastColumn="0" w:lastRowFirstColumn="0" w:lastRowLastColumn="0"/>
              <w:rPr>
                <w:color w:val="000000"/>
                <w:szCs w:val="20"/>
              </w:rPr>
            </w:pPr>
            <w:r w:rsidRPr="00F8021B">
              <w:rPr>
                <w:color w:val="000000"/>
                <w:szCs w:val="20"/>
              </w:rPr>
              <w:t>lbs.</w:t>
            </w:r>
            <w:r w:rsidRPr="00F8021B" w:rsidR="009D4555">
              <w:rPr>
                <w:color w:val="000000"/>
                <w:szCs w:val="20"/>
              </w:rPr>
              <w:t>/ton</w:t>
            </w:r>
          </w:p>
        </w:tc>
        <w:tc>
          <w:tcPr>
            <w:tcW w:w="1582" w:type="pct"/>
            <w:hideMark/>
          </w:tcPr>
          <w:p w:rsidRPr="00F8021B" w:rsidR="009D4555" w:rsidP="0046047E" w:rsidRDefault="00A86EF8" w14:paraId="3C6B0402" w14:textId="059F736E">
            <w:pPr>
              <w:widowControl/>
              <w:autoSpaceDE/>
              <w:autoSpaceDN/>
              <w:adjustRightInd/>
              <w:cnfStyle w:val="000000100000" w:firstRow="0" w:lastRow="0" w:firstColumn="0" w:lastColumn="0" w:oddVBand="0" w:evenVBand="0" w:oddHBand="1" w:evenHBand="0" w:firstRowFirstColumn="0" w:firstRowLastColumn="0" w:lastRowFirstColumn="0" w:lastRowLastColumn="0"/>
              <w:rPr>
                <w:color w:val="000000"/>
                <w:szCs w:val="20"/>
              </w:rPr>
            </w:pPr>
            <w:r>
              <w:rPr>
                <w:color w:val="000000"/>
                <w:szCs w:val="20"/>
              </w:rPr>
              <w:t xml:space="preserve">Reference </w:t>
            </w:r>
            <w:r>
              <w:rPr>
                <w:color w:val="000000"/>
                <w:szCs w:val="20"/>
              </w:rPr>
              <w:fldChar w:fldCharType="begin"/>
            </w:r>
            <w:r>
              <w:rPr>
                <w:color w:val="000000"/>
                <w:szCs w:val="20"/>
              </w:rPr>
              <w:instrText xml:space="preserve"> NOTEREF _Ref478482810 \h  \* MERGEFORMAT </w:instrText>
            </w:r>
            <w:r>
              <w:rPr>
                <w:color w:val="000000"/>
                <w:szCs w:val="20"/>
              </w:rPr>
            </w:r>
            <w:r>
              <w:rPr>
                <w:color w:val="000000"/>
                <w:szCs w:val="20"/>
              </w:rPr>
              <w:fldChar w:fldCharType="separate"/>
            </w:r>
            <w:r>
              <w:rPr>
                <w:color w:val="000000"/>
                <w:szCs w:val="20"/>
              </w:rPr>
              <w:t>8</w:t>
            </w:r>
            <w:r>
              <w:rPr>
                <w:color w:val="000000"/>
                <w:szCs w:val="20"/>
              </w:rPr>
              <w:fldChar w:fldCharType="end"/>
            </w:r>
            <w:r w:rsidRPr="00F8021B">
              <w:rPr>
                <w:color w:val="000000"/>
                <w:szCs w:val="20"/>
              </w:rPr>
              <w:t>, Table 3-6</w:t>
            </w:r>
          </w:p>
        </w:tc>
      </w:tr>
      <w:tr w:rsidRPr="00F8021B" w:rsidR="005F75F8" w:rsidTr="00030F9E" w14:paraId="0DBEE0A1" w14:textId="77777777">
        <w:trPr>
          <w:cantSplit/>
          <w:trHeight w:val="20"/>
        </w:trPr>
        <w:tc>
          <w:tcPr>
            <w:cnfStyle w:val="001000000000" w:firstRow="0" w:lastRow="0" w:firstColumn="1" w:lastColumn="0" w:oddVBand="0" w:evenVBand="0" w:oddHBand="0" w:evenHBand="0" w:firstRowFirstColumn="0" w:firstRowLastColumn="0" w:lastRowFirstColumn="0" w:lastRowLastColumn="0"/>
            <w:tcW w:w="988" w:type="pct"/>
            <w:vAlign w:val="center"/>
            <w:hideMark/>
          </w:tcPr>
          <w:p w:rsidRPr="00F8021B" w:rsidR="009D4555" w:rsidP="005F75F8" w:rsidRDefault="009D4555" w14:paraId="4D264546" w14:textId="77777777">
            <w:pPr>
              <w:widowControl/>
              <w:autoSpaceDE/>
              <w:autoSpaceDN/>
              <w:adjustRightInd/>
              <w:rPr>
                <w:b w:val="0"/>
                <w:color w:val="000000"/>
                <w:szCs w:val="20"/>
              </w:rPr>
            </w:pPr>
            <w:r w:rsidRPr="00F8021B">
              <w:rPr>
                <w:b w:val="0"/>
                <w:color w:val="000000"/>
                <w:szCs w:val="20"/>
              </w:rPr>
              <w:t>1,4-dichlorobenzene</w:t>
            </w:r>
          </w:p>
        </w:tc>
        <w:tc>
          <w:tcPr>
            <w:tcW w:w="450" w:type="pct"/>
            <w:vAlign w:val="center"/>
            <w:hideMark/>
          </w:tcPr>
          <w:p w:rsidRPr="009F14D2" w:rsidR="009D4555" w:rsidRDefault="009D4555" w14:paraId="503C74B5" w14:textId="77777777">
            <w:pPr>
              <w:widowControl/>
              <w:autoSpaceDE/>
              <w:autoSpaceDN/>
              <w:adjustRightInd/>
              <w:jc w:val="center"/>
              <w:cnfStyle w:val="000000000000" w:firstRow="0" w:lastRow="0" w:firstColumn="0" w:lastColumn="0" w:oddVBand="0" w:evenVBand="0" w:oddHBand="0" w:evenHBand="0" w:firstRowFirstColumn="0" w:firstRowLastColumn="0" w:lastRowFirstColumn="0" w:lastRowLastColumn="0"/>
              <w:rPr>
                <w:color w:val="000000"/>
              </w:rPr>
            </w:pPr>
            <w:r w:rsidRPr="009F14D2">
              <w:rPr>
                <w:color w:val="000000"/>
              </w:rPr>
              <w:t>106467</w:t>
            </w:r>
          </w:p>
        </w:tc>
        <w:tc>
          <w:tcPr>
            <w:tcW w:w="455" w:type="pct"/>
            <w:shd w:val="clear" w:color="auto" w:fill="auto"/>
            <w:vAlign w:val="center"/>
            <w:hideMark/>
          </w:tcPr>
          <w:p w:rsidRPr="00F8021B" w:rsidR="009D4555" w:rsidP="009D4555" w:rsidRDefault="006B3EF8" w14:paraId="3A561B45" w14:textId="6C1D6D2B">
            <w:pPr>
              <w:widowControl/>
              <w:autoSpaceDE/>
              <w:autoSpaceDN/>
              <w:adjustRightInd/>
              <w:jc w:val="center"/>
              <w:cnfStyle w:val="000000000000" w:firstRow="0" w:lastRow="0" w:firstColumn="0" w:lastColumn="0" w:oddVBand="0" w:evenVBand="0" w:oddHBand="0" w:evenHBand="0" w:firstRowFirstColumn="0" w:firstRowLastColumn="0" w:lastRowFirstColumn="0" w:lastRowLastColumn="0"/>
              <w:rPr>
                <w:color w:val="000000"/>
                <w:szCs w:val="20"/>
              </w:rPr>
            </w:pPr>
            <w:r>
              <w:rPr>
                <w:color w:val="000000"/>
                <w:szCs w:val="20"/>
              </w:rPr>
              <w:t>0.03</w:t>
            </w:r>
          </w:p>
        </w:tc>
        <w:tc>
          <w:tcPr>
            <w:tcW w:w="455" w:type="pct"/>
            <w:shd w:val="clear" w:color="auto" w:fill="auto"/>
            <w:vAlign w:val="center"/>
            <w:hideMark/>
          </w:tcPr>
          <w:p w:rsidRPr="00F8021B" w:rsidR="009D4555" w:rsidP="009D4555" w:rsidRDefault="00872C69" w14:paraId="146105E7" w14:textId="3E48C0F2">
            <w:pPr>
              <w:widowControl/>
              <w:autoSpaceDE/>
              <w:autoSpaceDN/>
              <w:adjustRightInd/>
              <w:jc w:val="center"/>
              <w:cnfStyle w:val="000000000000" w:firstRow="0" w:lastRow="0" w:firstColumn="0" w:lastColumn="0" w:oddVBand="0" w:evenVBand="0" w:oddHBand="0" w:evenHBand="0" w:firstRowFirstColumn="0" w:firstRowLastColumn="0" w:lastRowFirstColumn="0" w:lastRowLastColumn="0"/>
              <w:rPr>
                <w:color w:val="000000"/>
                <w:szCs w:val="20"/>
              </w:rPr>
            </w:pPr>
            <w:r>
              <w:rPr>
                <w:color w:val="000000"/>
                <w:szCs w:val="20"/>
              </w:rPr>
              <w:t>mg/kg</w:t>
            </w:r>
          </w:p>
        </w:tc>
        <w:tc>
          <w:tcPr>
            <w:tcW w:w="535" w:type="pct"/>
            <w:vAlign w:val="center"/>
            <w:hideMark/>
          </w:tcPr>
          <w:p w:rsidRPr="00F8021B" w:rsidR="009D4555" w:rsidP="009D4555" w:rsidRDefault="00A86EF8" w14:paraId="692C2E9B" w14:textId="74921CC4">
            <w:pPr>
              <w:widowControl/>
              <w:autoSpaceDE/>
              <w:autoSpaceDN/>
              <w:adjustRightInd/>
              <w:jc w:val="center"/>
              <w:cnfStyle w:val="000000000000" w:firstRow="0" w:lastRow="0" w:firstColumn="0" w:lastColumn="0" w:oddVBand="0" w:evenVBand="0" w:oddHBand="0" w:evenHBand="0" w:firstRowFirstColumn="0" w:firstRowLastColumn="0" w:lastRowFirstColumn="0" w:lastRowLastColumn="0"/>
              <w:rPr>
                <w:color w:val="000000"/>
                <w:szCs w:val="20"/>
              </w:rPr>
            </w:pPr>
            <w:r>
              <w:rPr>
                <w:color w:val="000000"/>
                <w:szCs w:val="20"/>
              </w:rPr>
              <w:t>6.00</w:t>
            </w:r>
            <w:r w:rsidRPr="00F8021B" w:rsidR="009D4555">
              <w:rPr>
                <w:color w:val="000000"/>
                <w:szCs w:val="20"/>
              </w:rPr>
              <w:t>E-05</w:t>
            </w:r>
          </w:p>
        </w:tc>
        <w:tc>
          <w:tcPr>
            <w:tcW w:w="535" w:type="pct"/>
            <w:vAlign w:val="center"/>
            <w:hideMark/>
          </w:tcPr>
          <w:p w:rsidRPr="00F8021B" w:rsidR="009D4555" w:rsidP="009D4555" w:rsidRDefault="00174AE6" w14:paraId="5F04D948" w14:textId="571A63EF">
            <w:pPr>
              <w:widowControl/>
              <w:autoSpaceDE/>
              <w:autoSpaceDN/>
              <w:adjustRightInd/>
              <w:jc w:val="center"/>
              <w:cnfStyle w:val="000000000000" w:firstRow="0" w:lastRow="0" w:firstColumn="0" w:lastColumn="0" w:oddVBand="0" w:evenVBand="0" w:oddHBand="0" w:evenHBand="0" w:firstRowFirstColumn="0" w:firstRowLastColumn="0" w:lastRowFirstColumn="0" w:lastRowLastColumn="0"/>
              <w:rPr>
                <w:color w:val="000000"/>
                <w:szCs w:val="20"/>
              </w:rPr>
            </w:pPr>
            <w:r w:rsidRPr="00F8021B">
              <w:rPr>
                <w:color w:val="000000"/>
                <w:szCs w:val="20"/>
              </w:rPr>
              <w:t>lbs.</w:t>
            </w:r>
            <w:r w:rsidRPr="00F8021B" w:rsidR="009D4555">
              <w:rPr>
                <w:color w:val="000000"/>
                <w:szCs w:val="20"/>
              </w:rPr>
              <w:t>/ton</w:t>
            </w:r>
          </w:p>
        </w:tc>
        <w:tc>
          <w:tcPr>
            <w:tcW w:w="1582" w:type="pct"/>
            <w:hideMark/>
          </w:tcPr>
          <w:p w:rsidRPr="00F8021B" w:rsidR="009D4555" w:rsidP="001123F3" w:rsidRDefault="00A86EF8" w14:paraId="58108B5A" w14:textId="5A09DFAA">
            <w:pPr>
              <w:widowControl/>
              <w:autoSpaceDE/>
              <w:autoSpaceDN/>
              <w:adjustRightInd/>
              <w:cnfStyle w:val="000000000000" w:firstRow="0" w:lastRow="0" w:firstColumn="0" w:lastColumn="0" w:oddVBand="0" w:evenVBand="0" w:oddHBand="0" w:evenHBand="0" w:firstRowFirstColumn="0" w:firstRowLastColumn="0" w:lastRowFirstColumn="0" w:lastRowLastColumn="0"/>
              <w:rPr>
                <w:color w:val="000000"/>
                <w:szCs w:val="20"/>
              </w:rPr>
            </w:pPr>
            <w:r>
              <w:rPr>
                <w:color w:val="000000"/>
                <w:szCs w:val="20"/>
              </w:rPr>
              <w:t xml:space="preserve">Reference </w:t>
            </w:r>
            <w:r>
              <w:rPr>
                <w:color w:val="000000"/>
                <w:szCs w:val="20"/>
              </w:rPr>
              <w:fldChar w:fldCharType="begin"/>
            </w:r>
            <w:r>
              <w:rPr>
                <w:color w:val="000000"/>
                <w:szCs w:val="20"/>
              </w:rPr>
              <w:instrText xml:space="preserve"> NOTEREF _Ref478482810 \h  \* MERGEFORMAT </w:instrText>
            </w:r>
            <w:r>
              <w:rPr>
                <w:color w:val="000000"/>
                <w:szCs w:val="20"/>
              </w:rPr>
            </w:r>
            <w:r>
              <w:rPr>
                <w:color w:val="000000"/>
                <w:szCs w:val="20"/>
              </w:rPr>
              <w:fldChar w:fldCharType="separate"/>
            </w:r>
            <w:r>
              <w:rPr>
                <w:color w:val="000000"/>
                <w:szCs w:val="20"/>
              </w:rPr>
              <w:t>8</w:t>
            </w:r>
            <w:r>
              <w:rPr>
                <w:color w:val="000000"/>
                <w:szCs w:val="20"/>
              </w:rPr>
              <w:fldChar w:fldCharType="end"/>
            </w:r>
            <w:r w:rsidRPr="00F8021B">
              <w:rPr>
                <w:color w:val="000000"/>
                <w:szCs w:val="20"/>
              </w:rPr>
              <w:t>, Table 3-6</w:t>
            </w:r>
          </w:p>
        </w:tc>
      </w:tr>
      <w:tr w:rsidRPr="00F8021B" w:rsidR="005F75F8" w:rsidTr="00030F9E" w14:paraId="0327F4DD" w14:textId="77777777">
        <w:trPr>
          <w:cnfStyle w:val="000000100000" w:firstRow="0" w:lastRow="0" w:firstColumn="0" w:lastColumn="0" w:oddVBand="0" w:evenVBand="0" w:oddHBand="1" w:evenHBand="0" w:firstRowFirstColumn="0" w:firstRowLastColumn="0" w:lastRowFirstColumn="0" w:lastRowLastColumn="0"/>
          <w:cantSplit/>
          <w:trHeight w:val="20"/>
        </w:trPr>
        <w:tc>
          <w:tcPr>
            <w:cnfStyle w:val="001000000000" w:firstRow="0" w:lastRow="0" w:firstColumn="1" w:lastColumn="0" w:oddVBand="0" w:evenVBand="0" w:oddHBand="0" w:evenHBand="0" w:firstRowFirstColumn="0" w:firstRowLastColumn="0" w:lastRowFirstColumn="0" w:lastRowLastColumn="0"/>
            <w:tcW w:w="988" w:type="pct"/>
            <w:vAlign w:val="center"/>
            <w:hideMark/>
          </w:tcPr>
          <w:p w:rsidRPr="00F8021B" w:rsidR="009D4555" w:rsidP="005F75F8" w:rsidRDefault="009D4555" w14:paraId="3DDFE716" w14:textId="77777777">
            <w:pPr>
              <w:widowControl/>
              <w:autoSpaceDE/>
              <w:autoSpaceDN/>
              <w:adjustRightInd/>
              <w:rPr>
                <w:b w:val="0"/>
                <w:color w:val="000000"/>
                <w:szCs w:val="20"/>
              </w:rPr>
            </w:pPr>
            <w:r w:rsidRPr="00F8021B">
              <w:rPr>
                <w:b w:val="0"/>
                <w:color w:val="000000"/>
                <w:szCs w:val="20"/>
              </w:rPr>
              <w:t>2,4,6-Trichlorophenol</w:t>
            </w:r>
          </w:p>
        </w:tc>
        <w:tc>
          <w:tcPr>
            <w:tcW w:w="450" w:type="pct"/>
            <w:vAlign w:val="center"/>
            <w:hideMark/>
          </w:tcPr>
          <w:p w:rsidRPr="009F14D2" w:rsidR="009D4555" w:rsidRDefault="009D4555" w14:paraId="51B10CDC" w14:textId="77777777">
            <w:pPr>
              <w:widowControl/>
              <w:autoSpaceDE/>
              <w:autoSpaceDN/>
              <w:adjustRightInd/>
              <w:jc w:val="center"/>
              <w:cnfStyle w:val="000000100000" w:firstRow="0" w:lastRow="0" w:firstColumn="0" w:lastColumn="0" w:oddVBand="0" w:evenVBand="0" w:oddHBand="1" w:evenHBand="0" w:firstRowFirstColumn="0" w:firstRowLastColumn="0" w:lastRowFirstColumn="0" w:lastRowLastColumn="0"/>
              <w:rPr>
                <w:color w:val="000000"/>
              </w:rPr>
            </w:pPr>
            <w:r w:rsidRPr="009F14D2">
              <w:rPr>
                <w:color w:val="000000"/>
              </w:rPr>
              <w:t>88062</w:t>
            </w:r>
          </w:p>
        </w:tc>
        <w:tc>
          <w:tcPr>
            <w:tcW w:w="455" w:type="pct"/>
            <w:vAlign w:val="center"/>
            <w:hideMark/>
          </w:tcPr>
          <w:p w:rsidRPr="009F14D2" w:rsidR="009D4555" w:rsidRDefault="009D4555" w14:paraId="104733E9" w14:textId="77777777">
            <w:pPr>
              <w:widowControl/>
              <w:autoSpaceDE/>
              <w:autoSpaceDN/>
              <w:adjustRightInd/>
              <w:jc w:val="center"/>
              <w:cnfStyle w:val="000000100000" w:firstRow="0" w:lastRow="0" w:firstColumn="0" w:lastColumn="0" w:oddVBand="0" w:evenVBand="0" w:oddHBand="1" w:evenHBand="0" w:firstRowFirstColumn="0" w:firstRowLastColumn="0" w:lastRowFirstColumn="0" w:lastRowLastColumn="0"/>
              <w:rPr>
                <w:color w:val="000000"/>
              </w:rPr>
            </w:pPr>
            <w:r w:rsidRPr="009F14D2">
              <w:rPr>
                <w:color w:val="000000"/>
              </w:rPr>
              <w:t>0.19</w:t>
            </w:r>
          </w:p>
        </w:tc>
        <w:tc>
          <w:tcPr>
            <w:tcW w:w="455" w:type="pct"/>
            <w:vAlign w:val="center"/>
            <w:hideMark/>
          </w:tcPr>
          <w:p w:rsidRPr="00F8021B" w:rsidR="009D4555" w:rsidP="009D4555" w:rsidRDefault="009D4555" w14:paraId="169F18E9" w14:textId="0598CEF2">
            <w:pPr>
              <w:widowControl/>
              <w:autoSpaceDE/>
              <w:autoSpaceDN/>
              <w:adjustRightInd/>
              <w:jc w:val="center"/>
              <w:cnfStyle w:val="000000100000" w:firstRow="0" w:lastRow="0" w:firstColumn="0" w:lastColumn="0" w:oddVBand="0" w:evenVBand="0" w:oddHBand="1" w:evenHBand="0" w:firstRowFirstColumn="0" w:firstRowLastColumn="0" w:lastRowFirstColumn="0" w:lastRowLastColumn="0"/>
              <w:rPr>
                <w:color w:val="000000"/>
                <w:szCs w:val="20"/>
              </w:rPr>
            </w:pPr>
            <w:r w:rsidRPr="00F8021B">
              <w:rPr>
                <w:color w:val="000000"/>
                <w:szCs w:val="20"/>
              </w:rPr>
              <w:t>mg/kg</w:t>
            </w:r>
          </w:p>
        </w:tc>
        <w:tc>
          <w:tcPr>
            <w:tcW w:w="535" w:type="pct"/>
            <w:vAlign w:val="center"/>
            <w:hideMark/>
          </w:tcPr>
          <w:p w:rsidRPr="00F8021B" w:rsidR="009D4555" w:rsidP="00A86EF8" w:rsidRDefault="00A86EF8" w14:paraId="708B5D03" w14:textId="185C86F6">
            <w:pPr>
              <w:widowControl/>
              <w:autoSpaceDE/>
              <w:autoSpaceDN/>
              <w:adjustRightInd/>
              <w:jc w:val="center"/>
              <w:cnfStyle w:val="000000100000" w:firstRow="0" w:lastRow="0" w:firstColumn="0" w:lastColumn="0" w:oddVBand="0" w:evenVBand="0" w:oddHBand="1" w:evenHBand="0" w:firstRowFirstColumn="0" w:firstRowLastColumn="0" w:lastRowFirstColumn="0" w:lastRowLastColumn="0"/>
              <w:rPr>
                <w:color w:val="000000"/>
                <w:szCs w:val="20"/>
              </w:rPr>
            </w:pPr>
            <w:r>
              <w:rPr>
                <w:color w:val="000000"/>
                <w:szCs w:val="20"/>
              </w:rPr>
              <w:t>3.80</w:t>
            </w:r>
            <w:r w:rsidRPr="00F8021B" w:rsidR="009D4555">
              <w:rPr>
                <w:color w:val="000000"/>
                <w:szCs w:val="20"/>
              </w:rPr>
              <w:t>E-04</w:t>
            </w:r>
          </w:p>
        </w:tc>
        <w:tc>
          <w:tcPr>
            <w:tcW w:w="535" w:type="pct"/>
            <w:vAlign w:val="center"/>
            <w:hideMark/>
          </w:tcPr>
          <w:p w:rsidRPr="00F8021B" w:rsidR="009D4555" w:rsidP="009D4555" w:rsidRDefault="00174AE6" w14:paraId="2D7C2909" w14:textId="30430082">
            <w:pPr>
              <w:widowControl/>
              <w:autoSpaceDE/>
              <w:autoSpaceDN/>
              <w:adjustRightInd/>
              <w:jc w:val="center"/>
              <w:cnfStyle w:val="000000100000" w:firstRow="0" w:lastRow="0" w:firstColumn="0" w:lastColumn="0" w:oddVBand="0" w:evenVBand="0" w:oddHBand="1" w:evenHBand="0" w:firstRowFirstColumn="0" w:firstRowLastColumn="0" w:lastRowFirstColumn="0" w:lastRowLastColumn="0"/>
              <w:rPr>
                <w:color w:val="000000"/>
                <w:szCs w:val="20"/>
              </w:rPr>
            </w:pPr>
            <w:r w:rsidRPr="00F8021B">
              <w:rPr>
                <w:color w:val="000000"/>
                <w:szCs w:val="20"/>
              </w:rPr>
              <w:t>lbs.</w:t>
            </w:r>
            <w:r w:rsidRPr="00F8021B" w:rsidR="009D4555">
              <w:rPr>
                <w:color w:val="000000"/>
                <w:szCs w:val="20"/>
              </w:rPr>
              <w:t>/ton</w:t>
            </w:r>
          </w:p>
        </w:tc>
        <w:tc>
          <w:tcPr>
            <w:tcW w:w="1582" w:type="pct"/>
            <w:hideMark/>
          </w:tcPr>
          <w:p w:rsidRPr="00F8021B" w:rsidR="009D4555" w:rsidP="009D4555" w:rsidRDefault="006375E3" w14:paraId="0F3F1C28" w14:textId="50302CC4">
            <w:pPr>
              <w:widowControl/>
              <w:autoSpaceDE/>
              <w:autoSpaceDN/>
              <w:adjustRightInd/>
              <w:cnfStyle w:val="000000100000" w:firstRow="0" w:lastRow="0" w:firstColumn="0" w:lastColumn="0" w:oddVBand="0" w:evenVBand="0" w:oddHBand="1" w:evenHBand="0" w:firstRowFirstColumn="0" w:firstRowLastColumn="0" w:lastRowFirstColumn="0" w:lastRowLastColumn="0"/>
              <w:rPr>
                <w:color w:val="000000"/>
                <w:szCs w:val="20"/>
              </w:rPr>
            </w:pPr>
            <w:r>
              <w:rPr>
                <w:color w:val="000000"/>
                <w:szCs w:val="20"/>
              </w:rPr>
              <w:t xml:space="preserve">Reference </w:t>
            </w:r>
            <w:r>
              <w:rPr>
                <w:color w:val="000000"/>
                <w:szCs w:val="20"/>
              </w:rPr>
              <w:fldChar w:fldCharType="begin"/>
            </w:r>
            <w:r>
              <w:rPr>
                <w:color w:val="000000"/>
                <w:szCs w:val="20"/>
              </w:rPr>
              <w:instrText xml:space="preserve"> NOTEREF _Ref478482810 \h </w:instrText>
            </w:r>
            <w:r w:rsidR="005F75F8">
              <w:rPr>
                <w:color w:val="000000"/>
                <w:szCs w:val="20"/>
              </w:rPr>
              <w:instrText xml:space="preserve"> \* MERGEFORMAT </w:instrText>
            </w:r>
            <w:r>
              <w:rPr>
                <w:color w:val="000000"/>
                <w:szCs w:val="20"/>
              </w:rPr>
            </w:r>
            <w:r>
              <w:rPr>
                <w:color w:val="000000"/>
                <w:szCs w:val="20"/>
              </w:rPr>
              <w:fldChar w:fldCharType="separate"/>
            </w:r>
            <w:r w:rsidR="00117BBF">
              <w:rPr>
                <w:color w:val="000000"/>
                <w:szCs w:val="20"/>
              </w:rPr>
              <w:t>8</w:t>
            </w:r>
            <w:r>
              <w:rPr>
                <w:color w:val="000000"/>
                <w:szCs w:val="20"/>
              </w:rPr>
              <w:fldChar w:fldCharType="end"/>
            </w:r>
            <w:r w:rsidRPr="00F8021B" w:rsidR="009D4555">
              <w:rPr>
                <w:color w:val="000000"/>
                <w:szCs w:val="20"/>
              </w:rPr>
              <w:t>, Table 3-6</w:t>
            </w:r>
          </w:p>
        </w:tc>
      </w:tr>
      <w:tr w:rsidRPr="00F8021B" w:rsidR="005F75F8" w:rsidTr="00030F9E" w14:paraId="5373F82B" w14:textId="77777777">
        <w:trPr>
          <w:cantSplit/>
          <w:trHeight w:val="20"/>
        </w:trPr>
        <w:tc>
          <w:tcPr>
            <w:cnfStyle w:val="001000000000" w:firstRow="0" w:lastRow="0" w:firstColumn="1" w:lastColumn="0" w:oddVBand="0" w:evenVBand="0" w:oddHBand="0" w:evenHBand="0" w:firstRowFirstColumn="0" w:firstRowLastColumn="0" w:lastRowFirstColumn="0" w:lastRowLastColumn="0"/>
            <w:tcW w:w="988" w:type="pct"/>
            <w:vAlign w:val="center"/>
            <w:hideMark/>
          </w:tcPr>
          <w:p w:rsidRPr="00F8021B" w:rsidR="009D4555" w:rsidP="005F75F8" w:rsidRDefault="009D4555" w14:paraId="2EE97CF5" w14:textId="77777777">
            <w:pPr>
              <w:widowControl/>
              <w:autoSpaceDE/>
              <w:autoSpaceDN/>
              <w:adjustRightInd/>
              <w:rPr>
                <w:b w:val="0"/>
                <w:color w:val="000000"/>
                <w:szCs w:val="20"/>
              </w:rPr>
            </w:pPr>
            <w:r w:rsidRPr="00F8021B">
              <w:rPr>
                <w:b w:val="0"/>
                <w:color w:val="000000"/>
                <w:szCs w:val="20"/>
              </w:rPr>
              <w:t>2-Methylnapthalene</w:t>
            </w:r>
          </w:p>
        </w:tc>
        <w:tc>
          <w:tcPr>
            <w:tcW w:w="450" w:type="pct"/>
            <w:vAlign w:val="center"/>
            <w:hideMark/>
          </w:tcPr>
          <w:p w:rsidRPr="009F14D2" w:rsidR="009D4555" w:rsidRDefault="009D4555" w14:paraId="4E6B7F19" w14:textId="77777777">
            <w:pPr>
              <w:widowControl/>
              <w:autoSpaceDE/>
              <w:autoSpaceDN/>
              <w:adjustRightInd/>
              <w:jc w:val="center"/>
              <w:cnfStyle w:val="000000000000" w:firstRow="0" w:lastRow="0" w:firstColumn="0" w:lastColumn="0" w:oddVBand="0" w:evenVBand="0" w:oddHBand="0" w:evenHBand="0" w:firstRowFirstColumn="0" w:firstRowLastColumn="0" w:lastRowFirstColumn="0" w:lastRowLastColumn="0"/>
              <w:rPr>
                <w:color w:val="000000"/>
              </w:rPr>
            </w:pPr>
            <w:r w:rsidRPr="009F14D2">
              <w:rPr>
                <w:color w:val="000000"/>
              </w:rPr>
              <w:t>91576</w:t>
            </w:r>
          </w:p>
        </w:tc>
        <w:tc>
          <w:tcPr>
            <w:tcW w:w="455" w:type="pct"/>
            <w:vAlign w:val="center"/>
            <w:hideMark/>
          </w:tcPr>
          <w:p w:rsidRPr="009F14D2" w:rsidR="009D4555" w:rsidRDefault="009D4555" w14:paraId="0CF7C67D" w14:textId="77777777">
            <w:pPr>
              <w:widowControl/>
              <w:autoSpaceDE/>
              <w:autoSpaceDN/>
              <w:adjustRightInd/>
              <w:jc w:val="center"/>
              <w:cnfStyle w:val="000000000000" w:firstRow="0" w:lastRow="0" w:firstColumn="0" w:lastColumn="0" w:oddVBand="0" w:evenVBand="0" w:oddHBand="0" w:evenHBand="0" w:firstRowFirstColumn="0" w:firstRowLastColumn="0" w:lastRowFirstColumn="0" w:lastRowLastColumn="0"/>
              <w:rPr>
                <w:color w:val="000000"/>
              </w:rPr>
            </w:pPr>
            <w:r w:rsidRPr="009F14D2">
              <w:rPr>
                <w:color w:val="000000"/>
              </w:rPr>
              <w:t>8.53</w:t>
            </w:r>
          </w:p>
        </w:tc>
        <w:tc>
          <w:tcPr>
            <w:tcW w:w="455" w:type="pct"/>
            <w:vAlign w:val="center"/>
            <w:hideMark/>
          </w:tcPr>
          <w:p w:rsidRPr="00F8021B" w:rsidR="009D4555" w:rsidP="009D4555" w:rsidRDefault="009D4555" w14:paraId="18866C2D" w14:textId="5247C200">
            <w:pPr>
              <w:widowControl/>
              <w:autoSpaceDE/>
              <w:autoSpaceDN/>
              <w:adjustRightInd/>
              <w:jc w:val="center"/>
              <w:cnfStyle w:val="000000000000" w:firstRow="0" w:lastRow="0" w:firstColumn="0" w:lastColumn="0" w:oddVBand="0" w:evenVBand="0" w:oddHBand="0" w:evenHBand="0" w:firstRowFirstColumn="0" w:firstRowLastColumn="0" w:lastRowFirstColumn="0" w:lastRowLastColumn="0"/>
              <w:rPr>
                <w:color w:val="000000"/>
                <w:szCs w:val="20"/>
              </w:rPr>
            </w:pPr>
            <w:r w:rsidRPr="00F8021B">
              <w:rPr>
                <w:color w:val="000000"/>
                <w:szCs w:val="20"/>
              </w:rPr>
              <w:t>mg/kg</w:t>
            </w:r>
          </w:p>
        </w:tc>
        <w:tc>
          <w:tcPr>
            <w:tcW w:w="535" w:type="pct"/>
            <w:vAlign w:val="center"/>
            <w:hideMark/>
          </w:tcPr>
          <w:p w:rsidRPr="00F8021B" w:rsidR="009D4555" w:rsidP="009D4555" w:rsidRDefault="00A86EF8" w14:paraId="77F0A7C0" w14:textId="0B97ADB3">
            <w:pPr>
              <w:widowControl/>
              <w:autoSpaceDE/>
              <w:autoSpaceDN/>
              <w:adjustRightInd/>
              <w:jc w:val="center"/>
              <w:cnfStyle w:val="000000000000" w:firstRow="0" w:lastRow="0" w:firstColumn="0" w:lastColumn="0" w:oddVBand="0" w:evenVBand="0" w:oddHBand="0" w:evenHBand="0" w:firstRowFirstColumn="0" w:firstRowLastColumn="0" w:lastRowFirstColumn="0" w:lastRowLastColumn="0"/>
              <w:rPr>
                <w:color w:val="000000"/>
                <w:szCs w:val="20"/>
              </w:rPr>
            </w:pPr>
            <w:r>
              <w:rPr>
                <w:color w:val="000000"/>
                <w:szCs w:val="20"/>
              </w:rPr>
              <w:t>1.70</w:t>
            </w:r>
            <w:r w:rsidR="005972AE">
              <w:rPr>
                <w:color w:val="000000"/>
                <w:szCs w:val="20"/>
              </w:rPr>
              <w:t>E-02</w:t>
            </w:r>
          </w:p>
        </w:tc>
        <w:tc>
          <w:tcPr>
            <w:tcW w:w="535" w:type="pct"/>
            <w:vAlign w:val="center"/>
            <w:hideMark/>
          </w:tcPr>
          <w:p w:rsidRPr="00F8021B" w:rsidR="009D4555" w:rsidP="009D4555" w:rsidRDefault="00174AE6" w14:paraId="666073CC" w14:textId="0D4235B1">
            <w:pPr>
              <w:widowControl/>
              <w:autoSpaceDE/>
              <w:autoSpaceDN/>
              <w:adjustRightInd/>
              <w:jc w:val="center"/>
              <w:cnfStyle w:val="000000000000" w:firstRow="0" w:lastRow="0" w:firstColumn="0" w:lastColumn="0" w:oddVBand="0" w:evenVBand="0" w:oddHBand="0" w:evenHBand="0" w:firstRowFirstColumn="0" w:firstRowLastColumn="0" w:lastRowFirstColumn="0" w:lastRowLastColumn="0"/>
              <w:rPr>
                <w:color w:val="000000"/>
                <w:szCs w:val="20"/>
              </w:rPr>
            </w:pPr>
            <w:r w:rsidRPr="00F8021B">
              <w:rPr>
                <w:color w:val="000000"/>
                <w:szCs w:val="20"/>
              </w:rPr>
              <w:t>lbs.</w:t>
            </w:r>
            <w:r w:rsidRPr="00F8021B" w:rsidR="009D4555">
              <w:rPr>
                <w:color w:val="000000"/>
                <w:szCs w:val="20"/>
              </w:rPr>
              <w:t>/ton</w:t>
            </w:r>
          </w:p>
        </w:tc>
        <w:tc>
          <w:tcPr>
            <w:tcW w:w="1582" w:type="pct"/>
            <w:hideMark/>
          </w:tcPr>
          <w:p w:rsidRPr="00F8021B" w:rsidR="009D4555" w:rsidP="009D4555" w:rsidRDefault="00EF1C43" w14:paraId="1D474D7A" w14:textId="1A5FFF32">
            <w:pPr>
              <w:widowControl/>
              <w:autoSpaceDE/>
              <w:autoSpaceDN/>
              <w:adjustRightInd/>
              <w:cnfStyle w:val="000000000000" w:firstRow="0" w:lastRow="0" w:firstColumn="0" w:lastColumn="0" w:oddVBand="0" w:evenVBand="0" w:oddHBand="0" w:evenHBand="0" w:firstRowFirstColumn="0" w:firstRowLastColumn="0" w:lastRowFirstColumn="0" w:lastRowLastColumn="0"/>
              <w:rPr>
                <w:color w:val="000000"/>
                <w:szCs w:val="20"/>
              </w:rPr>
            </w:pPr>
            <w:r>
              <w:rPr>
                <w:color w:val="000000"/>
                <w:szCs w:val="20"/>
              </w:rPr>
              <w:t xml:space="preserve">Reference </w:t>
            </w:r>
            <w:r>
              <w:rPr>
                <w:color w:val="000000"/>
                <w:szCs w:val="20"/>
              </w:rPr>
              <w:fldChar w:fldCharType="begin"/>
            </w:r>
            <w:r>
              <w:rPr>
                <w:color w:val="000000"/>
                <w:szCs w:val="20"/>
              </w:rPr>
              <w:instrText xml:space="preserve"> NOTEREF _Ref478482810 \h </w:instrText>
            </w:r>
            <w:r w:rsidR="005F75F8">
              <w:rPr>
                <w:color w:val="000000"/>
                <w:szCs w:val="20"/>
              </w:rPr>
              <w:instrText xml:space="preserve"> \* MERGEFORMAT </w:instrText>
            </w:r>
            <w:r>
              <w:rPr>
                <w:color w:val="000000"/>
                <w:szCs w:val="20"/>
              </w:rPr>
            </w:r>
            <w:r>
              <w:rPr>
                <w:color w:val="000000"/>
                <w:szCs w:val="20"/>
              </w:rPr>
              <w:fldChar w:fldCharType="separate"/>
            </w:r>
            <w:r w:rsidR="00117BBF">
              <w:rPr>
                <w:color w:val="000000"/>
                <w:szCs w:val="20"/>
              </w:rPr>
              <w:t>8</w:t>
            </w:r>
            <w:r>
              <w:rPr>
                <w:color w:val="000000"/>
                <w:szCs w:val="20"/>
              </w:rPr>
              <w:fldChar w:fldCharType="end"/>
            </w:r>
            <w:r w:rsidRPr="00F8021B" w:rsidR="009D4555">
              <w:rPr>
                <w:color w:val="000000"/>
                <w:szCs w:val="20"/>
              </w:rPr>
              <w:t>, Table 3-6</w:t>
            </w:r>
          </w:p>
        </w:tc>
      </w:tr>
      <w:tr w:rsidRPr="00F8021B" w:rsidR="005F75F8" w:rsidTr="00030F9E" w14:paraId="61B16532" w14:textId="77777777">
        <w:trPr>
          <w:cnfStyle w:val="000000100000" w:firstRow="0" w:lastRow="0" w:firstColumn="0" w:lastColumn="0" w:oddVBand="0" w:evenVBand="0" w:oddHBand="1" w:evenHBand="0" w:firstRowFirstColumn="0" w:firstRowLastColumn="0" w:lastRowFirstColumn="0" w:lastRowLastColumn="0"/>
          <w:cantSplit/>
          <w:trHeight w:val="20"/>
        </w:trPr>
        <w:tc>
          <w:tcPr>
            <w:cnfStyle w:val="001000000000" w:firstRow="0" w:lastRow="0" w:firstColumn="1" w:lastColumn="0" w:oddVBand="0" w:evenVBand="0" w:oddHBand="0" w:evenHBand="0" w:firstRowFirstColumn="0" w:firstRowLastColumn="0" w:lastRowFirstColumn="0" w:lastRowLastColumn="0"/>
            <w:tcW w:w="988" w:type="pct"/>
            <w:vAlign w:val="center"/>
            <w:hideMark/>
          </w:tcPr>
          <w:p w:rsidRPr="00F8021B" w:rsidR="009D4555" w:rsidP="005F75F8" w:rsidRDefault="009D4555" w14:paraId="230461F7" w14:textId="77777777">
            <w:pPr>
              <w:widowControl/>
              <w:autoSpaceDE/>
              <w:autoSpaceDN/>
              <w:adjustRightInd/>
              <w:rPr>
                <w:b w:val="0"/>
                <w:color w:val="000000"/>
                <w:szCs w:val="20"/>
              </w:rPr>
            </w:pPr>
            <w:r w:rsidRPr="00F8021B">
              <w:rPr>
                <w:b w:val="0"/>
                <w:color w:val="000000"/>
                <w:szCs w:val="20"/>
              </w:rPr>
              <w:t>Acenaphthene</w:t>
            </w:r>
          </w:p>
        </w:tc>
        <w:tc>
          <w:tcPr>
            <w:tcW w:w="450" w:type="pct"/>
            <w:vAlign w:val="center"/>
            <w:hideMark/>
          </w:tcPr>
          <w:p w:rsidRPr="009F14D2" w:rsidR="009D4555" w:rsidRDefault="009D4555" w14:paraId="7A2EFA1F" w14:textId="77777777">
            <w:pPr>
              <w:widowControl/>
              <w:autoSpaceDE/>
              <w:autoSpaceDN/>
              <w:adjustRightInd/>
              <w:jc w:val="center"/>
              <w:cnfStyle w:val="000000100000" w:firstRow="0" w:lastRow="0" w:firstColumn="0" w:lastColumn="0" w:oddVBand="0" w:evenVBand="0" w:oddHBand="1" w:evenHBand="0" w:firstRowFirstColumn="0" w:firstRowLastColumn="0" w:lastRowFirstColumn="0" w:lastRowLastColumn="0"/>
              <w:rPr>
                <w:color w:val="000000"/>
              </w:rPr>
            </w:pPr>
            <w:r w:rsidRPr="009F14D2">
              <w:rPr>
                <w:color w:val="000000"/>
              </w:rPr>
              <w:t>83329</w:t>
            </w:r>
          </w:p>
        </w:tc>
        <w:tc>
          <w:tcPr>
            <w:tcW w:w="455" w:type="pct"/>
            <w:vAlign w:val="center"/>
            <w:hideMark/>
          </w:tcPr>
          <w:p w:rsidRPr="009F14D2" w:rsidR="009D4555" w:rsidRDefault="006B3EF8" w14:paraId="773E7CB5" w14:textId="436534AC">
            <w:pPr>
              <w:widowControl/>
              <w:autoSpaceDE/>
              <w:autoSpaceDN/>
              <w:adjustRightInd/>
              <w:jc w:val="center"/>
              <w:cnfStyle w:val="000000100000" w:firstRow="0" w:lastRow="0" w:firstColumn="0" w:lastColumn="0" w:oddVBand="0" w:evenVBand="0" w:oddHBand="1" w:evenHBand="0" w:firstRowFirstColumn="0" w:firstRowLastColumn="0" w:lastRowFirstColumn="0" w:lastRowLastColumn="0"/>
              <w:rPr>
                <w:color w:val="000000"/>
              </w:rPr>
            </w:pPr>
            <w:r>
              <w:rPr>
                <w:color w:val="000000"/>
              </w:rPr>
              <w:t>0.64</w:t>
            </w:r>
          </w:p>
        </w:tc>
        <w:tc>
          <w:tcPr>
            <w:tcW w:w="455" w:type="pct"/>
            <w:vAlign w:val="center"/>
            <w:hideMark/>
          </w:tcPr>
          <w:p w:rsidRPr="00F8021B" w:rsidR="009D4555" w:rsidP="009D4555" w:rsidRDefault="009D4555" w14:paraId="334318ED" w14:textId="25EA5AA9">
            <w:pPr>
              <w:widowControl/>
              <w:autoSpaceDE/>
              <w:autoSpaceDN/>
              <w:adjustRightInd/>
              <w:jc w:val="center"/>
              <w:cnfStyle w:val="000000100000" w:firstRow="0" w:lastRow="0" w:firstColumn="0" w:lastColumn="0" w:oddVBand="0" w:evenVBand="0" w:oddHBand="1" w:evenHBand="0" w:firstRowFirstColumn="0" w:firstRowLastColumn="0" w:lastRowFirstColumn="0" w:lastRowLastColumn="0"/>
              <w:rPr>
                <w:color w:val="000000"/>
                <w:szCs w:val="20"/>
              </w:rPr>
            </w:pPr>
            <w:r w:rsidRPr="00F8021B">
              <w:rPr>
                <w:color w:val="000000"/>
                <w:szCs w:val="20"/>
              </w:rPr>
              <w:t>mg/kg</w:t>
            </w:r>
          </w:p>
        </w:tc>
        <w:tc>
          <w:tcPr>
            <w:tcW w:w="535" w:type="pct"/>
            <w:vAlign w:val="center"/>
            <w:hideMark/>
          </w:tcPr>
          <w:p w:rsidRPr="00F8021B" w:rsidR="009D4555" w:rsidP="009D4555" w:rsidRDefault="00A86EF8" w14:paraId="3020089A" w14:textId="37C74400">
            <w:pPr>
              <w:widowControl/>
              <w:autoSpaceDE/>
              <w:autoSpaceDN/>
              <w:adjustRightInd/>
              <w:jc w:val="center"/>
              <w:cnfStyle w:val="000000100000" w:firstRow="0" w:lastRow="0" w:firstColumn="0" w:lastColumn="0" w:oddVBand="0" w:evenVBand="0" w:oddHBand="1" w:evenHBand="0" w:firstRowFirstColumn="0" w:firstRowLastColumn="0" w:lastRowFirstColumn="0" w:lastRowLastColumn="0"/>
              <w:rPr>
                <w:color w:val="000000"/>
                <w:szCs w:val="20"/>
              </w:rPr>
            </w:pPr>
            <w:r>
              <w:rPr>
                <w:color w:val="000000"/>
                <w:szCs w:val="20"/>
              </w:rPr>
              <w:t>1.28</w:t>
            </w:r>
            <w:r w:rsidRPr="00F8021B" w:rsidR="009D4555">
              <w:rPr>
                <w:color w:val="000000"/>
                <w:szCs w:val="20"/>
              </w:rPr>
              <w:t>E-03</w:t>
            </w:r>
          </w:p>
        </w:tc>
        <w:tc>
          <w:tcPr>
            <w:tcW w:w="535" w:type="pct"/>
            <w:vAlign w:val="center"/>
            <w:hideMark/>
          </w:tcPr>
          <w:p w:rsidRPr="00F8021B" w:rsidR="009D4555" w:rsidP="009D4555" w:rsidRDefault="00174AE6" w14:paraId="57F6C0E1" w14:textId="5DE3206B">
            <w:pPr>
              <w:widowControl/>
              <w:autoSpaceDE/>
              <w:autoSpaceDN/>
              <w:adjustRightInd/>
              <w:jc w:val="center"/>
              <w:cnfStyle w:val="000000100000" w:firstRow="0" w:lastRow="0" w:firstColumn="0" w:lastColumn="0" w:oddVBand="0" w:evenVBand="0" w:oddHBand="1" w:evenHBand="0" w:firstRowFirstColumn="0" w:firstRowLastColumn="0" w:lastRowFirstColumn="0" w:lastRowLastColumn="0"/>
              <w:rPr>
                <w:color w:val="000000"/>
                <w:szCs w:val="20"/>
              </w:rPr>
            </w:pPr>
            <w:r w:rsidRPr="00F8021B">
              <w:rPr>
                <w:color w:val="000000"/>
                <w:szCs w:val="20"/>
              </w:rPr>
              <w:t>lbs.</w:t>
            </w:r>
            <w:r w:rsidRPr="00F8021B" w:rsidR="009D4555">
              <w:rPr>
                <w:color w:val="000000"/>
                <w:szCs w:val="20"/>
              </w:rPr>
              <w:t>/ton</w:t>
            </w:r>
          </w:p>
        </w:tc>
        <w:tc>
          <w:tcPr>
            <w:tcW w:w="1582" w:type="pct"/>
            <w:hideMark/>
          </w:tcPr>
          <w:p w:rsidRPr="00F8021B" w:rsidR="009D4555" w:rsidP="0046047E" w:rsidRDefault="00A86EF8" w14:paraId="305255C6" w14:textId="79BC5989">
            <w:pPr>
              <w:widowControl/>
              <w:autoSpaceDE/>
              <w:autoSpaceDN/>
              <w:adjustRightInd/>
              <w:cnfStyle w:val="000000100000" w:firstRow="0" w:lastRow="0" w:firstColumn="0" w:lastColumn="0" w:oddVBand="0" w:evenVBand="0" w:oddHBand="1" w:evenHBand="0" w:firstRowFirstColumn="0" w:firstRowLastColumn="0" w:lastRowFirstColumn="0" w:lastRowLastColumn="0"/>
              <w:rPr>
                <w:color w:val="000000"/>
                <w:szCs w:val="20"/>
              </w:rPr>
            </w:pPr>
            <w:r>
              <w:rPr>
                <w:color w:val="000000"/>
                <w:szCs w:val="20"/>
              </w:rPr>
              <w:t xml:space="preserve">Reference </w:t>
            </w:r>
            <w:r>
              <w:rPr>
                <w:color w:val="000000"/>
                <w:szCs w:val="20"/>
              </w:rPr>
              <w:fldChar w:fldCharType="begin"/>
            </w:r>
            <w:r>
              <w:rPr>
                <w:color w:val="000000"/>
                <w:szCs w:val="20"/>
              </w:rPr>
              <w:instrText xml:space="preserve"> NOTEREF _Ref478482810 \h  \* MERGEFORMAT </w:instrText>
            </w:r>
            <w:r>
              <w:rPr>
                <w:color w:val="000000"/>
                <w:szCs w:val="20"/>
              </w:rPr>
            </w:r>
            <w:r>
              <w:rPr>
                <w:color w:val="000000"/>
                <w:szCs w:val="20"/>
              </w:rPr>
              <w:fldChar w:fldCharType="separate"/>
            </w:r>
            <w:r>
              <w:rPr>
                <w:color w:val="000000"/>
                <w:szCs w:val="20"/>
              </w:rPr>
              <w:t>8</w:t>
            </w:r>
            <w:r>
              <w:rPr>
                <w:color w:val="000000"/>
                <w:szCs w:val="20"/>
              </w:rPr>
              <w:fldChar w:fldCharType="end"/>
            </w:r>
            <w:r w:rsidRPr="00F8021B">
              <w:rPr>
                <w:color w:val="000000"/>
                <w:szCs w:val="20"/>
              </w:rPr>
              <w:t>, Table 3-6</w:t>
            </w:r>
          </w:p>
        </w:tc>
      </w:tr>
      <w:tr w:rsidRPr="00F8021B" w:rsidR="005F75F8" w:rsidTr="00030F9E" w14:paraId="6842985D" w14:textId="77777777">
        <w:trPr>
          <w:cantSplit/>
          <w:trHeight w:val="20"/>
        </w:trPr>
        <w:tc>
          <w:tcPr>
            <w:cnfStyle w:val="001000000000" w:firstRow="0" w:lastRow="0" w:firstColumn="1" w:lastColumn="0" w:oddVBand="0" w:evenVBand="0" w:oddHBand="0" w:evenHBand="0" w:firstRowFirstColumn="0" w:firstRowLastColumn="0" w:lastRowFirstColumn="0" w:lastRowLastColumn="0"/>
            <w:tcW w:w="988" w:type="pct"/>
            <w:vAlign w:val="center"/>
            <w:hideMark/>
          </w:tcPr>
          <w:p w:rsidRPr="00F8021B" w:rsidR="009D4555" w:rsidP="005F75F8" w:rsidRDefault="009D4555" w14:paraId="6D8407F4" w14:textId="77777777">
            <w:pPr>
              <w:widowControl/>
              <w:autoSpaceDE/>
              <w:autoSpaceDN/>
              <w:adjustRightInd/>
              <w:rPr>
                <w:b w:val="0"/>
                <w:color w:val="000000"/>
                <w:szCs w:val="20"/>
              </w:rPr>
            </w:pPr>
            <w:r w:rsidRPr="00F8021B">
              <w:rPr>
                <w:b w:val="0"/>
                <w:color w:val="000000"/>
                <w:szCs w:val="20"/>
              </w:rPr>
              <w:t>Acenaphthylene</w:t>
            </w:r>
          </w:p>
        </w:tc>
        <w:tc>
          <w:tcPr>
            <w:tcW w:w="450" w:type="pct"/>
            <w:vAlign w:val="center"/>
            <w:hideMark/>
          </w:tcPr>
          <w:p w:rsidRPr="009F14D2" w:rsidR="009D4555" w:rsidRDefault="009D4555" w14:paraId="7D31FED8" w14:textId="77777777">
            <w:pPr>
              <w:widowControl/>
              <w:autoSpaceDE/>
              <w:autoSpaceDN/>
              <w:adjustRightInd/>
              <w:jc w:val="center"/>
              <w:cnfStyle w:val="000000000000" w:firstRow="0" w:lastRow="0" w:firstColumn="0" w:lastColumn="0" w:oddVBand="0" w:evenVBand="0" w:oddHBand="0" w:evenHBand="0" w:firstRowFirstColumn="0" w:firstRowLastColumn="0" w:lastRowFirstColumn="0" w:lastRowLastColumn="0"/>
              <w:rPr>
                <w:color w:val="000000"/>
              </w:rPr>
            </w:pPr>
            <w:r w:rsidRPr="009F14D2">
              <w:rPr>
                <w:color w:val="000000"/>
              </w:rPr>
              <w:t>208968</w:t>
            </w:r>
          </w:p>
        </w:tc>
        <w:tc>
          <w:tcPr>
            <w:tcW w:w="455" w:type="pct"/>
            <w:vAlign w:val="center"/>
            <w:hideMark/>
          </w:tcPr>
          <w:p w:rsidRPr="009F14D2" w:rsidR="009D4555" w:rsidRDefault="006B3EF8" w14:paraId="020A9132" w14:textId="22C0CA0F">
            <w:pPr>
              <w:widowControl/>
              <w:autoSpaceDE/>
              <w:autoSpaceDN/>
              <w:adjustRightInd/>
              <w:jc w:val="center"/>
              <w:cnfStyle w:val="000000000000" w:firstRow="0" w:lastRow="0" w:firstColumn="0" w:lastColumn="0" w:oddVBand="0" w:evenVBand="0" w:oddHBand="0" w:evenHBand="0" w:firstRowFirstColumn="0" w:firstRowLastColumn="0" w:lastRowFirstColumn="0" w:lastRowLastColumn="0"/>
              <w:rPr>
                <w:color w:val="000000"/>
              </w:rPr>
            </w:pPr>
            <w:r>
              <w:rPr>
                <w:color w:val="000000"/>
              </w:rPr>
              <w:t>7.34</w:t>
            </w:r>
          </w:p>
        </w:tc>
        <w:tc>
          <w:tcPr>
            <w:tcW w:w="455" w:type="pct"/>
            <w:vAlign w:val="center"/>
            <w:hideMark/>
          </w:tcPr>
          <w:p w:rsidRPr="00F8021B" w:rsidR="009D4555" w:rsidP="009D4555" w:rsidRDefault="009D4555" w14:paraId="6A70CDDB" w14:textId="2AA4C503">
            <w:pPr>
              <w:widowControl/>
              <w:autoSpaceDE/>
              <w:autoSpaceDN/>
              <w:adjustRightInd/>
              <w:jc w:val="center"/>
              <w:cnfStyle w:val="000000000000" w:firstRow="0" w:lastRow="0" w:firstColumn="0" w:lastColumn="0" w:oddVBand="0" w:evenVBand="0" w:oddHBand="0" w:evenHBand="0" w:firstRowFirstColumn="0" w:firstRowLastColumn="0" w:lastRowFirstColumn="0" w:lastRowLastColumn="0"/>
              <w:rPr>
                <w:color w:val="000000"/>
                <w:szCs w:val="20"/>
              </w:rPr>
            </w:pPr>
            <w:r w:rsidRPr="00F8021B">
              <w:rPr>
                <w:color w:val="000000"/>
                <w:szCs w:val="20"/>
              </w:rPr>
              <w:t>mg/kg</w:t>
            </w:r>
          </w:p>
        </w:tc>
        <w:tc>
          <w:tcPr>
            <w:tcW w:w="535" w:type="pct"/>
            <w:vAlign w:val="center"/>
            <w:hideMark/>
          </w:tcPr>
          <w:p w:rsidRPr="00F8021B" w:rsidR="009D4555" w:rsidP="009D4555" w:rsidRDefault="009E562E" w14:paraId="0496283A" w14:textId="70EA4F63">
            <w:pPr>
              <w:widowControl/>
              <w:autoSpaceDE/>
              <w:autoSpaceDN/>
              <w:adjustRightInd/>
              <w:jc w:val="center"/>
              <w:cnfStyle w:val="000000000000" w:firstRow="0" w:lastRow="0" w:firstColumn="0" w:lastColumn="0" w:oddVBand="0" w:evenVBand="0" w:oddHBand="0" w:evenHBand="0" w:firstRowFirstColumn="0" w:firstRowLastColumn="0" w:lastRowFirstColumn="0" w:lastRowLastColumn="0"/>
              <w:rPr>
                <w:color w:val="000000"/>
                <w:szCs w:val="20"/>
              </w:rPr>
            </w:pPr>
            <w:r>
              <w:rPr>
                <w:color w:val="000000"/>
                <w:szCs w:val="20"/>
              </w:rPr>
              <w:t>1.47</w:t>
            </w:r>
            <w:r w:rsidRPr="00F8021B" w:rsidR="009D4555">
              <w:rPr>
                <w:color w:val="000000"/>
                <w:szCs w:val="20"/>
              </w:rPr>
              <w:t>E-02</w:t>
            </w:r>
          </w:p>
        </w:tc>
        <w:tc>
          <w:tcPr>
            <w:tcW w:w="535" w:type="pct"/>
            <w:vAlign w:val="center"/>
            <w:hideMark/>
          </w:tcPr>
          <w:p w:rsidRPr="00F8021B" w:rsidR="009D4555" w:rsidP="009D4555" w:rsidRDefault="00174AE6" w14:paraId="0F91DF23" w14:textId="7DA1BA39">
            <w:pPr>
              <w:widowControl/>
              <w:autoSpaceDE/>
              <w:autoSpaceDN/>
              <w:adjustRightInd/>
              <w:jc w:val="center"/>
              <w:cnfStyle w:val="000000000000" w:firstRow="0" w:lastRow="0" w:firstColumn="0" w:lastColumn="0" w:oddVBand="0" w:evenVBand="0" w:oddHBand="0" w:evenHBand="0" w:firstRowFirstColumn="0" w:firstRowLastColumn="0" w:lastRowFirstColumn="0" w:lastRowLastColumn="0"/>
              <w:rPr>
                <w:color w:val="000000"/>
                <w:szCs w:val="20"/>
              </w:rPr>
            </w:pPr>
            <w:r w:rsidRPr="00F8021B">
              <w:rPr>
                <w:color w:val="000000"/>
                <w:szCs w:val="20"/>
              </w:rPr>
              <w:t>lbs.</w:t>
            </w:r>
            <w:r w:rsidRPr="00F8021B" w:rsidR="009D4555">
              <w:rPr>
                <w:color w:val="000000"/>
                <w:szCs w:val="20"/>
              </w:rPr>
              <w:t>/ton</w:t>
            </w:r>
          </w:p>
        </w:tc>
        <w:tc>
          <w:tcPr>
            <w:tcW w:w="1582" w:type="pct"/>
            <w:hideMark/>
          </w:tcPr>
          <w:p w:rsidRPr="00F8021B" w:rsidR="009D4555" w:rsidP="0046047E" w:rsidRDefault="00A86EF8" w14:paraId="6A29FFAE" w14:textId="5BA433F5">
            <w:pPr>
              <w:widowControl/>
              <w:autoSpaceDE/>
              <w:autoSpaceDN/>
              <w:adjustRightInd/>
              <w:cnfStyle w:val="000000000000" w:firstRow="0" w:lastRow="0" w:firstColumn="0" w:lastColumn="0" w:oddVBand="0" w:evenVBand="0" w:oddHBand="0" w:evenHBand="0" w:firstRowFirstColumn="0" w:firstRowLastColumn="0" w:lastRowFirstColumn="0" w:lastRowLastColumn="0"/>
              <w:rPr>
                <w:color w:val="000000"/>
                <w:szCs w:val="20"/>
              </w:rPr>
            </w:pPr>
            <w:r>
              <w:rPr>
                <w:color w:val="000000"/>
                <w:szCs w:val="20"/>
              </w:rPr>
              <w:t xml:space="preserve">Reference </w:t>
            </w:r>
            <w:r>
              <w:rPr>
                <w:color w:val="000000"/>
                <w:szCs w:val="20"/>
              </w:rPr>
              <w:fldChar w:fldCharType="begin"/>
            </w:r>
            <w:r>
              <w:rPr>
                <w:color w:val="000000"/>
                <w:szCs w:val="20"/>
              </w:rPr>
              <w:instrText xml:space="preserve"> NOTEREF _Ref478482810 \h  \* MERGEFORMAT </w:instrText>
            </w:r>
            <w:r>
              <w:rPr>
                <w:color w:val="000000"/>
                <w:szCs w:val="20"/>
              </w:rPr>
            </w:r>
            <w:r>
              <w:rPr>
                <w:color w:val="000000"/>
                <w:szCs w:val="20"/>
              </w:rPr>
              <w:fldChar w:fldCharType="separate"/>
            </w:r>
            <w:r>
              <w:rPr>
                <w:color w:val="000000"/>
                <w:szCs w:val="20"/>
              </w:rPr>
              <w:t>8</w:t>
            </w:r>
            <w:r>
              <w:rPr>
                <w:color w:val="000000"/>
                <w:szCs w:val="20"/>
              </w:rPr>
              <w:fldChar w:fldCharType="end"/>
            </w:r>
            <w:r w:rsidRPr="00F8021B">
              <w:rPr>
                <w:color w:val="000000"/>
                <w:szCs w:val="20"/>
              </w:rPr>
              <w:t>, Table 3-6</w:t>
            </w:r>
          </w:p>
        </w:tc>
      </w:tr>
      <w:tr w:rsidRPr="00F8021B" w:rsidR="005F75F8" w:rsidTr="00030F9E" w14:paraId="613EF829" w14:textId="77777777">
        <w:trPr>
          <w:cnfStyle w:val="000000100000" w:firstRow="0" w:lastRow="0" w:firstColumn="0" w:lastColumn="0" w:oddVBand="0" w:evenVBand="0" w:oddHBand="1" w:evenHBand="0" w:firstRowFirstColumn="0" w:firstRowLastColumn="0" w:lastRowFirstColumn="0" w:lastRowLastColumn="0"/>
          <w:cantSplit/>
          <w:trHeight w:val="20"/>
        </w:trPr>
        <w:tc>
          <w:tcPr>
            <w:cnfStyle w:val="001000000000" w:firstRow="0" w:lastRow="0" w:firstColumn="1" w:lastColumn="0" w:oddVBand="0" w:evenVBand="0" w:oddHBand="0" w:evenHBand="0" w:firstRowFirstColumn="0" w:firstRowLastColumn="0" w:lastRowFirstColumn="0" w:lastRowLastColumn="0"/>
            <w:tcW w:w="988" w:type="pct"/>
            <w:vAlign w:val="center"/>
            <w:hideMark/>
          </w:tcPr>
          <w:p w:rsidRPr="00F8021B" w:rsidR="009D4555" w:rsidP="005F75F8" w:rsidRDefault="009D4555" w14:paraId="5DDC260A" w14:textId="77777777">
            <w:pPr>
              <w:widowControl/>
              <w:autoSpaceDE/>
              <w:autoSpaceDN/>
              <w:adjustRightInd/>
              <w:rPr>
                <w:b w:val="0"/>
                <w:color w:val="000000"/>
                <w:szCs w:val="20"/>
              </w:rPr>
            </w:pPr>
            <w:r w:rsidRPr="00F8021B">
              <w:rPr>
                <w:b w:val="0"/>
                <w:color w:val="000000"/>
                <w:szCs w:val="20"/>
              </w:rPr>
              <w:t>Acetalaldehyde</w:t>
            </w:r>
          </w:p>
        </w:tc>
        <w:tc>
          <w:tcPr>
            <w:tcW w:w="450" w:type="pct"/>
            <w:vAlign w:val="center"/>
            <w:hideMark/>
          </w:tcPr>
          <w:p w:rsidRPr="009F14D2" w:rsidR="009D4555" w:rsidRDefault="009D4555" w14:paraId="61AC29F1" w14:textId="77777777">
            <w:pPr>
              <w:widowControl/>
              <w:autoSpaceDE/>
              <w:autoSpaceDN/>
              <w:adjustRightInd/>
              <w:jc w:val="center"/>
              <w:cnfStyle w:val="000000100000" w:firstRow="0" w:lastRow="0" w:firstColumn="0" w:lastColumn="0" w:oddVBand="0" w:evenVBand="0" w:oddHBand="1" w:evenHBand="0" w:firstRowFirstColumn="0" w:firstRowLastColumn="0" w:lastRowFirstColumn="0" w:lastRowLastColumn="0"/>
              <w:rPr>
                <w:color w:val="000000"/>
              </w:rPr>
            </w:pPr>
            <w:r w:rsidRPr="009F14D2">
              <w:rPr>
                <w:color w:val="000000"/>
              </w:rPr>
              <w:t>75070</w:t>
            </w:r>
          </w:p>
        </w:tc>
        <w:tc>
          <w:tcPr>
            <w:tcW w:w="455" w:type="pct"/>
            <w:vAlign w:val="center"/>
            <w:hideMark/>
          </w:tcPr>
          <w:p w:rsidRPr="009F14D2" w:rsidR="009D4555" w:rsidRDefault="006B3EF8" w14:paraId="24D1FA5D" w14:textId="78C1327A">
            <w:pPr>
              <w:widowControl/>
              <w:autoSpaceDE/>
              <w:autoSpaceDN/>
              <w:adjustRightInd/>
              <w:jc w:val="center"/>
              <w:cnfStyle w:val="000000100000" w:firstRow="0" w:lastRow="0" w:firstColumn="0" w:lastColumn="0" w:oddVBand="0" w:evenVBand="0" w:oddHBand="1" w:evenHBand="0" w:firstRowFirstColumn="0" w:firstRowLastColumn="0" w:lastRowFirstColumn="0" w:lastRowLastColumn="0"/>
              <w:rPr>
                <w:color w:val="000000"/>
              </w:rPr>
            </w:pPr>
            <w:r>
              <w:rPr>
                <w:color w:val="000000"/>
              </w:rPr>
              <w:t>428.4</w:t>
            </w:r>
          </w:p>
        </w:tc>
        <w:tc>
          <w:tcPr>
            <w:tcW w:w="455" w:type="pct"/>
            <w:vAlign w:val="center"/>
            <w:hideMark/>
          </w:tcPr>
          <w:p w:rsidRPr="00F8021B" w:rsidR="009D4555" w:rsidP="009D4555" w:rsidRDefault="009D4555" w14:paraId="267E8646" w14:textId="0E26BFBC">
            <w:pPr>
              <w:widowControl/>
              <w:autoSpaceDE/>
              <w:autoSpaceDN/>
              <w:adjustRightInd/>
              <w:jc w:val="center"/>
              <w:cnfStyle w:val="000000100000" w:firstRow="0" w:lastRow="0" w:firstColumn="0" w:lastColumn="0" w:oddVBand="0" w:evenVBand="0" w:oddHBand="1" w:evenHBand="0" w:firstRowFirstColumn="0" w:firstRowLastColumn="0" w:lastRowFirstColumn="0" w:lastRowLastColumn="0"/>
              <w:rPr>
                <w:color w:val="000000"/>
                <w:szCs w:val="20"/>
              </w:rPr>
            </w:pPr>
            <w:r w:rsidRPr="00F8021B">
              <w:rPr>
                <w:color w:val="000000"/>
                <w:szCs w:val="20"/>
              </w:rPr>
              <w:t>mg/kg</w:t>
            </w:r>
          </w:p>
        </w:tc>
        <w:tc>
          <w:tcPr>
            <w:tcW w:w="535" w:type="pct"/>
            <w:vAlign w:val="center"/>
            <w:hideMark/>
          </w:tcPr>
          <w:p w:rsidRPr="00F8021B" w:rsidR="009D4555" w:rsidP="0069169C" w:rsidRDefault="0069169C" w14:paraId="5EF1DFA7" w14:textId="26FE022C">
            <w:pPr>
              <w:widowControl/>
              <w:autoSpaceDE/>
              <w:autoSpaceDN/>
              <w:adjustRightInd/>
              <w:jc w:val="center"/>
              <w:cnfStyle w:val="000000100000" w:firstRow="0" w:lastRow="0" w:firstColumn="0" w:lastColumn="0" w:oddVBand="0" w:evenVBand="0" w:oddHBand="1" w:evenHBand="0" w:firstRowFirstColumn="0" w:firstRowLastColumn="0" w:lastRowFirstColumn="0" w:lastRowLastColumn="0"/>
              <w:rPr>
                <w:color w:val="000000"/>
                <w:szCs w:val="20"/>
              </w:rPr>
            </w:pPr>
            <w:r>
              <w:rPr>
                <w:color w:val="000000"/>
                <w:szCs w:val="20"/>
              </w:rPr>
              <w:t>8.55E-</w:t>
            </w:r>
            <w:r w:rsidRPr="00F8021B" w:rsidR="009D4555">
              <w:rPr>
                <w:color w:val="000000"/>
                <w:szCs w:val="20"/>
              </w:rPr>
              <w:t>0</w:t>
            </w:r>
            <w:r>
              <w:rPr>
                <w:color w:val="000000"/>
                <w:szCs w:val="20"/>
              </w:rPr>
              <w:t>1</w:t>
            </w:r>
          </w:p>
        </w:tc>
        <w:tc>
          <w:tcPr>
            <w:tcW w:w="535" w:type="pct"/>
            <w:vAlign w:val="center"/>
            <w:hideMark/>
          </w:tcPr>
          <w:p w:rsidRPr="00F8021B" w:rsidR="009D4555" w:rsidP="009D4555" w:rsidRDefault="00174AE6" w14:paraId="001DFAAA" w14:textId="4844EFF2">
            <w:pPr>
              <w:widowControl/>
              <w:autoSpaceDE/>
              <w:autoSpaceDN/>
              <w:adjustRightInd/>
              <w:jc w:val="center"/>
              <w:cnfStyle w:val="000000100000" w:firstRow="0" w:lastRow="0" w:firstColumn="0" w:lastColumn="0" w:oddVBand="0" w:evenVBand="0" w:oddHBand="1" w:evenHBand="0" w:firstRowFirstColumn="0" w:firstRowLastColumn="0" w:lastRowFirstColumn="0" w:lastRowLastColumn="0"/>
              <w:rPr>
                <w:color w:val="000000"/>
                <w:szCs w:val="20"/>
              </w:rPr>
            </w:pPr>
            <w:r w:rsidRPr="00F8021B">
              <w:rPr>
                <w:color w:val="000000"/>
                <w:szCs w:val="20"/>
              </w:rPr>
              <w:t>lbs.</w:t>
            </w:r>
            <w:r w:rsidRPr="00F8021B" w:rsidR="009D4555">
              <w:rPr>
                <w:color w:val="000000"/>
                <w:szCs w:val="20"/>
              </w:rPr>
              <w:t>/ton</w:t>
            </w:r>
          </w:p>
        </w:tc>
        <w:tc>
          <w:tcPr>
            <w:tcW w:w="1582" w:type="pct"/>
            <w:hideMark/>
          </w:tcPr>
          <w:p w:rsidRPr="00F8021B" w:rsidR="009D4555" w:rsidP="0046047E" w:rsidRDefault="0069169C" w14:paraId="1925FBF0" w14:textId="73C73388">
            <w:pPr>
              <w:widowControl/>
              <w:autoSpaceDE/>
              <w:autoSpaceDN/>
              <w:adjustRightInd/>
              <w:cnfStyle w:val="000000100000" w:firstRow="0" w:lastRow="0" w:firstColumn="0" w:lastColumn="0" w:oddVBand="0" w:evenVBand="0" w:oddHBand="1" w:evenHBand="0" w:firstRowFirstColumn="0" w:firstRowLastColumn="0" w:lastRowFirstColumn="0" w:lastRowLastColumn="0"/>
              <w:rPr>
                <w:color w:val="000000"/>
                <w:szCs w:val="20"/>
              </w:rPr>
            </w:pPr>
            <w:r>
              <w:rPr>
                <w:color w:val="000000"/>
                <w:szCs w:val="20"/>
              </w:rPr>
              <w:t xml:space="preserve">Reference </w:t>
            </w:r>
            <w:r>
              <w:rPr>
                <w:color w:val="000000"/>
                <w:szCs w:val="20"/>
              </w:rPr>
              <w:fldChar w:fldCharType="begin"/>
            </w:r>
            <w:r>
              <w:rPr>
                <w:color w:val="000000"/>
                <w:szCs w:val="20"/>
              </w:rPr>
              <w:instrText xml:space="preserve"> NOTEREF _Ref478482810 \h  \* MERGEFORMAT </w:instrText>
            </w:r>
            <w:r>
              <w:rPr>
                <w:color w:val="000000"/>
                <w:szCs w:val="20"/>
              </w:rPr>
            </w:r>
            <w:r>
              <w:rPr>
                <w:color w:val="000000"/>
                <w:szCs w:val="20"/>
              </w:rPr>
              <w:fldChar w:fldCharType="separate"/>
            </w:r>
            <w:r>
              <w:rPr>
                <w:color w:val="000000"/>
                <w:szCs w:val="20"/>
              </w:rPr>
              <w:t>8</w:t>
            </w:r>
            <w:r>
              <w:rPr>
                <w:color w:val="000000"/>
                <w:szCs w:val="20"/>
              </w:rPr>
              <w:fldChar w:fldCharType="end"/>
            </w:r>
            <w:r w:rsidRPr="00F8021B">
              <w:rPr>
                <w:color w:val="000000"/>
                <w:szCs w:val="20"/>
              </w:rPr>
              <w:t>, Table 3-6</w:t>
            </w:r>
          </w:p>
        </w:tc>
      </w:tr>
      <w:tr w:rsidRPr="00F8021B" w:rsidR="005F75F8" w:rsidTr="00030F9E" w14:paraId="13C7661A" w14:textId="77777777">
        <w:trPr>
          <w:cantSplit/>
          <w:trHeight w:val="20"/>
        </w:trPr>
        <w:tc>
          <w:tcPr>
            <w:cnfStyle w:val="001000000000" w:firstRow="0" w:lastRow="0" w:firstColumn="1" w:lastColumn="0" w:oddVBand="0" w:evenVBand="0" w:oddHBand="0" w:evenHBand="0" w:firstRowFirstColumn="0" w:firstRowLastColumn="0" w:lastRowFirstColumn="0" w:lastRowLastColumn="0"/>
            <w:tcW w:w="988" w:type="pct"/>
            <w:vAlign w:val="center"/>
            <w:hideMark/>
          </w:tcPr>
          <w:p w:rsidRPr="00F8021B" w:rsidR="009D4555" w:rsidP="005F75F8" w:rsidRDefault="009D4555" w14:paraId="47C31A29" w14:textId="77777777">
            <w:pPr>
              <w:widowControl/>
              <w:autoSpaceDE/>
              <w:autoSpaceDN/>
              <w:adjustRightInd/>
              <w:rPr>
                <w:b w:val="0"/>
                <w:color w:val="000000"/>
                <w:szCs w:val="20"/>
              </w:rPr>
            </w:pPr>
            <w:r w:rsidRPr="00F8021B">
              <w:rPr>
                <w:b w:val="0"/>
                <w:color w:val="000000"/>
                <w:szCs w:val="20"/>
              </w:rPr>
              <w:t>Acetophenone</w:t>
            </w:r>
          </w:p>
        </w:tc>
        <w:tc>
          <w:tcPr>
            <w:tcW w:w="450" w:type="pct"/>
            <w:vAlign w:val="center"/>
            <w:hideMark/>
          </w:tcPr>
          <w:p w:rsidRPr="009F14D2" w:rsidR="009D4555" w:rsidRDefault="009D4555" w14:paraId="22CF7E13" w14:textId="77777777">
            <w:pPr>
              <w:widowControl/>
              <w:autoSpaceDE/>
              <w:autoSpaceDN/>
              <w:adjustRightInd/>
              <w:jc w:val="center"/>
              <w:cnfStyle w:val="000000000000" w:firstRow="0" w:lastRow="0" w:firstColumn="0" w:lastColumn="0" w:oddVBand="0" w:evenVBand="0" w:oddHBand="0" w:evenHBand="0" w:firstRowFirstColumn="0" w:firstRowLastColumn="0" w:lastRowFirstColumn="0" w:lastRowLastColumn="0"/>
              <w:rPr>
                <w:color w:val="000000"/>
              </w:rPr>
            </w:pPr>
            <w:r w:rsidRPr="009F14D2">
              <w:rPr>
                <w:color w:val="000000"/>
              </w:rPr>
              <w:t>98862</w:t>
            </w:r>
          </w:p>
        </w:tc>
        <w:tc>
          <w:tcPr>
            <w:tcW w:w="455" w:type="pct"/>
            <w:vAlign w:val="center"/>
            <w:hideMark/>
          </w:tcPr>
          <w:p w:rsidRPr="009F14D2" w:rsidR="009D4555" w:rsidRDefault="009D4555" w14:paraId="0D2456F4" w14:textId="77777777">
            <w:pPr>
              <w:widowControl/>
              <w:autoSpaceDE/>
              <w:autoSpaceDN/>
              <w:adjustRightInd/>
              <w:jc w:val="center"/>
              <w:cnfStyle w:val="000000000000" w:firstRow="0" w:lastRow="0" w:firstColumn="0" w:lastColumn="0" w:oddVBand="0" w:evenVBand="0" w:oddHBand="0" w:evenHBand="0" w:firstRowFirstColumn="0" w:firstRowLastColumn="0" w:lastRowFirstColumn="0" w:lastRowLastColumn="0"/>
              <w:rPr>
                <w:color w:val="000000"/>
              </w:rPr>
            </w:pPr>
            <w:r w:rsidRPr="009F14D2">
              <w:rPr>
                <w:color w:val="000000"/>
              </w:rPr>
              <w:t>4.69</w:t>
            </w:r>
          </w:p>
        </w:tc>
        <w:tc>
          <w:tcPr>
            <w:tcW w:w="455" w:type="pct"/>
            <w:vAlign w:val="center"/>
            <w:hideMark/>
          </w:tcPr>
          <w:p w:rsidRPr="00F8021B" w:rsidR="009D4555" w:rsidP="009D4555" w:rsidRDefault="009D4555" w14:paraId="46287D05" w14:textId="7F96593F">
            <w:pPr>
              <w:widowControl/>
              <w:autoSpaceDE/>
              <w:autoSpaceDN/>
              <w:adjustRightInd/>
              <w:jc w:val="center"/>
              <w:cnfStyle w:val="000000000000" w:firstRow="0" w:lastRow="0" w:firstColumn="0" w:lastColumn="0" w:oddVBand="0" w:evenVBand="0" w:oddHBand="0" w:evenHBand="0" w:firstRowFirstColumn="0" w:firstRowLastColumn="0" w:lastRowFirstColumn="0" w:lastRowLastColumn="0"/>
              <w:rPr>
                <w:color w:val="000000"/>
                <w:szCs w:val="20"/>
              </w:rPr>
            </w:pPr>
            <w:r w:rsidRPr="00F8021B">
              <w:rPr>
                <w:color w:val="000000"/>
                <w:szCs w:val="20"/>
              </w:rPr>
              <w:t>mg/kg</w:t>
            </w:r>
          </w:p>
        </w:tc>
        <w:tc>
          <w:tcPr>
            <w:tcW w:w="535" w:type="pct"/>
            <w:vAlign w:val="center"/>
            <w:hideMark/>
          </w:tcPr>
          <w:p w:rsidRPr="00F8021B" w:rsidR="009D4555" w:rsidP="009D4555" w:rsidRDefault="0069169C" w14:paraId="1A51135E" w14:textId="701FF5C3">
            <w:pPr>
              <w:widowControl/>
              <w:autoSpaceDE/>
              <w:autoSpaceDN/>
              <w:adjustRightInd/>
              <w:jc w:val="center"/>
              <w:cnfStyle w:val="000000000000" w:firstRow="0" w:lastRow="0" w:firstColumn="0" w:lastColumn="0" w:oddVBand="0" w:evenVBand="0" w:oddHBand="0" w:evenHBand="0" w:firstRowFirstColumn="0" w:firstRowLastColumn="0" w:lastRowFirstColumn="0" w:lastRowLastColumn="0"/>
              <w:rPr>
                <w:color w:val="000000"/>
                <w:szCs w:val="20"/>
              </w:rPr>
            </w:pPr>
            <w:r>
              <w:rPr>
                <w:color w:val="000000"/>
                <w:szCs w:val="20"/>
              </w:rPr>
              <w:t>9.36</w:t>
            </w:r>
            <w:r w:rsidRPr="00F8021B" w:rsidR="009D4555">
              <w:rPr>
                <w:color w:val="000000"/>
                <w:szCs w:val="20"/>
              </w:rPr>
              <w:t>E-03</w:t>
            </w:r>
          </w:p>
        </w:tc>
        <w:tc>
          <w:tcPr>
            <w:tcW w:w="535" w:type="pct"/>
            <w:vAlign w:val="center"/>
            <w:hideMark/>
          </w:tcPr>
          <w:p w:rsidRPr="00F8021B" w:rsidR="009D4555" w:rsidP="009D4555" w:rsidRDefault="00174AE6" w14:paraId="3360BBDD" w14:textId="7290A40F">
            <w:pPr>
              <w:widowControl/>
              <w:autoSpaceDE/>
              <w:autoSpaceDN/>
              <w:adjustRightInd/>
              <w:jc w:val="center"/>
              <w:cnfStyle w:val="000000000000" w:firstRow="0" w:lastRow="0" w:firstColumn="0" w:lastColumn="0" w:oddVBand="0" w:evenVBand="0" w:oddHBand="0" w:evenHBand="0" w:firstRowFirstColumn="0" w:firstRowLastColumn="0" w:lastRowFirstColumn="0" w:lastRowLastColumn="0"/>
              <w:rPr>
                <w:color w:val="000000"/>
                <w:szCs w:val="20"/>
              </w:rPr>
            </w:pPr>
            <w:r w:rsidRPr="00F8021B">
              <w:rPr>
                <w:color w:val="000000"/>
                <w:szCs w:val="20"/>
              </w:rPr>
              <w:t>lbs.</w:t>
            </w:r>
            <w:r w:rsidRPr="00F8021B" w:rsidR="009D4555">
              <w:rPr>
                <w:color w:val="000000"/>
                <w:szCs w:val="20"/>
              </w:rPr>
              <w:t>/ton</w:t>
            </w:r>
          </w:p>
        </w:tc>
        <w:tc>
          <w:tcPr>
            <w:tcW w:w="1582" w:type="pct"/>
            <w:hideMark/>
          </w:tcPr>
          <w:p w:rsidRPr="00F8021B" w:rsidR="009D4555" w:rsidP="009D4555" w:rsidRDefault="00EF1C43" w14:paraId="2113E866" w14:textId="50645F9C">
            <w:pPr>
              <w:widowControl/>
              <w:autoSpaceDE/>
              <w:autoSpaceDN/>
              <w:adjustRightInd/>
              <w:cnfStyle w:val="000000000000" w:firstRow="0" w:lastRow="0" w:firstColumn="0" w:lastColumn="0" w:oddVBand="0" w:evenVBand="0" w:oddHBand="0" w:evenHBand="0" w:firstRowFirstColumn="0" w:firstRowLastColumn="0" w:lastRowFirstColumn="0" w:lastRowLastColumn="0"/>
              <w:rPr>
                <w:color w:val="000000"/>
                <w:szCs w:val="20"/>
              </w:rPr>
            </w:pPr>
            <w:r>
              <w:rPr>
                <w:color w:val="000000"/>
                <w:szCs w:val="20"/>
              </w:rPr>
              <w:t xml:space="preserve">Reference </w:t>
            </w:r>
            <w:r>
              <w:rPr>
                <w:color w:val="000000"/>
                <w:szCs w:val="20"/>
              </w:rPr>
              <w:fldChar w:fldCharType="begin"/>
            </w:r>
            <w:r>
              <w:rPr>
                <w:color w:val="000000"/>
                <w:szCs w:val="20"/>
              </w:rPr>
              <w:instrText xml:space="preserve"> NOTEREF _Ref478482810 \h </w:instrText>
            </w:r>
            <w:r w:rsidR="005F75F8">
              <w:rPr>
                <w:color w:val="000000"/>
                <w:szCs w:val="20"/>
              </w:rPr>
              <w:instrText xml:space="preserve"> \* MERGEFORMAT </w:instrText>
            </w:r>
            <w:r>
              <w:rPr>
                <w:color w:val="000000"/>
                <w:szCs w:val="20"/>
              </w:rPr>
            </w:r>
            <w:r>
              <w:rPr>
                <w:color w:val="000000"/>
                <w:szCs w:val="20"/>
              </w:rPr>
              <w:fldChar w:fldCharType="separate"/>
            </w:r>
            <w:r w:rsidR="00117BBF">
              <w:rPr>
                <w:color w:val="000000"/>
                <w:szCs w:val="20"/>
              </w:rPr>
              <w:t>8</w:t>
            </w:r>
            <w:r>
              <w:rPr>
                <w:color w:val="000000"/>
                <w:szCs w:val="20"/>
              </w:rPr>
              <w:fldChar w:fldCharType="end"/>
            </w:r>
            <w:r w:rsidRPr="00F8021B" w:rsidR="009D4555">
              <w:rPr>
                <w:color w:val="000000"/>
                <w:szCs w:val="20"/>
              </w:rPr>
              <w:t>, Table 3-6</w:t>
            </w:r>
          </w:p>
        </w:tc>
      </w:tr>
      <w:tr w:rsidRPr="00F8021B" w:rsidR="005F75F8" w:rsidTr="00030F9E" w14:paraId="6E09C361" w14:textId="77777777">
        <w:trPr>
          <w:cnfStyle w:val="000000100000" w:firstRow="0" w:lastRow="0" w:firstColumn="0" w:lastColumn="0" w:oddVBand="0" w:evenVBand="0" w:oddHBand="1" w:evenHBand="0" w:firstRowFirstColumn="0" w:firstRowLastColumn="0" w:lastRowFirstColumn="0" w:lastRowLastColumn="0"/>
          <w:cantSplit/>
          <w:trHeight w:val="20"/>
        </w:trPr>
        <w:tc>
          <w:tcPr>
            <w:cnfStyle w:val="001000000000" w:firstRow="0" w:lastRow="0" w:firstColumn="1" w:lastColumn="0" w:oddVBand="0" w:evenVBand="0" w:oddHBand="0" w:evenHBand="0" w:firstRowFirstColumn="0" w:firstRowLastColumn="0" w:lastRowFirstColumn="0" w:lastRowLastColumn="0"/>
            <w:tcW w:w="988" w:type="pct"/>
            <w:vAlign w:val="center"/>
            <w:hideMark/>
          </w:tcPr>
          <w:p w:rsidRPr="00F8021B" w:rsidR="009D4555" w:rsidP="005F75F8" w:rsidRDefault="009D4555" w14:paraId="63A4AD23" w14:textId="77777777">
            <w:pPr>
              <w:widowControl/>
              <w:autoSpaceDE/>
              <w:autoSpaceDN/>
              <w:adjustRightInd/>
              <w:rPr>
                <w:b w:val="0"/>
                <w:color w:val="000000"/>
                <w:szCs w:val="20"/>
              </w:rPr>
            </w:pPr>
            <w:r w:rsidRPr="00F8021B">
              <w:rPr>
                <w:b w:val="0"/>
                <w:color w:val="000000"/>
                <w:szCs w:val="20"/>
              </w:rPr>
              <w:t>Acrolein</w:t>
            </w:r>
          </w:p>
        </w:tc>
        <w:tc>
          <w:tcPr>
            <w:tcW w:w="450" w:type="pct"/>
            <w:vAlign w:val="center"/>
            <w:hideMark/>
          </w:tcPr>
          <w:p w:rsidRPr="009F14D2" w:rsidR="009D4555" w:rsidRDefault="009D4555" w14:paraId="3F9312AC" w14:textId="77777777">
            <w:pPr>
              <w:widowControl/>
              <w:autoSpaceDE/>
              <w:autoSpaceDN/>
              <w:adjustRightInd/>
              <w:jc w:val="center"/>
              <w:cnfStyle w:val="000000100000" w:firstRow="0" w:lastRow="0" w:firstColumn="0" w:lastColumn="0" w:oddVBand="0" w:evenVBand="0" w:oddHBand="1" w:evenHBand="0" w:firstRowFirstColumn="0" w:firstRowLastColumn="0" w:lastRowFirstColumn="0" w:lastRowLastColumn="0"/>
              <w:rPr>
                <w:color w:val="000000"/>
              </w:rPr>
            </w:pPr>
            <w:r w:rsidRPr="009F14D2">
              <w:rPr>
                <w:color w:val="000000"/>
              </w:rPr>
              <w:t>107028</w:t>
            </w:r>
          </w:p>
        </w:tc>
        <w:tc>
          <w:tcPr>
            <w:tcW w:w="455" w:type="pct"/>
            <w:vAlign w:val="center"/>
            <w:hideMark/>
          </w:tcPr>
          <w:p w:rsidRPr="009F14D2" w:rsidR="009D4555" w:rsidRDefault="006B3EF8" w14:paraId="08402D19" w14:textId="2468C344">
            <w:pPr>
              <w:widowControl/>
              <w:autoSpaceDE/>
              <w:autoSpaceDN/>
              <w:adjustRightInd/>
              <w:jc w:val="center"/>
              <w:cnfStyle w:val="000000100000" w:firstRow="0" w:lastRow="0" w:firstColumn="0" w:lastColumn="0" w:oddVBand="0" w:evenVBand="0" w:oddHBand="1" w:evenHBand="0" w:firstRowFirstColumn="0" w:firstRowLastColumn="0" w:lastRowFirstColumn="0" w:lastRowLastColumn="0"/>
              <w:rPr>
                <w:color w:val="000000"/>
              </w:rPr>
            </w:pPr>
            <w:r>
              <w:rPr>
                <w:color w:val="000000"/>
              </w:rPr>
              <w:t>26.65</w:t>
            </w:r>
          </w:p>
        </w:tc>
        <w:tc>
          <w:tcPr>
            <w:tcW w:w="455" w:type="pct"/>
            <w:vAlign w:val="center"/>
            <w:hideMark/>
          </w:tcPr>
          <w:p w:rsidRPr="00F8021B" w:rsidR="009D4555" w:rsidP="009D4555" w:rsidRDefault="009D4555" w14:paraId="210EDF0B" w14:textId="45EAD0CE">
            <w:pPr>
              <w:widowControl/>
              <w:autoSpaceDE/>
              <w:autoSpaceDN/>
              <w:adjustRightInd/>
              <w:jc w:val="center"/>
              <w:cnfStyle w:val="000000100000" w:firstRow="0" w:lastRow="0" w:firstColumn="0" w:lastColumn="0" w:oddVBand="0" w:evenVBand="0" w:oddHBand="1" w:evenHBand="0" w:firstRowFirstColumn="0" w:firstRowLastColumn="0" w:lastRowFirstColumn="0" w:lastRowLastColumn="0"/>
              <w:rPr>
                <w:color w:val="000000"/>
                <w:szCs w:val="20"/>
              </w:rPr>
            </w:pPr>
            <w:r w:rsidRPr="00F8021B">
              <w:rPr>
                <w:color w:val="000000"/>
                <w:szCs w:val="20"/>
              </w:rPr>
              <w:t>mg/kg</w:t>
            </w:r>
          </w:p>
        </w:tc>
        <w:tc>
          <w:tcPr>
            <w:tcW w:w="535" w:type="pct"/>
            <w:vAlign w:val="center"/>
            <w:hideMark/>
          </w:tcPr>
          <w:p w:rsidRPr="00F8021B" w:rsidR="009D4555" w:rsidP="0069169C" w:rsidRDefault="0069169C" w14:paraId="528F5CFF" w14:textId="2B6CF136">
            <w:pPr>
              <w:widowControl/>
              <w:autoSpaceDE/>
              <w:autoSpaceDN/>
              <w:adjustRightInd/>
              <w:jc w:val="center"/>
              <w:cnfStyle w:val="000000100000" w:firstRow="0" w:lastRow="0" w:firstColumn="0" w:lastColumn="0" w:oddVBand="0" w:evenVBand="0" w:oddHBand="1" w:evenHBand="0" w:firstRowFirstColumn="0" w:firstRowLastColumn="0" w:lastRowFirstColumn="0" w:lastRowLastColumn="0"/>
              <w:rPr>
                <w:color w:val="000000"/>
                <w:szCs w:val="20"/>
              </w:rPr>
            </w:pPr>
            <w:r>
              <w:rPr>
                <w:color w:val="000000"/>
                <w:szCs w:val="20"/>
              </w:rPr>
              <w:t>5.32</w:t>
            </w:r>
            <w:r w:rsidRPr="00F8021B" w:rsidR="009D4555">
              <w:rPr>
                <w:color w:val="000000"/>
                <w:szCs w:val="20"/>
              </w:rPr>
              <w:t>E-0</w:t>
            </w:r>
            <w:r>
              <w:rPr>
                <w:color w:val="000000"/>
                <w:szCs w:val="20"/>
              </w:rPr>
              <w:t>2</w:t>
            </w:r>
          </w:p>
        </w:tc>
        <w:tc>
          <w:tcPr>
            <w:tcW w:w="535" w:type="pct"/>
            <w:vAlign w:val="center"/>
            <w:hideMark/>
          </w:tcPr>
          <w:p w:rsidRPr="00F8021B" w:rsidR="009D4555" w:rsidP="009D4555" w:rsidRDefault="00174AE6" w14:paraId="60EF7EB9" w14:textId="2C408E38">
            <w:pPr>
              <w:widowControl/>
              <w:autoSpaceDE/>
              <w:autoSpaceDN/>
              <w:adjustRightInd/>
              <w:jc w:val="center"/>
              <w:cnfStyle w:val="000000100000" w:firstRow="0" w:lastRow="0" w:firstColumn="0" w:lastColumn="0" w:oddVBand="0" w:evenVBand="0" w:oddHBand="1" w:evenHBand="0" w:firstRowFirstColumn="0" w:firstRowLastColumn="0" w:lastRowFirstColumn="0" w:lastRowLastColumn="0"/>
              <w:rPr>
                <w:color w:val="000000"/>
                <w:szCs w:val="20"/>
              </w:rPr>
            </w:pPr>
            <w:r w:rsidRPr="00F8021B">
              <w:rPr>
                <w:color w:val="000000"/>
                <w:szCs w:val="20"/>
              </w:rPr>
              <w:t>lbs.</w:t>
            </w:r>
            <w:r w:rsidRPr="00F8021B" w:rsidR="009D4555">
              <w:rPr>
                <w:color w:val="000000"/>
                <w:szCs w:val="20"/>
              </w:rPr>
              <w:t>/ton</w:t>
            </w:r>
          </w:p>
        </w:tc>
        <w:tc>
          <w:tcPr>
            <w:tcW w:w="1582" w:type="pct"/>
            <w:hideMark/>
          </w:tcPr>
          <w:p w:rsidRPr="00F8021B" w:rsidR="009D4555" w:rsidP="0046047E" w:rsidRDefault="0069169C" w14:paraId="5EDD621C" w14:textId="5FA90632">
            <w:pPr>
              <w:widowControl/>
              <w:autoSpaceDE/>
              <w:autoSpaceDN/>
              <w:adjustRightInd/>
              <w:cnfStyle w:val="000000100000" w:firstRow="0" w:lastRow="0" w:firstColumn="0" w:lastColumn="0" w:oddVBand="0" w:evenVBand="0" w:oddHBand="1" w:evenHBand="0" w:firstRowFirstColumn="0" w:firstRowLastColumn="0" w:lastRowFirstColumn="0" w:lastRowLastColumn="0"/>
              <w:rPr>
                <w:color w:val="000000"/>
                <w:szCs w:val="20"/>
              </w:rPr>
            </w:pPr>
            <w:r>
              <w:rPr>
                <w:color w:val="000000"/>
                <w:szCs w:val="20"/>
              </w:rPr>
              <w:t xml:space="preserve">Reference </w:t>
            </w:r>
            <w:r>
              <w:rPr>
                <w:color w:val="000000"/>
                <w:szCs w:val="20"/>
              </w:rPr>
              <w:fldChar w:fldCharType="begin"/>
            </w:r>
            <w:r>
              <w:rPr>
                <w:color w:val="000000"/>
                <w:szCs w:val="20"/>
              </w:rPr>
              <w:instrText xml:space="preserve"> NOTEREF _Ref478482810 \h  \* MERGEFORMAT </w:instrText>
            </w:r>
            <w:r>
              <w:rPr>
                <w:color w:val="000000"/>
                <w:szCs w:val="20"/>
              </w:rPr>
            </w:r>
            <w:r>
              <w:rPr>
                <w:color w:val="000000"/>
                <w:szCs w:val="20"/>
              </w:rPr>
              <w:fldChar w:fldCharType="separate"/>
            </w:r>
            <w:r>
              <w:rPr>
                <w:color w:val="000000"/>
                <w:szCs w:val="20"/>
              </w:rPr>
              <w:t>8</w:t>
            </w:r>
            <w:r>
              <w:rPr>
                <w:color w:val="000000"/>
                <w:szCs w:val="20"/>
              </w:rPr>
              <w:fldChar w:fldCharType="end"/>
            </w:r>
            <w:r w:rsidRPr="00F8021B">
              <w:rPr>
                <w:color w:val="000000"/>
                <w:szCs w:val="20"/>
              </w:rPr>
              <w:t>, Table 3-6</w:t>
            </w:r>
          </w:p>
        </w:tc>
      </w:tr>
      <w:tr w:rsidRPr="00F8021B" w:rsidR="005F75F8" w:rsidTr="00030F9E" w14:paraId="28799510" w14:textId="77777777">
        <w:trPr>
          <w:cantSplit/>
          <w:trHeight w:val="20"/>
        </w:trPr>
        <w:tc>
          <w:tcPr>
            <w:cnfStyle w:val="001000000000" w:firstRow="0" w:lastRow="0" w:firstColumn="1" w:lastColumn="0" w:oddVBand="0" w:evenVBand="0" w:oddHBand="0" w:evenHBand="0" w:firstRowFirstColumn="0" w:firstRowLastColumn="0" w:lastRowFirstColumn="0" w:lastRowLastColumn="0"/>
            <w:tcW w:w="988" w:type="pct"/>
            <w:vAlign w:val="center"/>
            <w:hideMark/>
          </w:tcPr>
          <w:p w:rsidRPr="00F8021B" w:rsidR="009D4555" w:rsidP="005F75F8" w:rsidRDefault="009D4555" w14:paraId="07996012" w14:textId="77777777">
            <w:pPr>
              <w:widowControl/>
              <w:autoSpaceDE/>
              <w:autoSpaceDN/>
              <w:adjustRightInd/>
              <w:rPr>
                <w:b w:val="0"/>
                <w:color w:val="000000"/>
                <w:szCs w:val="20"/>
              </w:rPr>
            </w:pPr>
            <w:r w:rsidRPr="00F8021B">
              <w:rPr>
                <w:b w:val="0"/>
                <w:color w:val="000000"/>
                <w:szCs w:val="20"/>
              </w:rPr>
              <w:t>Anthracene</w:t>
            </w:r>
          </w:p>
        </w:tc>
        <w:tc>
          <w:tcPr>
            <w:tcW w:w="450" w:type="pct"/>
            <w:vAlign w:val="center"/>
            <w:hideMark/>
          </w:tcPr>
          <w:p w:rsidRPr="009F14D2" w:rsidR="009D4555" w:rsidRDefault="009D4555" w14:paraId="2207415F" w14:textId="77777777">
            <w:pPr>
              <w:widowControl/>
              <w:autoSpaceDE/>
              <w:autoSpaceDN/>
              <w:adjustRightInd/>
              <w:jc w:val="center"/>
              <w:cnfStyle w:val="000000000000" w:firstRow="0" w:lastRow="0" w:firstColumn="0" w:lastColumn="0" w:oddVBand="0" w:evenVBand="0" w:oddHBand="0" w:evenHBand="0" w:firstRowFirstColumn="0" w:firstRowLastColumn="0" w:lastRowFirstColumn="0" w:lastRowLastColumn="0"/>
              <w:rPr>
                <w:color w:val="000000"/>
              </w:rPr>
            </w:pPr>
            <w:r w:rsidRPr="009F14D2">
              <w:rPr>
                <w:color w:val="000000"/>
              </w:rPr>
              <w:t>120127</w:t>
            </w:r>
          </w:p>
        </w:tc>
        <w:tc>
          <w:tcPr>
            <w:tcW w:w="455" w:type="pct"/>
            <w:vAlign w:val="center"/>
            <w:hideMark/>
          </w:tcPr>
          <w:p w:rsidRPr="009F14D2" w:rsidR="009D4555" w:rsidRDefault="006B3EF8" w14:paraId="0B63A126" w14:textId="486E0C17">
            <w:pPr>
              <w:widowControl/>
              <w:autoSpaceDE/>
              <w:autoSpaceDN/>
              <w:adjustRightInd/>
              <w:jc w:val="center"/>
              <w:cnfStyle w:val="000000000000" w:firstRow="0" w:lastRow="0" w:firstColumn="0" w:lastColumn="0" w:oddVBand="0" w:evenVBand="0" w:oddHBand="0" w:evenHBand="0" w:firstRowFirstColumn="0" w:firstRowLastColumn="0" w:lastRowFirstColumn="0" w:lastRowLastColumn="0"/>
              <w:rPr>
                <w:color w:val="000000"/>
              </w:rPr>
            </w:pPr>
            <w:r>
              <w:rPr>
                <w:color w:val="000000"/>
              </w:rPr>
              <w:t>1.3</w:t>
            </w:r>
          </w:p>
        </w:tc>
        <w:tc>
          <w:tcPr>
            <w:tcW w:w="455" w:type="pct"/>
            <w:vAlign w:val="center"/>
            <w:hideMark/>
          </w:tcPr>
          <w:p w:rsidRPr="00F8021B" w:rsidR="009D4555" w:rsidP="009D4555" w:rsidRDefault="009D4555" w14:paraId="0829D4CC" w14:textId="5C593F88">
            <w:pPr>
              <w:widowControl/>
              <w:autoSpaceDE/>
              <w:autoSpaceDN/>
              <w:adjustRightInd/>
              <w:jc w:val="center"/>
              <w:cnfStyle w:val="000000000000" w:firstRow="0" w:lastRow="0" w:firstColumn="0" w:lastColumn="0" w:oddVBand="0" w:evenVBand="0" w:oddHBand="0" w:evenHBand="0" w:firstRowFirstColumn="0" w:firstRowLastColumn="0" w:lastRowFirstColumn="0" w:lastRowLastColumn="0"/>
              <w:rPr>
                <w:color w:val="000000"/>
                <w:szCs w:val="20"/>
              </w:rPr>
            </w:pPr>
            <w:r w:rsidRPr="00F8021B">
              <w:rPr>
                <w:color w:val="000000"/>
                <w:szCs w:val="20"/>
              </w:rPr>
              <w:t>mg/kg</w:t>
            </w:r>
          </w:p>
        </w:tc>
        <w:tc>
          <w:tcPr>
            <w:tcW w:w="535" w:type="pct"/>
            <w:vAlign w:val="center"/>
            <w:hideMark/>
          </w:tcPr>
          <w:p w:rsidRPr="00F8021B" w:rsidR="009D4555" w:rsidP="009D4555" w:rsidRDefault="0069169C" w14:paraId="47D54D1B" w14:textId="58EC0045">
            <w:pPr>
              <w:widowControl/>
              <w:autoSpaceDE/>
              <w:autoSpaceDN/>
              <w:adjustRightInd/>
              <w:jc w:val="center"/>
              <w:cnfStyle w:val="000000000000" w:firstRow="0" w:lastRow="0" w:firstColumn="0" w:lastColumn="0" w:oddVBand="0" w:evenVBand="0" w:oddHBand="0" w:evenHBand="0" w:firstRowFirstColumn="0" w:firstRowLastColumn="0" w:lastRowFirstColumn="0" w:lastRowLastColumn="0"/>
              <w:rPr>
                <w:color w:val="000000"/>
                <w:szCs w:val="20"/>
              </w:rPr>
            </w:pPr>
            <w:r>
              <w:rPr>
                <w:color w:val="000000"/>
                <w:szCs w:val="20"/>
              </w:rPr>
              <w:t>2.59</w:t>
            </w:r>
            <w:r w:rsidRPr="00F8021B" w:rsidR="009D4555">
              <w:rPr>
                <w:color w:val="000000"/>
                <w:szCs w:val="20"/>
              </w:rPr>
              <w:t>E-03</w:t>
            </w:r>
          </w:p>
        </w:tc>
        <w:tc>
          <w:tcPr>
            <w:tcW w:w="535" w:type="pct"/>
            <w:vAlign w:val="center"/>
            <w:hideMark/>
          </w:tcPr>
          <w:p w:rsidRPr="00F8021B" w:rsidR="009D4555" w:rsidP="009D4555" w:rsidRDefault="00174AE6" w14:paraId="5CFBEB16" w14:textId="2C12BCE5">
            <w:pPr>
              <w:widowControl/>
              <w:autoSpaceDE/>
              <w:autoSpaceDN/>
              <w:adjustRightInd/>
              <w:jc w:val="center"/>
              <w:cnfStyle w:val="000000000000" w:firstRow="0" w:lastRow="0" w:firstColumn="0" w:lastColumn="0" w:oddVBand="0" w:evenVBand="0" w:oddHBand="0" w:evenHBand="0" w:firstRowFirstColumn="0" w:firstRowLastColumn="0" w:lastRowFirstColumn="0" w:lastRowLastColumn="0"/>
              <w:rPr>
                <w:color w:val="000000"/>
                <w:szCs w:val="20"/>
              </w:rPr>
            </w:pPr>
            <w:r w:rsidRPr="00F8021B">
              <w:rPr>
                <w:color w:val="000000"/>
                <w:szCs w:val="20"/>
              </w:rPr>
              <w:t>lbs.</w:t>
            </w:r>
            <w:r w:rsidRPr="00F8021B" w:rsidR="009D4555">
              <w:rPr>
                <w:color w:val="000000"/>
                <w:szCs w:val="20"/>
              </w:rPr>
              <w:t>/ton</w:t>
            </w:r>
          </w:p>
        </w:tc>
        <w:tc>
          <w:tcPr>
            <w:tcW w:w="1582" w:type="pct"/>
            <w:hideMark/>
          </w:tcPr>
          <w:p w:rsidRPr="00F8021B" w:rsidR="009D4555" w:rsidP="0046047E" w:rsidRDefault="0069169C" w14:paraId="47768282" w14:textId="749FDC91">
            <w:pPr>
              <w:widowControl/>
              <w:autoSpaceDE/>
              <w:autoSpaceDN/>
              <w:adjustRightInd/>
              <w:cnfStyle w:val="000000000000" w:firstRow="0" w:lastRow="0" w:firstColumn="0" w:lastColumn="0" w:oddVBand="0" w:evenVBand="0" w:oddHBand="0" w:evenHBand="0" w:firstRowFirstColumn="0" w:firstRowLastColumn="0" w:lastRowFirstColumn="0" w:lastRowLastColumn="0"/>
              <w:rPr>
                <w:color w:val="000000"/>
                <w:szCs w:val="20"/>
              </w:rPr>
            </w:pPr>
            <w:r>
              <w:rPr>
                <w:color w:val="000000"/>
                <w:szCs w:val="20"/>
              </w:rPr>
              <w:t xml:space="preserve">Reference </w:t>
            </w:r>
            <w:r>
              <w:rPr>
                <w:color w:val="000000"/>
                <w:szCs w:val="20"/>
              </w:rPr>
              <w:fldChar w:fldCharType="begin"/>
            </w:r>
            <w:r>
              <w:rPr>
                <w:color w:val="000000"/>
                <w:szCs w:val="20"/>
              </w:rPr>
              <w:instrText xml:space="preserve"> NOTEREF _Ref478482810 \h  \* MERGEFORMAT </w:instrText>
            </w:r>
            <w:r>
              <w:rPr>
                <w:color w:val="000000"/>
                <w:szCs w:val="20"/>
              </w:rPr>
            </w:r>
            <w:r>
              <w:rPr>
                <w:color w:val="000000"/>
                <w:szCs w:val="20"/>
              </w:rPr>
              <w:fldChar w:fldCharType="separate"/>
            </w:r>
            <w:r>
              <w:rPr>
                <w:color w:val="000000"/>
                <w:szCs w:val="20"/>
              </w:rPr>
              <w:t>8</w:t>
            </w:r>
            <w:r>
              <w:rPr>
                <w:color w:val="000000"/>
                <w:szCs w:val="20"/>
              </w:rPr>
              <w:fldChar w:fldCharType="end"/>
            </w:r>
            <w:r w:rsidRPr="00F8021B">
              <w:rPr>
                <w:color w:val="000000"/>
                <w:szCs w:val="20"/>
              </w:rPr>
              <w:t>, Table 3-6</w:t>
            </w:r>
          </w:p>
        </w:tc>
      </w:tr>
      <w:tr w:rsidRPr="00F8021B" w:rsidR="005F75F8" w:rsidTr="00030F9E" w14:paraId="5C24E5F1" w14:textId="77777777">
        <w:trPr>
          <w:cnfStyle w:val="000000100000" w:firstRow="0" w:lastRow="0" w:firstColumn="0" w:lastColumn="0" w:oddVBand="0" w:evenVBand="0" w:oddHBand="1" w:evenHBand="0" w:firstRowFirstColumn="0" w:firstRowLastColumn="0" w:lastRowFirstColumn="0" w:lastRowLastColumn="0"/>
          <w:cantSplit/>
          <w:trHeight w:val="20"/>
        </w:trPr>
        <w:tc>
          <w:tcPr>
            <w:cnfStyle w:val="001000000000" w:firstRow="0" w:lastRow="0" w:firstColumn="1" w:lastColumn="0" w:oddVBand="0" w:evenVBand="0" w:oddHBand="0" w:evenHBand="0" w:firstRowFirstColumn="0" w:firstRowLastColumn="0" w:lastRowFirstColumn="0" w:lastRowLastColumn="0"/>
            <w:tcW w:w="988" w:type="pct"/>
            <w:vAlign w:val="center"/>
            <w:hideMark/>
          </w:tcPr>
          <w:p w:rsidRPr="00F8021B" w:rsidR="009D4555" w:rsidP="005F75F8" w:rsidRDefault="009D4555" w14:paraId="5B584680" w14:textId="77777777">
            <w:pPr>
              <w:widowControl/>
              <w:autoSpaceDE/>
              <w:autoSpaceDN/>
              <w:adjustRightInd/>
              <w:rPr>
                <w:b w:val="0"/>
                <w:color w:val="000000"/>
                <w:szCs w:val="20"/>
              </w:rPr>
            </w:pPr>
            <w:r w:rsidRPr="00F8021B">
              <w:rPr>
                <w:b w:val="0"/>
                <w:color w:val="000000"/>
                <w:szCs w:val="20"/>
              </w:rPr>
              <w:t>Benz[a]anthracene</w:t>
            </w:r>
          </w:p>
        </w:tc>
        <w:tc>
          <w:tcPr>
            <w:tcW w:w="450" w:type="pct"/>
            <w:vAlign w:val="center"/>
            <w:hideMark/>
          </w:tcPr>
          <w:p w:rsidRPr="009F14D2" w:rsidR="009D4555" w:rsidRDefault="009D4555" w14:paraId="64958579" w14:textId="77777777">
            <w:pPr>
              <w:widowControl/>
              <w:autoSpaceDE/>
              <w:autoSpaceDN/>
              <w:adjustRightInd/>
              <w:jc w:val="center"/>
              <w:cnfStyle w:val="000000100000" w:firstRow="0" w:lastRow="0" w:firstColumn="0" w:lastColumn="0" w:oddVBand="0" w:evenVBand="0" w:oddHBand="1" w:evenHBand="0" w:firstRowFirstColumn="0" w:firstRowLastColumn="0" w:lastRowFirstColumn="0" w:lastRowLastColumn="0"/>
              <w:rPr>
                <w:color w:val="000000"/>
              </w:rPr>
            </w:pPr>
            <w:r w:rsidRPr="009F14D2">
              <w:rPr>
                <w:color w:val="000000"/>
              </w:rPr>
              <w:t>56553</w:t>
            </w:r>
          </w:p>
        </w:tc>
        <w:tc>
          <w:tcPr>
            <w:tcW w:w="455" w:type="pct"/>
            <w:vAlign w:val="center"/>
            <w:hideMark/>
          </w:tcPr>
          <w:p w:rsidRPr="009F14D2" w:rsidR="009D4555" w:rsidRDefault="006B3EF8" w14:paraId="572E5F27" w14:textId="6E52CAE5">
            <w:pPr>
              <w:widowControl/>
              <w:autoSpaceDE/>
              <w:autoSpaceDN/>
              <w:adjustRightInd/>
              <w:jc w:val="center"/>
              <w:cnfStyle w:val="000000100000" w:firstRow="0" w:lastRow="0" w:firstColumn="0" w:lastColumn="0" w:oddVBand="0" w:evenVBand="0" w:oddHBand="1" w:evenHBand="0" w:firstRowFirstColumn="0" w:firstRowLastColumn="0" w:lastRowFirstColumn="0" w:lastRowLastColumn="0"/>
              <w:rPr>
                <w:color w:val="000000"/>
              </w:rPr>
            </w:pPr>
            <w:r>
              <w:rPr>
                <w:color w:val="000000"/>
              </w:rPr>
              <w:t>1.51</w:t>
            </w:r>
          </w:p>
        </w:tc>
        <w:tc>
          <w:tcPr>
            <w:tcW w:w="455" w:type="pct"/>
            <w:vAlign w:val="center"/>
            <w:hideMark/>
          </w:tcPr>
          <w:p w:rsidRPr="00F8021B" w:rsidR="009D4555" w:rsidP="009D4555" w:rsidRDefault="009D4555" w14:paraId="29054019" w14:textId="66E7364C">
            <w:pPr>
              <w:widowControl/>
              <w:autoSpaceDE/>
              <w:autoSpaceDN/>
              <w:adjustRightInd/>
              <w:jc w:val="center"/>
              <w:cnfStyle w:val="000000100000" w:firstRow="0" w:lastRow="0" w:firstColumn="0" w:lastColumn="0" w:oddVBand="0" w:evenVBand="0" w:oddHBand="1" w:evenHBand="0" w:firstRowFirstColumn="0" w:firstRowLastColumn="0" w:lastRowFirstColumn="0" w:lastRowLastColumn="0"/>
              <w:rPr>
                <w:color w:val="000000"/>
                <w:szCs w:val="20"/>
              </w:rPr>
            </w:pPr>
            <w:r w:rsidRPr="00F8021B">
              <w:rPr>
                <w:color w:val="000000"/>
                <w:szCs w:val="20"/>
              </w:rPr>
              <w:t>mg/kg</w:t>
            </w:r>
          </w:p>
        </w:tc>
        <w:tc>
          <w:tcPr>
            <w:tcW w:w="535" w:type="pct"/>
            <w:vAlign w:val="center"/>
            <w:hideMark/>
          </w:tcPr>
          <w:p w:rsidRPr="00F8021B" w:rsidR="009D4555" w:rsidP="009D4555" w:rsidRDefault="0009032D" w14:paraId="4978CC42" w14:textId="4E604D04">
            <w:pPr>
              <w:widowControl/>
              <w:autoSpaceDE/>
              <w:autoSpaceDN/>
              <w:adjustRightInd/>
              <w:jc w:val="center"/>
              <w:cnfStyle w:val="000000100000" w:firstRow="0" w:lastRow="0" w:firstColumn="0" w:lastColumn="0" w:oddVBand="0" w:evenVBand="0" w:oddHBand="1" w:evenHBand="0" w:firstRowFirstColumn="0" w:firstRowLastColumn="0" w:lastRowFirstColumn="0" w:lastRowLastColumn="0"/>
              <w:rPr>
                <w:color w:val="000000"/>
                <w:szCs w:val="20"/>
              </w:rPr>
            </w:pPr>
            <w:r>
              <w:rPr>
                <w:color w:val="000000"/>
                <w:szCs w:val="20"/>
              </w:rPr>
              <w:t>3.01</w:t>
            </w:r>
            <w:r w:rsidRPr="00F8021B" w:rsidR="009D4555">
              <w:rPr>
                <w:color w:val="000000"/>
                <w:szCs w:val="20"/>
              </w:rPr>
              <w:t>E-03</w:t>
            </w:r>
          </w:p>
        </w:tc>
        <w:tc>
          <w:tcPr>
            <w:tcW w:w="535" w:type="pct"/>
            <w:vAlign w:val="center"/>
            <w:hideMark/>
          </w:tcPr>
          <w:p w:rsidRPr="00F8021B" w:rsidR="009D4555" w:rsidP="009D4555" w:rsidRDefault="00174AE6" w14:paraId="3A40DD43" w14:textId="2D173BA0">
            <w:pPr>
              <w:widowControl/>
              <w:autoSpaceDE/>
              <w:autoSpaceDN/>
              <w:adjustRightInd/>
              <w:jc w:val="center"/>
              <w:cnfStyle w:val="000000100000" w:firstRow="0" w:lastRow="0" w:firstColumn="0" w:lastColumn="0" w:oddVBand="0" w:evenVBand="0" w:oddHBand="1" w:evenHBand="0" w:firstRowFirstColumn="0" w:firstRowLastColumn="0" w:lastRowFirstColumn="0" w:lastRowLastColumn="0"/>
              <w:rPr>
                <w:color w:val="000000"/>
                <w:szCs w:val="20"/>
              </w:rPr>
            </w:pPr>
            <w:r w:rsidRPr="00F8021B">
              <w:rPr>
                <w:color w:val="000000"/>
                <w:szCs w:val="20"/>
              </w:rPr>
              <w:t>lbs.</w:t>
            </w:r>
            <w:r w:rsidRPr="00F8021B" w:rsidR="009D4555">
              <w:rPr>
                <w:color w:val="000000"/>
                <w:szCs w:val="20"/>
              </w:rPr>
              <w:t>/ton</w:t>
            </w:r>
          </w:p>
        </w:tc>
        <w:tc>
          <w:tcPr>
            <w:tcW w:w="1582" w:type="pct"/>
            <w:hideMark/>
          </w:tcPr>
          <w:p w:rsidRPr="00F8021B" w:rsidR="009D4555" w:rsidP="0046047E" w:rsidRDefault="0009032D" w14:paraId="657532A6" w14:textId="01A52064">
            <w:pPr>
              <w:widowControl/>
              <w:autoSpaceDE/>
              <w:autoSpaceDN/>
              <w:adjustRightInd/>
              <w:cnfStyle w:val="000000100000" w:firstRow="0" w:lastRow="0" w:firstColumn="0" w:lastColumn="0" w:oddVBand="0" w:evenVBand="0" w:oddHBand="1" w:evenHBand="0" w:firstRowFirstColumn="0" w:firstRowLastColumn="0" w:lastRowFirstColumn="0" w:lastRowLastColumn="0"/>
              <w:rPr>
                <w:color w:val="000000"/>
                <w:szCs w:val="20"/>
              </w:rPr>
            </w:pPr>
            <w:r>
              <w:rPr>
                <w:color w:val="000000"/>
                <w:szCs w:val="20"/>
              </w:rPr>
              <w:t xml:space="preserve">Reference </w:t>
            </w:r>
            <w:r>
              <w:rPr>
                <w:color w:val="000000"/>
                <w:szCs w:val="20"/>
              </w:rPr>
              <w:fldChar w:fldCharType="begin"/>
            </w:r>
            <w:r>
              <w:rPr>
                <w:color w:val="000000"/>
                <w:szCs w:val="20"/>
              </w:rPr>
              <w:instrText xml:space="preserve"> NOTEREF _Ref478482810 \h  \* MERGEFORMAT </w:instrText>
            </w:r>
            <w:r>
              <w:rPr>
                <w:color w:val="000000"/>
                <w:szCs w:val="20"/>
              </w:rPr>
            </w:r>
            <w:r>
              <w:rPr>
                <w:color w:val="000000"/>
                <w:szCs w:val="20"/>
              </w:rPr>
              <w:fldChar w:fldCharType="separate"/>
            </w:r>
            <w:r>
              <w:rPr>
                <w:color w:val="000000"/>
                <w:szCs w:val="20"/>
              </w:rPr>
              <w:t>8</w:t>
            </w:r>
            <w:r>
              <w:rPr>
                <w:color w:val="000000"/>
                <w:szCs w:val="20"/>
              </w:rPr>
              <w:fldChar w:fldCharType="end"/>
            </w:r>
            <w:r w:rsidRPr="00F8021B">
              <w:rPr>
                <w:color w:val="000000"/>
                <w:szCs w:val="20"/>
              </w:rPr>
              <w:t>, Table 3-6</w:t>
            </w:r>
          </w:p>
        </w:tc>
      </w:tr>
      <w:tr w:rsidRPr="00F8021B" w:rsidR="005F75F8" w:rsidTr="00030F9E" w14:paraId="165019D9" w14:textId="77777777">
        <w:trPr>
          <w:cantSplit/>
          <w:trHeight w:val="20"/>
        </w:trPr>
        <w:tc>
          <w:tcPr>
            <w:cnfStyle w:val="001000000000" w:firstRow="0" w:lastRow="0" w:firstColumn="1" w:lastColumn="0" w:oddVBand="0" w:evenVBand="0" w:oddHBand="0" w:evenHBand="0" w:firstRowFirstColumn="0" w:firstRowLastColumn="0" w:lastRowFirstColumn="0" w:lastRowLastColumn="0"/>
            <w:tcW w:w="988" w:type="pct"/>
            <w:vAlign w:val="center"/>
            <w:hideMark/>
          </w:tcPr>
          <w:p w:rsidRPr="00F8021B" w:rsidR="009D4555" w:rsidP="005F75F8" w:rsidRDefault="009D4555" w14:paraId="0E962E03" w14:textId="77777777">
            <w:pPr>
              <w:widowControl/>
              <w:autoSpaceDE/>
              <w:autoSpaceDN/>
              <w:adjustRightInd/>
              <w:rPr>
                <w:b w:val="0"/>
                <w:color w:val="000000"/>
                <w:szCs w:val="20"/>
              </w:rPr>
            </w:pPr>
            <w:r w:rsidRPr="00F8021B">
              <w:rPr>
                <w:b w:val="0"/>
                <w:color w:val="000000"/>
                <w:szCs w:val="20"/>
              </w:rPr>
              <w:t>Benzene</w:t>
            </w:r>
          </w:p>
        </w:tc>
        <w:tc>
          <w:tcPr>
            <w:tcW w:w="450" w:type="pct"/>
            <w:vAlign w:val="center"/>
            <w:hideMark/>
          </w:tcPr>
          <w:p w:rsidRPr="009F14D2" w:rsidR="009D4555" w:rsidRDefault="009D4555" w14:paraId="326FEC4D" w14:textId="77777777">
            <w:pPr>
              <w:widowControl/>
              <w:autoSpaceDE/>
              <w:autoSpaceDN/>
              <w:adjustRightInd/>
              <w:jc w:val="center"/>
              <w:cnfStyle w:val="000000000000" w:firstRow="0" w:lastRow="0" w:firstColumn="0" w:lastColumn="0" w:oddVBand="0" w:evenVBand="0" w:oddHBand="0" w:evenHBand="0" w:firstRowFirstColumn="0" w:firstRowLastColumn="0" w:lastRowFirstColumn="0" w:lastRowLastColumn="0"/>
              <w:rPr>
                <w:color w:val="000000"/>
              </w:rPr>
            </w:pPr>
            <w:r w:rsidRPr="009F14D2">
              <w:rPr>
                <w:color w:val="000000"/>
              </w:rPr>
              <w:t>71432</w:t>
            </w:r>
          </w:p>
        </w:tc>
        <w:tc>
          <w:tcPr>
            <w:tcW w:w="455" w:type="pct"/>
            <w:vAlign w:val="center"/>
            <w:hideMark/>
          </w:tcPr>
          <w:p w:rsidRPr="009F14D2" w:rsidR="009D4555" w:rsidRDefault="006B3EF8" w14:paraId="0AC91D31" w14:textId="70F16F6D">
            <w:pPr>
              <w:widowControl/>
              <w:autoSpaceDE/>
              <w:autoSpaceDN/>
              <w:adjustRightInd/>
              <w:jc w:val="center"/>
              <w:cnfStyle w:val="000000000000" w:firstRow="0" w:lastRow="0" w:firstColumn="0" w:lastColumn="0" w:oddVBand="0" w:evenVBand="0" w:oddHBand="0" w:evenHBand="0" w:firstRowFirstColumn="0" w:firstRowLastColumn="0" w:lastRowFirstColumn="0" w:lastRowLastColumn="0"/>
              <w:rPr>
                <w:color w:val="000000"/>
              </w:rPr>
            </w:pPr>
            <w:r>
              <w:rPr>
                <w:color w:val="000000"/>
              </w:rPr>
              <w:t>979.75</w:t>
            </w:r>
          </w:p>
        </w:tc>
        <w:tc>
          <w:tcPr>
            <w:tcW w:w="455" w:type="pct"/>
            <w:vAlign w:val="center"/>
            <w:hideMark/>
          </w:tcPr>
          <w:p w:rsidRPr="00F8021B" w:rsidR="009D4555" w:rsidP="009D4555" w:rsidRDefault="009D4555" w14:paraId="6071A4C2" w14:textId="4F1ADF0B">
            <w:pPr>
              <w:widowControl/>
              <w:autoSpaceDE/>
              <w:autoSpaceDN/>
              <w:adjustRightInd/>
              <w:jc w:val="center"/>
              <w:cnfStyle w:val="000000000000" w:firstRow="0" w:lastRow="0" w:firstColumn="0" w:lastColumn="0" w:oddVBand="0" w:evenVBand="0" w:oddHBand="0" w:evenHBand="0" w:firstRowFirstColumn="0" w:firstRowLastColumn="0" w:lastRowFirstColumn="0" w:lastRowLastColumn="0"/>
              <w:rPr>
                <w:color w:val="000000"/>
                <w:szCs w:val="20"/>
              </w:rPr>
            </w:pPr>
            <w:r w:rsidRPr="00F8021B">
              <w:rPr>
                <w:color w:val="000000"/>
                <w:szCs w:val="20"/>
              </w:rPr>
              <w:t>mg/kg</w:t>
            </w:r>
          </w:p>
        </w:tc>
        <w:tc>
          <w:tcPr>
            <w:tcW w:w="535" w:type="pct"/>
            <w:vAlign w:val="center"/>
            <w:hideMark/>
          </w:tcPr>
          <w:p w:rsidRPr="00F8021B" w:rsidR="009D4555" w:rsidP="009D4555" w:rsidRDefault="0009032D" w14:paraId="02CA9D04" w14:textId="2271EF69">
            <w:pPr>
              <w:widowControl/>
              <w:autoSpaceDE/>
              <w:autoSpaceDN/>
              <w:adjustRightInd/>
              <w:jc w:val="center"/>
              <w:cnfStyle w:val="000000000000" w:firstRow="0" w:lastRow="0" w:firstColumn="0" w:lastColumn="0" w:oddVBand="0" w:evenVBand="0" w:oddHBand="0" w:evenHBand="0" w:firstRowFirstColumn="0" w:firstRowLastColumn="0" w:lastRowFirstColumn="0" w:lastRowLastColumn="0"/>
              <w:rPr>
                <w:color w:val="000000"/>
                <w:szCs w:val="20"/>
              </w:rPr>
            </w:pPr>
            <w:r>
              <w:rPr>
                <w:color w:val="000000"/>
                <w:szCs w:val="20"/>
              </w:rPr>
              <w:t>1.96</w:t>
            </w:r>
            <w:r w:rsidRPr="00F8021B" w:rsidR="009D4555">
              <w:rPr>
                <w:color w:val="000000"/>
                <w:szCs w:val="20"/>
              </w:rPr>
              <w:t>E+00</w:t>
            </w:r>
          </w:p>
        </w:tc>
        <w:tc>
          <w:tcPr>
            <w:tcW w:w="535" w:type="pct"/>
            <w:vAlign w:val="center"/>
            <w:hideMark/>
          </w:tcPr>
          <w:p w:rsidRPr="00F8021B" w:rsidR="009D4555" w:rsidP="009D4555" w:rsidRDefault="00174AE6" w14:paraId="31F66391" w14:textId="01ABF62B">
            <w:pPr>
              <w:widowControl/>
              <w:autoSpaceDE/>
              <w:autoSpaceDN/>
              <w:adjustRightInd/>
              <w:jc w:val="center"/>
              <w:cnfStyle w:val="000000000000" w:firstRow="0" w:lastRow="0" w:firstColumn="0" w:lastColumn="0" w:oddVBand="0" w:evenVBand="0" w:oddHBand="0" w:evenHBand="0" w:firstRowFirstColumn="0" w:firstRowLastColumn="0" w:lastRowFirstColumn="0" w:lastRowLastColumn="0"/>
              <w:rPr>
                <w:color w:val="000000"/>
                <w:szCs w:val="20"/>
              </w:rPr>
            </w:pPr>
            <w:r w:rsidRPr="00F8021B">
              <w:rPr>
                <w:color w:val="000000"/>
                <w:szCs w:val="20"/>
              </w:rPr>
              <w:t>lbs.</w:t>
            </w:r>
            <w:r w:rsidRPr="00F8021B" w:rsidR="009D4555">
              <w:rPr>
                <w:color w:val="000000"/>
                <w:szCs w:val="20"/>
              </w:rPr>
              <w:t>/ton</w:t>
            </w:r>
          </w:p>
        </w:tc>
        <w:tc>
          <w:tcPr>
            <w:tcW w:w="1582" w:type="pct"/>
            <w:hideMark/>
          </w:tcPr>
          <w:p w:rsidRPr="00F8021B" w:rsidR="009D4555" w:rsidP="0046047E" w:rsidRDefault="0009032D" w14:paraId="54568599" w14:textId="27D4B42F">
            <w:pPr>
              <w:widowControl/>
              <w:autoSpaceDE/>
              <w:autoSpaceDN/>
              <w:adjustRightInd/>
              <w:cnfStyle w:val="000000000000" w:firstRow="0" w:lastRow="0" w:firstColumn="0" w:lastColumn="0" w:oddVBand="0" w:evenVBand="0" w:oddHBand="0" w:evenHBand="0" w:firstRowFirstColumn="0" w:firstRowLastColumn="0" w:lastRowFirstColumn="0" w:lastRowLastColumn="0"/>
              <w:rPr>
                <w:color w:val="000000"/>
                <w:szCs w:val="20"/>
              </w:rPr>
            </w:pPr>
            <w:r>
              <w:rPr>
                <w:color w:val="000000"/>
                <w:szCs w:val="20"/>
              </w:rPr>
              <w:t xml:space="preserve">Reference </w:t>
            </w:r>
            <w:r>
              <w:rPr>
                <w:color w:val="000000"/>
                <w:szCs w:val="20"/>
              </w:rPr>
              <w:fldChar w:fldCharType="begin"/>
            </w:r>
            <w:r>
              <w:rPr>
                <w:color w:val="000000"/>
                <w:szCs w:val="20"/>
              </w:rPr>
              <w:instrText xml:space="preserve"> NOTEREF _Ref478482810 \h  \* MERGEFORMAT </w:instrText>
            </w:r>
            <w:r>
              <w:rPr>
                <w:color w:val="000000"/>
                <w:szCs w:val="20"/>
              </w:rPr>
            </w:r>
            <w:r>
              <w:rPr>
                <w:color w:val="000000"/>
                <w:szCs w:val="20"/>
              </w:rPr>
              <w:fldChar w:fldCharType="separate"/>
            </w:r>
            <w:r>
              <w:rPr>
                <w:color w:val="000000"/>
                <w:szCs w:val="20"/>
              </w:rPr>
              <w:t>8</w:t>
            </w:r>
            <w:r>
              <w:rPr>
                <w:color w:val="000000"/>
                <w:szCs w:val="20"/>
              </w:rPr>
              <w:fldChar w:fldCharType="end"/>
            </w:r>
            <w:r w:rsidRPr="00F8021B">
              <w:rPr>
                <w:color w:val="000000"/>
                <w:szCs w:val="20"/>
              </w:rPr>
              <w:t>, Table 3-6</w:t>
            </w:r>
          </w:p>
        </w:tc>
      </w:tr>
      <w:tr w:rsidRPr="00F8021B" w:rsidR="005F75F8" w:rsidTr="00030F9E" w14:paraId="64123D87" w14:textId="77777777">
        <w:trPr>
          <w:cnfStyle w:val="000000100000" w:firstRow="0" w:lastRow="0" w:firstColumn="0" w:lastColumn="0" w:oddVBand="0" w:evenVBand="0" w:oddHBand="1" w:evenHBand="0" w:firstRowFirstColumn="0" w:firstRowLastColumn="0" w:lastRowFirstColumn="0" w:lastRowLastColumn="0"/>
          <w:cantSplit/>
          <w:trHeight w:val="20"/>
        </w:trPr>
        <w:tc>
          <w:tcPr>
            <w:cnfStyle w:val="001000000000" w:firstRow="0" w:lastRow="0" w:firstColumn="1" w:lastColumn="0" w:oddVBand="0" w:evenVBand="0" w:oddHBand="0" w:evenHBand="0" w:firstRowFirstColumn="0" w:firstRowLastColumn="0" w:lastRowFirstColumn="0" w:lastRowLastColumn="0"/>
            <w:tcW w:w="988" w:type="pct"/>
            <w:vAlign w:val="center"/>
            <w:hideMark/>
          </w:tcPr>
          <w:p w:rsidRPr="00F8021B" w:rsidR="009D4555" w:rsidP="005F75F8" w:rsidRDefault="009D4555" w14:paraId="19FC5674" w14:textId="77777777">
            <w:pPr>
              <w:widowControl/>
              <w:autoSpaceDE/>
              <w:autoSpaceDN/>
              <w:adjustRightInd/>
              <w:rPr>
                <w:b w:val="0"/>
                <w:color w:val="000000"/>
                <w:szCs w:val="20"/>
              </w:rPr>
            </w:pPr>
            <w:r w:rsidRPr="00F8021B">
              <w:rPr>
                <w:b w:val="0"/>
                <w:color w:val="000000"/>
                <w:szCs w:val="20"/>
              </w:rPr>
              <w:t>Benzo[a]pyrene</w:t>
            </w:r>
          </w:p>
        </w:tc>
        <w:tc>
          <w:tcPr>
            <w:tcW w:w="450" w:type="pct"/>
            <w:vAlign w:val="center"/>
            <w:hideMark/>
          </w:tcPr>
          <w:p w:rsidRPr="009F14D2" w:rsidR="009D4555" w:rsidRDefault="009D4555" w14:paraId="008D5199" w14:textId="77777777">
            <w:pPr>
              <w:widowControl/>
              <w:autoSpaceDE/>
              <w:autoSpaceDN/>
              <w:adjustRightInd/>
              <w:jc w:val="center"/>
              <w:cnfStyle w:val="000000100000" w:firstRow="0" w:lastRow="0" w:firstColumn="0" w:lastColumn="0" w:oddVBand="0" w:evenVBand="0" w:oddHBand="1" w:evenHBand="0" w:firstRowFirstColumn="0" w:firstRowLastColumn="0" w:lastRowFirstColumn="0" w:lastRowLastColumn="0"/>
              <w:rPr>
                <w:color w:val="000000"/>
              </w:rPr>
            </w:pPr>
            <w:r w:rsidRPr="009F14D2">
              <w:rPr>
                <w:color w:val="000000"/>
              </w:rPr>
              <w:t>50328</w:t>
            </w:r>
          </w:p>
        </w:tc>
        <w:tc>
          <w:tcPr>
            <w:tcW w:w="455" w:type="pct"/>
            <w:vAlign w:val="center"/>
            <w:hideMark/>
          </w:tcPr>
          <w:p w:rsidRPr="009F14D2" w:rsidR="009D4555" w:rsidRDefault="006B3EF8" w14:paraId="48800990" w14:textId="093FFCE7">
            <w:pPr>
              <w:widowControl/>
              <w:autoSpaceDE/>
              <w:autoSpaceDN/>
              <w:adjustRightInd/>
              <w:jc w:val="center"/>
              <w:cnfStyle w:val="000000100000" w:firstRow="0" w:lastRow="0" w:firstColumn="0" w:lastColumn="0" w:oddVBand="0" w:evenVBand="0" w:oddHBand="1" w:evenHBand="0" w:firstRowFirstColumn="0" w:firstRowLastColumn="0" w:lastRowFirstColumn="0" w:lastRowLastColumn="0"/>
              <w:rPr>
                <w:color w:val="000000"/>
              </w:rPr>
            </w:pPr>
            <w:r>
              <w:rPr>
                <w:color w:val="000000"/>
              </w:rPr>
              <w:t>1.4</w:t>
            </w:r>
          </w:p>
        </w:tc>
        <w:tc>
          <w:tcPr>
            <w:tcW w:w="455" w:type="pct"/>
            <w:vAlign w:val="center"/>
            <w:hideMark/>
          </w:tcPr>
          <w:p w:rsidRPr="00F8021B" w:rsidR="009D4555" w:rsidP="009D4555" w:rsidRDefault="009D4555" w14:paraId="72FBAEE1" w14:textId="54EB963E">
            <w:pPr>
              <w:widowControl/>
              <w:autoSpaceDE/>
              <w:autoSpaceDN/>
              <w:adjustRightInd/>
              <w:jc w:val="center"/>
              <w:cnfStyle w:val="000000100000" w:firstRow="0" w:lastRow="0" w:firstColumn="0" w:lastColumn="0" w:oddVBand="0" w:evenVBand="0" w:oddHBand="1" w:evenHBand="0" w:firstRowFirstColumn="0" w:firstRowLastColumn="0" w:lastRowFirstColumn="0" w:lastRowLastColumn="0"/>
              <w:rPr>
                <w:color w:val="000000"/>
                <w:szCs w:val="20"/>
              </w:rPr>
            </w:pPr>
            <w:r w:rsidRPr="00F8021B">
              <w:rPr>
                <w:color w:val="000000"/>
                <w:szCs w:val="20"/>
              </w:rPr>
              <w:t>mg/kg</w:t>
            </w:r>
          </w:p>
        </w:tc>
        <w:tc>
          <w:tcPr>
            <w:tcW w:w="535" w:type="pct"/>
            <w:vAlign w:val="center"/>
            <w:hideMark/>
          </w:tcPr>
          <w:p w:rsidRPr="00F8021B" w:rsidR="009D4555" w:rsidP="009D4555" w:rsidRDefault="0009032D" w14:paraId="3C70E3AD" w14:textId="7E190258">
            <w:pPr>
              <w:widowControl/>
              <w:autoSpaceDE/>
              <w:autoSpaceDN/>
              <w:adjustRightInd/>
              <w:jc w:val="center"/>
              <w:cnfStyle w:val="000000100000" w:firstRow="0" w:lastRow="0" w:firstColumn="0" w:lastColumn="0" w:oddVBand="0" w:evenVBand="0" w:oddHBand="1" w:evenHBand="0" w:firstRowFirstColumn="0" w:firstRowLastColumn="0" w:lastRowFirstColumn="0" w:lastRowLastColumn="0"/>
              <w:rPr>
                <w:color w:val="000000"/>
                <w:szCs w:val="20"/>
              </w:rPr>
            </w:pPr>
            <w:r>
              <w:rPr>
                <w:color w:val="000000"/>
                <w:szCs w:val="20"/>
              </w:rPr>
              <w:t>2.79</w:t>
            </w:r>
            <w:r w:rsidRPr="00F8021B" w:rsidR="009D4555">
              <w:rPr>
                <w:color w:val="000000"/>
                <w:szCs w:val="20"/>
              </w:rPr>
              <w:t>E-03</w:t>
            </w:r>
          </w:p>
        </w:tc>
        <w:tc>
          <w:tcPr>
            <w:tcW w:w="535" w:type="pct"/>
            <w:vAlign w:val="center"/>
            <w:hideMark/>
          </w:tcPr>
          <w:p w:rsidRPr="00F8021B" w:rsidR="009D4555" w:rsidP="009D4555" w:rsidRDefault="00174AE6" w14:paraId="51DB39F1" w14:textId="28FF4FAA">
            <w:pPr>
              <w:widowControl/>
              <w:autoSpaceDE/>
              <w:autoSpaceDN/>
              <w:adjustRightInd/>
              <w:jc w:val="center"/>
              <w:cnfStyle w:val="000000100000" w:firstRow="0" w:lastRow="0" w:firstColumn="0" w:lastColumn="0" w:oddVBand="0" w:evenVBand="0" w:oddHBand="1" w:evenHBand="0" w:firstRowFirstColumn="0" w:firstRowLastColumn="0" w:lastRowFirstColumn="0" w:lastRowLastColumn="0"/>
              <w:rPr>
                <w:color w:val="000000"/>
                <w:szCs w:val="20"/>
              </w:rPr>
            </w:pPr>
            <w:r w:rsidRPr="00F8021B">
              <w:rPr>
                <w:color w:val="000000"/>
                <w:szCs w:val="20"/>
              </w:rPr>
              <w:t>lbs.</w:t>
            </w:r>
            <w:r w:rsidRPr="00F8021B" w:rsidR="009D4555">
              <w:rPr>
                <w:color w:val="000000"/>
                <w:szCs w:val="20"/>
              </w:rPr>
              <w:t>/ton</w:t>
            </w:r>
          </w:p>
        </w:tc>
        <w:tc>
          <w:tcPr>
            <w:tcW w:w="1582" w:type="pct"/>
            <w:hideMark/>
          </w:tcPr>
          <w:p w:rsidRPr="0009032D" w:rsidR="009D4555" w:rsidP="0046047E" w:rsidRDefault="0009032D" w14:paraId="624AA113" w14:textId="4ACB2337">
            <w:pPr>
              <w:widowControl/>
              <w:autoSpaceDE/>
              <w:autoSpaceDN/>
              <w:adjustRightInd/>
              <w:cnfStyle w:val="000000100000" w:firstRow="0" w:lastRow="0" w:firstColumn="0" w:lastColumn="0" w:oddVBand="0" w:evenVBand="0" w:oddHBand="1" w:evenHBand="0" w:firstRowFirstColumn="0" w:firstRowLastColumn="0" w:lastRowFirstColumn="0" w:lastRowLastColumn="0"/>
              <w:rPr>
                <w:color w:val="000000"/>
                <w:szCs w:val="20"/>
              </w:rPr>
            </w:pPr>
            <w:r>
              <w:rPr>
                <w:color w:val="000000"/>
                <w:szCs w:val="20"/>
              </w:rPr>
              <w:t xml:space="preserve">Reference </w:t>
            </w:r>
            <w:r>
              <w:rPr>
                <w:color w:val="000000"/>
                <w:szCs w:val="20"/>
              </w:rPr>
              <w:fldChar w:fldCharType="begin"/>
            </w:r>
            <w:r>
              <w:rPr>
                <w:color w:val="000000"/>
                <w:szCs w:val="20"/>
              </w:rPr>
              <w:instrText xml:space="preserve"> NOTEREF _Ref478482810 \h  \* MERGEFORMAT </w:instrText>
            </w:r>
            <w:r>
              <w:rPr>
                <w:color w:val="000000"/>
                <w:szCs w:val="20"/>
              </w:rPr>
            </w:r>
            <w:r>
              <w:rPr>
                <w:color w:val="000000"/>
                <w:szCs w:val="20"/>
              </w:rPr>
              <w:fldChar w:fldCharType="separate"/>
            </w:r>
            <w:r>
              <w:rPr>
                <w:color w:val="000000"/>
                <w:szCs w:val="20"/>
              </w:rPr>
              <w:t>8</w:t>
            </w:r>
            <w:r>
              <w:rPr>
                <w:color w:val="000000"/>
                <w:szCs w:val="20"/>
              </w:rPr>
              <w:fldChar w:fldCharType="end"/>
            </w:r>
            <w:r w:rsidRPr="00F8021B">
              <w:rPr>
                <w:color w:val="000000"/>
                <w:szCs w:val="20"/>
              </w:rPr>
              <w:t>, Table 3-6</w:t>
            </w:r>
          </w:p>
        </w:tc>
      </w:tr>
      <w:tr w:rsidRPr="00F8021B" w:rsidR="00004867" w:rsidTr="00030F9E" w14:paraId="7A7B00DE" w14:textId="77777777">
        <w:trPr>
          <w:cantSplit/>
          <w:trHeight w:val="20"/>
        </w:trPr>
        <w:tc>
          <w:tcPr>
            <w:cnfStyle w:val="001000000000" w:firstRow="0" w:lastRow="0" w:firstColumn="1" w:lastColumn="0" w:oddVBand="0" w:evenVBand="0" w:oddHBand="0" w:evenHBand="0" w:firstRowFirstColumn="0" w:firstRowLastColumn="0" w:lastRowFirstColumn="0" w:lastRowLastColumn="0"/>
            <w:tcW w:w="988" w:type="pct"/>
            <w:vAlign w:val="center"/>
          </w:tcPr>
          <w:p w:rsidRPr="00F8021B" w:rsidR="00004867" w:rsidP="005F75F8" w:rsidRDefault="00004867" w14:paraId="0B670FBE" w14:textId="5BDD3A5C">
            <w:pPr>
              <w:widowControl/>
              <w:autoSpaceDE/>
              <w:autoSpaceDN/>
              <w:adjustRightInd/>
              <w:rPr>
                <w:b w:val="0"/>
                <w:color w:val="000000"/>
                <w:szCs w:val="20"/>
              </w:rPr>
            </w:pPr>
            <w:r>
              <w:rPr>
                <w:b w:val="0"/>
                <w:color w:val="000000"/>
                <w:szCs w:val="20"/>
              </w:rPr>
              <w:t>1,3-Butadiene</w:t>
            </w:r>
          </w:p>
        </w:tc>
        <w:tc>
          <w:tcPr>
            <w:tcW w:w="450" w:type="pct"/>
            <w:vAlign w:val="center"/>
          </w:tcPr>
          <w:p w:rsidRPr="009F14D2" w:rsidR="00004867" w:rsidRDefault="00004867" w14:paraId="0BD39277" w14:textId="5114C30C">
            <w:pPr>
              <w:widowControl/>
              <w:autoSpaceDE/>
              <w:autoSpaceDN/>
              <w:adjustRightInd/>
              <w:jc w:val="center"/>
              <w:cnfStyle w:val="000000000000" w:firstRow="0" w:lastRow="0" w:firstColumn="0" w:lastColumn="0" w:oddVBand="0" w:evenVBand="0" w:oddHBand="0" w:evenHBand="0" w:firstRowFirstColumn="0" w:firstRowLastColumn="0" w:lastRowFirstColumn="0" w:lastRowLastColumn="0"/>
              <w:rPr>
                <w:color w:val="000000"/>
              </w:rPr>
            </w:pPr>
            <w:r>
              <w:rPr>
                <w:color w:val="000000"/>
              </w:rPr>
              <w:t>106990</w:t>
            </w:r>
          </w:p>
        </w:tc>
        <w:tc>
          <w:tcPr>
            <w:tcW w:w="455" w:type="pct"/>
            <w:vAlign w:val="center"/>
          </w:tcPr>
          <w:p w:rsidR="00004867" w:rsidRDefault="00004867" w14:paraId="4EA699AD" w14:textId="248B8538">
            <w:pPr>
              <w:widowControl/>
              <w:autoSpaceDE/>
              <w:autoSpaceDN/>
              <w:adjustRightInd/>
              <w:jc w:val="center"/>
              <w:cnfStyle w:val="000000000000" w:firstRow="0" w:lastRow="0" w:firstColumn="0" w:lastColumn="0" w:oddVBand="0" w:evenVBand="0" w:oddHBand="0" w:evenHBand="0" w:firstRowFirstColumn="0" w:firstRowLastColumn="0" w:lastRowFirstColumn="0" w:lastRowLastColumn="0"/>
              <w:rPr>
                <w:color w:val="000000"/>
              </w:rPr>
            </w:pPr>
            <w:r>
              <w:rPr>
                <w:color w:val="000000"/>
              </w:rPr>
              <w:t>141.25</w:t>
            </w:r>
          </w:p>
        </w:tc>
        <w:tc>
          <w:tcPr>
            <w:tcW w:w="455" w:type="pct"/>
            <w:vAlign w:val="center"/>
          </w:tcPr>
          <w:p w:rsidRPr="00F8021B" w:rsidR="00004867" w:rsidP="009D4555" w:rsidRDefault="00004867" w14:paraId="68624F65" w14:textId="37CC5AEC">
            <w:pPr>
              <w:widowControl/>
              <w:autoSpaceDE/>
              <w:autoSpaceDN/>
              <w:adjustRightInd/>
              <w:jc w:val="center"/>
              <w:cnfStyle w:val="000000000000" w:firstRow="0" w:lastRow="0" w:firstColumn="0" w:lastColumn="0" w:oddVBand="0" w:evenVBand="0" w:oddHBand="0" w:evenHBand="0" w:firstRowFirstColumn="0" w:firstRowLastColumn="0" w:lastRowFirstColumn="0" w:lastRowLastColumn="0"/>
              <w:rPr>
                <w:color w:val="000000"/>
                <w:szCs w:val="20"/>
              </w:rPr>
            </w:pPr>
            <w:r>
              <w:rPr>
                <w:color w:val="000000"/>
                <w:szCs w:val="20"/>
              </w:rPr>
              <w:t>mg/kg</w:t>
            </w:r>
          </w:p>
        </w:tc>
        <w:tc>
          <w:tcPr>
            <w:tcW w:w="535" w:type="pct"/>
            <w:vAlign w:val="center"/>
          </w:tcPr>
          <w:p w:rsidR="00004867" w:rsidP="009D4555" w:rsidRDefault="00004867" w14:paraId="1E8CD5D2" w14:textId="35C8DCB0">
            <w:pPr>
              <w:widowControl/>
              <w:autoSpaceDE/>
              <w:autoSpaceDN/>
              <w:adjustRightInd/>
              <w:jc w:val="center"/>
              <w:cnfStyle w:val="000000000000" w:firstRow="0" w:lastRow="0" w:firstColumn="0" w:lastColumn="0" w:oddVBand="0" w:evenVBand="0" w:oddHBand="0" w:evenHBand="0" w:firstRowFirstColumn="0" w:firstRowLastColumn="0" w:lastRowFirstColumn="0" w:lastRowLastColumn="0"/>
              <w:rPr>
                <w:color w:val="000000"/>
                <w:szCs w:val="20"/>
              </w:rPr>
            </w:pPr>
            <w:r>
              <w:rPr>
                <w:color w:val="000000"/>
                <w:szCs w:val="20"/>
              </w:rPr>
              <w:t>2.82E-01</w:t>
            </w:r>
          </w:p>
        </w:tc>
        <w:tc>
          <w:tcPr>
            <w:tcW w:w="535" w:type="pct"/>
            <w:vAlign w:val="center"/>
          </w:tcPr>
          <w:p w:rsidRPr="00F8021B" w:rsidR="00004867" w:rsidP="009D4555" w:rsidRDefault="00004867" w14:paraId="1BF3A3FF" w14:textId="6739E720">
            <w:pPr>
              <w:widowControl/>
              <w:autoSpaceDE/>
              <w:autoSpaceDN/>
              <w:adjustRightInd/>
              <w:jc w:val="center"/>
              <w:cnfStyle w:val="000000000000" w:firstRow="0" w:lastRow="0" w:firstColumn="0" w:lastColumn="0" w:oddVBand="0" w:evenVBand="0" w:oddHBand="0" w:evenHBand="0" w:firstRowFirstColumn="0" w:firstRowLastColumn="0" w:lastRowFirstColumn="0" w:lastRowLastColumn="0"/>
              <w:rPr>
                <w:color w:val="000000"/>
                <w:szCs w:val="20"/>
              </w:rPr>
            </w:pPr>
            <w:r>
              <w:rPr>
                <w:color w:val="000000"/>
                <w:szCs w:val="20"/>
              </w:rPr>
              <w:t>lbs./ton</w:t>
            </w:r>
          </w:p>
        </w:tc>
        <w:tc>
          <w:tcPr>
            <w:tcW w:w="1582" w:type="pct"/>
          </w:tcPr>
          <w:p w:rsidR="00004867" w:rsidP="0046047E" w:rsidRDefault="00004867" w14:paraId="6CE724C8" w14:textId="3364AC43">
            <w:pPr>
              <w:widowControl/>
              <w:autoSpaceDE/>
              <w:autoSpaceDN/>
              <w:adjustRightInd/>
              <w:cnfStyle w:val="000000000000" w:firstRow="0" w:lastRow="0" w:firstColumn="0" w:lastColumn="0" w:oddVBand="0" w:evenVBand="0" w:oddHBand="0" w:evenHBand="0" w:firstRowFirstColumn="0" w:firstRowLastColumn="0" w:lastRowFirstColumn="0" w:lastRowLastColumn="0"/>
              <w:rPr>
                <w:color w:val="000000"/>
                <w:szCs w:val="20"/>
              </w:rPr>
            </w:pPr>
            <w:r>
              <w:rPr>
                <w:color w:val="000000"/>
                <w:szCs w:val="20"/>
              </w:rPr>
              <w:t xml:space="preserve">Reference </w:t>
            </w:r>
            <w:r>
              <w:rPr>
                <w:color w:val="000000"/>
                <w:szCs w:val="20"/>
              </w:rPr>
              <w:fldChar w:fldCharType="begin"/>
            </w:r>
            <w:r>
              <w:rPr>
                <w:color w:val="000000"/>
                <w:szCs w:val="20"/>
              </w:rPr>
              <w:instrText xml:space="preserve"> NOTEREF _Ref478482810 \h  \* MERGEFORMAT </w:instrText>
            </w:r>
            <w:r>
              <w:rPr>
                <w:color w:val="000000"/>
                <w:szCs w:val="20"/>
              </w:rPr>
            </w:r>
            <w:r>
              <w:rPr>
                <w:color w:val="000000"/>
                <w:szCs w:val="20"/>
              </w:rPr>
              <w:fldChar w:fldCharType="separate"/>
            </w:r>
            <w:r>
              <w:rPr>
                <w:color w:val="000000"/>
                <w:szCs w:val="20"/>
              </w:rPr>
              <w:t>8</w:t>
            </w:r>
            <w:r>
              <w:rPr>
                <w:color w:val="000000"/>
                <w:szCs w:val="20"/>
              </w:rPr>
              <w:fldChar w:fldCharType="end"/>
            </w:r>
            <w:r w:rsidRPr="00F8021B">
              <w:rPr>
                <w:color w:val="000000"/>
                <w:szCs w:val="20"/>
              </w:rPr>
              <w:t>, Table 3-6</w:t>
            </w:r>
          </w:p>
        </w:tc>
      </w:tr>
      <w:tr w:rsidRPr="00F8021B" w:rsidR="005F75F8" w:rsidTr="00030F9E" w14:paraId="539645B7" w14:textId="77777777">
        <w:trPr>
          <w:cnfStyle w:val="000000100000" w:firstRow="0" w:lastRow="0" w:firstColumn="0" w:lastColumn="0" w:oddVBand="0" w:evenVBand="0" w:oddHBand="1" w:evenHBand="0" w:firstRowFirstColumn="0" w:firstRowLastColumn="0" w:lastRowFirstColumn="0" w:lastRowLastColumn="0"/>
          <w:cantSplit/>
          <w:trHeight w:val="20"/>
        </w:trPr>
        <w:tc>
          <w:tcPr>
            <w:cnfStyle w:val="001000000000" w:firstRow="0" w:lastRow="0" w:firstColumn="1" w:lastColumn="0" w:oddVBand="0" w:evenVBand="0" w:oddHBand="0" w:evenHBand="0" w:firstRowFirstColumn="0" w:firstRowLastColumn="0" w:lastRowFirstColumn="0" w:lastRowLastColumn="0"/>
            <w:tcW w:w="988" w:type="pct"/>
            <w:vAlign w:val="center"/>
            <w:hideMark/>
          </w:tcPr>
          <w:p w:rsidRPr="00F8021B" w:rsidR="009D4555" w:rsidP="005F75F8" w:rsidRDefault="009D4555" w14:paraId="2ACF45E7" w14:textId="77777777">
            <w:pPr>
              <w:widowControl/>
              <w:autoSpaceDE/>
              <w:autoSpaceDN/>
              <w:adjustRightInd/>
              <w:rPr>
                <w:b w:val="0"/>
                <w:color w:val="000000"/>
                <w:szCs w:val="20"/>
              </w:rPr>
            </w:pPr>
            <w:r w:rsidRPr="00F8021B">
              <w:rPr>
                <w:b w:val="0"/>
                <w:color w:val="000000"/>
                <w:szCs w:val="20"/>
              </w:rPr>
              <w:t>Benzo[b]fluoranthene</w:t>
            </w:r>
          </w:p>
        </w:tc>
        <w:tc>
          <w:tcPr>
            <w:tcW w:w="450" w:type="pct"/>
            <w:vAlign w:val="center"/>
            <w:hideMark/>
          </w:tcPr>
          <w:p w:rsidRPr="009F14D2" w:rsidR="009D4555" w:rsidRDefault="009D4555" w14:paraId="6CB96AEF" w14:textId="77777777">
            <w:pPr>
              <w:widowControl/>
              <w:autoSpaceDE/>
              <w:autoSpaceDN/>
              <w:adjustRightInd/>
              <w:jc w:val="center"/>
              <w:cnfStyle w:val="000000100000" w:firstRow="0" w:lastRow="0" w:firstColumn="0" w:lastColumn="0" w:oddVBand="0" w:evenVBand="0" w:oddHBand="1" w:evenHBand="0" w:firstRowFirstColumn="0" w:firstRowLastColumn="0" w:lastRowFirstColumn="0" w:lastRowLastColumn="0"/>
              <w:rPr>
                <w:color w:val="000000"/>
              </w:rPr>
            </w:pPr>
            <w:r w:rsidRPr="009F14D2">
              <w:rPr>
                <w:color w:val="000000"/>
              </w:rPr>
              <w:t>205992</w:t>
            </w:r>
          </w:p>
        </w:tc>
        <w:tc>
          <w:tcPr>
            <w:tcW w:w="455" w:type="pct"/>
            <w:vAlign w:val="center"/>
            <w:hideMark/>
          </w:tcPr>
          <w:p w:rsidRPr="009F14D2" w:rsidR="009D4555" w:rsidRDefault="006B3EF8" w14:paraId="20483F9F" w14:textId="036D9675">
            <w:pPr>
              <w:widowControl/>
              <w:autoSpaceDE/>
              <w:autoSpaceDN/>
              <w:adjustRightInd/>
              <w:jc w:val="center"/>
              <w:cnfStyle w:val="000000100000" w:firstRow="0" w:lastRow="0" w:firstColumn="0" w:lastColumn="0" w:oddVBand="0" w:evenVBand="0" w:oddHBand="1" w:evenHBand="0" w:firstRowFirstColumn="0" w:firstRowLastColumn="0" w:lastRowFirstColumn="0" w:lastRowLastColumn="0"/>
              <w:rPr>
                <w:color w:val="000000"/>
              </w:rPr>
            </w:pPr>
            <w:r>
              <w:rPr>
                <w:color w:val="000000"/>
              </w:rPr>
              <w:t>1.86</w:t>
            </w:r>
          </w:p>
        </w:tc>
        <w:tc>
          <w:tcPr>
            <w:tcW w:w="455" w:type="pct"/>
            <w:vAlign w:val="center"/>
            <w:hideMark/>
          </w:tcPr>
          <w:p w:rsidRPr="00F8021B" w:rsidR="009D4555" w:rsidP="009D4555" w:rsidRDefault="009D4555" w14:paraId="0EBD86B7" w14:textId="6CEF9BEB">
            <w:pPr>
              <w:widowControl/>
              <w:autoSpaceDE/>
              <w:autoSpaceDN/>
              <w:adjustRightInd/>
              <w:jc w:val="center"/>
              <w:cnfStyle w:val="000000100000" w:firstRow="0" w:lastRow="0" w:firstColumn="0" w:lastColumn="0" w:oddVBand="0" w:evenVBand="0" w:oddHBand="1" w:evenHBand="0" w:firstRowFirstColumn="0" w:firstRowLastColumn="0" w:lastRowFirstColumn="0" w:lastRowLastColumn="0"/>
              <w:rPr>
                <w:color w:val="000000"/>
                <w:szCs w:val="20"/>
              </w:rPr>
            </w:pPr>
            <w:r w:rsidRPr="00F8021B">
              <w:rPr>
                <w:color w:val="000000"/>
                <w:szCs w:val="20"/>
              </w:rPr>
              <w:t>mg/kg</w:t>
            </w:r>
          </w:p>
        </w:tc>
        <w:tc>
          <w:tcPr>
            <w:tcW w:w="535" w:type="pct"/>
            <w:vAlign w:val="center"/>
            <w:hideMark/>
          </w:tcPr>
          <w:p w:rsidRPr="00F8021B" w:rsidR="009D4555" w:rsidP="009D4555" w:rsidRDefault="0009032D" w14:paraId="17E5C6B1" w14:textId="61674D8A">
            <w:pPr>
              <w:widowControl/>
              <w:autoSpaceDE/>
              <w:autoSpaceDN/>
              <w:adjustRightInd/>
              <w:jc w:val="center"/>
              <w:cnfStyle w:val="000000100000" w:firstRow="0" w:lastRow="0" w:firstColumn="0" w:lastColumn="0" w:oddVBand="0" w:evenVBand="0" w:oddHBand="1" w:evenHBand="0" w:firstRowFirstColumn="0" w:firstRowLastColumn="0" w:lastRowFirstColumn="0" w:lastRowLastColumn="0"/>
              <w:rPr>
                <w:color w:val="000000"/>
                <w:szCs w:val="20"/>
              </w:rPr>
            </w:pPr>
            <w:r>
              <w:rPr>
                <w:color w:val="000000"/>
                <w:szCs w:val="20"/>
              </w:rPr>
              <w:t>3.71</w:t>
            </w:r>
            <w:r w:rsidRPr="00F8021B" w:rsidR="009D4555">
              <w:rPr>
                <w:color w:val="000000"/>
                <w:szCs w:val="20"/>
              </w:rPr>
              <w:t>E-03</w:t>
            </w:r>
          </w:p>
        </w:tc>
        <w:tc>
          <w:tcPr>
            <w:tcW w:w="535" w:type="pct"/>
            <w:vAlign w:val="center"/>
            <w:hideMark/>
          </w:tcPr>
          <w:p w:rsidRPr="00F8021B" w:rsidR="009D4555" w:rsidP="009D4555" w:rsidRDefault="00174AE6" w14:paraId="65042E38" w14:textId="7252EEF3">
            <w:pPr>
              <w:widowControl/>
              <w:autoSpaceDE/>
              <w:autoSpaceDN/>
              <w:adjustRightInd/>
              <w:jc w:val="center"/>
              <w:cnfStyle w:val="000000100000" w:firstRow="0" w:lastRow="0" w:firstColumn="0" w:lastColumn="0" w:oddVBand="0" w:evenVBand="0" w:oddHBand="1" w:evenHBand="0" w:firstRowFirstColumn="0" w:firstRowLastColumn="0" w:lastRowFirstColumn="0" w:lastRowLastColumn="0"/>
              <w:rPr>
                <w:color w:val="000000"/>
                <w:szCs w:val="20"/>
              </w:rPr>
            </w:pPr>
            <w:r w:rsidRPr="00F8021B">
              <w:rPr>
                <w:color w:val="000000"/>
                <w:szCs w:val="20"/>
              </w:rPr>
              <w:t>lbs.</w:t>
            </w:r>
            <w:r w:rsidRPr="00F8021B" w:rsidR="009D4555">
              <w:rPr>
                <w:color w:val="000000"/>
                <w:szCs w:val="20"/>
              </w:rPr>
              <w:t>/ton</w:t>
            </w:r>
          </w:p>
        </w:tc>
        <w:tc>
          <w:tcPr>
            <w:tcW w:w="1582" w:type="pct"/>
            <w:hideMark/>
          </w:tcPr>
          <w:p w:rsidRPr="00F8021B" w:rsidR="009D4555" w:rsidP="0046047E" w:rsidRDefault="0009032D" w14:paraId="6C6E03D7" w14:textId="22EB5049">
            <w:pPr>
              <w:widowControl/>
              <w:autoSpaceDE/>
              <w:autoSpaceDN/>
              <w:adjustRightInd/>
              <w:cnfStyle w:val="000000100000" w:firstRow="0" w:lastRow="0" w:firstColumn="0" w:lastColumn="0" w:oddVBand="0" w:evenVBand="0" w:oddHBand="1" w:evenHBand="0" w:firstRowFirstColumn="0" w:firstRowLastColumn="0" w:lastRowFirstColumn="0" w:lastRowLastColumn="0"/>
              <w:rPr>
                <w:color w:val="000000"/>
                <w:szCs w:val="20"/>
              </w:rPr>
            </w:pPr>
            <w:r>
              <w:rPr>
                <w:color w:val="000000"/>
                <w:szCs w:val="20"/>
              </w:rPr>
              <w:t xml:space="preserve">Reference </w:t>
            </w:r>
            <w:r>
              <w:rPr>
                <w:color w:val="000000"/>
                <w:szCs w:val="20"/>
              </w:rPr>
              <w:fldChar w:fldCharType="begin"/>
            </w:r>
            <w:r>
              <w:rPr>
                <w:color w:val="000000"/>
                <w:szCs w:val="20"/>
              </w:rPr>
              <w:instrText xml:space="preserve"> NOTEREF _Ref478482810 \h  \* MERGEFORMAT </w:instrText>
            </w:r>
            <w:r>
              <w:rPr>
                <w:color w:val="000000"/>
                <w:szCs w:val="20"/>
              </w:rPr>
            </w:r>
            <w:r>
              <w:rPr>
                <w:color w:val="000000"/>
                <w:szCs w:val="20"/>
              </w:rPr>
              <w:fldChar w:fldCharType="separate"/>
            </w:r>
            <w:r>
              <w:rPr>
                <w:color w:val="000000"/>
                <w:szCs w:val="20"/>
              </w:rPr>
              <w:t>8</w:t>
            </w:r>
            <w:r>
              <w:rPr>
                <w:color w:val="000000"/>
                <w:szCs w:val="20"/>
              </w:rPr>
              <w:fldChar w:fldCharType="end"/>
            </w:r>
            <w:r w:rsidRPr="00F8021B">
              <w:rPr>
                <w:color w:val="000000"/>
                <w:szCs w:val="20"/>
              </w:rPr>
              <w:t>, Table 3-6</w:t>
            </w:r>
          </w:p>
        </w:tc>
      </w:tr>
      <w:tr w:rsidRPr="00F8021B" w:rsidR="005F75F8" w:rsidTr="00030F9E" w14:paraId="07182208" w14:textId="77777777">
        <w:trPr>
          <w:cantSplit/>
          <w:trHeight w:val="20"/>
        </w:trPr>
        <w:tc>
          <w:tcPr>
            <w:cnfStyle w:val="001000000000" w:firstRow="0" w:lastRow="0" w:firstColumn="1" w:lastColumn="0" w:oddVBand="0" w:evenVBand="0" w:oddHBand="0" w:evenHBand="0" w:firstRowFirstColumn="0" w:firstRowLastColumn="0" w:lastRowFirstColumn="0" w:lastRowLastColumn="0"/>
            <w:tcW w:w="988" w:type="pct"/>
            <w:vAlign w:val="center"/>
            <w:hideMark/>
          </w:tcPr>
          <w:p w:rsidRPr="00F8021B" w:rsidR="009D4555" w:rsidP="005F75F8" w:rsidRDefault="009D4555" w14:paraId="46FD6C00" w14:textId="77777777">
            <w:pPr>
              <w:widowControl/>
              <w:autoSpaceDE/>
              <w:autoSpaceDN/>
              <w:adjustRightInd/>
              <w:rPr>
                <w:b w:val="0"/>
                <w:color w:val="000000"/>
                <w:szCs w:val="20"/>
              </w:rPr>
            </w:pPr>
            <w:r w:rsidRPr="00F8021B">
              <w:rPr>
                <w:b w:val="0"/>
                <w:color w:val="000000"/>
                <w:szCs w:val="20"/>
              </w:rPr>
              <w:t>Benzo[g,h,i,]Perylene</w:t>
            </w:r>
          </w:p>
        </w:tc>
        <w:tc>
          <w:tcPr>
            <w:tcW w:w="450" w:type="pct"/>
            <w:vAlign w:val="center"/>
            <w:hideMark/>
          </w:tcPr>
          <w:p w:rsidRPr="009F14D2" w:rsidR="009D4555" w:rsidRDefault="009D4555" w14:paraId="032512C5" w14:textId="77777777">
            <w:pPr>
              <w:widowControl/>
              <w:autoSpaceDE/>
              <w:autoSpaceDN/>
              <w:adjustRightInd/>
              <w:jc w:val="center"/>
              <w:cnfStyle w:val="000000000000" w:firstRow="0" w:lastRow="0" w:firstColumn="0" w:lastColumn="0" w:oddVBand="0" w:evenVBand="0" w:oddHBand="0" w:evenHBand="0" w:firstRowFirstColumn="0" w:firstRowLastColumn="0" w:lastRowFirstColumn="0" w:lastRowLastColumn="0"/>
              <w:rPr>
                <w:color w:val="000000"/>
              </w:rPr>
            </w:pPr>
            <w:r w:rsidRPr="009F14D2">
              <w:rPr>
                <w:color w:val="000000"/>
              </w:rPr>
              <w:t>191242</w:t>
            </w:r>
          </w:p>
        </w:tc>
        <w:tc>
          <w:tcPr>
            <w:tcW w:w="455" w:type="pct"/>
            <w:vAlign w:val="center"/>
            <w:hideMark/>
          </w:tcPr>
          <w:p w:rsidRPr="009F14D2" w:rsidR="009D4555" w:rsidRDefault="006B3EF8" w14:paraId="404DD014" w14:textId="73BBAF3C">
            <w:pPr>
              <w:widowControl/>
              <w:autoSpaceDE/>
              <w:autoSpaceDN/>
              <w:adjustRightInd/>
              <w:jc w:val="center"/>
              <w:cnfStyle w:val="000000000000" w:firstRow="0" w:lastRow="0" w:firstColumn="0" w:lastColumn="0" w:oddVBand="0" w:evenVBand="0" w:oddHBand="0" w:evenHBand="0" w:firstRowFirstColumn="0" w:firstRowLastColumn="0" w:lastRowFirstColumn="0" w:lastRowLastColumn="0"/>
              <w:rPr>
                <w:color w:val="000000"/>
              </w:rPr>
            </w:pPr>
            <w:r>
              <w:rPr>
                <w:color w:val="000000"/>
              </w:rPr>
              <w:t>1.3</w:t>
            </w:r>
          </w:p>
        </w:tc>
        <w:tc>
          <w:tcPr>
            <w:tcW w:w="455" w:type="pct"/>
            <w:vAlign w:val="center"/>
            <w:hideMark/>
          </w:tcPr>
          <w:p w:rsidRPr="00F8021B" w:rsidR="009D4555" w:rsidP="009D4555" w:rsidRDefault="009D4555" w14:paraId="0434782C" w14:textId="3F3D6694">
            <w:pPr>
              <w:widowControl/>
              <w:autoSpaceDE/>
              <w:autoSpaceDN/>
              <w:adjustRightInd/>
              <w:jc w:val="center"/>
              <w:cnfStyle w:val="000000000000" w:firstRow="0" w:lastRow="0" w:firstColumn="0" w:lastColumn="0" w:oddVBand="0" w:evenVBand="0" w:oddHBand="0" w:evenHBand="0" w:firstRowFirstColumn="0" w:firstRowLastColumn="0" w:lastRowFirstColumn="0" w:lastRowLastColumn="0"/>
              <w:rPr>
                <w:color w:val="000000"/>
                <w:szCs w:val="20"/>
              </w:rPr>
            </w:pPr>
            <w:r w:rsidRPr="00F8021B">
              <w:rPr>
                <w:color w:val="000000"/>
                <w:szCs w:val="20"/>
              </w:rPr>
              <w:t>mg/kg</w:t>
            </w:r>
          </w:p>
        </w:tc>
        <w:tc>
          <w:tcPr>
            <w:tcW w:w="535" w:type="pct"/>
            <w:vAlign w:val="center"/>
            <w:hideMark/>
          </w:tcPr>
          <w:p w:rsidRPr="00F8021B" w:rsidR="009D4555" w:rsidP="009D4555" w:rsidRDefault="0009032D" w14:paraId="6BF2DF7D" w14:textId="4ABE8472">
            <w:pPr>
              <w:widowControl/>
              <w:autoSpaceDE/>
              <w:autoSpaceDN/>
              <w:adjustRightInd/>
              <w:jc w:val="center"/>
              <w:cnfStyle w:val="000000000000" w:firstRow="0" w:lastRow="0" w:firstColumn="0" w:lastColumn="0" w:oddVBand="0" w:evenVBand="0" w:oddHBand="0" w:evenHBand="0" w:firstRowFirstColumn="0" w:firstRowLastColumn="0" w:lastRowFirstColumn="0" w:lastRowLastColumn="0"/>
              <w:rPr>
                <w:color w:val="000000"/>
                <w:szCs w:val="20"/>
              </w:rPr>
            </w:pPr>
            <w:r>
              <w:rPr>
                <w:color w:val="000000"/>
                <w:szCs w:val="20"/>
              </w:rPr>
              <w:t>2.59</w:t>
            </w:r>
            <w:r w:rsidRPr="00F8021B" w:rsidR="009D4555">
              <w:rPr>
                <w:color w:val="000000"/>
                <w:szCs w:val="20"/>
              </w:rPr>
              <w:t>E-03</w:t>
            </w:r>
          </w:p>
        </w:tc>
        <w:tc>
          <w:tcPr>
            <w:tcW w:w="535" w:type="pct"/>
            <w:vAlign w:val="center"/>
            <w:hideMark/>
          </w:tcPr>
          <w:p w:rsidRPr="00F8021B" w:rsidR="009D4555" w:rsidP="009D4555" w:rsidRDefault="00174AE6" w14:paraId="5F749E64" w14:textId="0232A254">
            <w:pPr>
              <w:widowControl/>
              <w:autoSpaceDE/>
              <w:autoSpaceDN/>
              <w:adjustRightInd/>
              <w:jc w:val="center"/>
              <w:cnfStyle w:val="000000000000" w:firstRow="0" w:lastRow="0" w:firstColumn="0" w:lastColumn="0" w:oddVBand="0" w:evenVBand="0" w:oddHBand="0" w:evenHBand="0" w:firstRowFirstColumn="0" w:firstRowLastColumn="0" w:lastRowFirstColumn="0" w:lastRowLastColumn="0"/>
              <w:rPr>
                <w:color w:val="000000"/>
                <w:szCs w:val="20"/>
              </w:rPr>
            </w:pPr>
            <w:r w:rsidRPr="00F8021B">
              <w:rPr>
                <w:color w:val="000000"/>
                <w:szCs w:val="20"/>
              </w:rPr>
              <w:t>lbs.</w:t>
            </w:r>
            <w:r w:rsidRPr="00F8021B" w:rsidR="009D4555">
              <w:rPr>
                <w:color w:val="000000"/>
                <w:szCs w:val="20"/>
              </w:rPr>
              <w:t>/ton</w:t>
            </w:r>
          </w:p>
        </w:tc>
        <w:tc>
          <w:tcPr>
            <w:tcW w:w="1582" w:type="pct"/>
            <w:hideMark/>
          </w:tcPr>
          <w:p w:rsidRPr="00F8021B" w:rsidR="009D4555" w:rsidP="0046047E" w:rsidRDefault="0009032D" w14:paraId="17ED5665" w14:textId="3946489D">
            <w:pPr>
              <w:widowControl/>
              <w:autoSpaceDE/>
              <w:autoSpaceDN/>
              <w:adjustRightInd/>
              <w:cnfStyle w:val="000000000000" w:firstRow="0" w:lastRow="0" w:firstColumn="0" w:lastColumn="0" w:oddVBand="0" w:evenVBand="0" w:oddHBand="0" w:evenHBand="0" w:firstRowFirstColumn="0" w:firstRowLastColumn="0" w:lastRowFirstColumn="0" w:lastRowLastColumn="0"/>
              <w:rPr>
                <w:color w:val="000000"/>
                <w:szCs w:val="20"/>
              </w:rPr>
            </w:pPr>
            <w:r>
              <w:rPr>
                <w:color w:val="000000"/>
                <w:szCs w:val="20"/>
              </w:rPr>
              <w:t xml:space="preserve">Reference </w:t>
            </w:r>
            <w:r>
              <w:rPr>
                <w:color w:val="000000"/>
                <w:szCs w:val="20"/>
              </w:rPr>
              <w:fldChar w:fldCharType="begin"/>
            </w:r>
            <w:r>
              <w:rPr>
                <w:color w:val="000000"/>
                <w:szCs w:val="20"/>
              </w:rPr>
              <w:instrText xml:space="preserve"> NOTEREF _Ref478482810 \h  \* MERGEFORMAT </w:instrText>
            </w:r>
            <w:r>
              <w:rPr>
                <w:color w:val="000000"/>
                <w:szCs w:val="20"/>
              </w:rPr>
            </w:r>
            <w:r>
              <w:rPr>
                <w:color w:val="000000"/>
                <w:szCs w:val="20"/>
              </w:rPr>
              <w:fldChar w:fldCharType="separate"/>
            </w:r>
            <w:r>
              <w:rPr>
                <w:color w:val="000000"/>
                <w:szCs w:val="20"/>
              </w:rPr>
              <w:t>8</w:t>
            </w:r>
            <w:r>
              <w:rPr>
                <w:color w:val="000000"/>
                <w:szCs w:val="20"/>
              </w:rPr>
              <w:fldChar w:fldCharType="end"/>
            </w:r>
            <w:r w:rsidRPr="00F8021B">
              <w:rPr>
                <w:color w:val="000000"/>
                <w:szCs w:val="20"/>
              </w:rPr>
              <w:t>, Table 3-6</w:t>
            </w:r>
          </w:p>
        </w:tc>
      </w:tr>
      <w:tr w:rsidRPr="00F8021B" w:rsidR="005F75F8" w:rsidTr="00030F9E" w14:paraId="0848CC12" w14:textId="77777777">
        <w:trPr>
          <w:cnfStyle w:val="000000100000" w:firstRow="0" w:lastRow="0" w:firstColumn="0" w:lastColumn="0" w:oddVBand="0" w:evenVBand="0" w:oddHBand="1" w:evenHBand="0" w:firstRowFirstColumn="0" w:firstRowLastColumn="0" w:lastRowFirstColumn="0" w:lastRowLastColumn="0"/>
          <w:cantSplit/>
          <w:trHeight w:val="20"/>
        </w:trPr>
        <w:tc>
          <w:tcPr>
            <w:cnfStyle w:val="001000000000" w:firstRow="0" w:lastRow="0" w:firstColumn="1" w:lastColumn="0" w:oddVBand="0" w:evenVBand="0" w:oddHBand="0" w:evenHBand="0" w:firstRowFirstColumn="0" w:firstRowLastColumn="0" w:lastRowFirstColumn="0" w:lastRowLastColumn="0"/>
            <w:tcW w:w="988" w:type="pct"/>
            <w:vAlign w:val="center"/>
            <w:hideMark/>
          </w:tcPr>
          <w:p w:rsidRPr="00F8021B" w:rsidR="009D4555" w:rsidP="005F75F8" w:rsidRDefault="009D4555" w14:paraId="43DE4F5E" w14:textId="77777777">
            <w:pPr>
              <w:widowControl/>
              <w:autoSpaceDE/>
              <w:autoSpaceDN/>
              <w:adjustRightInd/>
              <w:rPr>
                <w:b w:val="0"/>
                <w:color w:val="000000"/>
                <w:szCs w:val="20"/>
              </w:rPr>
            </w:pPr>
            <w:r w:rsidRPr="00F8021B">
              <w:rPr>
                <w:b w:val="0"/>
                <w:color w:val="000000"/>
                <w:szCs w:val="20"/>
              </w:rPr>
              <w:t>Benzo[k]fluoranthene</w:t>
            </w:r>
          </w:p>
        </w:tc>
        <w:tc>
          <w:tcPr>
            <w:tcW w:w="450" w:type="pct"/>
            <w:vAlign w:val="center"/>
            <w:hideMark/>
          </w:tcPr>
          <w:p w:rsidRPr="009F14D2" w:rsidR="009D4555" w:rsidRDefault="009D4555" w14:paraId="4297A769" w14:textId="77777777">
            <w:pPr>
              <w:widowControl/>
              <w:autoSpaceDE/>
              <w:autoSpaceDN/>
              <w:adjustRightInd/>
              <w:jc w:val="center"/>
              <w:cnfStyle w:val="000000100000" w:firstRow="0" w:lastRow="0" w:firstColumn="0" w:lastColumn="0" w:oddVBand="0" w:evenVBand="0" w:oddHBand="1" w:evenHBand="0" w:firstRowFirstColumn="0" w:firstRowLastColumn="0" w:lastRowFirstColumn="0" w:lastRowLastColumn="0"/>
              <w:rPr>
                <w:color w:val="000000"/>
              </w:rPr>
            </w:pPr>
            <w:r w:rsidRPr="009F14D2">
              <w:rPr>
                <w:color w:val="000000"/>
              </w:rPr>
              <w:t>207089</w:t>
            </w:r>
          </w:p>
        </w:tc>
        <w:tc>
          <w:tcPr>
            <w:tcW w:w="455" w:type="pct"/>
            <w:vAlign w:val="center"/>
            <w:hideMark/>
          </w:tcPr>
          <w:p w:rsidRPr="009F14D2" w:rsidR="009D4555" w:rsidRDefault="006B3EF8" w14:paraId="4EFE2DF4" w14:textId="321763BC">
            <w:pPr>
              <w:widowControl/>
              <w:autoSpaceDE/>
              <w:autoSpaceDN/>
              <w:adjustRightInd/>
              <w:jc w:val="center"/>
              <w:cnfStyle w:val="000000100000" w:firstRow="0" w:lastRow="0" w:firstColumn="0" w:lastColumn="0" w:oddVBand="0" w:evenVBand="0" w:oddHBand="1" w:evenHBand="0" w:firstRowFirstColumn="0" w:firstRowLastColumn="0" w:lastRowFirstColumn="0" w:lastRowLastColumn="0"/>
              <w:rPr>
                <w:color w:val="000000"/>
              </w:rPr>
            </w:pPr>
            <w:r>
              <w:rPr>
                <w:color w:val="000000"/>
              </w:rPr>
              <w:t>0.67</w:t>
            </w:r>
          </w:p>
        </w:tc>
        <w:tc>
          <w:tcPr>
            <w:tcW w:w="455" w:type="pct"/>
            <w:vAlign w:val="center"/>
            <w:hideMark/>
          </w:tcPr>
          <w:p w:rsidRPr="00F8021B" w:rsidR="009D4555" w:rsidP="009D4555" w:rsidRDefault="009D4555" w14:paraId="0835B612" w14:textId="31951E4C">
            <w:pPr>
              <w:widowControl/>
              <w:autoSpaceDE/>
              <w:autoSpaceDN/>
              <w:adjustRightInd/>
              <w:jc w:val="center"/>
              <w:cnfStyle w:val="000000100000" w:firstRow="0" w:lastRow="0" w:firstColumn="0" w:lastColumn="0" w:oddVBand="0" w:evenVBand="0" w:oddHBand="1" w:evenHBand="0" w:firstRowFirstColumn="0" w:firstRowLastColumn="0" w:lastRowFirstColumn="0" w:lastRowLastColumn="0"/>
              <w:rPr>
                <w:color w:val="000000"/>
                <w:szCs w:val="20"/>
              </w:rPr>
            </w:pPr>
            <w:r w:rsidRPr="00F8021B">
              <w:rPr>
                <w:color w:val="000000"/>
                <w:szCs w:val="20"/>
              </w:rPr>
              <w:t>mg/kg</w:t>
            </w:r>
          </w:p>
        </w:tc>
        <w:tc>
          <w:tcPr>
            <w:tcW w:w="535" w:type="pct"/>
            <w:vAlign w:val="center"/>
            <w:hideMark/>
          </w:tcPr>
          <w:p w:rsidRPr="00F8021B" w:rsidR="009D4555" w:rsidP="009D4555" w:rsidRDefault="0009032D" w14:paraId="0F968E82" w14:textId="7088D038">
            <w:pPr>
              <w:widowControl/>
              <w:autoSpaceDE/>
              <w:autoSpaceDN/>
              <w:adjustRightInd/>
              <w:jc w:val="center"/>
              <w:cnfStyle w:val="000000100000" w:firstRow="0" w:lastRow="0" w:firstColumn="0" w:lastColumn="0" w:oddVBand="0" w:evenVBand="0" w:oddHBand="1" w:evenHBand="0" w:firstRowFirstColumn="0" w:firstRowLastColumn="0" w:lastRowFirstColumn="0" w:lastRowLastColumn="0"/>
              <w:rPr>
                <w:color w:val="000000"/>
                <w:szCs w:val="20"/>
              </w:rPr>
            </w:pPr>
            <w:r>
              <w:rPr>
                <w:color w:val="000000"/>
                <w:szCs w:val="20"/>
              </w:rPr>
              <w:t>1.34</w:t>
            </w:r>
            <w:r w:rsidRPr="00F8021B" w:rsidR="009D4555">
              <w:rPr>
                <w:color w:val="000000"/>
                <w:szCs w:val="20"/>
              </w:rPr>
              <w:t>E-03</w:t>
            </w:r>
          </w:p>
        </w:tc>
        <w:tc>
          <w:tcPr>
            <w:tcW w:w="535" w:type="pct"/>
            <w:vAlign w:val="center"/>
            <w:hideMark/>
          </w:tcPr>
          <w:p w:rsidRPr="00F8021B" w:rsidR="009D4555" w:rsidP="009D4555" w:rsidRDefault="00174AE6" w14:paraId="1DE5CD06" w14:textId="59A31C10">
            <w:pPr>
              <w:widowControl/>
              <w:autoSpaceDE/>
              <w:autoSpaceDN/>
              <w:adjustRightInd/>
              <w:jc w:val="center"/>
              <w:cnfStyle w:val="000000100000" w:firstRow="0" w:lastRow="0" w:firstColumn="0" w:lastColumn="0" w:oddVBand="0" w:evenVBand="0" w:oddHBand="1" w:evenHBand="0" w:firstRowFirstColumn="0" w:firstRowLastColumn="0" w:lastRowFirstColumn="0" w:lastRowLastColumn="0"/>
              <w:rPr>
                <w:color w:val="000000"/>
                <w:szCs w:val="20"/>
              </w:rPr>
            </w:pPr>
            <w:r w:rsidRPr="00F8021B">
              <w:rPr>
                <w:color w:val="000000"/>
                <w:szCs w:val="20"/>
              </w:rPr>
              <w:t>lbs.</w:t>
            </w:r>
            <w:r w:rsidRPr="00F8021B" w:rsidR="009D4555">
              <w:rPr>
                <w:color w:val="000000"/>
                <w:szCs w:val="20"/>
              </w:rPr>
              <w:t>/ton</w:t>
            </w:r>
          </w:p>
        </w:tc>
        <w:tc>
          <w:tcPr>
            <w:tcW w:w="1582" w:type="pct"/>
            <w:hideMark/>
          </w:tcPr>
          <w:p w:rsidRPr="00F8021B" w:rsidR="009D4555" w:rsidP="009D4555" w:rsidRDefault="0009032D" w14:paraId="13F710B6" w14:textId="279E5FF1">
            <w:pPr>
              <w:widowControl/>
              <w:autoSpaceDE/>
              <w:autoSpaceDN/>
              <w:adjustRightInd/>
              <w:cnfStyle w:val="000000100000" w:firstRow="0" w:lastRow="0" w:firstColumn="0" w:lastColumn="0" w:oddVBand="0" w:evenVBand="0" w:oddHBand="1" w:evenHBand="0" w:firstRowFirstColumn="0" w:firstRowLastColumn="0" w:lastRowFirstColumn="0" w:lastRowLastColumn="0"/>
              <w:rPr>
                <w:color w:val="000000"/>
                <w:szCs w:val="20"/>
              </w:rPr>
            </w:pPr>
            <w:r>
              <w:rPr>
                <w:color w:val="000000"/>
                <w:szCs w:val="20"/>
              </w:rPr>
              <w:t xml:space="preserve">Reference </w:t>
            </w:r>
            <w:r>
              <w:rPr>
                <w:color w:val="000000"/>
                <w:szCs w:val="20"/>
              </w:rPr>
              <w:fldChar w:fldCharType="begin"/>
            </w:r>
            <w:r>
              <w:rPr>
                <w:color w:val="000000"/>
                <w:szCs w:val="20"/>
              </w:rPr>
              <w:instrText xml:space="preserve"> NOTEREF _Ref478482810 \h  \* MERGEFORMAT </w:instrText>
            </w:r>
            <w:r>
              <w:rPr>
                <w:color w:val="000000"/>
                <w:szCs w:val="20"/>
              </w:rPr>
            </w:r>
            <w:r>
              <w:rPr>
                <w:color w:val="000000"/>
                <w:szCs w:val="20"/>
              </w:rPr>
              <w:fldChar w:fldCharType="separate"/>
            </w:r>
            <w:r>
              <w:rPr>
                <w:color w:val="000000"/>
                <w:szCs w:val="20"/>
              </w:rPr>
              <w:t>8</w:t>
            </w:r>
            <w:r>
              <w:rPr>
                <w:color w:val="000000"/>
                <w:szCs w:val="20"/>
              </w:rPr>
              <w:fldChar w:fldCharType="end"/>
            </w:r>
            <w:r w:rsidRPr="00F8021B">
              <w:rPr>
                <w:color w:val="000000"/>
                <w:szCs w:val="20"/>
              </w:rPr>
              <w:t>, Table 3-6</w:t>
            </w:r>
          </w:p>
        </w:tc>
      </w:tr>
      <w:tr w:rsidRPr="00F8021B" w:rsidR="005F75F8" w:rsidTr="00030F9E" w14:paraId="2FBB6C59" w14:textId="77777777">
        <w:trPr>
          <w:cantSplit/>
          <w:trHeight w:val="20"/>
        </w:trPr>
        <w:tc>
          <w:tcPr>
            <w:cnfStyle w:val="001000000000" w:firstRow="0" w:lastRow="0" w:firstColumn="1" w:lastColumn="0" w:oddVBand="0" w:evenVBand="0" w:oddHBand="0" w:evenHBand="0" w:firstRowFirstColumn="0" w:firstRowLastColumn="0" w:lastRowFirstColumn="0" w:lastRowLastColumn="0"/>
            <w:tcW w:w="988" w:type="pct"/>
            <w:vAlign w:val="center"/>
            <w:hideMark/>
          </w:tcPr>
          <w:p w:rsidRPr="00F8021B" w:rsidR="009D4555" w:rsidP="005F75F8" w:rsidRDefault="009D4555" w14:paraId="6BC9799F" w14:textId="1C7515C0">
            <w:pPr>
              <w:widowControl/>
              <w:autoSpaceDE/>
              <w:autoSpaceDN/>
              <w:adjustRightInd/>
              <w:rPr>
                <w:b w:val="0"/>
                <w:color w:val="000000"/>
                <w:szCs w:val="20"/>
              </w:rPr>
            </w:pPr>
            <w:r w:rsidRPr="00F8021B">
              <w:rPr>
                <w:b w:val="0"/>
                <w:color w:val="000000"/>
                <w:szCs w:val="20"/>
              </w:rPr>
              <w:t>Bis</w:t>
            </w:r>
            <w:r w:rsidR="00BF761D">
              <w:rPr>
                <w:b w:val="0"/>
                <w:color w:val="000000"/>
                <w:szCs w:val="20"/>
              </w:rPr>
              <w:t xml:space="preserve"> </w:t>
            </w:r>
            <w:r w:rsidRPr="00F8021B">
              <w:rPr>
                <w:b w:val="0"/>
                <w:color w:val="000000"/>
                <w:szCs w:val="20"/>
              </w:rPr>
              <w:t>(2-Ethylhexyl)</w:t>
            </w:r>
            <w:r w:rsidR="00BF761D">
              <w:rPr>
                <w:b w:val="0"/>
                <w:color w:val="000000"/>
                <w:szCs w:val="20"/>
              </w:rPr>
              <w:t xml:space="preserve"> </w:t>
            </w:r>
            <w:r w:rsidRPr="00F8021B">
              <w:rPr>
                <w:b w:val="0"/>
                <w:color w:val="000000"/>
                <w:szCs w:val="20"/>
              </w:rPr>
              <w:t>Phthalate</w:t>
            </w:r>
          </w:p>
        </w:tc>
        <w:tc>
          <w:tcPr>
            <w:tcW w:w="450" w:type="pct"/>
            <w:vAlign w:val="center"/>
            <w:hideMark/>
          </w:tcPr>
          <w:p w:rsidRPr="009F14D2" w:rsidR="009D4555" w:rsidRDefault="009D4555" w14:paraId="2B4BB39C" w14:textId="77777777">
            <w:pPr>
              <w:widowControl/>
              <w:autoSpaceDE/>
              <w:autoSpaceDN/>
              <w:adjustRightInd/>
              <w:jc w:val="center"/>
              <w:cnfStyle w:val="000000000000" w:firstRow="0" w:lastRow="0" w:firstColumn="0" w:lastColumn="0" w:oddVBand="0" w:evenVBand="0" w:oddHBand="0" w:evenHBand="0" w:firstRowFirstColumn="0" w:firstRowLastColumn="0" w:lastRowFirstColumn="0" w:lastRowLastColumn="0"/>
              <w:rPr>
                <w:color w:val="000000"/>
              </w:rPr>
            </w:pPr>
            <w:r w:rsidRPr="009F14D2">
              <w:rPr>
                <w:color w:val="000000"/>
              </w:rPr>
              <w:t>117817</w:t>
            </w:r>
          </w:p>
        </w:tc>
        <w:tc>
          <w:tcPr>
            <w:tcW w:w="455" w:type="pct"/>
            <w:vAlign w:val="center"/>
            <w:hideMark/>
          </w:tcPr>
          <w:p w:rsidRPr="009F14D2" w:rsidR="009D4555" w:rsidRDefault="009D4555" w14:paraId="12364243" w14:textId="77777777">
            <w:pPr>
              <w:widowControl/>
              <w:autoSpaceDE/>
              <w:autoSpaceDN/>
              <w:adjustRightInd/>
              <w:jc w:val="center"/>
              <w:cnfStyle w:val="000000000000" w:firstRow="0" w:lastRow="0" w:firstColumn="0" w:lastColumn="0" w:oddVBand="0" w:evenVBand="0" w:oddHBand="0" w:evenHBand="0" w:firstRowFirstColumn="0" w:firstRowLastColumn="0" w:lastRowFirstColumn="0" w:lastRowLastColumn="0"/>
              <w:rPr>
                <w:color w:val="000000"/>
              </w:rPr>
            </w:pPr>
            <w:r w:rsidRPr="009F14D2">
              <w:rPr>
                <w:color w:val="000000"/>
              </w:rPr>
              <w:t>23.79</w:t>
            </w:r>
          </w:p>
        </w:tc>
        <w:tc>
          <w:tcPr>
            <w:tcW w:w="455" w:type="pct"/>
            <w:vAlign w:val="center"/>
            <w:hideMark/>
          </w:tcPr>
          <w:p w:rsidRPr="00F8021B" w:rsidR="009D4555" w:rsidP="009D4555" w:rsidRDefault="009D4555" w14:paraId="4698CEF8" w14:textId="40B81DFB">
            <w:pPr>
              <w:widowControl/>
              <w:autoSpaceDE/>
              <w:autoSpaceDN/>
              <w:adjustRightInd/>
              <w:jc w:val="center"/>
              <w:cnfStyle w:val="000000000000" w:firstRow="0" w:lastRow="0" w:firstColumn="0" w:lastColumn="0" w:oddVBand="0" w:evenVBand="0" w:oddHBand="0" w:evenHBand="0" w:firstRowFirstColumn="0" w:firstRowLastColumn="0" w:lastRowFirstColumn="0" w:lastRowLastColumn="0"/>
              <w:rPr>
                <w:color w:val="000000"/>
                <w:szCs w:val="20"/>
              </w:rPr>
            </w:pPr>
            <w:r w:rsidRPr="00F8021B">
              <w:rPr>
                <w:color w:val="000000"/>
                <w:szCs w:val="20"/>
              </w:rPr>
              <w:t>mg/kg</w:t>
            </w:r>
          </w:p>
        </w:tc>
        <w:tc>
          <w:tcPr>
            <w:tcW w:w="535" w:type="pct"/>
            <w:vAlign w:val="center"/>
            <w:hideMark/>
          </w:tcPr>
          <w:p w:rsidRPr="00F8021B" w:rsidR="009D4555" w:rsidP="009D4555" w:rsidRDefault="0009032D" w14:paraId="6F48D6A2" w14:textId="26172204">
            <w:pPr>
              <w:widowControl/>
              <w:autoSpaceDE/>
              <w:autoSpaceDN/>
              <w:adjustRightInd/>
              <w:jc w:val="center"/>
              <w:cnfStyle w:val="000000000000" w:firstRow="0" w:lastRow="0" w:firstColumn="0" w:lastColumn="0" w:oddVBand="0" w:evenVBand="0" w:oddHBand="0" w:evenHBand="0" w:firstRowFirstColumn="0" w:firstRowLastColumn="0" w:lastRowFirstColumn="0" w:lastRowLastColumn="0"/>
              <w:rPr>
                <w:color w:val="000000"/>
                <w:szCs w:val="20"/>
              </w:rPr>
            </w:pPr>
            <w:r>
              <w:rPr>
                <w:color w:val="000000"/>
                <w:szCs w:val="20"/>
              </w:rPr>
              <w:t>4.75</w:t>
            </w:r>
            <w:r w:rsidRPr="00F8021B" w:rsidR="009D4555">
              <w:rPr>
                <w:color w:val="000000"/>
                <w:szCs w:val="20"/>
              </w:rPr>
              <w:t>E-02</w:t>
            </w:r>
          </w:p>
        </w:tc>
        <w:tc>
          <w:tcPr>
            <w:tcW w:w="535" w:type="pct"/>
            <w:vAlign w:val="center"/>
            <w:hideMark/>
          </w:tcPr>
          <w:p w:rsidRPr="00F8021B" w:rsidR="009D4555" w:rsidP="009D4555" w:rsidRDefault="00174AE6" w14:paraId="585EFD2F" w14:textId="0057FB06">
            <w:pPr>
              <w:widowControl/>
              <w:autoSpaceDE/>
              <w:autoSpaceDN/>
              <w:adjustRightInd/>
              <w:jc w:val="center"/>
              <w:cnfStyle w:val="000000000000" w:firstRow="0" w:lastRow="0" w:firstColumn="0" w:lastColumn="0" w:oddVBand="0" w:evenVBand="0" w:oddHBand="0" w:evenHBand="0" w:firstRowFirstColumn="0" w:firstRowLastColumn="0" w:lastRowFirstColumn="0" w:lastRowLastColumn="0"/>
              <w:rPr>
                <w:color w:val="000000"/>
                <w:szCs w:val="20"/>
              </w:rPr>
            </w:pPr>
            <w:r w:rsidRPr="00F8021B">
              <w:rPr>
                <w:color w:val="000000"/>
                <w:szCs w:val="20"/>
              </w:rPr>
              <w:t>lbs.</w:t>
            </w:r>
            <w:r w:rsidRPr="00F8021B" w:rsidR="009D4555">
              <w:rPr>
                <w:color w:val="000000"/>
                <w:szCs w:val="20"/>
              </w:rPr>
              <w:t>/ton</w:t>
            </w:r>
          </w:p>
        </w:tc>
        <w:tc>
          <w:tcPr>
            <w:tcW w:w="1582" w:type="pct"/>
            <w:hideMark/>
          </w:tcPr>
          <w:p w:rsidRPr="00F8021B" w:rsidR="009D4555" w:rsidP="009D4555" w:rsidRDefault="00AF4787" w14:paraId="4F23E956" w14:textId="2A67F412">
            <w:pPr>
              <w:widowControl/>
              <w:autoSpaceDE/>
              <w:autoSpaceDN/>
              <w:adjustRightInd/>
              <w:cnfStyle w:val="000000000000" w:firstRow="0" w:lastRow="0" w:firstColumn="0" w:lastColumn="0" w:oddVBand="0" w:evenVBand="0" w:oddHBand="0" w:evenHBand="0" w:firstRowFirstColumn="0" w:firstRowLastColumn="0" w:lastRowFirstColumn="0" w:lastRowLastColumn="0"/>
              <w:rPr>
                <w:color w:val="000000"/>
                <w:szCs w:val="20"/>
              </w:rPr>
            </w:pPr>
            <w:r>
              <w:rPr>
                <w:color w:val="000000"/>
                <w:szCs w:val="20"/>
              </w:rPr>
              <w:t xml:space="preserve">Reference </w:t>
            </w:r>
            <w:r>
              <w:rPr>
                <w:color w:val="000000"/>
                <w:szCs w:val="20"/>
              </w:rPr>
              <w:fldChar w:fldCharType="begin"/>
            </w:r>
            <w:r>
              <w:rPr>
                <w:color w:val="000000"/>
                <w:szCs w:val="20"/>
              </w:rPr>
              <w:instrText xml:space="preserve"> NOTEREF _Ref478482810 \h </w:instrText>
            </w:r>
            <w:r w:rsidR="005F75F8">
              <w:rPr>
                <w:color w:val="000000"/>
                <w:szCs w:val="20"/>
              </w:rPr>
              <w:instrText xml:space="preserve"> \* MERGEFORMAT </w:instrText>
            </w:r>
            <w:r>
              <w:rPr>
                <w:color w:val="000000"/>
                <w:szCs w:val="20"/>
              </w:rPr>
            </w:r>
            <w:r>
              <w:rPr>
                <w:color w:val="000000"/>
                <w:szCs w:val="20"/>
              </w:rPr>
              <w:fldChar w:fldCharType="separate"/>
            </w:r>
            <w:r w:rsidR="00117BBF">
              <w:rPr>
                <w:color w:val="000000"/>
                <w:szCs w:val="20"/>
              </w:rPr>
              <w:t>8</w:t>
            </w:r>
            <w:r>
              <w:rPr>
                <w:color w:val="000000"/>
                <w:szCs w:val="20"/>
              </w:rPr>
              <w:fldChar w:fldCharType="end"/>
            </w:r>
            <w:r w:rsidRPr="00F8021B" w:rsidR="009D4555">
              <w:rPr>
                <w:color w:val="000000"/>
                <w:szCs w:val="20"/>
              </w:rPr>
              <w:t>, Table 3-6</w:t>
            </w:r>
          </w:p>
        </w:tc>
      </w:tr>
      <w:tr w:rsidRPr="00F8021B" w:rsidR="00872C69" w:rsidTr="00030F9E" w14:paraId="242685F8" w14:textId="77777777">
        <w:trPr>
          <w:cnfStyle w:val="000000100000" w:firstRow="0" w:lastRow="0" w:firstColumn="0" w:lastColumn="0" w:oddVBand="0" w:evenVBand="0" w:oddHBand="1" w:evenHBand="0" w:firstRowFirstColumn="0" w:firstRowLastColumn="0" w:lastRowFirstColumn="0" w:lastRowLastColumn="0"/>
          <w:cantSplit/>
          <w:trHeight w:val="20"/>
        </w:trPr>
        <w:tc>
          <w:tcPr>
            <w:cnfStyle w:val="001000000000" w:firstRow="0" w:lastRow="0" w:firstColumn="1" w:lastColumn="0" w:oddVBand="0" w:evenVBand="0" w:oddHBand="0" w:evenHBand="0" w:firstRowFirstColumn="0" w:firstRowLastColumn="0" w:lastRowFirstColumn="0" w:lastRowLastColumn="0"/>
            <w:tcW w:w="988" w:type="pct"/>
            <w:vAlign w:val="center"/>
            <w:hideMark/>
          </w:tcPr>
          <w:p w:rsidRPr="00F8021B" w:rsidR="00872C69" w:rsidP="005F75F8" w:rsidRDefault="00872C69" w14:paraId="63211E0F" w14:textId="77777777">
            <w:pPr>
              <w:widowControl/>
              <w:autoSpaceDE/>
              <w:autoSpaceDN/>
              <w:adjustRightInd/>
              <w:rPr>
                <w:b w:val="0"/>
                <w:color w:val="000000"/>
                <w:szCs w:val="20"/>
              </w:rPr>
            </w:pPr>
            <w:r w:rsidRPr="00F8021B">
              <w:rPr>
                <w:b w:val="0"/>
                <w:color w:val="000000"/>
                <w:szCs w:val="20"/>
              </w:rPr>
              <w:t>Chloromethane</w:t>
            </w:r>
          </w:p>
        </w:tc>
        <w:tc>
          <w:tcPr>
            <w:tcW w:w="450" w:type="pct"/>
            <w:vAlign w:val="center"/>
            <w:hideMark/>
          </w:tcPr>
          <w:p w:rsidRPr="009F14D2" w:rsidR="00872C69" w:rsidRDefault="00872C69" w14:paraId="088B164C" w14:textId="77777777">
            <w:pPr>
              <w:widowControl/>
              <w:autoSpaceDE/>
              <w:autoSpaceDN/>
              <w:adjustRightInd/>
              <w:jc w:val="center"/>
              <w:cnfStyle w:val="000000100000" w:firstRow="0" w:lastRow="0" w:firstColumn="0" w:lastColumn="0" w:oddVBand="0" w:evenVBand="0" w:oddHBand="1" w:evenHBand="0" w:firstRowFirstColumn="0" w:firstRowLastColumn="0" w:lastRowFirstColumn="0" w:lastRowLastColumn="0"/>
              <w:rPr>
                <w:color w:val="000000"/>
              </w:rPr>
            </w:pPr>
            <w:r w:rsidRPr="009F14D2">
              <w:rPr>
                <w:color w:val="000000"/>
              </w:rPr>
              <w:t>74873</w:t>
            </w:r>
          </w:p>
        </w:tc>
        <w:tc>
          <w:tcPr>
            <w:tcW w:w="455" w:type="pct"/>
            <w:shd w:val="clear" w:color="auto" w:fill="auto"/>
            <w:vAlign w:val="center"/>
            <w:hideMark/>
          </w:tcPr>
          <w:p w:rsidRPr="009F14D2" w:rsidR="00872C69" w:rsidRDefault="006B3EF8" w14:paraId="5AE303DA" w14:textId="04B2F782">
            <w:pPr>
              <w:widowControl/>
              <w:autoSpaceDE/>
              <w:autoSpaceDN/>
              <w:adjustRightInd/>
              <w:jc w:val="center"/>
              <w:cnfStyle w:val="000000100000" w:firstRow="0" w:lastRow="0" w:firstColumn="0" w:lastColumn="0" w:oddVBand="0" w:evenVBand="0" w:oddHBand="1" w:evenHBand="0" w:firstRowFirstColumn="0" w:firstRowLastColumn="0" w:lastRowFirstColumn="0" w:lastRowLastColumn="0"/>
              <w:rPr>
                <w:color w:val="000000"/>
              </w:rPr>
            </w:pPr>
            <w:r>
              <w:rPr>
                <w:color w:val="000000"/>
              </w:rPr>
              <w:t>163.25</w:t>
            </w:r>
          </w:p>
        </w:tc>
        <w:tc>
          <w:tcPr>
            <w:tcW w:w="455" w:type="pct"/>
            <w:shd w:val="clear" w:color="auto" w:fill="auto"/>
            <w:vAlign w:val="center"/>
            <w:hideMark/>
          </w:tcPr>
          <w:p w:rsidRPr="00F8021B" w:rsidR="00872C69" w:rsidP="009D4555" w:rsidRDefault="00872C69" w14:paraId="52179C68" w14:textId="4E3B9390">
            <w:pPr>
              <w:widowControl/>
              <w:autoSpaceDE/>
              <w:autoSpaceDN/>
              <w:adjustRightInd/>
              <w:jc w:val="center"/>
              <w:cnfStyle w:val="000000100000" w:firstRow="0" w:lastRow="0" w:firstColumn="0" w:lastColumn="0" w:oddVBand="0" w:evenVBand="0" w:oddHBand="1" w:evenHBand="0" w:firstRowFirstColumn="0" w:firstRowLastColumn="0" w:lastRowFirstColumn="0" w:lastRowLastColumn="0"/>
              <w:rPr>
                <w:color w:val="000000"/>
                <w:szCs w:val="20"/>
              </w:rPr>
            </w:pPr>
            <w:r w:rsidRPr="00F8021B">
              <w:rPr>
                <w:color w:val="000000"/>
                <w:szCs w:val="20"/>
              </w:rPr>
              <w:t>mg/kg</w:t>
            </w:r>
          </w:p>
        </w:tc>
        <w:tc>
          <w:tcPr>
            <w:tcW w:w="535" w:type="pct"/>
            <w:vAlign w:val="center"/>
            <w:hideMark/>
          </w:tcPr>
          <w:p w:rsidRPr="00F8021B" w:rsidR="00872C69" w:rsidP="0009032D" w:rsidRDefault="00872C69" w14:paraId="6ED8364B" w14:textId="46EEAC97">
            <w:pPr>
              <w:widowControl/>
              <w:autoSpaceDE/>
              <w:autoSpaceDN/>
              <w:adjustRightInd/>
              <w:jc w:val="center"/>
              <w:cnfStyle w:val="000000100000" w:firstRow="0" w:lastRow="0" w:firstColumn="0" w:lastColumn="0" w:oddVBand="0" w:evenVBand="0" w:oddHBand="1" w:evenHBand="0" w:firstRowFirstColumn="0" w:firstRowLastColumn="0" w:lastRowFirstColumn="0" w:lastRowLastColumn="0"/>
              <w:rPr>
                <w:color w:val="000000"/>
                <w:szCs w:val="20"/>
              </w:rPr>
            </w:pPr>
            <w:r w:rsidRPr="00F8021B">
              <w:rPr>
                <w:color w:val="000000"/>
                <w:szCs w:val="20"/>
              </w:rPr>
              <w:t>3.</w:t>
            </w:r>
            <w:r w:rsidR="0009032D">
              <w:rPr>
                <w:color w:val="000000"/>
                <w:szCs w:val="20"/>
              </w:rPr>
              <w:t>26</w:t>
            </w:r>
            <w:r w:rsidRPr="00F8021B">
              <w:rPr>
                <w:color w:val="000000"/>
                <w:szCs w:val="20"/>
              </w:rPr>
              <w:t>E-01</w:t>
            </w:r>
          </w:p>
        </w:tc>
        <w:tc>
          <w:tcPr>
            <w:tcW w:w="535" w:type="pct"/>
            <w:vAlign w:val="center"/>
            <w:hideMark/>
          </w:tcPr>
          <w:p w:rsidRPr="00F8021B" w:rsidR="00872C69" w:rsidP="009D4555" w:rsidRDefault="00872C69" w14:paraId="77A7C664" w14:textId="1B56D1B3">
            <w:pPr>
              <w:widowControl/>
              <w:autoSpaceDE/>
              <w:autoSpaceDN/>
              <w:adjustRightInd/>
              <w:jc w:val="center"/>
              <w:cnfStyle w:val="000000100000" w:firstRow="0" w:lastRow="0" w:firstColumn="0" w:lastColumn="0" w:oddVBand="0" w:evenVBand="0" w:oddHBand="1" w:evenHBand="0" w:firstRowFirstColumn="0" w:firstRowLastColumn="0" w:lastRowFirstColumn="0" w:lastRowLastColumn="0"/>
              <w:rPr>
                <w:color w:val="000000"/>
                <w:szCs w:val="20"/>
              </w:rPr>
            </w:pPr>
            <w:r w:rsidRPr="00F8021B">
              <w:rPr>
                <w:color w:val="000000"/>
                <w:szCs w:val="20"/>
              </w:rPr>
              <w:t>lbs./ton</w:t>
            </w:r>
          </w:p>
        </w:tc>
        <w:tc>
          <w:tcPr>
            <w:tcW w:w="1582" w:type="pct"/>
            <w:hideMark/>
          </w:tcPr>
          <w:p w:rsidRPr="00F8021B" w:rsidR="00872C69" w:rsidP="00AF4787" w:rsidRDefault="006B3EF8" w14:paraId="7A72E0C9" w14:textId="2CE334CD">
            <w:pPr>
              <w:widowControl/>
              <w:autoSpaceDE/>
              <w:autoSpaceDN/>
              <w:adjustRightInd/>
              <w:cnfStyle w:val="000000100000" w:firstRow="0" w:lastRow="0" w:firstColumn="0" w:lastColumn="0" w:oddVBand="0" w:evenVBand="0" w:oddHBand="1" w:evenHBand="0" w:firstRowFirstColumn="0" w:firstRowLastColumn="0" w:lastRowFirstColumn="0" w:lastRowLastColumn="0"/>
              <w:rPr>
                <w:color w:val="000000"/>
                <w:szCs w:val="20"/>
              </w:rPr>
            </w:pPr>
            <w:r>
              <w:rPr>
                <w:color w:val="000000"/>
                <w:szCs w:val="20"/>
              </w:rPr>
              <w:t xml:space="preserve">Reference </w:t>
            </w:r>
            <w:r>
              <w:rPr>
                <w:color w:val="000000"/>
                <w:szCs w:val="20"/>
              </w:rPr>
              <w:fldChar w:fldCharType="begin"/>
            </w:r>
            <w:r>
              <w:rPr>
                <w:color w:val="000000"/>
                <w:szCs w:val="20"/>
              </w:rPr>
              <w:instrText xml:space="preserve"> NOTEREF _Ref478482810 \h  \* MERGEFORMAT </w:instrText>
            </w:r>
            <w:r>
              <w:rPr>
                <w:color w:val="000000"/>
                <w:szCs w:val="20"/>
              </w:rPr>
            </w:r>
            <w:r>
              <w:rPr>
                <w:color w:val="000000"/>
                <w:szCs w:val="20"/>
              </w:rPr>
              <w:fldChar w:fldCharType="separate"/>
            </w:r>
            <w:r>
              <w:rPr>
                <w:color w:val="000000"/>
                <w:szCs w:val="20"/>
              </w:rPr>
              <w:t>8</w:t>
            </w:r>
            <w:r>
              <w:rPr>
                <w:color w:val="000000"/>
                <w:szCs w:val="20"/>
              </w:rPr>
              <w:fldChar w:fldCharType="end"/>
            </w:r>
            <w:r w:rsidRPr="00F8021B">
              <w:rPr>
                <w:color w:val="000000"/>
                <w:szCs w:val="20"/>
              </w:rPr>
              <w:t>, Table 3-6</w:t>
            </w:r>
          </w:p>
        </w:tc>
      </w:tr>
      <w:tr w:rsidRPr="00F8021B" w:rsidR="00872C69" w:rsidTr="00030F9E" w14:paraId="29C32D5F" w14:textId="77777777">
        <w:trPr>
          <w:cantSplit/>
          <w:trHeight w:val="20"/>
        </w:trPr>
        <w:tc>
          <w:tcPr>
            <w:cnfStyle w:val="001000000000" w:firstRow="0" w:lastRow="0" w:firstColumn="1" w:lastColumn="0" w:oddVBand="0" w:evenVBand="0" w:oddHBand="0" w:evenHBand="0" w:firstRowFirstColumn="0" w:firstRowLastColumn="0" w:lastRowFirstColumn="0" w:lastRowLastColumn="0"/>
            <w:tcW w:w="988" w:type="pct"/>
            <w:vAlign w:val="center"/>
            <w:hideMark/>
          </w:tcPr>
          <w:p w:rsidRPr="00F8021B" w:rsidR="00872C69" w:rsidP="005F75F8" w:rsidRDefault="00872C69" w14:paraId="74EE33D0" w14:textId="77777777">
            <w:pPr>
              <w:widowControl/>
              <w:autoSpaceDE/>
              <w:autoSpaceDN/>
              <w:adjustRightInd/>
              <w:rPr>
                <w:b w:val="0"/>
                <w:color w:val="000000"/>
                <w:szCs w:val="20"/>
              </w:rPr>
            </w:pPr>
            <w:r w:rsidRPr="00F8021B">
              <w:rPr>
                <w:b w:val="0"/>
                <w:color w:val="000000"/>
                <w:szCs w:val="20"/>
              </w:rPr>
              <w:t>Chrysene</w:t>
            </w:r>
          </w:p>
        </w:tc>
        <w:tc>
          <w:tcPr>
            <w:tcW w:w="450" w:type="pct"/>
            <w:vAlign w:val="center"/>
            <w:hideMark/>
          </w:tcPr>
          <w:p w:rsidRPr="009F14D2" w:rsidR="00872C69" w:rsidRDefault="00872C69" w14:paraId="71469FA8" w14:textId="77777777">
            <w:pPr>
              <w:widowControl/>
              <w:autoSpaceDE/>
              <w:autoSpaceDN/>
              <w:adjustRightInd/>
              <w:jc w:val="center"/>
              <w:cnfStyle w:val="000000000000" w:firstRow="0" w:lastRow="0" w:firstColumn="0" w:lastColumn="0" w:oddVBand="0" w:evenVBand="0" w:oddHBand="0" w:evenHBand="0" w:firstRowFirstColumn="0" w:firstRowLastColumn="0" w:lastRowFirstColumn="0" w:lastRowLastColumn="0"/>
              <w:rPr>
                <w:color w:val="000000"/>
              </w:rPr>
            </w:pPr>
            <w:r w:rsidRPr="009F14D2">
              <w:rPr>
                <w:color w:val="000000"/>
              </w:rPr>
              <w:t>218019</w:t>
            </w:r>
          </w:p>
        </w:tc>
        <w:tc>
          <w:tcPr>
            <w:tcW w:w="455" w:type="pct"/>
            <w:vAlign w:val="center"/>
            <w:hideMark/>
          </w:tcPr>
          <w:p w:rsidRPr="009F14D2" w:rsidR="00872C69" w:rsidRDefault="006B3EF8" w14:paraId="3D67DBDB" w14:textId="54974690">
            <w:pPr>
              <w:widowControl/>
              <w:autoSpaceDE/>
              <w:autoSpaceDN/>
              <w:adjustRightInd/>
              <w:jc w:val="center"/>
              <w:cnfStyle w:val="000000000000" w:firstRow="0" w:lastRow="0" w:firstColumn="0" w:lastColumn="0" w:oddVBand="0" w:evenVBand="0" w:oddHBand="0" w:evenHBand="0" w:firstRowFirstColumn="0" w:firstRowLastColumn="0" w:lastRowFirstColumn="0" w:lastRowLastColumn="0"/>
              <w:rPr>
                <w:color w:val="000000"/>
              </w:rPr>
            </w:pPr>
            <w:r>
              <w:rPr>
                <w:color w:val="000000"/>
              </w:rPr>
              <w:t>1.8</w:t>
            </w:r>
          </w:p>
        </w:tc>
        <w:tc>
          <w:tcPr>
            <w:tcW w:w="455" w:type="pct"/>
            <w:vAlign w:val="center"/>
            <w:hideMark/>
          </w:tcPr>
          <w:p w:rsidRPr="00F8021B" w:rsidR="00872C69" w:rsidP="009D4555" w:rsidRDefault="00872C69" w14:paraId="546A22B8" w14:textId="207DE60C">
            <w:pPr>
              <w:widowControl/>
              <w:autoSpaceDE/>
              <w:autoSpaceDN/>
              <w:adjustRightInd/>
              <w:jc w:val="center"/>
              <w:cnfStyle w:val="000000000000" w:firstRow="0" w:lastRow="0" w:firstColumn="0" w:lastColumn="0" w:oddVBand="0" w:evenVBand="0" w:oddHBand="0" w:evenHBand="0" w:firstRowFirstColumn="0" w:firstRowLastColumn="0" w:lastRowFirstColumn="0" w:lastRowLastColumn="0"/>
              <w:rPr>
                <w:color w:val="000000"/>
                <w:szCs w:val="20"/>
              </w:rPr>
            </w:pPr>
            <w:r w:rsidRPr="00F8021B">
              <w:rPr>
                <w:color w:val="000000"/>
                <w:szCs w:val="20"/>
              </w:rPr>
              <w:t>mg/kg</w:t>
            </w:r>
          </w:p>
        </w:tc>
        <w:tc>
          <w:tcPr>
            <w:tcW w:w="535" w:type="pct"/>
            <w:vAlign w:val="center"/>
            <w:hideMark/>
          </w:tcPr>
          <w:p w:rsidRPr="00F8021B" w:rsidR="00872C69" w:rsidP="009D4555" w:rsidRDefault="0009032D" w14:paraId="06C2D599" w14:textId="751201A3">
            <w:pPr>
              <w:widowControl/>
              <w:autoSpaceDE/>
              <w:autoSpaceDN/>
              <w:adjustRightInd/>
              <w:jc w:val="center"/>
              <w:cnfStyle w:val="000000000000" w:firstRow="0" w:lastRow="0" w:firstColumn="0" w:lastColumn="0" w:oddVBand="0" w:evenVBand="0" w:oddHBand="0" w:evenHBand="0" w:firstRowFirstColumn="0" w:firstRowLastColumn="0" w:lastRowFirstColumn="0" w:lastRowLastColumn="0"/>
              <w:rPr>
                <w:color w:val="000000"/>
                <w:szCs w:val="20"/>
              </w:rPr>
            </w:pPr>
            <w:r>
              <w:rPr>
                <w:color w:val="000000"/>
                <w:szCs w:val="20"/>
              </w:rPr>
              <w:t>3.59</w:t>
            </w:r>
            <w:r w:rsidRPr="00F8021B" w:rsidR="00872C69">
              <w:rPr>
                <w:color w:val="000000"/>
                <w:szCs w:val="20"/>
              </w:rPr>
              <w:t>E-03</w:t>
            </w:r>
          </w:p>
        </w:tc>
        <w:tc>
          <w:tcPr>
            <w:tcW w:w="535" w:type="pct"/>
            <w:vAlign w:val="center"/>
            <w:hideMark/>
          </w:tcPr>
          <w:p w:rsidRPr="00F8021B" w:rsidR="00872C69" w:rsidP="009D4555" w:rsidRDefault="00872C69" w14:paraId="7B88FF82" w14:textId="0ADB8F05">
            <w:pPr>
              <w:widowControl/>
              <w:autoSpaceDE/>
              <w:autoSpaceDN/>
              <w:adjustRightInd/>
              <w:jc w:val="center"/>
              <w:cnfStyle w:val="000000000000" w:firstRow="0" w:lastRow="0" w:firstColumn="0" w:lastColumn="0" w:oddVBand="0" w:evenVBand="0" w:oddHBand="0" w:evenHBand="0" w:firstRowFirstColumn="0" w:firstRowLastColumn="0" w:lastRowFirstColumn="0" w:lastRowLastColumn="0"/>
              <w:rPr>
                <w:color w:val="000000"/>
                <w:szCs w:val="20"/>
              </w:rPr>
            </w:pPr>
            <w:r w:rsidRPr="00F8021B">
              <w:rPr>
                <w:color w:val="000000"/>
                <w:szCs w:val="20"/>
              </w:rPr>
              <w:t>lbs./ton</w:t>
            </w:r>
          </w:p>
        </w:tc>
        <w:tc>
          <w:tcPr>
            <w:tcW w:w="1582" w:type="pct"/>
            <w:hideMark/>
          </w:tcPr>
          <w:p w:rsidRPr="00F8021B" w:rsidR="00872C69" w:rsidP="0046047E" w:rsidRDefault="006B3EF8" w14:paraId="51BF0F84" w14:textId="233F60BE">
            <w:pPr>
              <w:widowControl/>
              <w:autoSpaceDE/>
              <w:autoSpaceDN/>
              <w:adjustRightInd/>
              <w:cnfStyle w:val="000000000000" w:firstRow="0" w:lastRow="0" w:firstColumn="0" w:lastColumn="0" w:oddVBand="0" w:evenVBand="0" w:oddHBand="0" w:evenHBand="0" w:firstRowFirstColumn="0" w:firstRowLastColumn="0" w:lastRowFirstColumn="0" w:lastRowLastColumn="0"/>
              <w:rPr>
                <w:color w:val="000000"/>
                <w:szCs w:val="20"/>
              </w:rPr>
            </w:pPr>
            <w:r>
              <w:rPr>
                <w:color w:val="000000"/>
                <w:szCs w:val="20"/>
              </w:rPr>
              <w:t xml:space="preserve">Reference </w:t>
            </w:r>
            <w:r>
              <w:rPr>
                <w:color w:val="000000"/>
                <w:szCs w:val="20"/>
              </w:rPr>
              <w:fldChar w:fldCharType="begin"/>
            </w:r>
            <w:r>
              <w:rPr>
                <w:color w:val="000000"/>
                <w:szCs w:val="20"/>
              </w:rPr>
              <w:instrText xml:space="preserve"> NOTEREF _Ref478482810 \h  \* MERGEFORMAT </w:instrText>
            </w:r>
            <w:r>
              <w:rPr>
                <w:color w:val="000000"/>
                <w:szCs w:val="20"/>
              </w:rPr>
            </w:r>
            <w:r>
              <w:rPr>
                <w:color w:val="000000"/>
                <w:szCs w:val="20"/>
              </w:rPr>
              <w:fldChar w:fldCharType="separate"/>
            </w:r>
            <w:r>
              <w:rPr>
                <w:color w:val="000000"/>
                <w:szCs w:val="20"/>
              </w:rPr>
              <w:t>8</w:t>
            </w:r>
            <w:r>
              <w:rPr>
                <w:color w:val="000000"/>
                <w:szCs w:val="20"/>
              </w:rPr>
              <w:fldChar w:fldCharType="end"/>
            </w:r>
            <w:r w:rsidRPr="00F8021B">
              <w:rPr>
                <w:color w:val="000000"/>
                <w:szCs w:val="20"/>
              </w:rPr>
              <w:t>, Table 3-6</w:t>
            </w:r>
          </w:p>
        </w:tc>
      </w:tr>
      <w:tr w:rsidRPr="00F8021B" w:rsidR="00872C69" w:rsidTr="00030F9E" w14:paraId="552BDDFB" w14:textId="77777777">
        <w:trPr>
          <w:cnfStyle w:val="000000100000" w:firstRow="0" w:lastRow="0" w:firstColumn="0" w:lastColumn="0" w:oddVBand="0" w:evenVBand="0" w:oddHBand="1" w:evenHBand="0" w:firstRowFirstColumn="0" w:firstRowLastColumn="0" w:lastRowFirstColumn="0" w:lastRowLastColumn="0"/>
          <w:cantSplit/>
          <w:trHeight w:val="20"/>
        </w:trPr>
        <w:tc>
          <w:tcPr>
            <w:cnfStyle w:val="001000000000" w:firstRow="0" w:lastRow="0" w:firstColumn="1" w:lastColumn="0" w:oddVBand="0" w:evenVBand="0" w:oddHBand="0" w:evenHBand="0" w:firstRowFirstColumn="0" w:firstRowLastColumn="0" w:lastRowFirstColumn="0" w:lastRowLastColumn="0"/>
            <w:tcW w:w="988" w:type="pct"/>
            <w:vAlign w:val="center"/>
            <w:hideMark/>
          </w:tcPr>
          <w:p w:rsidRPr="00F8021B" w:rsidR="00872C69" w:rsidP="005F75F8" w:rsidRDefault="00872C69" w14:paraId="3FB05700" w14:textId="77777777">
            <w:pPr>
              <w:widowControl/>
              <w:autoSpaceDE/>
              <w:autoSpaceDN/>
              <w:adjustRightInd/>
              <w:rPr>
                <w:b w:val="0"/>
                <w:color w:val="000000"/>
                <w:szCs w:val="20"/>
              </w:rPr>
            </w:pPr>
            <w:r w:rsidRPr="00F8021B">
              <w:rPr>
                <w:b w:val="0"/>
                <w:color w:val="000000"/>
                <w:szCs w:val="20"/>
              </w:rPr>
              <w:t>Cresol/Cresylic Acid (Mixed Isomers)</w:t>
            </w:r>
          </w:p>
        </w:tc>
        <w:tc>
          <w:tcPr>
            <w:tcW w:w="450" w:type="pct"/>
            <w:vAlign w:val="center"/>
            <w:hideMark/>
          </w:tcPr>
          <w:p w:rsidRPr="009F14D2" w:rsidR="00872C69" w:rsidRDefault="00872C69" w14:paraId="6B066B65" w14:textId="77777777">
            <w:pPr>
              <w:widowControl/>
              <w:autoSpaceDE/>
              <w:autoSpaceDN/>
              <w:adjustRightInd/>
              <w:jc w:val="center"/>
              <w:cnfStyle w:val="000000100000" w:firstRow="0" w:lastRow="0" w:firstColumn="0" w:lastColumn="0" w:oddVBand="0" w:evenVBand="0" w:oddHBand="1" w:evenHBand="0" w:firstRowFirstColumn="0" w:firstRowLastColumn="0" w:lastRowFirstColumn="0" w:lastRowLastColumn="0"/>
              <w:rPr>
                <w:color w:val="000000"/>
              </w:rPr>
            </w:pPr>
            <w:r w:rsidRPr="009F14D2">
              <w:rPr>
                <w:color w:val="000000"/>
              </w:rPr>
              <w:t>1319773</w:t>
            </w:r>
          </w:p>
        </w:tc>
        <w:tc>
          <w:tcPr>
            <w:tcW w:w="455" w:type="pct"/>
            <w:vAlign w:val="center"/>
            <w:hideMark/>
          </w:tcPr>
          <w:p w:rsidRPr="009F14D2" w:rsidR="00872C69" w:rsidRDefault="006B3EF8" w14:paraId="7052FE12" w14:textId="6A44E8D5">
            <w:pPr>
              <w:widowControl/>
              <w:autoSpaceDE/>
              <w:autoSpaceDN/>
              <w:adjustRightInd/>
              <w:jc w:val="center"/>
              <w:cnfStyle w:val="000000100000" w:firstRow="0" w:lastRow="0" w:firstColumn="0" w:lastColumn="0" w:oddVBand="0" w:evenVBand="0" w:oddHBand="1" w:evenHBand="0" w:firstRowFirstColumn="0" w:firstRowLastColumn="0" w:lastRowFirstColumn="0" w:lastRowLastColumn="0"/>
              <w:rPr>
                <w:color w:val="000000"/>
              </w:rPr>
            </w:pPr>
            <w:r>
              <w:rPr>
                <w:color w:val="000000"/>
              </w:rPr>
              <w:t>68.77</w:t>
            </w:r>
          </w:p>
        </w:tc>
        <w:tc>
          <w:tcPr>
            <w:tcW w:w="455" w:type="pct"/>
            <w:vAlign w:val="center"/>
            <w:hideMark/>
          </w:tcPr>
          <w:p w:rsidRPr="00F8021B" w:rsidR="00872C69" w:rsidP="009D4555" w:rsidRDefault="00872C69" w14:paraId="3AE9E676" w14:textId="0F67E42C">
            <w:pPr>
              <w:widowControl/>
              <w:autoSpaceDE/>
              <w:autoSpaceDN/>
              <w:adjustRightInd/>
              <w:jc w:val="center"/>
              <w:cnfStyle w:val="000000100000" w:firstRow="0" w:lastRow="0" w:firstColumn="0" w:lastColumn="0" w:oddVBand="0" w:evenVBand="0" w:oddHBand="1" w:evenHBand="0" w:firstRowFirstColumn="0" w:firstRowLastColumn="0" w:lastRowFirstColumn="0" w:lastRowLastColumn="0"/>
              <w:rPr>
                <w:color w:val="000000"/>
                <w:szCs w:val="20"/>
              </w:rPr>
            </w:pPr>
            <w:r>
              <w:rPr>
                <w:color w:val="000000"/>
                <w:szCs w:val="20"/>
              </w:rPr>
              <w:t>Mg/kg</w:t>
            </w:r>
          </w:p>
        </w:tc>
        <w:tc>
          <w:tcPr>
            <w:tcW w:w="535" w:type="pct"/>
            <w:vAlign w:val="center"/>
            <w:hideMark/>
          </w:tcPr>
          <w:p w:rsidRPr="00F8021B" w:rsidR="00872C69" w:rsidP="006B3EF8" w:rsidRDefault="006B3EF8" w14:paraId="3A3B0254" w14:textId="013179B6">
            <w:pPr>
              <w:widowControl/>
              <w:autoSpaceDE/>
              <w:autoSpaceDN/>
              <w:adjustRightInd/>
              <w:jc w:val="center"/>
              <w:cnfStyle w:val="000000100000" w:firstRow="0" w:lastRow="0" w:firstColumn="0" w:lastColumn="0" w:oddVBand="0" w:evenVBand="0" w:oddHBand="1" w:evenHBand="0" w:firstRowFirstColumn="0" w:firstRowLastColumn="0" w:lastRowFirstColumn="0" w:lastRowLastColumn="0"/>
              <w:rPr>
                <w:color w:val="000000"/>
                <w:szCs w:val="20"/>
              </w:rPr>
            </w:pPr>
            <w:r>
              <w:rPr>
                <w:color w:val="000000"/>
                <w:szCs w:val="20"/>
              </w:rPr>
              <w:t>1.37</w:t>
            </w:r>
            <w:r w:rsidRPr="00F8021B" w:rsidR="00872C69">
              <w:rPr>
                <w:color w:val="000000"/>
                <w:szCs w:val="20"/>
              </w:rPr>
              <w:t>E-0</w:t>
            </w:r>
            <w:r>
              <w:rPr>
                <w:color w:val="000000"/>
                <w:szCs w:val="20"/>
              </w:rPr>
              <w:t>1</w:t>
            </w:r>
          </w:p>
        </w:tc>
        <w:tc>
          <w:tcPr>
            <w:tcW w:w="535" w:type="pct"/>
            <w:vAlign w:val="center"/>
            <w:hideMark/>
          </w:tcPr>
          <w:p w:rsidRPr="00F8021B" w:rsidR="00872C69" w:rsidP="009D4555" w:rsidRDefault="00872C69" w14:paraId="04D5129B" w14:textId="3DB42FF0">
            <w:pPr>
              <w:widowControl/>
              <w:autoSpaceDE/>
              <w:autoSpaceDN/>
              <w:adjustRightInd/>
              <w:jc w:val="center"/>
              <w:cnfStyle w:val="000000100000" w:firstRow="0" w:lastRow="0" w:firstColumn="0" w:lastColumn="0" w:oddVBand="0" w:evenVBand="0" w:oddHBand="1" w:evenHBand="0" w:firstRowFirstColumn="0" w:firstRowLastColumn="0" w:lastRowFirstColumn="0" w:lastRowLastColumn="0"/>
              <w:rPr>
                <w:color w:val="000000"/>
                <w:szCs w:val="20"/>
              </w:rPr>
            </w:pPr>
            <w:r w:rsidRPr="00F8021B">
              <w:rPr>
                <w:color w:val="000000"/>
                <w:szCs w:val="20"/>
              </w:rPr>
              <w:t>lbs./ton</w:t>
            </w:r>
          </w:p>
        </w:tc>
        <w:tc>
          <w:tcPr>
            <w:tcW w:w="1582" w:type="pct"/>
            <w:hideMark/>
          </w:tcPr>
          <w:p w:rsidRPr="00F8021B" w:rsidR="00872C69" w:rsidP="009D4555" w:rsidRDefault="00872C69" w14:paraId="7D377FB9" w14:textId="2A588D8B">
            <w:pPr>
              <w:widowControl/>
              <w:autoSpaceDE/>
              <w:autoSpaceDN/>
              <w:adjustRightInd/>
              <w:cnfStyle w:val="000000100000" w:firstRow="0" w:lastRow="0" w:firstColumn="0" w:lastColumn="0" w:oddVBand="0" w:evenVBand="0" w:oddHBand="1" w:evenHBand="0" w:firstRowFirstColumn="0" w:firstRowLastColumn="0" w:lastRowFirstColumn="0" w:lastRowLastColumn="0"/>
              <w:rPr>
                <w:color w:val="000000"/>
                <w:szCs w:val="20"/>
              </w:rPr>
            </w:pPr>
            <w:r w:rsidRPr="00F8021B">
              <w:rPr>
                <w:color w:val="000000"/>
                <w:szCs w:val="20"/>
              </w:rPr>
              <w:t xml:space="preserve">Reference </w:t>
            </w:r>
            <w:r>
              <w:rPr>
                <w:color w:val="000000"/>
                <w:szCs w:val="20"/>
              </w:rPr>
              <w:fldChar w:fldCharType="begin"/>
            </w:r>
            <w:r>
              <w:rPr>
                <w:color w:val="000000"/>
                <w:szCs w:val="20"/>
              </w:rPr>
              <w:instrText xml:space="preserve"> NOTEREF _Ref478482810 \h  \* MERGEFORMAT </w:instrText>
            </w:r>
            <w:r>
              <w:rPr>
                <w:color w:val="000000"/>
                <w:szCs w:val="20"/>
              </w:rPr>
            </w:r>
            <w:r>
              <w:rPr>
                <w:color w:val="000000"/>
                <w:szCs w:val="20"/>
              </w:rPr>
              <w:fldChar w:fldCharType="separate"/>
            </w:r>
            <w:r w:rsidR="00117BBF">
              <w:rPr>
                <w:color w:val="000000"/>
                <w:szCs w:val="20"/>
              </w:rPr>
              <w:t>8</w:t>
            </w:r>
            <w:r>
              <w:rPr>
                <w:color w:val="000000"/>
                <w:szCs w:val="20"/>
              </w:rPr>
              <w:fldChar w:fldCharType="end"/>
            </w:r>
            <w:r>
              <w:rPr>
                <w:color w:val="000000"/>
                <w:szCs w:val="20"/>
              </w:rPr>
              <w:t>, table 3-6</w:t>
            </w:r>
          </w:p>
        </w:tc>
      </w:tr>
      <w:tr w:rsidRPr="00F8021B" w:rsidR="00872C69" w:rsidTr="00030F9E" w14:paraId="45FF3E1B" w14:textId="77777777">
        <w:trPr>
          <w:cantSplit/>
          <w:trHeight w:val="20"/>
        </w:trPr>
        <w:tc>
          <w:tcPr>
            <w:cnfStyle w:val="001000000000" w:firstRow="0" w:lastRow="0" w:firstColumn="1" w:lastColumn="0" w:oddVBand="0" w:evenVBand="0" w:oddHBand="0" w:evenHBand="0" w:firstRowFirstColumn="0" w:firstRowLastColumn="0" w:lastRowFirstColumn="0" w:lastRowLastColumn="0"/>
            <w:tcW w:w="988" w:type="pct"/>
            <w:vAlign w:val="center"/>
            <w:hideMark/>
          </w:tcPr>
          <w:p w:rsidRPr="00F8021B" w:rsidR="00872C69" w:rsidP="005F75F8" w:rsidRDefault="00872C69" w14:paraId="0EEFD71B" w14:textId="77777777">
            <w:pPr>
              <w:widowControl/>
              <w:autoSpaceDE/>
              <w:autoSpaceDN/>
              <w:adjustRightInd/>
              <w:rPr>
                <w:b w:val="0"/>
                <w:color w:val="000000"/>
                <w:szCs w:val="20"/>
              </w:rPr>
            </w:pPr>
            <w:r w:rsidRPr="00F8021B">
              <w:rPr>
                <w:b w:val="0"/>
                <w:color w:val="000000"/>
                <w:szCs w:val="20"/>
              </w:rPr>
              <w:t>Dibenzo[a,h]anthracene</w:t>
            </w:r>
          </w:p>
        </w:tc>
        <w:tc>
          <w:tcPr>
            <w:tcW w:w="450" w:type="pct"/>
            <w:vAlign w:val="center"/>
            <w:hideMark/>
          </w:tcPr>
          <w:p w:rsidRPr="009F14D2" w:rsidR="00872C69" w:rsidRDefault="00872C69" w14:paraId="221BD005" w14:textId="77777777">
            <w:pPr>
              <w:widowControl/>
              <w:autoSpaceDE/>
              <w:autoSpaceDN/>
              <w:adjustRightInd/>
              <w:jc w:val="center"/>
              <w:cnfStyle w:val="000000000000" w:firstRow="0" w:lastRow="0" w:firstColumn="0" w:lastColumn="0" w:oddVBand="0" w:evenVBand="0" w:oddHBand="0" w:evenHBand="0" w:firstRowFirstColumn="0" w:firstRowLastColumn="0" w:lastRowFirstColumn="0" w:lastRowLastColumn="0"/>
              <w:rPr>
                <w:color w:val="000000"/>
              </w:rPr>
            </w:pPr>
            <w:r w:rsidRPr="009F14D2">
              <w:rPr>
                <w:color w:val="000000"/>
              </w:rPr>
              <w:t>53703</w:t>
            </w:r>
          </w:p>
        </w:tc>
        <w:tc>
          <w:tcPr>
            <w:tcW w:w="455" w:type="pct"/>
            <w:vAlign w:val="center"/>
            <w:hideMark/>
          </w:tcPr>
          <w:p w:rsidRPr="009F14D2" w:rsidR="00872C69" w:rsidRDefault="006B3EF8" w14:paraId="200825E9" w14:textId="203A7FF3">
            <w:pPr>
              <w:widowControl/>
              <w:autoSpaceDE/>
              <w:autoSpaceDN/>
              <w:adjustRightInd/>
              <w:jc w:val="center"/>
              <w:cnfStyle w:val="000000000000" w:firstRow="0" w:lastRow="0" w:firstColumn="0" w:lastColumn="0" w:oddVBand="0" w:evenVBand="0" w:oddHBand="0" w:evenHBand="0" w:firstRowFirstColumn="0" w:firstRowLastColumn="0" w:lastRowFirstColumn="0" w:lastRowLastColumn="0"/>
              <w:rPr>
                <w:color w:val="000000"/>
              </w:rPr>
            </w:pPr>
            <w:r>
              <w:rPr>
                <w:color w:val="000000"/>
              </w:rPr>
              <w:t>0.27</w:t>
            </w:r>
          </w:p>
        </w:tc>
        <w:tc>
          <w:tcPr>
            <w:tcW w:w="455" w:type="pct"/>
            <w:vAlign w:val="center"/>
            <w:hideMark/>
          </w:tcPr>
          <w:p w:rsidRPr="00F8021B" w:rsidR="00872C69" w:rsidP="009D4555" w:rsidRDefault="00872C69" w14:paraId="73A32A2B" w14:textId="10702334">
            <w:pPr>
              <w:widowControl/>
              <w:autoSpaceDE/>
              <w:autoSpaceDN/>
              <w:adjustRightInd/>
              <w:jc w:val="center"/>
              <w:cnfStyle w:val="000000000000" w:firstRow="0" w:lastRow="0" w:firstColumn="0" w:lastColumn="0" w:oddVBand="0" w:evenVBand="0" w:oddHBand="0" w:evenHBand="0" w:firstRowFirstColumn="0" w:firstRowLastColumn="0" w:lastRowFirstColumn="0" w:lastRowLastColumn="0"/>
              <w:rPr>
                <w:color w:val="000000"/>
                <w:szCs w:val="20"/>
              </w:rPr>
            </w:pPr>
            <w:r w:rsidRPr="00F8021B">
              <w:rPr>
                <w:color w:val="000000"/>
                <w:szCs w:val="20"/>
              </w:rPr>
              <w:t>mg/kg</w:t>
            </w:r>
          </w:p>
        </w:tc>
        <w:tc>
          <w:tcPr>
            <w:tcW w:w="535" w:type="pct"/>
            <w:vAlign w:val="center"/>
            <w:hideMark/>
          </w:tcPr>
          <w:p w:rsidRPr="00F8021B" w:rsidR="00872C69" w:rsidP="009D4555" w:rsidRDefault="009E562E" w14:paraId="55959B3F" w14:textId="54E9BEF4">
            <w:pPr>
              <w:widowControl/>
              <w:autoSpaceDE/>
              <w:autoSpaceDN/>
              <w:adjustRightInd/>
              <w:jc w:val="center"/>
              <w:cnfStyle w:val="000000000000" w:firstRow="0" w:lastRow="0" w:firstColumn="0" w:lastColumn="0" w:oddVBand="0" w:evenVBand="0" w:oddHBand="0" w:evenHBand="0" w:firstRowFirstColumn="0" w:firstRowLastColumn="0" w:lastRowFirstColumn="0" w:lastRowLastColumn="0"/>
              <w:rPr>
                <w:color w:val="000000"/>
                <w:szCs w:val="20"/>
              </w:rPr>
            </w:pPr>
            <w:r>
              <w:rPr>
                <w:color w:val="000000"/>
                <w:szCs w:val="20"/>
              </w:rPr>
              <w:t>5.40</w:t>
            </w:r>
            <w:r w:rsidRPr="00F8021B" w:rsidR="00872C69">
              <w:rPr>
                <w:color w:val="000000"/>
                <w:szCs w:val="20"/>
              </w:rPr>
              <w:t>E-04</w:t>
            </w:r>
          </w:p>
        </w:tc>
        <w:tc>
          <w:tcPr>
            <w:tcW w:w="535" w:type="pct"/>
            <w:vAlign w:val="center"/>
            <w:hideMark/>
          </w:tcPr>
          <w:p w:rsidRPr="00F8021B" w:rsidR="00872C69" w:rsidP="009D4555" w:rsidRDefault="00872C69" w14:paraId="6771A1D1" w14:textId="6FA19C2C">
            <w:pPr>
              <w:widowControl/>
              <w:autoSpaceDE/>
              <w:autoSpaceDN/>
              <w:adjustRightInd/>
              <w:jc w:val="center"/>
              <w:cnfStyle w:val="000000000000" w:firstRow="0" w:lastRow="0" w:firstColumn="0" w:lastColumn="0" w:oddVBand="0" w:evenVBand="0" w:oddHBand="0" w:evenHBand="0" w:firstRowFirstColumn="0" w:firstRowLastColumn="0" w:lastRowFirstColumn="0" w:lastRowLastColumn="0"/>
              <w:rPr>
                <w:color w:val="000000"/>
                <w:szCs w:val="20"/>
              </w:rPr>
            </w:pPr>
            <w:r w:rsidRPr="00F8021B">
              <w:rPr>
                <w:color w:val="000000"/>
                <w:szCs w:val="20"/>
              </w:rPr>
              <w:t>lbs./ton</w:t>
            </w:r>
          </w:p>
        </w:tc>
        <w:tc>
          <w:tcPr>
            <w:tcW w:w="1582" w:type="pct"/>
            <w:hideMark/>
          </w:tcPr>
          <w:p w:rsidRPr="00F8021B" w:rsidR="00872C69" w:rsidP="0046047E" w:rsidRDefault="006B3EF8" w14:paraId="0D59B847" w14:textId="14C17BEB">
            <w:pPr>
              <w:widowControl/>
              <w:autoSpaceDE/>
              <w:autoSpaceDN/>
              <w:adjustRightInd/>
              <w:cnfStyle w:val="000000000000" w:firstRow="0" w:lastRow="0" w:firstColumn="0" w:lastColumn="0" w:oddVBand="0" w:evenVBand="0" w:oddHBand="0" w:evenHBand="0" w:firstRowFirstColumn="0" w:firstRowLastColumn="0" w:lastRowFirstColumn="0" w:lastRowLastColumn="0"/>
              <w:rPr>
                <w:color w:val="000000"/>
                <w:szCs w:val="20"/>
              </w:rPr>
            </w:pPr>
            <w:r>
              <w:rPr>
                <w:color w:val="000000"/>
                <w:szCs w:val="20"/>
              </w:rPr>
              <w:t xml:space="preserve">Reference </w:t>
            </w:r>
            <w:r>
              <w:rPr>
                <w:color w:val="000000"/>
                <w:szCs w:val="20"/>
              </w:rPr>
              <w:fldChar w:fldCharType="begin"/>
            </w:r>
            <w:r>
              <w:rPr>
                <w:color w:val="000000"/>
                <w:szCs w:val="20"/>
              </w:rPr>
              <w:instrText xml:space="preserve"> NOTEREF _Ref478482810 \h  \* MERGEFORMAT </w:instrText>
            </w:r>
            <w:r>
              <w:rPr>
                <w:color w:val="000000"/>
                <w:szCs w:val="20"/>
              </w:rPr>
            </w:r>
            <w:r>
              <w:rPr>
                <w:color w:val="000000"/>
                <w:szCs w:val="20"/>
              </w:rPr>
              <w:fldChar w:fldCharType="separate"/>
            </w:r>
            <w:r>
              <w:rPr>
                <w:color w:val="000000"/>
                <w:szCs w:val="20"/>
              </w:rPr>
              <w:t>8</w:t>
            </w:r>
            <w:r>
              <w:rPr>
                <w:color w:val="000000"/>
                <w:szCs w:val="20"/>
              </w:rPr>
              <w:fldChar w:fldCharType="end"/>
            </w:r>
            <w:r w:rsidRPr="00F8021B">
              <w:rPr>
                <w:color w:val="000000"/>
                <w:szCs w:val="20"/>
              </w:rPr>
              <w:t>, Table 3-6</w:t>
            </w:r>
          </w:p>
        </w:tc>
      </w:tr>
      <w:tr w:rsidRPr="00F8021B" w:rsidR="00872C69" w:rsidTr="00030F9E" w14:paraId="2DA6B5B2" w14:textId="77777777">
        <w:trPr>
          <w:cnfStyle w:val="000000100000" w:firstRow="0" w:lastRow="0" w:firstColumn="0" w:lastColumn="0" w:oddVBand="0" w:evenVBand="0" w:oddHBand="1" w:evenHBand="0" w:firstRowFirstColumn="0" w:firstRowLastColumn="0" w:lastRowFirstColumn="0" w:lastRowLastColumn="0"/>
          <w:cantSplit/>
          <w:trHeight w:val="20"/>
        </w:trPr>
        <w:tc>
          <w:tcPr>
            <w:cnfStyle w:val="001000000000" w:firstRow="0" w:lastRow="0" w:firstColumn="1" w:lastColumn="0" w:oddVBand="0" w:evenVBand="0" w:oddHBand="0" w:evenHBand="0" w:firstRowFirstColumn="0" w:firstRowLastColumn="0" w:lastRowFirstColumn="0" w:lastRowLastColumn="0"/>
            <w:tcW w:w="988" w:type="pct"/>
            <w:vAlign w:val="center"/>
            <w:hideMark/>
          </w:tcPr>
          <w:p w:rsidRPr="00F8021B" w:rsidR="00872C69" w:rsidP="005F75F8" w:rsidRDefault="00872C69" w14:paraId="6BFE6221" w14:textId="77777777">
            <w:pPr>
              <w:widowControl/>
              <w:autoSpaceDE/>
              <w:autoSpaceDN/>
              <w:adjustRightInd/>
              <w:rPr>
                <w:b w:val="0"/>
                <w:color w:val="000000"/>
                <w:szCs w:val="20"/>
              </w:rPr>
            </w:pPr>
            <w:r w:rsidRPr="00F8021B">
              <w:rPr>
                <w:b w:val="0"/>
                <w:color w:val="000000"/>
                <w:szCs w:val="20"/>
              </w:rPr>
              <w:t>Dibutyl Phthalate</w:t>
            </w:r>
          </w:p>
        </w:tc>
        <w:tc>
          <w:tcPr>
            <w:tcW w:w="450" w:type="pct"/>
            <w:vAlign w:val="center"/>
            <w:hideMark/>
          </w:tcPr>
          <w:p w:rsidRPr="009F14D2" w:rsidR="00872C69" w:rsidRDefault="00872C69" w14:paraId="19078167" w14:textId="77777777">
            <w:pPr>
              <w:widowControl/>
              <w:autoSpaceDE/>
              <w:autoSpaceDN/>
              <w:adjustRightInd/>
              <w:jc w:val="center"/>
              <w:cnfStyle w:val="000000100000" w:firstRow="0" w:lastRow="0" w:firstColumn="0" w:lastColumn="0" w:oddVBand="0" w:evenVBand="0" w:oddHBand="1" w:evenHBand="0" w:firstRowFirstColumn="0" w:firstRowLastColumn="0" w:lastRowFirstColumn="0" w:lastRowLastColumn="0"/>
              <w:rPr>
                <w:color w:val="000000"/>
              </w:rPr>
            </w:pPr>
            <w:r w:rsidRPr="009F14D2">
              <w:rPr>
                <w:color w:val="000000"/>
              </w:rPr>
              <w:t>84742</w:t>
            </w:r>
          </w:p>
        </w:tc>
        <w:tc>
          <w:tcPr>
            <w:tcW w:w="455" w:type="pct"/>
            <w:vAlign w:val="center"/>
            <w:hideMark/>
          </w:tcPr>
          <w:p w:rsidRPr="009F14D2" w:rsidR="00872C69" w:rsidRDefault="00872C69" w14:paraId="4FFC182B" w14:textId="77777777">
            <w:pPr>
              <w:widowControl/>
              <w:autoSpaceDE/>
              <w:autoSpaceDN/>
              <w:adjustRightInd/>
              <w:jc w:val="center"/>
              <w:cnfStyle w:val="000000100000" w:firstRow="0" w:lastRow="0" w:firstColumn="0" w:lastColumn="0" w:oddVBand="0" w:evenVBand="0" w:oddHBand="1" w:evenHBand="0" w:firstRowFirstColumn="0" w:firstRowLastColumn="0" w:lastRowFirstColumn="0" w:lastRowLastColumn="0"/>
              <w:rPr>
                <w:color w:val="000000"/>
              </w:rPr>
            </w:pPr>
            <w:r w:rsidRPr="009F14D2">
              <w:rPr>
                <w:color w:val="000000"/>
              </w:rPr>
              <w:t>3.45</w:t>
            </w:r>
          </w:p>
        </w:tc>
        <w:tc>
          <w:tcPr>
            <w:tcW w:w="455" w:type="pct"/>
            <w:vAlign w:val="center"/>
            <w:hideMark/>
          </w:tcPr>
          <w:p w:rsidRPr="00F8021B" w:rsidR="00872C69" w:rsidP="009D4555" w:rsidRDefault="00872C69" w14:paraId="15381BF7" w14:textId="39034374">
            <w:pPr>
              <w:widowControl/>
              <w:autoSpaceDE/>
              <w:autoSpaceDN/>
              <w:adjustRightInd/>
              <w:jc w:val="center"/>
              <w:cnfStyle w:val="000000100000" w:firstRow="0" w:lastRow="0" w:firstColumn="0" w:lastColumn="0" w:oddVBand="0" w:evenVBand="0" w:oddHBand="1" w:evenHBand="0" w:firstRowFirstColumn="0" w:firstRowLastColumn="0" w:lastRowFirstColumn="0" w:lastRowLastColumn="0"/>
              <w:rPr>
                <w:color w:val="000000"/>
                <w:szCs w:val="20"/>
              </w:rPr>
            </w:pPr>
            <w:r w:rsidRPr="00F8021B">
              <w:rPr>
                <w:color w:val="000000"/>
                <w:szCs w:val="20"/>
              </w:rPr>
              <w:t>mg/kg</w:t>
            </w:r>
          </w:p>
        </w:tc>
        <w:tc>
          <w:tcPr>
            <w:tcW w:w="535" w:type="pct"/>
            <w:vAlign w:val="center"/>
            <w:hideMark/>
          </w:tcPr>
          <w:p w:rsidRPr="00F8021B" w:rsidR="00872C69" w:rsidP="009D4555" w:rsidRDefault="006B3EF8" w14:paraId="24958D40" w14:textId="03B2349D">
            <w:pPr>
              <w:widowControl/>
              <w:autoSpaceDE/>
              <w:autoSpaceDN/>
              <w:adjustRightInd/>
              <w:jc w:val="center"/>
              <w:cnfStyle w:val="000000100000" w:firstRow="0" w:lastRow="0" w:firstColumn="0" w:lastColumn="0" w:oddVBand="0" w:evenVBand="0" w:oddHBand="1" w:evenHBand="0" w:firstRowFirstColumn="0" w:firstRowLastColumn="0" w:lastRowFirstColumn="0" w:lastRowLastColumn="0"/>
              <w:rPr>
                <w:color w:val="000000"/>
                <w:szCs w:val="20"/>
              </w:rPr>
            </w:pPr>
            <w:r>
              <w:rPr>
                <w:color w:val="000000"/>
                <w:szCs w:val="20"/>
              </w:rPr>
              <w:t>6.89</w:t>
            </w:r>
            <w:r w:rsidRPr="00F8021B" w:rsidR="00872C69">
              <w:rPr>
                <w:color w:val="000000"/>
                <w:szCs w:val="20"/>
              </w:rPr>
              <w:t>E-03</w:t>
            </w:r>
          </w:p>
        </w:tc>
        <w:tc>
          <w:tcPr>
            <w:tcW w:w="535" w:type="pct"/>
            <w:vAlign w:val="center"/>
            <w:hideMark/>
          </w:tcPr>
          <w:p w:rsidRPr="00F8021B" w:rsidR="00872C69" w:rsidP="009D4555" w:rsidRDefault="00872C69" w14:paraId="1858A4C6" w14:textId="6FE43F93">
            <w:pPr>
              <w:widowControl/>
              <w:autoSpaceDE/>
              <w:autoSpaceDN/>
              <w:adjustRightInd/>
              <w:jc w:val="center"/>
              <w:cnfStyle w:val="000000100000" w:firstRow="0" w:lastRow="0" w:firstColumn="0" w:lastColumn="0" w:oddVBand="0" w:evenVBand="0" w:oddHBand="1" w:evenHBand="0" w:firstRowFirstColumn="0" w:firstRowLastColumn="0" w:lastRowFirstColumn="0" w:lastRowLastColumn="0"/>
              <w:rPr>
                <w:color w:val="000000"/>
                <w:szCs w:val="20"/>
              </w:rPr>
            </w:pPr>
            <w:r w:rsidRPr="00F8021B">
              <w:rPr>
                <w:color w:val="000000"/>
                <w:szCs w:val="20"/>
              </w:rPr>
              <w:t>lbs./ton</w:t>
            </w:r>
          </w:p>
        </w:tc>
        <w:tc>
          <w:tcPr>
            <w:tcW w:w="1582" w:type="pct"/>
            <w:hideMark/>
          </w:tcPr>
          <w:p w:rsidRPr="00F8021B" w:rsidR="00872C69" w:rsidP="009D4555" w:rsidRDefault="00872C69" w14:paraId="1BB5EF36" w14:textId="64D102EA">
            <w:pPr>
              <w:widowControl/>
              <w:autoSpaceDE/>
              <w:autoSpaceDN/>
              <w:adjustRightInd/>
              <w:cnfStyle w:val="000000100000" w:firstRow="0" w:lastRow="0" w:firstColumn="0" w:lastColumn="0" w:oddVBand="0" w:evenVBand="0" w:oddHBand="1" w:evenHBand="0" w:firstRowFirstColumn="0" w:firstRowLastColumn="0" w:lastRowFirstColumn="0" w:lastRowLastColumn="0"/>
              <w:rPr>
                <w:color w:val="000000"/>
                <w:szCs w:val="20"/>
              </w:rPr>
            </w:pPr>
            <w:r>
              <w:rPr>
                <w:color w:val="000000"/>
                <w:szCs w:val="20"/>
              </w:rPr>
              <w:t xml:space="preserve">Reference </w:t>
            </w:r>
            <w:r>
              <w:rPr>
                <w:color w:val="000000"/>
                <w:szCs w:val="20"/>
              </w:rPr>
              <w:fldChar w:fldCharType="begin"/>
            </w:r>
            <w:r>
              <w:rPr>
                <w:color w:val="000000"/>
                <w:szCs w:val="20"/>
              </w:rPr>
              <w:instrText xml:space="preserve"> NOTEREF _Ref478482810 \h  \* MERGEFORMAT </w:instrText>
            </w:r>
            <w:r>
              <w:rPr>
                <w:color w:val="000000"/>
                <w:szCs w:val="20"/>
              </w:rPr>
            </w:r>
            <w:r>
              <w:rPr>
                <w:color w:val="000000"/>
                <w:szCs w:val="20"/>
              </w:rPr>
              <w:fldChar w:fldCharType="separate"/>
            </w:r>
            <w:r w:rsidR="00117BBF">
              <w:rPr>
                <w:color w:val="000000"/>
                <w:szCs w:val="20"/>
              </w:rPr>
              <w:t>8</w:t>
            </w:r>
            <w:r>
              <w:rPr>
                <w:color w:val="000000"/>
                <w:szCs w:val="20"/>
              </w:rPr>
              <w:fldChar w:fldCharType="end"/>
            </w:r>
            <w:r w:rsidRPr="00F8021B">
              <w:rPr>
                <w:color w:val="000000"/>
                <w:szCs w:val="20"/>
              </w:rPr>
              <w:t>, Table 3-6</w:t>
            </w:r>
          </w:p>
        </w:tc>
      </w:tr>
      <w:tr w:rsidRPr="00F8021B" w:rsidR="00872C69" w:rsidTr="00030F9E" w14:paraId="11DF33D6" w14:textId="77777777">
        <w:trPr>
          <w:cantSplit/>
          <w:trHeight w:val="20"/>
        </w:trPr>
        <w:tc>
          <w:tcPr>
            <w:cnfStyle w:val="001000000000" w:firstRow="0" w:lastRow="0" w:firstColumn="1" w:lastColumn="0" w:oddVBand="0" w:evenVBand="0" w:oddHBand="0" w:evenHBand="0" w:firstRowFirstColumn="0" w:firstRowLastColumn="0" w:lastRowFirstColumn="0" w:lastRowLastColumn="0"/>
            <w:tcW w:w="988" w:type="pct"/>
            <w:vAlign w:val="center"/>
            <w:hideMark/>
          </w:tcPr>
          <w:p w:rsidRPr="00F8021B" w:rsidR="00872C69" w:rsidP="005F75F8" w:rsidRDefault="00872C69" w14:paraId="6F9547A6" w14:textId="77777777">
            <w:pPr>
              <w:widowControl/>
              <w:autoSpaceDE/>
              <w:autoSpaceDN/>
              <w:adjustRightInd/>
              <w:rPr>
                <w:b w:val="0"/>
                <w:color w:val="000000"/>
                <w:szCs w:val="20"/>
              </w:rPr>
            </w:pPr>
            <w:r w:rsidRPr="00F8021B">
              <w:rPr>
                <w:b w:val="0"/>
                <w:color w:val="000000"/>
                <w:szCs w:val="20"/>
              </w:rPr>
              <w:t>Ethyl Benzene</w:t>
            </w:r>
          </w:p>
        </w:tc>
        <w:tc>
          <w:tcPr>
            <w:tcW w:w="450" w:type="pct"/>
            <w:vAlign w:val="center"/>
            <w:hideMark/>
          </w:tcPr>
          <w:p w:rsidRPr="009F14D2" w:rsidR="00872C69" w:rsidRDefault="00872C69" w14:paraId="4CEAB147" w14:textId="77777777">
            <w:pPr>
              <w:widowControl/>
              <w:autoSpaceDE/>
              <w:autoSpaceDN/>
              <w:adjustRightInd/>
              <w:jc w:val="center"/>
              <w:cnfStyle w:val="000000000000" w:firstRow="0" w:lastRow="0" w:firstColumn="0" w:lastColumn="0" w:oddVBand="0" w:evenVBand="0" w:oddHBand="0" w:evenHBand="0" w:firstRowFirstColumn="0" w:firstRowLastColumn="0" w:lastRowFirstColumn="0" w:lastRowLastColumn="0"/>
              <w:rPr>
                <w:color w:val="000000"/>
              </w:rPr>
            </w:pPr>
            <w:r w:rsidRPr="009F14D2">
              <w:rPr>
                <w:color w:val="000000"/>
              </w:rPr>
              <w:t>100414</w:t>
            </w:r>
          </w:p>
        </w:tc>
        <w:tc>
          <w:tcPr>
            <w:tcW w:w="455" w:type="pct"/>
            <w:vAlign w:val="center"/>
            <w:hideMark/>
          </w:tcPr>
          <w:p w:rsidRPr="009F14D2" w:rsidR="00872C69" w:rsidRDefault="00872C69" w14:paraId="629FC1F0" w14:textId="77777777">
            <w:pPr>
              <w:widowControl/>
              <w:autoSpaceDE/>
              <w:autoSpaceDN/>
              <w:adjustRightInd/>
              <w:jc w:val="center"/>
              <w:cnfStyle w:val="000000000000" w:firstRow="0" w:lastRow="0" w:firstColumn="0" w:lastColumn="0" w:oddVBand="0" w:evenVBand="0" w:oddHBand="0" w:evenHBand="0" w:firstRowFirstColumn="0" w:firstRowLastColumn="0" w:lastRowFirstColumn="0" w:lastRowLastColumn="0"/>
              <w:rPr>
                <w:color w:val="000000"/>
              </w:rPr>
            </w:pPr>
            <w:r w:rsidRPr="009F14D2">
              <w:rPr>
                <w:color w:val="000000"/>
              </w:rPr>
              <w:t>181.75</w:t>
            </w:r>
          </w:p>
        </w:tc>
        <w:tc>
          <w:tcPr>
            <w:tcW w:w="455" w:type="pct"/>
            <w:vAlign w:val="center"/>
            <w:hideMark/>
          </w:tcPr>
          <w:p w:rsidRPr="00F8021B" w:rsidR="00872C69" w:rsidP="009D4555" w:rsidRDefault="00872C69" w14:paraId="25E00987" w14:textId="4D3F9082">
            <w:pPr>
              <w:widowControl/>
              <w:autoSpaceDE/>
              <w:autoSpaceDN/>
              <w:adjustRightInd/>
              <w:jc w:val="center"/>
              <w:cnfStyle w:val="000000000000" w:firstRow="0" w:lastRow="0" w:firstColumn="0" w:lastColumn="0" w:oddVBand="0" w:evenVBand="0" w:oddHBand="0" w:evenHBand="0" w:firstRowFirstColumn="0" w:firstRowLastColumn="0" w:lastRowFirstColumn="0" w:lastRowLastColumn="0"/>
              <w:rPr>
                <w:color w:val="000000"/>
                <w:szCs w:val="20"/>
              </w:rPr>
            </w:pPr>
            <w:r w:rsidRPr="00F8021B">
              <w:rPr>
                <w:color w:val="000000"/>
                <w:szCs w:val="20"/>
              </w:rPr>
              <w:t>mg/kg</w:t>
            </w:r>
          </w:p>
        </w:tc>
        <w:tc>
          <w:tcPr>
            <w:tcW w:w="535" w:type="pct"/>
            <w:vAlign w:val="center"/>
            <w:hideMark/>
          </w:tcPr>
          <w:p w:rsidRPr="00F8021B" w:rsidR="00872C69" w:rsidP="009D4555" w:rsidRDefault="006B3EF8" w14:paraId="1EDA44C1" w14:textId="1ABE7E91">
            <w:pPr>
              <w:widowControl/>
              <w:autoSpaceDE/>
              <w:autoSpaceDN/>
              <w:adjustRightInd/>
              <w:jc w:val="center"/>
              <w:cnfStyle w:val="000000000000" w:firstRow="0" w:lastRow="0" w:firstColumn="0" w:lastColumn="0" w:oddVBand="0" w:evenVBand="0" w:oddHBand="0" w:evenHBand="0" w:firstRowFirstColumn="0" w:firstRowLastColumn="0" w:lastRowFirstColumn="0" w:lastRowLastColumn="0"/>
              <w:rPr>
                <w:color w:val="000000"/>
                <w:szCs w:val="20"/>
              </w:rPr>
            </w:pPr>
            <w:r>
              <w:rPr>
                <w:color w:val="000000"/>
                <w:szCs w:val="20"/>
              </w:rPr>
              <w:t>3.63</w:t>
            </w:r>
            <w:r w:rsidRPr="00F8021B" w:rsidR="00872C69">
              <w:rPr>
                <w:color w:val="000000"/>
                <w:szCs w:val="20"/>
              </w:rPr>
              <w:t>E-01</w:t>
            </w:r>
          </w:p>
        </w:tc>
        <w:tc>
          <w:tcPr>
            <w:tcW w:w="535" w:type="pct"/>
            <w:vAlign w:val="center"/>
            <w:hideMark/>
          </w:tcPr>
          <w:p w:rsidRPr="00F8021B" w:rsidR="00872C69" w:rsidP="009D4555" w:rsidRDefault="00872C69" w14:paraId="368C693F" w14:textId="40068F79">
            <w:pPr>
              <w:widowControl/>
              <w:autoSpaceDE/>
              <w:autoSpaceDN/>
              <w:adjustRightInd/>
              <w:jc w:val="center"/>
              <w:cnfStyle w:val="000000000000" w:firstRow="0" w:lastRow="0" w:firstColumn="0" w:lastColumn="0" w:oddVBand="0" w:evenVBand="0" w:oddHBand="0" w:evenHBand="0" w:firstRowFirstColumn="0" w:firstRowLastColumn="0" w:lastRowFirstColumn="0" w:lastRowLastColumn="0"/>
              <w:rPr>
                <w:color w:val="000000"/>
                <w:szCs w:val="20"/>
              </w:rPr>
            </w:pPr>
            <w:r w:rsidRPr="00F8021B">
              <w:rPr>
                <w:color w:val="000000"/>
                <w:szCs w:val="20"/>
              </w:rPr>
              <w:t>lbs./ton</w:t>
            </w:r>
          </w:p>
        </w:tc>
        <w:tc>
          <w:tcPr>
            <w:tcW w:w="1582" w:type="pct"/>
            <w:hideMark/>
          </w:tcPr>
          <w:p w:rsidRPr="00F8021B" w:rsidR="00872C69" w:rsidP="009D4555" w:rsidRDefault="00872C69" w14:paraId="43AE5427" w14:textId="0F6CAD69">
            <w:pPr>
              <w:widowControl/>
              <w:autoSpaceDE/>
              <w:autoSpaceDN/>
              <w:adjustRightInd/>
              <w:cnfStyle w:val="000000000000" w:firstRow="0" w:lastRow="0" w:firstColumn="0" w:lastColumn="0" w:oddVBand="0" w:evenVBand="0" w:oddHBand="0" w:evenHBand="0" w:firstRowFirstColumn="0" w:firstRowLastColumn="0" w:lastRowFirstColumn="0" w:lastRowLastColumn="0"/>
              <w:rPr>
                <w:color w:val="000000"/>
                <w:szCs w:val="20"/>
              </w:rPr>
            </w:pPr>
            <w:r>
              <w:rPr>
                <w:color w:val="000000"/>
                <w:szCs w:val="20"/>
              </w:rPr>
              <w:t xml:space="preserve">Reference </w:t>
            </w:r>
            <w:r>
              <w:rPr>
                <w:color w:val="000000"/>
                <w:szCs w:val="20"/>
              </w:rPr>
              <w:fldChar w:fldCharType="begin"/>
            </w:r>
            <w:r>
              <w:rPr>
                <w:color w:val="000000"/>
                <w:szCs w:val="20"/>
              </w:rPr>
              <w:instrText xml:space="preserve"> NOTEREF _Ref478482810 \h  \* MERGEFORMAT </w:instrText>
            </w:r>
            <w:r>
              <w:rPr>
                <w:color w:val="000000"/>
                <w:szCs w:val="20"/>
              </w:rPr>
            </w:r>
            <w:r>
              <w:rPr>
                <w:color w:val="000000"/>
                <w:szCs w:val="20"/>
              </w:rPr>
              <w:fldChar w:fldCharType="separate"/>
            </w:r>
            <w:r w:rsidR="00117BBF">
              <w:rPr>
                <w:color w:val="000000"/>
                <w:szCs w:val="20"/>
              </w:rPr>
              <w:t>8</w:t>
            </w:r>
            <w:r>
              <w:rPr>
                <w:color w:val="000000"/>
                <w:szCs w:val="20"/>
              </w:rPr>
              <w:fldChar w:fldCharType="end"/>
            </w:r>
            <w:r w:rsidRPr="00F8021B">
              <w:rPr>
                <w:color w:val="000000"/>
                <w:szCs w:val="20"/>
              </w:rPr>
              <w:t>, Table 3-6</w:t>
            </w:r>
          </w:p>
        </w:tc>
      </w:tr>
      <w:tr w:rsidRPr="00F8021B" w:rsidR="00872C69" w:rsidTr="00030F9E" w14:paraId="3BC55292" w14:textId="77777777">
        <w:trPr>
          <w:cnfStyle w:val="000000100000" w:firstRow="0" w:lastRow="0" w:firstColumn="0" w:lastColumn="0" w:oddVBand="0" w:evenVBand="0" w:oddHBand="1" w:evenHBand="0" w:firstRowFirstColumn="0" w:firstRowLastColumn="0" w:lastRowFirstColumn="0" w:lastRowLastColumn="0"/>
          <w:cantSplit/>
          <w:trHeight w:val="20"/>
        </w:trPr>
        <w:tc>
          <w:tcPr>
            <w:cnfStyle w:val="001000000000" w:firstRow="0" w:lastRow="0" w:firstColumn="1" w:lastColumn="0" w:oddVBand="0" w:evenVBand="0" w:oddHBand="0" w:evenHBand="0" w:firstRowFirstColumn="0" w:firstRowLastColumn="0" w:lastRowFirstColumn="0" w:lastRowLastColumn="0"/>
            <w:tcW w:w="988" w:type="pct"/>
            <w:vAlign w:val="center"/>
            <w:hideMark/>
          </w:tcPr>
          <w:p w:rsidRPr="00F8021B" w:rsidR="00872C69" w:rsidP="005F75F8" w:rsidRDefault="00872C69" w14:paraId="3AD46026" w14:textId="77777777">
            <w:pPr>
              <w:widowControl/>
              <w:autoSpaceDE/>
              <w:autoSpaceDN/>
              <w:adjustRightInd/>
              <w:rPr>
                <w:b w:val="0"/>
                <w:color w:val="000000"/>
                <w:szCs w:val="20"/>
              </w:rPr>
            </w:pPr>
            <w:r w:rsidRPr="00F8021B">
              <w:rPr>
                <w:b w:val="0"/>
                <w:color w:val="000000"/>
                <w:szCs w:val="20"/>
              </w:rPr>
              <w:t>Fluoranthene</w:t>
            </w:r>
          </w:p>
        </w:tc>
        <w:tc>
          <w:tcPr>
            <w:tcW w:w="450" w:type="pct"/>
            <w:vAlign w:val="center"/>
            <w:hideMark/>
          </w:tcPr>
          <w:p w:rsidRPr="009F14D2" w:rsidR="00872C69" w:rsidRDefault="00872C69" w14:paraId="00796F9E" w14:textId="77777777">
            <w:pPr>
              <w:widowControl/>
              <w:autoSpaceDE/>
              <w:autoSpaceDN/>
              <w:adjustRightInd/>
              <w:jc w:val="center"/>
              <w:cnfStyle w:val="000000100000" w:firstRow="0" w:lastRow="0" w:firstColumn="0" w:lastColumn="0" w:oddVBand="0" w:evenVBand="0" w:oddHBand="1" w:evenHBand="0" w:firstRowFirstColumn="0" w:firstRowLastColumn="0" w:lastRowFirstColumn="0" w:lastRowLastColumn="0"/>
              <w:rPr>
                <w:color w:val="000000"/>
              </w:rPr>
            </w:pPr>
            <w:r w:rsidRPr="009F14D2">
              <w:rPr>
                <w:color w:val="000000"/>
              </w:rPr>
              <w:t>206440</w:t>
            </w:r>
          </w:p>
        </w:tc>
        <w:tc>
          <w:tcPr>
            <w:tcW w:w="455" w:type="pct"/>
            <w:vAlign w:val="center"/>
            <w:hideMark/>
          </w:tcPr>
          <w:p w:rsidRPr="009F14D2" w:rsidR="00872C69" w:rsidRDefault="006B3EF8" w14:paraId="4DBBC3C2" w14:textId="48BA6E85">
            <w:pPr>
              <w:widowControl/>
              <w:autoSpaceDE/>
              <w:autoSpaceDN/>
              <w:adjustRightInd/>
              <w:jc w:val="center"/>
              <w:cnfStyle w:val="000000100000" w:firstRow="0" w:lastRow="0" w:firstColumn="0" w:lastColumn="0" w:oddVBand="0" w:evenVBand="0" w:oddHBand="1" w:evenHBand="0" w:firstRowFirstColumn="0" w:firstRowLastColumn="0" w:lastRowFirstColumn="0" w:lastRowLastColumn="0"/>
              <w:rPr>
                <w:color w:val="000000"/>
              </w:rPr>
            </w:pPr>
            <w:r>
              <w:rPr>
                <w:color w:val="000000"/>
              </w:rPr>
              <w:t>2.77</w:t>
            </w:r>
          </w:p>
        </w:tc>
        <w:tc>
          <w:tcPr>
            <w:tcW w:w="455" w:type="pct"/>
            <w:vAlign w:val="center"/>
            <w:hideMark/>
          </w:tcPr>
          <w:p w:rsidRPr="00F8021B" w:rsidR="00872C69" w:rsidP="009D4555" w:rsidRDefault="00872C69" w14:paraId="3751CEA2" w14:textId="1A979D20">
            <w:pPr>
              <w:widowControl/>
              <w:autoSpaceDE/>
              <w:autoSpaceDN/>
              <w:adjustRightInd/>
              <w:jc w:val="center"/>
              <w:cnfStyle w:val="000000100000" w:firstRow="0" w:lastRow="0" w:firstColumn="0" w:lastColumn="0" w:oddVBand="0" w:evenVBand="0" w:oddHBand="1" w:evenHBand="0" w:firstRowFirstColumn="0" w:firstRowLastColumn="0" w:lastRowFirstColumn="0" w:lastRowLastColumn="0"/>
              <w:rPr>
                <w:color w:val="000000"/>
                <w:szCs w:val="20"/>
              </w:rPr>
            </w:pPr>
            <w:r w:rsidRPr="00F8021B">
              <w:rPr>
                <w:color w:val="000000"/>
                <w:szCs w:val="20"/>
              </w:rPr>
              <w:t>mg/kg</w:t>
            </w:r>
          </w:p>
        </w:tc>
        <w:tc>
          <w:tcPr>
            <w:tcW w:w="535" w:type="pct"/>
            <w:vAlign w:val="center"/>
            <w:hideMark/>
          </w:tcPr>
          <w:p w:rsidRPr="00F8021B" w:rsidR="00872C69" w:rsidP="009D4555" w:rsidRDefault="006B3EF8" w14:paraId="5870E408" w14:textId="3BE7694E">
            <w:pPr>
              <w:widowControl/>
              <w:autoSpaceDE/>
              <w:autoSpaceDN/>
              <w:adjustRightInd/>
              <w:jc w:val="center"/>
              <w:cnfStyle w:val="000000100000" w:firstRow="0" w:lastRow="0" w:firstColumn="0" w:lastColumn="0" w:oddVBand="0" w:evenVBand="0" w:oddHBand="1" w:evenHBand="0" w:firstRowFirstColumn="0" w:firstRowLastColumn="0" w:lastRowFirstColumn="0" w:lastRowLastColumn="0"/>
              <w:rPr>
                <w:color w:val="000000"/>
                <w:szCs w:val="20"/>
              </w:rPr>
            </w:pPr>
            <w:r>
              <w:rPr>
                <w:color w:val="000000"/>
                <w:szCs w:val="20"/>
              </w:rPr>
              <w:t>5.53</w:t>
            </w:r>
            <w:r w:rsidRPr="00F8021B" w:rsidR="00872C69">
              <w:rPr>
                <w:color w:val="000000"/>
                <w:szCs w:val="20"/>
              </w:rPr>
              <w:t>E-03</w:t>
            </w:r>
          </w:p>
        </w:tc>
        <w:tc>
          <w:tcPr>
            <w:tcW w:w="535" w:type="pct"/>
            <w:vAlign w:val="center"/>
            <w:hideMark/>
          </w:tcPr>
          <w:p w:rsidRPr="00F8021B" w:rsidR="00872C69" w:rsidP="009D4555" w:rsidRDefault="00872C69" w14:paraId="7DE8F62C" w14:textId="42E41229">
            <w:pPr>
              <w:widowControl/>
              <w:autoSpaceDE/>
              <w:autoSpaceDN/>
              <w:adjustRightInd/>
              <w:jc w:val="center"/>
              <w:cnfStyle w:val="000000100000" w:firstRow="0" w:lastRow="0" w:firstColumn="0" w:lastColumn="0" w:oddVBand="0" w:evenVBand="0" w:oddHBand="1" w:evenHBand="0" w:firstRowFirstColumn="0" w:firstRowLastColumn="0" w:lastRowFirstColumn="0" w:lastRowLastColumn="0"/>
              <w:rPr>
                <w:color w:val="000000"/>
                <w:szCs w:val="20"/>
              </w:rPr>
            </w:pPr>
            <w:r w:rsidRPr="00F8021B">
              <w:rPr>
                <w:color w:val="000000"/>
                <w:szCs w:val="20"/>
              </w:rPr>
              <w:t>lbs./ton</w:t>
            </w:r>
          </w:p>
        </w:tc>
        <w:tc>
          <w:tcPr>
            <w:tcW w:w="1582" w:type="pct"/>
            <w:hideMark/>
          </w:tcPr>
          <w:p w:rsidRPr="00F8021B" w:rsidR="00872C69" w:rsidP="00AF4787" w:rsidRDefault="006B3EF8" w14:paraId="6D38EC12" w14:textId="4FAD4326">
            <w:pPr>
              <w:widowControl/>
              <w:autoSpaceDE/>
              <w:autoSpaceDN/>
              <w:adjustRightInd/>
              <w:cnfStyle w:val="000000100000" w:firstRow="0" w:lastRow="0" w:firstColumn="0" w:lastColumn="0" w:oddVBand="0" w:evenVBand="0" w:oddHBand="1" w:evenHBand="0" w:firstRowFirstColumn="0" w:firstRowLastColumn="0" w:lastRowFirstColumn="0" w:lastRowLastColumn="0"/>
              <w:rPr>
                <w:color w:val="000000"/>
                <w:szCs w:val="20"/>
              </w:rPr>
            </w:pPr>
            <w:r>
              <w:rPr>
                <w:color w:val="000000"/>
                <w:szCs w:val="20"/>
              </w:rPr>
              <w:t xml:space="preserve">Reference </w:t>
            </w:r>
            <w:r>
              <w:rPr>
                <w:color w:val="000000"/>
                <w:szCs w:val="20"/>
              </w:rPr>
              <w:fldChar w:fldCharType="begin"/>
            </w:r>
            <w:r>
              <w:rPr>
                <w:color w:val="000000"/>
                <w:szCs w:val="20"/>
              </w:rPr>
              <w:instrText xml:space="preserve"> NOTEREF _Ref478482810 \h  \* MERGEFORMAT </w:instrText>
            </w:r>
            <w:r>
              <w:rPr>
                <w:color w:val="000000"/>
                <w:szCs w:val="20"/>
              </w:rPr>
            </w:r>
            <w:r>
              <w:rPr>
                <w:color w:val="000000"/>
                <w:szCs w:val="20"/>
              </w:rPr>
              <w:fldChar w:fldCharType="separate"/>
            </w:r>
            <w:r>
              <w:rPr>
                <w:color w:val="000000"/>
                <w:szCs w:val="20"/>
              </w:rPr>
              <w:t>8</w:t>
            </w:r>
            <w:r>
              <w:rPr>
                <w:color w:val="000000"/>
                <w:szCs w:val="20"/>
              </w:rPr>
              <w:fldChar w:fldCharType="end"/>
            </w:r>
            <w:r w:rsidRPr="00F8021B">
              <w:rPr>
                <w:color w:val="000000"/>
                <w:szCs w:val="20"/>
              </w:rPr>
              <w:t>, Table 3-6</w:t>
            </w:r>
          </w:p>
        </w:tc>
      </w:tr>
      <w:tr w:rsidRPr="00F8021B" w:rsidR="00872C69" w:rsidTr="00030F9E" w14:paraId="1F51E2DC" w14:textId="77777777">
        <w:trPr>
          <w:cantSplit/>
          <w:trHeight w:val="20"/>
        </w:trPr>
        <w:tc>
          <w:tcPr>
            <w:cnfStyle w:val="001000000000" w:firstRow="0" w:lastRow="0" w:firstColumn="1" w:lastColumn="0" w:oddVBand="0" w:evenVBand="0" w:oddHBand="0" w:evenHBand="0" w:firstRowFirstColumn="0" w:firstRowLastColumn="0" w:lastRowFirstColumn="0" w:lastRowLastColumn="0"/>
            <w:tcW w:w="988" w:type="pct"/>
            <w:vAlign w:val="center"/>
            <w:hideMark/>
          </w:tcPr>
          <w:p w:rsidRPr="00F8021B" w:rsidR="00872C69" w:rsidP="005F75F8" w:rsidRDefault="00872C69" w14:paraId="1BFD7166" w14:textId="77777777">
            <w:pPr>
              <w:widowControl/>
              <w:autoSpaceDE/>
              <w:autoSpaceDN/>
              <w:adjustRightInd/>
              <w:rPr>
                <w:b w:val="0"/>
                <w:color w:val="000000"/>
                <w:szCs w:val="20"/>
              </w:rPr>
            </w:pPr>
            <w:r w:rsidRPr="00F8021B">
              <w:rPr>
                <w:b w:val="0"/>
                <w:color w:val="000000"/>
                <w:szCs w:val="20"/>
              </w:rPr>
              <w:t>Fluorene</w:t>
            </w:r>
          </w:p>
        </w:tc>
        <w:tc>
          <w:tcPr>
            <w:tcW w:w="450" w:type="pct"/>
            <w:vAlign w:val="center"/>
            <w:hideMark/>
          </w:tcPr>
          <w:p w:rsidRPr="009F14D2" w:rsidR="00872C69" w:rsidRDefault="00872C69" w14:paraId="64F41F08" w14:textId="77777777">
            <w:pPr>
              <w:widowControl/>
              <w:autoSpaceDE/>
              <w:autoSpaceDN/>
              <w:adjustRightInd/>
              <w:jc w:val="center"/>
              <w:cnfStyle w:val="000000000000" w:firstRow="0" w:lastRow="0" w:firstColumn="0" w:lastColumn="0" w:oddVBand="0" w:evenVBand="0" w:oddHBand="0" w:evenHBand="0" w:firstRowFirstColumn="0" w:firstRowLastColumn="0" w:lastRowFirstColumn="0" w:lastRowLastColumn="0"/>
              <w:rPr>
                <w:color w:val="000000"/>
              </w:rPr>
            </w:pPr>
            <w:r w:rsidRPr="009F14D2">
              <w:rPr>
                <w:color w:val="000000"/>
              </w:rPr>
              <w:t>86737</w:t>
            </w:r>
          </w:p>
        </w:tc>
        <w:tc>
          <w:tcPr>
            <w:tcW w:w="455" w:type="pct"/>
            <w:vAlign w:val="center"/>
            <w:hideMark/>
          </w:tcPr>
          <w:p w:rsidRPr="009F14D2" w:rsidR="00872C69" w:rsidP="006B3EF8" w:rsidRDefault="006B3EF8" w14:paraId="045772F7" w14:textId="70CC9610">
            <w:pPr>
              <w:widowControl/>
              <w:autoSpaceDE/>
              <w:autoSpaceDN/>
              <w:adjustRightInd/>
              <w:jc w:val="center"/>
              <w:cnfStyle w:val="000000000000" w:firstRow="0" w:lastRow="0" w:firstColumn="0" w:lastColumn="0" w:oddVBand="0" w:evenVBand="0" w:oddHBand="0" w:evenHBand="0" w:firstRowFirstColumn="0" w:firstRowLastColumn="0" w:lastRowFirstColumn="0" w:lastRowLastColumn="0"/>
              <w:rPr>
                <w:color w:val="000000"/>
              </w:rPr>
            </w:pPr>
            <w:r>
              <w:rPr>
                <w:color w:val="000000"/>
              </w:rPr>
              <w:t>2.99</w:t>
            </w:r>
          </w:p>
        </w:tc>
        <w:tc>
          <w:tcPr>
            <w:tcW w:w="455" w:type="pct"/>
            <w:vAlign w:val="center"/>
            <w:hideMark/>
          </w:tcPr>
          <w:p w:rsidRPr="00F8021B" w:rsidR="00872C69" w:rsidP="009D4555" w:rsidRDefault="00872C69" w14:paraId="29E22747" w14:textId="45739C8E">
            <w:pPr>
              <w:widowControl/>
              <w:autoSpaceDE/>
              <w:autoSpaceDN/>
              <w:adjustRightInd/>
              <w:jc w:val="center"/>
              <w:cnfStyle w:val="000000000000" w:firstRow="0" w:lastRow="0" w:firstColumn="0" w:lastColumn="0" w:oddVBand="0" w:evenVBand="0" w:oddHBand="0" w:evenHBand="0" w:firstRowFirstColumn="0" w:firstRowLastColumn="0" w:lastRowFirstColumn="0" w:lastRowLastColumn="0"/>
              <w:rPr>
                <w:color w:val="000000"/>
                <w:szCs w:val="20"/>
              </w:rPr>
            </w:pPr>
            <w:r w:rsidRPr="00F8021B">
              <w:rPr>
                <w:color w:val="000000"/>
                <w:szCs w:val="20"/>
              </w:rPr>
              <w:t>mg/kg</w:t>
            </w:r>
          </w:p>
        </w:tc>
        <w:tc>
          <w:tcPr>
            <w:tcW w:w="535" w:type="pct"/>
            <w:vAlign w:val="center"/>
            <w:hideMark/>
          </w:tcPr>
          <w:p w:rsidRPr="00F8021B" w:rsidR="00872C69" w:rsidP="009D4555" w:rsidRDefault="006B3EF8" w14:paraId="64099573" w14:textId="3F2BF390">
            <w:pPr>
              <w:widowControl/>
              <w:autoSpaceDE/>
              <w:autoSpaceDN/>
              <w:adjustRightInd/>
              <w:jc w:val="center"/>
              <w:cnfStyle w:val="000000000000" w:firstRow="0" w:lastRow="0" w:firstColumn="0" w:lastColumn="0" w:oddVBand="0" w:evenVBand="0" w:oddHBand="0" w:evenHBand="0" w:firstRowFirstColumn="0" w:firstRowLastColumn="0" w:lastRowFirstColumn="0" w:lastRowLastColumn="0"/>
              <w:rPr>
                <w:color w:val="000000"/>
                <w:szCs w:val="20"/>
              </w:rPr>
            </w:pPr>
            <w:r>
              <w:rPr>
                <w:color w:val="000000"/>
                <w:szCs w:val="20"/>
              </w:rPr>
              <w:t>5.97</w:t>
            </w:r>
            <w:r w:rsidRPr="00F8021B" w:rsidR="00872C69">
              <w:rPr>
                <w:color w:val="000000"/>
                <w:szCs w:val="20"/>
              </w:rPr>
              <w:t>E-03</w:t>
            </w:r>
          </w:p>
        </w:tc>
        <w:tc>
          <w:tcPr>
            <w:tcW w:w="535" w:type="pct"/>
            <w:vAlign w:val="center"/>
            <w:hideMark/>
          </w:tcPr>
          <w:p w:rsidRPr="00F8021B" w:rsidR="00872C69" w:rsidP="009D4555" w:rsidRDefault="00872C69" w14:paraId="5EB741A1" w14:textId="67600711">
            <w:pPr>
              <w:widowControl/>
              <w:autoSpaceDE/>
              <w:autoSpaceDN/>
              <w:adjustRightInd/>
              <w:jc w:val="center"/>
              <w:cnfStyle w:val="000000000000" w:firstRow="0" w:lastRow="0" w:firstColumn="0" w:lastColumn="0" w:oddVBand="0" w:evenVBand="0" w:oddHBand="0" w:evenHBand="0" w:firstRowFirstColumn="0" w:firstRowLastColumn="0" w:lastRowFirstColumn="0" w:lastRowLastColumn="0"/>
              <w:rPr>
                <w:color w:val="000000"/>
                <w:szCs w:val="20"/>
              </w:rPr>
            </w:pPr>
            <w:r w:rsidRPr="00F8021B">
              <w:rPr>
                <w:color w:val="000000"/>
                <w:szCs w:val="20"/>
              </w:rPr>
              <w:t>lbs./ton</w:t>
            </w:r>
          </w:p>
        </w:tc>
        <w:tc>
          <w:tcPr>
            <w:tcW w:w="1582" w:type="pct"/>
            <w:hideMark/>
          </w:tcPr>
          <w:p w:rsidRPr="00F8021B" w:rsidR="00872C69" w:rsidP="0046047E" w:rsidRDefault="006B3EF8" w14:paraId="375DAA0F" w14:textId="68F74BB0">
            <w:pPr>
              <w:widowControl/>
              <w:autoSpaceDE/>
              <w:autoSpaceDN/>
              <w:adjustRightInd/>
              <w:cnfStyle w:val="000000000000" w:firstRow="0" w:lastRow="0" w:firstColumn="0" w:lastColumn="0" w:oddVBand="0" w:evenVBand="0" w:oddHBand="0" w:evenHBand="0" w:firstRowFirstColumn="0" w:firstRowLastColumn="0" w:lastRowFirstColumn="0" w:lastRowLastColumn="0"/>
              <w:rPr>
                <w:color w:val="000000"/>
                <w:szCs w:val="20"/>
              </w:rPr>
            </w:pPr>
            <w:r>
              <w:rPr>
                <w:color w:val="000000"/>
                <w:szCs w:val="20"/>
              </w:rPr>
              <w:t xml:space="preserve">Reference </w:t>
            </w:r>
            <w:r>
              <w:rPr>
                <w:color w:val="000000"/>
                <w:szCs w:val="20"/>
              </w:rPr>
              <w:fldChar w:fldCharType="begin"/>
            </w:r>
            <w:r>
              <w:rPr>
                <w:color w:val="000000"/>
                <w:szCs w:val="20"/>
              </w:rPr>
              <w:instrText xml:space="preserve"> NOTEREF _Ref478482810 \h  \* MERGEFORMAT </w:instrText>
            </w:r>
            <w:r>
              <w:rPr>
                <w:color w:val="000000"/>
                <w:szCs w:val="20"/>
              </w:rPr>
            </w:r>
            <w:r>
              <w:rPr>
                <w:color w:val="000000"/>
                <w:szCs w:val="20"/>
              </w:rPr>
              <w:fldChar w:fldCharType="separate"/>
            </w:r>
            <w:r>
              <w:rPr>
                <w:color w:val="000000"/>
                <w:szCs w:val="20"/>
              </w:rPr>
              <w:t>8</w:t>
            </w:r>
            <w:r>
              <w:rPr>
                <w:color w:val="000000"/>
                <w:szCs w:val="20"/>
              </w:rPr>
              <w:fldChar w:fldCharType="end"/>
            </w:r>
            <w:r w:rsidRPr="00F8021B">
              <w:rPr>
                <w:color w:val="000000"/>
                <w:szCs w:val="20"/>
              </w:rPr>
              <w:t>, Table 3-6</w:t>
            </w:r>
          </w:p>
        </w:tc>
      </w:tr>
      <w:tr w:rsidRPr="00F8021B" w:rsidR="00872C69" w:rsidTr="00030F9E" w14:paraId="078D9EEB" w14:textId="77777777">
        <w:trPr>
          <w:cnfStyle w:val="000000100000" w:firstRow="0" w:lastRow="0" w:firstColumn="0" w:lastColumn="0" w:oddVBand="0" w:evenVBand="0" w:oddHBand="1" w:evenHBand="0" w:firstRowFirstColumn="0" w:firstRowLastColumn="0" w:lastRowFirstColumn="0" w:lastRowLastColumn="0"/>
          <w:cantSplit/>
          <w:trHeight w:val="20"/>
        </w:trPr>
        <w:tc>
          <w:tcPr>
            <w:cnfStyle w:val="001000000000" w:firstRow="0" w:lastRow="0" w:firstColumn="1" w:lastColumn="0" w:oddVBand="0" w:evenVBand="0" w:oddHBand="0" w:evenHBand="0" w:firstRowFirstColumn="0" w:firstRowLastColumn="0" w:lastRowFirstColumn="0" w:lastRowLastColumn="0"/>
            <w:tcW w:w="988" w:type="pct"/>
            <w:vAlign w:val="center"/>
            <w:hideMark/>
          </w:tcPr>
          <w:p w:rsidRPr="00F8021B" w:rsidR="00872C69" w:rsidP="005F75F8" w:rsidRDefault="00872C69" w14:paraId="2378CA7F" w14:textId="77777777">
            <w:pPr>
              <w:widowControl/>
              <w:autoSpaceDE/>
              <w:autoSpaceDN/>
              <w:adjustRightInd/>
              <w:rPr>
                <w:b w:val="0"/>
                <w:color w:val="000000"/>
                <w:szCs w:val="20"/>
              </w:rPr>
            </w:pPr>
            <w:r w:rsidRPr="00F8021B">
              <w:rPr>
                <w:b w:val="0"/>
                <w:color w:val="000000"/>
                <w:szCs w:val="20"/>
              </w:rPr>
              <w:t>Formaldehyde</w:t>
            </w:r>
          </w:p>
        </w:tc>
        <w:tc>
          <w:tcPr>
            <w:tcW w:w="450" w:type="pct"/>
            <w:vAlign w:val="center"/>
            <w:hideMark/>
          </w:tcPr>
          <w:p w:rsidRPr="009F14D2" w:rsidR="00872C69" w:rsidRDefault="00872C69" w14:paraId="6BFD22EE" w14:textId="77777777">
            <w:pPr>
              <w:widowControl/>
              <w:autoSpaceDE/>
              <w:autoSpaceDN/>
              <w:adjustRightInd/>
              <w:jc w:val="center"/>
              <w:cnfStyle w:val="000000100000" w:firstRow="0" w:lastRow="0" w:firstColumn="0" w:lastColumn="0" w:oddVBand="0" w:evenVBand="0" w:oddHBand="1" w:evenHBand="0" w:firstRowFirstColumn="0" w:firstRowLastColumn="0" w:lastRowFirstColumn="0" w:lastRowLastColumn="0"/>
              <w:rPr>
                <w:color w:val="000000"/>
              </w:rPr>
            </w:pPr>
            <w:r w:rsidRPr="009F14D2">
              <w:rPr>
                <w:color w:val="000000"/>
              </w:rPr>
              <w:t>50000</w:t>
            </w:r>
          </w:p>
        </w:tc>
        <w:tc>
          <w:tcPr>
            <w:tcW w:w="455" w:type="pct"/>
            <w:vAlign w:val="center"/>
            <w:hideMark/>
          </w:tcPr>
          <w:p w:rsidRPr="009F14D2" w:rsidR="00872C69" w:rsidRDefault="00872C69" w14:paraId="6931F886" w14:textId="77777777">
            <w:pPr>
              <w:widowControl/>
              <w:autoSpaceDE/>
              <w:autoSpaceDN/>
              <w:adjustRightInd/>
              <w:jc w:val="center"/>
              <w:cnfStyle w:val="000000100000" w:firstRow="0" w:lastRow="0" w:firstColumn="0" w:lastColumn="0" w:oddVBand="0" w:evenVBand="0" w:oddHBand="1" w:evenHBand="0" w:firstRowFirstColumn="0" w:firstRowLastColumn="0" w:lastRowFirstColumn="0" w:lastRowLastColumn="0"/>
              <w:rPr>
                <w:color w:val="000000"/>
              </w:rPr>
            </w:pPr>
            <w:r w:rsidRPr="009F14D2">
              <w:rPr>
                <w:color w:val="000000"/>
              </w:rPr>
              <w:t>443.65</w:t>
            </w:r>
          </w:p>
        </w:tc>
        <w:tc>
          <w:tcPr>
            <w:tcW w:w="455" w:type="pct"/>
            <w:vAlign w:val="center"/>
            <w:hideMark/>
          </w:tcPr>
          <w:p w:rsidRPr="00F8021B" w:rsidR="00872C69" w:rsidP="009D4555" w:rsidRDefault="00872C69" w14:paraId="3D181475" w14:textId="7F49DBCF">
            <w:pPr>
              <w:widowControl/>
              <w:autoSpaceDE/>
              <w:autoSpaceDN/>
              <w:adjustRightInd/>
              <w:jc w:val="center"/>
              <w:cnfStyle w:val="000000100000" w:firstRow="0" w:lastRow="0" w:firstColumn="0" w:lastColumn="0" w:oddVBand="0" w:evenVBand="0" w:oddHBand="1" w:evenHBand="0" w:firstRowFirstColumn="0" w:firstRowLastColumn="0" w:lastRowFirstColumn="0" w:lastRowLastColumn="0"/>
              <w:rPr>
                <w:color w:val="000000"/>
                <w:szCs w:val="20"/>
              </w:rPr>
            </w:pPr>
            <w:r w:rsidRPr="00F8021B">
              <w:rPr>
                <w:color w:val="000000"/>
                <w:szCs w:val="20"/>
              </w:rPr>
              <w:t>mg/kg</w:t>
            </w:r>
          </w:p>
        </w:tc>
        <w:tc>
          <w:tcPr>
            <w:tcW w:w="535" w:type="pct"/>
            <w:vAlign w:val="center"/>
            <w:hideMark/>
          </w:tcPr>
          <w:p w:rsidRPr="00F8021B" w:rsidR="00872C69" w:rsidP="006B3EF8" w:rsidRDefault="00872C69" w14:paraId="5FD595EF" w14:textId="3DFBA9DC">
            <w:pPr>
              <w:widowControl/>
              <w:autoSpaceDE/>
              <w:autoSpaceDN/>
              <w:adjustRightInd/>
              <w:jc w:val="center"/>
              <w:cnfStyle w:val="000000100000" w:firstRow="0" w:lastRow="0" w:firstColumn="0" w:lastColumn="0" w:oddVBand="0" w:evenVBand="0" w:oddHBand="1" w:evenHBand="0" w:firstRowFirstColumn="0" w:firstRowLastColumn="0" w:lastRowFirstColumn="0" w:lastRowLastColumn="0"/>
              <w:rPr>
                <w:color w:val="000000"/>
                <w:szCs w:val="20"/>
              </w:rPr>
            </w:pPr>
            <w:r w:rsidRPr="00F8021B">
              <w:rPr>
                <w:color w:val="000000"/>
                <w:szCs w:val="20"/>
              </w:rPr>
              <w:t>8.8</w:t>
            </w:r>
            <w:r w:rsidR="006B3EF8">
              <w:rPr>
                <w:color w:val="000000"/>
                <w:szCs w:val="20"/>
              </w:rPr>
              <w:t>5</w:t>
            </w:r>
            <w:r w:rsidRPr="00F8021B">
              <w:rPr>
                <w:color w:val="000000"/>
                <w:szCs w:val="20"/>
              </w:rPr>
              <w:t>E-01</w:t>
            </w:r>
          </w:p>
        </w:tc>
        <w:tc>
          <w:tcPr>
            <w:tcW w:w="535" w:type="pct"/>
            <w:vAlign w:val="center"/>
            <w:hideMark/>
          </w:tcPr>
          <w:p w:rsidRPr="00F8021B" w:rsidR="00872C69" w:rsidP="009D4555" w:rsidRDefault="00872C69" w14:paraId="1FE5CBF7" w14:textId="520474DC">
            <w:pPr>
              <w:widowControl/>
              <w:autoSpaceDE/>
              <w:autoSpaceDN/>
              <w:adjustRightInd/>
              <w:jc w:val="center"/>
              <w:cnfStyle w:val="000000100000" w:firstRow="0" w:lastRow="0" w:firstColumn="0" w:lastColumn="0" w:oddVBand="0" w:evenVBand="0" w:oddHBand="1" w:evenHBand="0" w:firstRowFirstColumn="0" w:firstRowLastColumn="0" w:lastRowFirstColumn="0" w:lastRowLastColumn="0"/>
              <w:rPr>
                <w:color w:val="000000"/>
                <w:szCs w:val="20"/>
              </w:rPr>
            </w:pPr>
            <w:r w:rsidRPr="00F8021B">
              <w:rPr>
                <w:color w:val="000000"/>
                <w:szCs w:val="20"/>
              </w:rPr>
              <w:t>lbs./ton</w:t>
            </w:r>
          </w:p>
        </w:tc>
        <w:tc>
          <w:tcPr>
            <w:tcW w:w="1582" w:type="pct"/>
            <w:hideMark/>
          </w:tcPr>
          <w:p w:rsidRPr="00F8021B" w:rsidR="00872C69" w:rsidP="009D4555" w:rsidRDefault="00872C69" w14:paraId="4DCE89E9" w14:textId="77C0A5E7">
            <w:pPr>
              <w:widowControl/>
              <w:autoSpaceDE/>
              <w:autoSpaceDN/>
              <w:adjustRightInd/>
              <w:cnfStyle w:val="000000100000" w:firstRow="0" w:lastRow="0" w:firstColumn="0" w:lastColumn="0" w:oddVBand="0" w:evenVBand="0" w:oddHBand="1" w:evenHBand="0" w:firstRowFirstColumn="0" w:firstRowLastColumn="0" w:lastRowFirstColumn="0" w:lastRowLastColumn="0"/>
              <w:rPr>
                <w:color w:val="000000"/>
                <w:szCs w:val="20"/>
              </w:rPr>
            </w:pPr>
            <w:r>
              <w:rPr>
                <w:color w:val="000000"/>
                <w:szCs w:val="20"/>
              </w:rPr>
              <w:t xml:space="preserve">Reference </w:t>
            </w:r>
            <w:r>
              <w:rPr>
                <w:color w:val="000000"/>
                <w:szCs w:val="20"/>
              </w:rPr>
              <w:fldChar w:fldCharType="begin"/>
            </w:r>
            <w:r>
              <w:rPr>
                <w:color w:val="000000"/>
                <w:szCs w:val="20"/>
              </w:rPr>
              <w:instrText xml:space="preserve"> NOTEREF _Ref478482810 \h  \* MERGEFORMAT </w:instrText>
            </w:r>
            <w:r>
              <w:rPr>
                <w:color w:val="000000"/>
                <w:szCs w:val="20"/>
              </w:rPr>
            </w:r>
            <w:r>
              <w:rPr>
                <w:color w:val="000000"/>
                <w:szCs w:val="20"/>
              </w:rPr>
              <w:fldChar w:fldCharType="separate"/>
            </w:r>
            <w:r w:rsidR="00117BBF">
              <w:rPr>
                <w:color w:val="000000"/>
                <w:szCs w:val="20"/>
              </w:rPr>
              <w:t>8</w:t>
            </w:r>
            <w:r>
              <w:rPr>
                <w:color w:val="000000"/>
                <w:szCs w:val="20"/>
              </w:rPr>
              <w:fldChar w:fldCharType="end"/>
            </w:r>
            <w:r w:rsidRPr="00F8021B">
              <w:rPr>
                <w:color w:val="000000"/>
                <w:szCs w:val="20"/>
              </w:rPr>
              <w:t>, Table 3-6</w:t>
            </w:r>
          </w:p>
        </w:tc>
      </w:tr>
      <w:tr w:rsidRPr="00F8021B" w:rsidR="00004867" w:rsidTr="00030F9E" w14:paraId="492B2BB0" w14:textId="77777777">
        <w:trPr>
          <w:cantSplit/>
          <w:trHeight w:val="20"/>
        </w:trPr>
        <w:tc>
          <w:tcPr>
            <w:cnfStyle w:val="001000000000" w:firstRow="0" w:lastRow="0" w:firstColumn="1" w:lastColumn="0" w:oddVBand="0" w:evenVBand="0" w:oddHBand="0" w:evenHBand="0" w:firstRowFirstColumn="0" w:firstRowLastColumn="0" w:lastRowFirstColumn="0" w:lastRowLastColumn="0"/>
            <w:tcW w:w="988" w:type="pct"/>
            <w:vAlign w:val="center"/>
          </w:tcPr>
          <w:p w:rsidRPr="00F8021B" w:rsidR="00004867" w:rsidP="005F75F8" w:rsidRDefault="00004867" w14:paraId="1AFA9BEE" w14:textId="383166EC">
            <w:pPr>
              <w:widowControl/>
              <w:autoSpaceDE/>
              <w:autoSpaceDN/>
              <w:adjustRightInd/>
              <w:rPr>
                <w:b w:val="0"/>
                <w:color w:val="000000"/>
                <w:szCs w:val="20"/>
              </w:rPr>
            </w:pPr>
            <w:r>
              <w:rPr>
                <w:b w:val="0"/>
                <w:color w:val="000000"/>
                <w:szCs w:val="20"/>
              </w:rPr>
              <w:t>Dibenzofuran</w:t>
            </w:r>
          </w:p>
        </w:tc>
        <w:tc>
          <w:tcPr>
            <w:tcW w:w="450" w:type="pct"/>
            <w:vAlign w:val="center"/>
          </w:tcPr>
          <w:p w:rsidRPr="009F14D2" w:rsidR="00004867" w:rsidRDefault="00004867" w14:paraId="1B3CA872" w14:textId="5A464ABE">
            <w:pPr>
              <w:widowControl/>
              <w:autoSpaceDE/>
              <w:autoSpaceDN/>
              <w:adjustRightInd/>
              <w:jc w:val="center"/>
              <w:cnfStyle w:val="000000000000" w:firstRow="0" w:lastRow="0" w:firstColumn="0" w:lastColumn="0" w:oddVBand="0" w:evenVBand="0" w:oddHBand="0" w:evenHBand="0" w:firstRowFirstColumn="0" w:firstRowLastColumn="0" w:lastRowFirstColumn="0" w:lastRowLastColumn="0"/>
              <w:rPr>
                <w:color w:val="000000"/>
              </w:rPr>
            </w:pPr>
            <w:r>
              <w:rPr>
                <w:color w:val="000000"/>
              </w:rPr>
              <w:t>132649</w:t>
            </w:r>
          </w:p>
        </w:tc>
        <w:tc>
          <w:tcPr>
            <w:tcW w:w="455" w:type="pct"/>
            <w:vAlign w:val="center"/>
          </w:tcPr>
          <w:p w:rsidR="00004867" w:rsidRDefault="00004867" w14:paraId="0116CCA0" w14:textId="55AE4126">
            <w:pPr>
              <w:widowControl/>
              <w:autoSpaceDE/>
              <w:autoSpaceDN/>
              <w:adjustRightInd/>
              <w:jc w:val="center"/>
              <w:cnfStyle w:val="000000000000" w:firstRow="0" w:lastRow="0" w:firstColumn="0" w:lastColumn="0" w:oddVBand="0" w:evenVBand="0" w:oddHBand="0" w:evenHBand="0" w:firstRowFirstColumn="0" w:firstRowLastColumn="0" w:lastRowFirstColumn="0" w:lastRowLastColumn="0"/>
              <w:rPr>
                <w:color w:val="000000"/>
              </w:rPr>
            </w:pPr>
            <w:r>
              <w:rPr>
                <w:color w:val="000000"/>
              </w:rPr>
              <w:t>3.64</w:t>
            </w:r>
          </w:p>
        </w:tc>
        <w:tc>
          <w:tcPr>
            <w:tcW w:w="455" w:type="pct"/>
            <w:vAlign w:val="center"/>
          </w:tcPr>
          <w:p w:rsidRPr="00F8021B" w:rsidR="00004867" w:rsidP="009D4555" w:rsidRDefault="00004867" w14:paraId="62B4B3DF" w14:textId="00E5DB2A">
            <w:pPr>
              <w:widowControl/>
              <w:autoSpaceDE/>
              <w:autoSpaceDN/>
              <w:adjustRightInd/>
              <w:jc w:val="center"/>
              <w:cnfStyle w:val="000000000000" w:firstRow="0" w:lastRow="0" w:firstColumn="0" w:lastColumn="0" w:oddVBand="0" w:evenVBand="0" w:oddHBand="0" w:evenHBand="0" w:firstRowFirstColumn="0" w:firstRowLastColumn="0" w:lastRowFirstColumn="0" w:lastRowLastColumn="0"/>
              <w:rPr>
                <w:color w:val="000000"/>
                <w:szCs w:val="20"/>
              </w:rPr>
            </w:pPr>
            <w:r>
              <w:rPr>
                <w:color w:val="000000"/>
                <w:szCs w:val="20"/>
              </w:rPr>
              <w:t>mg/kg</w:t>
            </w:r>
          </w:p>
        </w:tc>
        <w:tc>
          <w:tcPr>
            <w:tcW w:w="535" w:type="pct"/>
            <w:vAlign w:val="center"/>
          </w:tcPr>
          <w:p w:rsidR="00004867" w:rsidP="009D4555" w:rsidRDefault="009E562E" w14:paraId="4965501F" w14:textId="2F9EB114">
            <w:pPr>
              <w:widowControl/>
              <w:autoSpaceDE/>
              <w:autoSpaceDN/>
              <w:adjustRightInd/>
              <w:jc w:val="center"/>
              <w:cnfStyle w:val="000000000000" w:firstRow="0" w:lastRow="0" w:firstColumn="0" w:lastColumn="0" w:oddVBand="0" w:evenVBand="0" w:oddHBand="0" w:evenHBand="0" w:firstRowFirstColumn="0" w:firstRowLastColumn="0" w:lastRowFirstColumn="0" w:lastRowLastColumn="0"/>
              <w:rPr>
                <w:color w:val="000000"/>
                <w:szCs w:val="20"/>
              </w:rPr>
            </w:pPr>
            <w:r>
              <w:rPr>
                <w:color w:val="000000"/>
                <w:szCs w:val="20"/>
              </w:rPr>
              <w:t>7.26</w:t>
            </w:r>
            <w:r w:rsidR="00004867">
              <w:rPr>
                <w:color w:val="000000"/>
                <w:szCs w:val="20"/>
              </w:rPr>
              <w:t>E-03</w:t>
            </w:r>
          </w:p>
        </w:tc>
        <w:tc>
          <w:tcPr>
            <w:tcW w:w="535" w:type="pct"/>
            <w:vAlign w:val="center"/>
          </w:tcPr>
          <w:p w:rsidRPr="00F8021B" w:rsidR="00004867" w:rsidP="009D4555" w:rsidRDefault="00004867" w14:paraId="4EBF9FF6" w14:textId="7017F238">
            <w:pPr>
              <w:widowControl/>
              <w:autoSpaceDE/>
              <w:autoSpaceDN/>
              <w:adjustRightInd/>
              <w:jc w:val="center"/>
              <w:cnfStyle w:val="000000000000" w:firstRow="0" w:lastRow="0" w:firstColumn="0" w:lastColumn="0" w:oddVBand="0" w:evenVBand="0" w:oddHBand="0" w:evenHBand="0" w:firstRowFirstColumn="0" w:firstRowLastColumn="0" w:lastRowFirstColumn="0" w:lastRowLastColumn="0"/>
              <w:rPr>
                <w:color w:val="000000"/>
                <w:szCs w:val="20"/>
              </w:rPr>
            </w:pPr>
            <w:r>
              <w:rPr>
                <w:color w:val="000000"/>
                <w:szCs w:val="20"/>
              </w:rPr>
              <w:t>lbs./ton</w:t>
            </w:r>
          </w:p>
        </w:tc>
        <w:tc>
          <w:tcPr>
            <w:tcW w:w="1582" w:type="pct"/>
          </w:tcPr>
          <w:p w:rsidR="00004867" w:rsidP="00AF4787" w:rsidRDefault="00004867" w14:paraId="28686D05" w14:textId="61B43452">
            <w:pPr>
              <w:widowControl/>
              <w:autoSpaceDE/>
              <w:autoSpaceDN/>
              <w:adjustRightInd/>
              <w:cnfStyle w:val="000000000000" w:firstRow="0" w:lastRow="0" w:firstColumn="0" w:lastColumn="0" w:oddVBand="0" w:evenVBand="0" w:oddHBand="0" w:evenHBand="0" w:firstRowFirstColumn="0" w:firstRowLastColumn="0" w:lastRowFirstColumn="0" w:lastRowLastColumn="0"/>
              <w:rPr>
                <w:color w:val="000000"/>
                <w:szCs w:val="20"/>
              </w:rPr>
            </w:pPr>
            <w:r>
              <w:rPr>
                <w:color w:val="000000"/>
                <w:szCs w:val="20"/>
              </w:rPr>
              <w:t xml:space="preserve">Reference </w:t>
            </w:r>
            <w:r>
              <w:rPr>
                <w:color w:val="000000"/>
                <w:szCs w:val="20"/>
              </w:rPr>
              <w:fldChar w:fldCharType="begin"/>
            </w:r>
            <w:r>
              <w:rPr>
                <w:color w:val="000000"/>
                <w:szCs w:val="20"/>
              </w:rPr>
              <w:instrText xml:space="preserve"> NOTEREF _Ref478482810 \h  \* MERGEFORMAT </w:instrText>
            </w:r>
            <w:r>
              <w:rPr>
                <w:color w:val="000000"/>
                <w:szCs w:val="20"/>
              </w:rPr>
            </w:r>
            <w:r>
              <w:rPr>
                <w:color w:val="000000"/>
                <w:szCs w:val="20"/>
              </w:rPr>
              <w:fldChar w:fldCharType="separate"/>
            </w:r>
            <w:r>
              <w:rPr>
                <w:color w:val="000000"/>
                <w:szCs w:val="20"/>
              </w:rPr>
              <w:t>8</w:t>
            </w:r>
            <w:r>
              <w:rPr>
                <w:color w:val="000000"/>
                <w:szCs w:val="20"/>
              </w:rPr>
              <w:fldChar w:fldCharType="end"/>
            </w:r>
            <w:r w:rsidRPr="00F8021B">
              <w:rPr>
                <w:color w:val="000000"/>
                <w:szCs w:val="20"/>
              </w:rPr>
              <w:t>, Table 3-6</w:t>
            </w:r>
          </w:p>
        </w:tc>
      </w:tr>
      <w:tr w:rsidRPr="00F8021B" w:rsidR="00872C69" w:rsidTr="00030F9E" w14:paraId="21F39597" w14:textId="77777777">
        <w:trPr>
          <w:cnfStyle w:val="000000100000" w:firstRow="0" w:lastRow="0" w:firstColumn="0" w:lastColumn="0" w:oddVBand="0" w:evenVBand="0" w:oddHBand="1" w:evenHBand="0" w:firstRowFirstColumn="0" w:firstRowLastColumn="0" w:lastRowFirstColumn="0" w:lastRowLastColumn="0"/>
          <w:cantSplit/>
          <w:trHeight w:val="20"/>
        </w:trPr>
        <w:tc>
          <w:tcPr>
            <w:cnfStyle w:val="001000000000" w:firstRow="0" w:lastRow="0" w:firstColumn="1" w:lastColumn="0" w:oddVBand="0" w:evenVBand="0" w:oddHBand="0" w:evenHBand="0" w:firstRowFirstColumn="0" w:firstRowLastColumn="0" w:lastRowFirstColumn="0" w:lastRowLastColumn="0"/>
            <w:tcW w:w="988" w:type="pct"/>
            <w:vAlign w:val="center"/>
            <w:hideMark/>
          </w:tcPr>
          <w:p w:rsidRPr="00F8021B" w:rsidR="00872C69" w:rsidP="005F75F8" w:rsidRDefault="00872C69" w14:paraId="5F1646BB" w14:textId="77777777">
            <w:pPr>
              <w:widowControl/>
              <w:autoSpaceDE/>
              <w:autoSpaceDN/>
              <w:adjustRightInd/>
              <w:rPr>
                <w:b w:val="0"/>
                <w:color w:val="000000"/>
                <w:szCs w:val="20"/>
              </w:rPr>
            </w:pPr>
            <w:r w:rsidRPr="00F8021B">
              <w:rPr>
                <w:b w:val="0"/>
                <w:color w:val="000000"/>
                <w:szCs w:val="20"/>
              </w:rPr>
              <w:t>Hexachlorobenzene</w:t>
            </w:r>
          </w:p>
        </w:tc>
        <w:tc>
          <w:tcPr>
            <w:tcW w:w="450" w:type="pct"/>
            <w:vAlign w:val="center"/>
            <w:hideMark/>
          </w:tcPr>
          <w:p w:rsidRPr="009F14D2" w:rsidR="00872C69" w:rsidRDefault="00872C69" w14:paraId="74A457F6" w14:textId="77777777">
            <w:pPr>
              <w:widowControl/>
              <w:autoSpaceDE/>
              <w:autoSpaceDN/>
              <w:adjustRightInd/>
              <w:jc w:val="center"/>
              <w:cnfStyle w:val="000000100000" w:firstRow="0" w:lastRow="0" w:firstColumn="0" w:lastColumn="0" w:oddVBand="0" w:evenVBand="0" w:oddHBand="1" w:evenHBand="0" w:firstRowFirstColumn="0" w:firstRowLastColumn="0" w:lastRowFirstColumn="0" w:lastRowLastColumn="0"/>
              <w:rPr>
                <w:color w:val="000000"/>
              </w:rPr>
            </w:pPr>
            <w:r w:rsidRPr="009F14D2">
              <w:rPr>
                <w:color w:val="000000"/>
              </w:rPr>
              <w:t>118741</w:t>
            </w:r>
          </w:p>
        </w:tc>
        <w:tc>
          <w:tcPr>
            <w:tcW w:w="455" w:type="pct"/>
            <w:vAlign w:val="center"/>
            <w:hideMark/>
          </w:tcPr>
          <w:p w:rsidRPr="009F14D2" w:rsidR="00872C69" w:rsidRDefault="006B3EF8" w14:paraId="5FCF6503" w14:textId="54ECAB9D">
            <w:pPr>
              <w:widowControl/>
              <w:autoSpaceDE/>
              <w:autoSpaceDN/>
              <w:adjustRightInd/>
              <w:jc w:val="center"/>
              <w:cnfStyle w:val="000000100000" w:firstRow="0" w:lastRow="0" w:firstColumn="0" w:lastColumn="0" w:oddVBand="0" w:evenVBand="0" w:oddHBand="1" w:evenHBand="0" w:firstRowFirstColumn="0" w:firstRowLastColumn="0" w:lastRowFirstColumn="0" w:lastRowLastColumn="0"/>
              <w:rPr>
                <w:color w:val="000000"/>
              </w:rPr>
            </w:pPr>
            <w:r>
              <w:rPr>
                <w:color w:val="000000"/>
              </w:rPr>
              <w:t>0.04</w:t>
            </w:r>
          </w:p>
        </w:tc>
        <w:tc>
          <w:tcPr>
            <w:tcW w:w="455" w:type="pct"/>
            <w:vAlign w:val="center"/>
            <w:hideMark/>
          </w:tcPr>
          <w:p w:rsidRPr="00F8021B" w:rsidR="00872C69" w:rsidP="009D4555" w:rsidRDefault="00872C69" w14:paraId="32630C77" w14:textId="4F828770">
            <w:pPr>
              <w:widowControl/>
              <w:autoSpaceDE/>
              <w:autoSpaceDN/>
              <w:adjustRightInd/>
              <w:jc w:val="center"/>
              <w:cnfStyle w:val="000000100000" w:firstRow="0" w:lastRow="0" w:firstColumn="0" w:lastColumn="0" w:oddVBand="0" w:evenVBand="0" w:oddHBand="1" w:evenHBand="0" w:firstRowFirstColumn="0" w:firstRowLastColumn="0" w:lastRowFirstColumn="0" w:lastRowLastColumn="0"/>
              <w:rPr>
                <w:color w:val="000000"/>
                <w:szCs w:val="20"/>
              </w:rPr>
            </w:pPr>
            <w:r w:rsidRPr="00F8021B">
              <w:rPr>
                <w:color w:val="000000"/>
                <w:szCs w:val="20"/>
              </w:rPr>
              <w:t>mg/kg</w:t>
            </w:r>
          </w:p>
        </w:tc>
        <w:tc>
          <w:tcPr>
            <w:tcW w:w="535" w:type="pct"/>
            <w:vAlign w:val="center"/>
            <w:hideMark/>
          </w:tcPr>
          <w:p w:rsidRPr="00F8021B" w:rsidR="00872C69" w:rsidP="009D4555" w:rsidRDefault="009E562E" w14:paraId="1CE20C0C" w14:textId="664799E7">
            <w:pPr>
              <w:widowControl/>
              <w:autoSpaceDE/>
              <w:autoSpaceDN/>
              <w:adjustRightInd/>
              <w:jc w:val="center"/>
              <w:cnfStyle w:val="000000100000" w:firstRow="0" w:lastRow="0" w:firstColumn="0" w:lastColumn="0" w:oddVBand="0" w:evenVBand="0" w:oddHBand="1" w:evenHBand="0" w:firstRowFirstColumn="0" w:firstRowLastColumn="0" w:lastRowFirstColumn="0" w:lastRowLastColumn="0"/>
              <w:rPr>
                <w:color w:val="000000"/>
                <w:szCs w:val="20"/>
              </w:rPr>
            </w:pPr>
            <w:r>
              <w:rPr>
                <w:color w:val="000000"/>
                <w:szCs w:val="20"/>
              </w:rPr>
              <w:t>8.00</w:t>
            </w:r>
            <w:r w:rsidRPr="00F8021B" w:rsidR="00872C69">
              <w:rPr>
                <w:color w:val="000000"/>
                <w:szCs w:val="20"/>
              </w:rPr>
              <w:t>E-05</w:t>
            </w:r>
          </w:p>
        </w:tc>
        <w:tc>
          <w:tcPr>
            <w:tcW w:w="535" w:type="pct"/>
            <w:vAlign w:val="center"/>
            <w:hideMark/>
          </w:tcPr>
          <w:p w:rsidRPr="00F8021B" w:rsidR="00872C69" w:rsidP="009D4555" w:rsidRDefault="00872C69" w14:paraId="26F4E188" w14:textId="17F16C74">
            <w:pPr>
              <w:widowControl/>
              <w:autoSpaceDE/>
              <w:autoSpaceDN/>
              <w:adjustRightInd/>
              <w:jc w:val="center"/>
              <w:cnfStyle w:val="000000100000" w:firstRow="0" w:lastRow="0" w:firstColumn="0" w:lastColumn="0" w:oddVBand="0" w:evenVBand="0" w:oddHBand="1" w:evenHBand="0" w:firstRowFirstColumn="0" w:firstRowLastColumn="0" w:lastRowFirstColumn="0" w:lastRowLastColumn="0"/>
              <w:rPr>
                <w:color w:val="000000"/>
                <w:szCs w:val="20"/>
              </w:rPr>
            </w:pPr>
            <w:r w:rsidRPr="00F8021B">
              <w:rPr>
                <w:color w:val="000000"/>
                <w:szCs w:val="20"/>
              </w:rPr>
              <w:t>lbs./ton</w:t>
            </w:r>
          </w:p>
        </w:tc>
        <w:tc>
          <w:tcPr>
            <w:tcW w:w="1582" w:type="pct"/>
            <w:hideMark/>
          </w:tcPr>
          <w:p w:rsidRPr="00F8021B" w:rsidR="00872C69" w:rsidP="00AF4787" w:rsidRDefault="006B3EF8" w14:paraId="1B7CE896" w14:textId="1950B23A">
            <w:pPr>
              <w:widowControl/>
              <w:autoSpaceDE/>
              <w:autoSpaceDN/>
              <w:adjustRightInd/>
              <w:cnfStyle w:val="000000100000" w:firstRow="0" w:lastRow="0" w:firstColumn="0" w:lastColumn="0" w:oddVBand="0" w:evenVBand="0" w:oddHBand="1" w:evenHBand="0" w:firstRowFirstColumn="0" w:firstRowLastColumn="0" w:lastRowFirstColumn="0" w:lastRowLastColumn="0"/>
              <w:rPr>
                <w:color w:val="000000"/>
                <w:szCs w:val="20"/>
              </w:rPr>
            </w:pPr>
            <w:r>
              <w:rPr>
                <w:color w:val="000000"/>
                <w:szCs w:val="20"/>
              </w:rPr>
              <w:t xml:space="preserve">Reference </w:t>
            </w:r>
            <w:r>
              <w:rPr>
                <w:color w:val="000000"/>
                <w:szCs w:val="20"/>
              </w:rPr>
              <w:fldChar w:fldCharType="begin"/>
            </w:r>
            <w:r>
              <w:rPr>
                <w:color w:val="000000"/>
                <w:szCs w:val="20"/>
              </w:rPr>
              <w:instrText xml:space="preserve"> NOTEREF _Ref478482810 \h  \* MERGEFORMAT </w:instrText>
            </w:r>
            <w:r>
              <w:rPr>
                <w:color w:val="000000"/>
                <w:szCs w:val="20"/>
              </w:rPr>
            </w:r>
            <w:r>
              <w:rPr>
                <w:color w:val="000000"/>
                <w:szCs w:val="20"/>
              </w:rPr>
              <w:fldChar w:fldCharType="separate"/>
            </w:r>
            <w:r>
              <w:rPr>
                <w:color w:val="000000"/>
                <w:szCs w:val="20"/>
              </w:rPr>
              <w:t>8</w:t>
            </w:r>
            <w:r>
              <w:rPr>
                <w:color w:val="000000"/>
                <w:szCs w:val="20"/>
              </w:rPr>
              <w:fldChar w:fldCharType="end"/>
            </w:r>
            <w:r w:rsidRPr="00F8021B">
              <w:rPr>
                <w:color w:val="000000"/>
                <w:szCs w:val="20"/>
              </w:rPr>
              <w:t>, Table 3-6</w:t>
            </w:r>
          </w:p>
        </w:tc>
      </w:tr>
      <w:tr w:rsidRPr="00F8021B" w:rsidR="00872C69" w:rsidTr="00030F9E" w14:paraId="27949A53" w14:textId="77777777">
        <w:trPr>
          <w:cantSplit/>
          <w:trHeight w:val="20"/>
        </w:trPr>
        <w:tc>
          <w:tcPr>
            <w:cnfStyle w:val="001000000000" w:firstRow="0" w:lastRow="0" w:firstColumn="1" w:lastColumn="0" w:oddVBand="0" w:evenVBand="0" w:oddHBand="0" w:evenHBand="0" w:firstRowFirstColumn="0" w:firstRowLastColumn="0" w:lastRowFirstColumn="0" w:lastRowLastColumn="0"/>
            <w:tcW w:w="988" w:type="pct"/>
            <w:vAlign w:val="center"/>
            <w:hideMark/>
          </w:tcPr>
          <w:p w:rsidRPr="00F8021B" w:rsidR="00872C69" w:rsidP="005F75F8" w:rsidRDefault="00872C69" w14:paraId="2E894B38" w14:textId="77777777">
            <w:pPr>
              <w:widowControl/>
              <w:autoSpaceDE/>
              <w:autoSpaceDN/>
              <w:adjustRightInd/>
              <w:rPr>
                <w:b w:val="0"/>
                <w:color w:val="000000"/>
                <w:szCs w:val="20"/>
              </w:rPr>
            </w:pPr>
            <w:r w:rsidRPr="00F8021B">
              <w:rPr>
                <w:b w:val="0"/>
                <w:color w:val="000000"/>
                <w:szCs w:val="20"/>
              </w:rPr>
              <w:lastRenderedPageBreak/>
              <w:t>Indeno[1,2,3-c,d]pyrene</w:t>
            </w:r>
          </w:p>
        </w:tc>
        <w:tc>
          <w:tcPr>
            <w:tcW w:w="450" w:type="pct"/>
            <w:vAlign w:val="center"/>
            <w:hideMark/>
          </w:tcPr>
          <w:p w:rsidRPr="009F14D2" w:rsidR="00872C69" w:rsidRDefault="00872C69" w14:paraId="641774A4" w14:textId="77777777">
            <w:pPr>
              <w:widowControl/>
              <w:autoSpaceDE/>
              <w:autoSpaceDN/>
              <w:adjustRightInd/>
              <w:jc w:val="center"/>
              <w:cnfStyle w:val="000000000000" w:firstRow="0" w:lastRow="0" w:firstColumn="0" w:lastColumn="0" w:oddVBand="0" w:evenVBand="0" w:oddHBand="0" w:evenHBand="0" w:firstRowFirstColumn="0" w:firstRowLastColumn="0" w:lastRowFirstColumn="0" w:lastRowLastColumn="0"/>
              <w:rPr>
                <w:color w:val="000000"/>
              </w:rPr>
            </w:pPr>
            <w:r w:rsidRPr="009F14D2">
              <w:rPr>
                <w:color w:val="000000"/>
              </w:rPr>
              <w:t>193395</w:t>
            </w:r>
          </w:p>
        </w:tc>
        <w:tc>
          <w:tcPr>
            <w:tcW w:w="455" w:type="pct"/>
            <w:vAlign w:val="center"/>
            <w:hideMark/>
          </w:tcPr>
          <w:p w:rsidRPr="009F14D2" w:rsidR="00872C69" w:rsidRDefault="006B3EF8" w14:paraId="72E2947D" w14:textId="5F992D22">
            <w:pPr>
              <w:widowControl/>
              <w:autoSpaceDE/>
              <w:autoSpaceDN/>
              <w:adjustRightInd/>
              <w:jc w:val="center"/>
              <w:cnfStyle w:val="000000000000" w:firstRow="0" w:lastRow="0" w:firstColumn="0" w:lastColumn="0" w:oddVBand="0" w:evenVBand="0" w:oddHBand="0" w:evenHBand="0" w:firstRowFirstColumn="0" w:firstRowLastColumn="0" w:lastRowFirstColumn="0" w:lastRowLastColumn="0"/>
              <w:rPr>
                <w:color w:val="000000"/>
              </w:rPr>
            </w:pPr>
            <w:r>
              <w:rPr>
                <w:color w:val="000000"/>
              </w:rPr>
              <w:t>1.27</w:t>
            </w:r>
          </w:p>
        </w:tc>
        <w:tc>
          <w:tcPr>
            <w:tcW w:w="455" w:type="pct"/>
            <w:vAlign w:val="center"/>
            <w:hideMark/>
          </w:tcPr>
          <w:p w:rsidRPr="00F8021B" w:rsidR="00872C69" w:rsidP="009D4555" w:rsidRDefault="00872C69" w14:paraId="7967623D" w14:textId="51FD6688">
            <w:pPr>
              <w:widowControl/>
              <w:autoSpaceDE/>
              <w:autoSpaceDN/>
              <w:adjustRightInd/>
              <w:jc w:val="center"/>
              <w:cnfStyle w:val="000000000000" w:firstRow="0" w:lastRow="0" w:firstColumn="0" w:lastColumn="0" w:oddVBand="0" w:evenVBand="0" w:oddHBand="0" w:evenHBand="0" w:firstRowFirstColumn="0" w:firstRowLastColumn="0" w:lastRowFirstColumn="0" w:lastRowLastColumn="0"/>
              <w:rPr>
                <w:color w:val="000000"/>
                <w:szCs w:val="20"/>
              </w:rPr>
            </w:pPr>
            <w:r w:rsidRPr="00F8021B">
              <w:rPr>
                <w:color w:val="000000"/>
                <w:szCs w:val="20"/>
              </w:rPr>
              <w:t>mg/kg</w:t>
            </w:r>
          </w:p>
        </w:tc>
        <w:tc>
          <w:tcPr>
            <w:tcW w:w="535" w:type="pct"/>
            <w:vAlign w:val="center"/>
            <w:hideMark/>
          </w:tcPr>
          <w:p w:rsidRPr="00F8021B" w:rsidR="00872C69" w:rsidP="009D4555" w:rsidRDefault="006B3EF8" w14:paraId="0E30AE7B" w14:textId="579733B5">
            <w:pPr>
              <w:widowControl/>
              <w:autoSpaceDE/>
              <w:autoSpaceDN/>
              <w:adjustRightInd/>
              <w:jc w:val="center"/>
              <w:cnfStyle w:val="000000000000" w:firstRow="0" w:lastRow="0" w:firstColumn="0" w:lastColumn="0" w:oddVBand="0" w:evenVBand="0" w:oddHBand="0" w:evenHBand="0" w:firstRowFirstColumn="0" w:firstRowLastColumn="0" w:lastRowFirstColumn="0" w:lastRowLastColumn="0"/>
              <w:rPr>
                <w:color w:val="000000"/>
                <w:szCs w:val="20"/>
              </w:rPr>
            </w:pPr>
            <w:r>
              <w:rPr>
                <w:color w:val="000000"/>
                <w:szCs w:val="20"/>
              </w:rPr>
              <w:t>2.53</w:t>
            </w:r>
            <w:r w:rsidRPr="00F8021B" w:rsidR="00872C69">
              <w:rPr>
                <w:color w:val="000000"/>
                <w:szCs w:val="20"/>
              </w:rPr>
              <w:t>E-03</w:t>
            </w:r>
          </w:p>
        </w:tc>
        <w:tc>
          <w:tcPr>
            <w:tcW w:w="535" w:type="pct"/>
            <w:vAlign w:val="center"/>
            <w:hideMark/>
          </w:tcPr>
          <w:p w:rsidRPr="00F8021B" w:rsidR="00872C69" w:rsidP="009D4555" w:rsidRDefault="00872C69" w14:paraId="7CA262F2" w14:textId="2B0413E5">
            <w:pPr>
              <w:widowControl/>
              <w:autoSpaceDE/>
              <w:autoSpaceDN/>
              <w:adjustRightInd/>
              <w:jc w:val="center"/>
              <w:cnfStyle w:val="000000000000" w:firstRow="0" w:lastRow="0" w:firstColumn="0" w:lastColumn="0" w:oddVBand="0" w:evenVBand="0" w:oddHBand="0" w:evenHBand="0" w:firstRowFirstColumn="0" w:firstRowLastColumn="0" w:lastRowFirstColumn="0" w:lastRowLastColumn="0"/>
              <w:rPr>
                <w:color w:val="000000"/>
                <w:szCs w:val="20"/>
              </w:rPr>
            </w:pPr>
            <w:r w:rsidRPr="00F8021B">
              <w:rPr>
                <w:color w:val="000000"/>
                <w:szCs w:val="20"/>
              </w:rPr>
              <w:t>lbs./ton</w:t>
            </w:r>
          </w:p>
        </w:tc>
        <w:tc>
          <w:tcPr>
            <w:tcW w:w="1582" w:type="pct"/>
            <w:hideMark/>
          </w:tcPr>
          <w:p w:rsidRPr="00F8021B" w:rsidR="00872C69" w:rsidP="0046047E" w:rsidRDefault="006B3EF8" w14:paraId="7CBADBF1" w14:textId="5BE8CE49">
            <w:pPr>
              <w:widowControl/>
              <w:autoSpaceDE/>
              <w:autoSpaceDN/>
              <w:adjustRightInd/>
              <w:cnfStyle w:val="000000000000" w:firstRow="0" w:lastRow="0" w:firstColumn="0" w:lastColumn="0" w:oddVBand="0" w:evenVBand="0" w:oddHBand="0" w:evenHBand="0" w:firstRowFirstColumn="0" w:firstRowLastColumn="0" w:lastRowFirstColumn="0" w:lastRowLastColumn="0"/>
              <w:rPr>
                <w:color w:val="000000"/>
                <w:szCs w:val="20"/>
              </w:rPr>
            </w:pPr>
            <w:r>
              <w:rPr>
                <w:color w:val="000000"/>
                <w:szCs w:val="20"/>
              </w:rPr>
              <w:t xml:space="preserve">Reference </w:t>
            </w:r>
            <w:r>
              <w:rPr>
                <w:color w:val="000000"/>
                <w:szCs w:val="20"/>
              </w:rPr>
              <w:fldChar w:fldCharType="begin"/>
            </w:r>
            <w:r>
              <w:rPr>
                <w:color w:val="000000"/>
                <w:szCs w:val="20"/>
              </w:rPr>
              <w:instrText xml:space="preserve"> NOTEREF _Ref478482810 \h  \* MERGEFORMAT </w:instrText>
            </w:r>
            <w:r>
              <w:rPr>
                <w:color w:val="000000"/>
                <w:szCs w:val="20"/>
              </w:rPr>
            </w:r>
            <w:r>
              <w:rPr>
                <w:color w:val="000000"/>
                <w:szCs w:val="20"/>
              </w:rPr>
              <w:fldChar w:fldCharType="separate"/>
            </w:r>
            <w:r>
              <w:rPr>
                <w:color w:val="000000"/>
                <w:szCs w:val="20"/>
              </w:rPr>
              <w:t>8</w:t>
            </w:r>
            <w:r>
              <w:rPr>
                <w:color w:val="000000"/>
                <w:szCs w:val="20"/>
              </w:rPr>
              <w:fldChar w:fldCharType="end"/>
            </w:r>
            <w:r w:rsidRPr="00F8021B">
              <w:rPr>
                <w:color w:val="000000"/>
                <w:szCs w:val="20"/>
              </w:rPr>
              <w:t>, Table 3-6</w:t>
            </w:r>
          </w:p>
        </w:tc>
      </w:tr>
      <w:tr w:rsidRPr="00F8021B" w:rsidR="00872C69" w:rsidTr="00030F9E" w14:paraId="0278865B" w14:textId="77777777">
        <w:trPr>
          <w:cnfStyle w:val="000000100000" w:firstRow="0" w:lastRow="0" w:firstColumn="0" w:lastColumn="0" w:oddVBand="0" w:evenVBand="0" w:oddHBand="1" w:evenHBand="0" w:firstRowFirstColumn="0" w:firstRowLastColumn="0" w:lastRowFirstColumn="0" w:lastRowLastColumn="0"/>
          <w:cantSplit/>
          <w:trHeight w:val="20"/>
        </w:trPr>
        <w:tc>
          <w:tcPr>
            <w:cnfStyle w:val="001000000000" w:firstRow="0" w:lastRow="0" w:firstColumn="1" w:lastColumn="0" w:oddVBand="0" w:evenVBand="0" w:oddHBand="0" w:evenHBand="0" w:firstRowFirstColumn="0" w:firstRowLastColumn="0" w:lastRowFirstColumn="0" w:lastRowLastColumn="0"/>
            <w:tcW w:w="988" w:type="pct"/>
            <w:vAlign w:val="center"/>
            <w:hideMark/>
          </w:tcPr>
          <w:p w:rsidRPr="00F8021B" w:rsidR="00872C69" w:rsidP="005F75F8" w:rsidRDefault="00872C69" w14:paraId="0AF119AE" w14:textId="77777777">
            <w:pPr>
              <w:widowControl/>
              <w:autoSpaceDE/>
              <w:autoSpaceDN/>
              <w:adjustRightInd/>
              <w:rPr>
                <w:b w:val="0"/>
                <w:color w:val="000000"/>
                <w:szCs w:val="20"/>
              </w:rPr>
            </w:pPr>
            <w:r w:rsidRPr="00F8021B">
              <w:rPr>
                <w:b w:val="0"/>
                <w:color w:val="000000"/>
                <w:szCs w:val="20"/>
              </w:rPr>
              <w:t>Isophorone</w:t>
            </w:r>
          </w:p>
        </w:tc>
        <w:tc>
          <w:tcPr>
            <w:tcW w:w="450" w:type="pct"/>
            <w:vAlign w:val="center"/>
            <w:hideMark/>
          </w:tcPr>
          <w:p w:rsidRPr="009F14D2" w:rsidR="00872C69" w:rsidRDefault="00872C69" w14:paraId="5E72CC2D" w14:textId="77777777">
            <w:pPr>
              <w:widowControl/>
              <w:autoSpaceDE/>
              <w:autoSpaceDN/>
              <w:adjustRightInd/>
              <w:jc w:val="center"/>
              <w:cnfStyle w:val="000000100000" w:firstRow="0" w:lastRow="0" w:firstColumn="0" w:lastColumn="0" w:oddVBand="0" w:evenVBand="0" w:oddHBand="1" w:evenHBand="0" w:firstRowFirstColumn="0" w:firstRowLastColumn="0" w:lastRowFirstColumn="0" w:lastRowLastColumn="0"/>
              <w:rPr>
                <w:color w:val="000000"/>
              </w:rPr>
            </w:pPr>
            <w:r w:rsidRPr="009F14D2">
              <w:rPr>
                <w:color w:val="000000"/>
              </w:rPr>
              <w:t>78591</w:t>
            </w:r>
          </w:p>
        </w:tc>
        <w:tc>
          <w:tcPr>
            <w:tcW w:w="455" w:type="pct"/>
            <w:vAlign w:val="center"/>
            <w:hideMark/>
          </w:tcPr>
          <w:p w:rsidRPr="009F14D2" w:rsidR="00872C69" w:rsidRDefault="00872C69" w14:paraId="750FBB60" w14:textId="77777777">
            <w:pPr>
              <w:widowControl/>
              <w:autoSpaceDE/>
              <w:autoSpaceDN/>
              <w:adjustRightInd/>
              <w:jc w:val="center"/>
              <w:cnfStyle w:val="000000100000" w:firstRow="0" w:lastRow="0" w:firstColumn="0" w:lastColumn="0" w:oddVBand="0" w:evenVBand="0" w:oddHBand="1" w:evenHBand="0" w:firstRowFirstColumn="0" w:firstRowLastColumn="0" w:lastRowFirstColumn="0" w:lastRowLastColumn="0"/>
              <w:rPr>
                <w:color w:val="000000"/>
              </w:rPr>
            </w:pPr>
            <w:r w:rsidRPr="009F14D2">
              <w:rPr>
                <w:color w:val="000000"/>
              </w:rPr>
              <w:t>9.25</w:t>
            </w:r>
          </w:p>
        </w:tc>
        <w:tc>
          <w:tcPr>
            <w:tcW w:w="455" w:type="pct"/>
            <w:vAlign w:val="center"/>
            <w:hideMark/>
          </w:tcPr>
          <w:p w:rsidRPr="00F8021B" w:rsidR="00872C69" w:rsidP="009D4555" w:rsidRDefault="00872C69" w14:paraId="77945AB1" w14:textId="01535CF5">
            <w:pPr>
              <w:widowControl/>
              <w:autoSpaceDE/>
              <w:autoSpaceDN/>
              <w:adjustRightInd/>
              <w:jc w:val="center"/>
              <w:cnfStyle w:val="000000100000" w:firstRow="0" w:lastRow="0" w:firstColumn="0" w:lastColumn="0" w:oddVBand="0" w:evenVBand="0" w:oddHBand="1" w:evenHBand="0" w:firstRowFirstColumn="0" w:firstRowLastColumn="0" w:lastRowFirstColumn="0" w:lastRowLastColumn="0"/>
              <w:rPr>
                <w:color w:val="000000"/>
                <w:szCs w:val="20"/>
              </w:rPr>
            </w:pPr>
            <w:r w:rsidRPr="00F8021B">
              <w:rPr>
                <w:color w:val="000000"/>
                <w:szCs w:val="20"/>
              </w:rPr>
              <w:t>mg/kg</w:t>
            </w:r>
          </w:p>
        </w:tc>
        <w:tc>
          <w:tcPr>
            <w:tcW w:w="535" w:type="pct"/>
            <w:vAlign w:val="center"/>
            <w:hideMark/>
          </w:tcPr>
          <w:p w:rsidRPr="00F8021B" w:rsidR="00872C69" w:rsidP="009D4555" w:rsidRDefault="006B3EF8" w14:paraId="11682C11" w14:textId="37A32F32">
            <w:pPr>
              <w:widowControl/>
              <w:autoSpaceDE/>
              <w:autoSpaceDN/>
              <w:adjustRightInd/>
              <w:jc w:val="center"/>
              <w:cnfStyle w:val="000000100000" w:firstRow="0" w:lastRow="0" w:firstColumn="0" w:lastColumn="0" w:oddVBand="0" w:evenVBand="0" w:oddHBand="1" w:evenHBand="0" w:firstRowFirstColumn="0" w:firstRowLastColumn="0" w:lastRowFirstColumn="0" w:lastRowLastColumn="0"/>
              <w:rPr>
                <w:color w:val="000000"/>
                <w:szCs w:val="20"/>
              </w:rPr>
            </w:pPr>
            <w:r>
              <w:rPr>
                <w:color w:val="000000"/>
                <w:szCs w:val="20"/>
              </w:rPr>
              <w:t>1.85</w:t>
            </w:r>
            <w:r w:rsidRPr="00F8021B" w:rsidR="00872C69">
              <w:rPr>
                <w:color w:val="000000"/>
                <w:szCs w:val="20"/>
              </w:rPr>
              <w:t>E-02</w:t>
            </w:r>
          </w:p>
        </w:tc>
        <w:tc>
          <w:tcPr>
            <w:tcW w:w="535" w:type="pct"/>
            <w:vAlign w:val="center"/>
            <w:hideMark/>
          </w:tcPr>
          <w:p w:rsidRPr="00F8021B" w:rsidR="00872C69" w:rsidP="009D4555" w:rsidRDefault="00872C69" w14:paraId="646F5414" w14:textId="7ABDBEF1">
            <w:pPr>
              <w:widowControl/>
              <w:autoSpaceDE/>
              <w:autoSpaceDN/>
              <w:adjustRightInd/>
              <w:jc w:val="center"/>
              <w:cnfStyle w:val="000000100000" w:firstRow="0" w:lastRow="0" w:firstColumn="0" w:lastColumn="0" w:oddVBand="0" w:evenVBand="0" w:oddHBand="1" w:evenHBand="0" w:firstRowFirstColumn="0" w:firstRowLastColumn="0" w:lastRowFirstColumn="0" w:lastRowLastColumn="0"/>
              <w:rPr>
                <w:color w:val="000000"/>
                <w:szCs w:val="20"/>
              </w:rPr>
            </w:pPr>
            <w:r w:rsidRPr="00F8021B">
              <w:rPr>
                <w:color w:val="000000"/>
                <w:szCs w:val="20"/>
              </w:rPr>
              <w:t>lbs./ton</w:t>
            </w:r>
          </w:p>
        </w:tc>
        <w:tc>
          <w:tcPr>
            <w:tcW w:w="1582" w:type="pct"/>
            <w:hideMark/>
          </w:tcPr>
          <w:p w:rsidRPr="00F8021B" w:rsidR="00872C69" w:rsidP="009D4555" w:rsidRDefault="00872C69" w14:paraId="1DF95D2F" w14:textId="1CBFB6B9">
            <w:pPr>
              <w:widowControl/>
              <w:autoSpaceDE/>
              <w:autoSpaceDN/>
              <w:adjustRightInd/>
              <w:cnfStyle w:val="000000100000" w:firstRow="0" w:lastRow="0" w:firstColumn="0" w:lastColumn="0" w:oddVBand="0" w:evenVBand="0" w:oddHBand="1" w:evenHBand="0" w:firstRowFirstColumn="0" w:firstRowLastColumn="0" w:lastRowFirstColumn="0" w:lastRowLastColumn="0"/>
              <w:rPr>
                <w:color w:val="000000"/>
                <w:szCs w:val="20"/>
              </w:rPr>
            </w:pPr>
            <w:r>
              <w:rPr>
                <w:color w:val="000000"/>
                <w:szCs w:val="20"/>
              </w:rPr>
              <w:t xml:space="preserve">Reference </w:t>
            </w:r>
            <w:r>
              <w:rPr>
                <w:color w:val="000000"/>
                <w:szCs w:val="20"/>
              </w:rPr>
              <w:fldChar w:fldCharType="begin"/>
            </w:r>
            <w:r>
              <w:rPr>
                <w:color w:val="000000"/>
                <w:szCs w:val="20"/>
              </w:rPr>
              <w:instrText xml:space="preserve"> NOTEREF _Ref478482810 \h  \* MERGEFORMAT </w:instrText>
            </w:r>
            <w:r>
              <w:rPr>
                <w:color w:val="000000"/>
                <w:szCs w:val="20"/>
              </w:rPr>
            </w:r>
            <w:r>
              <w:rPr>
                <w:color w:val="000000"/>
                <w:szCs w:val="20"/>
              </w:rPr>
              <w:fldChar w:fldCharType="separate"/>
            </w:r>
            <w:r w:rsidR="00117BBF">
              <w:rPr>
                <w:color w:val="000000"/>
                <w:szCs w:val="20"/>
              </w:rPr>
              <w:t>8</w:t>
            </w:r>
            <w:r>
              <w:rPr>
                <w:color w:val="000000"/>
                <w:szCs w:val="20"/>
              </w:rPr>
              <w:fldChar w:fldCharType="end"/>
            </w:r>
            <w:r w:rsidRPr="00F8021B">
              <w:rPr>
                <w:color w:val="000000"/>
                <w:szCs w:val="20"/>
              </w:rPr>
              <w:t>, Table 3-6</w:t>
            </w:r>
          </w:p>
        </w:tc>
      </w:tr>
      <w:tr w:rsidRPr="00F8021B" w:rsidR="00872C69" w:rsidTr="00030F9E" w14:paraId="2E0FDB9D" w14:textId="77777777">
        <w:trPr>
          <w:cantSplit/>
          <w:trHeight w:val="20"/>
        </w:trPr>
        <w:tc>
          <w:tcPr>
            <w:cnfStyle w:val="001000000000" w:firstRow="0" w:lastRow="0" w:firstColumn="1" w:lastColumn="0" w:oddVBand="0" w:evenVBand="0" w:oddHBand="0" w:evenHBand="0" w:firstRowFirstColumn="0" w:firstRowLastColumn="0" w:lastRowFirstColumn="0" w:lastRowLastColumn="0"/>
            <w:tcW w:w="988" w:type="pct"/>
            <w:vAlign w:val="center"/>
            <w:hideMark/>
          </w:tcPr>
          <w:p w:rsidRPr="00F8021B" w:rsidR="00872C69" w:rsidP="005F75F8" w:rsidRDefault="00872C69" w14:paraId="64C6FFF6" w14:textId="77777777">
            <w:pPr>
              <w:widowControl/>
              <w:autoSpaceDE/>
              <w:autoSpaceDN/>
              <w:adjustRightInd/>
              <w:rPr>
                <w:b w:val="0"/>
                <w:color w:val="000000"/>
                <w:szCs w:val="20"/>
              </w:rPr>
            </w:pPr>
            <w:r w:rsidRPr="00F8021B">
              <w:rPr>
                <w:b w:val="0"/>
                <w:color w:val="000000"/>
                <w:szCs w:val="20"/>
              </w:rPr>
              <w:t>Methylene Chloride</w:t>
            </w:r>
          </w:p>
        </w:tc>
        <w:tc>
          <w:tcPr>
            <w:tcW w:w="450" w:type="pct"/>
            <w:vAlign w:val="center"/>
            <w:hideMark/>
          </w:tcPr>
          <w:p w:rsidRPr="009F14D2" w:rsidR="00872C69" w:rsidRDefault="00872C69" w14:paraId="41567555" w14:textId="77777777">
            <w:pPr>
              <w:widowControl/>
              <w:autoSpaceDE/>
              <w:autoSpaceDN/>
              <w:adjustRightInd/>
              <w:jc w:val="center"/>
              <w:cnfStyle w:val="000000000000" w:firstRow="0" w:lastRow="0" w:firstColumn="0" w:lastColumn="0" w:oddVBand="0" w:evenVBand="0" w:oddHBand="0" w:evenHBand="0" w:firstRowFirstColumn="0" w:firstRowLastColumn="0" w:lastRowFirstColumn="0" w:lastRowLastColumn="0"/>
              <w:rPr>
                <w:color w:val="000000"/>
              </w:rPr>
            </w:pPr>
            <w:r w:rsidRPr="009F14D2">
              <w:rPr>
                <w:color w:val="000000"/>
              </w:rPr>
              <w:t>75092</w:t>
            </w:r>
          </w:p>
        </w:tc>
        <w:tc>
          <w:tcPr>
            <w:tcW w:w="455" w:type="pct"/>
            <w:vAlign w:val="center"/>
            <w:hideMark/>
          </w:tcPr>
          <w:p w:rsidRPr="009F14D2" w:rsidR="00872C69" w:rsidRDefault="00872C69" w14:paraId="2CE01D1D" w14:textId="77777777">
            <w:pPr>
              <w:widowControl/>
              <w:autoSpaceDE/>
              <w:autoSpaceDN/>
              <w:adjustRightInd/>
              <w:jc w:val="center"/>
              <w:cnfStyle w:val="000000000000" w:firstRow="0" w:lastRow="0" w:firstColumn="0" w:lastColumn="0" w:oddVBand="0" w:evenVBand="0" w:oddHBand="0" w:evenHBand="0" w:firstRowFirstColumn="0" w:firstRowLastColumn="0" w:lastRowFirstColumn="0" w:lastRowLastColumn="0"/>
              <w:rPr>
                <w:color w:val="000000"/>
              </w:rPr>
            </w:pPr>
            <w:r w:rsidRPr="009F14D2">
              <w:rPr>
                <w:color w:val="000000"/>
              </w:rPr>
              <w:t>17</w:t>
            </w:r>
          </w:p>
        </w:tc>
        <w:tc>
          <w:tcPr>
            <w:tcW w:w="455" w:type="pct"/>
            <w:vAlign w:val="center"/>
            <w:hideMark/>
          </w:tcPr>
          <w:p w:rsidRPr="00F8021B" w:rsidR="00872C69" w:rsidP="009D4555" w:rsidRDefault="00872C69" w14:paraId="2CC9B635" w14:textId="7621C58B">
            <w:pPr>
              <w:widowControl/>
              <w:autoSpaceDE/>
              <w:autoSpaceDN/>
              <w:adjustRightInd/>
              <w:jc w:val="center"/>
              <w:cnfStyle w:val="000000000000" w:firstRow="0" w:lastRow="0" w:firstColumn="0" w:lastColumn="0" w:oddVBand="0" w:evenVBand="0" w:oddHBand="0" w:evenHBand="0" w:firstRowFirstColumn="0" w:firstRowLastColumn="0" w:lastRowFirstColumn="0" w:lastRowLastColumn="0"/>
              <w:rPr>
                <w:color w:val="000000"/>
                <w:szCs w:val="20"/>
              </w:rPr>
            </w:pPr>
            <w:r w:rsidRPr="00F8021B">
              <w:rPr>
                <w:color w:val="000000"/>
                <w:szCs w:val="20"/>
              </w:rPr>
              <w:t>mg/kg</w:t>
            </w:r>
          </w:p>
        </w:tc>
        <w:tc>
          <w:tcPr>
            <w:tcW w:w="535" w:type="pct"/>
            <w:vAlign w:val="center"/>
            <w:hideMark/>
          </w:tcPr>
          <w:p w:rsidRPr="00F8021B" w:rsidR="00872C69" w:rsidP="009D4555" w:rsidRDefault="006B3EF8" w14:paraId="515FCC78" w14:textId="30EF100E">
            <w:pPr>
              <w:widowControl/>
              <w:autoSpaceDE/>
              <w:autoSpaceDN/>
              <w:adjustRightInd/>
              <w:jc w:val="center"/>
              <w:cnfStyle w:val="000000000000" w:firstRow="0" w:lastRow="0" w:firstColumn="0" w:lastColumn="0" w:oddVBand="0" w:evenVBand="0" w:oddHBand="0" w:evenHBand="0" w:firstRowFirstColumn="0" w:firstRowLastColumn="0" w:lastRowFirstColumn="0" w:lastRowLastColumn="0"/>
              <w:rPr>
                <w:color w:val="000000"/>
                <w:szCs w:val="20"/>
              </w:rPr>
            </w:pPr>
            <w:r>
              <w:rPr>
                <w:color w:val="000000"/>
                <w:szCs w:val="20"/>
              </w:rPr>
              <w:t>3.39</w:t>
            </w:r>
            <w:r w:rsidRPr="00F8021B" w:rsidR="00872C69">
              <w:rPr>
                <w:color w:val="000000"/>
                <w:szCs w:val="20"/>
              </w:rPr>
              <w:t>E-02</w:t>
            </w:r>
          </w:p>
        </w:tc>
        <w:tc>
          <w:tcPr>
            <w:tcW w:w="535" w:type="pct"/>
            <w:vAlign w:val="center"/>
            <w:hideMark/>
          </w:tcPr>
          <w:p w:rsidRPr="00F8021B" w:rsidR="00872C69" w:rsidP="009D4555" w:rsidRDefault="00872C69" w14:paraId="633400CB" w14:textId="249C1838">
            <w:pPr>
              <w:widowControl/>
              <w:autoSpaceDE/>
              <w:autoSpaceDN/>
              <w:adjustRightInd/>
              <w:jc w:val="center"/>
              <w:cnfStyle w:val="000000000000" w:firstRow="0" w:lastRow="0" w:firstColumn="0" w:lastColumn="0" w:oddVBand="0" w:evenVBand="0" w:oddHBand="0" w:evenHBand="0" w:firstRowFirstColumn="0" w:firstRowLastColumn="0" w:lastRowFirstColumn="0" w:lastRowLastColumn="0"/>
              <w:rPr>
                <w:color w:val="000000"/>
                <w:szCs w:val="20"/>
              </w:rPr>
            </w:pPr>
            <w:r w:rsidRPr="00F8021B">
              <w:rPr>
                <w:color w:val="000000"/>
                <w:szCs w:val="20"/>
              </w:rPr>
              <w:t>lbs./ton</w:t>
            </w:r>
          </w:p>
        </w:tc>
        <w:tc>
          <w:tcPr>
            <w:tcW w:w="1582" w:type="pct"/>
            <w:hideMark/>
          </w:tcPr>
          <w:p w:rsidRPr="00F8021B" w:rsidR="00872C69" w:rsidP="00AF4787" w:rsidRDefault="00872C69" w14:paraId="5D0F467C" w14:textId="5EE4ABB1">
            <w:pPr>
              <w:widowControl/>
              <w:autoSpaceDE/>
              <w:autoSpaceDN/>
              <w:adjustRightInd/>
              <w:cnfStyle w:val="000000000000" w:firstRow="0" w:lastRow="0" w:firstColumn="0" w:lastColumn="0" w:oddVBand="0" w:evenVBand="0" w:oddHBand="0" w:evenHBand="0" w:firstRowFirstColumn="0" w:firstRowLastColumn="0" w:lastRowFirstColumn="0" w:lastRowLastColumn="0"/>
              <w:rPr>
                <w:color w:val="000000"/>
                <w:szCs w:val="20"/>
              </w:rPr>
            </w:pPr>
            <w:r w:rsidRPr="00F8021B">
              <w:rPr>
                <w:color w:val="000000"/>
                <w:szCs w:val="20"/>
              </w:rPr>
              <w:t xml:space="preserve">Reference </w:t>
            </w:r>
            <w:r>
              <w:rPr>
                <w:color w:val="000000"/>
                <w:szCs w:val="20"/>
              </w:rPr>
              <w:fldChar w:fldCharType="begin"/>
            </w:r>
            <w:r>
              <w:rPr>
                <w:color w:val="000000"/>
                <w:szCs w:val="20"/>
              </w:rPr>
              <w:instrText xml:space="preserve"> NOTEREF _Ref478482810 \h  \* MERGEFORMAT </w:instrText>
            </w:r>
            <w:r>
              <w:rPr>
                <w:color w:val="000000"/>
                <w:szCs w:val="20"/>
              </w:rPr>
            </w:r>
            <w:r>
              <w:rPr>
                <w:color w:val="000000"/>
                <w:szCs w:val="20"/>
              </w:rPr>
              <w:fldChar w:fldCharType="separate"/>
            </w:r>
            <w:r w:rsidR="00117BBF">
              <w:rPr>
                <w:color w:val="000000"/>
                <w:szCs w:val="20"/>
              </w:rPr>
              <w:t>8</w:t>
            </w:r>
            <w:r>
              <w:rPr>
                <w:color w:val="000000"/>
                <w:szCs w:val="20"/>
              </w:rPr>
              <w:fldChar w:fldCharType="end"/>
            </w:r>
            <w:r w:rsidRPr="00F8021B">
              <w:rPr>
                <w:color w:val="000000"/>
                <w:szCs w:val="20"/>
              </w:rPr>
              <w:t>, Table 3-6</w:t>
            </w:r>
          </w:p>
        </w:tc>
      </w:tr>
      <w:tr w:rsidRPr="00F8021B" w:rsidR="00872C69" w:rsidTr="00030F9E" w14:paraId="75966CEB" w14:textId="77777777">
        <w:trPr>
          <w:cnfStyle w:val="000000100000" w:firstRow="0" w:lastRow="0" w:firstColumn="0" w:lastColumn="0" w:oddVBand="0" w:evenVBand="0" w:oddHBand="1" w:evenHBand="0" w:firstRowFirstColumn="0" w:firstRowLastColumn="0" w:lastRowFirstColumn="0" w:lastRowLastColumn="0"/>
          <w:cantSplit/>
          <w:trHeight w:val="20"/>
        </w:trPr>
        <w:tc>
          <w:tcPr>
            <w:cnfStyle w:val="001000000000" w:firstRow="0" w:lastRow="0" w:firstColumn="1" w:lastColumn="0" w:oddVBand="0" w:evenVBand="0" w:oddHBand="0" w:evenHBand="0" w:firstRowFirstColumn="0" w:firstRowLastColumn="0" w:lastRowFirstColumn="0" w:lastRowLastColumn="0"/>
            <w:tcW w:w="988" w:type="pct"/>
            <w:vAlign w:val="center"/>
            <w:hideMark/>
          </w:tcPr>
          <w:p w:rsidRPr="00F8021B" w:rsidR="00872C69" w:rsidP="005F75F8" w:rsidRDefault="00872C69" w14:paraId="3168E456" w14:textId="77777777">
            <w:pPr>
              <w:widowControl/>
              <w:autoSpaceDE/>
              <w:autoSpaceDN/>
              <w:adjustRightInd/>
              <w:rPr>
                <w:b w:val="0"/>
                <w:color w:val="000000"/>
                <w:szCs w:val="20"/>
              </w:rPr>
            </w:pPr>
            <w:r w:rsidRPr="00F8021B">
              <w:rPr>
                <w:b w:val="0"/>
                <w:color w:val="000000"/>
                <w:szCs w:val="20"/>
              </w:rPr>
              <w:t>Mercury</w:t>
            </w:r>
          </w:p>
        </w:tc>
        <w:tc>
          <w:tcPr>
            <w:tcW w:w="450" w:type="pct"/>
            <w:vAlign w:val="center"/>
            <w:hideMark/>
          </w:tcPr>
          <w:p w:rsidRPr="009F14D2" w:rsidR="00872C69" w:rsidRDefault="00872C69" w14:paraId="200C89F7" w14:textId="4D62D4AD">
            <w:pPr>
              <w:widowControl/>
              <w:autoSpaceDE/>
              <w:autoSpaceDN/>
              <w:adjustRightInd/>
              <w:jc w:val="center"/>
              <w:cnfStyle w:val="000000100000" w:firstRow="0" w:lastRow="0" w:firstColumn="0" w:lastColumn="0" w:oddVBand="0" w:evenVBand="0" w:oddHBand="1" w:evenHBand="0" w:firstRowFirstColumn="0" w:firstRowLastColumn="0" w:lastRowFirstColumn="0" w:lastRowLastColumn="0"/>
              <w:rPr>
                <w:color w:val="000000"/>
              </w:rPr>
            </w:pPr>
            <w:r w:rsidRPr="009F14D2">
              <w:rPr>
                <w:color w:val="000000"/>
              </w:rPr>
              <w:t>7439976</w:t>
            </w:r>
          </w:p>
        </w:tc>
        <w:tc>
          <w:tcPr>
            <w:tcW w:w="455" w:type="pct"/>
            <w:vAlign w:val="center"/>
            <w:hideMark/>
          </w:tcPr>
          <w:p w:rsidRPr="00F8021B" w:rsidR="00872C69" w:rsidP="009D4555" w:rsidRDefault="00872C69" w14:paraId="1C159097" w14:textId="77777777">
            <w:pPr>
              <w:widowControl/>
              <w:autoSpaceDE/>
              <w:autoSpaceDN/>
              <w:adjustRightInd/>
              <w:jc w:val="center"/>
              <w:cnfStyle w:val="000000100000" w:firstRow="0" w:lastRow="0" w:firstColumn="0" w:lastColumn="0" w:oddVBand="0" w:evenVBand="0" w:oddHBand="1" w:evenHBand="0" w:firstRowFirstColumn="0" w:firstRowLastColumn="0" w:lastRowFirstColumn="0" w:lastRowLastColumn="0"/>
              <w:rPr>
                <w:color w:val="000000"/>
                <w:szCs w:val="20"/>
              </w:rPr>
            </w:pPr>
            <w:r w:rsidRPr="00F8021B">
              <w:rPr>
                <w:color w:val="000000"/>
                <w:szCs w:val="20"/>
              </w:rPr>
              <w:t>8.74E-04</w:t>
            </w:r>
          </w:p>
        </w:tc>
        <w:tc>
          <w:tcPr>
            <w:tcW w:w="455" w:type="pct"/>
            <w:vAlign w:val="center"/>
            <w:hideMark/>
          </w:tcPr>
          <w:p w:rsidRPr="00F8021B" w:rsidR="00872C69" w:rsidP="009D4555" w:rsidRDefault="00872C69" w14:paraId="0258ABC1" w14:textId="0B03396C">
            <w:pPr>
              <w:widowControl/>
              <w:autoSpaceDE/>
              <w:autoSpaceDN/>
              <w:adjustRightInd/>
              <w:jc w:val="center"/>
              <w:cnfStyle w:val="000000100000" w:firstRow="0" w:lastRow="0" w:firstColumn="0" w:lastColumn="0" w:oddVBand="0" w:evenVBand="0" w:oddHBand="1" w:evenHBand="0" w:firstRowFirstColumn="0" w:firstRowLastColumn="0" w:lastRowFirstColumn="0" w:lastRowLastColumn="0"/>
              <w:rPr>
                <w:color w:val="000000"/>
                <w:szCs w:val="20"/>
              </w:rPr>
            </w:pPr>
            <w:r w:rsidRPr="00F8021B">
              <w:rPr>
                <w:color w:val="000000"/>
                <w:szCs w:val="20"/>
              </w:rPr>
              <w:t>lbs./ton</w:t>
            </w:r>
          </w:p>
        </w:tc>
        <w:tc>
          <w:tcPr>
            <w:tcW w:w="535" w:type="pct"/>
            <w:noWrap/>
            <w:vAlign w:val="center"/>
            <w:hideMark/>
          </w:tcPr>
          <w:p w:rsidRPr="009F14D2" w:rsidR="00872C69" w:rsidRDefault="00872C69" w14:paraId="1EC1B5C0" w14:textId="70C5356E">
            <w:pPr>
              <w:widowControl/>
              <w:autoSpaceDE/>
              <w:autoSpaceDN/>
              <w:adjustRightInd/>
              <w:jc w:val="center"/>
              <w:cnfStyle w:val="000000100000" w:firstRow="0" w:lastRow="0" w:firstColumn="0" w:lastColumn="0" w:oddVBand="0" w:evenVBand="0" w:oddHBand="1" w:evenHBand="0" w:firstRowFirstColumn="0" w:firstRowLastColumn="0" w:lastRowFirstColumn="0" w:lastRowLastColumn="0"/>
              <w:rPr>
                <w:color w:val="000000"/>
              </w:rPr>
            </w:pPr>
            <w:r w:rsidRPr="009F14D2">
              <w:rPr>
                <w:color w:val="000000"/>
              </w:rPr>
              <w:t>-</w:t>
            </w:r>
          </w:p>
        </w:tc>
        <w:tc>
          <w:tcPr>
            <w:tcW w:w="535" w:type="pct"/>
            <w:noWrap/>
            <w:vAlign w:val="center"/>
            <w:hideMark/>
          </w:tcPr>
          <w:p w:rsidRPr="009F14D2" w:rsidR="00872C69" w:rsidRDefault="00872C69" w14:paraId="086647CB" w14:textId="589FA662">
            <w:pPr>
              <w:widowControl/>
              <w:autoSpaceDE/>
              <w:autoSpaceDN/>
              <w:adjustRightInd/>
              <w:jc w:val="center"/>
              <w:cnfStyle w:val="000000100000" w:firstRow="0" w:lastRow="0" w:firstColumn="0" w:lastColumn="0" w:oddVBand="0" w:evenVBand="0" w:oddHBand="1" w:evenHBand="0" w:firstRowFirstColumn="0" w:firstRowLastColumn="0" w:lastRowFirstColumn="0" w:lastRowLastColumn="0"/>
              <w:rPr>
                <w:color w:val="000000"/>
              </w:rPr>
            </w:pPr>
            <w:r w:rsidRPr="009F14D2">
              <w:rPr>
                <w:color w:val="000000"/>
              </w:rPr>
              <w:t>-</w:t>
            </w:r>
          </w:p>
        </w:tc>
        <w:tc>
          <w:tcPr>
            <w:tcW w:w="1582" w:type="pct"/>
            <w:hideMark/>
          </w:tcPr>
          <w:p w:rsidRPr="00F8021B" w:rsidR="00872C69" w:rsidP="00AF4787" w:rsidRDefault="00872C69" w14:paraId="56DCF456" w14:textId="3D6E8274">
            <w:pPr>
              <w:widowControl/>
              <w:autoSpaceDE/>
              <w:autoSpaceDN/>
              <w:adjustRightInd/>
              <w:cnfStyle w:val="000000100000" w:firstRow="0" w:lastRow="0" w:firstColumn="0" w:lastColumn="0" w:oddVBand="0" w:evenVBand="0" w:oddHBand="1" w:evenHBand="0" w:firstRowFirstColumn="0" w:firstRowLastColumn="0" w:lastRowFirstColumn="0" w:lastRowLastColumn="0"/>
              <w:rPr>
                <w:color w:val="000000"/>
                <w:szCs w:val="20"/>
              </w:rPr>
            </w:pPr>
            <w:r w:rsidRPr="00F8021B">
              <w:rPr>
                <w:color w:val="000000"/>
                <w:szCs w:val="20"/>
              </w:rPr>
              <w:t xml:space="preserve">Reference </w:t>
            </w:r>
            <w:r>
              <w:rPr>
                <w:color w:val="000000"/>
                <w:szCs w:val="20"/>
              </w:rPr>
              <w:fldChar w:fldCharType="begin"/>
            </w:r>
            <w:r>
              <w:rPr>
                <w:color w:val="000000"/>
                <w:szCs w:val="20"/>
              </w:rPr>
              <w:instrText xml:space="preserve"> NOTEREF _Ref478480084 \h  \* MERGEFORMAT </w:instrText>
            </w:r>
            <w:r>
              <w:rPr>
                <w:color w:val="000000"/>
                <w:szCs w:val="20"/>
              </w:rPr>
            </w:r>
            <w:r>
              <w:rPr>
                <w:color w:val="000000"/>
                <w:szCs w:val="20"/>
              </w:rPr>
              <w:fldChar w:fldCharType="separate"/>
            </w:r>
            <w:r w:rsidR="00117BBF">
              <w:rPr>
                <w:color w:val="000000"/>
                <w:szCs w:val="20"/>
              </w:rPr>
              <w:t>9</w:t>
            </w:r>
            <w:r>
              <w:rPr>
                <w:color w:val="000000"/>
                <w:szCs w:val="20"/>
              </w:rPr>
              <w:fldChar w:fldCharType="end"/>
            </w:r>
          </w:p>
        </w:tc>
      </w:tr>
      <w:tr w:rsidRPr="00F8021B" w:rsidR="00872C69" w:rsidTr="00030F9E" w14:paraId="182A5EB1" w14:textId="77777777">
        <w:trPr>
          <w:cantSplit/>
          <w:trHeight w:val="20"/>
        </w:trPr>
        <w:tc>
          <w:tcPr>
            <w:cnfStyle w:val="001000000000" w:firstRow="0" w:lastRow="0" w:firstColumn="1" w:lastColumn="0" w:oddVBand="0" w:evenVBand="0" w:oddHBand="0" w:evenHBand="0" w:firstRowFirstColumn="0" w:firstRowLastColumn="0" w:lastRowFirstColumn="0" w:lastRowLastColumn="0"/>
            <w:tcW w:w="988" w:type="pct"/>
            <w:vAlign w:val="center"/>
            <w:hideMark/>
          </w:tcPr>
          <w:p w:rsidRPr="00F8021B" w:rsidR="00872C69" w:rsidP="005F75F8" w:rsidRDefault="00872C69" w14:paraId="26DD5FDE" w14:textId="77777777">
            <w:pPr>
              <w:widowControl/>
              <w:autoSpaceDE/>
              <w:autoSpaceDN/>
              <w:adjustRightInd/>
              <w:rPr>
                <w:b w:val="0"/>
                <w:color w:val="000000"/>
                <w:szCs w:val="20"/>
              </w:rPr>
            </w:pPr>
            <w:r w:rsidRPr="00F8021B">
              <w:rPr>
                <w:b w:val="0"/>
                <w:color w:val="000000"/>
                <w:szCs w:val="20"/>
              </w:rPr>
              <w:t>Naphthalene</w:t>
            </w:r>
          </w:p>
        </w:tc>
        <w:tc>
          <w:tcPr>
            <w:tcW w:w="450" w:type="pct"/>
            <w:vAlign w:val="center"/>
            <w:hideMark/>
          </w:tcPr>
          <w:p w:rsidRPr="009F14D2" w:rsidR="00872C69" w:rsidRDefault="00872C69" w14:paraId="15B3A217" w14:textId="77777777">
            <w:pPr>
              <w:widowControl/>
              <w:autoSpaceDE/>
              <w:autoSpaceDN/>
              <w:adjustRightInd/>
              <w:jc w:val="center"/>
              <w:cnfStyle w:val="000000000000" w:firstRow="0" w:lastRow="0" w:firstColumn="0" w:lastColumn="0" w:oddVBand="0" w:evenVBand="0" w:oddHBand="0" w:evenHBand="0" w:firstRowFirstColumn="0" w:firstRowLastColumn="0" w:lastRowFirstColumn="0" w:lastRowLastColumn="0"/>
              <w:rPr>
                <w:color w:val="000000"/>
              </w:rPr>
            </w:pPr>
            <w:r w:rsidRPr="009F14D2">
              <w:rPr>
                <w:color w:val="000000"/>
              </w:rPr>
              <w:t>91203</w:t>
            </w:r>
          </w:p>
        </w:tc>
        <w:tc>
          <w:tcPr>
            <w:tcW w:w="455" w:type="pct"/>
            <w:vAlign w:val="center"/>
            <w:hideMark/>
          </w:tcPr>
          <w:p w:rsidRPr="009F14D2" w:rsidR="00872C69" w:rsidRDefault="006B3EF8" w14:paraId="275E090D" w14:textId="7D620591">
            <w:pPr>
              <w:widowControl/>
              <w:autoSpaceDE/>
              <w:autoSpaceDN/>
              <w:adjustRightInd/>
              <w:jc w:val="center"/>
              <w:cnfStyle w:val="000000000000" w:firstRow="0" w:lastRow="0" w:firstColumn="0" w:lastColumn="0" w:oddVBand="0" w:evenVBand="0" w:oddHBand="0" w:evenHBand="0" w:firstRowFirstColumn="0" w:firstRowLastColumn="0" w:lastRowFirstColumn="0" w:lastRowLastColumn="0"/>
              <w:rPr>
                <w:color w:val="000000"/>
              </w:rPr>
            </w:pPr>
            <w:r>
              <w:rPr>
                <w:color w:val="000000"/>
              </w:rPr>
              <w:t>11.36</w:t>
            </w:r>
          </w:p>
        </w:tc>
        <w:tc>
          <w:tcPr>
            <w:tcW w:w="455" w:type="pct"/>
            <w:vAlign w:val="center"/>
            <w:hideMark/>
          </w:tcPr>
          <w:p w:rsidRPr="00F8021B" w:rsidR="00872C69" w:rsidP="009D4555" w:rsidRDefault="00872C69" w14:paraId="5D8DF024" w14:textId="38236243">
            <w:pPr>
              <w:widowControl/>
              <w:autoSpaceDE/>
              <w:autoSpaceDN/>
              <w:adjustRightInd/>
              <w:jc w:val="center"/>
              <w:cnfStyle w:val="000000000000" w:firstRow="0" w:lastRow="0" w:firstColumn="0" w:lastColumn="0" w:oddVBand="0" w:evenVBand="0" w:oddHBand="0" w:evenHBand="0" w:firstRowFirstColumn="0" w:firstRowLastColumn="0" w:lastRowFirstColumn="0" w:lastRowLastColumn="0"/>
              <w:rPr>
                <w:color w:val="000000"/>
                <w:szCs w:val="20"/>
              </w:rPr>
            </w:pPr>
            <w:r w:rsidRPr="00F8021B">
              <w:rPr>
                <w:color w:val="000000"/>
                <w:szCs w:val="20"/>
              </w:rPr>
              <w:t>mg/kg</w:t>
            </w:r>
          </w:p>
        </w:tc>
        <w:tc>
          <w:tcPr>
            <w:tcW w:w="535" w:type="pct"/>
            <w:vAlign w:val="center"/>
            <w:hideMark/>
          </w:tcPr>
          <w:p w:rsidRPr="00F8021B" w:rsidR="00872C69" w:rsidP="009D4555" w:rsidRDefault="006B3EF8" w14:paraId="29428CAA" w14:textId="2731DDF4">
            <w:pPr>
              <w:widowControl/>
              <w:autoSpaceDE/>
              <w:autoSpaceDN/>
              <w:adjustRightInd/>
              <w:jc w:val="center"/>
              <w:cnfStyle w:val="000000000000" w:firstRow="0" w:lastRow="0" w:firstColumn="0" w:lastColumn="0" w:oddVBand="0" w:evenVBand="0" w:oddHBand="0" w:evenHBand="0" w:firstRowFirstColumn="0" w:firstRowLastColumn="0" w:lastRowFirstColumn="0" w:lastRowLastColumn="0"/>
              <w:rPr>
                <w:color w:val="000000"/>
                <w:szCs w:val="20"/>
              </w:rPr>
            </w:pPr>
            <w:r>
              <w:rPr>
                <w:color w:val="000000"/>
                <w:szCs w:val="20"/>
              </w:rPr>
              <w:t>2.27</w:t>
            </w:r>
            <w:r w:rsidRPr="00F8021B" w:rsidR="00872C69">
              <w:rPr>
                <w:color w:val="000000"/>
                <w:szCs w:val="20"/>
              </w:rPr>
              <w:t>E-02</w:t>
            </w:r>
          </w:p>
        </w:tc>
        <w:tc>
          <w:tcPr>
            <w:tcW w:w="535" w:type="pct"/>
            <w:vAlign w:val="center"/>
            <w:hideMark/>
          </w:tcPr>
          <w:p w:rsidRPr="00F8021B" w:rsidR="00872C69" w:rsidP="009D4555" w:rsidRDefault="00872C69" w14:paraId="791B2BB3" w14:textId="3DDDDEE5">
            <w:pPr>
              <w:widowControl/>
              <w:autoSpaceDE/>
              <w:autoSpaceDN/>
              <w:adjustRightInd/>
              <w:jc w:val="center"/>
              <w:cnfStyle w:val="000000000000" w:firstRow="0" w:lastRow="0" w:firstColumn="0" w:lastColumn="0" w:oddVBand="0" w:evenVBand="0" w:oddHBand="0" w:evenHBand="0" w:firstRowFirstColumn="0" w:firstRowLastColumn="0" w:lastRowFirstColumn="0" w:lastRowLastColumn="0"/>
              <w:rPr>
                <w:color w:val="000000"/>
                <w:szCs w:val="20"/>
              </w:rPr>
            </w:pPr>
            <w:r w:rsidRPr="00F8021B">
              <w:rPr>
                <w:color w:val="000000"/>
                <w:szCs w:val="20"/>
              </w:rPr>
              <w:t>lbs./ton</w:t>
            </w:r>
          </w:p>
        </w:tc>
        <w:tc>
          <w:tcPr>
            <w:tcW w:w="1582" w:type="pct"/>
            <w:hideMark/>
          </w:tcPr>
          <w:p w:rsidRPr="00F8021B" w:rsidR="00872C69" w:rsidP="0046047E" w:rsidRDefault="00DC7F7F" w14:paraId="226858FB" w14:textId="57E91307">
            <w:pPr>
              <w:widowControl/>
              <w:autoSpaceDE/>
              <w:autoSpaceDN/>
              <w:adjustRightInd/>
              <w:cnfStyle w:val="000000000000" w:firstRow="0" w:lastRow="0" w:firstColumn="0" w:lastColumn="0" w:oddVBand="0" w:evenVBand="0" w:oddHBand="0" w:evenHBand="0" w:firstRowFirstColumn="0" w:firstRowLastColumn="0" w:lastRowFirstColumn="0" w:lastRowLastColumn="0"/>
              <w:rPr>
                <w:color w:val="000000"/>
                <w:szCs w:val="20"/>
              </w:rPr>
            </w:pPr>
            <w:r>
              <w:rPr>
                <w:color w:val="000000"/>
                <w:szCs w:val="20"/>
              </w:rPr>
              <w:t xml:space="preserve">Reference </w:t>
            </w:r>
            <w:r>
              <w:rPr>
                <w:color w:val="000000"/>
                <w:szCs w:val="20"/>
              </w:rPr>
              <w:fldChar w:fldCharType="begin"/>
            </w:r>
            <w:r>
              <w:rPr>
                <w:color w:val="000000"/>
                <w:szCs w:val="20"/>
              </w:rPr>
              <w:instrText xml:space="preserve"> NOTEREF _Ref478482810 \h  \* MERGEFORMAT </w:instrText>
            </w:r>
            <w:r>
              <w:rPr>
                <w:color w:val="000000"/>
                <w:szCs w:val="20"/>
              </w:rPr>
            </w:r>
            <w:r>
              <w:rPr>
                <w:color w:val="000000"/>
                <w:szCs w:val="20"/>
              </w:rPr>
              <w:fldChar w:fldCharType="separate"/>
            </w:r>
            <w:r>
              <w:rPr>
                <w:color w:val="000000"/>
                <w:szCs w:val="20"/>
              </w:rPr>
              <w:t>8</w:t>
            </w:r>
            <w:r>
              <w:rPr>
                <w:color w:val="000000"/>
                <w:szCs w:val="20"/>
              </w:rPr>
              <w:fldChar w:fldCharType="end"/>
            </w:r>
            <w:r w:rsidRPr="00F8021B">
              <w:rPr>
                <w:color w:val="000000"/>
                <w:szCs w:val="20"/>
              </w:rPr>
              <w:t>, Table 3-6</w:t>
            </w:r>
          </w:p>
        </w:tc>
      </w:tr>
      <w:tr w:rsidRPr="00F8021B" w:rsidR="00872C69" w:rsidTr="00030F9E" w14:paraId="2A1F764D" w14:textId="77777777">
        <w:trPr>
          <w:cnfStyle w:val="000000100000" w:firstRow="0" w:lastRow="0" w:firstColumn="0" w:lastColumn="0" w:oddVBand="0" w:evenVBand="0" w:oddHBand="1" w:evenHBand="0" w:firstRowFirstColumn="0" w:firstRowLastColumn="0" w:lastRowFirstColumn="0" w:lastRowLastColumn="0"/>
          <w:cantSplit/>
          <w:trHeight w:val="20"/>
        </w:trPr>
        <w:tc>
          <w:tcPr>
            <w:cnfStyle w:val="001000000000" w:firstRow="0" w:lastRow="0" w:firstColumn="1" w:lastColumn="0" w:oddVBand="0" w:evenVBand="0" w:oddHBand="0" w:evenHBand="0" w:firstRowFirstColumn="0" w:firstRowLastColumn="0" w:lastRowFirstColumn="0" w:lastRowLastColumn="0"/>
            <w:tcW w:w="988" w:type="pct"/>
            <w:vAlign w:val="center"/>
            <w:hideMark/>
          </w:tcPr>
          <w:p w:rsidRPr="00F8021B" w:rsidR="00872C69" w:rsidP="005F75F8" w:rsidRDefault="00872C69" w14:paraId="09F8D257" w14:textId="77777777">
            <w:pPr>
              <w:widowControl/>
              <w:autoSpaceDE/>
              <w:autoSpaceDN/>
              <w:adjustRightInd/>
              <w:rPr>
                <w:b w:val="0"/>
                <w:color w:val="000000"/>
                <w:szCs w:val="20"/>
              </w:rPr>
            </w:pPr>
            <w:r w:rsidRPr="00F8021B">
              <w:rPr>
                <w:b w:val="0"/>
                <w:color w:val="000000"/>
                <w:szCs w:val="20"/>
              </w:rPr>
              <w:t>Pentachloronitrobenzene</w:t>
            </w:r>
          </w:p>
        </w:tc>
        <w:tc>
          <w:tcPr>
            <w:tcW w:w="450" w:type="pct"/>
            <w:vAlign w:val="center"/>
            <w:hideMark/>
          </w:tcPr>
          <w:p w:rsidRPr="009F14D2" w:rsidR="00872C69" w:rsidRDefault="00872C69" w14:paraId="29A9FDDE" w14:textId="77777777">
            <w:pPr>
              <w:widowControl/>
              <w:autoSpaceDE/>
              <w:autoSpaceDN/>
              <w:adjustRightInd/>
              <w:jc w:val="center"/>
              <w:cnfStyle w:val="000000100000" w:firstRow="0" w:lastRow="0" w:firstColumn="0" w:lastColumn="0" w:oddVBand="0" w:evenVBand="0" w:oddHBand="1" w:evenHBand="0" w:firstRowFirstColumn="0" w:firstRowLastColumn="0" w:lastRowFirstColumn="0" w:lastRowLastColumn="0"/>
              <w:rPr>
                <w:color w:val="000000"/>
              </w:rPr>
            </w:pPr>
            <w:r w:rsidRPr="009F14D2">
              <w:rPr>
                <w:color w:val="000000"/>
              </w:rPr>
              <w:t>82688</w:t>
            </w:r>
          </w:p>
        </w:tc>
        <w:tc>
          <w:tcPr>
            <w:tcW w:w="455" w:type="pct"/>
            <w:vAlign w:val="center"/>
            <w:hideMark/>
          </w:tcPr>
          <w:p w:rsidRPr="009F14D2" w:rsidR="00872C69" w:rsidRDefault="00872C69" w14:paraId="797CF234" w14:textId="77777777">
            <w:pPr>
              <w:widowControl/>
              <w:autoSpaceDE/>
              <w:autoSpaceDN/>
              <w:adjustRightInd/>
              <w:jc w:val="center"/>
              <w:cnfStyle w:val="000000100000" w:firstRow="0" w:lastRow="0" w:firstColumn="0" w:lastColumn="0" w:oddVBand="0" w:evenVBand="0" w:oddHBand="1" w:evenHBand="0" w:firstRowFirstColumn="0" w:firstRowLastColumn="0" w:lastRowFirstColumn="0" w:lastRowLastColumn="0"/>
              <w:rPr>
                <w:color w:val="000000"/>
              </w:rPr>
            </w:pPr>
            <w:r w:rsidRPr="009F14D2">
              <w:rPr>
                <w:color w:val="000000"/>
              </w:rPr>
              <w:t>0.01</w:t>
            </w:r>
          </w:p>
        </w:tc>
        <w:tc>
          <w:tcPr>
            <w:tcW w:w="455" w:type="pct"/>
            <w:vAlign w:val="center"/>
            <w:hideMark/>
          </w:tcPr>
          <w:p w:rsidRPr="00F8021B" w:rsidR="00872C69" w:rsidP="009D4555" w:rsidRDefault="00872C69" w14:paraId="4964BCCF" w14:textId="407D77E3">
            <w:pPr>
              <w:widowControl/>
              <w:autoSpaceDE/>
              <w:autoSpaceDN/>
              <w:adjustRightInd/>
              <w:jc w:val="center"/>
              <w:cnfStyle w:val="000000100000" w:firstRow="0" w:lastRow="0" w:firstColumn="0" w:lastColumn="0" w:oddVBand="0" w:evenVBand="0" w:oddHBand="1" w:evenHBand="0" w:firstRowFirstColumn="0" w:firstRowLastColumn="0" w:lastRowFirstColumn="0" w:lastRowLastColumn="0"/>
              <w:rPr>
                <w:color w:val="000000"/>
                <w:szCs w:val="20"/>
              </w:rPr>
            </w:pPr>
            <w:r w:rsidRPr="00F8021B">
              <w:rPr>
                <w:color w:val="000000"/>
                <w:szCs w:val="20"/>
              </w:rPr>
              <w:t>mg/kg</w:t>
            </w:r>
          </w:p>
        </w:tc>
        <w:tc>
          <w:tcPr>
            <w:tcW w:w="535" w:type="pct"/>
            <w:vAlign w:val="center"/>
            <w:hideMark/>
          </w:tcPr>
          <w:p w:rsidRPr="00F8021B" w:rsidR="00872C69" w:rsidP="009D4555" w:rsidRDefault="00872C69" w14:paraId="38AC3E12" w14:textId="77777777">
            <w:pPr>
              <w:widowControl/>
              <w:autoSpaceDE/>
              <w:autoSpaceDN/>
              <w:adjustRightInd/>
              <w:jc w:val="center"/>
              <w:cnfStyle w:val="000000100000" w:firstRow="0" w:lastRow="0" w:firstColumn="0" w:lastColumn="0" w:oddVBand="0" w:evenVBand="0" w:oddHBand="1" w:evenHBand="0" w:firstRowFirstColumn="0" w:firstRowLastColumn="0" w:lastRowFirstColumn="0" w:lastRowLastColumn="0"/>
              <w:rPr>
                <w:color w:val="000000"/>
                <w:szCs w:val="20"/>
              </w:rPr>
            </w:pPr>
            <w:r w:rsidRPr="00F8021B">
              <w:rPr>
                <w:color w:val="000000"/>
                <w:szCs w:val="20"/>
              </w:rPr>
              <w:t>2.00E-05</w:t>
            </w:r>
          </w:p>
        </w:tc>
        <w:tc>
          <w:tcPr>
            <w:tcW w:w="535" w:type="pct"/>
            <w:vAlign w:val="center"/>
            <w:hideMark/>
          </w:tcPr>
          <w:p w:rsidRPr="00F8021B" w:rsidR="00872C69" w:rsidP="009D4555" w:rsidRDefault="00872C69" w14:paraId="42D60F75" w14:textId="5EE05913">
            <w:pPr>
              <w:widowControl/>
              <w:autoSpaceDE/>
              <w:autoSpaceDN/>
              <w:adjustRightInd/>
              <w:jc w:val="center"/>
              <w:cnfStyle w:val="000000100000" w:firstRow="0" w:lastRow="0" w:firstColumn="0" w:lastColumn="0" w:oddVBand="0" w:evenVBand="0" w:oddHBand="1" w:evenHBand="0" w:firstRowFirstColumn="0" w:firstRowLastColumn="0" w:lastRowFirstColumn="0" w:lastRowLastColumn="0"/>
              <w:rPr>
                <w:color w:val="000000"/>
                <w:szCs w:val="20"/>
              </w:rPr>
            </w:pPr>
            <w:r w:rsidRPr="00F8021B">
              <w:rPr>
                <w:color w:val="000000"/>
                <w:szCs w:val="20"/>
              </w:rPr>
              <w:t>lbs./ton</w:t>
            </w:r>
          </w:p>
        </w:tc>
        <w:tc>
          <w:tcPr>
            <w:tcW w:w="1582" w:type="pct"/>
            <w:hideMark/>
          </w:tcPr>
          <w:p w:rsidRPr="00F8021B" w:rsidR="00872C69" w:rsidP="009D4555" w:rsidRDefault="00872C69" w14:paraId="291BC9F5" w14:textId="000AF020">
            <w:pPr>
              <w:widowControl/>
              <w:autoSpaceDE/>
              <w:autoSpaceDN/>
              <w:adjustRightInd/>
              <w:cnfStyle w:val="000000100000" w:firstRow="0" w:lastRow="0" w:firstColumn="0" w:lastColumn="0" w:oddVBand="0" w:evenVBand="0" w:oddHBand="1" w:evenHBand="0" w:firstRowFirstColumn="0" w:firstRowLastColumn="0" w:lastRowFirstColumn="0" w:lastRowLastColumn="0"/>
              <w:rPr>
                <w:color w:val="000000"/>
                <w:szCs w:val="20"/>
              </w:rPr>
            </w:pPr>
            <w:r>
              <w:rPr>
                <w:color w:val="000000"/>
                <w:szCs w:val="20"/>
              </w:rPr>
              <w:t xml:space="preserve">Reference </w:t>
            </w:r>
            <w:r>
              <w:rPr>
                <w:color w:val="000000"/>
                <w:szCs w:val="20"/>
              </w:rPr>
              <w:fldChar w:fldCharType="begin"/>
            </w:r>
            <w:r>
              <w:rPr>
                <w:color w:val="000000"/>
                <w:szCs w:val="20"/>
              </w:rPr>
              <w:instrText xml:space="preserve"> NOTEREF _Ref478482810 \h  \* MERGEFORMAT </w:instrText>
            </w:r>
            <w:r>
              <w:rPr>
                <w:color w:val="000000"/>
                <w:szCs w:val="20"/>
              </w:rPr>
            </w:r>
            <w:r>
              <w:rPr>
                <w:color w:val="000000"/>
                <w:szCs w:val="20"/>
              </w:rPr>
              <w:fldChar w:fldCharType="separate"/>
            </w:r>
            <w:r w:rsidR="00117BBF">
              <w:rPr>
                <w:color w:val="000000"/>
                <w:szCs w:val="20"/>
              </w:rPr>
              <w:t>8</w:t>
            </w:r>
            <w:r>
              <w:rPr>
                <w:color w:val="000000"/>
                <w:szCs w:val="20"/>
              </w:rPr>
              <w:fldChar w:fldCharType="end"/>
            </w:r>
            <w:r w:rsidRPr="00F8021B">
              <w:rPr>
                <w:color w:val="000000"/>
                <w:szCs w:val="20"/>
              </w:rPr>
              <w:t>, Table 3-6</w:t>
            </w:r>
          </w:p>
        </w:tc>
      </w:tr>
      <w:tr w:rsidRPr="00F8021B" w:rsidR="00872C69" w:rsidTr="00030F9E" w14:paraId="662A3596" w14:textId="77777777">
        <w:trPr>
          <w:cantSplit/>
          <w:trHeight w:val="20"/>
        </w:trPr>
        <w:tc>
          <w:tcPr>
            <w:cnfStyle w:val="001000000000" w:firstRow="0" w:lastRow="0" w:firstColumn="1" w:lastColumn="0" w:oddVBand="0" w:evenVBand="0" w:oddHBand="0" w:evenHBand="0" w:firstRowFirstColumn="0" w:firstRowLastColumn="0" w:lastRowFirstColumn="0" w:lastRowLastColumn="0"/>
            <w:tcW w:w="988" w:type="pct"/>
            <w:vAlign w:val="center"/>
            <w:hideMark/>
          </w:tcPr>
          <w:p w:rsidRPr="00F8021B" w:rsidR="00872C69" w:rsidP="005F75F8" w:rsidRDefault="00872C69" w14:paraId="725391FF" w14:textId="77777777">
            <w:pPr>
              <w:widowControl/>
              <w:autoSpaceDE/>
              <w:autoSpaceDN/>
              <w:adjustRightInd/>
              <w:rPr>
                <w:b w:val="0"/>
                <w:color w:val="000000"/>
                <w:szCs w:val="20"/>
              </w:rPr>
            </w:pPr>
            <w:r w:rsidRPr="00F8021B">
              <w:rPr>
                <w:b w:val="0"/>
                <w:color w:val="000000"/>
                <w:szCs w:val="20"/>
              </w:rPr>
              <w:t>Phenanthrene</w:t>
            </w:r>
          </w:p>
        </w:tc>
        <w:tc>
          <w:tcPr>
            <w:tcW w:w="450" w:type="pct"/>
            <w:vAlign w:val="center"/>
            <w:hideMark/>
          </w:tcPr>
          <w:p w:rsidRPr="009F14D2" w:rsidR="00872C69" w:rsidRDefault="00872C69" w14:paraId="0B14E125" w14:textId="77777777">
            <w:pPr>
              <w:widowControl/>
              <w:autoSpaceDE/>
              <w:autoSpaceDN/>
              <w:adjustRightInd/>
              <w:jc w:val="center"/>
              <w:cnfStyle w:val="000000000000" w:firstRow="0" w:lastRow="0" w:firstColumn="0" w:lastColumn="0" w:oddVBand="0" w:evenVBand="0" w:oddHBand="0" w:evenHBand="0" w:firstRowFirstColumn="0" w:firstRowLastColumn="0" w:lastRowFirstColumn="0" w:lastRowLastColumn="0"/>
              <w:rPr>
                <w:color w:val="000000"/>
              </w:rPr>
            </w:pPr>
            <w:r w:rsidRPr="009F14D2">
              <w:rPr>
                <w:color w:val="000000"/>
              </w:rPr>
              <w:t>85018</w:t>
            </w:r>
          </w:p>
        </w:tc>
        <w:tc>
          <w:tcPr>
            <w:tcW w:w="455" w:type="pct"/>
            <w:vAlign w:val="center"/>
            <w:hideMark/>
          </w:tcPr>
          <w:p w:rsidRPr="009F14D2" w:rsidR="00872C69" w:rsidRDefault="00DC7F7F" w14:paraId="3B0E0582" w14:textId="1AF0B633">
            <w:pPr>
              <w:widowControl/>
              <w:autoSpaceDE/>
              <w:autoSpaceDN/>
              <w:adjustRightInd/>
              <w:jc w:val="center"/>
              <w:cnfStyle w:val="000000000000" w:firstRow="0" w:lastRow="0" w:firstColumn="0" w:lastColumn="0" w:oddVBand="0" w:evenVBand="0" w:oddHBand="0" w:evenHBand="0" w:firstRowFirstColumn="0" w:firstRowLastColumn="0" w:lastRowFirstColumn="0" w:lastRowLastColumn="0"/>
              <w:rPr>
                <w:color w:val="000000"/>
              </w:rPr>
            </w:pPr>
            <w:r>
              <w:rPr>
                <w:color w:val="000000"/>
              </w:rPr>
              <w:t>5</w:t>
            </w:r>
            <w:r w:rsidRPr="009F14D2" w:rsidR="00872C69">
              <w:rPr>
                <w:color w:val="000000"/>
              </w:rPr>
              <w:t>.3</w:t>
            </w:r>
            <w:r>
              <w:rPr>
                <w:color w:val="000000"/>
              </w:rPr>
              <w:t>3</w:t>
            </w:r>
          </w:p>
        </w:tc>
        <w:tc>
          <w:tcPr>
            <w:tcW w:w="455" w:type="pct"/>
            <w:vAlign w:val="center"/>
            <w:hideMark/>
          </w:tcPr>
          <w:p w:rsidRPr="00F8021B" w:rsidR="00872C69" w:rsidP="009D4555" w:rsidRDefault="00872C69" w14:paraId="23F6277E" w14:textId="36145178">
            <w:pPr>
              <w:widowControl/>
              <w:autoSpaceDE/>
              <w:autoSpaceDN/>
              <w:adjustRightInd/>
              <w:jc w:val="center"/>
              <w:cnfStyle w:val="000000000000" w:firstRow="0" w:lastRow="0" w:firstColumn="0" w:lastColumn="0" w:oddVBand="0" w:evenVBand="0" w:oddHBand="0" w:evenHBand="0" w:firstRowFirstColumn="0" w:firstRowLastColumn="0" w:lastRowFirstColumn="0" w:lastRowLastColumn="0"/>
              <w:rPr>
                <w:color w:val="000000"/>
                <w:szCs w:val="20"/>
              </w:rPr>
            </w:pPr>
            <w:r w:rsidRPr="00F8021B">
              <w:rPr>
                <w:color w:val="000000"/>
                <w:szCs w:val="20"/>
              </w:rPr>
              <w:t>mg/kg</w:t>
            </w:r>
          </w:p>
        </w:tc>
        <w:tc>
          <w:tcPr>
            <w:tcW w:w="535" w:type="pct"/>
            <w:vAlign w:val="center"/>
            <w:hideMark/>
          </w:tcPr>
          <w:p w:rsidRPr="00F8021B" w:rsidR="00872C69" w:rsidP="00DC7F7F" w:rsidRDefault="00872C69" w14:paraId="3555C964" w14:textId="21E007DE">
            <w:pPr>
              <w:widowControl/>
              <w:autoSpaceDE/>
              <w:autoSpaceDN/>
              <w:adjustRightInd/>
              <w:jc w:val="center"/>
              <w:cnfStyle w:val="000000000000" w:firstRow="0" w:lastRow="0" w:firstColumn="0" w:lastColumn="0" w:oddVBand="0" w:evenVBand="0" w:oddHBand="0" w:evenHBand="0" w:firstRowFirstColumn="0" w:firstRowLastColumn="0" w:lastRowFirstColumn="0" w:lastRowLastColumn="0"/>
              <w:rPr>
                <w:color w:val="000000"/>
                <w:szCs w:val="20"/>
              </w:rPr>
            </w:pPr>
            <w:r w:rsidRPr="00F8021B">
              <w:rPr>
                <w:color w:val="000000"/>
                <w:szCs w:val="20"/>
              </w:rPr>
              <w:t>1.</w:t>
            </w:r>
            <w:r w:rsidR="00DC7F7F">
              <w:rPr>
                <w:color w:val="000000"/>
                <w:szCs w:val="20"/>
              </w:rPr>
              <w:t>0</w:t>
            </w:r>
            <w:r w:rsidRPr="00F8021B">
              <w:rPr>
                <w:color w:val="000000"/>
                <w:szCs w:val="20"/>
              </w:rPr>
              <w:t>6E-02</w:t>
            </w:r>
          </w:p>
        </w:tc>
        <w:tc>
          <w:tcPr>
            <w:tcW w:w="535" w:type="pct"/>
            <w:vAlign w:val="center"/>
            <w:hideMark/>
          </w:tcPr>
          <w:p w:rsidRPr="00F8021B" w:rsidR="00872C69" w:rsidP="009D4555" w:rsidRDefault="00872C69" w14:paraId="371BD925" w14:textId="017C83DD">
            <w:pPr>
              <w:widowControl/>
              <w:autoSpaceDE/>
              <w:autoSpaceDN/>
              <w:adjustRightInd/>
              <w:jc w:val="center"/>
              <w:cnfStyle w:val="000000000000" w:firstRow="0" w:lastRow="0" w:firstColumn="0" w:lastColumn="0" w:oddVBand="0" w:evenVBand="0" w:oddHBand="0" w:evenHBand="0" w:firstRowFirstColumn="0" w:firstRowLastColumn="0" w:lastRowFirstColumn="0" w:lastRowLastColumn="0"/>
              <w:rPr>
                <w:color w:val="000000"/>
                <w:szCs w:val="20"/>
              </w:rPr>
            </w:pPr>
            <w:r w:rsidRPr="00F8021B">
              <w:rPr>
                <w:color w:val="000000"/>
                <w:szCs w:val="20"/>
              </w:rPr>
              <w:t>lbs./ton</w:t>
            </w:r>
          </w:p>
        </w:tc>
        <w:tc>
          <w:tcPr>
            <w:tcW w:w="1582" w:type="pct"/>
            <w:hideMark/>
          </w:tcPr>
          <w:p w:rsidRPr="00F8021B" w:rsidR="00872C69" w:rsidP="00AF4787" w:rsidRDefault="00DC7F7F" w14:paraId="426635C9" w14:textId="08512A03">
            <w:pPr>
              <w:widowControl/>
              <w:autoSpaceDE/>
              <w:autoSpaceDN/>
              <w:adjustRightInd/>
              <w:cnfStyle w:val="000000000000" w:firstRow="0" w:lastRow="0" w:firstColumn="0" w:lastColumn="0" w:oddVBand="0" w:evenVBand="0" w:oddHBand="0" w:evenHBand="0" w:firstRowFirstColumn="0" w:firstRowLastColumn="0" w:lastRowFirstColumn="0" w:lastRowLastColumn="0"/>
              <w:rPr>
                <w:color w:val="000000"/>
                <w:szCs w:val="20"/>
              </w:rPr>
            </w:pPr>
            <w:r>
              <w:rPr>
                <w:color w:val="000000"/>
                <w:szCs w:val="20"/>
              </w:rPr>
              <w:t xml:space="preserve">Reference </w:t>
            </w:r>
            <w:r>
              <w:rPr>
                <w:color w:val="000000"/>
                <w:szCs w:val="20"/>
              </w:rPr>
              <w:fldChar w:fldCharType="begin"/>
            </w:r>
            <w:r>
              <w:rPr>
                <w:color w:val="000000"/>
                <w:szCs w:val="20"/>
              </w:rPr>
              <w:instrText xml:space="preserve"> NOTEREF _Ref478482810 \h  \* MERGEFORMAT </w:instrText>
            </w:r>
            <w:r>
              <w:rPr>
                <w:color w:val="000000"/>
                <w:szCs w:val="20"/>
              </w:rPr>
            </w:r>
            <w:r>
              <w:rPr>
                <w:color w:val="000000"/>
                <w:szCs w:val="20"/>
              </w:rPr>
              <w:fldChar w:fldCharType="separate"/>
            </w:r>
            <w:r>
              <w:rPr>
                <w:color w:val="000000"/>
                <w:szCs w:val="20"/>
              </w:rPr>
              <w:t>8</w:t>
            </w:r>
            <w:r>
              <w:rPr>
                <w:color w:val="000000"/>
                <w:szCs w:val="20"/>
              </w:rPr>
              <w:fldChar w:fldCharType="end"/>
            </w:r>
            <w:r w:rsidRPr="00F8021B">
              <w:rPr>
                <w:color w:val="000000"/>
                <w:szCs w:val="20"/>
              </w:rPr>
              <w:t>, Table 3-6</w:t>
            </w:r>
          </w:p>
        </w:tc>
      </w:tr>
      <w:tr w:rsidRPr="00F8021B" w:rsidR="00872C69" w:rsidTr="00030F9E" w14:paraId="24379D62" w14:textId="77777777">
        <w:trPr>
          <w:cnfStyle w:val="000000100000" w:firstRow="0" w:lastRow="0" w:firstColumn="0" w:lastColumn="0" w:oddVBand="0" w:evenVBand="0" w:oddHBand="1" w:evenHBand="0" w:firstRowFirstColumn="0" w:firstRowLastColumn="0" w:lastRowFirstColumn="0" w:lastRowLastColumn="0"/>
          <w:cantSplit/>
          <w:trHeight w:val="20"/>
        </w:trPr>
        <w:tc>
          <w:tcPr>
            <w:cnfStyle w:val="001000000000" w:firstRow="0" w:lastRow="0" w:firstColumn="1" w:lastColumn="0" w:oddVBand="0" w:evenVBand="0" w:oddHBand="0" w:evenHBand="0" w:firstRowFirstColumn="0" w:firstRowLastColumn="0" w:lastRowFirstColumn="0" w:lastRowLastColumn="0"/>
            <w:tcW w:w="988" w:type="pct"/>
            <w:vAlign w:val="center"/>
            <w:hideMark/>
          </w:tcPr>
          <w:p w:rsidRPr="00F8021B" w:rsidR="00872C69" w:rsidP="005F75F8" w:rsidRDefault="00872C69" w14:paraId="7C56A5F6" w14:textId="77777777">
            <w:pPr>
              <w:widowControl/>
              <w:autoSpaceDE/>
              <w:autoSpaceDN/>
              <w:adjustRightInd/>
              <w:rPr>
                <w:b w:val="0"/>
                <w:color w:val="000000"/>
                <w:szCs w:val="20"/>
              </w:rPr>
            </w:pPr>
            <w:r w:rsidRPr="00F8021B">
              <w:rPr>
                <w:b w:val="0"/>
                <w:color w:val="000000"/>
                <w:szCs w:val="20"/>
              </w:rPr>
              <w:t>Phenol</w:t>
            </w:r>
          </w:p>
        </w:tc>
        <w:tc>
          <w:tcPr>
            <w:tcW w:w="450" w:type="pct"/>
            <w:vAlign w:val="center"/>
            <w:hideMark/>
          </w:tcPr>
          <w:p w:rsidRPr="009F14D2" w:rsidR="00872C69" w:rsidRDefault="00872C69" w14:paraId="2329D2D8" w14:textId="77777777">
            <w:pPr>
              <w:widowControl/>
              <w:autoSpaceDE/>
              <w:autoSpaceDN/>
              <w:adjustRightInd/>
              <w:jc w:val="center"/>
              <w:cnfStyle w:val="000000100000" w:firstRow="0" w:lastRow="0" w:firstColumn="0" w:lastColumn="0" w:oddVBand="0" w:evenVBand="0" w:oddHBand="1" w:evenHBand="0" w:firstRowFirstColumn="0" w:firstRowLastColumn="0" w:lastRowFirstColumn="0" w:lastRowLastColumn="0"/>
              <w:rPr>
                <w:color w:val="000000"/>
              </w:rPr>
            </w:pPr>
            <w:r w:rsidRPr="009F14D2">
              <w:rPr>
                <w:color w:val="000000"/>
              </w:rPr>
              <w:t>108952</w:t>
            </w:r>
          </w:p>
        </w:tc>
        <w:tc>
          <w:tcPr>
            <w:tcW w:w="455" w:type="pct"/>
            <w:vAlign w:val="center"/>
            <w:hideMark/>
          </w:tcPr>
          <w:p w:rsidRPr="009F14D2" w:rsidR="00872C69" w:rsidRDefault="00DC7F7F" w14:paraId="168A6158" w14:textId="2B7D3D88">
            <w:pPr>
              <w:widowControl/>
              <w:autoSpaceDE/>
              <w:autoSpaceDN/>
              <w:adjustRightInd/>
              <w:jc w:val="center"/>
              <w:cnfStyle w:val="000000100000" w:firstRow="0" w:lastRow="0" w:firstColumn="0" w:lastColumn="0" w:oddVBand="0" w:evenVBand="0" w:oddHBand="1" w:evenHBand="0" w:firstRowFirstColumn="0" w:firstRowLastColumn="0" w:lastRowFirstColumn="0" w:lastRowLastColumn="0"/>
              <w:rPr>
                <w:color w:val="000000"/>
              </w:rPr>
            </w:pPr>
            <w:r>
              <w:rPr>
                <w:color w:val="000000"/>
              </w:rPr>
              <w:t>112.66</w:t>
            </w:r>
          </w:p>
        </w:tc>
        <w:tc>
          <w:tcPr>
            <w:tcW w:w="455" w:type="pct"/>
            <w:vAlign w:val="center"/>
            <w:hideMark/>
          </w:tcPr>
          <w:p w:rsidRPr="00F8021B" w:rsidR="00872C69" w:rsidP="009D4555" w:rsidRDefault="00872C69" w14:paraId="55C51B46" w14:textId="44862942">
            <w:pPr>
              <w:widowControl/>
              <w:autoSpaceDE/>
              <w:autoSpaceDN/>
              <w:adjustRightInd/>
              <w:jc w:val="center"/>
              <w:cnfStyle w:val="000000100000" w:firstRow="0" w:lastRow="0" w:firstColumn="0" w:lastColumn="0" w:oddVBand="0" w:evenVBand="0" w:oddHBand="1" w:evenHBand="0" w:firstRowFirstColumn="0" w:firstRowLastColumn="0" w:lastRowFirstColumn="0" w:lastRowLastColumn="0"/>
              <w:rPr>
                <w:color w:val="000000"/>
                <w:szCs w:val="20"/>
              </w:rPr>
            </w:pPr>
            <w:r w:rsidRPr="00F8021B">
              <w:rPr>
                <w:color w:val="000000"/>
                <w:szCs w:val="20"/>
              </w:rPr>
              <w:t>mg/kg</w:t>
            </w:r>
          </w:p>
        </w:tc>
        <w:tc>
          <w:tcPr>
            <w:tcW w:w="535" w:type="pct"/>
            <w:vAlign w:val="center"/>
            <w:hideMark/>
          </w:tcPr>
          <w:p w:rsidRPr="00F8021B" w:rsidR="00872C69" w:rsidP="00DC7F7F" w:rsidRDefault="00872C69" w14:paraId="05B43003" w14:textId="369548F4">
            <w:pPr>
              <w:widowControl/>
              <w:autoSpaceDE/>
              <w:autoSpaceDN/>
              <w:adjustRightInd/>
              <w:jc w:val="center"/>
              <w:cnfStyle w:val="000000100000" w:firstRow="0" w:lastRow="0" w:firstColumn="0" w:lastColumn="0" w:oddVBand="0" w:evenVBand="0" w:oddHBand="1" w:evenHBand="0" w:firstRowFirstColumn="0" w:firstRowLastColumn="0" w:lastRowFirstColumn="0" w:lastRowLastColumn="0"/>
              <w:rPr>
                <w:color w:val="000000"/>
                <w:szCs w:val="20"/>
              </w:rPr>
            </w:pPr>
            <w:r w:rsidRPr="00F8021B">
              <w:rPr>
                <w:color w:val="000000"/>
                <w:szCs w:val="20"/>
              </w:rPr>
              <w:t>2.</w:t>
            </w:r>
            <w:r w:rsidR="00DC7F7F">
              <w:rPr>
                <w:color w:val="000000"/>
                <w:szCs w:val="20"/>
              </w:rPr>
              <w:t>25</w:t>
            </w:r>
            <w:r w:rsidRPr="00F8021B">
              <w:rPr>
                <w:color w:val="000000"/>
                <w:szCs w:val="20"/>
              </w:rPr>
              <w:t>E-01</w:t>
            </w:r>
          </w:p>
        </w:tc>
        <w:tc>
          <w:tcPr>
            <w:tcW w:w="535" w:type="pct"/>
            <w:vAlign w:val="center"/>
            <w:hideMark/>
          </w:tcPr>
          <w:p w:rsidRPr="00F8021B" w:rsidR="00872C69" w:rsidP="009D4555" w:rsidRDefault="00872C69" w14:paraId="6CA2A5EC" w14:textId="2E7C2FE4">
            <w:pPr>
              <w:widowControl/>
              <w:autoSpaceDE/>
              <w:autoSpaceDN/>
              <w:adjustRightInd/>
              <w:jc w:val="center"/>
              <w:cnfStyle w:val="000000100000" w:firstRow="0" w:lastRow="0" w:firstColumn="0" w:lastColumn="0" w:oddVBand="0" w:evenVBand="0" w:oddHBand="1" w:evenHBand="0" w:firstRowFirstColumn="0" w:firstRowLastColumn="0" w:lastRowFirstColumn="0" w:lastRowLastColumn="0"/>
              <w:rPr>
                <w:color w:val="000000"/>
                <w:szCs w:val="20"/>
              </w:rPr>
            </w:pPr>
            <w:r w:rsidRPr="00F8021B">
              <w:rPr>
                <w:color w:val="000000"/>
                <w:szCs w:val="20"/>
              </w:rPr>
              <w:t>lbs./ton</w:t>
            </w:r>
          </w:p>
        </w:tc>
        <w:tc>
          <w:tcPr>
            <w:tcW w:w="1582" w:type="pct"/>
            <w:hideMark/>
          </w:tcPr>
          <w:p w:rsidRPr="00F8021B" w:rsidR="00872C69" w:rsidP="00AF4787" w:rsidRDefault="00DC7F7F" w14:paraId="36C44FD6" w14:textId="1AEA38CC">
            <w:pPr>
              <w:widowControl/>
              <w:autoSpaceDE/>
              <w:autoSpaceDN/>
              <w:adjustRightInd/>
              <w:cnfStyle w:val="000000100000" w:firstRow="0" w:lastRow="0" w:firstColumn="0" w:lastColumn="0" w:oddVBand="0" w:evenVBand="0" w:oddHBand="1" w:evenHBand="0" w:firstRowFirstColumn="0" w:firstRowLastColumn="0" w:lastRowFirstColumn="0" w:lastRowLastColumn="0"/>
              <w:rPr>
                <w:color w:val="000000"/>
                <w:szCs w:val="20"/>
              </w:rPr>
            </w:pPr>
            <w:r>
              <w:rPr>
                <w:color w:val="000000"/>
                <w:szCs w:val="20"/>
              </w:rPr>
              <w:t xml:space="preserve">Reference </w:t>
            </w:r>
            <w:r>
              <w:rPr>
                <w:color w:val="000000"/>
                <w:szCs w:val="20"/>
              </w:rPr>
              <w:fldChar w:fldCharType="begin"/>
            </w:r>
            <w:r>
              <w:rPr>
                <w:color w:val="000000"/>
                <w:szCs w:val="20"/>
              </w:rPr>
              <w:instrText xml:space="preserve"> NOTEREF _Ref478482810 \h  \* MERGEFORMAT </w:instrText>
            </w:r>
            <w:r>
              <w:rPr>
                <w:color w:val="000000"/>
                <w:szCs w:val="20"/>
              </w:rPr>
            </w:r>
            <w:r>
              <w:rPr>
                <w:color w:val="000000"/>
                <w:szCs w:val="20"/>
              </w:rPr>
              <w:fldChar w:fldCharType="separate"/>
            </w:r>
            <w:r>
              <w:rPr>
                <w:color w:val="000000"/>
                <w:szCs w:val="20"/>
              </w:rPr>
              <w:t>8</w:t>
            </w:r>
            <w:r>
              <w:rPr>
                <w:color w:val="000000"/>
                <w:szCs w:val="20"/>
              </w:rPr>
              <w:fldChar w:fldCharType="end"/>
            </w:r>
            <w:r w:rsidRPr="00F8021B">
              <w:rPr>
                <w:color w:val="000000"/>
                <w:szCs w:val="20"/>
              </w:rPr>
              <w:t>, Table 3-6</w:t>
            </w:r>
          </w:p>
        </w:tc>
      </w:tr>
      <w:tr w:rsidRPr="00F8021B" w:rsidR="00872C69" w:rsidTr="00FE1365" w14:paraId="4D1E2B91" w14:textId="77777777">
        <w:trPr>
          <w:cantSplit/>
          <w:trHeight w:val="20"/>
        </w:trPr>
        <w:tc>
          <w:tcPr>
            <w:cnfStyle w:val="001000000000" w:firstRow="0" w:lastRow="0" w:firstColumn="1" w:lastColumn="0" w:oddVBand="0" w:evenVBand="0" w:oddHBand="0" w:evenHBand="0" w:firstRowFirstColumn="0" w:firstRowLastColumn="0" w:lastRowFirstColumn="0" w:lastRowLastColumn="0"/>
            <w:tcW w:w="988" w:type="pct"/>
            <w:vAlign w:val="center"/>
            <w:hideMark/>
          </w:tcPr>
          <w:p w:rsidRPr="00F8021B" w:rsidR="00872C69" w:rsidP="005F75F8" w:rsidRDefault="00872C69" w14:paraId="049D8DE0" w14:textId="77777777">
            <w:pPr>
              <w:widowControl/>
              <w:autoSpaceDE/>
              <w:autoSpaceDN/>
              <w:adjustRightInd/>
              <w:rPr>
                <w:b w:val="0"/>
                <w:color w:val="000000"/>
                <w:szCs w:val="20"/>
              </w:rPr>
            </w:pPr>
            <w:r w:rsidRPr="00F8021B">
              <w:rPr>
                <w:b w:val="0"/>
                <w:color w:val="000000"/>
                <w:szCs w:val="20"/>
              </w:rPr>
              <w:t>Polychlorinated Biphenyls (PCBs)</w:t>
            </w:r>
          </w:p>
        </w:tc>
        <w:tc>
          <w:tcPr>
            <w:tcW w:w="450" w:type="pct"/>
            <w:vAlign w:val="center"/>
            <w:hideMark/>
          </w:tcPr>
          <w:p w:rsidRPr="009F14D2" w:rsidR="00872C69" w:rsidRDefault="00872C69" w14:paraId="2B58729D" w14:textId="77777777">
            <w:pPr>
              <w:widowControl/>
              <w:autoSpaceDE/>
              <w:autoSpaceDN/>
              <w:adjustRightInd/>
              <w:jc w:val="center"/>
              <w:cnfStyle w:val="000000000000" w:firstRow="0" w:lastRow="0" w:firstColumn="0" w:lastColumn="0" w:oddVBand="0" w:evenVBand="0" w:oddHBand="0" w:evenHBand="0" w:firstRowFirstColumn="0" w:firstRowLastColumn="0" w:lastRowFirstColumn="0" w:lastRowLastColumn="0"/>
              <w:rPr>
                <w:color w:val="000000"/>
              </w:rPr>
            </w:pPr>
            <w:r w:rsidRPr="009F14D2">
              <w:rPr>
                <w:color w:val="000000"/>
              </w:rPr>
              <w:t>1336363</w:t>
            </w:r>
          </w:p>
        </w:tc>
        <w:tc>
          <w:tcPr>
            <w:tcW w:w="455" w:type="pct"/>
            <w:vAlign w:val="center"/>
            <w:hideMark/>
          </w:tcPr>
          <w:p w:rsidRPr="009F14D2" w:rsidR="00872C69" w:rsidRDefault="00DC7F7F" w14:paraId="7B31B943" w14:textId="3CC7449C">
            <w:pPr>
              <w:widowControl/>
              <w:autoSpaceDE/>
              <w:autoSpaceDN/>
              <w:adjustRightInd/>
              <w:jc w:val="center"/>
              <w:cnfStyle w:val="000000000000" w:firstRow="0" w:lastRow="0" w:firstColumn="0" w:lastColumn="0" w:oddVBand="0" w:evenVBand="0" w:oddHBand="0" w:evenHBand="0" w:firstRowFirstColumn="0" w:firstRowLastColumn="0" w:lastRowFirstColumn="0" w:lastRowLastColumn="0"/>
              <w:rPr>
                <w:color w:val="000000"/>
              </w:rPr>
            </w:pPr>
            <w:r>
              <w:rPr>
                <w:color w:val="000000"/>
              </w:rPr>
              <w:t>0.126</w:t>
            </w:r>
          </w:p>
        </w:tc>
        <w:tc>
          <w:tcPr>
            <w:tcW w:w="455" w:type="pct"/>
            <w:vAlign w:val="center"/>
            <w:hideMark/>
          </w:tcPr>
          <w:p w:rsidRPr="00F8021B" w:rsidR="00872C69" w:rsidP="009D4555" w:rsidRDefault="00872C69" w14:paraId="3D9D4370" w14:textId="78F35261">
            <w:pPr>
              <w:widowControl/>
              <w:autoSpaceDE/>
              <w:autoSpaceDN/>
              <w:adjustRightInd/>
              <w:jc w:val="center"/>
              <w:cnfStyle w:val="000000000000" w:firstRow="0" w:lastRow="0" w:firstColumn="0" w:lastColumn="0" w:oddVBand="0" w:evenVBand="0" w:oddHBand="0" w:evenHBand="0" w:firstRowFirstColumn="0" w:firstRowLastColumn="0" w:lastRowFirstColumn="0" w:lastRowLastColumn="0"/>
              <w:rPr>
                <w:color w:val="000000"/>
                <w:szCs w:val="20"/>
              </w:rPr>
            </w:pPr>
            <w:r>
              <w:rPr>
                <w:color w:val="000000"/>
                <w:szCs w:val="20"/>
              </w:rPr>
              <w:t>mg/kg</w:t>
            </w:r>
          </w:p>
        </w:tc>
        <w:tc>
          <w:tcPr>
            <w:tcW w:w="535" w:type="pct"/>
            <w:vAlign w:val="center"/>
            <w:hideMark/>
          </w:tcPr>
          <w:p w:rsidRPr="00F8021B" w:rsidR="00872C69" w:rsidP="00DC7F7F" w:rsidRDefault="00DC7F7F" w14:paraId="55310284" w14:textId="317AA616">
            <w:pPr>
              <w:widowControl/>
              <w:autoSpaceDE/>
              <w:autoSpaceDN/>
              <w:adjustRightInd/>
              <w:jc w:val="center"/>
              <w:cnfStyle w:val="000000000000" w:firstRow="0" w:lastRow="0" w:firstColumn="0" w:lastColumn="0" w:oddVBand="0" w:evenVBand="0" w:oddHBand="0" w:evenHBand="0" w:firstRowFirstColumn="0" w:firstRowLastColumn="0" w:lastRowFirstColumn="0" w:lastRowLastColumn="0"/>
              <w:rPr>
                <w:color w:val="000000"/>
                <w:szCs w:val="20"/>
              </w:rPr>
            </w:pPr>
            <w:r>
              <w:rPr>
                <w:color w:val="000000"/>
                <w:szCs w:val="20"/>
              </w:rPr>
              <w:t>2</w:t>
            </w:r>
            <w:r w:rsidRPr="00F8021B" w:rsidR="00872C69">
              <w:rPr>
                <w:color w:val="000000"/>
                <w:szCs w:val="20"/>
              </w:rPr>
              <w:t>.</w:t>
            </w:r>
            <w:r>
              <w:rPr>
                <w:color w:val="000000"/>
                <w:szCs w:val="20"/>
              </w:rPr>
              <w:t>51</w:t>
            </w:r>
            <w:r w:rsidRPr="00F8021B" w:rsidR="00872C69">
              <w:rPr>
                <w:color w:val="000000"/>
                <w:szCs w:val="20"/>
              </w:rPr>
              <w:t>E-0</w:t>
            </w:r>
            <w:r>
              <w:rPr>
                <w:color w:val="000000"/>
                <w:szCs w:val="20"/>
              </w:rPr>
              <w:t>4</w:t>
            </w:r>
          </w:p>
        </w:tc>
        <w:tc>
          <w:tcPr>
            <w:tcW w:w="535" w:type="pct"/>
            <w:vAlign w:val="center"/>
            <w:hideMark/>
          </w:tcPr>
          <w:p w:rsidRPr="00F8021B" w:rsidR="00872C69" w:rsidP="009D4555" w:rsidRDefault="00872C69" w14:paraId="543A7232" w14:textId="3BFE36B1">
            <w:pPr>
              <w:widowControl/>
              <w:autoSpaceDE/>
              <w:autoSpaceDN/>
              <w:adjustRightInd/>
              <w:jc w:val="center"/>
              <w:cnfStyle w:val="000000000000" w:firstRow="0" w:lastRow="0" w:firstColumn="0" w:lastColumn="0" w:oddVBand="0" w:evenVBand="0" w:oddHBand="0" w:evenHBand="0" w:firstRowFirstColumn="0" w:firstRowLastColumn="0" w:lastRowFirstColumn="0" w:lastRowLastColumn="0"/>
              <w:rPr>
                <w:color w:val="000000"/>
                <w:szCs w:val="20"/>
              </w:rPr>
            </w:pPr>
            <w:r w:rsidRPr="00F8021B">
              <w:rPr>
                <w:color w:val="000000"/>
                <w:szCs w:val="20"/>
              </w:rPr>
              <w:t>lbs./ton</w:t>
            </w:r>
          </w:p>
        </w:tc>
        <w:tc>
          <w:tcPr>
            <w:tcW w:w="1582" w:type="pct"/>
            <w:vAlign w:val="center"/>
            <w:hideMark/>
          </w:tcPr>
          <w:p w:rsidRPr="00F8021B" w:rsidR="00872C69" w:rsidP="00FE1365" w:rsidRDefault="00DC7F7F" w14:paraId="613BC5BF" w14:textId="1415130E">
            <w:pPr>
              <w:widowControl/>
              <w:autoSpaceDE/>
              <w:autoSpaceDN/>
              <w:adjustRightInd/>
              <w:cnfStyle w:val="000000000000" w:firstRow="0" w:lastRow="0" w:firstColumn="0" w:lastColumn="0" w:oddVBand="0" w:evenVBand="0" w:oddHBand="0" w:evenHBand="0" w:firstRowFirstColumn="0" w:firstRowLastColumn="0" w:lastRowFirstColumn="0" w:lastRowLastColumn="0"/>
              <w:rPr>
                <w:color w:val="000000"/>
                <w:szCs w:val="20"/>
              </w:rPr>
            </w:pPr>
            <w:r>
              <w:rPr>
                <w:color w:val="000000"/>
                <w:szCs w:val="20"/>
              </w:rPr>
              <w:t xml:space="preserve">Reference </w:t>
            </w:r>
            <w:r>
              <w:rPr>
                <w:color w:val="000000"/>
                <w:szCs w:val="20"/>
              </w:rPr>
              <w:fldChar w:fldCharType="begin"/>
            </w:r>
            <w:r>
              <w:rPr>
                <w:color w:val="000000"/>
                <w:szCs w:val="20"/>
              </w:rPr>
              <w:instrText xml:space="preserve"> NOTEREF _Ref478482810 \h  \* MERGEFORMAT </w:instrText>
            </w:r>
            <w:r>
              <w:rPr>
                <w:color w:val="000000"/>
                <w:szCs w:val="20"/>
              </w:rPr>
            </w:r>
            <w:r>
              <w:rPr>
                <w:color w:val="000000"/>
                <w:szCs w:val="20"/>
              </w:rPr>
              <w:fldChar w:fldCharType="separate"/>
            </w:r>
            <w:r>
              <w:rPr>
                <w:color w:val="000000"/>
                <w:szCs w:val="20"/>
              </w:rPr>
              <w:t>8</w:t>
            </w:r>
            <w:r>
              <w:rPr>
                <w:color w:val="000000"/>
                <w:szCs w:val="20"/>
              </w:rPr>
              <w:fldChar w:fldCharType="end"/>
            </w:r>
            <w:r w:rsidRPr="00F8021B">
              <w:rPr>
                <w:color w:val="000000"/>
                <w:szCs w:val="20"/>
              </w:rPr>
              <w:t>, Table 3-6</w:t>
            </w:r>
          </w:p>
        </w:tc>
      </w:tr>
      <w:tr w:rsidRPr="00F8021B" w:rsidR="00872C69" w:rsidTr="00030F9E" w14:paraId="343596F0" w14:textId="77777777">
        <w:trPr>
          <w:cnfStyle w:val="000000100000" w:firstRow="0" w:lastRow="0" w:firstColumn="0" w:lastColumn="0" w:oddVBand="0" w:evenVBand="0" w:oddHBand="1" w:evenHBand="0" w:firstRowFirstColumn="0" w:firstRowLastColumn="0" w:lastRowFirstColumn="0" w:lastRowLastColumn="0"/>
          <w:cantSplit/>
          <w:trHeight w:val="20"/>
        </w:trPr>
        <w:tc>
          <w:tcPr>
            <w:cnfStyle w:val="001000000000" w:firstRow="0" w:lastRow="0" w:firstColumn="1" w:lastColumn="0" w:oddVBand="0" w:evenVBand="0" w:oddHBand="0" w:evenHBand="0" w:firstRowFirstColumn="0" w:firstRowLastColumn="0" w:lastRowFirstColumn="0" w:lastRowLastColumn="0"/>
            <w:tcW w:w="988" w:type="pct"/>
            <w:vAlign w:val="center"/>
            <w:hideMark/>
          </w:tcPr>
          <w:p w:rsidRPr="00F8021B" w:rsidR="00872C69" w:rsidP="005F75F8" w:rsidRDefault="00872C69" w14:paraId="197A4B32" w14:textId="77777777">
            <w:pPr>
              <w:widowControl/>
              <w:autoSpaceDE/>
              <w:autoSpaceDN/>
              <w:adjustRightInd/>
              <w:rPr>
                <w:b w:val="0"/>
                <w:color w:val="000000"/>
                <w:szCs w:val="20"/>
              </w:rPr>
            </w:pPr>
            <w:r w:rsidRPr="00F8021B">
              <w:rPr>
                <w:b w:val="0"/>
                <w:color w:val="000000"/>
                <w:szCs w:val="20"/>
              </w:rPr>
              <w:t>Propionaldehyde</w:t>
            </w:r>
          </w:p>
        </w:tc>
        <w:tc>
          <w:tcPr>
            <w:tcW w:w="450" w:type="pct"/>
            <w:vAlign w:val="center"/>
            <w:hideMark/>
          </w:tcPr>
          <w:p w:rsidRPr="009F14D2" w:rsidR="00872C69" w:rsidRDefault="00872C69" w14:paraId="03A377C3" w14:textId="77777777">
            <w:pPr>
              <w:widowControl/>
              <w:autoSpaceDE/>
              <w:autoSpaceDN/>
              <w:adjustRightInd/>
              <w:jc w:val="center"/>
              <w:cnfStyle w:val="000000100000" w:firstRow="0" w:lastRow="0" w:firstColumn="0" w:lastColumn="0" w:oddVBand="0" w:evenVBand="0" w:oddHBand="1" w:evenHBand="0" w:firstRowFirstColumn="0" w:firstRowLastColumn="0" w:lastRowFirstColumn="0" w:lastRowLastColumn="0"/>
              <w:rPr>
                <w:color w:val="000000"/>
              </w:rPr>
            </w:pPr>
            <w:r w:rsidRPr="009F14D2">
              <w:rPr>
                <w:color w:val="000000"/>
              </w:rPr>
              <w:t>123386</w:t>
            </w:r>
          </w:p>
        </w:tc>
        <w:tc>
          <w:tcPr>
            <w:tcW w:w="455" w:type="pct"/>
            <w:vAlign w:val="center"/>
            <w:hideMark/>
          </w:tcPr>
          <w:p w:rsidRPr="009F14D2" w:rsidR="00872C69" w:rsidRDefault="00872C69" w14:paraId="313628F7" w14:textId="77777777">
            <w:pPr>
              <w:widowControl/>
              <w:autoSpaceDE/>
              <w:autoSpaceDN/>
              <w:adjustRightInd/>
              <w:jc w:val="center"/>
              <w:cnfStyle w:val="000000100000" w:firstRow="0" w:lastRow="0" w:firstColumn="0" w:lastColumn="0" w:oddVBand="0" w:evenVBand="0" w:oddHBand="1" w:evenHBand="0" w:firstRowFirstColumn="0" w:firstRowLastColumn="0" w:lastRowFirstColumn="0" w:lastRowLastColumn="0"/>
              <w:rPr>
                <w:color w:val="000000"/>
              </w:rPr>
            </w:pPr>
            <w:r w:rsidRPr="009F14D2">
              <w:rPr>
                <w:color w:val="000000"/>
              </w:rPr>
              <w:t>112.6</w:t>
            </w:r>
          </w:p>
        </w:tc>
        <w:tc>
          <w:tcPr>
            <w:tcW w:w="455" w:type="pct"/>
            <w:vAlign w:val="center"/>
            <w:hideMark/>
          </w:tcPr>
          <w:p w:rsidRPr="00F8021B" w:rsidR="00872C69" w:rsidP="009D4555" w:rsidRDefault="00872C69" w14:paraId="05CE5D42" w14:textId="41B0ADC3">
            <w:pPr>
              <w:widowControl/>
              <w:autoSpaceDE/>
              <w:autoSpaceDN/>
              <w:adjustRightInd/>
              <w:jc w:val="center"/>
              <w:cnfStyle w:val="000000100000" w:firstRow="0" w:lastRow="0" w:firstColumn="0" w:lastColumn="0" w:oddVBand="0" w:evenVBand="0" w:oddHBand="1" w:evenHBand="0" w:firstRowFirstColumn="0" w:firstRowLastColumn="0" w:lastRowFirstColumn="0" w:lastRowLastColumn="0"/>
              <w:rPr>
                <w:color w:val="000000"/>
                <w:szCs w:val="20"/>
              </w:rPr>
            </w:pPr>
            <w:r w:rsidRPr="00F8021B">
              <w:rPr>
                <w:color w:val="000000"/>
                <w:szCs w:val="20"/>
              </w:rPr>
              <w:t>mg/kg</w:t>
            </w:r>
          </w:p>
        </w:tc>
        <w:tc>
          <w:tcPr>
            <w:tcW w:w="535" w:type="pct"/>
            <w:vAlign w:val="center"/>
            <w:hideMark/>
          </w:tcPr>
          <w:p w:rsidRPr="00F8021B" w:rsidR="00872C69" w:rsidP="009D4555" w:rsidRDefault="00872C69" w14:paraId="58DC5211" w14:textId="77777777">
            <w:pPr>
              <w:widowControl/>
              <w:autoSpaceDE/>
              <w:autoSpaceDN/>
              <w:adjustRightInd/>
              <w:jc w:val="center"/>
              <w:cnfStyle w:val="000000100000" w:firstRow="0" w:lastRow="0" w:firstColumn="0" w:lastColumn="0" w:oddVBand="0" w:evenVBand="0" w:oddHBand="1" w:evenHBand="0" w:firstRowFirstColumn="0" w:firstRowLastColumn="0" w:lastRowFirstColumn="0" w:lastRowLastColumn="0"/>
              <w:rPr>
                <w:color w:val="000000"/>
                <w:szCs w:val="20"/>
              </w:rPr>
            </w:pPr>
            <w:r w:rsidRPr="00F8021B">
              <w:rPr>
                <w:color w:val="000000"/>
                <w:szCs w:val="20"/>
              </w:rPr>
              <w:t>2.25E-01</w:t>
            </w:r>
          </w:p>
        </w:tc>
        <w:tc>
          <w:tcPr>
            <w:tcW w:w="535" w:type="pct"/>
            <w:vAlign w:val="center"/>
            <w:hideMark/>
          </w:tcPr>
          <w:p w:rsidRPr="00F8021B" w:rsidR="00872C69" w:rsidP="009D4555" w:rsidRDefault="00872C69" w14:paraId="17452CA5" w14:textId="4BBFF22D">
            <w:pPr>
              <w:widowControl/>
              <w:autoSpaceDE/>
              <w:autoSpaceDN/>
              <w:adjustRightInd/>
              <w:jc w:val="center"/>
              <w:cnfStyle w:val="000000100000" w:firstRow="0" w:lastRow="0" w:firstColumn="0" w:lastColumn="0" w:oddVBand="0" w:evenVBand="0" w:oddHBand="1" w:evenHBand="0" w:firstRowFirstColumn="0" w:firstRowLastColumn="0" w:lastRowFirstColumn="0" w:lastRowLastColumn="0"/>
              <w:rPr>
                <w:color w:val="000000"/>
                <w:szCs w:val="20"/>
              </w:rPr>
            </w:pPr>
            <w:r w:rsidRPr="00F8021B">
              <w:rPr>
                <w:color w:val="000000"/>
                <w:szCs w:val="20"/>
              </w:rPr>
              <w:t>lbs./ton</w:t>
            </w:r>
          </w:p>
        </w:tc>
        <w:tc>
          <w:tcPr>
            <w:tcW w:w="1582" w:type="pct"/>
            <w:hideMark/>
          </w:tcPr>
          <w:p w:rsidRPr="00F8021B" w:rsidR="00872C69" w:rsidP="009D4555" w:rsidRDefault="00872C69" w14:paraId="53CE80F2" w14:textId="3CBBC0C1">
            <w:pPr>
              <w:widowControl/>
              <w:autoSpaceDE/>
              <w:autoSpaceDN/>
              <w:adjustRightInd/>
              <w:cnfStyle w:val="000000100000" w:firstRow="0" w:lastRow="0" w:firstColumn="0" w:lastColumn="0" w:oddVBand="0" w:evenVBand="0" w:oddHBand="1" w:evenHBand="0" w:firstRowFirstColumn="0" w:firstRowLastColumn="0" w:lastRowFirstColumn="0" w:lastRowLastColumn="0"/>
              <w:rPr>
                <w:color w:val="000000"/>
                <w:szCs w:val="20"/>
              </w:rPr>
            </w:pPr>
            <w:r>
              <w:rPr>
                <w:color w:val="000000"/>
                <w:szCs w:val="20"/>
              </w:rPr>
              <w:t xml:space="preserve">Reference </w:t>
            </w:r>
            <w:r>
              <w:rPr>
                <w:color w:val="000000"/>
                <w:szCs w:val="20"/>
              </w:rPr>
              <w:fldChar w:fldCharType="begin"/>
            </w:r>
            <w:r>
              <w:rPr>
                <w:color w:val="000000"/>
                <w:szCs w:val="20"/>
              </w:rPr>
              <w:instrText xml:space="preserve"> NOTEREF _Ref478482810 \h  \* MERGEFORMAT </w:instrText>
            </w:r>
            <w:r>
              <w:rPr>
                <w:color w:val="000000"/>
                <w:szCs w:val="20"/>
              </w:rPr>
            </w:r>
            <w:r>
              <w:rPr>
                <w:color w:val="000000"/>
                <w:szCs w:val="20"/>
              </w:rPr>
              <w:fldChar w:fldCharType="separate"/>
            </w:r>
            <w:r w:rsidR="00117BBF">
              <w:rPr>
                <w:color w:val="000000"/>
                <w:szCs w:val="20"/>
              </w:rPr>
              <w:t>8</w:t>
            </w:r>
            <w:r>
              <w:rPr>
                <w:color w:val="000000"/>
                <w:szCs w:val="20"/>
              </w:rPr>
              <w:fldChar w:fldCharType="end"/>
            </w:r>
            <w:r w:rsidRPr="00F8021B">
              <w:rPr>
                <w:color w:val="000000"/>
                <w:szCs w:val="20"/>
              </w:rPr>
              <w:t>, Table 3-6</w:t>
            </w:r>
          </w:p>
        </w:tc>
      </w:tr>
      <w:tr w:rsidRPr="00F8021B" w:rsidR="00872C69" w:rsidTr="00030F9E" w14:paraId="0EF12334" w14:textId="77777777">
        <w:trPr>
          <w:cantSplit/>
          <w:trHeight w:val="20"/>
        </w:trPr>
        <w:tc>
          <w:tcPr>
            <w:cnfStyle w:val="001000000000" w:firstRow="0" w:lastRow="0" w:firstColumn="1" w:lastColumn="0" w:oddVBand="0" w:evenVBand="0" w:oddHBand="0" w:evenHBand="0" w:firstRowFirstColumn="0" w:firstRowLastColumn="0" w:lastRowFirstColumn="0" w:lastRowLastColumn="0"/>
            <w:tcW w:w="988" w:type="pct"/>
            <w:vAlign w:val="center"/>
            <w:hideMark/>
          </w:tcPr>
          <w:p w:rsidRPr="00F8021B" w:rsidR="00872C69" w:rsidP="005F75F8" w:rsidRDefault="00872C69" w14:paraId="06EC328F" w14:textId="77777777">
            <w:pPr>
              <w:widowControl/>
              <w:autoSpaceDE/>
              <w:autoSpaceDN/>
              <w:adjustRightInd/>
              <w:rPr>
                <w:b w:val="0"/>
                <w:color w:val="000000"/>
                <w:szCs w:val="20"/>
              </w:rPr>
            </w:pPr>
            <w:r w:rsidRPr="00F8021B">
              <w:rPr>
                <w:b w:val="0"/>
                <w:color w:val="000000"/>
                <w:szCs w:val="20"/>
              </w:rPr>
              <w:t>Pyrene</w:t>
            </w:r>
          </w:p>
        </w:tc>
        <w:tc>
          <w:tcPr>
            <w:tcW w:w="450" w:type="pct"/>
            <w:vAlign w:val="center"/>
            <w:hideMark/>
          </w:tcPr>
          <w:p w:rsidRPr="009F14D2" w:rsidR="00872C69" w:rsidRDefault="00872C69" w14:paraId="2E5C425C" w14:textId="77777777">
            <w:pPr>
              <w:widowControl/>
              <w:autoSpaceDE/>
              <w:autoSpaceDN/>
              <w:adjustRightInd/>
              <w:jc w:val="center"/>
              <w:cnfStyle w:val="000000000000" w:firstRow="0" w:lastRow="0" w:firstColumn="0" w:lastColumn="0" w:oddVBand="0" w:evenVBand="0" w:oddHBand="0" w:evenHBand="0" w:firstRowFirstColumn="0" w:firstRowLastColumn="0" w:lastRowFirstColumn="0" w:lastRowLastColumn="0"/>
              <w:rPr>
                <w:color w:val="000000"/>
              </w:rPr>
            </w:pPr>
            <w:r w:rsidRPr="009F14D2">
              <w:rPr>
                <w:color w:val="000000"/>
              </w:rPr>
              <w:t>129000</w:t>
            </w:r>
          </w:p>
        </w:tc>
        <w:tc>
          <w:tcPr>
            <w:tcW w:w="455" w:type="pct"/>
            <w:vAlign w:val="center"/>
            <w:hideMark/>
          </w:tcPr>
          <w:p w:rsidRPr="009F14D2" w:rsidR="00872C69" w:rsidRDefault="00DC7F7F" w14:paraId="246A95EC" w14:textId="75AF5620">
            <w:pPr>
              <w:widowControl/>
              <w:autoSpaceDE/>
              <w:autoSpaceDN/>
              <w:adjustRightInd/>
              <w:jc w:val="center"/>
              <w:cnfStyle w:val="000000000000" w:firstRow="0" w:lastRow="0" w:firstColumn="0" w:lastColumn="0" w:oddVBand="0" w:evenVBand="0" w:oddHBand="0" w:evenHBand="0" w:firstRowFirstColumn="0" w:firstRowLastColumn="0" w:lastRowFirstColumn="0" w:lastRowLastColumn="0"/>
              <w:rPr>
                <w:color w:val="000000"/>
              </w:rPr>
            </w:pPr>
            <w:r>
              <w:rPr>
                <w:color w:val="000000"/>
              </w:rPr>
              <w:t>3.18</w:t>
            </w:r>
          </w:p>
        </w:tc>
        <w:tc>
          <w:tcPr>
            <w:tcW w:w="455" w:type="pct"/>
            <w:vAlign w:val="center"/>
            <w:hideMark/>
          </w:tcPr>
          <w:p w:rsidRPr="00F8021B" w:rsidR="00872C69" w:rsidP="009D4555" w:rsidRDefault="00872C69" w14:paraId="280631B0" w14:textId="3206FBA4">
            <w:pPr>
              <w:widowControl/>
              <w:autoSpaceDE/>
              <w:autoSpaceDN/>
              <w:adjustRightInd/>
              <w:jc w:val="center"/>
              <w:cnfStyle w:val="000000000000" w:firstRow="0" w:lastRow="0" w:firstColumn="0" w:lastColumn="0" w:oddVBand="0" w:evenVBand="0" w:oddHBand="0" w:evenHBand="0" w:firstRowFirstColumn="0" w:firstRowLastColumn="0" w:lastRowFirstColumn="0" w:lastRowLastColumn="0"/>
              <w:rPr>
                <w:color w:val="000000"/>
                <w:szCs w:val="20"/>
              </w:rPr>
            </w:pPr>
            <w:r w:rsidRPr="00F8021B">
              <w:rPr>
                <w:color w:val="000000"/>
                <w:szCs w:val="20"/>
              </w:rPr>
              <w:t>mg/kg</w:t>
            </w:r>
          </w:p>
        </w:tc>
        <w:tc>
          <w:tcPr>
            <w:tcW w:w="535" w:type="pct"/>
            <w:vAlign w:val="center"/>
            <w:hideMark/>
          </w:tcPr>
          <w:p w:rsidRPr="00F8021B" w:rsidR="00872C69" w:rsidP="009D4555" w:rsidRDefault="00DC7F7F" w14:paraId="10ACF433" w14:textId="3B125EE8">
            <w:pPr>
              <w:widowControl/>
              <w:autoSpaceDE/>
              <w:autoSpaceDN/>
              <w:adjustRightInd/>
              <w:jc w:val="center"/>
              <w:cnfStyle w:val="000000000000" w:firstRow="0" w:lastRow="0" w:firstColumn="0" w:lastColumn="0" w:oddVBand="0" w:evenVBand="0" w:oddHBand="0" w:evenHBand="0" w:firstRowFirstColumn="0" w:firstRowLastColumn="0" w:lastRowFirstColumn="0" w:lastRowLastColumn="0"/>
              <w:rPr>
                <w:color w:val="000000"/>
                <w:szCs w:val="20"/>
              </w:rPr>
            </w:pPr>
            <w:r>
              <w:rPr>
                <w:color w:val="000000"/>
                <w:szCs w:val="20"/>
              </w:rPr>
              <w:t>6.35</w:t>
            </w:r>
            <w:r w:rsidRPr="00F8021B" w:rsidR="00872C69">
              <w:rPr>
                <w:color w:val="000000"/>
                <w:szCs w:val="20"/>
              </w:rPr>
              <w:t>E-03</w:t>
            </w:r>
          </w:p>
        </w:tc>
        <w:tc>
          <w:tcPr>
            <w:tcW w:w="535" w:type="pct"/>
            <w:vAlign w:val="center"/>
            <w:hideMark/>
          </w:tcPr>
          <w:p w:rsidRPr="00F8021B" w:rsidR="00872C69" w:rsidP="009D4555" w:rsidRDefault="00872C69" w14:paraId="5620F209" w14:textId="1A1BD2C3">
            <w:pPr>
              <w:widowControl/>
              <w:autoSpaceDE/>
              <w:autoSpaceDN/>
              <w:adjustRightInd/>
              <w:jc w:val="center"/>
              <w:cnfStyle w:val="000000000000" w:firstRow="0" w:lastRow="0" w:firstColumn="0" w:lastColumn="0" w:oddVBand="0" w:evenVBand="0" w:oddHBand="0" w:evenHBand="0" w:firstRowFirstColumn="0" w:firstRowLastColumn="0" w:lastRowFirstColumn="0" w:lastRowLastColumn="0"/>
              <w:rPr>
                <w:color w:val="000000"/>
                <w:szCs w:val="20"/>
              </w:rPr>
            </w:pPr>
            <w:r w:rsidRPr="00F8021B">
              <w:rPr>
                <w:color w:val="000000"/>
                <w:szCs w:val="20"/>
              </w:rPr>
              <w:t>lbs./ton</w:t>
            </w:r>
          </w:p>
        </w:tc>
        <w:tc>
          <w:tcPr>
            <w:tcW w:w="1582" w:type="pct"/>
            <w:hideMark/>
          </w:tcPr>
          <w:p w:rsidRPr="00F8021B" w:rsidR="00872C69" w:rsidP="00AF4787" w:rsidRDefault="00DC7F7F" w14:paraId="48F2353C" w14:textId="24F28F3E">
            <w:pPr>
              <w:widowControl/>
              <w:autoSpaceDE/>
              <w:autoSpaceDN/>
              <w:adjustRightInd/>
              <w:cnfStyle w:val="000000000000" w:firstRow="0" w:lastRow="0" w:firstColumn="0" w:lastColumn="0" w:oddVBand="0" w:evenVBand="0" w:oddHBand="0" w:evenHBand="0" w:firstRowFirstColumn="0" w:firstRowLastColumn="0" w:lastRowFirstColumn="0" w:lastRowLastColumn="0"/>
              <w:rPr>
                <w:color w:val="000000"/>
                <w:szCs w:val="20"/>
              </w:rPr>
            </w:pPr>
            <w:r>
              <w:rPr>
                <w:color w:val="000000"/>
                <w:szCs w:val="20"/>
              </w:rPr>
              <w:t xml:space="preserve">Reference </w:t>
            </w:r>
            <w:r>
              <w:rPr>
                <w:color w:val="000000"/>
                <w:szCs w:val="20"/>
              </w:rPr>
              <w:fldChar w:fldCharType="begin"/>
            </w:r>
            <w:r>
              <w:rPr>
                <w:color w:val="000000"/>
                <w:szCs w:val="20"/>
              </w:rPr>
              <w:instrText xml:space="preserve"> NOTEREF _Ref478482810 \h  \* MERGEFORMAT </w:instrText>
            </w:r>
            <w:r>
              <w:rPr>
                <w:color w:val="000000"/>
                <w:szCs w:val="20"/>
              </w:rPr>
            </w:r>
            <w:r>
              <w:rPr>
                <w:color w:val="000000"/>
                <w:szCs w:val="20"/>
              </w:rPr>
              <w:fldChar w:fldCharType="separate"/>
            </w:r>
            <w:r>
              <w:rPr>
                <w:color w:val="000000"/>
                <w:szCs w:val="20"/>
              </w:rPr>
              <w:t>8</w:t>
            </w:r>
            <w:r>
              <w:rPr>
                <w:color w:val="000000"/>
                <w:szCs w:val="20"/>
              </w:rPr>
              <w:fldChar w:fldCharType="end"/>
            </w:r>
            <w:r w:rsidRPr="00F8021B">
              <w:rPr>
                <w:color w:val="000000"/>
                <w:szCs w:val="20"/>
              </w:rPr>
              <w:t>, Table 3-6</w:t>
            </w:r>
          </w:p>
        </w:tc>
      </w:tr>
      <w:tr w:rsidRPr="00F8021B" w:rsidR="00872C69" w:rsidTr="00030F9E" w14:paraId="794A5C6E" w14:textId="77777777">
        <w:trPr>
          <w:cnfStyle w:val="000000100000" w:firstRow="0" w:lastRow="0" w:firstColumn="0" w:lastColumn="0" w:oddVBand="0" w:evenVBand="0" w:oddHBand="1" w:evenHBand="0" w:firstRowFirstColumn="0" w:firstRowLastColumn="0" w:lastRowFirstColumn="0" w:lastRowLastColumn="0"/>
          <w:cantSplit/>
          <w:trHeight w:val="20"/>
        </w:trPr>
        <w:tc>
          <w:tcPr>
            <w:cnfStyle w:val="001000000000" w:firstRow="0" w:lastRow="0" w:firstColumn="1" w:lastColumn="0" w:oddVBand="0" w:evenVBand="0" w:oddHBand="0" w:evenHBand="0" w:firstRowFirstColumn="0" w:firstRowLastColumn="0" w:lastRowFirstColumn="0" w:lastRowLastColumn="0"/>
            <w:tcW w:w="988" w:type="pct"/>
            <w:vAlign w:val="center"/>
            <w:hideMark/>
          </w:tcPr>
          <w:p w:rsidRPr="00F8021B" w:rsidR="00872C69" w:rsidP="005F75F8" w:rsidRDefault="00872C69" w14:paraId="53E044A7" w14:textId="77777777">
            <w:pPr>
              <w:widowControl/>
              <w:autoSpaceDE/>
              <w:autoSpaceDN/>
              <w:adjustRightInd/>
              <w:rPr>
                <w:b w:val="0"/>
                <w:color w:val="000000"/>
                <w:szCs w:val="20"/>
              </w:rPr>
            </w:pPr>
            <w:r w:rsidRPr="00F8021B">
              <w:rPr>
                <w:b w:val="0"/>
                <w:color w:val="000000"/>
                <w:szCs w:val="20"/>
              </w:rPr>
              <w:t>Styrene</w:t>
            </w:r>
          </w:p>
        </w:tc>
        <w:tc>
          <w:tcPr>
            <w:tcW w:w="450" w:type="pct"/>
            <w:vAlign w:val="center"/>
            <w:hideMark/>
          </w:tcPr>
          <w:p w:rsidRPr="009F14D2" w:rsidR="00872C69" w:rsidRDefault="00872C69" w14:paraId="5DB68E70" w14:textId="77777777">
            <w:pPr>
              <w:widowControl/>
              <w:autoSpaceDE/>
              <w:autoSpaceDN/>
              <w:adjustRightInd/>
              <w:jc w:val="center"/>
              <w:cnfStyle w:val="000000100000" w:firstRow="0" w:lastRow="0" w:firstColumn="0" w:lastColumn="0" w:oddVBand="0" w:evenVBand="0" w:oddHBand="1" w:evenHBand="0" w:firstRowFirstColumn="0" w:firstRowLastColumn="0" w:lastRowFirstColumn="0" w:lastRowLastColumn="0"/>
              <w:rPr>
                <w:color w:val="000000"/>
              </w:rPr>
            </w:pPr>
            <w:r w:rsidRPr="009F14D2">
              <w:rPr>
                <w:color w:val="000000"/>
              </w:rPr>
              <w:t>100425</w:t>
            </w:r>
          </w:p>
        </w:tc>
        <w:tc>
          <w:tcPr>
            <w:tcW w:w="455" w:type="pct"/>
            <w:vAlign w:val="center"/>
            <w:hideMark/>
          </w:tcPr>
          <w:p w:rsidRPr="009F14D2" w:rsidR="00872C69" w:rsidRDefault="00DC7F7F" w14:paraId="3F833B60" w14:textId="333FF8C2">
            <w:pPr>
              <w:widowControl/>
              <w:autoSpaceDE/>
              <w:autoSpaceDN/>
              <w:adjustRightInd/>
              <w:jc w:val="center"/>
              <w:cnfStyle w:val="000000100000" w:firstRow="0" w:lastRow="0" w:firstColumn="0" w:lastColumn="0" w:oddVBand="0" w:evenVBand="0" w:oddHBand="1" w:evenHBand="0" w:firstRowFirstColumn="0" w:firstRowLastColumn="0" w:lastRowFirstColumn="0" w:lastRowLastColumn="0"/>
              <w:rPr>
                <w:color w:val="000000"/>
              </w:rPr>
            </w:pPr>
            <w:r>
              <w:rPr>
                <w:color w:val="000000"/>
              </w:rPr>
              <w:t>527.5</w:t>
            </w:r>
          </w:p>
        </w:tc>
        <w:tc>
          <w:tcPr>
            <w:tcW w:w="455" w:type="pct"/>
            <w:vAlign w:val="center"/>
            <w:hideMark/>
          </w:tcPr>
          <w:p w:rsidRPr="00F8021B" w:rsidR="00872C69" w:rsidP="009D4555" w:rsidRDefault="00872C69" w14:paraId="28899FCD" w14:textId="50F08856">
            <w:pPr>
              <w:widowControl/>
              <w:autoSpaceDE/>
              <w:autoSpaceDN/>
              <w:adjustRightInd/>
              <w:jc w:val="center"/>
              <w:cnfStyle w:val="000000100000" w:firstRow="0" w:lastRow="0" w:firstColumn="0" w:lastColumn="0" w:oddVBand="0" w:evenVBand="0" w:oddHBand="1" w:evenHBand="0" w:firstRowFirstColumn="0" w:firstRowLastColumn="0" w:lastRowFirstColumn="0" w:lastRowLastColumn="0"/>
              <w:rPr>
                <w:color w:val="000000"/>
                <w:szCs w:val="20"/>
              </w:rPr>
            </w:pPr>
            <w:r w:rsidRPr="00F8021B">
              <w:rPr>
                <w:color w:val="000000"/>
                <w:szCs w:val="20"/>
              </w:rPr>
              <w:t>mg/kg</w:t>
            </w:r>
          </w:p>
        </w:tc>
        <w:tc>
          <w:tcPr>
            <w:tcW w:w="535" w:type="pct"/>
            <w:vAlign w:val="center"/>
            <w:hideMark/>
          </w:tcPr>
          <w:p w:rsidRPr="00F8021B" w:rsidR="00872C69" w:rsidP="009D4555" w:rsidRDefault="00DC7F7F" w14:paraId="42C451B7" w14:textId="32542199">
            <w:pPr>
              <w:widowControl/>
              <w:autoSpaceDE/>
              <w:autoSpaceDN/>
              <w:adjustRightInd/>
              <w:jc w:val="center"/>
              <w:cnfStyle w:val="000000100000" w:firstRow="0" w:lastRow="0" w:firstColumn="0" w:lastColumn="0" w:oddVBand="0" w:evenVBand="0" w:oddHBand="1" w:evenHBand="0" w:firstRowFirstColumn="0" w:firstRowLastColumn="0" w:lastRowFirstColumn="0" w:lastRowLastColumn="0"/>
              <w:rPr>
                <w:color w:val="000000"/>
                <w:szCs w:val="20"/>
              </w:rPr>
            </w:pPr>
            <w:r>
              <w:rPr>
                <w:color w:val="000000"/>
                <w:szCs w:val="20"/>
              </w:rPr>
              <w:t>1.05</w:t>
            </w:r>
            <w:r w:rsidRPr="00F8021B" w:rsidR="00872C69">
              <w:rPr>
                <w:color w:val="000000"/>
                <w:szCs w:val="20"/>
              </w:rPr>
              <w:t>E+00</w:t>
            </w:r>
          </w:p>
        </w:tc>
        <w:tc>
          <w:tcPr>
            <w:tcW w:w="535" w:type="pct"/>
            <w:vAlign w:val="center"/>
            <w:hideMark/>
          </w:tcPr>
          <w:p w:rsidRPr="00F8021B" w:rsidR="00872C69" w:rsidP="009D4555" w:rsidRDefault="00872C69" w14:paraId="007FB5F2" w14:textId="4587695D">
            <w:pPr>
              <w:widowControl/>
              <w:autoSpaceDE/>
              <w:autoSpaceDN/>
              <w:adjustRightInd/>
              <w:jc w:val="center"/>
              <w:cnfStyle w:val="000000100000" w:firstRow="0" w:lastRow="0" w:firstColumn="0" w:lastColumn="0" w:oddVBand="0" w:evenVBand="0" w:oddHBand="1" w:evenHBand="0" w:firstRowFirstColumn="0" w:firstRowLastColumn="0" w:lastRowFirstColumn="0" w:lastRowLastColumn="0"/>
              <w:rPr>
                <w:color w:val="000000"/>
                <w:szCs w:val="20"/>
              </w:rPr>
            </w:pPr>
            <w:r w:rsidRPr="00F8021B">
              <w:rPr>
                <w:color w:val="000000"/>
                <w:szCs w:val="20"/>
              </w:rPr>
              <w:t>lbs./ton</w:t>
            </w:r>
          </w:p>
        </w:tc>
        <w:tc>
          <w:tcPr>
            <w:tcW w:w="1582" w:type="pct"/>
            <w:hideMark/>
          </w:tcPr>
          <w:p w:rsidRPr="00F8021B" w:rsidR="00872C69" w:rsidP="00AF4787" w:rsidRDefault="00DC7F7F" w14:paraId="3E73BDEF" w14:textId="1D030933">
            <w:pPr>
              <w:widowControl/>
              <w:autoSpaceDE/>
              <w:autoSpaceDN/>
              <w:adjustRightInd/>
              <w:cnfStyle w:val="000000100000" w:firstRow="0" w:lastRow="0" w:firstColumn="0" w:lastColumn="0" w:oddVBand="0" w:evenVBand="0" w:oddHBand="1" w:evenHBand="0" w:firstRowFirstColumn="0" w:firstRowLastColumn="0" w:lastRowFirstColumn="0" w:lastRowLastColumn="0"/>
              <w:rPr>
                <w:color w:val="000000"/>
                <w:szCs w:val="20"/>
              </w:rPr>
            </w:pPr>
            <w:r>
              <w:rPr>
                <w:color w:val="000000"/>
                <w:szCs w:val="20"/>
              </w:rPr>
              <w:t xml:space="preserve">Reference </w:t>
            </w:r>
            <w:r>
              <w:rPr>
                <w:color w:val="000000"/>
                <w:szCs w:val="20"/>
              </w:rPr>
              <w:fldChar w:fldCharType="begin"/>
            </w:r>
            <w:r>
              <w:rPr>
                <w:color w:val="000000"/>
                <w:szCs w:val="20"/>
              </w:rPr>
              <w:instrText xml:space="preserve"> NOTEREF _Ref478482810 \h  \* MERGEFORMAT </w:instrText>
            </w:r>
            <w:r>
              <w:rPr>
                <w:color w:val="000000"/>
                <w:szCs w:val="20"/>
              </w:rPr>
            </w:r>
            <w:r>
              <w:rPr>
                <w:color w:val="000000"/>
                <w:szCs w:val="20"/>
              </w:rPr>
              <w:fldChar w:fldCharType="separate"/>
            </w:r>
            <w:r>
              <w:rPr>
                <w:color w:val="000000"/>
                <w:szCs w:val="20"/>
              </w:rPr>
              <w:t>8</w:t>
            </w:r>
            <w:r>
              <w:rPr>
                <w:color w:val="000000"/>
                <w:szCs w:val="20"/>
              </w:rPr>
              <w:fldChar w:fldCharType="end"/>
            </w:r>
            <w:r w:rsidRPr="00F8021B">
              <w:rPr>
                <w:color w:val="000000"/>
                <w:szCs w:val="20"/>
              </w:rPr>
              <w:t>, Table 3-6</w:t>
            </w:r>
          </w:p>
        </w:tc>
      </w:tr>
      <w:tr w:rsidRPr="00F8021B" w:rsidR="00872C69" w:rsidTr="00030F9E" w14:paraId="174E31EC" w14:textId="77777777">
        <w:trPr>
          <w:cantSplit/>
          <w:trHeight w:val="20"/>
        </w:trPr>
        <w:tc>
          <w:tcPr>
            <w:cnfStyle w:val="001000000000" w:firstRow="0" w:lastRow="0" w:firstColumn="1" w:lastColumn="0" w:oddVBand="0" w:evenVBand="0" w:oddHBand="0" w:evenHBand="0" w:firstRowFirstColumn="0" w:firstRowLastColumn="0" w:lastRowFirstColumn="0" w:lastRowLastColumn="0"/>
            <w:tcW w:w="988" w:type="pct"/>
            <w:vAlign w:val="center"/>
            <w:hideMark/>
          </w:tcPr>
          <w:p w:rsidRPr="00F8021B" w:rsidR="00872C69" w:rsidP="005F75F8" w:rsidRDefault="00872C69" w14:paraId="34C8CEC3" w14:textId="77777777">
            <w:pPr>
              <w:widowControl/>
              <w:autoSpaceDE/>
              <w:autoSpaceDN/>
              <w:adjustRightInd/>
              <w:rPr>
                <w:b w:val="0"/>
                <w:color w:val="000000"/>
                <w:szCs w:val="20"/>
              </w:rPr>
            </w:pPr>
            <w:r w:rsidRPr="00F8021B">
              <w:rPr>
                <w:b w:val="0"/>
                <w:color w:val="000000"/>
                <w:szCs w:val="20"/>
              </w:rPr>
              <w:t>Toluene</w:t>
            </w:r>
          </w:p>
        </w:tc>
        <w:tc>
          <w:tcPr>
            <w:tcW w:w="450" w:type="pct"/>
            <w:vAlign w:val="center"/>
            <w:hideMark/>
          </w:tcPr>
          <w:p w:rsidRPr="009F14D2" w:rsidR="00872C69" w:rsidRDefault="00872C69" w14:paraId="16B0F0C6" w14:textId="77777777">
            <w:pPr>
              <w:widowControl/>
              <w:autoSpaceDE/>
              <w:autoSpaceDN/>
              <w:adjustRightInd/>
              <w:jc w:val="center"/>
              <w:cnfStyle w:val="000000000000" w:firstRow="0" w:lastRow="0" w:firstColumn="0" w:lastColumn="0" w:oddVBand="0" w:evenVBand="0" w:oddHBand="0" w:evenHBand="0" w:firstRowFirstColumn="0" w:firstRowLastColumn="0" w:lastRowFirstColumn="0" w:lastRowLastColumn="0"/>
              <w:rPr>
                <w:color w:val="000000"/>
              </w:rPr>
            </w:pPr>
            <w:r w:rsidRPr="009F14D2">
              <w:rPr>
                <w:color w:val="000000"/>
              </w:rPr>
              <w:t>108883</w:t>
            </w:r>
          </w:p>
        </w:tc>
        <w:tc>
          <w:tcPr>
            <w:tcW w:w="455" w:type="pct"/>
            <w:vAlign w:val="center"/>
            <w:hideMark/>
          </w:tcPr>
          <w:p w:rsidRPr="009F14D2" w:rsidR="00872C69" w:rsidRDefault="00872C69" w14:paraId="1D119EEB" w14:textId="77777777">
            <w:pPr>
              <w:widowControl/>
              <w:autoSpaceDE/>
              <w:autoSpaceDN/>
              <w:adjustRightInd/>
              <w:jc w:val="center"/>
              <w:cnfStyle w:val="000000000000" w:firstRow="0" w:lastRow="0" w:firstColumn="0" w:lastColumn="0" w:oddVBand="0" w:evenVBand="0" w:oddHBand="0" w:evenHBand="0" w:firstRowFirstColumn="0" w:firstRowLastColumn="0" w:lastRowFirstColumn="0" w:lastRowLastColumn="0"/>
              <w:rPr>
                <w:color w:val="000000"/>
              </w:rPr>
            </w:pPr>
            <w:r w:rsidRPr="009F14D2">
              <w:rPr>
                <w:color w:val="000000"/>
              </w:rPr>
              <w:t>372</w:t>
            </w:r>
          </w:p>
        </w:tc>
        <w:tc>
          <w:tcPr>
            <w:tcW w:w="455" w:type="pct"/>
            <w:vAlign w:val="center"/>
            <w:hideMark/>
          </w:tcPr>
          <w:p w:rsidRPr="00F8021B" w:rsidR="00872C69" w:rsidP="009D4555" w:rsidRDefault="00872C69" w14:paraId="480A5FAF" w14:textId="36AB2934">
            <w:pPr>
              <w:widowControl/>
              <w:autoSpaceDE/>
              <w:autoSpaceDN/>
              <w:adjustRightInd/>
              <w:jc w:val="center"/>
              <w:cnfStyle w:val="000000000000" w:firstRow="0" w:lastRow="0" w:firstColumn="0" w:lastColumn="0" w:oddVBand="0" w:evenVBand="0" w:oddHBand="0" w:evenHBand="0" w:firstRowFirstColumn="0" w:firstRowLastColumn="0" w:lastRowFirstColumn="0" w:lastRowLastColumn="0"/>
              <w:rPr>
                <w:color w:val="000000"/>
                <w:szCs w:val="20"/>
              </w:rPr>
            </w:pPr>
            <w:r w:rsidRPr="00F8021B">
              <w:rPr>
                <w:color w:val="000000"/>
                <w:szCs w:val="20"/>
              </w:rPr>
              <w:t>mg/kg</w:t>
            </w:r>
          </w:p>
        </w:tc>
        <w:tc>
          <w:tcPr>
            <w:tcW w:w="535" w:type="pct"/>
            <w:vAlign w:val="center"/>
            <w:hideMark/>
          </w:tcPr>
          <w:p w:rsidRPr="00F8021B" w:rsidR="00872C69" w:rsidP="009D4555" w:rsidRDefault="00DC7F7F" w14:paraId="51058CE6" w14:textId="04ACC4F2">
            <w:pPr>
              <w:widowControl/>
              <w:autoSpaceDE/>
              <w:autoSpaceDN/>
              <w:adjustRightInd/>
              <w:jc w:val="center"/>
              <w:cnfStyle w:val="000000000000" w:firstRow="0" w:lastRow="0" w:firstColumn="0" w:lastColumn="0" w:oddVBand="0" w:evenVBand="0" w:oddHBand="0" w:evenHBand="0" w:firstRowFirstColumn="0" w:firstRowLastColumn="0" w:lastRowFirstColumn="0" w:lastRowLastColumn="0"/>
              <w:rPr>
                <w:color w:val="000000"/>
                <w:szCs w:val="20"/>
              </w:rPr>
            </w:pPr>
            <w:r>
              <w:rPr>
                <w:color w:val="000000"/>
                <w:szCs w:val="20"/>
              </w:rPr>
              <w:t>7.42</w:t>
            </w:r>
            <w:r w:rsidRPr="00F8021B" w:rsidR="00872C69">
              <w:rPr>
                <w:color w:val="000000"/>
                <w:szCs w:val="20"/>
              </w:rPr>
              <w:t>E-01</w:t>
            </w:r>
          </w:p>
        </w:tc>
        <w:tc>
          <w:tcPr>
            <w:tcW w:w="535" w:type="pct"/>
            <w:vAlign w:val="center"/>
            <w:hideMark/>
          </w:tcPr>
          <w:p w:rsidRPr="00F8021B" w:rsidR="00872C69" w:rsidP="009D4555" w:rsidRDefault="00872C69" w14:paraId="5CFB229A" w14:textId="0682FCE7">
            <w:pPr>
              <w:widowControl/>
              <w:autoSpaceDE/>
              <w:autoSpaceDN/>
              <w:adjustRightInd/>
              <w:jc w:val="center"/>
              <w:cnfStyle w:val="000000000000" w:firstRow="0" w:lastRow="0" w:firstColumn="0" w:lastColumn="0" w:oddVBand="0" w:evenVBand="0" w:oddHBand="0" w:evenHBand="0" w:firstRowFirstColumn="0" w:firstRowLastColumn="0" w:lastRowFirstColumn="0" w:lastRowLastColumn="0"/>
              <w:rPr>
                <w:color w:val="000000"/>
                <w:szCs w:val="20"/>
              </w:rPr>
            </w:pPr>
            <w:r w:rsidRPr="00F8021B">
              <w:rPr>
                <w:color w:val="000000"/>
                <w:szCs w:val="20"/>
              </w:rPr>
              <w:t>lbs./ton</w:t>
            </w:r>
          </w:p>
        </w:tc>
        <w:tc>
          <w:tcPr>
            <w:tcW w:w="1582" w:type="pct"/>
            <w:hideMark/>
          </w:tcPr>
          <w:p w:rsidRPr="00F8021B" w:rsidR="00872C69" w:rsidP="00AF4787" w:rsidRDefault="00872C69" w14:paraId="296B5FFD" w14:textId="4D746557">
            <w:pPr>
              <w:widowControl/>
              <w:autoSpaceDE/>
              <w:autoSpaceDN/>
              <w:adjustRightInd/>
              <w:cnfStyle w:val="000000000000" w:firstRow="0" w:lastRow="0" w:firstColumn="0" w:lastColumn="0" w:oddVBand="0" w:evenVBand="0" w:oddHBand="0" w:evenHBand="0" w:firstRowFirstColumn="0" w:firstRowLastColumn="0" w:lastRowFirstColumn="0" w:lastRowLastColumn="0"/>
              <w:rPr>
                <w:color w:val="000000"/>
                <w:szCs w:val="20"/>
              </w:rPr>
            </w:pPr>
            <w:r w:rsidRPr="00F8021B">
              <w:rPr>
                <w:color w:val="000000"/>
                <w:szCs w:val="20"/>
              </w:rPr>
              <w:t xml:space="preserve">Reference </w:t>
            </w:r>
            <w:r>
              <w:rPr>
                <w:color w:val="000000"/>
                <w:szCs w:val="20"/>
              </w:rPr>
              <w:fldChar w:fldCharType="begin"/>
            </w:r>
            <w:r>
              <w:rPr>
                <w:color w:val="000000"/>
                <w:szCs w:val="20"/>
              </w:rPr>
              <w:instrText xml:space="preserve"> NOTEREF _Ref478482810 \h  \* MERGEFORMAT </w:instrText>
            </w:r>
            <w:r>
              <w:rPr>
                <w:color w:val="000000"/>
                <w:szCs w:val="20"/>
              </w:rPr>
            </w:r>
            <w:r>
              <w:rPr>
                <w:color w:val="000000"/>
                <w:szCs w:val="20"/>
              </w:rPr>
              <w:fldChar w:fldCharType="separate"/>
            </w:r>
            <w:r w:rsidR="00117BBF">
              <w:rPr>
                <w:color w:val="000000"/>
                <w:szCs w:val="20"/>
              </w:rPr>
              <w:t>8</w:t>
            </w:r>
            <w:r>
              <w:rPr>
                <w:color w:val="000000"/>
                <w:szCs w:val="20"/>
              </w:rPr>
              <w:fldChar w:fldCharType="end"/>
            </w:r>
            <w:r w:rsidRPr="00F8021B">
              <w:rPr>
                <w:color w:val="000000"/>
                <w:szCs w:val="20"/>
              </w:rPr>
              <w:t>, Table 3-6</w:t>
            </w:r>
          </w:p>
        </w:tc>
      </w:tr>
      <w:tr w:rsidRPr="00F8021B" w:rsidR="00872C69" w:rsidTr="00FE1365" w14:paraId="05D5B762" w14:textId="77777777">
        <w:trPr>
          <w:cnfStyle w:val="000000100000" w:firstRow="0" w:lastRow="0" w:firstColumn="0" w:lastColumn="0" w:oddVBand="0" w:evenVBand="0" w:oddHBand="1" w:evenHBand="0" w:firstRowFirstColumn="0" w:firstRowLastColumn="0" w:lastRowFirstColumn="0" w:lastRowLastColumn="0"/>
          <w:cantSplit/>
          <w:trHeight w:val="20"/>
        </w:trPr>
        <w:tc>
          <w:tcPr>
            <w:cnfStyle w:val="001000000000" w:firstRow="0" w:lastRow="0" w:firstColumn="1" w:lastColumn="0" w:oddVBand="0" w:evenVBand="0" w:oddHBand="0" w:evenHBand="0" w:firstRowFirstColumn="0" w:firstRowLastColumn="0" w:lastRowFirstColumn="0" w:lastRowLastColumn="0"/>
            <w:tcW w:w="988" w:type="pct"/>
            <w:vAlign w:val="center"/>
            <w:hideMark/>
          </w:tcPr>
          <w:p w:rsidRPr="00F8021B" w:rsidR="00872C69" w:rsidP="005F75F8" w:rsidRDefault="00872C69" w14:paraId="2DDDE960" w14:textId="77777777">
            <w:pPr>
              <w:widowControl/>
              <w:autoSpaceDE/>
              <w:autoSpaceDN/>
              <w:adjustRightInd/>
              <w:rPr>
                <w:b w:val="0"/>
                <w:color w:val="000000"/>
                <w:szCs w:val="20"/>
              </w:rPr>
            </w:pPr>
            <w:r w:rsidRPr="00F8021B">
              <w:rPr>
                <w:b w:val="0"/>
                <w:color w:val="000000"/>
                <w:szCs w:val="20"/>
              </w:rPr>
              <w:t>Xylenes (Mixed Isomers)</w:t>
            </w:r>
          </w:p>
        </w:tc>
        <w:tc>
          <w:tcPr>
            <w:tcW w:w="450" w:type="pct"/>
            <w:vAlign w:val="center"/>
            <w:hideMark/>
          </w:tcPr>
          <w:p w:rsidRPr="009F14D2" w:rsidR="00872C69" w:rsidRDefault="00872C69" w14:paraId="354EDC05" w14:textId="77777777">
            <w:pPr>
              <w:widowControl/>
              <w:autoSpaceDE/>
              <w:autoSpaceDN/>
              <w:adjustRightInd/>
              <w:jc w:val="center"/>
              <w:cnfStyle w:val="000000100000" w:firstRow="0" w:lastRow="0" w:firstColumn="0" w:lastColumn="0" w:oddVBand="0" w:evenVBand="0" w:oddHBand="1" w:evenHBand="0" w:firstRowFirstColumn="0" w:firstRowLastColumn="0" w:lastRowFirstColumn="0" w:lastRowLastColumn="0"/>
              <w:rPr>
                <w:color w:val="000000"/>
              </w:rPr>
            </w:pPr>
            <w:r w:rsidRPr="009F14D2">
              <w:rPr>
                <w:color w:val="000000"/>
              </w:rPr>
              <w:t>1330207</w:t>
            </w:r>
          </w:p>
        </w:tc>
        <w:tc>
          <w:tcPr>
            <w:tcW w:w="455" w:type="pct"/>
            <w:vAlign w:val="center"/>
            <w:hideMark/>
          </w:tcPr>
          <w:p w:rsidRPr="009F14D2" w:rsidR="00872C69" w:rsidRDefault="00DC7F7F" w14:paraId="2D5B84FC" w14:textId="097CCD1E">
            <w:pPr>
              <w:widowControl/>
              <w:autoSpaceDE/>
              <w:autoSpaceDN/>
              <w:adjustRightInd/>
              <w:jc w:val="center"/>
              <w:cnfStyle w:val="000000100000" w:firstRow="0" w:lastRow="0" w:firstColumn="0" w:lastColumn="0" w:oddVBand="0" w:evenVBand="0" w:oddHBand="1" w:evenHBand="0" w:firstRowFirstColumn="0" w:firstRowLastColumn="0" w:lastRowFirstColumn="0" w:lastRowLastColumn="0"/>
              <w:rPr>
                <w:color w:val="000000"/>
              </w:rPr>
            </w:pPr>
            <w:r>
              <w:rPr>
                <w:color w:val="000000"/>
              </w:rPr>
              <w:t>38</w:t>
            </w:r>
          </w:p>
        </w:tc>
        <w:tc>
          <w:tcPr>
            <w:tcW w:w="455" w:type="pct"/>
            <w:vAlign w:val="center"/>
            <w:hideMark/>
          </w:tcPr>
          <w:p w:rsidRPr="00F8021B" w:rsidR="00872C69" w:rsidP="009D4555" w:rsidRDefault="00872C69" w14:paraId="2B0970DE" w14:textId="58FD9B2A">
            <w:pPr>
              <w:widowControl/>
              <w:autoSpaceDE/>
              <w:autoSpaceDN/>
              <w:adjustRightInd/>
              <w:jc w:val="center"/>
              <w:cnfStyle w:val="000000100000" w:firstRow="0" w:lastRow="0" w:firstColumn="0" w:lastColumn="0" w:oddVBand="0" w:evenVBand="0" w:oddHBand="1" w:evenHBand="0" w:firstRowFirstColumn="0" w:firstRowLastColumn="0" w:lastRowFirstColumn="0" w:lastRowLastColumn="0"/>
              <w:rPr>
                <w:color w:val="000000"/>
                <w:szCs w:val="20"/>
              </w:rPr>
            </w:pPr>
            <w:r>
              <w:rPr>
                <w:color w:val="000000"/>
                <w:szCs w:val="20"/>
              </w:rPr>
              <w:t>mg/kg</w:t>
            </w:r>
          </w:p>
        </w:tc>
        <w:tc>
          <w:tcPr>
            <w:tcW w:w="535" w:type="pct"/>
            <w:vAlign w:val="center"/>
            <w:hideMark/>
          </w:tcPr>
          <w:p w:rsidRPr="00F8021B" w:rsidR="00872C69" w:rsidP="009D4555" w:rsidRDefault="00DC7F7F" w14:paraId="243BCCC4" w14:textId="087DE3A5">
            <w:pPr>
              <w:widowControl/>
              <w:autoSpaceDE/>
              <w:autoSpaceDN/>
              <w:adjustRightInd/>
              <w:jc w:val="center"/>
              <w:cnfStyle w:val="000000100000" w:firstRow="0" w:lastRow="0" w:firstColumn="0" w:lastColumn="0" w:oddVBand="0" w:evenVBand="0" w:oddHBand="1" w:evenHBand="0" w:firstRowFirstColumn="0" w:firstRowLastColumn="0" w:lastRowFirstColumn="0" w:lastRowLastColumn="0"/>
              <w:rPr>
                <w:color w:val="000000"/>
                <w:szCs w:val="20"/>
              </w:rPr>
            </w:pPr>
            <w:r>
              <w:rPr>
                <w:color w:val="000000"/>
                <w:szCs w:val="20"/>
              </w:rPr>
              <w:t>7.58</w:t>
            </w:r>
            <w:r w:rsidRPr="00F8021B" w:rsidR="00872C69">
              <w:rPr>
                <w:color w:val="000000"/>
                <w:szCs w:val="20"/>
              </w:rPr>
              <w:t>E-02</w:t>
            </w:r>
          </w:p>
        </w:tc>
        <w:tc>
          <w:tcPr>
            <w:tcW w:w="535" w:type="pct"/>
            <w:vAlign w:val="center"/>
            <w:hideMark/>
          </w:tcPr>
          <w:p w:rsidRPr="00F8021B" w:rsidR="00872C69" w:rsidP="009D4555" w:rsidRDefault="00872C69" w14:paraId="252B460F" w14:textId="3C982B2A">
            <w:pPr>
              <w:widowControl/>
              <w:autoSpaceDE/>
              <w:autoSpaceDN/>
              <w:adjustRightInd/>
              <w:jc w:val="center"/>
              <w:cnfStyle w:val="000000100000" w:firstRow="0" w:lastRow="0" w:firstColumn="0" w:lastColumn="0" w:oddVBand="0" w:evenVBand="0" w:oddHBand="1" w:evenHBand="0" w:firstRowFirstColumn="0" w:firstRowLastColumn="0" w:lastRowFirstColumn="0" w:lastRowLastColumn="0"/>
              <w:rPr>
                <w:color w:val="000000"/>
                <w:szCs w:val="20"/>
              </w:rPr>
            </w:pPr>
            <w:r w:rsidRPr="00F8021B">
              <w:rPr>
                <w:color w:val="000000"/>
                <w:szCs w:val="20"/>
              </w:rPr>
              <w:t>lbs./ton</w:t>
            </w:r>
          </w:p>
        </w:tc>
        <w:tc>
          <w:tcPr>
            <w:tcW w:w="1582" w:type="pct"/>
            <w:vAlign w:val="center"/>
            <w:hideMark/>
          </w:tcPr>
          <w:p w:rsidRPr="00F8021B" w:rsidR="00872C69" w:rsidP="00FE1365" w:rsidRDefault="00872C69" w14:paraId="082B7289" w14:textId="651A6BDC">
            <w:pPr>
              <w:widowControl/>
              <w:autoSpaceDE/>
              <w:autoSpaceDN/>
              <w:adjustRightInd/>
              <w:cnfStyle w:val="000000100000" w:firstRow="0" w:lastRow="0" w:firstColumn="0" w:lastColumn="0" w:oddVBand="0" w:evenVBand="0" w:oddHBand="1" w:evenHBand="0" w:firstRowFirstColumn="0" w:firstRowLastColumn="0" w:lastRowFirstColumn="0" w:lastRowLastColumn="0"/>
              <w:rPr>
                <w:color w:val="000000"/>
                <w:szCs w:val="20"/>
              </w:rPr>
            </w:pPr>
            <w:r w:rsidRPr="00F8021B">
              <w:rPr>
                <w:color w:val="000000"/>
                <w:szCs w:val="20"/>
              </w:rPr>
              <w:t xml:space="preserve">Reference </w:t>
            </w:r>
            <w:r>
              <w:rPr>
                <w:color w:val="000000"/>
                <w:szCs w:val="20"/>
              </w:rPr>
              <w:fldChar w:fldCharType="begin"/>
            </w:r>
            <w:r>
              <w:rPr>
                <w:color w:val="000000"/>
                <w:szCs w:val="20"/>
              </w:rPr>
              <w:instrText xml:space="preserve"> NOTEREF _Ref478482810 \h  \* MERGEFORMAT </w:instrText>
            </w:r>
            <w:r>
              <w:rPr>
                <w:color w:val="000000"/>
                <w:szCs w:val="20"/>
              </w:rPr>
            </w:r>
            <w:r>
              <w:rPr>
                <w:color w:val="000000"/>
                <w:szCs w:val="20"/>
              </w:rPr>
              <w:fldChar w:fldCharType="separate"/>
            </w:r>
            <w:r w:rsidR="00117BBF">
              <w:rPr>
                <w:color w:val="000000"/>
                <w:szCs w:val="20"/>
              </w:rPr>
              <w:t>8</w:t>
            </w:r>
            <w:r>
              <w:rPr>
                <w:color w:val="000000"/>
                <w:szCs w:val="20"/>
              </w:rPr>
              <w:fldChar w:fldCharType="end"/>
            </w:r>
            <w:r>
              <w:rPr>
                <w:color w:val="000000"/>
                <w:szCs w:val="20"/>
              </w:rPr>
              <w:t>, Table 3-6</w:t>
            </w:r>
          </w:p>
        </w:tc>
      </w:tr>
    </w:tbl>
    <w:p w:rsidR="009D4555" w:rsidP="00872C69" w:rsidRDefault="00872C69" w14:paraId="210C9C55" w14:textId="372E9C7D">
      <w:pPr>
        <w:pStyle w:val="ListParagraph"/>
        <w:numPr>
          <w:ilvl w:val="0"/>
          <w:numId w:val="29"/>
        </w:numPr>
        <w:spacing w:before="120"/>
      </w:pPr>
      <w:r>
        <w:t>Emissions factor for 1,4-Dichlorobenzene is reported as &lt;1 mg/kg. The factor used for this methodology assumes that the actual value is 0.333 mg/kg.</w:t>
      </w:r>
    </w:p>
    <w:p w:rsidRPr="009D4555" w:rsidR="00872C69" w:rsidP="00872C69" w:rsidRDefault="00872C69" w14:paraId="10EDEE9D" w14:textId="2571C716">
      <w:pPr>
        <w:pStyle w:val="ListParagraph"/>
        <w:numPr>
          <w:ilvl w:val="0"/>
          <w:numId w:val="29"/>
        </w:numPr>
        <w:spacing w:before="120"/>
      </w:pPr>
      <w:r>
        <w:t>Emissions factor for Pentachlorophenol is reported as &lt;0.0025 and &lt;0.0018 g/kg. The factor used for this methodology assumes that the actual value is 5.3E-05 g/kg.</w:t>
      </w:r>
    </w:p>
    <w:sectPr w:rsidRPr="009D4555" w:rsidR="00872C69" w:rsidSect="009F14D2">
      <w:endnotePr>
        <w:numFmt w:val="decimal"/>
      </w:endnotePr>
      <w:pgSz w:w="12240" w:h="15840" w:orient="portrait"/>
      <w:pgMar w:top="720" w:right="720" w:bottom="720" w:left="72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Pr="005A2CA7" w:rsidR="00FE1365" w:rsidP="005A2CA7" w:rsidRDefault="00FE1365" w14:paraId="19705DF8" w14:textId="77777777">
      <w:pPr>
        <w:pStyle w:val="Footer"/>
      </w:pPr>
    </w:p>
  </w:endnote>
  <w:endnote w:type="continuationSeparator" w:id="0">
    <w:p w:rsidRPr="00D05698" w:rsidR="00FE1365" w:rsidP="00D05698" w:rsidRDefault="00FE1365" w14:paraId="3434FD9C" w14:textId="77777777">
      <w:pPr>
        <w:pStyle w:val="Footer"/>
      </w:pPr>
    </w:p>
  </w:endnote>
  <w:endnote w:type="continuationNotice" w:id="1">
    <w:p w:rsidR="00FE1365" w:rsidRDefault="00FE1365" w14:paraId="33E51152" w14:textId="77777777">
      <w:pPr>
        <w:spacing w:after="0"/>
      </w:pPr>
    </w:p>
  </w:endnote>
  <w:endnote w:id="2">
    <w:p w:rsidR="00FE1365" w:rsidP="003F1FE0" w:rsidRDefault="00FE1365" w14:paraId="0DF7C748" w14:textId="60A7DE90">
      <w:pPr>
        <w:pStyle w:val="References"/>
      </w:pPr>
      <w:r>
        <w:rPr>
          <w:rStyle w:val="EndnoteReference"/>
        </w:rPr>
        <w:endnoteRef/>
      </w:r>
      <w:r>
        <w:t xml:space="preserve"> </w:t>
      </w:r>
      <w:r w:rsidRPr="00C76429">
        <w:t>U.S. Environmental Protection Agency</w:t>
      </w:r>
      <w:r w:rsidR="008B1324">
        <w:t>. 2018</w:t>
      </w:r>
      <w:r>
        <w:t>.</w:t>
      </w:r>
      <w:r w:rsidRPr="00C76429">
        <w:t xml:space="preserve"> </w:t>
      </w:r>
      <w:r w:rsidRPr="00356A3C">
        <w:rPr>
          <w:i/>
        </w:rPr>
        <w:t>Advan</w:t>
      </w:r>
      <w:r w:rsidR="008B1324">
        <w:rPr>
          <w:i/>
        </w:rPr>
        <w:t>cing Sustainable Materials: 2015</w:t>
      </w:r>
      <w:r w:rsidRPr="00356A3C">
        <w:rPr>
          <w:i/>
        </w:rPr>
        <w:t xml:space="preserve"> Fact Sheet</w:t>
      </w:r>
      <w:r w:rsidRPr="00C76429">
        <w:t>, "</w:t>
      </w:r>
      <w:r w:rsidRPr="000975F2">
        <w:t xml:space="preserve">Table 1. </w:t>
      </w:r>
      <w:r>
        <w:t>Generation, Recovery and Di</w:t>
      </w:r>
      <w:r w:rsidR="008B1324">
        <w:t xml:space="preserve">scards of Materials in MSW, 2015 </w:t>
      </w:r>
      <w:r>
        <w:t>(in millions of tons and percent of generation of each material)</w:t>
      </w:r>
      <w:r w:rsidRPr="000975F2">
        <w:t>".</w:t>
      </w:r>
      <w:r>
        <w:t xml:space="preserve"> </w:t>
      </w:r>
      <w:hyperlink w:history="1" r:id="rId1">
        <w:r w:rsidRPr="00E71196">
          <w:rPr>
            <w:rStyle w:val="Hyperlink"/>
          </w:rPr>
          <w:t>https://www.epa.gov/smm/advancing-sustainable-materials-management-facts-and-figures-report</w:t>
        </w:r>
      </w:hyperlink>
      <w:r>
        <w:t xml:space="preserve"> </w:t>
      </w:r>
    </w:p>
  </w:endnote>
  <w:endnote w:id="3">
    <w:p w:rsidR="00FE1365" w:rsidP="00BE1458" w:rsidRDefault="00FE1365" w14:paraId="556D8DE8" w14:textId="27AAB620">
      <w:pPr>
        <w:pStyle w:val="References"/>
      </w:pPr>
      <w:r>
        <w:rPr>
          <w:rStyle w:val="EndnoteReference"/>
        </w:rPr>
        <w:endnoteRef/>
      </w:r>
      <w:r>
        <w:t xml:space="preserve"> </w:t>
      </w:r>
      <w:r w:rsidRPr="00C76429">
        <w:t>U.S. Environmental Protection Agency</w:t>
      </w:r>
      <w:r>
        <w:t>. 2011.</w:t>
      </w:r>
      <w:r w:rsidRPr="00C76429">
        <w:t xml:space="preserve"> </w:t>
      </w:r>
      <w:r w:rsidRPr="00C76429">
        <w:rPr>
          <w:i/>
        </w:rPr>
        <w:t>Municipal Solid Waste Generation, Recycling, and Disposal in the United States: Facts and Figures</w:t>
      </w:r>
      <w:r>
        <w:rPr>
          <w:i/>
        </w:rPr>
        <w:t xml:space="preserve"> for 2010—Fact Sheet</w:t>
      </w:r>
      <w:r w:rsidRPr="00C76429">
        <w:t>,"</w:t>
      </w:r>
      <w:r w:rsidRPr="000975F2">
        <w:t xml:space="preserve"> </w:t>
      </w:r>
      <w:r>
        <w:t xml:space="preserve">p. 4. </w:t>
      </w:r>
      <w:hyperlink w:history="1" r:id="rId2">
        <w:r w:rsidRPr="002560ED">
          <w:rPr>
            <w:rStyle w:val="Hyperlink"/>
          </w:rPr>
          <w:t>https://archive.epa.gov/epawaste/nonhaz/municipal/web/pdf/msw_2010_factsheet.pdf</w:t>
        </w:r>
      </w:hyperlink>
      <w:r>
        <w:t xml:space="preserve"> </w:t>
      </w:r>
    </w:p>
  </w:endnote>
  <w:endnote w:id="4">
    <w:p w:rsidR="00FE1365" w:rsidP="009C796E" w:rsidRDefault="00FE1365" w14:paraId="632BB7A5" w14:textId="42336CE4">
      <w:pPr>
        <w:pStyle w:val="References"/>
      </w:pPr>
      <w:r>
        <w:rPr>
          <w:rStyle w:val="EndnoteReference"/>
        </w:rPr>
        <w:endnoteRef/>
      </w:r>
      <w:r>
        <w:t xml:space="preserve"> </w:t>
      </w:r>
      <w:r w:rsidRPr="005B0D17" w:rsidR="009C796E">
        <w:t>U.S. Census Bureau.</w:t>
      </w:r>
      <w:r w:rsidR="009C796E">
        <w:t xml:space="preserve"> </w:t>
      </w:r>
      <w:r w:rsidR="009C796E">
        <w:rPr>
          <w:i/>
          <w:iCs/>
        </w:rPr>
        <w:t>Total Population, American Community Survey</w:t>
      </w:r>
      <w:r w:rsidRPr="005B0D17" w:rsidR="009C796E">
        <w:rPr>
          <w:i/>
          <w:iCs/>
        </w:rPr>
        <w:t xml:space="preserve">, </w:t>
      </w:r>
      <w:hyperlink w:history="1" r:id="rId3">
        <w:r w:rsidR="009C796E">
          <w:rPr>
            <w:rStyle w:val="Hyperlink"/>
          </w:rPr>
          <w:t>https://data.census.gov/cedsci/table?hidePreview=false&amp;tid=ACSDT1Y2017.B01003&amp;vintage=2018</w:t>
        </w:r>
      </w:hyperlink>
    </w:p>
  </w:endnote>
  <w:endnote w:id="5">
    <w:p w:rsidR="00FE1365" w:rsidP="00BE1458" w:rsidRDefault="00FE1365" w14:paraId="5D65B178" w14:textId="75C33FBE">
      <w:pPr>
        <w:pStyle w:val="References"/>
      </w:pPr>
      <w:r>
        <w:rPr>
          <w:rStyle w:val="EndnoteReference"/>
        </w:rPr>
        <w:endnoteRef/>
      </w:r>
      <w:r>
        <w:t xml:space="preserve"> U</w:t>
      </w:r>
      <w:r w:rsidRPr="00E44CEA">
        <w:t>.S. Census Bureau, Decennial Censuses, 20</w:t>
      </w:r>
      <w:r>
        <w:t>1</w:t>
      </w:r>
      <w:r w:rsidRPr="00E44CEA">
        <w:t xml:space="preserve">0 Census: </w:t>
      </w:r>
      <w:r>
        <w:t xml:space="preserve">Summary File 1. </w:t>
      </w:r>
      <w:hyperlink w:history="1" r:id="rId4">
        <w:r w:rsidRPr="002451D6">
          <w:rPr>
            <w:rStyle w:val="Hyperlink"/>
          </w:rPr>
          <w:t>http://www2.census.gov/census_2010/04-Summary_File_1/</w:t>
        </w:r>
      </w:hyperlink>
      <w:r>
        <w:t>.</w:t>
      </w:r>
    </w:p>
  </w:endnote>
  <w:endnote w:id="6">
    <w:p w:rsidR="00FE1365" w:rsidP="00BE1458" w:rsidRDefault="00FE1365" w14:paraId="5D06ED7F" w14:textId="55843661">
      <w:pPr>
        <w:pStyle w:val="References"/>
      </w:pPr>
      <w:r>
        <w:rPr>
          <w:rStyle w:val="EndnoteReference"/>
        </w:rPr>
        <w:endnoteRef/>
      </w:r>
      <w:r>
        <w:t xml:space="preserve"> Environment Canada. 2001. “Household Garbage Disposal and Burning.” Prepared by Environics Research Group.</w:t>
      </w:r>
    </w:p>
  </w:endnote>
  <w:endnote w:id="7">
    <w:p w:rsidR="00FE1365" w:rsidP="00AF2479" w:rsidRDefault="00FE1365" w14:paraId="1C8DB0FC" w14:textId="5B29DA14">
      <w:pPr>
        <w:pStyle w:val="References"/>
      </w:pPr>
      <w:r>
        <w:rPr>
          <w:rStyle w:val="EndnoteReference"/>
        </w:rPr>
        <w:endnoteRef/>
      </w:r>
      <w:r>
        <w:t xml:space="preserve"> U.S. Environmental Protection Agency</w:t>
      </w:r>
      <w:r w:rsidRPr="008F126E">
        <w:t>.</w:t>
      </w:r>
      <w:r>
        <w:t xml:space="preserve"> 1995.</w:t>
      </w:r>
      <w:r w:rsidRPr="008F126E">
        <w:t xml:space="preserve"> </w:t>
      </w:r>
      <w:r w:rsidRPr="009B67B9">
        <w:rPr>
          <w:i/>
        </w:rPr>
        <w:t>Compilation of Air Pollutant Emission Factors, AP-42, Fifth Edition, Volume I:  Stationary Point and Area Sources, Section 2.5 Open Burning.</w:t>
      </w:r>
      <w:r w:rsidRPr="008F126E">
        <w:t xml:space="preserve"> Research Triangle Park, NC.</w:t>
      </w:r>
    </w:p>
  </w:endnote>
  <w:endnote w:id="8">
    <w:p w:rsidR="00FE1365" w:rsidP="008C24D0" w:rsidRDefault="00FE1365" w14:paraId="39374BA5" w14:textId="77777777">
      <w:pPr>
        <w:pStyle w:val="References"/>
      </w:pPr>
      <w:r>
        <w:rPr>
          <w:rStyle w:val="EndnoteReference"/>
        </w:rPr>
        <w:endnoteRef/>
      </w:r>
      <w:r>
        <w:t xml:space="preserve"> </w:t>
      </w:r>
      <w:bookmarkStart w:name="OLE_LINK1" w:id="9"/>
      <w:r w:rsidRPr="001C4120">
        <w:t xml:space="preserve">U.S. </w:t>
      </w:r>
      <w:r>
        <w:t>Environmental Protection Agency</w:t>
      </w:r>
      <w:r w:rsidRPr="001C4120">
        <w:t>.</w:t>
      </w:r>
      <w:r>
        <w:t xml:space="preserve"> 1997.</w:t>
      </w:r>
      <w:r w:rsidRPr="001C4120">
        <w:t xml:space="preserve"> “Evaluation of Emissions from the Open Burning of Household Waste in Barrels.” EPA</w:t>
      </w:r>
      <w:r w:rsidRPr="001C4120">
        <w:noBreakHyphen/>
        <w:t>600/R</w:t>
      </w:r>
      <w:r w:rsidRPr="001C4120">
        <w:noBreakHyphen/>
        <w:t>97</w:t>
      </w:r>
      <w:r w:rsidRPr="001C4120">
        <w:noBreakHyphen/>
        <w:t xml:space="preserve">134a. </w:t>
      </w:r>
      <w:bookmarkEnd w:id="9"/>
      <w:r>
        <w:fldChar w:fldCharType="begin"/>
      </w:r>
      <w:r>
        <w:instrText xml:space="preserve"> HYPERLINK "</w:instrText>
      </w:r>
      <w:r w:rsidRPr="008177DD">
        <w:instrText>https://cfpub.epa.gov/si/si_public_record_Report.cfm?dirEntryID=115129</w:instrText>
      </w:r>
      <w:r>
        <w:instrText xml:space="preserve">" </w:instrText>
      </w:r>
      <w:r>
        <w:fldChar w:fldCharType="separate"/>
      </w:r>
      <w:r w:rsidRPr="00E71196">
        <w:rPr>
          <w:rStyle w:val="Hyperlink"/>
        </w:rPr>
        <w:t>https://cfpub.epa.gov/si/si_public_record_Report.cfm?dirEntryID=115129</w:t>
      </w:r>
      <w:r>
        <w:fldChar w:fldCharType="end"/>
      </w:r>
      <w:r>
        <w:t xml:space="preserve"> </w:t>
      </w:r>
    </w:p>
  </w:endnote>
  <w:endnote w:id="9">
    <w:p w:rsidR="00FE1365" w:rsidP="00EA44CB" w:rsidRDefault="00FE1365" w14:paraId="4ECC6D73" w14:textId="43D5495B">
      <w:pPr>
        <w:pStyle w:val="References"/>
      </w:pPr>
      <w:r>
        <w:rPr>
          <w:rStyle w:val="EndnoteReference"/>
        </w:rPr>
        <w:endnoteRef/>
      </w:r>
      <w:r>
        <w:t xml:space="preserve"> </w:t>
      </w:r>
      <w:r w:rsidRPr="00EF4381">
        <w:t>U.S. Environmental Protection Agency.</w:t>
      </w:r>
      <w:r>
        <w:t xml:space="preserve"> 2002.</w:t>
      </w:r>
      <w:r w:rsidRPr="00EF4381">
        <w:t xml:space="preserve"> “Emissions of organic air toxics from open burning: a comprehensive review.” EPA-600/R-02-076. </w:t>
      </w:r>
      <w:hyperlink w:history="1" r:id="rId5">
        <w:r w:rsidRPr="00E71196">
          <w:rPr>
            <w:rStyle w:val="Hyperlink"/>
          </w:rPr>
          <w:t>https://nepis.epa.gov/Exe/ZyNET.exe/P1001G31.TXT?ZyActionD=ZyDocument&amp;Client=EPA&amp;Index=2000+Thru+2005&amp;Docs=&amp;Query=&amp;Time=&amp;EndTime=&amp;SearchMethod=1&amp;TocRestrict=n&amp;Toc=&amp;TocEntry=&amp;QField=&amp;QFieldYear=&amp;QFieldMonth=&amp;QFieldDay=&amp;IntQFieldOp=0&amp;ExtQFieldOp=0&amp;XmlQuery=&amp;File=D%3A%5Czyfiles%5CIndex%20Data%5C00thru05%5CTxt%5C00000016%5CP1001G31.txt&amp;User=ANONYMOUS&amp;Password=anonymous&amp;SortMethod=h%7C-&amp;MaximumDocuments=1&amp;FuzzyDegree=0&amp;ImageQuality=r75g8/r75g8/x150y150g16/i425&amp;Display=hpfr&amp;DefSeekPage=x&amp;SearchBack=ZyActionL&amp;Back=ZyActionS&amp;BackDesc=Results%20page&amp;MaximumPages=1&amp;ZyEntry=1&amp;SeekPage=x&amp;ZyPURL</w:t>
        </w:r>
      </w:hyperlink>
      <w:r>
        <w:t xml:space="preserve"> </w:t>
      </w:r>
    </w:p>
  </w:endnote>
  <w:endnote w:id="10">
    <w:p w:rsidRPr="00EA44CB" w:rsidR="00FE1365" w:rsidP="00EA44CB" w:rsidRDefault="00FE1365" w14:paraId="7EA88A08" w14:textId="340F8159">
      <w:pPr>
        <w:pStyle w:val="References"/>
      </w:pPr>
      <w:r>
        <w:rPr>
          <w:rStyle w:val="EndnoteReference"/>
        </w:rPr>
        <w:endnoteRef/>
      </w:r>
      <w:r>
        <w:t xml:space="preserve"> </w:t>
      </w:r>
      <w:proofErr w:type="spellStart"/>
      <w:r w:rsidRPr="00043A26">
        <w:t>Babineau</w:t>
      </w:r>
      <w:proofErr w:type="spellEnd"/>
      <w:r w:rsidRPr="00043A26">
        <w:t>, I., Wu, C.Y., Jackson, A., Minnesota Pollution Control Agency.</w:t>
      </w:r>
      <w:r>
        <w:t xml:space="preserve"> 2016.</w:t>
      </w:r>
      <w:r w:rsidRPr="00043A26">
        <w:t xml:space="preserve"> “Emission Factor Development for Mercury Emitted From Municipal Solid Waste during Processing and Handling.” In proceedings of the 109</w:t>
      </w:r>
      <w:r w:rsidRPr="00043A26">
        <w:rPr>
          <w:vertAlign w:val="superscript"/>
        </w:rPr>
        <w:t>th</w:t>
      </w:r>
      <w:r w:rsidRPr="00043A26">
        <w:t xml:space="preserve"> Annual Meeting of the A&amp;WMA, New Orleans, LA</w:t>
      </w:r>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598448166"/>
      <w:docPartObj>
        <w:docPartGallery w:val="Page Numbers (Bottom of Page)"/>
        <w:docPartUnique/>
      </w:docPartObj>
    </w:sdtPr>
    <w:sdtEndPr>
      <w:rPr>
        <w:noProof/>
      </w:rPr>
    </w:sdtEndPr>
    <w:sdtContent>
      <w:p w:rsidR="00FE1365" w:rsidRDefault="00FE1365" w14:paraId="21C42EFB" w14:textId="2D48EAB9">
        <w:pPr>
          <w:pStyle w:val="Footer"/>
          <w:jc w:val="right"/>
        </w:pPr>
        <w:r>
          <w:fldChar w:fldCharType="begin"/>
        </w:r>
        <w:r>
          <w:instrText xml:space="preserve"> PAGE   \* MERGEFORMAT </w:instrText>
        </w:r>
        <w:r>
          <w:fldChar w:fldCharType="separate"/>
        </w:r>
        <w:r w:rsidR="008B1324">
          <w:rPr>
            <w:noProof/>
          </w:rPr>
          <w:t>6</w:t>
        </w:r>
        <w:r>
          <w:rPr>
            <w:noProof/>
          </w:rPr>
          <w:fldChar w:fldCharType="end"/>
        </w:r>
      </w:p>
    </w:sdtContent>
  </w:sdt>
  <w:p w:rsidR="00FE1365" w:rsidRDefault="00FE1365" w14:paraId="6189F657" w14:textId="7777777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E1365" w:rsidP="005A2CA7" w:rsidRDefault="00FE1365" w14:paraId="15E94AA9" w14:textId="77777777">
      <w:r>
        <w:separator/>
      </w:r>
    </w:p>
  </w:footnote>
  <w:footnote w:type="continuationSeparator" w:id="0">
    <w:p w:rsidR="00FE1365" w:rsidP="005A2CA7" w:rsidRDefault="00FE1365" w14:paraId="4458F18B" w14:textId="7777777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673D0A"/>
    <w:multiLevelType w:val="hybridMultilevel"/>
    <w:tmpl w:val="811226E8"/>
    <w:lvl w:ilvl="0" w:tplc="5B16E7E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3A61FBA"/>
    <w:multiLevelType w:val="hybridMultilevel"/>
    <w:tmpl w:val="6B062A7E"/>
    <w:lvl w:ilvl="0" w:tplc="5B16E7E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4625B8E"/>
    <w:multiLevelType w:val="hybridMultilevel"/>
    <w:tmpl w:val="5D34FAAC"/>
    <w:lvl w:ilvl="0" w:tplc="5B16E7E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7404EA8"/>
    <w:multiLevelType w:val="hybridMultilevel"/>
    <w:tmpl w:val="18BA0DE8"/>
    <w:lvl w:ilvl="0" w:tplc="5B16E7E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AA62F78"/>
    <w:multiLevelType w:val="hybridMultilevel"/>
    <w:tmpl w:val="F46A09CC"/>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0C391CAD"/>
    <w:multiLevelType w:val="hybridMultilevel"/>
    <w:tmpl w:val="9754E3BE"/>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10105A47"/>
    <w:multiLevelType w:val="hybridMultilevel"/>
    <w:tmpl w:val="4CC6B8FA"/>
    <w:lvl w:ilvl="0" w:tplc="5B16E7E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5410923"/>
    <w:multiLevelType w:val="hybridMultilevel"/>
    <w:tmpl w:val="C95A38CA"/>
    <w:lvl w:ilvl="0" w:tplc="5B16E7E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691677F"/>
    <w:multiLevelType w:val="hybridMultilevel"/>
    <w:tmpl w:val="D5721C7E"/>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1EEE59C1"/>
    <w:multiLevelType w:val="hybridMultilevel"/>
    <w:tmpl w:val="BE1A5FD6"/>
    <w:lvl w:ilvl="0" w:tplc="5B16E7E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18B1B90"/>
    <w:multiLevelType w:val="hybridMultilevel"/>
    <w:tmpl w:val="577CAAA6"/>
    <w:lvl w:ilvl="0" w:tplc="5B16E7E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21D615A"/>
    <w:multiLevelType w:val="hybridMultilevel"/>
    <w:tmpl w:val="39305060"/>
    <w:lvl w:ilvl="0" w:tplc="5B16E7E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6CE6B35"/>
    <w:multiLevelType w:val="hybridMultilevel"/>
    <w:tmpl w:val="2E04AC82"/>
    <w:lvl w:ilvl="0" w:tplc="5B16E7E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7C14748"/>
    <w:multiLevelType w:val="hybridMultilevel"/>
    <w:tmpl w:val="155E357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CBF48A3"/>
    <w:multiLevelType w:val="hybridMultilevel"/>
    <w:tmpl w:val="189EC75C"/>
    <w:lvl w:ilvl="0" w:tplc="5B16E7E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1F94BB4"/>
    <w:multiLevelType w:val="hybridMultilevel"/>
    <w:tmpl w:val="F46A09CC"/>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38914FC8"/>
    <w:multiLevelType w:val="hybridMultilevel"/>
    <w:tmpl w:val="D02A7766"/>
    <w:lvl w:ilvl="0" w:tplc="5B16E7E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A1B5F84"/>
    <w:multiLevelType w:val="hybridMultilevel"/>
    <w:tmpl w:val="DB8AF8E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0AC4E76"/>
    <w:multiLevelType w:val="hybridMultilevel"/>
    <w:tmpl w:val="8BB41ED2"/>
    <w:lvl w:ilvl="0" w:tplc="5B16E7E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3C17371"/>
    <w:multiLevelType w:val="hybridMultilevel"/>
    <w:tmpl w:val="6B062A7E"/>
    <w:lvl w:ilvl="0" w:tplc="5B16E7E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F1E6D0A"/>
    <w:multiLevelType w:val="hybridMultilevel"/>
    <w:tmpl w:val="35AA3AF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57977E38"/>
    <w:multiLevelType w:val="hybridMultilevel"/>
    <w:tmpl w:val="DF7C4F14"/>
    <w:lvl w:ilvl="0" w:tplc="5B16E7E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5FC97D4A"/>
    <w:multiLevelType w:val="hybridMultilevel"/>
    <w:tmpl w:val="B2C85A64"/>
    <w:lvl w:ilvl="0" w:tplc="558C64EA">
      <w:start w:val="1"/>
      <w:numFmt w:val="upperLetter"/>
      <w:pStyle w:val="Heading1"/>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10953CD"/>
    <w:multiLevelType w:val="hybridMultilevel"/>
    <w:tmpl w:val="1B74A40E"/>
    <w:lvl w:ilvl="0" w:tplc="5B16E7E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2651A54"/>
    <w:multiLevelType w:val="hybridMultilevel"/>
    <w:tmpl w:val="D5721C7E"/>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15:restartNumberingAfterBreak="0">
    <w:nsid w:val="63191523"/>
    <w:multiLevelType w:val="hybridMultilevel"/>
    <w:tmpl w:val="05A02834"/>
    <w:lvl w:ilvl="0" w:tplc="5B16E7E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64321916"/>
    <w:multiLevelType w:val="hybridMultilevel"/>
    <w:tmpl w:val="2E886B0C"/>
    <w:lvl w:ilvl="0" w:tplc="5B16E7E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6F9323A"/>
    <w:multiLevelType w:val="hybridMultilevel"/>
    <w:tmpl w:val="FC3AD98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7B96E74"/>
    <w:multiLevelType w:val="hybridMultilevel"/>
    <w:tmpl w:val="27AE9664"/>
    <w:lvl w:ilvl="0" w:tplc="5B16E7E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737404FE"/>
    <w:multiLevelType w:val="hybridMultilevel"/>
    <w:tmpl w:val="68E49286"/>
    <w:lvl w:ilvl="0" w:tplc="04090019">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0" w15:restartNumberingAfterBreak="0">
    <w:nsid w:val="76660571"/>
    <w:multiLevelType w:val="hybridMultilevel"/>
    <w:tmpl w:val="74F0822E"/>
    <w:lvl w:ilvl="0" w:tplc="852A0844">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1" w15:restartNumberingAfterBreak="0">
    <w:nsid w:val="7FCE4F6A"/>
    <w:multiLevelType w:val="hybridMultilevel"/>
    <w:tmpl w:val="19CE7874"/>
    <w:lvl w:ilvl="0" w:tplc="5B16E7E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4"/>
  </w:num>
  <w:num w:numId="2">
    <w:abstractNumId w:val="15"/>
  </w:num>
  <w:num w:numId="3">
    <w:abstractNumId w:val="8"/>
  </w:num>
  <w:num w:numId="4">
    <w:abstractNumId w:val="17"/>
  </w:num>
  <w:num w:numId="5">
    <w:abstractNumId w:val="4"/>
  </w:num>
  <w:num w:numId="6">
    <w:abstractNumId w:val="20"/>
  </w:num>
  <w:num w:numId="7">
    <w:abstractNumId w:val="30"/>
  </w:num>
  <w:num w:numId="8">
    <w:abstractNumId w:val="29"/>
  </w:num>
  <w:num w:numId="9">
    <w:abstractNumId w:val="22"/>
  </w:num>
  <w:num w:numId="10">
    <w:abstractNumId w:val="26"/>
  </w:num>
  <w:num w:numId="11">
    <w:abstractNumId w:val="16"/>
  </w:num>
  <w:num w:numId="12">
    <w:abstractNumId w:val="11"/>
  </w:num>
  <w:num w:numId="13">
    <w:abstractNumId w:val="6"/>
  </w:num>
  <w:num w:numId="14">
    <w:abstractNumId w:val="3"/>
  </w:num>
  <w:num w:numId="15">
    <w:abstractNumId w:val="28"/>
  </w:num>
  <w:num w:numId="16">
    <w:abstractNumId w:val="18"/>
  </w:num>
  <w:num w:numId="17">
    <w:abstractNumId w:val="0"/>
  </w:num>
  <w:num w:numId="18">
    <w:abstractNumId w:val="21"/>
  </w:num>
  <w:num w:numId="19">
    <w:abstractNumId w:val="31"/>
  </w:num>
  <w:num w:numId="20">
    <w:abstractNumId w:val="7"/>
  </w:num>
  <w:num w:numId="21">
    <w:abstractNumId w:val="19"/>
  </w:num>
  <w:num w:numId="22">
    <w:abstractNumId w:val="2"/>
  </w:num>
  <w:num w:numId="23">
    <w:abstractNumId w:val="1"/>
  </w:num>
  <w:num w:numId="24">
    <w:abstractNumId w:val="9"/>
  </w:num>
  <w:num w:numId="25">
    <w:abstractNumId w:val="12"/>
  </w:num>
  <w:num w:numId="26">
    <w:abstractNumId w:val="25"/>
  </w:num>
  <w:num w:numId="27">
    <w:abstractNumId w:val="14"/>
  </w:num>
  <w:num w:numId="28">
    <w:abstractNumId w:val="10"/>
  </w:num>
  <w:num w:numId="29">
    <w:abstractNumId w:val="13"/>
  </w:num>
  <w:num w:numId="30">
    <w:abstractNumId w:val="27"/>
  </w:num>
  <w:num w:numId="31">
    <w:abstractNumId w:val="5"/>
  </w:num>
  <w:num w:numId="32">
    <w:abstractNumId w:val="23"/>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p14">
  <w:trackRevisions w:val="false"/>
  <w:zoom w:percent="100"/>
  <w:defaultTabStop w:val="720"/>
  <w:characterSpacingControl w:val="doNotCompress"/>
  <w:footnotePr>
    <w:footnote w:id="-1"/>
    <w:footnote w:id="0"/>
  </w:footnotePr>
  <w:endnotePr>
    <w:pos w:val="sectEnd"/>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4319E"/>
    <w:rsid w:val="00004867"/>
    <w:rsid w:val="00010E6C"/>
    <w:rsid w:val="000116F5"/>
    <w:rsid w:val="00016464"/>
    <w:rsid w:val="00024A94"/>
    <w:rsid w:val="00030F9E"/>
    <w:rsid w:val="0003373D"/>
    <w:rsid w:val="00052E59"/>
    <w:rsid w:val="00056E9D"/>
    <w:rsid w:val="00060A69"/>
    <w:rsid w:val="00070AF8"/>
    <w:rsid w:val="00073181"/>
    <w:rsid w:val="000834F0"/>
    <w:rsid w:val="0009032D"/>
    <w:rsid w:val="00091662"/>
    <w:rsid w:val="000932CD"/>
    <w:rsid w:val="000A6FCD"/>
    <w:rsid w:val="000C0667"/>
    <w:rsid w:val="001123F3"/>
    <w:rsid w:val="00117BBF"/>
    <w:rsid w:val="001213FA"/>
    <w:rsid w:val="00157738"/>
    <w:rsid w:val="00174AE6"/>
    <w:rsid w:val="00186E1E"/>
    <w:rsid w:val="001A09E7"/>
    <w:rsid w:val="001A19EB"/>
    <w:rsid w:val="001D6A38"/>
    <w:rsid w:val="001F0C08"/>
    <w:rsid w:val="001F1A1E"/>
    <w:rsid w:val="0020011C"/>
    <w:rsid w:val="002005B7"/>
    <w:rsid w:val="00202A79"/>
    <w:rsid w:val="0020702C"/>
    <w:rsid w:val="0022574E"/>
    <w:rsid w:val="002375F1"/>
    <w:rsid w:val="00254A83"/>
    <w:rsid w:val="00274943"/>
    <w:rsid w:val="002958BB"/>
    <w:rsid w:val="002D0E4F"/>
    <w:rsid w:val="002D5E9B"/>
    <w:rsid w:val="002E16A8"/>
    <w:rsid w:val="002E5ADD"/>
    <w:rsid w:val="003165C3"/>
    <w:rsid w:val="0033702E"/>
    <w:rsid w:val="00340DAC"/>
    <w:rsid w:val="00347529"/>
    <w:rsid w:val="003478A9"/>
    <w:rsid w:val="00371723"/>
    <w:rsid w:val="00387957"/>
    <w:rsid w:val="003933F5"/>
    <w:rsid w:val="003D38C0"/>
    <w:rsid w:val="003D471D"/>
    <w:rsid w:val="003E35AF"/>
    <w:rsid w:val="003F1FE0"/>
    <w:rsid w:val="003F3D3C"/>
    <w:rsid w:val="00402D36"/>
    <w:rsid w:val="00433E3C"/>
    <w:rsid w:val="0043650B"/>
    <w:rsid w:val="0044447B"/>
    <w:rsid w:val="00454AD5"/>
    <w:rsid w:val="00456573"/>
    <w:rsid w:val="0046047E"/>
    <w:rsid w:val="00474868"/>
    <w:rsid w:val="004A19A1"/>
    <w:rsid w:val="004A1B25"/>
    <w:rsid w:val="004A75C7"/>
    <w:rsid w:val="004B0DDF"/>
    <w:rsid w:val="004B3AC7"/>
    <w:rsid w:val="004E1CBE"/>
    <w:rsid w:val="004E5DDA"/>
    <w:rsid w:val="004E7B61"/>
    <w:rsid w:val="0056502F"/>
    <w:rsid w:val="00576E8A"/>
    <w:rsid w:val="0059052A"/>
    <w:rsid w:val="005972AE"/>
    <w:rsid w:val="005A2CA7"/>
    <w:rsid w:val="005B0489"/>
    <w:rsid w:val="005F309A"/>
    <w:rsid w:val="005F75F8"/>
    <w:rsid w:val="00616F92"/>
    <w:rsid w:val="00634C5A"/>
    <w:rsid w:val="006375E3"/>
    <w:rsid w:val="00641FAE"/>
    <w:rsid w:val="00646D28"/>
    <w:rsid w:val="006740A9"/>
    <w:rsid w:val="00674A12"/>
    <w:rsid w:val="00676FE8"/>
    <w:rsid w:val="00684CBB"/>
    <w:rsid w:val="0069169C"/>
    <w:rsid w:val="00697D2A"/>
    <w:rsid w:val="006B3338"/>
    <w:rsid w:val="006B3EF8"/>
    <w:rsid w:val="006E7E04"/>
    <w:rsid w:val="006F5441"/>
    <w:rsid w:val="00700C74"/>
    <w:rsid w:val="00705DD0"/>
    <w:rsid w:val="0071346C"/>
    <w:rsid w:val="007250AD"/>
    <w:rsid w:val="0075019B"/>
    <w:rsid w:val="007614AA"/>
    <w:rsid w:val="007660D8"/>
    <w:rsid w:val="00770E9B"/>
    <w:rsid w:val="00780F50"/>
    <w:rsid w:val="007818A7"/>
    <w:rsid w:val="007C3960"/>
    <w:rsid w:val="007C450E"/>
    <w:rsid w:val="007D6365"/>
    <w:rsid w:val="007E28CD"/>
    <w:rsid w:val="007F3EDA"/>
    <w:rsid w:val="007F53C1"/>
    <w:rsid w:val="00811E42"/>
    <w:rsid w:val="00813CA8"/>
    <w:rsid w:val="008177DD"/>
    <w:rsid w:val="00820422"/>
    <w:rsid w:val="00824E07"/>
    <w:rsid w:val="00830499"/>
    <w:rsid w:val="00834558"/>
    <w:rsid w:val="00837710"/>
    <w:rsid w:val="00844121"/>
    <w:rsid w:val="008711BE"/>
    <w:rsid w:val="00872C69"/>
    <w:rsid w:val="00873FFC"/>
    <w:rsid w:val="008810A9"/>
    <w:rsid w:val="008936CB"/>
    <w:rsid w:val="008A6FC7"/>
    <w:rsid w:val="008B1324"/>
    <w:rsid w:val="008C24D0"/>
    <w:rsid w:val="008D3FCD"/>
    <w:rsid w:val="008E1A37"/>
    <w:rsid w:val="008E21D5"/>
    <w:rsid w:val="008E2445"/>
    <w:rsid w:val="00944444"/>
    <w:rsid w:val="00945165"/>
    <w:rsid w:val="0097139E"/>
    <w:rsid w:val="009715A4"/>
    <w:rsid w:val="0097551A"/>
    <w:rsid w:val="00986448"/>
    <w:rsid w:val="009944E8"/>
    <w:rsid w:val="009A0471"/>
    <w:rsid w:val="009A3FCC"/>
    <w:rsid w:val="009B67B9"/>
    <w:rsid w:val="009C0F97"/>
    <w:rsid w:val="009C796E"/>
    <w:rsid w:val="009D22C4"/>
    <w:rsid w:val="009D4555"/>
    <w:rsid w:val="009E562E"/>
    <w:rsid w:val="009F14D2"/>
    <w:rsid w:val="009F5C98"/>
    <w:rsid w:val="009F7029"/>
    <w:rsid w:val="00A17A87"/>
    <w:rsid w:val="00A254EC"/>
    <w:rsid w:val="00A25C1C"/>
    <w:rsid w:val="00A329DA"/>
    <w:rsid w:val="00A4319E"/>
    <w:rsid w:val="00A54167"/>
    <w:rsid w:val="00A6061A"/>
    <w:rsid w:val="00A75F47"/>
    <w:rsid w:val="00A84DAA"/>
    <w:rsid w:val="00A86EF8"/>
    <w:rsid w:val="00A905DD"/>
    <w:rsid w:val="00AA771E"/>
    <w:rsid w:val="00AB23B5"/>
    <w:rsid w:val="00AD318A"/>
    <w:rsid w:val="00AD62B6"/>
    <w:rsid w:val="00AD70B8"/>
    <w:rsid w:val="00AE30FA"/>
    <w:rsid w:val="00AE432D"/>
    <w:rsid w:val="00AE6CC9"/>
    <w:rsid w:val="00AF1787"/>
    <w:rsid w:val="00AF2479"/>
    <w:rsid w:val="00AF4787"/>
    <w:rsid w:val="00B162D6"/>
    <w:rsid w:val="00B24CB0"/>
    <w:rsid w:val="00B259AF"/>
    <w:rsid w:val="00B25B74"/>
    <w:rsid w:val="00B302A4"/>
    <w:rsid w:val="00B32469"/>
    <w:rsid w:val="00B403CA"/>
    <w:rsid w:val="00B511A0"/>
    <w:rsid w:val="00B66366"/>
    <w:rsid w:val="00B701D2"/>
    <w:rsid w:val="00B76CA8"/>
    <w:rsid w:val="00B97E6E"/>
    <w:rsid w:val="00BB219A"/>
    <w:rsid w:val="00BC47F1"/>
    <w:rsid w:val="00BD21A4"/>
    <w:rsid w:val="00BD61EA"/>
    <w:rsid w:val="00BE0480"/>
    <w:rsid w:val="00BE1458"/>
    <w:rsid w:val="00BF2D63"/>
    <w:rsid w:val="00BF761D"/>
    <w:rsid w:val="00C2093D"/>
    <w:rsid w:val="00C31D2D"/>
    <w:rsid w:val="00C54905"/>
    <w:rsid w:val="00C8364F"/>
    <w:rsid w:val="00C900AF"/>
    <w:rsid w:val="00C91401"/>
    <w:rsid w:val="00C93283"/>
    <w:rsid w:val="00C96F98"/>
    <w:rsid w:val="00C9776F"/>
    <w:rsid w:val="00CA6FB5"/>
    <w:rsid w:val="00CA76F8"/>
    <w:rsid w:val="00CA7F23"/>
    <w:rsid w:val="00CB0EFC"/>
    <w:rsid w:val="00CE70FF"/>
    <w:rsid w:val="00CF6988"/>
    <w:rsid w:val="00D05698"/>
    <w:rsid w:val="00D360C1"/>
    <w:rsid w:val="00D40AF3"/>
    <w:rsid w:val="00D52AB3"/>
    <w:rsid w:val="00D74764"/>
    <w:rsid w:val="00DA126A"/>
    <w:rsid w:val="00DA1272"/>
    <w:rsid w:val="00DB0467"/>
    <w:rsid w:val="00DB082D"/>
    <w:rsid w:val="00DC1FF2"/>
    <w:rsid w:val="00DC7F7F"/>
    <w:rsid w:val="00DD56FB"/>
    <w:rsid w:val="00DE6C05"/>
    <w:rsid w:val="00DF0B38"/>
    <w:rsid w:val="00E10956"/>
    <w:rsid w:val="00E12236"/>
    <w:rsid w:val="00E267BB"/>
    <w:rsid w:val="00E34C30"/>
    <w:rsid w:val="00E438D7"/>
    <w:rsid w:val="00E576D3"/>
    <w:rsid w:val="00E61A28"/>
    <w:rsid w:val="00E7391A"/>
    <w:rsid w:val="00E73FF9"/>
    <w:rsid w:val="00E7492B"/>
    <w:rsid w:val="00E80C6D"/>
    <w:rsid w:val="00E8710E"/>
    <w:rsid w:val="00E91F7F"/>
    <w:rsid w:val="00E95198"/>
    <w:rsid w:val="00EA44CB"/>
    <w:rsid w:val="00EC0C41"/>
    <w:rsid w:val="00ED0BEB"/>
    <w:rsid w:val="00ED5113"/>
    <w:rsid w:val="00ED598D"/>
    <w:rsid w:val="00EE0E08"/>
    <w:rsid w:val="00EE7CB6"/>
    <w:rsid w:val="00EF1C43"/>
    <w:rsid w:val="00EF4865"/>
    <w:rsid w:val="00F1596A"/>
    <w:rsid w:val="00F33727"/>
    <w:rsid w:val="00F33E46"/>
    <w:rsid w:val="00F34827"/>
    <w:rsid w:val="00F60ED8"/>
    <w:rsid w:val="00F71199"/>
    <w:rsid w:val="00F761D9"/>
    <w:rsid w:val="00F8021B"/>
    <w:rsid w:val="00F87189"/>
    <w:rsid w:val="00F964AB"/>
    <w:rsid w:val="00FA31F3"/>
    <w:rsid w:val="00FA6A41"/>
    <w:rsid w:val="00FB02D3"/>
    <w:rsid w:val="00FE02FD"/>
    <w:rsid w:val="00FE1365"/>
    <w:rsid w:val="00FE7F5B"/>
    <w:rsid w:val="2DAFE0AB"/>
    <w:rsid w:val="3F7FCE55"/>
    <w:rsid w:val="7D9108F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26C642"/>
  <w15:docId w15:val="{D5FA6C60-658F-405C-9C31-D1CBB95D6E4E}"/>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p14">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0"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rsid w:val="004E1CBE"/>
    <w:pPr>
      <w:widowControl w:val="0"/>
      <w:autoSpaceDE w:val="0"/>
      <w:autoSpaceDN w:val="0"/>
      <w:adjustRightInd w:val="0"/>
      <w:spacing w:line="240" w:lineRule="auto"/>
    </w:pPr>
    <w:rPr>
      <w:rFonts w:ascii="Times New Roman" w:hAnsi="Times New Roman" w:eastAsia="Times New Roman" w:cs="Times New Roman"/>
      <w:sz w:val="20"/>
      <w:szCs w:val="24"/>
    </w:rPr>
  </w:style>
  <w:style w:type="paragraph" w:styleId="Heading1">
    <w:name w:val="heading 1"/>
    <w:basedOn w:val="Normal"/>
    <w:next w:val="Normal"/>
    <w:link w:val="Heading1Char"/>
    <w:uiPriority w:val="9"/>
    <w:qFormat/>
    <w:rsid w:val="00186E1E"/>
    <w:pPr>
      <w:keepNext/>
      <w:keepLines/>
      <w:numPr>
        <w:numId w:val="9"/>
      </w:numPr>
      <w:ind w:left="360"/>
      <w:outlineLvl w:val="0"/>
    </w:pPr>
    <w:rPr>
      <w:rFonts w:ascii="Arial" w:hAnsi="Arial" w:eastAsiaTheme="majorEastAsia" w:cstheme="majorBidi"/>
      <w:b/>
      <w:bCs/>
      <w:szCs w:val="28"/>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ypertext" w:customStyle="1">
    <w:name w:val="Hypertext"/>
    <w:rsid w:val="00A4319E"/>
  </w:style>
  <w:style w:type="character" w:styleId="Hyperlink">
    <w:name w:val="Hyperlink"/>
    <w:basedOn w:val="DefaultParagraphFont"/>
    <w:rsid w:val="00A4319E"/>
    <w:rPr>
      <w:color w:val="0000FF"/>
      <w:u w:val="single"/>
    </w:rPr>
  </w:style>
  <w:style w:type="paragraph" w:styleId="FootnoteText">
    <w:name w:val="footnote text"/>
    <w:basedOn w:val="Normal"/>
    <w:link w:val="FootnoteTextChar"/>
    <w:uiPriority w:val="99"/>
    <w:semiHidden/>
    <w:unhideWhenUsed/>
    <w:rsid w:val="00A4319E"/>
    <w:rPr>
      <w:szCs w:val="20"/>
    </w:rPr>
  </w:style>
  <w:style w:type="character" w:styleId="FootnoteTextChar" w:customStyle="1">
    <w:name w:val="Footnote Text Char"/>
    <w:basedOn w:val="DefaultParagraphFont"/>
    <w:link w:val="FootnoteText"/>
    <w:uiPriority w:val="99"/>
    <w:semiHidden/>
    <w:rsid w:val="00A4319E"/>
    <w:rPr>
      <w:rFonts w:ascii="Times New Roman" w:hAnsi="Times New Roman" w:eastAsia="Times New Roman" w:cs="Times New Roman"/>
      <w:sz w:val="20"/>
      <w:szCs w:val="20"/>
    </w:rPr>
  </w:style>
  <w:style w:type="character" w:styleId="FootnoteReference">
    <w:name w:val="footnote reference"/>
    <w:basedOn w:val="DefaultParagraphFont"/>
    <w:uiPriority w:val="99"/>
    <w:semiHidden/>
    <w:unhideWhenUsed/>
    <w:rsid w:val="00A4319E"/>
    <w:rPr>
      <w:vertAlign w:val="superscript"/>
    </w:rPr>
  </w:style>
  <w:style w:type="paragraph" w:styleId="EndnoteText">
    <w:name w:val="endnote text"/>
    <w:basedOn w:val="Normal"/>
    <w:link w:val="EndnoteTextChar"/>
    <w:uiPriority w:val="99"/>
    <w:semiHidden/>
    <w:unhideWhenUsed/>
    <w:rsid w:val="00A4319E"/>
    <w:rPr>
      <w:szCs w:val="20"/>
    </w:rPr>
  </w:style>
  <w:style w:type="character" w:styleId="EndnoteTextChar" w:customStyle="1">
    <w:name w:val="Endnote Text Char"/>
    <w:basedOn w:val="DefaultParagraphFont"/>
    <w:link w:val="EndnoteText"/>
    <w:uiPriority w:val="99"/>
    <w:semiHidden/>
    <w:rsid w:val="00A4319E"/>
    <w:rPr>
      <w:rFonts w:ascii="Times New Roman" w:hAnsi="Times New Roman" w:eastAsia="Times New Roman" w:cs="Times New Roman"/>
      <w:sz w:val="20"/>
      <w:szCs w:val="20"/>
    </w:rPr>
  </w:style>
  <w:style w:type="character" w:styleId="EndnoteReference">
    <w:name w:val="endnote reference"/>
    <w:basedOn w:val="DefaultParagraphFont"/>
    <w:uiPriority w:val="99"/>
    <w:semiHidden/>
    <w:unhideWhenUsed/>
    <w:rsid w:val="00A4319E"/>
    <w:rPr>
      <w:vertAlign w:val="superscript"/>
    </w:rPr>
  </w:style>
  <w:style w:type="character" w:styleId="CommentReference">
    <w:name w:val="annotation reference"/>
    <w:basedOn w:val="DefaultParagraphFont"/>
    <w:uiPriority w:val="99"/>
    <w:semiHidden/>
    <w:unhideWhenUsed/>
    <w:rsid w:val="00A4319E"/>
    <w:rPr>
      <w:sz w:val="16"/>
      <w:szCs w:val="16"/>
    </w:rPr>
  </w:style>
  <w:style w:type="paragraph" w:styleId="CommentText">
    <w:name w:val="annotation text"/>
    <w:basedOn w:val="Normal"/>
    <w:link w:val="CommentTextChar"/>
    <w:uiPriority w:val="99"/>
    <w:semiHidden/>
    <w:unhideWhenUsed/>
    <w:rsid w:val="00A4319E"/>
    <w:rPr>
      <w:szCs w:val="20"/>
    </w:rPr>
  </w:style>
  <w:style w:type="character" w:styleId="CommentTextChar" w:customStyle="1">
    <w:name w:val="Comment Text Char"/>
    <w:basedOn w:val="DefaultParagraphFont"/>
    <w:link w:val="CommentText"/>
    <w:uiPriority w:val="99"/>
    <w:semiHidden/>
    <w:rsid w:val="00A4319E"/>
    <w:rPr>
      <w:rFonts w:ascii="Times New Roman" w:hAnsi="Times New Roman" w:eastAsia="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A4319E"/>
    <w:rPr>
      <w:b/>
      <w:bCs/>
    </w:rPr>
  </w:style>
  <w:style w:type="character" w:styleId="CommentSubjectChar" w:customStyle="1">
    <w:name w:val="Comment Subject Char"/>
    <w:basedOn w:val="CommentTextChar"/>
    <w:link w:val="CommentSubject"/>
    <w:uiPriority w:val="99"/>
    <w:semiHidden/>
    <w:rsid w:val="00A4319E"/>
    <w:rPr>
      <w:rFonts w:ascii="Times New Roman" w:hAnsi="Times New Roman" w:eastAsia="Times New Roman" w:cs="Times New Roman"/>
      <w:b/>
      <w:bCs/>
      <w:sz w:val="20"/>
      <w:szCs w:val="20"/>
    </w:rPr>
  </w:style>
  <w:style w:type="paragraph" w:styleId="BalloonText">
    <w:name w:val="Balloon Text"/>
    <w:basedOn w:val="Normal"/>
    <w:link w:val="BalloonTextChar"/>
    <w:uiPriority w:val="99"/>
    <w:semiHidden/>
    <w:unhideWhenUsed/>
    <w:rsid w:val="00A4319E"/>
    <w:rPr>
      <w:rFonts w:ascii="Tahoma" w:hAnsi="Tahoma" w:cs="Tahoma"/>
      <w:sz w:val="16"/>
      <w:szCs w:val="16"/>
    </w:rPr>
  </w:style>
  <w:style w:type="character" w:styleId="BalloonTextChar" w:customStyle="1">
    <w:name w:val="Balloon Text Char"/>
    <w:basedOn w:val="DefaultParagraphFont"/>
    <w:link w:val="BalloonText"/>
    <w:uiPriority w:val="99"/>
    <w:semiHidden/>
    <w:rsid w:val="00A4319E"/>
    <w:rPr>
      <w:rFonts w:ascii="Tahoma" w:hAnsi="Tahoma" w:eastAsia="Times New Roman" w:cs="Tahoma"/>
      <w:sz w:val="16"/>
      <w:szCs w:val="16"/>
    </w:rPr>
  </w:style>
  <w:style w:type="paragraph" w:styleId="NormalWeb">
    <w:name w:val="Normal (Web)"/>
    <w:basedOn w:val="Normal"/>
    <w:uiPriority w:val="99"/>
    <w:semiHidden/>
    <w:unhideWhenUsed/>
    <w:rsid w:val="00A4319E"/>
    <w:pPr>
      <w:widowControl/>
      <w:autoSpaceDE/>
      <w:autoSpaceDN/>
      <w:adjustRightInd/>
      <w:spacing w:before="100" w:beforeAutospacing="1" w:after="100" w:afterAutospacing="1"/>
    </w:pPr>
  </w:style>
  <w:style w:type="character" w:styleId="FollowedHyperlink">
    <w:name w:val="FollowedHyperlink"/>
    <w:basedOn w:val="DefaultParagraphFont"/>
    <w:uiPriority w:val="99"/>
    <w:semiHidden/>
    <w:unhideWhenUsed/>
    <w:rsid w:val="00A4319E"/>
    <w:rPr>
      <w:color w:val="800080" w:themeColor="followedHyperlink"/>
      <w:u w:val="single"/>
    </w:rPr>
  </w:style>
  <w:style w:type="paragraph" w:styleId="ListParagraph">
    <w:name w:val="List Paragraph"/>
    <w:basedOn w:val="Normal"/>
    <w:uiPriority w:val="34"/>
    <w:qFormat/>
    <w:rsid w:val="00A4319E"/>
    <w:pPr>
      <w:ind w:left="720"/>
      <w:contextualSpacing/>
    </w:pPr>
  </w:style>
  <w:style w:type="character" w:styleId="PlaceholderText">
    <w:name w:val="Placeholder Text"/>
    <w:basedOn w:val="DefaultParagraphFont"/>
    <w:uiPriority w:val="99"/>
    <w:semiHidden/>
    <w:rsid w:val="00A4319E"/>
    <w:rPr>
      <w:color w:val="808080"/>
    </w:rPr>
  </w:style>
  <w:style w:type="paragraph" w:styleId="Revision">
    <w:name w:val="Revision"/>
    <w:hidden/>
    <w:uiPriority w:val="99"/>
    <w:semiHidden/>
    <w:rsid w:val="00A4319E"/>
    <w:pPr>
      <w:spacing w:after="0" w:line="240" w:lineRule="auto"/>
    </w:pPr>
    <w:rPr>
      <w:rFonts w:ascii="Times New Roman" w:hAnsi="Times New Roman" w:eastAsia="Times New Roman" w:cs="Times New Roman"/>
      <w:sz w:val="24"/>
      <w:szCs w:val="24"/>
    </w:rPr>
  </w:style>
  <w:style w:type="paragraph" w:styleId="Style1" w:customStyle="1">
    <w:name w:val="Style1"/>
    <w:basedOn w:val="Normal"/>
    <w:next w:val="Normal"/>
    <w:link w:val="Style1Char"/>
    <w:rsid w:val="00ED598D"/>
    <w:pPr>
      <w:widowControl/>
      <w:tabs>
        <w:tab w:val="left" w:pos="0"/>
      </w:tabs>
      <w:spacing w:after="240"/>
    </w:pPr>
    <w:rPr>
      <w:b/>
      <w:i/>
      <w:szCs w:val="20"/>
    </w:rPr>
  </w:style>
  <w:style w:type="paragraph" w:styleId="Caption">
    <w:name w:val="caption"/>
    <w:basedOn w:val="Normal"/>
    <w:next w:val="Normal"/>
    <w:link w:val="CaptionChar"/>
    <w:uiPriority w:val="35"/>
    <w:unhideWhenUsed/>
    <w:qFormat/>
    <w:rsid w:val="004B0DDF"/>
    <w:rPr>
      <w:b/>
      <w:bCs/>
      <w:color w:val="4F81BD" w:themeColor="accent1"/>
      <w:sz w:val="18"/>
      <w:szCs w:val="18"/>
    </w:rPr>
  </w:style>
  <w:style w:type="character" w:styleId="Style1Char" w:customStyle="1">
    <w:name w:val="Style1 Char"/>
    <w:basedOn w:val="DefaultParagraphFont"/>
    <w:link w:val="Style1"/>
    <w:rsid w:val="00ED598D"/>
    <w:rPr>
      <w:rFonts w:ascii="Times New Roman" w:hAnsi="Times New Roman" w:eastAsia="Times New Roman" w:cs="Times New Roman"/>
      <w:b/>
      <w:i/>
      <w:sz w:val="20"/>
      <w:szCs w:val="20"/>
    </w:rPr>
  </w:style>
  <w:style w:type="paragraph" w:styleId="Footer">
    <w:name w:val="footer"/>
    <w:basedOn w:val="Normal"/>
    <w:link w:val="FooterChar"/>
    <w:uiPriority w:val="99"/>
    <w:unhideWhenUsed/>
    <w:rsid w:val="005A2CA7"/>
    <w:pPr>
      <w:tabs>
        <w:tab w:val="center" w:pos="4680"/>
        <w:tab w:val="right" w:pos="9360"/>
      </w:tabs>
    </w:pPr>
  </w:style>
  <w:style w:type="character" w:styleId="FooterChar" w:customStyle="1">
    <w:name w:val="Footer Char"/>
    <w:basedOn w:val="DefaultParagraphFont"/>
    <w:link w:val="Footer"/>
    <w:uiPriority w:val="99"/>
    <w:rsid w:val="005A2CA7"/>
    <w:rPr>
      <w:rFonts w:ascii="Times New Roman" w:hAnsi="Times New Roman" w:eastAsia="Times New Roman" w:cs="Times New Roman"/>
      <w:sz w:val="24"/>
      <w:szCs w:val="24"/>
    </w:rPr>
  </w:style>
  <w:style w:type="paragraph" w:styleId="Title">
    <w:name w:val="Title"/>
    <w:basedOn w:val="Normal"/>
    <w:next w:val="Normal"/>
    <w:link w:val="TitleChar"/>
    <w:uiPriority w:val="10"/>
    <w:qFormat/>
    <w:rsid w:val="00186E1E"/>
    <w:rPr>
      <w:rFonts w:ascii="Arial" w:hAnsi="Arial" w:eastAsiaTheme="majorEastAsia" w:cstheme="majorBidi"/>
      <w:b/>
      <w:caps/>
      <w:kern w:val="28"/>
      <w:sz w:val="24"/>
      <w:szCs w:val="52"/>
    </w:rPr>
  </w:style>
  <w:style w:type="character" w:styleId="TitleChar" w:customStyle="1">
    <w:name w:val="Title Char"/>
    <w:basedOn w:val="DefaultParagraphFont"/>
    <w:link w:val="Title"/>
    <w:uiPriority w:val="10"/>
    <w:rsid w:val="00186E1E"/>
    <w:rPr>
      <w:rFonts w:ascii="Arial" w:hAnsi="Arial" w:eastAsiaTheme="majorEastAsia" w:cstheme="majorBidi"/>
      <w:b/>
      <w:caps/>
      <w:kern w:val="28"/>
      <w:sz w:val="24"/>
      <w:szCs w:val="52"/>
    </w:rPr>
  </w:style>
  <w:style w:type="character" w:styleId="Heading1Char" w:customStyle="1">
    <w:name w:val="Heading 1 Char"/>
    <w:basedOn w:val="DefaultParagraphFont"/>
    <w:link w:val="Heading1"/>
    <w:uiPriority w:val="9"/>
    <w:rsid w:val="00186E1E"/>
    <w:rPr>
      <w:rFonts w:ascii="Arial" w:hAnsi="Arial" w:eastAsiaTheme="majorEastAsia" w:cstheme="majorBidi"/>
      <w:b/>
      <w:bCs/>
      <w:sz w:val="20"/>
      <w:szCs w:val="28"/>
    </w:rPr>
  </w:style>
  <w:style w:type="paragraph" w:styleId="NoSpacing">
    <w:name w:val="No Spacing"/>
    <w:aliases w:val="Variables"/>
    <w:uiPriority w:val="1"/>
    <w:qFormat/>
    <w:rsid w:val="004E1CBE"/>
    <w:pPr>
      <w:widowControl w:val="0"/>
      <w:tabs>
        <w:tab w:val="left" w:pos="576"/>
        <w:tab w:val="left" w:pos="1296"/>
        <w:tab w:val="left" w:pos="1584"/>
      </w:tabs>
      <w:autoSpaceDE w:val="0"/>
      <w:autoSpaceDN w:val="0"/>
      <w:adjustRightInd w:val="0"/>
      <w:spacing w:after="0" w:line="240" w:lineRule="auto"/>
      <w:ind w:left="1728" w:hanging="1728"/>
    </w:pPr>
    <w:rPr>
      <w:rFonts w:ascii="Times New Roman" w:hAnsi="Times New Roman" w:eastAsia="Times New Roman" w:cs="Times New Roman"/>
      <w:sz w:val="20"/>
      <w:szCs w:val="24"/>
    </w:rPr>
  </w:style>
  <w:style w:type="paragraph" w:styleId="References" w:customStyle="1">
    <w:name w:val="References"/>
    <w:basedOn w:val="EndnoteText"/>
    <w:link w:val="ReferencesChar"/>
    <w:qFormat/>
    <w:rsid w:val="00052E59"/>
    <w:pPr>
      <w:spacing w:after="0"/>
      <w:ind w:left="540" w:hanging="540"/>
    </w:pPr>
  </w:style>
  <w:style w:type="paragraph" w:styleId="TableCaption" w:customStyle="1">
    <w:name w:val="TableCaption"/>
    <w:basedOn w:val="Caption"/>
    <w:link w:val="TableCaptionChar"/>
    <w:qFormat/>
    <w:rsid w:val="00024A94"/>
    <w:pPr>
      <w:keepNext/>
      <w:spacing w:after="120"/>
      <w:jc w:val="center"/>
    </w:pPr>
    <w:rPr>
      <w:color w:val="auto"/>
      <w:sz w:val="20"/>
    </w:rPr>
  </w:style>
  <w:style w:type="character" w:styleId="ReferencesChar" w:customStyle="1">
    <w:name w:val="References Char"/>
    <w:basedOn w:val="EndnoteTextChar"/>
    <w:link w:val="References"/>
    <w:rsid w:val="00052E59"/>
    <w:rPr>
      <w:rFonts w:ascii="Times New Roman" w:hAnsi="Times New Roman" w:eastAsia="Times New Roman" w:cs="Times New Roman"/>
      <w:sz w:val="20"/>
      <w:szCs w:val="20"/>
    </w:rPr>
  </w:style>
  <w:style w:type="table" w:styleId="TableGrid">
    <w:name w:val="Table Grid"/>
    <w:basedOn w:val="TableNormal"/>
    <w:uiPriority w:val="59"/>
    <w:rsid w:val="00986448"/>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CaptionChar" w:customStyle="1">
    <w:name w:val="Caption Char"/>
    <w:basedOn w:val="DefaultParagraphFont"/>
    <w:link w:val="Caption"/>
    <w:uiPriority w:val="35"/>
    <w:rsid w:val="00052E59"/>
    <w:rPr>
      <w:rFonts w:ascii="Times New Roman" w:hAnsi="Times New Roman" w:eastAsia="Times New Roman" w:cs="Times New Roman"/>
      <w:b/>
      <w:bCs/>
      <w:color w:val="4F81BD" w:themeColor="accent1"/>
      <w:sz w:val="18"/>
      <w:szCs w:val="18"/>
    </w:rPr>
  </w:style>
  <w:style w:type="character" w:styleId="TableCaptionChar" w:customStyle="1">
    <w:name w:val="TableCaption Char"/>
    <w:basedOn w:val="CaptionChar"/>
    <w:link w:val="TableCaption"/>
    <w:rsid w:val="00024A94"/>
    <w:rPr>
      <w:rFonts w:ascii="Times New Roman" w:hAnsi="Times New Roman" w:eastAsia="Times New Roman" w:cs="Times New Roman"/>
      <w:b/>
      <w:bCs/>
      <w:color w:val="4F81BD" w:themeColor="accent1"/>
      <w:sz w:val="20"/>
      <w:szCs w:val="18"/>
    </w:rPr>
  </w:style>
  <w:style w:type="table" w:styleId="LightList">
    <w:name w:val="Light List"/>
    <w:basedOn w:val="TableNormal"/>
    <w:uiPriority w:val="61"/>
    <w:rsid w:val="009D4555"/>
    <w:pPr>
      <w:spacing w:after="0" w:line="240" w:lineRule="auto"/>
    </w:pPr>
    <w:tblPr>
      <w:tblStyleRowBandSize w:val="1"/>
      <w:tblStyleColBandSize w:val="1"/>
      <w:tblBorders>
        <w:top w:val="single" w:color="000000" w:themeColor="text1" w:sz="8" w:space="0"/>
        <w:left w:val="single" w:color="000000" w:themeColor="text1" w:sz="8" w:space="0"/>
        <w:bottom w:val="single" w:color="000000" w:themeColor="text1" w:sz="8" w:space="0"/>
        <w:right w:val="single" w:color="000000" w:themeColor="text1" w:sz="8" w:space="0"/>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color="000000" w:themeColor="text1" w:sz="6" w:space="0"/>
          <w:left w:val="single" w:color="000000" w:themeColor="text1" w:sz="8" w:space="0"/>
          <w:bottom w:val="single" w:color="000000" w:themeColor="text1" w:sz="8" w:space="0"/>
          <w:right w:val="single" w:color="000000" w:themeColor="text1" w:sz="8" w:space="0"/>
        </w:tcBorders>
      </w:tcPr>
    </w:tblStylePr>
    <w:tblStylePr w:type="firstCol">
      <w:rPr>
        <w:b/>
        <w:bCs/>
      </w:rPr>
    </w:tblStylePr>
    <w:tblStylePr w:type="lastCol">
      <w:rPr>
        <w:b/>
        <w:bCs/>
      </w:rPr>
    </w:tblStylePr>
    <w:tblStylePr w:type="band1Vert">
      <w:tblPr/>
      <w:tcPr>
        <w:tcBorders>
          <w:top w:val="single" w:color="000000" w:themeColor="text1" w:sz="8" w:space="0"/>
          <w:left w:val="single" w:color="000000" w:themeColor="text1" w:sz="8" w:space="0"/>
          <w:bottom w:val="single" w:color="000000" w:themeColor="text1" w:sz="8" w:space="0"/>
          <w:right w:val="single" w:color="000000" w:themeColor="text1" w:sz="8" w:space="0"/>
        </w:tcBorders>
      </w:tcPr>
    </w:tblStylePr>
    <w:tblStylePr w:type="band1Horz">
      <w:tblPr/>
      <w:tcPr>
        <w:tcBorders>
          <w:top w:val="single" w:color="000000" w:themeColor="text1" w:sz="8" w:space="0"/>
          <w:left w:val="single" w:color="000000" w:themeColor="text1" w:sz="8" w:space="0"/>
          <w:bottom w:val="single" w:color="000000" w:themeColor="text1" w:sz="8" w:space="0"/>
          <w:right w:val="single" w:color="000000" w:themeColor="text1" w:sz="8" w:space="0"/>
        </w:tcBorders>
      </w:tcPr>
    </w:tblStylePr>
  </w:style>
  <w:style w:type="table" w:styleId="LightList-Accent5">
    <w:name w:val="Light List Accent 5"/>
    <w:basedOn w:val="TableNormal"/>
    <w:uiPriority w:val="61"/>
    <w:rsid w:val="009D4555"/>
    <w:pPr>
      <w:spacing w:after="0" w:line="240" w:lineRule="auto"/>
    </w:pPr>
    <w:tblPr>
      <w:tblStyleRowBandSize w:val="1"/>
      <w:tblStyleColBandSize w:val="1"/>
      <w:tblBorders>
        <w:top w:val="single" w:color="4BACC6" w:themeColor="accent5" w:sz="8" w:space="0"/>
        <w:left w:val="single" w:color="4BACC6" w:themeColor="accent5" w:sz="8" w:space="0"/>
        <w:bottom w:val="single" w:color="4BACC6" w:themeColor="accent5" w:sz="8" w:space="0"/>
        <w:right w:val="single" w:color="4BACC6" w:themeColor="accent5" w:sz="8" w:space="0"/>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color="4BACC6" w:themeColor="accent5" w:sz="6" w:space="0"/>
          <w:left w:val="single" w:color="4BACC6" w:themeColor="accent5" w:sz="8" w:space="0"/>
          <w:bottom w:val="single" w:color="4BACC6" w:themeColor="accent5" w:sz="8" w:space="0"/>
          <w:right w:val="single" w:color="4BACC6" w:themeColor="accent5" w:sz="8" w:space="0"/>
        </w:tcBorders>
      </w:tcPr>
    </w:tblStylePr>
    <w:tblStylePr w:type="firstCol">
      <w:rPr>
        <w:b/>
        <w:bCs/>
      </w:rPr>
    </w:tblStylePr>
    <w:tblStylePr w:type="lastCol">
      <w:rPr>
        <w:b/>
        <w:bCs/>
      </w:rPr>
    </w:tblStylePr>
    <w:tblStylePr w:type="band1Vert">
      <w:tblPr/>
      <w:tcPr>
        <w:tcBorders>
          <w:top w:val="single" w:color="4BACC6" w:themeColor="accent5" w:sz="8" w:space="0"/>
          <w:left w:val="single" w:color="4BACC6" w:themeColor="accent5" w:sz="8" w:space="0"/>
          <w:bottom w:val="single" w:color="4BACC6" w:themeColor="accent5" w:sz="8" w:space="0"/>
          <w:right w:val="single" w:color="4BACC6" w:themeColor="accent5" w:sz="8" w:space="0"/>
        </w:tcBorders>
      </w:tcPr>
    </w:tblStylePr>
    <w:tblStylePr w:type="band1Horz">
      <w:tblPr/>
      <w:tcPr>
        <w:tcBorders>
          <w:top w:val="single" w:color="4BACC6" w:themeColor="accent5" w:sz="8" w:space="0"/>
          <w:left w:val="single" w:color="4BACC6" w:themeColor="accent5" w:sz="8" w:space="0"/>
          <w:bottom w:val="single" w:color="4BACC6" w:themeColor="accent5" w:sz="8" w:space="0"/>
          <w:right w:val="single" w:color="4BACC6" w:themeColor="accent5" w:sz="8" w:space="0"/>
        </w:tcBorders>
      </w:tcPr>
    </w:tblStylePr>
  </w:style>
  <w:style w:type="paragraph" w:styleId="Header">
    <w:name w:val="header"/>
    <w:basedOn w:val="Normal"/>
    <w:link w:val="HeaderChar"/>
    <w:uiPriority w:val="99"/>
    <w:unhideWhenUsed/>
    <w:rsid w:val="005F75F8"/>
    <w:pPr>
      <w:tabs>
        <w:tab w:val="center" w:pos="4680"/>
        <w:tab w:val="right" w:pos="9360"/>
      </w:tabs>
      <w:spacing w:after="0"/>
    </w:pPr>
  </w:style>
  <w:style w:type="character" w:styleId="HeaderChar" w:customStyle="1">
    <w:name w:val="Header Char"/>
    <w:basedOn w:val="DefaultParagraphFont"/>
    <w:link w:val="Header"/>
    <w:uiPriority w:val="99"/>
    <w:rsid w:val="005F75F8"/>
    <w:rPr>
      <w:rFonts w:ascii="Times New Roman" w:hAnsi="Times New Roman" w:eastAsia="Times New Roman" w:cs="Times New Roman"/>
      <w:sz w:val="20"/>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83064842">
      <w:bodyDiv w:val="1"/>
      <w:marLeft w:val="0"/>
      <w:marRight w:val="0"/>
      <w:marTop w:val="0"/>
      <w:marBottom w:val="0"/>
      <w:divBdr>
        <w:top w:val="none" w:sz="0" w:space="0" w:color="auto"/>
        <w:left w:val="none" w:sz="0" w:space="0" w:color="auto"/>
        <w:bottom w:val="none" w:sz="0" w:space="0" w:color="auto"/>
        <w:right w:val="none" w:sz="0" w:space="0" w:color="auto"/>
      </w:divBdr>
    </w:div>
    <w:div w:id="639921403">
      <w:bodyDiv w:val="1"/>
      <w:marLeft w:val="0"/>
      <w:marRight w:val="0"/>
      <w:marTop w:val="0"/>
      <w:marBottom w:val="0"/>
      <w:divBdr>
        <w:top w:val="none" w:sz="0" w:space="0" w:color="auto"/>
        <w:left w:val="none" w:sz="0" w:space="0" w:color="auto"/>
        <w:bottom w:val="none" w:sz="0" w:space="0" w:color="auto"/>
        <w:right w:val="none" w:sz="0" w:space="0" w:color="auto"/>
      </w:divBdr>
    </w:div>
    <w:div w:id="780998515">
      <w:bodyDiv w:val="1"/>
      <w:marLeft w:val="0"/>
      <w:marRight w:val="0"/>
      <w:marTop w:val="0"/>
      <w:marBottom w:val="0"/>
      <w:divBdr>
        <w:top w:val="none" w:sz="0" w:space="0" w:color="auto"/>
        <w:left w:val="none" w:sz="0" w:space="0" w:color="auto"/>
        <w:bottom w:val="none" w:sz="0" w:space="0" w:color="auto"/>
        <w:right w:val="none" w:sz="0" w:space="0" w:color="auto"/>
      </w:divBdr>
    </w:div>
    <w:div w:id="1156604145">
      <w:bodyDiv w:val="1"/>
      <w:marLeft w:val="0"/>
      <w:marRight w:val="0"/>
      <w:marTop w:val="0"/>
      <w:marBottom w:val="0"/>
      <w:divBdr>
        <w:top w:val="none" w:sz="0" w:space="0" w:color="auto"/>
        <w:left w:val="none" w:sz="0" w:space="0" w:color="auto"/>
        <w:bottom w:val="none" w:sz="0" w:space="0" w:color="auto"/>
        <w:right w:val="none" w:sz="0" w:space="0" w:color="auto"/>
      </w:divBdr>
    </w:div>
    <w:div w:id="1158691918">
      <w:bodyDiv w:val="1"/>
      <w:marLeft w:val="0"/>
      <w:marRight w:val="0"/>
      <w:marTop w:val="0"/>
      <w:marBottom w:val="0"/>
      <w:divBdr>
        <w:top w:val="none" w:sz="0" w:space="0" w:color="auto"/>
        <w:left w:val="none" w:sz="0" w:space="0" w:color="auto"/>
        <w:bottom w:val="none" w:sz="0" w:space="0" w:color="auto"/>
        <w:right w:val="none" w:sz="0" w:space="0" w:color="auto"/>
      </w:divBdr>
    </w:div>
    <w:div w:id="1189489726">
      <w:bodyDiv w:val="1"/>
      <w:marLeft w:val="0"/>
      <w:marRight w:val="0"/>
      <w:marTop w:val="0"/>
      <w:marBottom w:val="0"/>
      <w:divBdr>
        <w:top w:val="none" w:sz="0" w:space="0" w:color="auto"/>
        <w:left w:val="none" w:sz="0" w:space="0" w:color="auto"/>
        <w:bottom w:val="none" w:sz="0" w:space="0" w:color="auto"/>
        <w:right w:val="none" w:sz="0" w:space="0" w:color="auto"/>
      </w:divBdr>
    </w:div>
    <w:div w:id="2120368689">
      <w:bodyDiv w:val="1"/>
      <w:marLeft w:val="0"/>
      <w:marRight w:val="0"/>
      <w:marTop w:val="0"/>
      <w:marBottom w:val="0"/>
      <w:divBdr>
        <w:top w:val="none" w:sz="0" w:space="0" w:color="auto"/>
        <w:left w:val="none" w:sz="0" w:space="0" w:color="auto"/>
        <w:bottom w:val="none" w:sz="0" w:space="0" w:color="auto"/>
        <w:right w:val="none" w:sz="0" w:space="0" w:color="auto"/>
      </w:divBdr>
    </w:div>
    <w:div w:id="21412641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fontTable" Target="fontTable.xml" Id="rId13" /><Relationship Type="http://schemas.openxmlformats.org/officeDocument/2006/relationships/customXml" Target="../customXml/item3.xml" Id="rId3" /><Relationship Type="http://schemas.openxmlformats.org/officeDocument/2006/relationships/styles" Target="styles.xml" Id="rId7" /><Relationship Type="http://schemas.openxmlformats.org/officeDocument/2006/relationships/footer" Target="footer1.xml" Id="rId12"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footnotes" Target="footnotes.xml" Id="rId10"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theme" Target="theme/theme1.xml" Id="rId14" /><Relationship Type="http://schemas.openxmlformats.org/officeDocument/2006/relationships/glossaryDocument" Target="/word/glossary/document.xml" Id="Re40afcb021254143" /></Relationships>
</file>

<file path=word/_rels/endnotes.xml.rels><?xml version="1.0" encoding="UTF-8" standalone="yes"?>
<Relationships xmlns="http://schemas.openxmlformats.org/package/2006/relationships"><Relationship Id="rId3" Type="http://schemas.openxmlformats.org/officeDocument/2006/relationships/hyperlink" Target="https://data.census.gov/cedsci/table?hidePreview=false&amp;tid=ACSDT1Y2017.B01003&amp;vintage=2018" TargetMode="External"/><Relationship Id="rId2" Type="http://schemas.openxmlformats.org/officeDocument/2006/relationships/hyperlink" Target="https://archive.epa.gov/epawaste/nonhaz/municipal/web/pdf/msw_2010_factsheet.pdf" TargetMode="External"/><Relationship Id="rId1" Type="http://schemas.openxmlformats.org/officeDocument/2006/relationships/hyperlink" Target="https://www.epa.gov/smm/advancing-sustainable-materials-management-facts-and-figures-report" TargetMode="External"/><Relationship Id="rId5" Type="http://schemas.openxmlformats.org/officeDocument/2006/relationships/hyperlink" Target="https://nepis.epa.gov/Exe/ZyNET.exe/P1001G31.TXT?ZyActionD=ZyDocument&amp;Client=EPA&amp;Index=2000+Thru+2005&amp;Docs=&amp;Query=&amp;Time=&amp;EndTime=&amp;SearchMethod=1&amp;TocRestrict=n&amp;Toc=&amp;TocEntry=&amp;QField=&amp;QFieldYear=&amp;QFieldMonth=&amp;QFieldDay=&amp;IntQFieldOp=0&amp;ExtQFieldOp=0&amp;XmlQuery=&amp;File=D%3A%5Czyfiles%5CIndex%20Data%5C00thru05%5CTxt%5C00000016%5CP1001G31.txt&amp;User=ANONYMOUS&amp;Password=anonymous&amp;SortMethod=h%7C-&amp;MaximumDocuments=1&amp;FuzzyDegree=0&amp;ImageQuality=r75g8/r75g8/x150y150g16/i425&amp;Display=hpfr&amp;DefSeekPage=x&amp;SearchBack=ZyActionL&amp;Back=ZyActionS&amp;BackDesc=Results%20page&amp;MaximumPages=1&amp;ZyEntry=1&amp;SeekPage=x&amp;ZyPURL" TargetMode="External"/><Relationship Id="rId4" Type="http://schemas.openxmlformats.org/officeDocument/2006/relationships/hyperlink" Target="http://www2.census.gov/census_2010/04-Summary_File_1/" TargetMode="External"/></Relationships>
</file>

<file path=word/glossary/document.xml><?xml version="1.0" encoding="utf-8"?>
<w:glossaryDocument xmlns:w14="http://schemas.microsoft.com/office/word/2010/wordml" xmlns:w="http://schemas.openxmlformats.org/wordprocessingml/2006/main">
  <w:docParts>
    <w:docPart>
      <w:docPartPr>
        <w:name w:val="DefaultPlaceholder_1081868574"/>
        <w:category>
          <w:name w:val="General"/>
          <w:gallery w:val="placeholder"/>
        </w:category>
        <w:types>
          <w:type w:val="bbPlcHdr"/>
        </w:types>
        <w:behaviors>
          <w:behavior w:val="content"/>
        </w:behaviors>
        <w:guid w:val="{afc19b5c-e193-4fa7-b0a9-b0a3664dc653}"/>
      </w:docPartPr>
      <w:docPartBody>
        <w:p w14:paraId="42A1631E">
          <w:r>
            <w:rPr>
              <w:rStyle w:val="PlaceholderText"/>
            </w:rPr>
            <w:t/>
          </w:r>
        </w:p>
      </w:docPartBody>
    </w:docPart>
  </w:docParts>
</w:glossaryDocument>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_Source xmlns="http://schemas.microsoft.com/sharepoint/v3/fields" xsi:nil="true"/>
    <Language xmlns="http://schemas.microsoft.com/sharepoint/v3">English</Language>
    <j747ac98061d40f0aa7bd47e1db5675d xmlns="4ffa91fb-a0ff-4ac5-b2db-65c790d184a4">
      <Terms xmlns="http://schemas.microsoft.com/office/infopath/2007/PartnerControls"/>
    </j747ac98061d40f0aa7bd47e1db5675d>
    <e3f09c3df709400db2417a7161762d62 xmlns="4ffa91fb-a0ff-4ac5-b2db-65c790d184a4">
      <Terms xmlns="http://schemas.microsoft.com/office/infopath/2007/PartnerControls"/>
    </e3f09c3df709400db2417a7161762d62>
    <External_x0020_Contributor xmlns="4ffa91fb-a0ff-4ac5-b2db-65c790d184a4" xsi:nil="true"/>
    <TaxKeywordTaxHTField xmlns="4ffa91fb-a0ff-4ac5-b2db-65c790d184a4">
      <Terms xmlns="http://schemas.microsoft.com/office/infopath/2007/PartnerControls"/>
    </TaxKeywordTaxHTField>
    <Record xmlns="4ffa91fb-a0ff-4ac5-b2db-65c790d184a4">Shared</Record>
    <Rights xmlns="4ffa91fb-a0ff-4ac5-b2db-65c790d184a4" xsi:nil="true"/>
    <Document_x0020_Creation_x0020_Date xmlns="4ffa91fb-a0ff-4ac5-b2db-65c790d184a4">2017-02-27T20:46:29+00:00</Document_x0020_Creation_x0020_Date>
    <EPA_x0020_Office xmlns="4ffa91fb-a0ff-4ac5-b2db-65c790d184a4" xsi:nil="true"/>
    <CategoryDescription xmlns="http://schemas.microsoft.com/sharepoint.v3" xsi:nil="true"/>
    <Identifier xmlns="4ffa91fb-a0ff-4ac5-b2db-65c790d184a4" xsi:nil="true"/>
    <_Coverage xmlns="http://schemas.microsoft.com/sharepoint/v3/fields" xsi:nil="true"/>
    <Creator xmlns="4ffa91fb-a0ff-4ac5-b2db-65c790d184a4">
      <UserInfo>
        <DisplayName/>
        <AccountId xsi:nil="true"/>
        <AccountType/>
      </UserInfo>
    </Creator>
    <EPA_x0020_Related_x0020_Documents xmlns="4ffa91fb-a0ff-4ac5-b2db-65c790d184a4" xsi:nil="true"/>
    <EPA_x0020_Contributor xmlns="4ffa91fb-a0ff-4ac5-b2db-65c790d184a4">
      <UserInfo>
        <DisplayName/>
        <AccountId xsi:nil="true"/>
        <AccountType/>
      </UserInfo>
    </EPA_x0020_Contributor>
    <TaxCatchAll xmlns="4ffa91fb-a0ff-4ac5-b2db-65c790d184a4"/>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haredContentType xmlns="Microsoft.SharePoint.Taxonomy.ContentTypeSync" SourceId="29f62856-1543-49d4-a736-4569d363f533" ContentTypeId="0x0101" PreviousValue="false"/>
</file>

<file path=customXml/item4.xml><?xml version="1.0" encoding="utf-8"?>
<ct:contentTypeSchema xmlns:ct="http://schemas.microsoft.com/office/2006/metadata/contentType" xmlns:ma="http://schemas.microsoft.com/office/2006/metadata/properties/metaAttributes" ct:_="" ma:_="" ma:contentTypeName="Document" ma:contentTypeID="0x01010006DC88A3BFD6754DA1EA05A9DC1B21F9" ma:contentTypeVersion="8" ma:contentTypeDescription="Create a new document." ma:contentTypeScope="" ma:versionID="5875bbb3270e6378e8161e7dcd2ff561">
  <xsd:schema xmlns:xsd="http://www.w3.org/2001/XMLSchema" xmlns:xs="http://www.w3.org/2001/XMLSchema" xmlns:p="http://schemas.microsoft.com/office/2006/metadata/properties" xmlns:ns1="http://schemas.microsoft.com/sharepoint/v3" xmlns:ns2="4ffa91fb-a0ff-4ac5-b2db-65c790d184a4" xmlns:ns3="http://schemas.microsoft.com/sharepoint.v3" xmlns:ns4="http://schemas.microsoft.com/sharepoint/v3/fields" xmlns:ns5="7d8dd676-26ca-4e08-b90f-b4e0026a58ac" xmlns:ns6="eae1606c-bbef-499f-bb66-c2dbf02f8e2b" targetNamespace="http://schemas.microsoft.com/office/2006/metadata/properties" ma:root="true" ma:fieldsID="12c871e09c71e41589c4872e61c48a00" ns1:_="" ns2:_="" ns3:_="" ns4:_="" ns5:_="" ns6:_="">
    <xsd:import namespace="http://schemas.microsoft.com/sharepoint/v3"/>
    <xsd:import namespace="4ffa91fb-a0ff-4ac5-b2db-65c790d184a4"/>
    <xsd:import namespace="http://schemas.microsoft.com/sharepoint.v3"/>
    <xsd:import namespace="http://schemas.microsoft.com/sharepoint/v3/fields"/>
    <xsd:import namespace="7d8dd676-26ca-4e08-b90f-b4e0026a58ac"/>
    <xsd:import namespace="eae1606c-bbef-499f-bb66-c2dbf02f8e2b"/>
    <xsd:element name="properties">
      <xsd:complexType>
        <xsd:sequence>
          <xsd:element name="documentManagement">
            <xsd:complexType>
              <xsd:all>
                <xsd:element ref="ns2:Document_x0020_Creation_x0020_Date" minOccurs="0"/>
                <xsd:element ref="ns2:Creator" minOccurs="0"/>
                <xsd:element ref="ns2:EPA_x0020_Office" minOccurs="0"/>
                <xsd:element ref="ns2:Record" minOccurs="0"/>
                <xsd:element ref="ns3:CategoryDescription" minOccurs="0"/>
                <xsd:element ref="ns2:Identifier" minOccurs="0"/>
                <xsd:element ref="ns2:EPA_x0020_Contributor" minOccurs="0"/>
                <xsd:element ref="ns2:External_x0020_Contributor" minOccurs="0"/>
                <xsd:element ref="ns4:_Coverage" minOccurs="0"/>
                <xsd:element ref="ns2:EPA_x0020_Related_x0020_Documents" minOccurs="0"/>
                <xsd:element ref="ns4:_Source" minOccurs="0"/>
                <xsd:element ref="ns2:Rights" minOccurs="0"/>
                <xsd:element ref="ns1:Language" minOccurs="0"/>
                <xsd:element ref="ns2:j747ac98061d40f0aa7bd47e1db5675d" minOccurs="0"/>
                <xsd:element ref="ns2:TaxKeywordTaxHTField" minOccurs="0"/>
                <xsd:element ref="ns2:TaxCatchAllLabel" minOccurs="0"/>
                <xsd:element ref="ns2:TaxCatchAll" minOccurs="0"/>
                <xsd:element ref="ns2:e3f09c3df709400db2417a7161762d62" minOccurs="0"/>
                <xsd:element ref="ns5:SharedWithUsers" minOccurs="0"/>
                <xsd:element ref="ns5:SharedWithDetails" minOccurs="0"/>
                <xsd:element ref="ns6:MediaServiceMetadata" minOccurs="0"/>
                <xsd:element ref="ns6: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Language" ma:index="17" nillable="true" ma:displayName="Language" ma:default="English" ma:description="Select the document language from the drop down." ma:format="Dropdown" ma:internalName="Language" ma:readOnly="false">
      <xsd:simpleType>
        <xsd:restriction base="dms:Choice">
          <xsd:enumeration value="Arabic (Saudi Arabia)"/>
          <xsd:enumeration value="Bulgarian (Bulgaria)"/>
          <xsd:enumeration value="Chinese (Hong Kong S.A.R.)"/>
          <xsd:enumeration value="Chinese (People's Republic of China)"/>
          <xsd:enumeration value="Chinese (Taiwan)"/>
          <xsd:enumeration value="Croatian (Croatia)"/>
          <xsd:enumeration value="Czech (Czech Republic)"/>
          <xsd:enumeration value="Danish (Denmark)"/>
          <xsd:enumeration value="Dutch (Netherlands)"/>
          <xsd:enumeration value="English"/>
          <xsd:enumeration value="Estonian (Estonia)"/>
          <xsd:enumeration value="Finnish (Finland)"/>
          <xsd:enumeration value="French (France)"/>
          <xsd:enumeration value="German (Germany)"/>
          <xsd:enumeration value="Greek (Greece)"/>
          <xsd:enumeration value="Hebrew (Israel)"/>
          <xsd:enumeration value="Hindi (India)"/>
          <xsd:enumeration value="Hungarian (Hungary)"/>
          <xsd:enumeration value="Indonesian (Indonesia)"/>
          <xsd:enumeration value="Italian (Italy)"/>
          <xsd:enumeration value="Japanese (Japan)"/>
          <xsd:enumeration value="Korean (Korea)"/>
          <xsd:enumeration value="Latvian (Latvia)"/>
          <xsd:enumeration value="Lithuanian (Lithuania)"/>
          <xsd:enumeration value="Malay (Malaysia)"/>
          <xsd:enumeration value="Norwegian (Bokmal) (Norway)"/>
          <xsd:enumeration value="Polish (Poland)"/>
          <xsd:enumeration value="Portuguese (Brazil)"/>
          <xsd:enumeration value="Portuguese (Portugal)"/>
          <xsd:enumeration value="Romanian (Romania)"/>
          <xsd:enumeration value="Russian (Russia)"/>
          <xsd:enumeration value="Serbian (Latin) (Serbia)"/>
          <xsd:enumeration value="Slovak (Slovakia)"/>
          <xsd:enumeration value="Slovenian (Slovenia)"/>
          <xsd:enumeration value="Spanish (Spain)"/>
          <xsd:enumeration value="Swedish (Sweden)"/>
          <xsd:enumeration value="Thai (Thailand)"/>
          <xsd:enumeration value="Turkish (Turkey)"/>
          <xsd:enumeration value="Ukrainian (Ukraine)"/>
          <xsd:enumeration value="Urdu (Islamic Republic of Pakistan)"/>
          <xsd:enumeration value="Vietnamese (Vietnam)"/>
        </xsd:restriction>
      </xsd:simpleType>
    </xsd:element>
  </xsd:schema>
  <xsd:schema xmlns:xsd="http://www.w3.org/2001/XMLSchema" xmlns:xs="http://www.w3.org/2001/XMLSchema" xmlns:dms="http://schemas.microsoft.com/office/2006/documentManagement/types" xmlns:pc="http://schemas.microsoft.com/office/infopath/2007/PartnerControls" targetNamespace="4ffa91fb-a0ff-4ac5-b2db-65c790d184a4" elementFormDefault="qualified">
    <xsd:import namespace="http://schemas.microsoft.com/office/2006/documentManagement/types"/>
    <xsd:import namespace="http://schemas.microsoft.com/office/infopath/2007/PartnerControls"/>
    <xsd:element name="Document_x0020_Creation_x0020_Date" ma:index="2" nillable="true" ma:displayName="Document Date" ma:default="[today]" ma:description="Enter the date this document was last modified. The upload date has been entered by default." ma:format="DateOnly" ma:internalName="Document_x0020_Creation_x0020_Date" ma:readOnly="false">
      <xsd:simpleType>
        <xsd:restriction base="dms:DateTime"/>
      </xsd:simpleType>
    </xsd:element>
    <xsd:element name="Creator" ma:index="3" nillable="true" ma:displayName="Creator" ma:description="Enter the person primarily responsible for the document. The name of the person uploading the document has been entered by default." ma:list="UserInfo" ma:SharePointGroup="0" ma:internalName="Creato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PA_x0020_Office" ma:index="4" nillable="true" ma:displayName="EPA Office" ma:description="Enter the EPA organization primarily responsible for the document. The office of the person uploading the document has been entered by default." ma:internalName="EPA_x0020_Office" ma:readOnly="false">
      <xsd:simpleType>
        <xsd:restriction base="dms:Text">
          <xsd:maxLength value="255"/>
        </xsd:restriction>
      </xsd:simpleType>
    </xsd:element>
    <xsd:element name="Record" ma:index="5" nillable="true" ma:displayName="Record" ma:default="Shared" ma:description="For documents that provide evidence of EPA decisions and actions, select &quot;Shared&quot; (open access) or &quot;Private&quot; (restricted access)." ma:format="Dropdown" ma:internalName="Record" ma:readOnly="false">
      <xsd:simpleType>
        <xsd:restriction base="dms:Choice">
          <xsd:enumeration value="None"/>
          <xsd:enumeration value="Shared"/>
          <xsd:enumeration value="Private"/>
        </xsd:restriction>
      </xsd:simpleType>
    </xsd:element>
    <xsd:element name="Identifier" ma:index="9" nillable="true" ma:displayName="Identifier" ma:description="Enter all EPA identification numbers applicable to this document, one on each line." ma:internalName="Identifier" ma:readOnly="false">
      <xsd:simpleType>
        <xsd:restriction base="dms:Note">
          <xsd:maxLength value="255"/>
        </xsd:restriction>
      </xsd:simpleType>
    </xsd:element>
    <xsd:element name="EPA_x0020_Contributor" ma:index="11" nillable="true" ma:displayName="EPA Contributor" ma:description="Enter an EPA person who contributed to the creation of the document but is not the primary author." ma:list="UserInfo" ma:SharePointGroup="0" ma:internalName="EPA_x0020_Contributo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xternal_x0020_Contributor" ma:index="12" nillable="true" ma:displayName="External Contributor" ma:description="Enter a non-EPA person who contributed to the creation of the document but is not the primary author." ma:internalName="External_x0020_Contributor" ma:readOnly="false">
      <xsd:simpleType>
        <xsd:restriction base="dms:Note">
          <xsd:maxLength value="255"/>
        </xsd:restriction>
      </xsd:simpleType>
    </xsd:element>
    <xsd:element name="EPA_x0020_Related_x0020_Documents" ma:index="14" nillable="true" ma:displayName="Other Related Documents" ma:description="Enter any related document." ma:internalName="EPA_x0020_Related_x0020_Documents" ma:readOnly="false">
      <xsd:simpleType>
        <xsd:restriction base="dms:Note">
          <xsd:maxLength value="255"/>
        </xsd:restriction>
      </xsd:simpleType>
    </xsd:element>
    <xsd:element name="Rights" ma:index="16" nillable="true" ma:displayName="Rights" ma:description="Enter information about intellectual property rights held over the document (e.g. copyright, patent, trademark)." ma:internalName="Rights" ma:readOnly="false">
      <xsd:simpleType>
        <xsd:restriction base="dms:Note">
          <xsd:maxLength value="255"/>
        </xsd:restriction>
      </xsd:simpleType>
    </xsd:element>
    <xsd:element name="j747ac98061d40f0aa7bd47e1db5675d" ma:index="19" nillable="true" ma:taxonomy="true" ma:internalName="j747ac98061d40f0aa7bd47e1db5675d" ma:taxonomyFieldName="Document_x0020_Type" ma:displayName="Document Type" ma:readOnly="false" ma:default="" ma:fieldId="{3747ac98-061d-40f0-aa7b-d47e1db5675d}" ma:sspId="29f62856-1543-49d4-a736-4569d363f533" ma:termSetId="e06cd6a9-a175-4da0-81cb-8dba7aa394ab" ma:anchorId="00000000-0000-0000-0000-000000000000" ma:open="false" ma:isKeyword="false">
      <xsd:complexType>
        <xsd:sequence>
          <xsd:element ref="pc:Terms" minOccurs="0" maxOccurs="1"/>
        </xsd:sequence>
      </xsd:complexType>
    </xsd:element>
    <xsd:element name="TaxKeywordTaxHTField" ma:index="21" nillable="true" ma:taxonomy="true" ma:internalName="TaxKeywordTaxHTField" ma:taxonomyFieldName="TaxKeyword" ma:displayName="Enterprise Keywords" ma:readOnly="false" ma:fieldId="{23f27201-bee3-471e-b2e7-b64fd8b7ca38}" ma:taxonomyMulti="true" ma:sspId="29f62856-1543-49d4-a736-4569d363f533" ma:termSetId="00000000-0000-0000-0000-000000000000" ma:anchorId="00000000-0000-0000-0000-000000000000" ma:open="true" ma:isKeyword="true">
      <xsd:complexType>
        <xsd:sequence>
          <xsd:element ref="pc:Terms" minOccurs="0" maxOccurs="1"/>
        </xsd:sequence>
      </xsd:complexType>
    </xsd:element>
    <xsd:element name="TaxCatchAllLabel" ma:index="23" nillable="true" ma:displayName="Taxonomy Catch All Column1" ma:description="" ma:hidden="true" ma:list="{aec54597-794d-48fd-aaaa-4eaa50f4ff1d}" ma:internalName="TaxCatchAllLabel" ma:readOnly="true" ma:showField="CatchAllDataLabel" ma:web="7d8dd676-26ca-4e08-b90f-b4e0026a58ac">
      <xsd:complexType>
        <xsd:complexContent>
          <xsd:extension base="dms:MultiChoiceLookup">
            <xsd:sequence>
              <xsd:element name="Value" type="dms:Lookup" maxOccurs="unbounded" minOccurs="0" nillable="true"/>
            </xsd:sequence>
          </xsd:extension>
        </xsd:complexContent>
      </xsd:complexType>
    </xsd:element>
    <xsd:element name="TaxCatchAll" ma:index="24" nillable="true" ma:displayName="Taxonomy Catch All Column" ma:description="" ma:hidden="true" ma:list="{aec54597-794d-48fd-aaaa-4eaa50f4ff1d}" ma:internalName="TaxCatchAll" ma:showField="CatchAllData" ma:web="7d8dd676-26ca-4e08-b90f-b4e0026a58ac">
      <xsd:complexType>
        <xsd:complexContent>
          <xsd:extension base="dms:MultiChoiceLookup">
            <xsd:sequence>
              <xsd:element name="Value" type="dms:Lookup" maxOccurs="unbounded" minOccurs="0" nillable="true"/>
            </xsd:sequence>
          </xsd:extension>
        </xsd:complexContent>
      </xsd:complexType>
    </xsd:element>
    <xsd:element name="e3f09c3df709400db2417a7161762d62" ma:index="28" nillable="true" ma:taxonomy="true" ma:internalName="e3f09c3df709400db2417a7161762d62" ma:taxonomyFieldName="EPA_x0020_Subject" ma:displayName="EPA Subject" ma:readOnly="false" ma:default="" ma:fieldId="{e3f09c3d-f709-400d-b241-7a7161762d62}" ma:taxonomyMulti="true" ma:sspId="29f62856-1543-49d4-a736-4569d363f533" ma:termSetId="7a3d4ae0-7e62-45a2-a406-c6a8a6a8eee3"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CategoryDescription" ma:index="6" nillable="true" ma:displayName="Description" ma:description="Enter a brief description." ma:internalName="CategoryDescription" ma:readOnly="fals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Coverage" ma:index="13" nillable="true" ma:displayName="Coverage" ma:description="Enter the geographic location, jurisdiction, or time period for which the document is relevant." ma:internalName="_Coverage" ma:readOnly="false">
      <xsd:simpleType>
        <xsd:restriction base="dms:Text">
          <xsd:maxLength value="255"/>
        </xsd:restriction>
      </xsd:simpleType>
    </xsd:element>
    <xsd:element name="_Source" ma:index="15" nillable="true" ma:displayName="Source" ma:description="Enter a source from which the document is derived." ma:internalName="_Source" ma:readOnly="fals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d8dd676-26ca-4e08-b90f-b4e0026a58ac" elementFormDefault="qualified">
    <xsd:import namespace="http://schemas.microsoft.com/office/2006/documentManagement/types"/>
    <xsd:import namespace="http://schemas.microsoft.com/office/infopath/2007/PartnerControls"/>
    <xsd:element name="SharedWithUsers" ma:index="29"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0"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ae1606c-bbef-499f-bb66-c2dbf02f8e2b" elementFormDefault="qualified">
    <xsd:import namespace="http://schemas.microsoft.com/office/2006/documentManagement/types"/>
    <xsd:import namespace="http://schemas.microsoft.com/office/infopath/2007/PartnerControls"/>
    <xsd:element name="MediaServiceMetadata" ma:index="31" nillable="true" ma:displayName="MediaServiceMetadata" ma:description="" ma:hidden="true" ma:internalName="MediaServiceMetadata" ma:readOnly="true">
      <xsd:simpleType>
        <xsd:restriction base="dms:Note"/>
      </xsd:simpleType>
    </xsd:element>
    <xsd:element name="MediaServiceFastMetadata" ma:index="32" nillable="true" ma:displayName="MediaServiceFastMetadata" ma:description=""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5"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320840A-CB90-4B4C-BB34-4F22FEDE0888}">
  <ds:schemaRefs>
    <ds:schemaRef ds:uri="4ffa91fb-a0ff-4ac5-b2db-65c790d184a4"/>
    <ds:schemaRef ds:uri="http://www.w3.org/XML/1998/namespace"/>
    <ds:schemaRef ds:uri="http://schemas.microsoft.com/office/2006/documentManagement/types"/>
    <ds:schemaRef ds:uri="http://purl.org/dc/elements/1.1/"/>
    <ds:schemaRef ds:uri="http://purl.org/dc/terms/"/>
    <ds:schemaRef ds:uri="eae1606c-bbef-499f-bb66-c2dbf02f8e2b"/>
    <ds:schemaRef ds:uri="http://schemas.microsoft.com/office/infopath/2007/PartnerControls"/>
    <ds:schemaRef ds:uri="http://schemas.microsoft.com/office/2006/metadata/properties"/>
    <ds:schemaRef ds:uri="http://schemas.openxmlformats.org/package/2006/metadata/core-properties"/>
    <ds:schemaRef ds:uri="7d8dd676-26ca-4e08-b90f-b4e0026a58ac"/>
    <ds:schemaRef ds:uri="http://schemas.microsoft.com/sharepoint/v3/fields"/>
    <ds:schemaRef ds:uri="http://schemas.microsoft.com/sharepoint.v3"/>
    <ds:schemaRef ds:uri="http://schemas.microsoft.com/sharepoint/v3"/>
    <ds:schemaRef ds:uri="http://purl.org/dc/dcmitype/"/>
  </ds:schemaRefs>
</ds:datastoreItem>
</file>

<file path=customXml/itemProps2.xml><?xml version="1.0" encoding="utf-8"?>
<ds:datastoreItem xmlns:ds="http://schemas.openxmlformats.org/officeDocument/2006/customXml" ds:itemID="{E9221DED-9309-4821-9432-519D3006EDAF}">
  <ds:schemaRefs>
    <ds:schemaRef ds:uri="http://schemas.microsoft.com/sharepoint/v3/contenttype/forms"/>
  </ds:schemaRefs>
</ds:datastoreItem>
</file>

<file path=customXml/itemProps3.xml><?xml version="1.0" encoding="utf-8"?>
<ds:datastoreItem xmlns:ds="http://schemas.openxmlformats.org/officeDocument/2006/customXml" ds:itemID="{E2713F79-4529-4EFB-897A-BF6CC8023A2A}">
  <ds:schemaRefs>
    <ds:schemaRef ds:uri="Microsoft.SharePoint.Taxonomy.ContentTypeSync"/>
  </ds:schemaRefs>
</ds:datastoreItem>
</file>

<file path=customXml/itemProps4.xml><?xml version="1.0" encoding="utf-8"?>
<ds:datastoreItem xmlns:ds="http://schemas.openxmlformats.org/officeDocument/2006/customXml" ds:itemID="{310067E6-9C2E-49A9-A9BC-8BC54592EA00}"/>
</file>

<file path=customXml/itemProps5.xml><?xml version="1.0" encoding="utf-8"?>
<ds:datastoreItem xmlns:ds="http://schemas.openxmlformats.org/officeDocument/2006/customXml" ds:itemID="{44385DA7-4133-4AF5-BAE2-519BED300ABF}">
  <ds:schemaRefs>
    <ds:schemaRef ds:uri="http://schemas.openxmlformats.org/officeDocument/2006/bibliography"/>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Office Word</ap:Application>
  <ap:DocSecurity>0</ap:DocSecurity>
  <ap:ScaleCrop>false</ap:ScaleCrop>
  <ap:Company>Abt Associates Inc.</ap:Company>
  <ap:SharedDoc>false</ap:SharedDoc>
  <ap:HyperlinksChanged>false</ap:HyperlinksChanged>
  <ap:AppVersion>00.0001</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creator>David Cooley</dc:creator>
  <lastModifiedBy>Hannah Derrick</lastModifiedBy>
  <revision>4</revision>
  <lastPrinted>2017-04-06T20:17:00.0000000Z</lastPrinted>
  <dcterms:created xsi:type="dcterms:W3CDTF">2020-04-03T01:25:00.0000000Z</dcterms:created>
  <dcterms:modified xsi:type="dcterms:W3CDTF">2020-04-06T00:02:50.0105505Z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0x01010006DC88A3BFD6754DA1EA05A9DC1B21F9</vt:lpwstr>
  </property>
  <property fmtid="{D5CDD505-2E9C-101B-9397-08002B2CF9AE}" pid="3" name="TaxKeyword">
    <vt:lpwstr/>
  </property>
  <property fmtid="{D5CDD505-2E9C-101B-9397-08002B2CF9AE}" pid="4" name="EPA Subject">
    <vt:lpwstr/>
  </property>
  <property fmtid="{D5CDD505-2E9C-101B-9397-08002B2CF9AE}" pid="5" name="Document Type">
    <vt:lpwstr/>
  </property>
</Properties>
</file>