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D0B01" w14:textId="6AF1B977" w:rsidR="00D360C1" w:rsidRPr="005F309A" w:rsidRDefault="00CA7F23" w:rsidP="00387957">
      <w:pPr>
        <w:pStyle w:val="Title"/>
      </w:pPr>
      <w:r w:rsidRPr="005F309A">
        <w:t xml:space="preserve">Open Burning – </w:t>
      </w:r>
      <w:r w:rsidR="00B60052">
        <w:t>yard waste-leaf and brush species</w:t>
      </w:r>
    </w:p>
    <w:p w14:paraId="7B5C1AD9" w14:textId="77777777" w:rsidR="00D360C1" w:rsidRPr="005F309A" w:rsidRDefault="00D360C1" w:rsidP="00387957">
      <w:pPr>
        <w:pStyle w:val="Heading1"/>
      </w:pPr>
      <w:r w:rsidRPr="005F309A">
        <w:t>Source Category Description</w:t>
      </w:r>
    </w:p>
    <w:p w14:paraId="177EEFD8" w14:textId="0BD73B01" w:rsidR="00D360C1" w:rsidRPr="00B60052" w:rsidRDefault="3360A413" w:rsidP="00B60052">
      <w:r>
        <w:t xml:space="preserve">Open burning of yard waste is the purposeful burning of leaf and brush species in outdoor areas. Criteria air pollutant (CAP) and hazardous air pollutant (HAP) emission estimates for leaf and brush waste burning are a function of the amount of waste burned per year. In 2014, open burning of yard waste </w:t>
      </w:r>
      <w:r w:rsidR="00567EC9">
        <w:t xml:space="preserve">in the U.S., Puerto Rico, and U.S. Virgin Islands </w:t>
      </w:r>
      <w:r>
        <w:t>resulted in approximately 5,035 tons of VOC emissions</w:t>
      </w:r>
      <w:r w:rsidR="00A754FD">
        <w:t>, 4,470 tons of primary PM10 emissions, and 3,446 tons of primary PM25 emissions.</w:t>
      </w:r>
    </w:p>
    <w:p w14:paraId="7BC3F26E" w14:textId="4885CA60" w:rsidR="00D360C1" w:rsidRPr="003E3AC3" w:rsidRDefault="3360A413" w:rsidP="00D360C1">
      <w:pPr>
        <w:widowControl/>
        <w:tabs>
          <w:tab w:val="left" w:pos="0"/>
        </w:tabs>
        <w:rPr>
          <w:szCs w:val="20"/>
        </w:rPr>
      </w:pPr>
      <w:r>
        <w:t>For this source category, the following SCCs are assigned:</w:t>
      </w:r>
    </w:p>
    <w:tbl>
      <w:tblPr>
        <w:tblW w:w="9007" w:type="dxa"/>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000" w:firstRow="0" w:lastRow="0" w:firstColumn="0" w:lastColumn="0" w:noHBand="0" w:noVBand="0"/>
      </w:tblPr>
      <w:tblGrid>
        <w:gridCol w:w="1222"/>
        <w:gridCol w:w="2267"/>
        <w:gridCol w:w="1943"/>
        <w:gridCol w:w="1604"/>
        <w:gridCol w:w="1971"/>
      </w:tblGrid>
      <w:tr w:rsidR="00D360C1" w:rsidRPr="003E3AC3" w14:paraId="4D8BCE6B" w14:textId="77777777" w:rsidTr="00B25B74">
        <w:trPr>
          <w:trHeight w:val="265"/>
          <w:jc w:val="center"/>
        </w:trPr>
        <w:tc>
          <w:tcPr>
            <w:tcW w:w="1222" w:type="dxa"/>
            <w:shd w:val="clear" w:color="auto" w:fill="BFBFBF" w:themeFill="background1" w:themeFillShade="BF"/>
            <w:noWrap/>
          </w:tcPr>
          <w:p w14:paraId="2738524F" w14:textId="77777777" w:rsidR="00D360C1" w:rsidRPr="003E3AC3" w:rsidRDefault="00D360C1" w:rsidP="00052E59">
            <w:pPr>
              <w:widowControl/>
              <w:tabs>
                <w:tab w:val="left" w:pos="0"/>
              </w:tabs>
              <w:spacing w:after="0"/>
              <w:rPr>
                <w:b/>
                <w:bCs/>
                <w:szCs w:val="20"/>
              </w:rPr>
            </w:pPr>
            <w:r w:rsidRPr="003E3AC3">
              <w:rPr>
                <w:b/>
                <w:bCs/>
                <w:szCs w:val="20"/>
              </w:rPr>
              <w:t>SCC</w:t>
            </w:r>
          </w:p>
        </w:tc>
        <w:tc>
          <w:tcPr>
            <w:tcW w:w="2267" w:type="dxa"/>
            <w:shd w:val="clear" w:color="auto" w:fill="BFBFBF" w:themeFill="background1" w:themeFillShade="BF"/>
            <w:noWrap/>
          </w:tcPr>
          <w:p w14:paraId="36BA6D5A" w14:textId="77777777" w:rsidR="00D360C1" w:rsidRPr="003E3AC3" w:rsidRDefault="00D360C1" w:rsidP="00052E59">
            <w:pPr>
              <w:widowControl/>
              <w:tabs>
                <w:tab w:val="left" w:pos="0"/>
              </w:tabs>
              <w:spacing w:after="0"/>
              <w:rPr>
                <w:b/>
                <w:bCs/>
                <w:szCs w:val="20"/>
              </w:rPr>
            </w:pPr>
            <w:r w:rsidRPr="003E3AC3">
              <w:rPr>
                <w:b/>
                <w:bCs/>
                <w:szCs w:val="20"/>
              </w:rPr>
              <w:t>SCC Level 1</w:t>
            </w:r>
          </w:p>
        </w:tc>
        <w:tc>
          <w:tcPr>
            <w:tcW w:w="1943" w:type="dxa"/>
            <w:shd w:val="clear" w:color="auto" w:fill="BFBFBF" w:themeFill="background1" w:themeFillShade="BF"/>
            <w:noWrap/>
          </w:tcPr>
          <w:p w14:paraId="2901E891" w14:textId="77777777" w:rsidR="00D360C1" w:rsidRPr="003E3AC3" w:rsidRDefault="00D360C1" w:rsidP="00052E59">
            <w:pPr>
              <w:widowControl/>
              <w:tabs>
                <w:tab w:val="left" w:pos="0"/>
              </w:tabs>
              <w:spacing w:after="0"/>
              <w:rPr>
                <w:b/>
                <w:bCs/>
                <w:szCs w:val="20"/>
              </w:rPr>
            </w:pPr>
            <w:r w:rsidRPr="003E3AC3">
              <w:rPr>
                <w:b/>
                <w:bCs/>
                <w:szCs w:val="20"/>
              </w:rPr>
              <w:t>SCC Level 2</w:t>
            </w:r>
          </w:p>
        </w:tc>
        <w:tc>
          <w:tcPr>
            <w:tcW w:w="1604" w:type="dxa"/>
            <w:shd w:val="clear" w:color="auto" w:fill="BFBFBF" w:themeFill="background1" w:themeFillShade="BF"/>
            <w:noWrap/>
          </w:tcPr>
          <w:p w14:paraId="4943D878" w14:textId="77777777" w:rsidR="00D360C1" w:rsidRPr="003E3AC3" w:rsidRDefault="00D360C1" w:rsidP="00052E59">
            <w:pPr>
              <w:widowControl/>
              <w:tabs>
                <w:tab w:val="left" w:pos="0"/>
              </w:tabs>
              <w:spacing w:after="0"/>
              <w:rPr>
                <w:b/>
                <w:bCs/>
                <w:szCs w:val="20"/>
              </w:rPr>
            </w:pPr>
            <w:r w:rsidRPr="003E3AC3">
              <w:rPr>
                <w:b/>
                <w:bCs/>
                <w:szCs w:val="20"/>
              </w:rPr>
              <w:t>SCC Level 3</w:t>
            </w:r>
          </w:p>
        </w:tc>
        <w:tc>
          <w:tcPr>
            <w:tcW w:w="1971" w:type="dxa"/>
            <w:shd w:val="clear" w:color="auto" w:fill="BFBFBF" w:themeFill="background1" w:themeFillShade="BF"/>
            <w:noWrap/>
          </w:tcPr>
          <w:p w14:paraId="4AD44C9C" w14:textId="77777777" w:rsidR="00D360C1" w:rsidRPr="003E3AC3" w:rsidRDefault="00D360C1" w:rsidP="00052E59">
            <w:pPr>
              <w:widowControl/>
              <w:tabs>
                <w:tab w:val="left" w:pos="0"/>
              </w:tabs>
              <w:spacing w:after="0"/>
              <w:rPr>
                <w:b/>
                <w:bCs/>
                <w:szCs w:val="20"/>
              </w:rPr>
            </w:pPr>
            <w:r w:rsidRPr="003E3AC3">
              <w:rPr>
                <w:b/>
                <w:bCs/>
                <w:szCs w:val="20"/>
              </w:rPr>
              <w:t>SCC Level 4</w:t>
            </w:r>
          </w:p>
        </w:tc>
      </w:tr>
      <w:tr w:rsidR="00B60052" w:rsidRPr="003E3AC3" w14:paraId="46135A5B" w14:textId="77777777" w:rsidTr="00ED598D">
        <w:trPr>
          <w:trHeight w:val="567"/>
          <w:jc w:val="center"/>
        </w:trPr>
        <w:tc>
          <w:tcPr>
            <w:tcW w:w="1222" w:type="dxa"/>
            <w:vAlign w:val="center"/>
          </w:tcPr>
          <w:p w14:paraId="077ABF3C" w14:textId="1041C183" w:rsidR="00B60052" w:rsidRPr="003733A0" w:rsidRDefault="00B60052" w:rsidP="00052E59">
            <w:pPr>
              <w:spacing w:after="0"/>
              <w:rPr>
                <w:szCs w:val="20"/>
              </w:rPr>
            </w:pPr>
            <w:r>
              <w:t>2610000100</w:t>
            </w:r>
          </w:p>
        </w:tc>
        <w:tc>
          <w:tcPr>
            <w:tcW w:w="2267" w:type="dxa"/>
            <w:vAlign w:val="center"/>
          </w:tcPr>
          <w:p w14:paraId="0B07048B" w14:textId="45A96BFF" w:rsidR="00B60052" w:rsidRPr="003733A0" w:rsidRDefault="00B60052" w:rsidP="00052E59">
            <w:pPr>
              <w:spacing w:after="0"/>
              <w:rPr>
                <w:szCs w:val="20"/>
              </w:rPr>
            </w:pPr>
            <w:r>
              <w:t>Waste Disposal, Treatment, and Recovery</w:t>
            </w:r>
          </w:p>
        </w:tc>
        <w:tc>
          <w:tcPr>
            <w:tcW w:w="1943" w:type="dxa"/>
            <w:vAlign w:val="center"/>
          </w:tcPr>
          <w:p w14:paraId="2745EE43" w14:textId="0FA0F254" w:rsidR="00B60052" w:rsidRPr="003733A0" w:rsidRDefault="00B60052" w:rsidP="00052E59">
            <w:pPr>
              <w:spacing w:after="0"/>
              <w:rPr>
                <w:szCs w:val="20"/>
              </w:rPr>
            </w:pPr>
            <w:r>
              <w:t>Open Burning</w:t>
            </w:r>
          </w:p>
        </w:tc>
        <w:tc>
          <w:tcPr>
            <w:tcW w:w="1604" w:type="dxa"/>
            <w:vAlign w:val="center"/>
          </w:tcPr>
          <w:p w14:paraId="40D248CC" w14:textId="2C7D2814" w:rsidR="00B60052" w:rsidRPr="003733A0" w:rsidRDefault="00B60052" w:rsidP="00052E59">
            <w:pPr>
              <w:spacing w:after="0"/>
              <w:rPr>
                <w:color w:val="000000"/>
                <w:szCs w:val="20"/>
              </w:rPr>
            </w:pPr>
            <w:r>
              <w:t>All Categories</w:t>
            </w:r>
          </w:p>
        </w:tc>
        <w:tc>
          <w:tcPr>
            <w:tcW w:w="1971" w:type="dxa"/>
            <w:vAlign w:val="center"/>
          </w:tcPr>
          <w:p w14:paraId="5E3F8663" w14:textId="58775D82" w:rsidR="00B60052" w:rsidRPr="003733A0" w:rsidRDefault="00B60052" w:rsidP="00052E59">
            <w:pPr>
              <w:spacing w:after="0"/>
              <w:rPr>
                <w:color w:val="000000"/>
                <w:szCs w:val="20"/>
              </w:rPr>
            </w:pPr>
            <w:r>
              <w:t>Yard Waste – Leaf Species Unspecified</w:t>
            </w:r>
          </w:p>
        </w:tc>
      </w:tr>
      <w:tr w:rsidR="00B60052" w:rsidRPr="003E3AC3" w14:paraId="01E92475" w14:textId="77777777" w:rsidTr="00ED598D">
        <w:trPr>
          <w:trHeight w:val="567"/>
          <w:jc w:val="center"/>
        </w:trPr>
        <w:tc>
          <w:tcPr>
            <w:tcW w:w="1222" w:type="dxa"/>
            <w:vAlign w:val="center"/>
          </w:tcPr>
          <w:p w14:paraId="492710E4" w14:textId="764B20AF" w:rsidR="00B60052" w:rsidRPr="003733A0" w:rsidRDefault="00B60052" w:rsidP="00052E59">
            <w:pPr>
              <w:spacing w:after="0"/>
              <w:rPr>
                <w:szCs w:val="20"/>
              </w:rPr>
            </w:pPr>
            <w:r>
              <w:t>2610000400</w:t>
            </w:r>
          </w:p>
        </w:tc>
        <w:tc>
          <w:tcPr>
            <w:tcW w:w="2267" w:type="dxa"/>
            <w:vAlign w:val="center"/>
          </w:tcPr>
          <w:p w14:paraId="7ABFC681" w14:textId="3B31DF52" w:rsidR="00B60052" w:rsidRPr="003733A0" w:rsidRDefault="00B60052" w:rsidP="00052E59">
            <w:pPr>
              <w:spacing w:after="0"/>
              <w:rPr>
                <w:szCs w:val="20"/>
              </w:rPr>
            </w:pPr>
            <w:r>
              <w:t>Waste Disposal, Treatment, and Recovery</w:t>
            </w:r>
          </w:p>
        </w:tc>
        <w:tc>
          <w:tcPr>
            <w:tcW w:w="1943" w:type="dxa"/>
            <w:vAlign w:val="center"/>
          </w:tcPr>
          <w:p w14:paraId="2A2F2E3D" w14:textId="03512F79" w:rsidR="00B60052" w:rsidRPr="003733A0" w:rsidRDefault="00B60052" w:rsidP="00052E59">
            <w:pPr>
              <w:spacing w:after="0"/>
              <w:rPr>
                <w:szCs w:val="20"/>
              </w:rPr>
            </w:pPr>
            <w:r>
              <w:t>Open Burning</w:t>
            </w:r>
          </w:p>
        </w:tc>
        <w:tc>
          <w:tcPr>
            <w:tcW w:w="1604" w:type="dxa"/>
            <w:vAlign w:val="center"/>
          </w:tcPr>
          <w:p w14:paraId="6F0D98DF" w14:textId="5C96F0E6" w:rsidR="00B60052" w:rsidRPr="003733A0" w:rsidRDefault="00B60052" w:rsidP="00052E59">
            <w:pPr>
              <w:spacing w:after="0"/>
              <w:rPr>
                <w:color w:val="000000"/>
                <w:szCs w:val="20"/>
              </w:rPr>
            </w:pPr>
            <w:r>
              <w:t>All Categories</w:t>
            </w:r>
          </w:p>
        </w:tc>
        <w:tc>
          <w:tcPr>
            <w:tcW w:w="1971" w:type="dxa"/>
            <w:vAlign w:val="center"/>
          </w:tcPr>
          <w:p w14:paraId="77AEA47C" w14:textId="25A48D63" w:rsidR="00B60052" w:rsidRPr="003733A0" w:rsidRDefault="00B60052" w:rsidP="00052E59">
            <w:pPr>
              <w:spacing w:after="0"/>
              <w:rPr>
                <w:color w:val="000000"/>
                <w:szCs w:val="20"/>
              </w:rPr>
            </w:pPr>
            <w:r>
              <w:t>Yard Waste – Brush Species Unspecified</w:t>
            </w:r>
          </w:p>
        </w:tc>
      </w:tr>
    </w:tbl>
    <w:p w14:paraId="4217115A" w14:textId="77777777" w:rsidR="00811E42" w:rsidRDefault="00811E42" w:rsidP="00811E4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Cs w:val="20"/>
        </w:rPr>
      </w:pPr>
    </w:p>
    <w:p w14:paraId="36EA975F" w14:textId="77777777" w:rsidR="00D360C1" w:rsidRDefault="00D360C1" w:rsidP="00052E59">
      <w:pPr>
        <w:pStyle w:val="Heading1"/>
      </w:pPr>
      <w:r w:rsidRPr="00052E59">
        <w:t>Overview</w:t>
      </w:r>
      <w:r>
        <w:t xml:space="preserve"> of Calculations</w:t>
      </w:r>
    </w:p>
    <w:p w14:paraId="60BDF2C6" w14:textId="21B72495" w:rsidR="002958BB" w:rsidRPr="002958BB" w:rsidRDefault="00D360C1" w:rsidP="00D360C1">
      <w:pPr>
        <w:widowControl/>
        <w:tabs>
          <w:tab w:val="left" w:pos="0"/>
        </w:tabs>
        <w:rPr>
          <w:szCs w:val="20"/>
        </w:rPr>
      </w:pPr>
      <w:r>
        <w:rPr>
          <w:szCs w:val="20"/>
        </w:rPr>
        <w:t xml:space="preserve">The calculations for </w:t>
      </w:r>
      <w:r w:rsidR="00BE0480">
        <w:rPr>
          <w:szCs w:val="20"/>
        </w:rPr>
        <w:t xml:space="preserve">estimating </w:t>
      </w:r>
      <w:r>
        <w:rPr>
          <w:szCs w:val="20"/>
        </w:rPr>
        <w:t xml:space="preserve">the emissions from </w:t>
      </w:r>
      <w:r w:rsidR="00CA7F23">
        <w:rPr>
          <w:szCs w:val="20"/>
        </w:rPr>
        <w:t xml:space="preserve">the burning of </w:t>
      </w:r>
      <w:r w:rsidR="00B60052">
        <w:rPr>
          <w:szCs w:val="20"/>
        </w:rPr>
        <w:t xml:space="preserve">yard waste </w:t>
      </w:r>
      <w:r w:rsidR="00CA7F23">
        <w:rPr>
          <w:szCs w:val="20"/>
        </w:rPr>
        <w:t>i</w:t>
      </w:r>
      <w:r>
        <w:rPr>
          <w:szCs w:val="20"/>
        </w:rPr>
        <w:t xml:space="preserve">nvolve </w:t>
      </w:r>
      <w:r w:rsidR="00BE0480">
        <w:rPr>
          <w:szCs w:val="20"/>
        </w:rPr>
        <w:t xml:space="preserve">first </w:t>
      </w:r>
      <w:r w:rsidR="00052E59">
        <w:rPr>
          <w:szCs w:val="20"/>
        </w:rPr>
        <w:t xml:space="preserve">estimating the </w:t>
      </w:r>
      <w:r w:rsidR="00060A69">
        <w:rPr>
          <w:szCs w:val="20"/>
        </w:rPr>
        <w:t xml:space="preserve">amount of </w:t>
      </w:r>
      <w:r w:rsidR="00B60052">
        <w:rPr>
          <w:szCs w:val="20"/>
        </w:rPr>
        <w:t>leaf and brush waste</w:t>
      </w:r>
      <w:r w:rsidR="00456573">
        <w:rPr>
          <w:szCs w:val="20"/>
        </w:rPr>
        <w:t xml:space="preserve"> generated </w:t>
      </w:r>
      <w:r w:rsidR="00060A69">
        <w:rPr>
          <w:szCs w:val="20"/>
        </w:rPr>
        <w:t xml:space="preserve">in each county. </w:t>
      </w:r>
      <w:r w:rsidR="006B3338">
        <w:rPr>
          <w:szCs w:val="20"/>
        </w:rPr>
        <w:t xml:space="preserve">The amount of </w:t>
      </w:r>
      <w:r w:rsidR="00060A69">
        <w:rPr>
          <w:szCs w:val="20"/>
        </w:rPr>
        <w:t xml:space="preserve">waste </w:t>
      </w:r>
      <w:r w:rsidR="00456573">
        <w:rPr>
          <w:szCs w:val="20"/>
        </w:rPr>
        <w:t>generated in the U.S.</w:t>
      </w:r>
      <w:r w:rsidR="00E73FF9">
        <w:rPr>
          <w:szCs w:val="20"/>
        </w:rPr>
        <w:t xml:space="preserve"> </w:t>
      </w:r>
      <w:r w:rsidR="00456573">
        <w:rPr>
          <w:szCs w:val="20"/>
        </w:rPr>
        <w:t>i</w:t>
      </w:r>
      <w:r w:rsidR="00060A69">
        <w:rPr>
          <w:szCs w:val="20"/>
        </w:rPr>
        <w:t xml:space="preserve">s available from </w:t>
      </w:r>
      <w:r w:rsidR="00FA3543">
        <w:rPr>
          <w:szCs w:val="20"/>
        </w:rPr>
        <w:t xml:space="preserve">the </w:t>
      </w:r>
      <w:r w:rsidR="00FA3543" w:rsidRPr="003733A0">
        <w:rPr>
          <w:szCs w:val="20"/>
        </w:rPr>
        <w:t>EPA report</w:t>
      </w:r>
      <w:r w:rsidR="00FA3543">
        <w:rPr>
          <w:szCs w:val="20"/>
        </w:rPr>
        <w:t xml:space="preserve"> </w:t>
      </w:r>
      <w:r w:rsidR="00FA3543" w:rsidRPr="00100372">
        <w:rPr>
          <w:i/>
          <w:szCs w:val="20"/>
        </w:rPr>
        <w:t>Advancing Sustainable Materials Management: 2</w:t>
      </w:r>
      <w:r w:rsidR="001946A7">
        <w:rPr>
          <w:i/>
          <w:szCs w:val="20"/>
        </w:rPr>
        <w:t>015</w:t>
      </w:r>
      <w:r w:rsidR="00FA3543" w:rsidRPr="00100372">
        <w:rPr>
          <w:i/>
          <w:szCs w:val="20"/>
        </w:rPr>
        <w:t xml:space="preserve"> Fact Sheet</w:t>
      </w:r>
      <w:r w:rsidR="00FA3543" w:rsidRPr="003733A0">
        <w:rPr>
          <w:szCs w:val="20"/>
        </w:rPr>
        <w:t>.</w:t>
      </w:r>
      <w:bookmarkStart w:id="0" w:name="_Ref478637224"/>
      <w:r w:rsidR="00FA3543">
        <w:rPr>
          <w:rStyle w:val="EndnoteReference"/>
          <w:szCs w:val="20"/>
        </w:rPr>
        <w:endnoteReference w:id="2"/>
      </w:r>
      <w:bookmarkEnd w:id="0"/>
      <w:r w:rsidR="00060A69">
        <w:rPr>
          <w:szCs w:val="20"/>
        </w:rPr>
        <w:t xml:space="preserve"> </w:t>
      </w:r>
      <w:r w:rsidR="006B3338">
        <w:rPr>
          <w:szCs w:val="20"/>
        </w:rPr>
        <w:t xml:space="preserve">The amount of </w:t>
      </w:r>
      <w:r w:rsidR="00456573">
        <w:rPr>
          <w:szCs w:val="20"/>
        </w:rPr>
        <w:t>county</w:t>
      </w:r>
      <w:r w:rsidR="00060A69">
        <w:rPr>
          <w:szCs w:val="20"/>
        </w:rPr>
        <w:t>-level</w:t>
      </w:r>
      <w:r w:rsidR="00B60052">
        <w:rPr>
          <w:szCs w:val="20"/>
        </w:rPr>
        <w:t xml:space="preserve"> yard waste</w:t>
      </w:r>
      <w:r w:rsidR="00456573">
        <w:rPr>
          <w:szCs w:val="20"/>
        </w:rPr>
        <w:t xml:space="preserve"> burned </w:t>
      </w:r>
      <w:r w:rsidR="00060A69">
        <w:rPr>
          <w:szCs w:val="20"/>
        </w:rPr>
        <w:t xml:space="preserve">is estimated by calculating the </w:t>
      </w:r>
      <w:r w:rsidR="00FA3543">
        <w:rPr>
          <w:szCs w:val="20"/>
        </w:rPr>
        <w:t xml:space="preserve">per </w:t>
      </w:r>
      <w:r w:rsidR="00052E59">
        <w:rPr>
          <w:szCs w:val="20"/>
        </w:rPr>
        <w:t xml:space="preserve">capita amount </w:t>
      </w:r>
      <w:r w:rsidR="009F6A7F">
        <w:rPr>
          <w:szCs w:val="20"/>
        </w:rPr>
        <w:t>of leaf</w:t>
      </w:r>
      <w:r w:rsidR="00B60052">
        <w:rPr>
          <w:szCs w:val="20"/>
        </w:rPr>
        <w:t xml:space="preserve"> and brush waste</w:t>
      </w:r>
      <w:r w:rsidR="00456573">
        <w:rPr>
          <w:szCs w:val="20"/>
        </w:rPr>
        <w:t xml:space="preserve"> generated </w:t>
      </w:r>
      <w:r w:rsidR="00060A69">
        <w:rPr>
          <w:szCs w:val="20"/>
        </w:rPr>
        <w:t xml:space="preserve">using </w:t>
      </w:r>
      <w:r w:rsidR="009A0471">
        <w:rPr>
          <w:szCs w:val="20"/>
        </w:rPr>
        <w:t xml:space="preserve">the </w:t>
      </w:r>
      <w:r w:rsidR="00060A69">
        <w:rPr>
          <w:szCs w:val="20"/>
        </w:rPr>
        <w:t>national data</w:t>
      </w:r>
      <w:r w:rsidR="006B3338">
        <w:rPr>
          <w:szCs w:val="20"/>
        </w:rPr>
        <w:t xml:space="preserve"> from</w:t>
      </w:r>
      <w:r w:rsidR="00567EC9">
        <w:rPr>
          <w:szCs w:val="20"/>
        </w:rPr>
        <w:t xml:space="preserve"> the</w:t>
      </w:r>
      <w:r w:rsidR="006B3338">
        <w:rPr>
          <w:szCs w:val="20"/>
        </w:rPr>
        <w:t xml:space="preserve"> EPA</w:t>
      </w:r>
      <w:r w:rsidR="00567EC9">
        <w:rPr>
          <w:szCs w:val="20"/>
        </w:rPr>
        <w:t xml:space="preserve"> report</w:t>
      </w:r>
      <w:r w:rsidR="00060A69">
        <w:rPr>
          <w:szCs w:val="20"/>
        </w:rPr>
        <w:t xml:space="preserve">, and multiplying that by the </w:t>
      </w:r>
      <w:r w:rsidR="00E73FF9">
        <w:rPr>
          <w:szCs w:val="20"/>
        </w:rPr>
        <w:t>number of people likely to burn waste in</w:t>
      </w:r>
      <w:r w:rsidR="00456573">
        <w:rPr>
          <w:szCs w:val="20"/>
        </w:rPr>
        <w:t xml:space="preserve"> each county</w:t>
      </w:r>
      <w:r w:rsidR="00060A69">
        <w:rPr>
          <w:szCs w:val="20"/>
        </w:rPr>
        <w:t>.</w:t>
      </w:r>
      <w:r w:rsidR="00340DAC">
        <w:rPr>
          <w:szCs w:val="20"/>
        </w:rPr>
        <w:t xml:space="preserve"> </w:t>
      </w:r>
      <w:r w:rsidR="00E73FF9">
        <w:rPr>
          <w:szCs w:val="20"/>
        </w:rPr>
        <w:t>The number of people lik</w:t>
      </w:r>
      <w:r w:rsidR="009A0471">
        <w:rPr>
          <w:szCs w:val="20"/>
        </w:rPr>
        <w:t xml:space="preserve">ely to burn waste is </w:t>
      </w:r>
      <w:r w:rsidR="00E73FF9">
        <w:rPr>
          <w:szCs w:val="20"/>
        </w:rPr>
        <w:t>based on</w:t>
      </w:r>
      <w:r w:rsidR="00567EC9">
        <w:rPr>
          <w:szCs w:val="20"/>
        </w:rPr>
        <w:t xml:space="preserve"> the </w:t>
      </w:r>
      <w:r w:rsidR="00FA3543">
        <w:rPr>
          <w:szCs w:val="20"/>
        </w:rPr>
        <w:t>rural</w:t>
      </w:r>
      <w:r w:rsidR="00E73FF9">
        <w:rPr>
          <w:szCs w:val="20"/>
        </w:rPr>
        <w:t xml:space="preserve"> population in each county from the 2010 census. </w:t>
      </w:r>
      <w:r w:rsidR="00052E59">
        <w:rPr>
          <w:szCs w:val="20"/>
        </w:rPr>
        <w:t>Th</w:t>
      </w:r>
      <w:r w:rsidR="00AA771E">
        <w:rPr>
          <w:szCs w:val="20"/>
        </w:rPr>
        <w:t xml:space="preserve">e </w:t>
      </w:r>
      <w:r w:rsidR="006B3338">
        <w:rPr>
          <w:szCs w:val="20"/>
        </w:rPr>
        <w:t xml:space="preserve">total </w:t>
      </w:r>
      <w:r w:rsidR="00AA771E">
        <w:rPr>
          <w:szCs w:val="20"/>
        </w:rPr>
        <w:t>amount</w:t>
      </w:r>
      <w:r w:rsidR="006B3338">
        <w:rPr>
          <w:szCs w:val="20"/>
        </w:rPr>
        <w:t xml:space="preserve"> of </w:t>
      </w:r>
      <w:r w:rsidR="00B60052">
        <w:rPr>
          <w:szCs w:val="20"/>
        </w:rPr>
        <w:t xml:space="preserve">yard </w:t>
      </w:r>
      <w:r w:rsidR="00E73FF9">
        <w:rPr>
          <w:szCs w:val="20"/>
        </w:rPr>
        <w:t>waste burned</w:t>
      </w:r>
      <w:r w:rsidR="00052E59">
        <w:rPr>
          <w:szCs w:val="20"/>
        </w:rPr>
        <w:t xml:space="preserve"> is multiplied </w:t>
      </w:r>
      <w:r w:rsidR="002958BB">
        <w:rPr>
          <w:szCs w:val="20"/>
        </w:rPr>
        <w:t>by emission</w:t>
      </w:r>
      <w:r w:rsidR="009944E8">
        <w:rPr>
          <w:szCs w:val="20"/>
        </w:rPr>
        <w:t>s</w:t>
      </w:r>
      <w:r w:rsidR="002958BB">
        <w:rPr>
          <w:szCs w:val="20"/>
        </w:rPr>
        <w:t xml:space="preserve"> factors for </w:t>
      </w:r>
      <w:r w:rsidR="00B60052">
        <w:rPr>
          <w:szCs w:val="20"/>
        </w:rPr>
        <w:t xml:space="preserve">criteria air pollutants (CAPs) and hazardous air pollutants (HAPs) </w:t>
      </w:r>
      <w:r w:rsidR="00052E59">
        <w:rPr>
          <w:szCs w:val="20"/>
        </w:rPr>
        <w:t>to estimate emissions</w:t>
      </w:r>
      <w:r w:rsidR="003F3D3C">
        <w:rPr>
          <w:szCs w:val="20"/>
        </w:rPr>
        <w:t xml:space="preserve"> </w:t>
      </w:r>
      <w:r w:rsidR="00B259AF">
        <w:rPr>
          <w:szCs w:val="20"/>
        </w:rPr>
        <w:t xml:space="preserve">of these pollutants </w:t>
      </w:r>
      <w:r w:rsidR="003F3D3C">
        <w:rPr>
          <w:szCs w:val="20"/>
        </w:rPr>
        <w:t xml:space="preserve">from </w:t>
      </w:r>
      <w:r w:rsidR="00B60052">
        <w:rPr>
          <w:szCs w:val="20"/>
        </w:rPr>
        <w:t>yard waste</w:t>
      </w:r>
      <w:r w:rsidR="00E73FF9">
        <w:rPr>
          <w:szCs w:val="20"/>
        </w:rPr>
        <w:t xml:space="preserve"> burning</w:t>
      </w:r>
      <w:r w:rsidR="00052E59">
        <w:rPr>
          <w:szCs w:val="20"/>
        </w:rPr>
        <w:t>.</w:t>
      </w:r>
      <w:r w:rsidR="002958BB">
        <w:rPr>
          <w:szCs w:val="20"/>
        </w:rPr>
        <w:t xml:space="preserve"> Sources of data and calculations for the amount of </w:t>
      </w:r>
      <w:r w:rsidR="00E73FF9">
        <w:rPr>
          <w:szCs w:val="20"/>
        </w:rPr>
        <w:t>waste generated are</w:t>
      </w:r>
      <w:r w:rsidR="00052E59">
        <w:rPr>
          <w:szCs w:val="20"/>
        </w:rPr>
        <w:t xml:space="preserve"> discussed in section </w:t>
      </w:r>
      <w:r w:rsidR="00052E59">
        <w:rPr>
          <w:szCs w:val="20"/>
        </w:rPr>
        <w:fldChar w:fldCharType="begin"/>
      </w:r>
      <w:r w:rsidR="00052E59">
        <w:rPr>
          <w:szCs w:val="20"/>
        </w:rPr>
        <w:instrText xml:space="preserve"> REF _Ref477177316 \r \h </w:instrText>
      </w:r>
      <w:r w:rsidR="00052E59">
        <w:rPr>
          <w:szCs w:val="20"/>
        </w:rPr>
      </w:r>
      <w:r w:rsidR="00052E59">
        <w:rPr>
          <w:szCs w:val="20"/>
        </w:rPr>
        <w:fldChar w:fldCharType="separate"/>
      </w:r>
      <w:r w:rsidR="008D104F">
        <w:rPr>
          <w:szCs w:val="20"/>
        </w:rPr>
        <w:t>C</w:t>
      </w:r>
      <w:r w:rsidR="00052E59">
        <w:rPr>
          <w:szCs w:val="20"/>
        </w:rPr>
        <w:fldChar w:fldCharType="end"/>
      </w:r>
      <w:r w:rsidR="002958BB">
        <w:rPr>
          <w:szCs w:val="20"/>
        </w:rPr>
        <w:t>.</w:t>
      </w:r>
      <w:r w:rsidR="00E73FF9">
        <w:rPr>
          <w:szCs w:val="20"/>
        </w:rPr>
        <w:t xml:space="preserve"> </w:t>
      </w:r>
      <w:r w:rsidR="00052E59">
        <w:rPr>
          <w:szCs w:val="20"/>
        </w:rPr>
        <w:t>Emission</w:t>
      </w:r>
      <w:r w:rsidR="009944E8">
        <w:rPr>
          <w:szCs w:val="20"/>
        </w:rPr>
        <w:t>s</w:t>
      </w:r>
      <w:r w:rsidR="00052E59">
        <w:rPr>
          <w:szCs w:val="20"/>
        </w:rPr>
        <w:t xml:space="preserve"> factors are discussed in section</w:t>
      </w:r>
      <w:r w:rsidR="008D104F">
        <w:rPr>
          <w:szCs w:val="20"/>
        </w:rPr>
        <w:t xml:space="preserve"> </w:t>
      </w:r>
      <w:r w:rsidR="008D104F">
        <w:rPr>
          <w:szCs w:val="20"/>
        </w:rPr>
        <w:fldChar w:fldCharType="begin"/>
      </w:r>
      <w:r w:rsidR="008D104F">
        <w:rPr>
          <w:szCs w:val="20"/>
        </w:rPr>
        <w:instrText xml:space="preserve"> REF _Ref478996177 \r \h </w:instrText>
      </w:r>
      <w:r w:rsidR="008D104F">
        <w:rPr>
          <w:szCs w:val="20"/>
        </w:rPr>
      </w:r>
      <w:r w:rsidR="008D104F">
        <w:rPr>
          <w:szCs w:val="20"/>
        </w:rPr>
        <w:fldChar w:fldCharType="separate"/>
      </w:r>
      <w:r w:rsidR="008D104F">
        <w:rPr>
          <w:szCs w:val="20"/>
        </w:rPr>
        <w:t>E</w:t>
      </w:r>
      <w:r w:rsidR="008D104F">
        <w:rPr>
          <w:szCs w:val="20"/>
        </w:rPr>
        <w:fldChar w:fldCharType="end"/>
      </w:r>
      <w:r w:rsidR="00052E59">
        <w:rPr>
          <w:szCs w:val="20"/>
        </w:rPr>
        <w:t xml:space="preserve">. </w:t>
      </w:r>
      <w:r w:rsidR="008E2445">
        <w:rPr>
          <w:szCs w:val="20"/>
        </w:rPr>
        <w:t xml:space="preserve">The estimation of emissions from </w:t>
      </w:r>
      <w:r w:rsidR="00B60052">
        <w:rPr>
          <w:szCs w:val="20"/>
        </w:rPr>
        <w:t>open burning of yard waste</w:t>
      </w:r>
      <w:r w:rsidR="008E2445">
        <w:rPr>
          <w:szCs w:val="20"/>
        </w:rPr>
        <w:t xml:space="preserve"> is discussed in section</w:t>
      </w:r>
      <w:r w:rsidR="008D104F">
        <w:rPr>
          <w:szCs w:val="20"/>
        </w:rPr>
        <w:t xml:space="preserve"> </w:t>
      </w:r>
      <w:r w:rsidR="008D104F">
        <w:rPr>
          <w:szCs w:val="20"/>
        </w:rPr>
        <w:fldChar w:fldCharType="begin"/>
      </w:r>
      <w:r w:rsidR="008D104F">
        <w:rPr>
          <w:szCs w:val="20"/>
        </w:rPr>
        <w:instrText xml:space="preserve"> REF _Ref478996158 \r \h </w:instrText>
      </w:r>
      <w:r w:rsidR="008D104F">
        <w:rPr>
          <w:szCs w:val="20"/>
        </w:rPr>
      </w:r>
      <w:r w:rsidR="008D104F">
        <w:rPr>
          <w:szCs w:val="20"/>
        </w:rPr>
        <w:fldChar w:fldCharType="separate"/>
      </w:r>
      <w:r w:rsidR="008D104F">
        <w:rPr>
          <w:szCs w:val="20"/>
        </w:rPr>
        <w:t>G</w:t>
      </w:r>
      <w:r w:rsidR="008D104F">
        <w:rPr>
          <w:szCs w:val="20"/>
        </w:rPr>
        <w:fldChar w:fldCharType="end"/>
      </w:r>
      <w:r w:rsidR="008E2445">
        <w:rPr>
          <w:szCs w:val="20"/>
        </w:rPr>
        <w:t>.</w:t>
      </w:r>
    </w:p>
    <w:p w14:paraId="721778E8" w14:textId="77777777" w:rsidR="00B97E6E" w:rsidRDefault="00B97E6E" w:rsidP="00052E59">
      <w:pPr>
        <w:pStyle w:val="Heading1"/>
      </w:pPr>
      <w:bookmarkStart w:id="1" w:name="_Ref477177316"/>
      <w:r w:rsidRPr="00886F17">
        <w:t>Activity Data</w:t>
      </w:r>
      <w:bookmarkEnd w:id="1"/>
    </w:p>
    <w:p w14:paraId="2382C3BA" w14:textId="04BD94D2" w:rsidR="00B24CB0" w:rsidRDefault="00B97E6E" w:rsidP="00B97E6E">
      <w:pPr>
        <w:widowControl/>
        <w:autoSpaceDE/>
        <w:autoSpaceDN/>
        <w:adjustRightInd/>
        <w:rPr>
          <w:szCs w:val="20"/>
        </w:rPr>
      </w:pPr>
      <w:r w:rsidRPr="003733A0">
        <w:rPr>
          <w:szCs w:val="20"/>
        </w:rPr>
        <w:t xml:space="preserve">The </w:t>
      </w:r>
      <w:r w:rsidR="008E2445">
        <w:rPr>
          <w:szCs w:val="20"/>
        </w:rPr>
        <w:t xml:space="preserve">activity data for this source category is the </w:t>
      </w:r>
      <w:r w:rsidRPr="003733A0">
        <w:rPr>
          <w:szCs w:val="20"/>
        </w:rPr>
        <w:t xml:space="preserve">amount of </w:t>
      </w:r>
      <w:r w:rsidR="009807FA">
        <w:rPr>
          <w:szCs w:val="20"/>
        </w:rPr>
        <w:t>leaf and brush waste</w:t>
      </w:r>
      <w:r w:rsidR="007F3EDA">
        <w:rPr>
          <w:szCs w:val="20"/>
        </w:rPr>
        <w:t xml:space="preserve"> generated</w:t>
      </w:r>
      <w:r w:rsidR="008E2445">
        <w:rPr>
          <w:szCs w:val="20"/>
        </w:rPr>
        <w:t>, which</w:t>
      </w:r>
      <w:r>
        <w:rPr>
          <w:szCs w:val="20"/>
        </w:rPr>
        <w:t xml:space="preserve"> </w:t>
      </w:r>
      <w:r w:rsidR="002E5ADD">
        <w:rPr>
          <w:szCs w:val="20"/>
        </w:rPr>
        <w:t>i</w:t>
      </w:r>
      <w:r w:rsidRPr="003733A0">
        <w:rPr>
          <w:szCs w:val="20"/>
        </w:rPr>
        <w:t>s estimated using data</w:t>
      </w:r>
      <w:r w:rsidR="007F3EDA">
        <w:rPr>
          <w:szCs w:val="20"/>
        </w:rPr>
        <w:t xml:space="preserve"> the</w:t>
      </w:r>
      <w:r w:rsidR="00060A69">
        <w:rPr>
          <w:szCs w:val="20"/>
        </w:rPr>
        <w:t xml:space="preserve"> </w:t>
      </w:r>
      <w:r w:rsidRPr="003733A0">
        <w:rPr>
          <w:szCs w:val="20"/>
        </w:rPr>
        <w:t>EPA report</w:t>
      </w:r>
      <w:r w:rsidR="007F3EDA">
        <w:rPr>
          <w:szCs w:val="20"/>
        </w:rPr>
        <w:t xml:space="preserve"> </w:t>
      </w:r>
      <w:r w:rsidRPr="00100372">
        <w:rPr>
          <w:i/>
          <w:szCs w:val="20"/>
        </w:rPr>
        <w:t>Advancing Sustainable Materials Management: 2</w:t>
      </w:r>
      <w:r w:rsidR="00986448">
        <w:rPr>
          <w:i/>
          <w:szCs w:val="20"/>
        </w:rPr>
        <w:t>01</w:t>
      </w:r>
      <w:r w:rsidR="001946A7">
        <w:rPr>
          <w:i/>
          <w:szCs w:val="20"/>
        </w:rPr>
        <w:t>5</w:t>
      </w:r>
      <w:r w:rsidRPr="00100372">
        <w:rPr>
          <w:i/>
          <w:szCs w:val="20"/>
        </w:rPr>
        <w:t xml:space="preserve"> Fact Sheet</w:t>
      </w:r>
      <w:r w:rsidRPr="003733A0">
        <w:rPr>
          <w:szCs w:val="20"/>
        </w:rPr>
        <w:t>.</w:t>
      </w:r>
      <w:r w:rsidR="00FA3543" w:rsidRPr="00FA3543">
        <w:rPr>
          <w:szCs w:val="20"/>
          <w:vertAlign w:val="superscript"/>
        </w:rPr>
        <w:fldChar w:fldCharType="begin"/>
      </w:r>
      <w:r w:rsidR="00FA3543" w:rsidRPr="00FA3543">
        <w:rPr>
          <w:szCs w:val="20"/>
          <w:vertAlign w:val="superscript"/>
        </w:rPr>
        <w:instrText xml:space="preserve"> NOTEREF _Ref478637224 \h </w:instrText>
      </w:r>
      <w:r w:rsidR="00FA3543">
        <w:rPr>
          <w:szCs w:val="20"/>
          <w:vertAlign w:val="superscript"/>
        </w:rPr>
        <w:instrText xml:space="preserve"> \* MERGEFORMAT </w:instrText>
      </w:r>
      <w:r w:rsidR="00FA3543" w:rsidRPr="00FA3543">
        <w:rPr>
          <w:szCs w:val="20"/>
          <w:vertAlign w:val="superscript"/>
        </w:rPr>
      </w:r>
      <w:r w:rsidR="00FA3543" w:rsidRPr="00FA3543">
        <w:rPr>
          <w:szCs w:val="20"/>
          <w:vertAlign w:val="superscript"/>
        </w:rPr>
        <w:fldChar w:fldCharType="separate"/>
      </w:r>
      <w:r w:rsidR="00B36F28">
        <w:rPr>
          <w:szCs w:val="20"/>
          <w:vertAlign w:val="superscript"/>
        </w:rPr>
        <w:t>1</w:t>
      </w:r>
      <w:r w:rsidR="00FA3543" w:rsidRPr="00FA3543">
        <w:rPr>
          <w:szCs w:val="20"/>
          <w:vertAlign w:val="superscript"/>
        </w:rPr>
        <w:fldChar w:fldCharType="end"/>
      </w:r>
      <w:r w:rsidR="00700C74">
        <w:rPr>
          <w:szCs w:val="20"/>
        </w:rPr>
        <w:t xml:space="preserve"> </w:t>
      </w:r>
      <w:r w:rsidR="00700C74" w:rsidRPr="003733A0">
        <w:rPr>
          <w:szCs w:val="20"/>
        </w:rPr>
        <w:t xml:space="preserve">The report presents the total mass of waste generated </w:t>
      </w:r>
      <w:r w:rsidR="00700C74">
        <w:rPr>
          <w:szCs w:val="20"/>
        </w:rPr>
        <w:t xml:space="preserve">from the residential and commercial sectors </w:t>
      </w:r>
      <w:r w:rsidR="00700C74" w:rsidRPr="003733A0">
        <w:rPr>
          <w:szCs w:val="20"/>
        </w:rPr>
        <w:t>in the United States by type</w:t>
      </w:r>
      <w:r w:rsidR="00700C74">
        <w:rPr>
          <w:szCs w:val="20"/>
        </w:rPr>
        <w:t xml:space="preserve"> of </w:t>
      </w:r>
      <w:r w:rsidR="001946A7">
        <w:rPr>
          <w:szCs w:val="20"/>
        </w:rPr>
        <w:t>waste for the calendar year 2015</w:t>
      </w:r>
      <w:r w:rsidR="00700C74">
        <w:rPr>
          <w:szCs w:val="20"/>
        </w:rPr>
        <w:t>.</w:t>
      </w:r>
    </w:p>
    <w:p w14:paraId="67A78018" w14:textId="24A0B946" w:rsidR="00B76CA8" w:rsidRPr="0020702C" w:rsidRDefault="001F1A1E" w:rsidP="0020702C">
      <w:pPr>
        <w:widowControl/>
        <w:autoSpaceDE/>
        <w:autoSpaceDN/>
        <w:adjustRightInd/>
        <w:rPr>
          <w:szCs w:val="20"/>
        </w:rPr>
      </w:pPr>
      <w:r>
        <w:rPr>
          <w:szCs w:val="20"/>
        </w:rPr>
        <w:fldChar w:fldCharType="begin"/>
      </w:r>
      <w:r>
        <w:rPr>
          <w:szCs w:val="20"/>
        </w:rPr>
        <w:instrText xml:space="preserve"> REF _Ref478469978 \h </w:instrText>
      </w:r>
      <w:r>
        <w:rPr>
          <w:szCs w:val="20"/>
        </w:rPr>
      </w:r>
      <w:r>
        <w:rPr>
          <w:szCs w:val="20"/>
        </w:rPr>
        <w:fldChar w:fldCharType="separate"/>
      </w:r>
      <w:r w:rsidR="00B36F28">
        <w:t xml:space="preserve">Table </w:t>
      </w:r>
      <w:r w:rsidR="00B36F28">
        <w:rPr>
          <w:noProof/>
        </w:rPr>
        <w:t>1</w:t>
      </w:r>
      <w:r>
        <w:rPr>
          <w:szCs w:val="20"/>
        </w:rPr>
        <w:fldChar w:fldCharType="end"/>
      </w:r>
      <w:r>
        <w:rPr>
          <w:szCs w:val="20"/>
        </w:rPr>
        <w:t xml:space="preserve"> </w:t>
      </w:r>
      <w:r w:rsidR="00B97E6E" w:rsidRPr="004B0DDF">
        <w:rPr>
          <w:szCs w:val="20"/>
        </w:rPr>
        <w:t>shows</w:t>
      </w:r>
      <w:r w:rsidR="009807FA">
        <w:rPr>
          <w:szCs w:val="20"/>
        </w:rPr>
        <w:t xml:space="preserve"> the </w:t>
      </w:r>
      <w:r w:rsidR="00B24CB0">
        <w:rPr>
          <w:szCs w:val="20"/>
        </w:rPr>
        <w:t xml:space="preserve">national-level </w:t>
      </w:r>
      <w:r w:rsidR="009807FA">
        <w:rPr>
          <w:szCs w:val="20"/>
        </w:rPr>
        <w:t xml:space="preserve">yard </w:t>
      </w:r>
      <w:r w:rsidR="00700C74">
        <w:rPr>
          <w:szCs w:val="20"/>
        </w:rPr>
        <w:t>waste generated</w:t>
      </w:r>
      <w:r w:rsidR="00BF2D63">
        <w:rPr>
          <w:szCs w:val="20"/>
        </w:rPr>
        <w:t xml:space="preserve"> and the corresponding per capita values</w:t>
      </w:r>
      <w:r w:rsidR="00B97E6E">
        <w:rPr>
          <w:szCs w:val="20"/>
        </w:rPr>
        <w:t xml:space="preserve">. </w:t>
      </w:r>
      <w:r w:rsidR="009807FA">
        <w:rPr>
          <w:szCs w:val="20"/>
        </w:rPr>
        <w:t>The per capita value</w:t>
      </w:r>
      <w:r w:rsidR="0020702C">
        <w:rPr>
          <w:szCs w:val="20"/>
        </w:rPr>
        <w:t xml:space="preserve"> of </w:t>
      </w:r>
      <w:r w:rsidR="009807FA">
        <w:rPr>
          <w:szCs w:val="20"/>
        </w:rPr>
        <w:t>yard waste subject to burning was</w:t>
      </w:r>
      <w:r w:rsidR="0020702C">
        <w:rPr>
          <w:szCs w:val="20"/>
        </w:rPr>
        <w:t xml:space="preserve"> developed based on EPA’s total amount of waste generated. According to the 2010 version of the</w:t>
      </w:r>
      <w:r w:rsidR="00567EC9">
        <w:rPr>
          <w:szCs w:val="20"/>
        </w:rPr>
        <w:t xml:space="preserve"> same</w:t>
      </w:r>
      <w:r w:rsidR="0020702C">
        <w:rPr>
          <w:szCs w:val="20"/>
        </w:rPr>
        <w:t xml:space="preserve"> EPA report, residential wast</w:t>
      </w:r>
      <w:r w:rsidR="00FA3543">
        <w:rPr>
          <w:szCs w:val="20"/>
        </w:rPr>
        <w:t>e generation accounts for 55-65%</w:t>
      </w:r>
      <w:r w:rsidR="0020702C">
        <w:rPr>
          <w:szCs w:val="20"/>
        </w:rPr>
        <w:t xml:space="preserve"> of the total waste from the residential and commercial sectors;</w:t>
      </w:r>
      <w:r w:rsidR="00BE1458">
        <w:rPr>
          <w:rStyle w:val="EndnoteReference"/>
          <w:szCs w:val="20"/>
        </w:rPr>
        <w:endnoteReference w:id="3"/>
      </w:r>
      <w:r w:rsidR="00FA3543">
        <w:rPr>
          <w:szCs w:val="20"/>
        </w:rPr>
        <w:t xml:space="preserve"> </w:t>
      </w:r>
      <w:r w:rsidR="0020702C">
        <w:rPr>
          <w:szCs w:val="20"/>
        </w:rPr>
        <w:t xml:space="preserve">for the </w:t>
      </w:r>
      <w:bookmarkStart w:id="2" w:name="_GoBack"/>
      <w:bookmarkEnd w:id="2"/>
      <w:r w:rsidR="0020702C">
        <w:rPr>
          <w:szCs w:val="20"/>
        </w:rPr>
        <w:t>per capita calculation, the median value of 6</w:t>
      </w:r>
      <w:r w:rsidR="00FA3543">
        <w:rPr>
          <w:szCs w:val="20"/>
        </w:rPr>
        <w:t>0</w:t>
      </w:r>
      <w:r w:rsidR="00DB0467">
        <w:rPr>
          <w:szCs w:val="20"/>
        </w:rPr>
        <w:t>% of total waste generated is</w:t>
      </w:r>
      <w:r w:rsidR="0020702C">
        <w:rPr>
          <w:szCs w:val="20"/>
        </w:rPr>
        <w:t xml:space="preserve"> assume</w:t>
      </w:r>
      <w:r w:rsidR="00DB0467">
        <w:rPr>
          <w:szCs w:val="20"/>
        </w:rPr>
        <w:t xml:space="preserve">d. </w:t>
      </w:r>
      <w:r w:rsidR="00FA3543">
        <w:rPr>
          <w:szCs w:val="20"/>
        </w:rPr>
        <w:t xml:space="preserve">This number is multiplied by the amount of yard waste generated and divided by the U.S. </w:t>
      </w:r>
      <w:r w:rsidR="00DB0467">
        <w:rPr>
          <w:szCs w:val="20"/>
        </w:rPr>
        <w:t>population in 201</w:t>
      </w:r>
      <w:r w:rsidR="001946A7">
        <w:rPr>
          <w:szCs w:val="20"/>
        </w:rPr>
        <w:t>5</w:t>
      </w:r>
      <w:r w:rsidR="00DB0467">
        <w:rPr>
          <w:szCs w:val="20"/>
        </w:rPr>
        <w:t xml:space="preserve"> </w:t>
      </w:r>
      <w:r w:rsidR="00FA3543">
        <w:rPr>
          <w:szCs w:val="20"/>
        </w:rPr>
        <w:t>(</w:t>
      </w:r>
      <w:r w:rsidR="0020702C">
        <w:rPr>
          <w:szCs w:val="20"/>
        </w:rPr>
        <w:t>319 million people</w:t>
      </w:r>
      <w:r w:rsidR="00FA3543">
        <w:rPr>
          <w:szCs w:val="20"/>
        </w:rPr>
        <w:t>)</w:t>
      </w:r>
      <w:r w:rsidR="00BE1458">
        <w:rPr>
          <w:rStyle w:val="EndnoteReference"/>
          <w:szCs w:val="20"/>
        </w:rPr>
        <w:endnoteReference w:id="4"/>
      </w:r>
      <w:r w:rsidR="00FA3543">
        <w:rPr>
          <w:szCs w:val="20"/>
        </w:rPr>
        <w:t xml:space="preserve"> to determine the per capita amount of yard waste generated in the United States.</w:t>
      </w:r>
      <w:r w:rsidR="0020702C" w:rsidRPr="003733A0">
        <w:rPr>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8"/>
        <w:gridCol w:w="828"/>
      </w:tblGrid>
      <w:tr w:rsidR="00B76CA8" w14:paraId="7B274542" w14:textId="77777777" w:rsidTr="008936CB">
        <w:trPr>
          <w:trHeight w:val="864"/>
        </w:trPr>
        <w:tc>
          <w:tcPr>
            <w:tcW w:w="8748" w:type="dxa"/>
            <w:vAlign w:val="center"/>
          </w:tcPr>
          <w:p w14:paraId="1FEA0E95" w14:textId="0DF6B09A" w:rsidR="00B76CA8" w:rsidRPr="00770E9B" w:rsidRDefault="001946A7" w:rsidP="000B7FC0">
            <w:pPr>
              <w:widowControl/>
              <w:autoSpaceDE/>
              <w:autoSpaceDN/>
              <w:adjustRightInd/>
              <w:jc w:val="center"/>
              <w:rPr>
                <w:szCs w:val="20"/>
              </w:rPr>
            </w:pPr>
            <m:oMathPara>
              <m:oMathParaPr>
                <m:jc m:val="center"/>
              </m:oMathParaPr>
              <m:oMath>
                <m:sSub>
                  <m:sSubPr>
                    <m:ctrlPr>
                      <w:rPr>
                        <w:rFonts w:ascii="Cambria Math" w:hAnsi="Cambria Math"/>
                        <w:i/>
                      </w:rPr>
                    </m:ctrlPr>
                  </m:sSubPr>
                  <m:e>
                    <m:r>
                      <w:rPr>
                        <w:rFonts w:ascii="Cambria Math" w:hAnsi="Cambria Math"/>
                      </w:rPr>
                      <m:t>PC</m:t>
                    </m:r>
                  </m:e>
                  <m:sub>
                    <m:r>
                      <w:rPr>
                        <w:rFonts w:ascii="Cambria Math" w:hAnsi="Cambria Math"/>
                      </w:rPr>
                      <m:t>yw</m:t>
                    </m:r>
                  </m:sub>
                </m:sSub>
                <m:r>
                  <w:rPr>
                    <w:rFonts w:ascii="Cambria Math" w:hAnsi="Cambria Math"/>
                  </w:rPr>
                  <m:t>=</m:t>
                </m:r>
                <m:f>
                  <m:fPr>
                    <m:ctrlPr>
                      <w:rPr>
                        <w:rFonts w:ascii="Cambria Math" w:hAnsi="Cambria Math"/>
                        <w:i/>
                      </w:rPr>
                    </m:ctrlPr>
                  </m:fPr>
                  <m:num>
                    <m:r>
                      <w:rPr>
                        <w:rFonts w:ascii="Cambria Math" w:hAnsi="Cambria Math"/>
                      </w:rPr>
                      <m:t>YW×0.60</m:t>
                    </m:r>
                  </m:num>
                  <m:den>
                    <m:sSub>
                      <m:sSubPr>
                        <m:ctrlPr>
                          <w:rPr>
                            <w:rFonts w:ascii="Cambria Math" w:hAnsi="Cambria Math"/>
                            <w:i/>
                          </w:rPr>
                        </m:ctrlPr>
                      </m:sSubPr>
                      <m:e>
                        <m:r>
                          <w:rPr>
                            <w:rFonts w:ascii="Cambria Math" w:hAnsi="Cambria Math"/>
                          </w:rPr>
                          <m:t>P</m:t>
                        </m:r>
                      </m:e>
                      <m:sub>
                        <m:r>
                          <w:rPr>
                            <w:rFonts w:ascii="Cambria Math" w:hAnsi="Cambria Math"/>
                          </w:rPr>
                          <m:t>y,US</m:t>
                        </m:r>
                      </m:sub>
                    </m:sSub>
                  </m:den>
                </m:f>
              </m:oMath>
            </m:oMathPara>
          </w:p>
        </w:tc>
        <w:tc>
          <w:tcPr>
            <w:tcW w:w="828" w:type="dxa"/>
            <w:vAlign w:val="center"/>
          </w:tcPr>
          <w:p w14:paraId="713E3940" w14:textId="77777777" w:rsidR="00B76CA8" w:rsidRPr="003D471D" w:rsidRDefault="00B76CA8" w:rsidP="00E36C4A">
            <w:pPr>
              <w:pStyle w:val="ListParagraph"/>
              <w:widowControl/>
              <w:numPr>
                <w:ilvl w:val="0"/>
                <w:numId w:val="10"/>
              </w:numPr>
              <w:autoSpaceDE/>
              <w:autoSpaceDN/>
              <w:adjustRightInd/>
              <w:rPr>
                <w:szCs w:val="20"/>
              </w:rPr>
            </w:pPr>
          </w:p>
        </w:tc>
      </w:tr>
    </w:tbl>
    <w:p w14:paraId="2C98DC4E" w14:textId="77777777" w:rsidR="00B76CA8" w:rsidRPr="0006347C" w:rsidRDefault="00B76CA8" w:rsidP="00B76CA8">
      <w:pPr>
        <w:widowControl/>
        <w:tabs>
          <w:tab w:val="left" w:pos="0"/>
        </w:tabs>
        <w:rPr>
          <w:szCs w:val="20"/>
        </w:rPr>
      </w:pPr>
      <w:r w:rsidRPr="0006347C">
        <w:rPr>
          <w:szCs w:val="20"/>
        </w:rPr>
        <w:t>Where:</w:t>
      </w:r>
    </w:p>
    <w:p w14:paraId="65EF3953" w14:textId="77777777" w:rsidR="000B7FC0" w:rsidRDefault="000B7FC0" w:rsidP="000B7FC0">
      <w:pPr>
        <w:pStyle w:val="NoSpacing"/>
      </w:pPr>
      <w:r>
        <w:tab/>
      </w:r>
      <w:r w:rsidRPr="00D36600">
        <w:rPr>
          <w:i/>
        </w:rPr>
        <w:t>PC</w:t>
      </w:r>
      <w:r w:rsidRPr="00567AE3">
        <w:rPr>
          <w:i/>
          <w:vertAlign w:val="subscript"/>
        </w:rPr>
        <w:t>y</w:t>
      </w:r>
      <w:r w:rsidRPr="00D36600">
        <w:rPr>
          <w:i/>
          <w:vertAlign w:val="subscript"/>
        </w:rPr>
        <w:t>w</w:t>
      </w:r>
      <w:r>
        <w:tab/>
        <w:t>=</w:t>
      </w:r>
      <w:r>
        <w:tab/>
        <w:t xml:space="preserve">Per capita value of yard waste in the US, in tons per person </w:t>
      </w:r>
    </w:p>
    <w:p w14:paraId="2577012B" w14:textId="77777777" w:rsidR="000B7FC0" w:rsidRDefault="000B7FC0" w:rsidP="000B7FC0">
      <w:pPr>
        <w:pStyle w:val="NoSpacing"/>
      </w:pPr>
      <w:r>
        <w:tab/>
      </w:r>
      <w:r>
        <w:rPr>
          <w:i/>
        </w:rPr>
        <w:t>YW</w:t>
      </w:r>
      <w:r>
        <w:tab/>
        <w:t>=</w:t>
      </w:r>
      <w:r>
        <w:tab/>
        <w:t xml:space="preserve">Annual yard waste generated, in million tons </w:t>
      </w:r>
    </w:p>
    <w:p w14:paraId="6189E798" w14:textId="61748431" w:rsidR="00811E42" w:rsidRDefault="000B7FC0" w:rsidP="000B7FC0">
      <w:pPr>
        <w:pStyle w:val="NoSpacing"/>
      </w:pPr>
      <w:r w:rsidRPr="005171E8">
        <w:rPr>
          <w:i/>
        </w:rPr>
        <w:tab/>
      </w:r>
      <w:r>
        <w:rPr>
          <w:i/>
        </w:rPr>
        <w:t>P</w:t>
      </w:r>
      <w:r>
        <w:rPr>
          <w:i/>
          <w:vertAlign w:val="subscript"/>
        </w:rPr>
        <w:t>y,</w:t>
      </w:r>
      <w:r w:rsidRPr="00ED7E09">
        <w:rPr>
          <w:i/>
          <w:vertAlign w:val="subscript"/>
        </w:rPr>
        <w:t>US</w:t>
      </w:r>
      <w:r>
        <w:tab/>
        <w:t>=</w:t>
      </w:r>
      <w:r>
        <w:tab/>
        <w:t>Population of the US for year of inventory, in million people</w:t>
      </w:r>
    </w:p>
    <w:p w14:paraId="4E004722" w14:textId="77777777" w:rsidR="000B7FC0" w:rsidRDefault="000B7FC0" w:rsidP="000B7FC0">
      <w:pPr>
        <w:pStyle w:val="NoSpacing"/>
      </w:pPr>
    </w:p>
    <w:p w14:paraId="2805B64B" w14:textId="568ABB0E" w:rsidR="00684CBB" w:rsidRPr="0020702C" w:rsidRDefault="00DB0467" w:rsidP="00AE432D">
      <w:r>
        <w:lastRenderedPageBreak/>
        <w:t xml:space="preserve">The </w:t>
      </w:r>
      <w:r w:rsidR="00684CBB" w:rsidRPr="003733A0">
        <w:t>per capita</w:t>
      </w:r>
      <w:r w:rsidR="00684CBB">
        <w:t xml:space="preserve"> value of </w:t>
      </w:r>
      <w:r w:rsidR="000B7FC0">
        <w:t>yard</w:t>
      </w:r>
      <w:r w:rsidR="00684CBB">
        <w:t xml:space="preserve"> waste</w:t>
      </w:r>
      <w:r>
        <w:t xml:space="preserve"> is estimated to be</w:t>
      </w:r>
      <w:r w:rsidR="001F1A1E">
        <w:t xml:space="preserve"> </w:t>
      </w:r>
      <w:r w:rsidR="004E1458" w:rsidRPr="00266CAD">
        <w:t>0.</w:t>
      </w:r>
      <w:r w:rsidR="004E1458">
        <w:t>065</w:t>
      </w:r>
      <w:r w:rsidR="001F1A1E">
        <w:t xml:space="preserve"> tons per </w:t>
      </w:r>
      <w:r w:rsidR="00684CBB">
        <w:t>person</w:t>
      </w:r>
      <w:r w:rsidR="001946A7">
        <w:t xml:space="preserve"> in 2015</w:t>
      </w:r>
      <w:r w:rsidR="00684CBB">
        <w:t xml:space="preserve">. </w:t>
      </w:r>
    </w:p>
    <w:p w14:paraId="51BE779A" w14:textId="0C214BCA" w:rsidR="0020702C" w:rsidRDefault="0020702C" w:rsidP="0020702C">
      <w:pPr>
        <w:pStyle w:val="TableCaption"/>
      </w:pPr>
      <w:bookmarkStart w:id="3" w:name="_Ref478469978"/>
      <w:r>
        <w:t xml:space="preserve">Table </w:t>
      </w:r>
      <w:r w:rsidR="001946A7">
        <w:rPr>
          <w:noProof/>
        </w:rPr>
        <w:fldChar w:fldCharType="begin"/>
      </w:r>
      <w:r w:rsidR="001946A7">
        <w:rPr>
          <w:noProof/>
        </w:rPr>
        <w:instrText xml:space="preserve"> SEQ Table \* ARABIC </w:instrText>
      </w:r>
      <w:r w:rsidR="001946A7">
        <w:rPr>
          <w:noProof/>
        </w:rPr>
        <w:fldChar w:fldCharType="separate"/>
      </w:r>
      <w:r w:rsidR="00B36F28">
        <w:rPr>
          <w:noProof/>
        </w:rPr>
        <w:t>1</w:t>
      </w:r>
      <w:r w:rsidR="001946A7">
        <w:rPr>
          <w:noProof/>
        </w:rPr>
        <w:fldChar w:fldCharType="end"/>
      </w:r>
      <w:bookmarkEnd w:id="3"/>
      <w:r>
        <w:t xml:space="preserve">. </w:t>
      </w:r>
      <w:r w:rsidRPr="004B0DDF">
        <w:t>Annual Waste Generated</w:t>
      </w:r>
      <w:r w:rsidR="001946A7">
        <w:t xml:space="preserve"> in the US in 2015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0"/>
        <w:gridCol w:w="2360"/>
        <w:gridCol w:w="2360"/>
      </w:tblGrid>
      <w:tr w:rsidR="000B7FC0" w:rsidRPr="0020702C" w14:paraId="39423A92" w14:textId="77777777" w:rsidTr="00103E34">
        <w:trPr>
          <w:trHeight w:val="20"/>
          <w:jc w:val="center"/>
        </w:trPr>
        <w:tc>
          <w:tcPr>
            <w:tcW w:w="2360" w:type="dxa"/>
            <w:tcBorders>
              <w:top w:val="single" w:sz="4" w:space="0" w:color="auto"/>
            </w:tcBorders>
            <w:shd w:val="clear" w:color="auto" w:fill="BFBFBF" w:themeFill="background1" w:themeFillShade="BF"/>
            <w:vAlign w:val="center"/>
            <w:hideMark/>
          </w:tcPr>
          <w:p w14:paraId="5DA643E6" w14:textId="35367F03" w:rsidR="000B7FC0" w:rsidRPr="0020702C" w:rsidRDefault="000B7FC0" w:rsidP="0020702C">
            <w:pPr>
              <w:widowControl/>
              <w:autoSpaceDE/>
              <w:autoSpaceDN/>
              <w:adjustRightInd/>
              <w:spacing w:after="0"/>
              <w:jc w:val="center"/>
              <w:rPr>
                <w:b/>
                <w:bCs/>
                <w:szCs w:val="20"/>
              </w:rPr>
            </w:pPr>
            <w:r w:rsidRPr="0020702C">
              <w:rPr>
                <w:b/>
                <w:bCs/>
                <w:szCs w:val="20"/>
              </w:rPr>
              <w:t>Material</w:t>
            </w:r>
          </w:p>
        </w:tc>
        <w:tc>
          <w:tcPr>
            <w:tcW w:w="2360" w:type="dxa"/>
            <w:tcBorders>
              <w:top w:val="single" w:sz="4" w:space="0" w:color="auto"/>
            </w:tcBorders>
            <w:shd w:val="clear" w:color="auto" w:fill="BFBFBF" w:themeFill="background1" w:themeFillShade="BF"/>
            <w:vAlign w:val="center"/>
            <w:hideMark/>
          </w:tcPr>
          <w:p w14:paraId="4E87B31C" w14:textId="77777777" w:rsidR="000B7FC0" w:rsidRPr="0020702C" w:rsidRDefault="000B7FC0" w:rsidP="0020702C">
            <w:pPr>
              <w:widowControl/>
              <w:autoSpaceDE/>
              <w:autoSpaceDN/>
              <w:adjustRightInd/>
              <w:spacing w:after="0"/>
              <w:jc w:val="center"/>
              <w:rPr>
                <w:b/>
                <w:bCs/>
                <w:szCs w:val="20"/>
              </w:rPr>
            </w:pPr>
            <w:r w:rsidRPr="0020702C">
              <w:rPr>
                <w:b/>
                <w:bCs/>
                <w:szCs w:val="20"/>
              </w:rPr>
              <w:t>Weight Generated (million tons)</w:t>
            </w:r>
          </w:p>
        </w:tc>
        <w:tc>
          <w:tcPr>
            <w:tcW w:w="2360" w:type="dxa"/>
            <w:tcBorders>
              <w:top w:val="single" w:sz="4" w:space="0" w:color="auto"/>
            </w:tcBorders>
            <w:shd w:val="clear" w:color="auto" w:fill="BFBFBF" w:themeFill="background1" w:themeFillShade="BF"/>
            <w:vAlign w:val="center"/>
            <w:hideMark/>
          </w:tcPr>
          <w:p w14:paraId="46EF09DF" w14:textId="6DE0008B" w:rsidR="000B7FC0" w:rsidRPr="0020702C" w:rsidRDefault="000B7FC0" w:rsidP="0020702C">
            <w:pPr>
              <w:widowControl/>
              <w:autoSpaceDE/>
              <w:autoSpaceDN/>
              <w:adjustRightInd/>
              <w:spacing w:after="0"/>
              <w:jc w:val="center"/>
              <w:rPr>
                <w:b/>
                <w:bCs/>
                <w:szCs w:val="20"/>
              </w:rPr>
            </w:pPr>
            <w:r>
              <w:rPr>
                <w:b/>
                <w:bCs/>
                <w:szCs w:val="20"/>
              </w:rPr>
              <w:t>Tons per person</w:t>
            </w:r>
          </w:p>
        </w:tc>
      </w:tr>
      <w:tr w:rsidR="000B7FC0" w:rsidRPr="0020702C" w14:paraId="5820669B" w14:textId="77777777" w:rsidTr="00103E34">
        <w:trPr>
          <w:trHeight w:val="20"/>
          <w:jc w:val="center"/>
        </w:trPr>
        <w:tc>
          <w:tcPr>
            <w:tcW w:w="2360" w:type="dxa"/>
            <w:shd w:val="clear" w:color="auto" w:fill="auto"/>
            <w:noWrap/>
            <w:vAlign w:val="center"/>
            <w:hideMark/>
          </w:tcPr>
          <w:p w14:paraId="0BACA2BB" w14:textId="77777777" w:rsidR="000B7FC0" w:rsidRPr="0020702C" w:rsidRDefault="000B7FC0" w:rsidP="0020702C">
            <w:pPr>
              <w:widowControl/>
              <w:autoSpaceDE/>
              <w:autoSpaceDN/>
              <w:adjustRightInd/>
              <w:spacing w:after="0"/>
              <w:ind w:firstLineChars="100" w:firstLine="200"/>
              <w:jc w:val="center"/>
              <w:rPr>
                <w:szCs w:val="20"/>
              </w:rPr>
            </w:pPr>
            <w:r w:rsidRPr="0020702C">
              <w:rPr>
                <w:szCs w:val="20"/>
              </w:rPr>
              <w:t>Yard</w:t>
            </w:r>
          </w:p>
        </w:tc>
        <w:tc>
          <w:tcPr>
            <w:tcW w:w="2360" w:type="dxa"/>
            <w:shd w:val="clear" w:color="auto" w:fill="auto"/>
            <w:noWrap/>
            <w:vAlign w:val="center"/>
            <w:hideMark/>
          </w:tcPr>
          <w:p w14:paraId="78EBA5EA" w14:textId="2A1E69A2" w:rsidR="000B7FC0" w:rsidRPr="0020702C" w:rsidRDefault="000B7FC0" w:rsidP="0020702C">
            <w:pPr>
              <w:widowControl/>
              <w:autoSpaceDE/>
              <w:autoSpaceDN/>
              <w:adjustRightInd/>
              <w:spacing w:after="0"/>
              <w:jc w:val="center"/>
              <w:rPr>
                <w:szCs w:val="20"/>
              </w:rPr>
            </w:pPr>
            <w:r>
              <w:rPr>
                <w:szCs w:val="20"/>
              </w:rPr>
              <w:t>34.50</w:t>
            </w:r>
          </w:p>
        </w:tc>
        <w:tc>
          <w:tcPr>
            <w:tcW w:w="2360" w:type="dxa"/>
            <w:shd w:val="clear" w:color="auto" w:fill="auto"/>
            <w:noWrap/>
            <w:vAlign w:val="center"/>
            <w:hideMark/>
          </w:tcPr>
          <w:p w14:paraId="0348F4E0" w14:textId="25FBA053" w:rsidR="000B7FC0" w:rsidRPr="0020702C" w:rsidRDefault="00266CAD" w:rsidP="0020702C">
            <w:pPr>
              <w:widowControl/>
              <w:autoSpaceDE/>
              <w:autoSpaceDN/>
              <w:adjustRightInd/>
              <w:spacing w:after="0"/>
              <w:jc w:val="center"/>
              <w:rPr>
                <w:szCs w:val="20"/>
              </w:rPr>
            </w:pPr>
            <w:r>
              <w:rPr>
                <w:szCs w:val="20"/>
              </w:rPr>
              <w:t>0.065</w:t>
            </w:r>
          </w:p>
        </w:tc>
      </w:tr>
    </w:tbl>
    <w:p w14:paraId="31C9C37E" w14:textId="1C2D1940" w:rsidR="00986448" w:rsidRPr="00DA4458" w:rsidRDefault="00986448" w:rsidP="000B7FC0">
      <w:pPr>
        <w:widowControl/>
        <w:autoSpaceDE/>
        <w:autoSpaceDN/>
        <w:adjustRightInd/>
        <w:spacing w:before="60"/>
        <w:ind w:left="720" w:firstLine="360"/>
        <w:rPr>
          <w:rFonts w:ascii="Calibri" w:hAnsi="Calibri"/>
          <w:color w:val="000000"/>
          <w:szCs w:val="22"/>
        </w:rPr>
      </w:pPr>
      <w:r w:rsidRPr="005A2CA7">
        <w:rPr>
          <w:i/>
          <w:sz w:val="18"/>
          <w:szCs w:val="20"/>
        </w:rPr>
        <w:t>Source:</w:t>
      </w:r>
      <w:r w:rsidR="00BE0480">
        <w:rPr>
          <w:sz w:val="18"/>
          <w:szCs w:val="20"/>
        </w:rPr>
        <w:t xml:space="preserve"> </w:t>
      </w:r>
      <w:r>
        <w:rPr>
          <w:sz w:val="18"/>
          <w:szCs w:val="20"/>
        </w:rPr>
        <w:t xml:space="preserve">Reference </w:t>
      </w:r>
      <w:r w:rsidR="00B36F28">
        <w:rPr>
          <w:sz w:val="18"/>
          <w:szCs w:val="20"/>
        </w:rPr>
        <w:fldChar w:fldCharType="begin"/>
      </w:r>
      <w:r w:rsidR="00B36F28">
        <w:rPr>
          <w:sz w:val="18"/>
          <w:szCs w:val="20"/>
        </w:rPr>
        <w:instrText xml:space="preserve"> NOTEREF _Ref478637224 \h </w:instrText>
      </w:r>
      <w:r w:rsidR="00B36F28">
        <w:rPr>
          <w:sz w:val="18"/>
          <w:szCs w:val="20"/>
        </w:rPr>
      </w:r>
      <w:r w:rsidR="00B36F28">
        <w:rPr>
          <w:sz w:val="18"/>
          <w:szCs w:val="20"/>
        </w:rPr>
        <w:fldChar w:fldCharType="separate"/>
      </w:r>
      <w:r w:rsidR="00B36F28">
        <w:rPr>
          <w:sz w:val="18"/>
          <w:szCs w:val="20"/>
        </w:rPr>
        <w:t>1</w:t>
      </w:r>
      <w:r w:rsidR="00B36F28">
        <w:rPr>
          <w:sz w:val="18"/>
          <w:szCs w:val="20"/>
        </w:rPr>
        <w:fldChar w:fldCharType="end"/>
      </w:r>
      <w:r w:rsidR="00B36F28">
        <w:rPr>
          <w:sz w:val="18"/>
          <w:szCs w:val="20"/>
        </w:rPr>
        <w:t xml:space="preserve">, </w:t>
      </w:r>
      <w:r>
        <w:rPr>
          <w:sz w:val="18"/>
          <w:szCs w:val="20"/>
        </w:rPr>
        <w:t>Table 1</w:t>
      </w:r>
    </w:p>
    <w:p w14:paraId="3C1126BC" w14:textId="1A16E6ED" w:rsidR="00DB0467" w:rsidRPr="00567EC9" w:rsidRDefault="00B511A0" w:rsidP="00B511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6" w:lineRule="auto"/>
      </w:pPr>
      <w:r>
        <w:rPr>
          <w:szCs w:val="20"/>
        </w:rPr>
        <w:t xml:space="preserve">As </w:t>
      </w:r>
      <w:r w:rsidRPr="003733A0">
        <w:rPr>
          <w:szCs w:val="20"/>
        </w:rPr>
        <w:t xml:space="preserve">open burning is generally not practiced in </w:t>
      </w:r>
      <w:r w:rsidR="00FA3543">
        <w:rPr>
          <w:szCs w:val="20"/>
        </w:rPr>
        <w:t>urbanized area</w:t>
      </w:r>
      <w:r w:rsidRPr="003733A0">
        <w:rPr>
          <w:szCs w:val="20"/>
        </w:rPr>
        <w:t>s, only the</w:t>
      </w:r>
      <w:r>
        <w:rPr>
          <w:szCs w:val="20"/>
        </w:rPr>
        <w:t xml:space="preserve"> rural </w:t>
      </w:r>
      <w:r w:rsidR="00DB0467">
        <w:rPr>
          <w:szCs w:val="20"/>
        </w:rPr>
        <w:t>population</w:t>
      </w:r>
      <w:r w:rsidR="00567EC9">
        <w:rPr>
          <w:szCs w:val="20"/>
        </w:rPr>
        <w:t xml:space="preserve"> in each county is</w:t>
      </w:r>
      <w:r w:rsidRPr="003733A0">
        <w:rPr>
          <w:szCs w:val="20"/>
        </w:rPr>
        <w:t xml:space="preserve"> assumed to practice open burning.</w:t>
      </w:r>
      <w:r>
        <w:rPr>
          <w:szCs w:val="20"/>
        </w:rPr>
        <w:t xml:space="preserve"> </w:t>
      </w:r>
      <w:r w:rsidR="00DD56FB">
        <w:rPr>
          <w:szCs w:val="20"/>
        </w:rPr>
        <w:t>The r</w:t>
      </w:r>
      <w:r>
        <w:rPr>
          <w:szCs w:val="20"/>
        </w:rPr>
        <w:t>ural</w:t>
      </w:r>
      <w:r w:rsidR="00567EC9">
        <w:rPr>
          <w:szCs w:val="20"/>
        </w:rPr>
        <w:t xml:space="preserve"> and urban </w:t>
      </w:r>
      <w:r>
        <w:rPr>
          <w:szCs w:val="20"/>
        </w:rPr>
        <w:t>population</w:t>
      </w:r>
      <w:r w:rsidR="00567EC9">
        <w:rPr>
          <w:szCs w:val="20"/>
        </w:rPr>
        <w:t>s are</w:t>
      </w:r>
      <w:r w:rsidR="00DB0467">
        <w:rPr>
          <w:szCs w:val="20"/>
        </w:rPr>
        <w:t xml:space="preserve"> taken</w:t>
      </w:r>
      <w:r w:rsidRPr="003733A0">
        <w:rPr>
          <w:szCs w:val="20"/>
        </w:rPr>
        <w:t xml:space="preserve"> from 20</w:t>
      </w:r>
      <w:r>
        <w:rPr>
          <w:szCs w:val="20"/>
        </w:rPr>
        <w:t>1</w:t>
      </w:r>
      <w:r w:rsidRPr="003733A0">
        <w:rPr>
          <w:szCs w:val="20"/>
        </w:rPr>
        <w:t>0 U.S. Census data.</w:t>
      </w:r>
      <w:r w:rsidR="00BE1458">
        <w:rPr>
          <w:rStyle w:val="EndnoteReference"/>
          <w:szCs w:val="20"/>
        </w:rPr>
        <w:endnoteReference w:id="5"/>
      </w:r>
      <w:r w:rsidRPr="003733A0">
        <w:rPr>
          <w:szCs w:val="20"/>
        </w:rPr>
        <w:t xml:space="preserve"> </w:t>
      </w:r>
      <w:r w:rsidR="00567EC9">
        <w:t xml:space="preserve"> </w:t>
      </w:r>
      <w:r w:rsidR="00A207E8">
        <w:rPr>
          <w:szCs w:val="20"/>
        </w:rPr>
        <w:t>It is assumed that 24%</w:t>
      </w:r>
      <w:r w:rsidR="00A207E8" w:rsidRPr="00697E78">
        <w:rPr>
          <w:szCs w:val="20"/>
        </w:rPr>
        <w:t xml:space="preserve"> of </w:t>
      </w:r>
      <w:r w:rsidR="00A207E8">
        <w:rPr>
          <w:szCs w:val="20"/>
        </w:rPr>
        <w:t>the rural population burns yard waste</w:t>
      </w:r>
      <w:r>
        <w:rPr>
          <w:szCs w:val="20"/>
        </w:rPr>
        <w:t>.</w:t>
      </w:r>
      <w:r w:rsidR="00BE1458">
        <w:rPr>
          <w:rStyle w:val="EndnoteReference"/>
          <w:szCs w:val="20"/>
        </w:rPr>
        <w:endnoteReference w:id="6"/>
      </w:r>
      <w:r w:rsidRPr="00697E78">
        <w:rPr>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0"/>
        <w:gridCol w:w="1296"/>
      </w:tblGrid>
      <w:tr w:rsidR="00567EC9" w:rsidRPr="003D471D" w14:paraId="4C09C610" w14:textId="77777777" w:rsidTr="00567EC9">
        <w:trPr>
          <w:trHeight w:val="720"/>
        </w:trPr>
        <w:tc>
          <w:tcPr>
            <w:tcW w:w="8280" w:type="dxa"/>
            <w:vAlign w:val="center"/>
          </w:tcPr>
          <w:p w14:paraId="45EAD4B3" w14:textId="21E881C1" w:rsidR="00567EC9" w:rsidRPr="00770E9B" w:rsidRDefault="001946A7" w:rsidP="00567EC9">
            <w:pPr>
              <w:widowControl/>
              <w:autoSpaceDE/>
              <w:autoSpaceDN/>
              <w:adjustRightInd/>
              <w:jc w:val="center"/>
              <w:rPr>
                <w:szCs w:val="20"/>
              </w:rPr>
            </w:pPr>
            <m:oMathPara>
              <m:oMathParaPr>
                <m:jc m:val="center"/>
              </m:oMathParaPr>
              <m:oMath>
                <m:sSub>
                  <m:sSubPr>
                    <m:ctrlPr>
                      <w:rPr>
                        <w:rFonts w:ascii="Cambria Math" w:hAnsi="Cambria Math"/>
                        <w:i/>
                      </w:rPr>
                    </m:ctrlPr>
                  </m:sSubPr>
                  <m:e>
                    <m:r>
                      <w:rPr>
                        <w:rFonts w:ascii="Cambria Math" w:hAnsi="Cambria Math"/>
                      </w:rPr>
                      <m:t>PBurn</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RPop</m:t>
                    </m:r>
                  </m:e>
                  <m:sub>
                    <m:r>
                      <w:rPr>
                        <w:rFonts w:ascii="Cambria Math" w:hAnsi="Cambria Math"/>
                      </w:rPr>
                      <m:t>c</m:t>
                    </m:r>
                  </m:sub>
                </m:sSub>
                <m:r>
                  <w:rPr>
                    <w:rFonts w:ascii="Cambria Math" w:hAnsi="Cambria Math"/>
                  </w:rPr>
                  <m:t>×0.24</m:t>
                </m:r>
              </m:oMath>
            </m:oMathPara>
          </w:p>
        </w:tc>
        <w:tc>
          <w:tcPr>
            <w:tcW w:w="1296" w:type="dxa"/>
            <w:vAlign w:val="center"/>
          </w:tcPr>
          <w:p w14:paraId="5CEEB104" w14:textId="77777777" w:rsidR="00567EC9" w:rsidRPr="003D471D" w:rsidRDefault="00567EC9" w:rsidP="008936CB">
            <w:pPr>
              <w:pStyle w:val="ListParagraph"/>
              <w:widowControl/>
              <w:numPr>
                <w:ilvl w:val="0"/>
                <w:numId w:val="10"/>
              </w:numPr>
              <w:autoSpaceDE/>
              <w:autoSpaceDN/>
              <w:adjustRightInd/>
              <w:jc w:val="center"/>
              <w:rPr>
                <w:szCs w:val="20"/>
              </w:rPr>
            </w:pPr>
          </w:p>
        </w:tc>
      </w:tr>
    </w:tbl>
    <w:p w14:paraId="4262E2BA" w14:textId="77777777" w:rsidR="008936CB" w:rsidRDefault="008936CB" w:rsidP="008936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6" w:lineRule="auto"/>
        <w:rPr>
          <w:szCs w:val="20"/>
        </w:rPr>
      </w:pPr>
      <w:r>
        <w:rPr>
          <w:szCs w:val="20"/>
        </w:rPr>
        <w:t>Where:</w:t>
      </w:r>
    </w:p>
    <w:p w14:paraId="4A67D8F1" w14:textId="7D0EF254" w:rsidR="00E36C4A" w:rsidRDefault="00E36C4A" w:rsidP="008936CB">
      <w:pPr>
        <w:pStyle w:val="NoSpacing"/>
        <w:rPr>
          <w:i/>
        </w:rPr>
      </w:pPr>
      <w:r>
        <w:rPr>
          <w:i/>
        </w:rPr>
        <w:tab/>
      </w:r>
      <w:r w:rsidRPr="00D36600">
        <w:rPr>
          <w:i/>
        </w:rPr>
        <w:t>PBurn</w:t>
      </w:r>
      <w:r w:rsidRPr="00D36600">
        <w:rPr>
          <w:i/>
          <w:vertAlign w:val="subscript"/>
        </w:rPr>
        <w:t>c</w:t>
      </w:r>
      <w:r>
        <w:rPr>
          <w:vertAlign w:val="subscript"/>
        </w:rPr>
        <w:tab/>
      </w:r>
      <w:r>
        <w:t>=</w:t>
      </w:r>
      <w:r>
        <w:tab/>
        <w:t xml:space="preserve">Population likely to burn in county </w:t>
      </w:r>
      <w:r>
        <w:rPr>
          <w:i/>
        </w:rPr>
        <w:t>c</w:t>
      </w:r>
    </w:p>
    <w:p w14:paraId="321FAEF1" w14:textId="0CFA655A" w:rsidR="008936CB" w:rsidRDefault="008936CB" w:rsidP="008936CB">
      <w:pPr>
        <w:pStyle w:val="NoSpacing"/>
        <w:rPr>
          <w:i/>
        </w:rPr>
      </w:pPr>
      <w:r>
        <w:tab/>
      </w:r>
      <w:r w:rsidR="00567EC9">
        <w:rPr>
          <w:i/>
        </w:rPr>
        <w:t>RPop</w:t>
      </w:r>
      <w:r w:rsidRPr="00D36600">
        <w:rPr>
          <w:i/>
          <w:vertAlign w:val="subscript"/>
        </w:rPr>
        <w:t>c</w:t>
      </w:r>
      <w:r w:rsidR="00C17C05">
        <w:tab/>
        <w:t>=</w:t>
      </w:r>
      <w:r w:rsidR="00C17C05">
        <w:tab/>
        <w:t xml:space="preserve">Rural </w:t>
      </w:r>
      <w:r>
        <w:t xml:space="preserve">population in county </w:t>
      </w:r>
      <w:r>
        <w:rPr>
          <w:i/>
        </w:rPr>
        <w:t>c</w:t>
      </w:r>
      <w:r w:rsidR="00C17C05">
        <w:rPr>
          <w:i/>
        </w:rPr>
        <w:t xml:space="preserve"> </w:t>
      </w:r>
      <w:r w:rsidR="00C17C05">
        <w:t>in 2010</w:t>
      </w:r>
    </w:p>
    <w:p w14:paraId="42AE6095" w14:textId="3C3FAD46" w:rsidR="008936CB" w:rsidRDefault="008936CB" w:rsidP="008936CB">
      <w:pPr>
        <w:pStyle w:val="NoSpacing"/>
        <w:rPr>
          <w:i/>
        </w:rPr>
      </w:pPr>
      <w:r w:rsidRPr="00D36600">
        <w:rPr>
          <w:i/>
        </w:rPr>
        <w:tab/>
      </w:r>
    </w:p>
    <w:p w14:paraId="1BBB232B" w14:textId="4489894C" w:rsidR="00B511A0" w:rsidRDefault="00F87189" w:rsidP="00B511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6" w:lineRule="auto"/>
      </w:pPr>
      <w:r>
        <w:rPr>
          <w:szCs w:val="20"/>
        </w:rPr>
        <w:t>The number of people likely to burn waste in each county</w:t>
      </w:r>
      <w:r w:rsidR="00C17C05">
        <w:rPr>
          <w:szCs w:val="20"/>
        </w:rPr>
        <w:t xml:space="preserve"> (from equation 2</w:t>
      </w:r>
      <w:r w:rsidR="00760A1F">
        <w:rPr>
          <w:szCs w:val="20"/>
        </w:rPr>
        <w:t>)</w:t>
      </w:r>
      <w:r w:rsidR="00B511A0">
        <w:rPr>
          <w:szCs w:val="20"/>
        </w:rPr>
        <w:t xml:space="preserve"> </w:t>
      </w:r>
      <w:r>
        <w:rPr>
          <w:szCs w:val="20"/>
        </w:rPr>
        <w:t xml:space="preserve">is </w:t>
      </w:r>
      <w:r w:rsidR="00B937CC">
        <w:rPr>
          <w:szCs w:val="20"/>
        </w:rPr>
        <w:t>then used with the value</w:t>
      </w:r>
      <w:r w:rsidR="00B511A0">
        <w:rPr>
          <w:szCs w:val="20"/>
        </w:rPr>
        <w:t xml:space="preserve"> of per capita </w:t>
      </w:r>
      <w:r w:rsidR="00B937CC">
        <w:rPr>
          <w:szCs w:val="20"/>
        </w:rPr>
        <w:t xml:space="preserve">yard waste generated </w:t>
      </w:r>
      <w:r w:rsidR="00760A1F">
        <w:rPr>
          <w:szCs w:val="20"/>
        </w:rPr>
        <w:t xml:space="preserve">(from equation 1) </w:t>
      </w:r>
      <w:r w:rsidR="00B937CC">
        <w:rPr>
          <w:szCs w:val="20"/>
        </w:rPr>
        <w:t xml:space="preserve">and two assumptions </w:t>
      </w:r>
      <w:r w:rsidR="00B511A0">
        <w:rPr>
          <w:szCs w:val="20"/>
        </w:rPr>
        <w:t xml:space="preserve">to determine the amount of </w:t>
      </w:r>
      <w:r w:rsidR="00B937CC">
        <w:rPr>
          <w:szCs w:val="20"/>
        </w:rPr>
        <w:t>leaf and brush waste</w:t>
      </w:r>
      <w:r w:rsidR="00B511A0">
        <w:rPr>
          <w:szCs w:val="20"/>
        </w:rPr>
        <w:t xml:space="preserve"> burned</w:t>
      </w:r>
      <w:r>
        <w:rPr>
          <w:szCs w:val="20"/>
        </w:rPr>
        <w:t>.</w:t>
      </w:r>
      <w:r w:rsidR="00B937CC">
        <w:rPr>
          <w:szCs w:val="20"/>
        </w:rPr>
        <w:t xml:space="preserve"> The first assumption concerns the composition of yard waste; o</w:t>
      </w:r>
      <w:r w:rsidR="00B937CC" w:rsidRPr="00E44CEA">
        <w:t>f the total amo</w:t>
      </w:r>
      <w:r w:rsidR="00B937CC">
        <w:t>unt of yard waste generated, yard waste composition is</w:t>
      </w:r>
      <w:r w:rsidR="00B937CC" w:rsidRPr="00E44CEA">
        <w:t xml:space="preserve"> assumed to be 25 percent leaves, 25 percent brush, and 50 percent grass by weight.</w:t>
      </w:r>
      <w:r w:rsidR="00624A8A">
        <w:rPr>
          <w:rStyle w:val="EndnoteReference"/>
        </w:rPr>
        <w:endnoteReference w:id="7"/>
      </w:r>
      <w:r w:rsidR="00B937CC">
        <w:t xml:space="preserve"> However, o</w:t>
      </w:r>
      <w:r w:rsidR="00B937CC" w:rsidRPr="00E44CEA">
        <w:t>pen burning of grass clippings is not typically practiced by homeowners, and as such only estimates for lea</w:t>
      </w:r>
      <w:r w:rsidR="00B937CC">
        <w:t>f burning and brush burning are</w:t>
      </w:r>
      <w:r w:rsidR="00B937CC" w:rsidRPr="00E44CEA">
        <w:t xml:space="preserve"> developed.  </w:t>
      </w:r>
    </w:p>
    <w:p w14:paraId="03566091" w14:textId="76A0E511" w:rsidR="00B937CC" w:rsidRPr="003733A0" w:rsidRDefault="00B937CC" w:rsidP="00B511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6" w:lineRule="auto"/>
        <w:rPr>
          <w:szCs w:val="20"/>
        </w:rPr>
      </w:pPr>
      <w:r w:rsidRPr="00B937CC">
        <w:t>The second assumption adjus</w:t>
      </w:r>
      <w:r>
        <w:t>ts for variations in vegetation;</w:t>
      </w:r>
      <w:r w:rsidRPr="00B937CC">
        <w:t xml:space="preserve"> </w:t>
      </w:r>
      <w:r>
        <w:t>t</w:t>
      </w:r>
      <w:r w:rsidRPr="00B937CC">
        <w:t>he percentage of forested acres</w:t>
      </w:r>
      <w:r w:rsidR="00BE722C">
        <w:t xml:space="preserve"> </w:t>
      </w:r>
      <w:r w:rsidR="00BE722C" w:rsidRPr="00B937CC">
        <w:t>(including rural forest and urba</w:t>
      </w:r>
      <w:r w:rsidR="00BE722C">
        <w:t>n forest) is determined using</w:t>
      </w:r>
      <w:r w:rsidRPr="00B937CC">
        <w:t xml:space="preserve"> Version 2 of the Biogenic Emission Landuse Database (BELD2) within the Biogenic Emissions Inventory System (BEIS). </w:t>
      </w:r>
      <w:r w:rsidR="00BE722C">
        <w:t>Based on this percentage, county-level yard waste values are adjuste</w:t>
      </w:r>
      <w:r w:rsidR="000840F3">
        <w:t xml:space="preserve">d according to the values in </w:t>
      </w:r>
      <w:r w:rsidR="000840F3">
        <w:fldChar w:fldCharType="begin"/>
      </w:r>
      <w:r w:rsidR="000840F3">
        <w:instrText xml:space="preserve"> REF _Ref478549991 \h </w:instrText>
      </w:r>
      <w:r w:rsidR="000840F3">
        <w:fldChar w:fldCharType="separate"/>
      </w:r>
      <w:r w:rsidR="00B36F28">
        <w:t xml:space="preserve">Table </w:t>
      </w:r>
      <w:r w:rsidR="00B36F28">
        <w:rPr>
          <w:noProof/>
        </w:rPr>
        <w:t>2</w:t>
      </w:r>
      <w:r w:rsidR="000840F3">
        <w:fldChar w:fldCharType="end"/>
      </w:r>
      <w:r w:rsidR="00BE722C">
        <w:t xml:space="preserve">. </w:t>
      </w:r>
      <w:r w:rsidRPr="00B937CC">
        <w:t>To better account for t</w:t>
      </w:r>
      <w:r w:rsidR="00BE722C">
        <w:t>he native vegetation that likely occurs in</w:t>
      </w:r>
      <w:r w:rsidRPr="00B937CC">
        <w:t xml:space="preserve"> residential yards of farming state</w:t>
      </w:r>
      <w:r w:rsidR="00BE722C">
        <w:t>s, agricultural land acreage is</w:t>
      </w:r>
      <w:r w:rsidRPr="00B937CC">
        <w:t xml:space="preserve"> subtracted before calculating the percentage of foreste</w:t>
      </w:r>
      <w:r w:rsidR="00BE722C">
        <w:t xml:space="preserve">d acres. </w:t>
      </w:r>
      <w:r w:rsidRPr="00B937CC">
        <w:t>All municipios in Puerto Rico and counties in the U.S. Virgin Islands, Hawaii, and Alaska were assumed to have greater than 50 percent forested acres.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8"/>
        <w:gridCol w:w="828"/>
      </w:tblGrid>
      <w:tr w:rsidR="008936CB" w:rsidRPr="003D471D" w14:paraId="09CA5CFC" w14:textId="77777777" w:rsidTr="008936CB">
        <w:trPr>
          <w:trHeight w:val="432"/>
        </w:trPr>
        <w:tc>
          <w:tcPr>
            <w:tcW w:w="8748" w:type="dxa"/>
            <w:vAlign w:val="center"/>
          </w:tcPr>
          <w:p w14:paraId="08FEAAAA" w14:textId="26507435" w:rsidR="008936CB" w:rsidRPr="00770E9B" w:rsidRDefault="001946A7" w:rsidP="00BE722C">
            <w:pPr>
              <w:widowControl/>
              <w:autoSpaceDE/>
              <w:autoSpaceDN/>
              <w:adjustRightInd/>
              <w:jc w:val="center"/>
              <w:rPr>
                <w:szCs w:val="20"/>
              </w:rPr>
            </w:pPr>
            <m:oMathPara>
              <m:oMathParaPr>
                <m:jc m:val="center"/>
              </m:oMathParaPr>
              <m:oMath>
                <m:sSub>
                  <m:sSubPr>
                    <m:ctrlPr>
                      <w:rPr>
                        <w:rFonts w:ascii="Cambria Math" w:hAnsi="Cambria Math"/>
                        <w:i/>
                      </w:rPr>
                    </m:ctrlPr>
                  </m:sSubPr>
                  <m:e>
                    <m:r>
                      <w:rPr>
                        <w:rFonts w:ascii="Cambria Math" w:hAnsi="Cambria Math"/>
                      </w:rPr>
                      <m:t>LW</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PBurn</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PC</m:t>
                    </m:r>
                  </m:e>
                  <m:sub>
                    <m:r>
                      <w:rPr>
                        <w:rFonts w:ascii="Cambria Math" w:hAnsi="Cambria Math"/>
                      </w:rPr>
                      <m:t>yw</m:t>
                    </m:r>
                  </m:sub>
                </m:sSub>
                <m:r>
                  <w:rPr>
                    <w:rFonts w:ascii="Cambria Math" w:hAnsi="Cambria Math"/>
                  </w:rPr>
                  <m:t>×</m:t>
                </m:r>
                <m:sSub>
                  <m:sSubPr>
                    <m:ctrlPr>
                      <w:rPr>
                        <w:rFonts w:ascii="Cambria Math" w:hAnsi="Cambria Math"/>
                        <w:i/>
                      </w:rPr>
                    </m:ctrlPr>
                  </m:sSubPr>
                  <m:e>
                    <m:r>
                      <w:rPr>
                        <w:rFonts w:ascii="Cambria Math" w:hAnsi="Cambria Math"/>
                      </w:rPr>
                      <m:t>YWFr</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AF</m:t>
                    </m:r>
                  </m:e>
                  <m:sub>
                    <m:r>
                      <w:rPr>
                        <w:rFonts w:ascii="Cambria Math" w:hAnsi="Cambria Math"/>
                      </w:rPr>
                      <m:t>fa,c</m:t>
                    </m:r>
                  </m:sub>
                </m:sSub>
              </m:oMath>
            </m:oMathPara>
          </w:p>
        </w:tc>
        <w:tc>
          <w:tcPr>
            <w:tcW w:w="828" w:type="dxa"/>
            <w:vAlign w:val="center"/>
          </w:tcPr>
          <w:p w14:paraId="2CE5DFE0" w14:textId="77777777" w:rsidR="008936CB" w:rsidRPr="003D471D" w:rsidRDefault="008936CB" w:rsidP="008936CB">
            <w:pPr>
              <w:pStyle w:val="ListParagraph"/>
              <w:widowControl/>
              <w:numPr>
                <w:ilvl w:val="0"/>
                <w:numId w:val="10"/>
              </w:numPr>
              <w:autoSpaceDE/>
              <w:autoSpaceDN/>
              <w:adjustRightInd/>
              <w:jc w:val="center"/>
              <w:rPr>
                <w:szCs w:val="20"/>
              </w:rPr>
            </w:pPr>
          </w:p>
        </w:tc>
      </w:tr>
      <w:tr w:rsidR="008936CB" w:rsidRPr="003D471D" w14:paraId="18E6A37E" w14:textId="77777777" w:rsidTr="008936CB">
        <w:trPr>
          <w:trHeight w:val="432"/>
        </w:trPr>
        <w:tc>
          <w:tcPr>
            <w:tcW w:w="8748" w:type="dxa"/>
          </w:tcPr>
          <w:p w14:paraId="4A2C8D13" w14:textId="7DD3A9A2" w:rsidR="008936CB" w:rsidRPr="00770E9B" w:rsidRDefault="001946A7" w:rsidP="008936CB">
            <w:pPr>
              <w:widowControl/>
              <w:autoSpaceDE/>
              <w:autoSpaceDN/>
              <w:adjustRightInd/>
              <w:jc w:val="center"/>
              <w:rPr>
                <w:szCs w:val="20"/>
              </w:rPr>
            </w:pPr>
            <m:oMathPara>
              <m:oMathParaPr>
                <m:jc m:val="center"/>
              </m:oMathParaPr>
              <m:oMath>
                <m:sSub>
                  <m:sSubPr>
                    <m:ctrlPr>
                      <w:rPr>
                        <w:rFonts w:ascii="Cambria Math" w:hAnsi="Cambria Math"/>
                        <w:i/>
                      </w:rPr>
                    </m:ctrlPr>
                  </m:sSubPr>
                  <m:e>
                    <m:r>
                      <w:rPr>
                        <w:rFonts w:ascii="Cambria Math" w:hAnsi="Cambria Math"/>
                      </w:rPr>
                      <m:t>BW</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PBurn</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PC</m:t>
                    </m:r>
                  </m:e>
                  <m:sub>
                    <m:r>
                      <w:rPr>
                        <w:rFonts w:ascii="Cambria Math" w:hAnsi="Cambria Math"/>
                      </w:rPr>
                      <m:t>yw</m:t>
                    </m:r>
                  </m:sub>
                </m:sSub>
                <m:r>
                  <w:rPr>
                    <w:rFonts w:ascii="Cambria Math" w:hAnsi="Cambria Math"/>
                  </w:rPr>
                  <m:t>×</m:t>
                </m:r>
                <m:sSub>
                  <m:sSubPr>
                    <m:ctrlPr>
                      <w:rPr>
                        <w:rFonts w:ascii="Cambria Math" w:hAnsi="Cambria Math"/>
                        <w:i/>
                      </w:rPr>
                    </m:ctrlPr>
                  </m:sSubPr>
                  <m:e>
                    <m:r>
                      <w:rPr>
                        <w:rFonts w:ascii="Cambria Math" w:hAnsi="Cambria Math"/>
                      </w:rPr>
                      <m:t>YWFr</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AF</m:t>
                    </m:r>
                  </m:e>
                  <m:sub>
                    <m:r>
                      <w:rPr>
                        <w:rFonts w:ascii="Cambria Math" w:hAnsi="Cambria Math"/>
                      </w:rPr>
                      <m:t>fa,c</m:t>
                    </m:r>
                  </m:sub>
                </m:sSub>
              </m:oMath>
            </m:oMathPara>
          </w:p>
        </w:tc>
        <w:tc>
          <w:tcPr>
            <w:tcW w:w="828" w:type="dxa"/>
          </w:tcPr>
          <w:p w14:paraId="2A2CEF57" w14:textId="77777777" w:rsidR="008936CB" w:rsidRPr="003D471D" w:rsidRDefault="008936CB" w:rsidP="008936CB">
            <w:pPr>
              <w:pStyle w:val="ListParagraph"/>
              <w:widowControl/>
              <w:numPr>
                <w:ilvl w:val="0"/>
                <w:numId w:val="10"/>
              </w:numPr>
              <w:autoSpaceDE/>
              <w:autoSpaceDN/>
              <w:adjustRightInd/>
              <w:jc w:val="center"/>
              <w:rPr>
                <w:szCs w:val="20"/>
              </w:rPr>
            </w:pPr>
          </w:p>
        </w:tc>
      </w:tr>
    </w:tbl>
    <w:p w14:paraId="2F699FE6" w14:textId="77777777" w:rsidR="008936CB" w:rsidRDefault="008936CB" w:rsidP="008936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6" w:lineRule="auto"/>
        <w:rPr>
          <w:szCs w:val="20"/>
        </w:rPr>
      </w:pPr>
      <w:r>
        <w:rPr>
          <w:szCs w:val="20"/>
        </w:rPr>
        <w:t>Where:</w:t>
      </w:r>
    </w:p>
    <w:p w14:paraId="459656F6" w14:textId="77777777" w:rsidR="00BE722C" w:rsidRDefault="00BE722C" w:rsidP="00BE722C">
      <w:pPr>
        <w:pStyle w:val="NoSpacing"/>
      </w:pPr>
      <w:r>
        <w:rPr>
          <w:i/>
        </w:rPr>
        <w:tab/>
        <w:t>L</w:t>
      </w:r>
      <w:r w:rsidRPr="00D36600">
        <w:rPr>
          <w:i/>
        </w:rPr>
        <w:t>W</w:t>
      </w:r>
      <w:r w:rsidRPr="00D36600">
        <w:rPr>
          <w:i/>
          <w:vertAlign w:val="subscript"/>
        </w:rPr>
        <w:t>c</w:t>
      </w:r>
      <w:r>
        <w:rPr>
          <w:vertAlign w:val="subscript"/>
        </w:rPr>
        <w:tab/>
      </w:r>
      <w:r>
        <w:t>=</w:t>
      </w:r>
      <w:r>
        <w:tab/>
        <w:t xml:space="preserve">Annual leaf waste burned in county </w:t>
      </w:r>
      <w:r>
        <w:rPr>
          <w:i/>
        </w:rPr>
        <w:t>c,</w:t>
      </w:r>
      <w:r>
        <w:t xml:space="preserve"> in tons</w:t>
      </w:r>
    </w:p>
    <w:p w14:paraId="33930458" w14:textId="77777777" w:rsidR="00BE722C" w:rsidRDefault="00BE722C" w:rsidP="00BE722C">
      <w:pPr>
        <w:pStyle w:val="NoSpacing"/>
      </w:pPr>
      <w:r>
        <w:rPr>
          <w:i/>
        </w:rPr>
        <w:tab/>
        <w:t>BW</w:t>
      </w:r>
      <w:r w:rsidRPr="00D36600">
        <w:rPr>
          <w:i/>
          <w:vertAlign w:val="subscript"/>
        </w:rPr>
        <w:t>c</w:t>
      </w:r>
      <w:r>
        <w:rPr>
          <w:vertAlign w:val="subscript"/>
        </w:rPr>
        <w:tab/>
      </w:r>
      <w:r>
        <w:t>=</w:t>
      </w:r>
      <w:r>
        <w:tab/>
        <w:t xml:space="preserve">Annual brush waste burned in county </w:t>
      </w:r>
      <w:r>
        <w:rPr>
          <w:i/>
        </w:rPr>
        <w:t>c,</w:t>
      </w:r>
      <w:r>
        <w:t xml:space="preserve"> in tons</w:t>
      </w:r>
    </w:p>
    <w:p w14:paraId="109B6915" w14:textId="3ACD1101" w:rsidR="00103E34" w:rsidRPr="00E36C4A" w:rsidRDefault="00103E34" w:rsidP="00103E34">
      <w:pPr>
        <w:pStyle w:val="NoSpacing"/>
      </w:pPr>
      <w:r w:rsidRPr="00D36600">
        <w:rPr>
          <w:i/>
        </w:rPr>
        <w:tab/>
        <w:t>PBurn</w:t>
      </w:r>
      <w:r w:rsidRPr="00D36600">
        <w:rPr>
          <w:i/>
          <w:vertAlign w:val="subscript"/>
        </w:rPr>
        <w:t>c</w:t>
      </w:r>
      <w:r>
        <w:rPr>
          <w:vertAlign w:val="subscript"/>
        </w:rPr>
        <w:tab/>
      </w:r>
      <w:r>
        <w:t>=</w:t>
      </w:r>
      <w:r>
        <w:tab/>
        <w:t xml:space="preserve">Population likely to burn in county </w:t>
      </w:r>
      <w:r>
        <w:rPr>
          <w:i/>
        </w:rPr>
        <w:t>c</w:t>
      </w:r>
      <w:r w:rsidR="00E36C4A">
        <w:t>, from eq</w:t>
      </w:r>
      <w:r w:rsidR="00423F3B">
        <w:t>uatio</w:t>
      </w:r>
      <w:r w:rsidR="00E36C4A">
        <w:t>n 2</w:t>
      </w:r>
    </w:p>
    <w:p w14:paraId="4D2209D4" w14:textId="44203DF6" w:rsidR="00A207E8" w:rsidRDefault="00A207E8" w:rsidP="00A207E8">
      <w:pPr>
        <w:pStyle w:val="NoSpacing"/>
      </w:pPr>
      <w:r>
        <w:tab/>
      </w:r>
      <w:r w:rsidRPr="00D36600">
        <w:rPr>
          <w:i/>
        </w:rPr>
        <w:t>PC</w:t>
      </w:r>
      <w:r w:rsidRPr="00567AE3">
        <w:rPr>
          <w:i/>
          <w:vertAlign w:val="subscript"/>
        </w:rPr>
        <w:t>y</w:t>
      </w:r>
      <w:r w:rsidRPr="00D36600">
        <w:rPr>
          <w:i/>
          <w:vertAlign w:val="subscript"/>
        </w:rPr>
        <w:t>w</w:t>
      </w:r>
      <w:r>
        <w:tab/>
        <w:t>=</w:t>
      </w:r>
      <w:r>
        <w:tab/>
        <w:t>Per capita value of yard waste in the US, in tons per person</w:t>
      </w:r>
      <w:r w:rsidR="00E36C4A">
        <w:t>, from equation 1</w:t>
      </w:r>
      <w:r>
        <w:t xml:space="preserve"> </w:t>
      </w:r>
    </w:p>
    <w:p w14:paraId="2A1A69CE" w14:textId="2DDFE01C" w:rsidR="00BE722C" w:rsidRPr="00A207E8" w:rsidRDefault="00BE722C" w:rsidP="00BE722C">
      <w:pPr>
        <w:pStyle w:val="NoSpacing"/>
      </w:pPr>
      <w:r>
        <w:tab/>
      </w:r>
      <w:r>
        <w:rPr>
          <w:i/>
        </w:rPr>
        <w:t>YWFr</w:t>
      </w:r>
      <w:r w:rsidRPr="0051555B">
        <w:rPr>
          <w:i/>
          <w:vertAlign w:val="subscript"/>
        </w:rPr>
        <w:t>t</w:t>
      </w:r>
      <w:r>
        <w:rPr>
          <w:vertAlign w:val="subscript"/>
        </w:rPr>
        <w:tab/>
      </w:r>
      <w:r>
        <w:t>=</w:t>
      </w:r>
      <w:r>
        <w:tab/>
        <w:t xml:space="preserve">Fraction of total yard waste for waste type </w:t>
      </w:r>
      <w:r>
        <w:rPr>
          <w:i/>
        </w:rPr>
        <w:t>t</w:t>
      </w:r>
      <w:r w:rsidR="00A207E8">
        <w:t xml:space="preserve"> (leaf or brush)</w:t>
      </w:r>
    </w:p>
    <w:p w14:paraId="23CB33FE" w14:textId="25479736" w:rsidR="00BE722C" w:rsidRPr="00E36C4A" w:rsidRDefault="00BE722C" w:rsidP="00103E34">
      <w:pPr>
        <w:pStyle w:val="NoSpacing"/>
      </w:pPr>
      <w:r>
        <w:tab/>
      </w:r>
      <w:r w:rsidRPr="0051555B">
        <w:rPr>
          <w:i/>
        </w:rPr>
        <w:t>AF</w:t>
      </w:r>
      <w:r w:rsidRPr="0051555B">
        <w:rPr>
          <w:i/>
          <w:vertAlign w:val="subscript"/>
        </w:rPr>
        <w:t>fa,c</w:t>
      </w:r>
      <w:r>
        <w:rPr>
          <w:vertAlign w:val="subscript"/>
        </w:rPr>
        <w:tab/>
      </w:r>
      <w:r>
        <w:t>=</w:t>
      </w:r>
      <w:r>
        <w:tab/>
        <w:t xml:space="preserve">Adjustment factor based on percent of forested acres in county </w:t>
      </w:r>
      <w:r>
        <w:rPr>
          <w:i/>
        </w:rPr>
        <w:t>c</w:t>
      </w:r>
      <w:r w:rsidR="00E36C4A">
        <w:t xml:space="preserve">, from </w:t>
      </w:r>
      <w:r w:rsidR="00E36C4A">
        <w:fldChar w:fldCharType="begin"/>
      </w:r>
      <w:r w:rsidR="00E36C4A">
        <w:instrText xml:space="preserve"> REF _Ref478549991 \h </w:instrText>
      </w:r>
      <w:r w:rsidR="00E36C4A">
        <w:fldChar w:fldCharType="separate"/>
      </w:r>
      <w:r w:rsidR="00E36C4A">
        <w:t xml:space="preserve">Table </w:t>
      </w:r>
      <w:r w:rsidR="00E36C4A">
        <w:rPr>
          <w:noProof/>
        </w:rPr>
        <w:t>2</w:t>
      </w:r>
      <w:r w:rsidR="00E36C4A">
        <w:fldChar w:fldCharType="end"/>
      </w:r>
    </w:p>
    <w:p w14:paraId="63F7460D" w14:textId="77777777" w:rsidR="00103E34" w:rsidRPr="00103E34" w:rsidRDefault="00103E34" w:rsidP="00103E34">
      <w:pPr>
        <w:pStyle w:val="NoSpacing"/>
        <w:rPr>
          <w:i/>
        </w:rPr>
      </w:pPr>
    </w:p>
    <w:p w14:paraId="0583A1E0" w14:textId="047EFFEC" w:rsidR="000840F3" w:rsidRDefault="000840F3" w:rsidP="000840F3">
      <w:pPr>
        <w:pStyle w:val="TableCaption"/>
      </w:pPr>
      <w:bookmarkStart w:id="4" w:name="_Ref478549991"/>
      <w:r>
        <w:t xml:space="preserve">Table </w:t>
      </w:r>
      <w:r w:rsidR="001946A7">
        <w:rPr>
          <w:noProof/>
        </w:rPr>
        <w:fldChar w:fldCharType="begin"/>
      </w:r>
      <w:r w:rsidR="001946A7">
        <w:rPr>
          <w:noProof/>
        </w:rPr>
        <w:instrText xml:space="preserve"> SEQ Table \* ARABIC </w:instrText>
      </w:r>
      <w:r w:rsidR="001946A7">
        <w:rPr>
          <w:noProof/>
        </w:rPr>
        <w:fldChar w:fldCharType="separate"/>
      </w:r>
      <w:r w:rsidR="00B36F28">
        <w:rPr>
          <w:noProof/>
        </w:rPr>
        <w:t>2</w:t>
      </w:r>
      <w:r w:rsidR="001946A7">
        <w:rPr>
          <w:noProof/>
        </w:rPr>
        <w:fldChar w:fldCharType="end"/>
      </w:r>
      <w:bookmarkEnd w:id="4"/>
      <w:r>
        <w:t>. Adjustment for Percentage of Forested Acres</w:t>
      </w:r>
    </w:p>
    <w:tbl>
      <w:tblPr>
        <w:tblStyle w:val="LightLis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3660"/>
      </w:tblGrid>
      <w:tr w:rsidR="00BE722C" w14:paraId="1191C35F" w14:textId="77777777" w:rsidTr="000840F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7" w:type="dxa"/>
            <w:shd w:val="clear" w:color="auto" w:fill="BFBFBF" w:themeFill="background1" w:themeFillShade="BF"/>
          </w:tcPr>
          <w:p w14:paraId="6658FEA2" w14:textId="518FC678" w:rsidR="00BE722C" w:rsidRPr="00BE722C" w:rsidRDefault="00BE722C" w:rsidP="008936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6" w:lineRule="auto"/>
              <w:rPr>
                <w:color w:val="auto"/>
                <w:szCs w:val="20"/>
              </w:rPr>
            </w:pPr>
            <w:r w:rsidRPr="00BE722C">
              <w:rPr>
                <w:color w:val="auto"/>
                <w:szCs w:val="20"/>
              </w:rPr>
              <w:t>Percent Forested Acres per County</w:t>
            </w:r>
          </w:p>
        </w:tc>
        <w:tc>
          <w:tcPr>
            <w:tcW w:w="3660" w:type="dxa"/>
            <w:shd w:val="clear" w:color="auto" w:fill="BFBFBF" w:themeFill="background1" w:themeFillShade="BF"/>
          </w:tcPr>
          <w:p w14:paraId="7F2D8D46" w14:textId="787FA138" w:rsidR="00BE722C" w:rsidRPr="00BE722C" w:rsidRDefault="00BE722C" w:rsidP="008936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6" w:lineRule="auto"/>
              <w:cnfStyle w:val="100000000000" w:firstRow="1" w:lastRow="0" w:firstColumn="0" w:lastColumn="0" w:oddVBand="0" w:evenVBand="0" w:oddHBand="0" w:evenHBand="0" w:firstRowFirstColumn="0" w:firstRowLastColumn="0" w:lastRowFirstColumn="0" w:lastRowLastColumn="0"/>
              <w:rPr>
                <w:color w:val="auto"/>
                <w:szCs w:val="20"/>
              </w:rPr>
            </w:pPr>
            <w:r>
              <w:rPr>
                <w:color w:val="auto"/>
                <w:szCs w:val="20"/>
              </w:rPr>
              <w:t>Adjustment for Yard Waste Generated</w:t>
            </w:r>
          </w:p>
        </w:tc>
      </w:tr>
      <w:tr w:rsidR="00BE722C" w14:paraId="432E0920" w14:textId="77777777" w:rsidTr="000840F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7" w:type="dxa"/>
            <w:tcBorders>
              <w:top w:val="none" w:sz="0" w:space="0" w:color="auto"/>
              <w:left w:val="none" w:sz="0" w:space="0" w:color="auto"/>
              <w:bottom w:val="none" w:sz="0" w:space="0" w:color="auto"/>
            </w:tcBorders>
          </w:tcPr>
          <w:p w14:paraId="2000E09D" w14:textId="5358D22F" w:rsidR="00BE722C" w:rsidRPr="00BE722C" w:rsidRDefault="00BE722C" w:rsidP="008936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6" w:lineRule="auto"/>
              <w:rPr>
                <w:b w:val="0"/>
                <w:szCs w:val="20"/>
              </w:rPr>
            </w:pPr>
            <w:r w:rsidRPr="00BE722C">
              <w:rPr>
                <w:b w:val="0"/>
                <w:szCs w:val="20"/>
              </w:rPr>
              <w:t>&lt; 10%</w:t>
            </w:r>
          </w:p>
        </w:tc>
        <w:tc>
          <w:tcPr>
            <w:tcW w:w="3660" w:type="dxa"/>
            <w:tcBorders>
              <w:top w:val="none" w:sz="0" w:space="0" w:color="auto"/>
              <w:bottom w:val="none" w:sz="0" w:space="0" w:color="auto"/>
              <w:right w:val="none" w:sz="0" w:space="0" w:color="auto"/>
            </w:tcBorders>
          </w:tcPr>
          <w:p w14:paraId="5CB5BD5A" w14:textId="1C5F8F2B" w:rsidR="00BE722C" w:rsidRPr="00BE722C" w:rsidRDefault="000840F3" w:rsidP="008936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6" w:lineRule="auto"/>
              <w:cnfStyle w:val="000000100000" w:firstRow="0" w:lastRow="0" w:firstColumn="0" w:lastColumn="0" w:oddVBand="0" w:evenVBand="0" w:oddHBand="1" w:evenHBand="0" w:firstRowFirstColumn="0" w:firstRowLastColumn="0" w:lastRowFirstColumn="0" w:lastRowLastColumn="0"/>
              <w:rPr>
                <w:szCs w:val="20"/>
              </w:rPr>
            </w:pPr>
            <w:r>
              <w:rPr>
                <w:szCs w:val="20"/>
              </w:rPr>
              <w:t>0% generated</w:t>
            </w:r>
          </w:p>
        </w:tc>
      </w:tr>
      <w:tr w:rsidR="00BE722C" w14:paraId="45C95B3B" w14:textId="77777777" w:rsidTr="000840F3">
        <w:trPr>
          <w:trHeight w:val="277"/>
          <w:jc w:val="center"/>
        </w:trPr>
        <w:tc>
          <w:tcPr>
            <w:cnfStyle w:val="001000000000" w:firstRow="0" w:lastRow="0" w:firstColumn="1" w:lastColumn="0" w:oddVBand="0" w:evenVBand="0" w:oddHBand="0" w:evenHBand="0" w:firstRowFirstColumn="0" w:firstRowLastColumn="0" w:lastRowFirstColumn="0" w:lastRowLastColumn="0"/>
            <w:tcW w:w="3327" w:type="dxa"/>
          </w:tcPr>
          <w:p w14:paraId="5820EBE3" w14:textId="37574F5A" w:rsidR="00BE722C" w:rsidRPr="00BE722C" w:rsidRDefault="00BE722C" w:rsidP="008936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6" w:lineRule="auto"/>
              <w:rPr>
                <w:b w:val="0"/>
                <w:szCs w:val="20"/>
              </w:rPr>
            </w:pPr>
            <w:r>
              <w:rPr>
                <w:b w:val="0"/>
                <w:szCs w:val="20"/>
              </w:rPr>
              <w:t>≥ 10% &amp; &lt; 50%</w:t>
            </w:r>
          </w:p>
        </w:tc>
        <w:tc>
          <w:tcPr>
            <w:tcW w:w="3660" w:type="dxa"/>
          </w:tcPr>
          <w:p w14:paraId="02064673" w14:textId="19042EF4" w:rsidR="00BE722C" w:rsidRPr="00BE722C" w:rsidRDefault="000840F3" w:rsidP="008936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6" w:lineRule="auto"/>
              <w:cnfStyle w:val="000000000000" w:firstRow="0" w:lastRow="0" w:firstColumn="0" w:lastColumn="0" w:oddVBand="0" w:evenVBand="0" w:oddHBand="0" w:evenHBand="0" w:firstRowFirstColumn="0" w:firstRowLastColumn="0" w:lastRowFirstColumn="0" w:lastRowLastColumn="0"/>
              <w:rPr>
                <w:szCs w:val="20"/>
              </w:rPr>
            </w:pPr>
            <w:r>
              <w:rPr>
                <w:szCs w:val="20"/>
              </w:rPr>
              <w:t>50% generated</w:t>
            </w:r>
          </w:p>
        </w:tc>
      </w:tr>
      <w:tr w:rsidR="00BE722C" w14:paraId="16EFD8B2" w14:textId="77777777" w:rsidTr="000840F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7" w:type="dxa"/>
            <w:tcBorders>
              <w:top w:val="none" w:sz="0" w:space="0" w:color="auto"/>
              <w:left w:val="none" w:sz="0" w:space="0" w:color="auto"/>
              <w:bottom w:val="none" w:sz="0" w:space="0" w:color="auto"/>
            </w:tcBorders>
          </w:tcPr>
          <w:p w14:paraId="58BDBBC7" w14:textId="2108F0DA" w:rsidR="00BE722C" w:rsidRPr="00BE722C" w:rsidRDefault="000840F3" w:rsidP="008936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6" w:lineRule="auto"/>
              <w:rPr>
                <w:b w:val="0"/>
                <w:szCs w:val="20"/>
              </w:rPr>
            </w:pPr>
            <w:r>
              <w:rPr>
                <w:b w:val="0"/>
                <w:szCs w:val="20"/>
              </w:rPr>
              <w:t>≥ 50%</w:t>
            </w:r>
          </w:p>
        </w:tc>
        <w:tc>
          <w:tcPr>
            <w:tcW w:w="3660" w:type="dxa"/>
            <w:tcBorders>
              <w:top w:val="none" w:sz="0" w:space="0" w:color="auto"/>
              <w:bottom w:val="none" w:sz="0" w:space="0" w:color="auto"/>
              <w:right w:val="none" w:sz="0" w:space="0" w:color="auto"/>
            </w:tcBorders>
          </w:tcPr>
          <w:p w14:paraId="01D9ADDE" w14:textId="508A014F" w:rsidR="00BE722C" w:rsidRPr="00BE722C" w:rsidRDefault="000840F3" w:rsidP="008936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6" w:lineRule="auto"/>
              <w:cnfStyle w:val="000000100000" w:firstRow="0" w:lastRow="0" w:firstColumn="0" w:lastColumn="0" w:oddVBand="0" w:evenVBand="0" w:oddHBand="1" w:evenHBand="0" w:firstRowFirstColumn="0" w:firstRowLastColumn="0" w:lastRowFirstColumn="0" w:lastRowLastColumn="0"/>
              <w:rPr>
                <w:szCs w:val="20"/>
              </w:rPr>
            </w:pPr>
            <w:r>
              <w:rPr>
                <w:szCs w:val="20"/>
              </w:rPr>
              <w:t>100% generated</w:t>
            </w:r>
          </w:p>
        </w:tc>
      </w:tr>
    </w:tbl>
    <w:p w14:paraId="0C6A2109" w14:textId="77777777" w:rsidR="00BE722C" w:rsidRDefault="00BE722C" w:rsidP="008936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6" w:lineRule="auto"/>
        <w:rPr>
          <w:szCs w:val="20"/>
        </w:rPr>
      </w:pPr>
    </w:p>
    <w:p w14:paraId="4D21D2E9" w14:textId="77777777" w:rsidR="003D471D" w:rsidRDefault="003D471D" w:rsidP="008936CB">
      <w:pPr>
        <w:pStyle w:val="NoSpacing"/>
        <w:ind w:left="0" w:firstLine="0"/>
      </w:pPr>
    </w:p>
    <w:p w14:paraId="229D649F" w14:textId="3B49A132" w:rsidR="00B97E6E" w:rsidRDefault="007D6365" w:rsidP="00052E59">
      <w:pPr>
        <w:pStyle w:val="Heading1"/>
      </w:pPr>
      <w:bookmarkStart w:id="5" w:name="_Ref477177506"/>
      <w:r>
        <w:lastRenderedPageBreak/>
        <w:t>A</w:t>
      </w:r>
      <w:r w:rsidR="00B97E6E" w:rsidRPr="00203DFF">
        <w:t>llocation Procedure</w:t>
      </w:r>
      <w:bookmarkEnd w:id="5"/>
      <w:r w:rsidR="00B97E6E" w:rsidRPr="009820A2">
        <w:t xml:space="preserve"> </w:t>
      </w:r>
    </w:p>
    <w:p w14:paraId="637B744A" w14:textId="0D2420B4" w:rsidR="00A207E8" w:rsidRPr="00B511A0" w:rsidRDefault="00A207E8" w:rsidP="00A207E8">
      <w:pPr>
        <w:rPr>
          <w:szCs w:val="20"/>
        </w:rPr>
      </w:pPr>
      <w:bookmarkStart w:id="6" w:name="_Ref477177456"/>
      <w:bookmarkStart w:id="7" w:name="_Ref477187901"/>
      <w:r>
        <w:rPr>
          <w:szCs w:val="20"/>
        </w:rPr>
        <w:t>National values for the amount of waste generated are distributed to the cou</w:t>
      </w:r>
      <w:r w:rsidR="00C17C05">
        <w:rPr>
          <w:szCs w:val="20"/>
        </w:rPr>
        <w:t>nties based on rural</w:t>
      </w:r>
      <w:r>
        <w:rPr>
          <w:szCs w:val="20"/>
        </w:rPr>
        <w:t xml:space="preserve"> population, as described in Section </w:t>
      </w:r>
      <w:r>
        <w:rPr>
          <w:szCs w:val="20"/>
        </w:rPr>
        <w:fldChar w:fldCharType="begin"/>
      </w:r>
      <w:r>
        <w:rPr>
          <w:szCs w:val="20"/>
        </w:rPr>
        <w:instrText xml:space="preserve"> REF _Ref477177316 \r \h </w:instrText>
      </w:r>
      <w:r>
        <w:rPr>
          <w:szCs w:val="20"/>
        </w:rPr>
      </w:r>
      <w:r>
        <w:rPr>
          <w:szCs w:val="20"/>
        </w:rPr>
        <w:fldChar w:fldCharType="separate"/>
      </w:r>
      <w:r w:rsidR="00B36F28">
        <w:rPr>
          <w:szCs w:val="20"/>
        </w:rPr>
        <w:t>C</w:t>
      </w:r>
      <w:r>
        <w:rPr>
          <w:szCs w:val="20"/>
        </w:rPr>
        <w:fldChar w:fldCharType="end"/>
      </w:r>
      <w:r w:rsidRPr="006F0FDA">
        <w:rPr>
          <w:szCs w:val="20"/>
        </w:rPr>
        <w:t>.</w:t>
      </w:r>
    </w:p>
    <w:p w14:paraId="74DFA48A" w14:textId="78DFB3BB" w:rsidR="00B97E6E" w:rsidRPr="00886F17" w:rsidRDefault="00B97E6E" w:rsidP="003D38C0">
      <w:pPr>
        <w:pStyle w:val="Heading1"/>
      </w:pPr>
      <w:bookmarkStart w:id="8" w:name="_Ref478996177"/>
      <w:r w:rsidRPr="00886F17">
        <w:t>Emission</w:t>
      </w:r>
      <w:r w:rsidR="009944E8">
        <w:t>s</w:t>
      </w:r>
      <w:r w:rsidRPr="00886F17">
        <w:t xml:space="preserve"> Factors</w:t>
      </w:r>
      <w:bookmarkEnd w:id="6"/>
      <w:bookmarkEnd w:id="7"/>
      <w:bookmarkEnd w:id="8"/>
    </w:p>
    <w:p w14:paraId="06978720" w14:textId="68C6F14B" w:rsidR="00B97E6E" w:rsidRPr="00820422" w:rsidRDefault="00B97E6E" w:rsidP="008204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vertAlign w:val="superscript"/>
        </w:rPr>
      </w:pPr>
      <w:r w:rsidRPr="006132E6">
        <w:rPr>
          <w:szCs w:val="20"/>
        </w:rPr>
        <w:t>Emission</w:t>
      </w:r>
      <w:r w:rsidR="009944E8">
        <w:rPr>
          <w:szCs w:val="20"/>
        </w:rPr>
        <w:t>s</w:t>
      </w:r>
      <w:r w:rsidR="0097551A">
        <w:rPr>
          <w:szCs w:val="20"/>
        </w:rPr>
        <w:t xml:space="preserve"> factors </w:t>
      </w:r>
      <w:r w:rsidR="00646D28">
        <w:rPr>
          <w:szCs w:val="20"/>
        </w:rPr>
        <w:t xml:space="preserve">for </w:t>
      </w:r>
      <w:r w:rsidR="000840F3">
        <w:rPr>
          <w:szCs w:val="20"/>
        </w:rPr>
        <w:t>open burning of yard</w:t>
      </w:r>
      <w:r w:rsidR="00B511A0">
        <w:rPr>
          <w:szCs w:val="20"/>
        </w:rPr>
        <w:t xml:space="preserve"> </w:t>
      </w:r>
      <w:r w:rsidR="0097551A">
        <w:rPr>
          <w:szCs w:val="20"/>
        </w:rPr>
        <w:t xml:space="preserve">are </w:t>
      </w:r>
      <w:r w:rsidR="0097551A" w:rsidRPr="0097551A">
        <w:rPr>
          <w:szCs w:val="20"/>
        </w:rPr>
        <w:t>reported in</w:t>
      </w:r>
      <w:r w:rsidR="00AD7E0B">
        <w:rPr>
          <w:szCs w:val="20"/>
        </w:rPr>
        <w:t xml:space="preserve"> </w:t>
      </w:r>
      <w:r w:rsidR="00AD7E0B">
        <w:rPr>
          <w:szCs w:val="20"/>
        </w:rPr>
        <w:fldChar w:fldCharType="begin"/>
      </w:r>
      <w:r w:rsidR="00AD7E0B">
        <w:rPr>
          <w:szCs w:val="20"/>
        </w:rPr>
        <w:instrText xml:space="preserve"> REF _Ref478471503 \h </w:instrText>
      </w:r>
      <w:r w:rsidR="00AD7E0B">
        <w:rPr>
          <w:szCs w:val="20"/>
        </w:rPr>
      </w:r>
      <w:r w:rsidR="00AD7E0B">
        <w:rPr>
          <w:szCs w:val="20"/>
        </w:rPr>
        <w:fldChar w:fldCharType="separate"/>
      </w:r>
      <w:r w:rsidR="00B36F28">
        <w:t xml:space="preserve">Table </w:t>
      </w:r>
      <w:r w:rsidR="00B36F28">
        <w:rPr>
          <w:noProof/>
        </w:rPr>
        <w:t>4</w:t>
      </w:r>
      <w:r w:rsidR="00AD7E0B">
        <w:rPr>
          <w:szCs w:val="20"/>
        </w:rPr>
        <w:fldChar w:fldCharType="end"/>
      </w:r>
      <w:r w:rsidR="007762EB">
        <w:rPr>
          <w:szCs w:val="20"/>
        </w:rPr>
        <w:t xml:space="preserve"> and </w:t>
      </w:r>
      <w:r w:rsidR="007762EB">
        <w:rPr>
          <w:szCs w:val="20"/>
        </w:rPr>
        <w:fldChar w:fldCharType="begin"/>
      </w:r>
      <w:r w:rsidR="007762EB">
        <w:rPr>
          <w:szCs w:val="20"/>
        </w:rPr>
        <w:instrText xml:space="preserve"> REF _Ref478559409 \h </w:instrText>
      </w:r>
      <w:r w:rsidR="007762EB">
        <w:rPr>
          <w:szCs w:val="20"/>
        </w:rPr>
      </w:r>
      <w:r w:rsidR="007762EB">
        <w:rPr>
          <w:szCs w:val="20"/>
        </w:rPr>
        <w:fldChar w:fldCharType="separate"/>
      </w:r>
      <w:r w:rsidR="00B36F28">
        <w:t xml:space="preserve">Table </w:t>
      </w:r>
      <w:r w:rsidR="00B36F28">
        <w:rPr>
          <w:noProof/>
        </w:rPr>
        <w:t>5</w:t>
      </w:r>
      <w:r w:rsidR="007762EB">
        <w:rPr>
          <w:szCs w:val="20"/>
        </w:rPr>
        <w:fldChar w:fldCharType="end"/>
      </w:r>
      <w:r w:rsidRPr="006132E6">
        <w:rPr>
          <w:szCs w:val="20"/>
        </w:rPr>
        <w:t xml:space="preserve">. </w:t>
      </w:r>
      <w:r w:rsidR="00646D28">
        <w:rPr>
          <w:szCs w:val="20"/>
        </w:rPr>
        <w:t>The e</w:t>
      </w:r>
      <w:r w:rsidRPr="006132E6">
        <w:rPr>
          <w:szCs w:val="20"/>
        </w:rPr>
        <w:t>mission</w:t>
      </w:r>
      <w:r w:rsidR="009944E8">
        <w:rPr>
          <w:szCs w:val="20"/>
        </w:rPr>
        <w:t>s</w:t>
      </w:r>
      <w:r w:rsidRPr="006132E6">
        <w:rPr>
          <w:szCs w:val="20"/>
        </w:rPr>
        <w:t xml:space="preserve"> factors </w:t>
      </w:r>
      <w:r>
        <w:rPr>
          <w:szCs w:val="20"/>
        </w:rPr>
        <w:t xml:space="preserve">for </w:t>
      </w:r>
      <w:r w:rsidR="00820422">
        <w:rPr>
          <w:szCs w:val="20"/>
        </w:rPr>
        <w:t>C</w:t>
      </w:r>
      <w:r w:rsidR="000840F3">
        <w:rPr>
          <w:szCs w:val="20"/>
        </w:rPr>
        <w:t>APs</w:t>
      </w:r>
      <w:r w:rsidR="00820422">
        <w:rPr>
          <w:szCs w:val="20"/>
        </w:rPr>
        <w:t xml:space="preserve"> </w:t>
      </w:r>
      <w:r w:rsidR="005D522D">
        <w:rPr>
          <w:szCs w:val="20"/>
        </w:rPr>
        <w:t>a</w:t>
      </w:r>
      <w:r w:rsidR="00F87189">
        <w:rPr>
          <w:szCs w:val="20"/>
        </w:rPr>
        <w:t xml:space="preserve">re </w:t>
      </w:r>
      <w:r w:rsidR="005D522D">
        <w:rPr>
          <w:szCs w:val="20"/>
        </w:rPr>
        <w:t>from AP-42</w:t>
      </w:r>
      <w:bookmarkStart w:id="9" w:name="_Ref478652832"/>
      <w:r w:rsidR="005D522D">
        <w:rPr>
          <w:rStyle w:val="EndnoteReference"/>
          <w:szCs w:val="20"/>
        </w:rPr>
        <w:endnoteReference w:id="8"/>
      </w:r>
      <w:bookmarkStart w:id="10" w:name="_Ref478479650"/>
      <w:bookmarkEnd w:id="9"/>
      <w:r w:rsidR="00D13507">
        <w:rPr>
          <w:szCs w:val="20"/>
        </w:rPr>
        <w:t xml:space="preserve"> and the emissions inventory improvement program.</w:t>
      </w:r>
      <w:r w:rsidR="00AF2479">
        <w:rPr>
          <w:rStyle w:val="EndnoteReference"/>
          <w:szCs w:val="20"/>
        </w:rPr>
        <w:endnoteReference w:id="9"/>
      </w:r>
      <w:bookmarkEnd w:id="10"/>
      <w:r w:rsidR="00820422">
        <w:rPr>
          <w:szCs w:val="20"/>
        </w:rPr>
        <w:t xml:space="preserve"> </w:t>
      </w:r>
      <w:r w:rsidR="00AD7E0B">
        <w:rPr>
          <w:szCs w:val="20"/>
        </w:rPr>
        <w:t xml:space="preserve">For burning of leaves, emissions factors for PM25 are calculated by multiplying the PM10 emissions factor by a ratio of 0.7709. </w:t>
      </w:r>
      <w:r w:rsidR="00820422" w:rsidRPr="006132E6">
        <w:rPr>
          <w:szCs w:val="20"/>
        </w:rPr>
        <w:t>Emission</w:t>
      </w:r>
      <w:r w:rsidR="00F87189">
        <w:rPr>
          <w:szCs w:val="20"/>
        </w:rPr>
        <w:t>s</w:t>
      </w:r>
      <w:r w:rsidR="00820422" w:rsidRPr="006132E6">
        <w:rPr>
          <w:szCs w:val="20"/>
        </w:rPr>
        <w:t xml:space="preserve"> factors for HAPs are from an EPA Control Technology Center report</w:t>
      </w:r>
      <w:bookmarkStart w:id="11" w:name="_Ref478479861"/>
      <w:r w:rsidR="00AD7E0B">
        <w:rPr>
          <w:szCs w:val="20"/>
        </w:rPr>
        <w:t>.</w:t>
      </w:r>
      <w:bookmarkStart w:id="12" w:name="_Ref478559170"/>
      <w:r w:rsidR="00EA44CB">
        <w:rPr>
          <w:rStyle w:val="EndnoteReference"/>
          <w:szCs w:val="20"/>
        </w:rPr>
        <w:endnoteReference w:id="10"/>
      </w:r>
      <w:bookmarkEnd w:id="11"/>
      <w:bookmarkEnd w:id="12"/>
      <w:r w:rsidR="00AD7E0B">
        <w:rPr>
          <w:szCs w:val="20"/>
        </w:rPr>
        <w:t xml:space="preserve"> </w:t>
      </w:r>
    </w:p>
    <w:p w14:paraId="7E277CE9" w14:textId="77777777" w:rsidR="00B97E6E" w:rsidRPr="00886F17" w:rsidRDefault="00B97E6E" w:rsidP="00052E59">
      <w:pPr>
        <w:pStyle w:val="Heading1"/>
      </w:pPr>
      <w:r w:rsidRPr="00886F17">
        <w:t>Controls</w:t>
      </w:r>
    </w:p>
    <w:p w14:paraId="1B2594B9" w14:textId="102BEAF7" w:rsidR="00820422" w:rsidRDefault="00820422" w:rsidP="008204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6" w:lineRule="auto"/>
        <w:rPr>
          <w:szCs w:val="20"/>
        </w:rPr>
      </w:pPr>
      <w:bookmarkStart w:id="14" w:name="_Ref477177564"/>
      <w:r w:rsidRPr="003733A0">
        <w:rPr>
          <w:szCs w:val="20"/>
        </w:rPr>
        <w:t xml:space="preserve">Controls for residential </w:t>
      </w:r>
      <w:r w:rsidR="000840F3">
        <w:rPr>
          <w:szCs w:val="20"/>
        </w:rPr>
        <w:t xml:space="preserve">yard waste </w:t>
      </w:r>
      <w:r w:rsidRPr="003733A0">
        <w:rPr>
          <w:szCs w:val="20"/>
        </w:rPr>
        <w:t xml:space="preserve">burning are generally in the form of a ban on open burning of waste in a given municipality or county. </w:t>
      </w:r>
      <w:r>
        <w:rPr>
          <w:szCs w:val="20"/>
        </w:rPr>
        <w:t>However, literature suggests that burn ban</w:t>
      </w:r>
      <w:r w:rsidR="000840F3">
        <w:rPr>
          <w:szCs w:val="20"/>
        </w:rPr>
        <w:t>s are not 100% effective. It is</w:t>
      </w:r>
      <w:r>
        <w:rPr>
          <w:szCs w:val="20"/>
        </w:rPr>
        <w:t xml:space="preserve"> therefore</w:t>
      </w:r>
      <w:r w:rsidRPr="00B41571">
        <w:rPr>
          <w:szCs w:val="20"/>
        </w:rPr>
        <w:t xml:space="preserve"> assume</w:t>
      </w:r>
      <w:r>
        <w:rPr>
          <w:szCs w:val="20"/>
        </w:rPr>
        <w:t>d</w:t>
      </w:r>
      <w:r w:rsidRPr="00B41571">
        <w:rPr>
          <w:szCs w:val="20"/>
        </w:rPr>
        <w:t xml:space="preserve"> that approximately 25% of the residents that may burn </w:t>
      </w:r>
      <w:r w:rsidR="000840F3">
        <w:rPr>
          <w:szCs w:val="20"/>
        </w:rPr>
        <w:t xml:space="preserve">yard waste </w:t>
      </w:r>
      <w:r>
        <w:rPr>
          <w:szCs w:val="20"/>
        </w:rPr>
        <w:t>would</w:t>
      </w:r>
      <w:r w:rsidRPr="00B41571">
        <w:rPr>
          <w:szCs w:val="20"/>
        </w:rPr>
        <w:t xml:space="preserve"> burn</w:t>
      </w:r>
      <w:r>
        <w:rPr>
          <w:szCs w:val="20"/>
        </w:rPr>
        <w:t xml:space="preserve"> </w:t>
      </w:r>
      <w:r w:rsidR="000840F3">
        <w:rPr>
          <w:szCs w:val="20"/>
        </w:rPr>
        <w:t>do so</w:t>
      </w:r>
      <w:r w:rsidRPr="00B41571">
        <w:rPr>
          <w:szCs w:val="20"/>
        </w:rPr>
        <w:t xml:space="preserve"> even if a ban is in place.</w:t>
      </w:r>
      <w:r w:rsidR="00F87189">
        <w:rPr>
          <w:szCs w:val="20"/>
        </w:rPr>
        <w:t xml:space="preserve"> </w:t>
      </w:r>
      <w:r w:rsidRPr="00B41571">
        <w:rPr>
          <w:szCs w:val="20"/>
        </w:rPr>
        <w:t>For counties that have burn bans,</w:t>
      </w:r>
      <w:r w:rsidR="000840F3">
        <w:rPr>
          <w:szCs w:val="20"/>
        </w:rPr>
        <w:t xml:space="preserve"> the assumption is</w:t>
      </w:r>
      <w:r>
        <w:rPr>
          <w:szCs w:val="20"/>
        </w:rPr>
        <w:t xml:space="preserve"> applied by multiplying</w:t>
      </w:r>
      <w:r w:rsidRPr="00B41571">
        <w:rPr>
          <w:szCs w:val="20"/>
        </w:rPr>
        <w:t xml:space="preserve"> </w:t>
      </w:r>
      <w:r>
        <w:rPr>
          <w:szCs w:val="20"/>
        </w:rPr>
        <w:t>0</w:t>
      </w:r>
      <w:r w:rsidRPr="00B41571">
        <w:rPr>
          <w:szCs w:val="20"/>
        </w:rPr>
        <w:t>.25</w:t>
      </w:r>
      <w:r>
        <w:rPr>
          <w:szCs w:val="20"/>
        </w:rPr>
        <w:t xml:space="preserve"> by </w:t>
      </w:r>
      <w:r w:rsidRPr="00B41571">
        <w:rPr>
          <w:szCs w:val="20"/>
        </w:rPr>
        <w:t xml:space="preserve">the </w:t>
      </w:r>
      <w:r w:rsidR="006E7E04">
        <w:rPr>
          <w:szCs w:val="20"/>
        </w:rPr>
        <w:t>annual waste burned</w:t>
      </w:r>
      <w:r w:rsidR="00C17C05">
        <w:rPr>
          <w:szCs w:val="20"/>
        </w:rPr>
        <w:t>. Currently no counties are assumed to have burn bans in place.</w:t>
      </w:r>
      <w:r w:rsidRPr="003733A0">
        <w:rPr>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8"/>
        <w:gridCol w:w="828"/>
      </w:tblGrid>
      <w:tr w:rsidR="006E7E04" w:rsidRPr="003D471D" w14:paraId="6894142F" w14:textId="77777777" w:rsidTr="00103E34">
        <w:trPr>
          <w:trHeight w:val="720"/>
        </w:trPr>
        <w:tc>
          <w:tcPr>
            <w:tcW w:w="8748" w:type="dxa"/>
            <w:vAlign w:val="center"/>
          </w:tcPr>
          <w:p w14:paraId="47361A5A" w14:textId="68CFD939" w:rsidR="006E7E04" w:rsidRPr="009A0471" w:rsidRDefault="009A0471" w:rsidP="00103E34">
            <w:pPr>
              <w:widowControl/>
              <w:autoSpaceDE/>
              <w:autoSpaceDN/>
              <w:adjustRightInd/>
              <w:jc w:val="center"/>
            </w:pPr>
            <m:oMathPara>
              <m:oMathParaPr>
                <m:jc m:val="center"/>
              </m:oMathParaPr>
              <m:oMath>
                <m:r>
                  <w:rPr>
                    <w:rFonts w:ascii="Cambria Math" w:hAnsi="Cambria Math"/>
                  </w:rPr>
                  <m:t>If county c has a burn ban</m:t>
                </m:r>
              </m:oMath>
            </m:oMathPara>
          </w:p>
          <w:p w14:paraId="0C810523" w14:textId="28ED1E92" w:rsidR="009A0471" w:rsidRPr="00770E9B" w:rsidRDefault="009A0471" w:rsidP="00103E34">
            <w:pPr>
              <w:widowControl/>
              <w:autoSpaceDE/>
              <w:autoSpaceDN/>
              <w:adjustRightInd/>
              <w:jc w:val="center"/>
              <w:rPr>
                <w:szCs w:val="20"/>
              </w:rPr>
            </w:pPr>
            <m:oMathPara>
              <m:oMathParaPr>
                <m:jc m:val="center"/>
              </m:oMathParaPr>
              <m:oMath>
                <m:r>
                  <w:rPr>
                    <w:rFonts w:ascii="Cambria Math" w:hAnsi="Cambria Math"/>
                  </w:rPr>
                  <m:t xml:space="preserve">Then </m:t>
                </m:r>
                <m:sSub>
                  <m:sSubPr>
                    <m:ctrlPr>
                      <w:rPr>
                        <w:rFonts w:ascii="Cambria Math" w:hAnsi="Cambria Math"/>
                        <w:i/>
                      </w:rPr>
                    </m:ctrlPr>
                  </m:sSubPr>
                  <m:e>
                    <m:r>
                      <w:rPr>
                        <w:rFonts w:ascii="Cambria Math" w:hAnsi="Cambria Math"/>
                      </w:rPr>
                      <m:t>LW</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LW</m:t>
                    </m:r>
                  </m:e>
                  <m:sub>
                    <m:r>
                      <w:rPr>
                        <w:rFonts w:ascii="Cambria Math" w:hAnsi="Cambria Math"/>
                      </w:rPr>
                      <m:t>c</m:t>
                    </m:r>
                  </m:sub>
                </m:sSub>
                <m:r>
                  <w:rPr>
                    <w:rFonts w:ascii="Cambria Math" w:hAnsi="Cambria Math"/>
                  </w:rPr>
                  <m:t>×0.25</m:t>
                </m:r>
              </m:oMath>
            </m:oMathPara>
          </w:p>
        </w:tc>
        <w:tc>
          <w:tcPr>
            <w:tcW w:w="828" w:type="dxa"/>
            <w:vAlign w:val="center"/>
          </w:tcPr>
          <w:p w14:paraId="4CAECA4F" w14:textId="77777777" w:rsidR="006E7E04" w:rsidRPr="003D471D" w:rsidRDefault="006E7E04" w:rsidP="00103E34">
            <w:pPr>
              <w:pStyle w:val="ListParagraph"/>
              <w:widowControl/>
              <w:numPr>
                <w:ilvl w:val="0"/>
                <w:numId w:val="10"/>
              </w:numPr>
              <w:autoSpaceDE/>
              <w:autoSpaceDN/>
              <w:adjustRightInd/>
              <w:jc w:val="center"/>
              <w:rPr>
                <w:szCs w:val="20"/>
              </w:rPr>
            </w:pPr>
          </w:p>
        </w:tc>
      </w:tr>
      <w:tr w:rsidR="006E7E04" w:rsidRPr="003D471D" w14:paraId="17DA4CC2" w14:textId="77777777" w:rsidTr="00103E34">
        <w:trPr>
          <w:trHeight w:val="720"/>
        </w:trPr>
        <w:tc>
          <w:tcPr>
            <w:tcW w:w="8748" w:type="dxa"/>
            <w:vAlign w:val="center"/>
          </w:tcPr>
          <w:p w14:paraId="194EB28C" w14:textId="08CD550C" w:rsidR="009A0471" w:rsidRPr="009A0471" w:rsidRDefault="009A0471" w:rsidP="00103E34">
            <w:pPr>
              <w:widowControl/>
              <w:autoSpaceDE/>
              <w:autoSpaceDN/>
              <w:adjustRightInd/>
              <w:jc w:val="center"/>
            </w:pPr>
            <m:oMathPara>
              <m:oMathParaPr>
                <m:jc m:val="center"/>
              </m:oMathParaPr>
              <m:oMath>
                <m:r>
                  <w:rPr>
                    <w:rFonts w:ascii="Cambria Math" w:hAnsi="Cambria Math"/>
                  </w:rPr>
                  <m:t>If county c has a burn ban</m:t>
                </m:r>
              </m:oMath>
            </m:oMathPara>
          </w:p>
          <w:p w14:paraId="13D746F6" w14:textId="498FB2E7" w:rsidR="006E7E04" w:rsidRPr="00770E9B" w:rsidRDefault="009A0471" w:rsidP="00103E34">
            <w:pPr>
              <w:widowControl/>
              <w:autoSpaceDE/>
              <w:autoSpaceDN/>
              <w:adjustRightInd/>
              <w:jc w:val="center"/>
              <w:rPr>
                <w:szCs w:val="20"/>
              </w:rPr>
            </w:pPr>
            <m:oMathPara>
              <m:oMathParaPr>
                <m:jc m:val="center"/>
              </m:oMathParaPr>
              <m:oMath>
                <m:r>
                  <w:rPr>
                    <w:rFonts w:ascii="Cambria Math" w:hAnsi="Cambria Math"/>
                  </w:rPr>
                  <m:t xml:space="preserve">Then </m:t>
                </m:r>
                <m:sSub>
                  <m:sSubPr>
                    <m:ctrlPr>
                      <w:rPr>
                        <w:rFonts w:ascii="Cambria Math" w:hAnsi="Cambria Math"/>
                        <w:i/>
                      </w:rPr>
                    </m:ctrlPr>
                  </m:sSubPr>
                  <m:e>
                    <m:r>
                      <w:rPr>
                        <w:rFonts w:ascii="Cambria Math" w:hAnsi="Cambria Math"/>
                      </w:rPr>
                      <m:t>BW</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BW</m:t>
                    </m:r>
                  </m:e>
                  <m:sub>
                    <m:r>
                      <w:rPr>
                        <w:rFonts w:ascii="Cambria Math" w:hAnsi="Cambria Math"/>
                      </w:rPr>
                      <m:t>c</m:t>
                    </m:r>
                  </m:sub>
                </m:sSub>
                <m:r>
                  <w:rPr>
                    <w:rFonts w:ascii="Cambria Math" w:hAnsi="Cambria Math"/>
                  </w:rPr>
                  <m:t>×0.25</m:t>
                </m:r>
              </m:oMath>
            </m:oMathPara>
          </w:p>
        </w:tc>
        <w:tc>
          <w:tcPr>
            <w:tcW w:w="828" w:type="dxa"/>
            <w:vAlign w:val="center"/>
          </w:tcPr>
          <w:p w14:paraId="44CA16D2" w14:textId="77777777" w:rsidR="006E7E04" w:rsidRPr="003D471D" w:rsidRDefault="006E7E04" w:rsidP="00103E34">
            <w:pPr>
              <w:pStyle w:val="ListParagraph"/>
              <w:widowControl/>
              <w:numPr>
                <w:ilvl w:val="0"/>
                <w:numId w:val="10"/>
              </w:numPr>
              <w:autoSpaceDE/>
              <w:autoSpaceDN/>
              <w:adjustRightInd/>
              <w:jc w:val="center"/>
              <w:rPr>
                <w:szCs w:val="20"/>
              </w:rPr>
            </w:pPr>
          </w:p>
        </w:tc>
      </w:tr>
    </w:tbl>
    <w:p w14:paraId="2A9ADE19" w14:textId="4FFB4FCA" w:rsidR="00103E34" w:rsidRDefault="00103E34" w:rsidP="00103E34">
      <w:r>
        <w:t xml:space="preserve">Where: </w:t>
      </w:r>
    </w:p>
    <w:p w14:paraId="1A713494" w14:textId="77777777" w:rsidR="00103E34" w:rsidRDefault="00103E34" w:rsidP="00103E34">
      <w:pPr>
        <w:pStyle w:val="NoSpacing"/>
      </w:pPr>
      <w:r>
        <w:rPr>
          <w:i/>
        </w:rPr>
        <w:tab/>
        <w:t>L</w:t>
      </w:r>
      <w:r w:rsidRPr="00D36600">
        <w:rPr>
          <w:i/>
        </w:rPr>
        <w:t>W</w:t>
      </w:r>
      <w:r w:rsidRPr="00D36600">
        <w:rPr>
          <w:i/>
          <w:vertAlign w:val="subscript"/>
        </w:rPr>
        <w:t>c</w:t>
      </w:r>
      <w:r>
        <w:rPr>
          <w:vertAlign w:val="subscript"/>
        </w:rPr>
        <w:tab/>
      </w:r>
      <w:r>
        <w:t>=</w:t>
      </w:r>
      <w:r>
        <w:tab/>
        <w:t xml:space="preserve">Annual leaf waste burned in county </w:t>
      </w:r>
      <w:r>
        <w:rPr>
          <w:i/>
        </w:rPr>
        <w:t>c,</w:t>
      </w:r>
      <w:r>
        <w:t xml:space="preserve"> in tons</w:t>
      </w:r>
    </w:p>
    <w:p w14:paraId="62240218" w14:textId="47B55E74" w:rsidR="00103E34" w:rsidRDefault="00103E34" w:rsidP="00103E34">
      <w:pPr>
        <w:pStyle w:val="NoSpacing"/>
      </w:pPr>
      <w:r>
        <w:rPr>
          <w:i/>
        </w:rPr>
        <w:tab/>
        <w:t>BW</w:t>
      </w:r>
      <w:r w:rsidRPr="00D36600">
        <w:rPr>
          <w:i/>
          <w:vertAlign w:val="subscript"/>
        </w:rPr>
        <w:t>c</w:t>
      </w:r>
      <w:r>
        <w:rPr>
          <w:vertAlign w:val="subscript"/>
        </w:rPr>
        <w:tab/>
      </w:r>
      <w:r>
        <w:t>=</w:t>
      </w:r>
      <w:r>
        <w:tab/>
        <w:t xml:space="preserve">Annual brush waste burned in county </w:t>
      </w:r>
      <w:r>
        <w:rPr>
          <w:i/>
        </w:rPr>
        <w:t>c,</w:t>
      </w:r>
      <w:r>
        <w:t xml:space="preserve"> in tons</w:t>
      </w:r>
    </w:p>
    <w:p w14:paraId="13F55818" w14:textId="77777777" w:rsidR="00103E34" w:rsidRDefault="00103E34" w:rsidP="00103E34">
      <w:pPr>
        <w:pStyle w:val="NoSpacing"/>
      </w:pPr>
    </w:p>
    <w:p w14:paraId="09A046D0" w14:textId="7F7B364B" w:rsidR="00103E34" w:rsidRPr="00103E34" w:rsidRDefault="00B97E6E" w:rsidP="00103E34">
      <w:pPr>
        <w:pStyle w:val="Heading1"/>
      </w:pPr>
      <w:bookmarkStart w:id="15" w:name="_Ref478996158"/>
      <w:r w:rsidRPr="00103E34">
        <w:t>Emissions</w:t>
      </w:r>
      <w:bookmarkEnd w:id="14"/>
      <w:bookmarkEnd w:id="15"/>
    </w:p>
    <w:p w14:paraId="6F90CF59" w14:textId="78501EF8" w:rsidR="00B97E6E" w:rsidRDefault="005F309A" w:rsidP="00B97E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 xml:space="preserve">The </w:t>
      </w:r>
      <w:r w:rsidR="00646D28">
        <w:rPr>
          <w:szCs w:val="20"/>
        </w:rPr>
        <w:t xml:space="preserve">annual </w:t>
      </w:r>
      <w:r w:rsidR="00AD7E0B">
        <w:rPr>
          <w:szCs w:val="20"/>
        </w:rPr>
        <w:t>amount of leaf and brush waste</w:t>
      </w:r>
      <w:r>
        <w:rPr>
          <w:szCs w:val="20"/>
        </w:rPr>
        <w:t xml:space="preserve"> burned </w:t>
      </w:r>
      <w:r w:rsidR="00646D28">
        <w:rPr>
          <w:szCs w:val="20"/>
        </w:rPr>
        <w:t xml:space="preserve">in each county is multiplied </w:t>
      </w:r>
      <w:r w:rsidR="00B97E6E" w:rsidRPr="003733A0">
        <w:rPr>
          <w:szCs w:val="20"/>
        </w:rPr>
        <w:t xml:space="preserve">by </w:t>
      </w:r>
      <w:r w:rsidR="00837710">
        <w:rPr>
          <w:szCs w:val="20"/>
        </w:rPr>
        <w:t>the</w:t>
      </w:r>
      <w:r w:rsidR="00B97E6E" w:rsidRPr="003733A0">
        <w:rPr>
          <w:szCs w:val="20"/>
        </w:rPr>
        <w:t xml:space="preserve"> emission</w:t>
      </w:r>
      <w:r w:rsidR="009944E8">
        <w:rPr>
          <w:szCs w:val="20"/>
        </w:rPr>
        <w:t>s</w:t>
      </w:r>
      <w:r w:rsidR="00B97E6E" w:rsidRPr="003733A0">
        <w:rPr>
          <w:szCs w:val="20"/>
        </w:rPr>
        <w:t xml:space="preserve"> factor</w:t>
      </w:r>
      <w:r w:rsidR="00837710">
        <w:rPr>
          <w:szCs w:val="20"/>
        </w:rPr>
        <w:t>s</w:t>
      </w:r>
      <w:r w:rsidR="00F87189">
        <w:rPr>
          <w:szCs w:val="20"/>
        </w:rPr>
        <w:t xml:space="preserve"> listed</w:t>
      </w:r>
      <w:r w:rsidR="00837710">
        <w:rPr>
          <w:szCs w:val="20"/>
        </w:rPr>
        <w:t xml:space="preserve"> in</w:t>
      </w:r>
      <w:r w:rsidR="00646D28">
        <w:rPr>
          <w:szCs w:val="20"/>
        </w:rPr>
        <w:t xml:space="preserve"> </w:t>
      </w:r>
      <w:r w:rsidR="00AD7E0B">
        <w:rPr>
          <w:szCs w:val="20"/>
        </w:rPr>
        <w:fldChar w:fldCharType="begin"/>
      </w:r>
      <w:r w:rsidR="00AD7E0B">
        <w:rPr>
          <w:szCs w:val="20"/>
        </w:rPr>
        <w:instrText xml:space="preserve"> REF _Ref478471503 \h </w:instrText>
      </w:r>
      <w:r w:rsidR="00AD7E0B">
        <w:rPr>
          <w:szCs w:val="20"/>
        </w:rPr>
      </w:r>
      <w:r w:rsidR="00AD7E0B">
        <w:rPr>
          <w:szCs w:val="20"/>
        </w:rPr>
        <w:fldChar w:fldCharType="separate"/>
      </w:r>
      <w:r w:rsidR="00B36F28">
        <w:t xml:space="preserve">Table </w:t>
      </w:r>
      <w:r w:rsidR="00B36F28">
        <w:rPr>
          <w:noProof/>
        </w:rPr>
        <w:t>4</w:t>
      </w:r>
      <w:r w:rsidR="00AD7E0B">
        <w:rPr>
          <w:szCs w:val="20"/>
        </w:rPr>
        <w:fldChar w:fldCharType="end"/>
      </w:r>
      <w:r w:rsidR="00AD7E0B">
        <w:rPr>
          <w:szCs w:val="20"/>
        </w:rPr>
        <w:t xml:space="preserve"> </w:t>
      </w:r>
      <w:r w:rsidR="007762EB">
        <w:rPr>
          <w:szCs w:val="20"/>
        </w:rPr>
        <w:t xml:space="preserve">and </w:t>
      </w:r>
      <w:r w:rsidR="007762EB">
        <w:rPr>
          <w:szCs w:val="20"/>
        </w:rPr>
        <w:fldChar w:fldCharType="begin"/>
      </w:r>
      <w:r w:rsidR="007762EB">
        <w:rPr>
          <w:szCs w:val="20"/>
        </w:rPr>
        <w:instrText xml:space="preserve"> REF _Ref478559409 \h </w:instrText>
      </w:r>
      <w:r w:rsidR="007762EB">
        <w:rPr>
          <w:szCs w:val="20"/>
        </w:rPr>
      </w:r>
      <w:r w:rsidR="007762EB">
        <w:rPr>
          <w:szCs w:val="20"/>
        </w:rPr>
        <w:fldChar w:fldCharType="separate"/>
      </w:r>
      <w:r w:rsidR="00B36F28">
        <w:t xml:space="preserve">Table </w:t>
      </w:r>
      <w:r w:rsidR="00B36F28">
        <w:rPr>
          <w:noProof/>
        </w:rPr>
        <w:t>5</w:t>
      </w:r>
      <w:r w:rsidR="007762EB">
        <w:rPr>
          <w:szCs w:val="20"/>
        </w:rPr>
        <w:fldChar w:fldCharType="end"/>
      </w:r>
      <w:r w:rsidR="007762EB">
        <w:rPr>
          <w:szCs w:val="20"/>
        </w:rPr>
        <w:t xml:space="preserve"> </w:t>
      </w:r>
      <w:r w:rsidR="00646D28">
        <w:rPr>
          <w:szCs w:val="20"/>
        </w:rPr>
        <w:t>to estimate emissions</w:t>
      </w:r>
      <w:r w:rsidR="00B97E6E" w:rsidRPr="003733A0">
        <w:rPr>
          <w:szCs w:val="20"/>
        </w:rPr>
        <w:t xml:space="preserve">. </w:t>
      </w:r>
      <w:r w:rsidR="00AD7E0B" w:rsidRPr="00E44CEA">
        <w:t xml:space="preserve">Emissions for leaves and residential brush </w:t>
      </w:r>
      <w:r w:rsidR="00A207E8">
        <w:t>a</w:t>
      </w:r>
      <w:r w:rsidR="00AD7E0B" w:rsidRPr="00E44CEA">
        <w:t>re calculated separately, since emission factors vary by yard waste ty</w:t>
      </w:r>
      <w:r w:rsidR="00AD7E0B">
        <w:t>pe.</w:t>
      </w:r>
      <w:r w:rsidR="009A0471">
        <w:rPr>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8"/>
        <w:gridCol w:w="828"/>
      </w:tblGrid>
      <w:tr w:rsidR="00646D28" w14:paraId="5C7EC50A" w14:textId="77777777" w:rsidTr="00AD7E0B">
        <w:trPr>
          <w:trHeight w:val="432"/>
        </w:trPr>
        <w:tc>
          <w:tcPr>
            <w:tcW w:w="8748" w:type="dxa"/>
            <w:vAlign w:val="center"/>
          </w:tcPr>
          <w:p w14:paraId="216F7A41" w14:textId="7E505B0E" w:rsidR="00646D28" w:rsidRDefault="001946A7" w:rsidP="00AD7E0B">
            <w:pPr>
              <w:widowControl/>
              <w:autoSpaceDE/>
              <w:autoSpaceDN/>
              <w:adjustRightInd/>
              <w:jc w:val="center"/>
              <w:rPr>
                <w:szCs w:val="20"/>
              </w:rPr>
            </w:pPr>
            <m:oMathPara>
              <m:oMath>
                <m:sSub>
                  <m:sSubPr>
                    <m:ctrlPr>
                      <w:rPr>
                        <w:rFonts w:ascii="Cambria Math" w:hAnsi="Cambria Math"/>
                        <w:i/>
                      </w:rPr>
                    </m:ctrlPr>
                  </m:sSubPr>
                  <m:e>
                    <m:r>
                      <w:rPr>
                        <w:rFonts w:ascii="Cambria Math" w:hAnsi="Cambria Math"/>
                      </w:rPr>
                      <m:t>E</m:t>
                    </m:r>
                  </m:e>
                  <m:sub>
                    <m:r>
                      <w:rPr>
                        <w:rFonts w:ascii="Cambria Math" w:hAnsi="Cambria Math"/>
                      </w:rPr>
                      <m:t>p,c</m:t>
                    </m:r>
                  </m:sub>
                </m:sSub>
                <m:r>
                  <w:rPr>
                    <w:rFonts w:ascii="Cambria Math" w:hAnsi="Cambria Math"/>
                  </w:rPr>
                  <m:t>=</m:t>
                </m:r>
                <m:sSub>
                  <m:sSubPr>
                    <m:ctrlPr>
                      <w:rPr>
                        <w:rFonts w:ascii="Cambria Math" w:hAnsi="Cambria Math"/>
                        <w:i/>
                      </w:rPr>
                    </m:ctrlPr>
                  </m:sSubPr>
                  <m:e>
                    <m:r>
                      <w:rPr>
                        <w:rFonts w:ascii="Cambria Math" w:hAnsi="Cambria Math"/>
                      </w:rPr>
                      <m:t>LW</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p</m:t>
                    </m:r>
                  </m:sub>
                </m:sSub>
              </m:oMath>
            </m:oMathPara>
          </w:p>
        </w:tc>
        <w:tc>
          <w:tcPr>
            <w:tcW w:w="828" w:type="dxa"/>
            <w:vAlign w:val="center"/>
          </w:tcPr>
          <w:p w14:paraId="4CB1CFD4" w14:textId="77777777" w:rsidR="00646D28" w:rsidRPr="00986448" w:rsidRDefault="00646D28" w:rsidP="00AD7E0B">
            <w:pPr>
              <w:pStyle w:val="ListParagraph"/>
              <w:widowControl/>
              <w:numPr>
                <w:ilvl w:val="0"/>
                <w:numId w:val="10"/>
              </w:numPr>
              <w:autoSpaceDE/>
              <w:autoSpaceDN/>
              <w:adjustRightInd/>
              <w:spacing w:after="200"/>
              <w:jc w:val="center"/>
              <w:rPr>
                <w:szCs w:val="20"/>
              </w:rPr>
            </w:pPr>
          </w:p>
        </w:tc>
      </w:tr>
      <w:tr w:rsidR="00AD7E0B" w14:paraId="061E66CC" w14:textId="77777777" w:rsidTr="00AD7E0B">
        <w:trPr>
          <w:trHeight w:val="432"/>
        </w:trPr>
        <w:tc>
          <w:tcPr>
            <w:tcW w:w="8748" w:type="dxa"/>
            <w:vAlign w:val="center"/>
          </w:tcPr>
          <w:p w14:paraId="36003947" w14:textId="05B3ABC0" w:rsidR="00AD7E0B" w:rsidRDefault="001946A7" w:rsidP="00AD7E0B">
            <w:pPr>
              <w:widowControl/>
              <w:autoSpaceDE/>
              <w:autoSpaceDN/>
              <w:adjustRightInd/>
              <w:jc w:val="center"/>
              <w:rPr>
                <w:szCs w:val="20"/>
              </w:rPr>
            </w:pPr>
            <m:oMathPara>
              <m:oMath>
                <m:sSub>
                  <m:sSubPr>
                    <m:ctrlPr>
                      <w:rPr>
                        <w:rFonts w:ascii="Cambria Math" w:hAnsi="Cambria Math"/>
                        <w:i/>
                      </w:rPr>
                    </m:ctrlPr>
                  </m:sSubPr>
                  <m:e>
                    <m:r>
                      <w:rPr>
                        <w:rFonts w:ascii="Cambria Math" w:hAnsi="Cambria Math"/>
                      </w:rPr>
                      <m:t>E</m:t>
                    </m:r>
                  </m:e>
                  <m:sub>
                    <m:r>
                      <w:rPr>
                        <w:rFonts w:ascii="Cambria Math" w:hAnsi="Cambria Math"/>
                      </w:rPr>
                      <m:t>p,c</m:t>
                    </m:r>
                  </m:sub>
                </m:sSub>
                <m:r>
                  <w:rPr>
                    <w:rFonts w:ascii="Cambria Math" w:hAnsi="Cambria Math"/>
                  </w:rPr>
                  <m:t>=</m:t>
                </m:r>
                <m:sSub>
                  <m:sSubPr>
                    <m:ctrlPr>
                      <w:rPr>
                        <w:rFonts w:ascii="Cambria Math" w:hAnsi="Cambria Math"/>
                        <w:i/>
                      </w:rPr>
                    </m:ctrlPr>
                  </m:sSubPr>
                  <m:e>
                    <m:r>
                      <w:rPr>
                        <w:rFonts w:ascii="Cambria Math" w:hAnsi="Cambria Math"/>
                      </w:rPr>
                      <m:t>BW</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p</m:t>
                    </m:r>
                  </m:sub>
                </m:sSub>
              </m:oMath>
            </m:oMathPara>
          </w:p>
        </w:tc>
        <w:tc>
          <w:tcPr>
            <w:tcW w:w="828" w:type="dxa"/>
            <w:vAlign w:val="center"/>
          </w:tcPr>
          <w:p w14:paraId="41A23029" w14:textId="77777777" w:rsidR="00AD7E0B" w:rsidRPr="00986448" w:rsidRDefault="00AD7E0B" w:rsidP="00AD7E0B">
            <w:pPr>
              <w:pStyle w:val="ListParagraph"/>
              <w:widowControl/>
              <w:numPr>
                <w:ilvl w:val="0"/>
                <w:numId w:val="10"/>
              </w:numPr>
              <w:autoSpaceDE/>
              <w:autoSpaceDN/>
              <w:adjustRightInd/>
              <w:spacing w:after="200"/>
              <w:jc w:val="center"/>
              <w:rPr>
                <w:szCs w:val="20"/>
              </w:rPr>
            </w:pPr>
          </w:p>
        </w:tc>
      </w:tr>
    </w:tbl>
    <w:p w14:paraId="065A0659" w14:textId="77777777" w:rsidR="00646D28" w:rsidRDefault="00646D28" w:rsidP="00646D28">
      <w:pPr>
        <w:widowControl/>
        <w:tabs>
          <w:tab w:val="left" w:pos="0"/>
        </w:tabs>
        <w:rPr>
          <w:szCs w:val="20"/>
        </w:rPr>
      </w:pPr>
      <w:r>
        <w:rPr>
          <w:szCs w:val="20"/>
        </w:rPr>
        <w:t>Where:</w:t>
      </w:r>
    </w:p>
    <w:p w14:paraId="25009312" w14:textId="77777777" w:rsidR="00AD7E0B" w:rsidRDefault="00AD7E0B" w:rsidP="00AD7E0B">
      <w:pPr>
        <w:pStyle w:val="NoSpacing"/>
        <w:rPr>
          <w:i/>
        </w:rPr>
      </w:pPr>
      <w:r>
        <w:tab/>
      </w:r>
      <w:r w:rsidRPr="00D36600">
        <w:rPr>
          <w:i/>
        </w:rPr>
        <w:t>E</w:t>
      </w:r>
      <w:r w:rsidRPr="00D36600">
        <w:rPr>
          <w:i/>
          <w:vertAlign w:val="subscript"/>
        </w:rPr>
        <w:t>p,c</w:t>
      </w:r>
      <w:r>
        <w:rPr>
          <w:vertAlign w:val="subscript"/>
        </w:rPr>
        <w:tab/>
      </w:r>
      <w:r>
        <w:t>=</w:t>
      </w:r>
      <w:r>
        <w:tab/>
        <w:t xml:space="preserve">Annual emissions of pollutant </w:t>
      </w:r>
      <w:r>
        <w:rPr>
          <w:i/>
        </w:rPr>
        <w:t xml:space="preserve">p </w:t>
      </w:r>
      <w:r>
        <w:t xml:space="preserve">in county </w:t>
      </w:r>
      <w:r>
        <w:rPr>
          <w:i/>
        </w:rPr>
        <w:t>c</w:t>
      </w:r>
    </w:p>
    <w:p w14:paraId="4FCB3061" w14:textId="77777777" w:rsidR="00103E34" w:rsidRDefault="00103E34" w:rsidP="00103E34">
      <w:pPr>
        <w:pStyle w:val="NoSpacing"/>
      </w:pPr>
      <w:r>
        <w:rPr>
          <w:i/>
        </w:rPr>
        <w:tab/>
        <w:t>L</w:t>
      </w:r>
      <w:r w:rsidRPr="00D36600">
        <w:rPr>
          <w:i/>
        </w:rPr>
        <w:t>W</w:t>
      </w:r>
      <w:r w:rsidRPr="00D36600">
        <w:rPr>
          <w:i/>
          <w:vertAlign w:val="subscript"/>
        </w:rPr>
        <w:t>c</w:t>
      </w:r>
      <w:r>
        <w:rPr>
          <w:vertAlign w:val="subscript"/>
        </w:rPr>
        <w:tab/>
      </w:r>
      <w:r>
        <w:t>=</w:t>
      </w:r>
      <w:r>
        <w:tab/>
        <w:t xml:space="preserve">Annual leaf waste burned in county </w:t>
      </w:r>
      <w:r>
        <w:rPr>
          <w:i/>
        </w:rPr>
        <w:t>c,</w:t>
      </w:r>
      <w:r>
        <w:t xml:space="preserve"> in tons</w:t>
      </w:r>
    </w:p>
    <w:p w14:paraId="46413CED" w14:textId="00063CEA" w:rsidR="00103E34" w:rsidRPr="00103E34" w:rsidRDefault="00103E34" w:rsidP="00103E34">
      <w:pPr>
        <w:pStyle w:val="NoSpacing"/>
      </w:pPr>
      <w:r>
        <w:rPr>
          <w:i/>
        </w:rPr>
        <w:tab/>
        <w:t>BW</w:t>
      </w:r>
      <w:r w:rsidRPr="00D36600">
        <w:rPr>
          <w:i/>
          <w:vertAlign w:val="subscript"/>
        </w:rPr>
        <w:t>c</w:t>
      </w:r>
      <w:r>
        <w:rPr>
          <w:vertAlign w:val="subscript"/>
        </w:rPr>
        <w:tab/>
      </w:r>
      <w:r>
        <w:t>=</w:t>
      </w:r>
      <w:r>
        <w:tab/>
        <w:t xml:space="preserve">Annual brush waste burned in county </w:t>
      </w:r>
      <w:r>
        <w:rPr>
          <w:i/>
        </w:rPr>
        <w:t>c,</w:t>
      </w:r>
      <w:r>
        <w:t xml:space="preserve"> in tons</w:t>
      </w:r>
    </w:p>
    <w:p w14:paraId="0B5C3E8F" w14:textId="58D09E85" w:rsidR="009A0471" w:rsidRPr="00174B39" w:rsidRDefault="00AD7E0B" w:rsidP="00AD7E0B">
      <w:pPr>
        <w:pStyle w:val="NoSpacing"/>
      </w:pPr>
      <w:r>
        <w:rPr>
          <w:i/>
        </w:rPr>
        <w:tab/>
      </w:r>
      <w:r w:rsidRPr="00D36600">
        <w:rPr>
          <w:i/>
        </w:rPr>
        <w:t>EF</w:t>
      </w:r>
      <w:r w:rsidRPr="00D36600">
        <w:rPr>
          <w:i/>
          <w:vertAlign w:val="subscript"/>
        </w:rPr>
        <w:t>p</w:t>
      </w:r>
      <w:r>
        <w:rPr>
          <w:vertAlign w:val="subscript"/>
        </w:rPr>
        <w:tab/>
      </w:r>
      <w:r>
        <w:t>=</w:t>
      </w:r>
      <w:r>
        <w:tab/>
        <w:t xml:space="preserve">Emission factor for pollutant </w:t>
      </w:r>
      <w:r>
        <w:rPr>
          <w:i/>
        </w:rPr>
        <w:t xml:space="preserve">p, </w:t>
      </w:r>
      <w:r>
        <w:t>in lbs. of pollution per ton of waste burned</w:t>
      </w:r>
    </w:p>
    <w:p w14:paraId="36CDFDA1" w14:textId="77777777" w:rsidR="009A0471" w:rsidRPr="003733A0" w:rsidRDefault="009A0471" w:rsidP="00F871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Cs w:val="20"/>
        </w:rPr>
      </w:pPr>
    </w:p>
    <w:p w14:paraId="12A21C4C" w14:textId="77777777" w:rsidR="00B97E6E" w:rsidRDefault="00B97E6E" w:rsidP="00052E59">
      <w:pPr>
        <w:pStyle w:val="Heading1"/>
      </w:pPr>
      <w:r>
        <w:t>Point Source Subtraction</w:t>
      </w:r>
    </w:p>
    <w:p w14:paraId="70245764" w14:textId="380D6075" w:rsidR="00B97E6E" w:rsidRDefault="00A329DA" w:rsidP="00B97E6E">
      <w:pPr>
        <w:widowControl/>
        <w:tabs>
          <w:tab w:val="left" w:pos="0"/>
        </w:tabs>
        <w:rPr>
          <w:szCs w:val="20"/>
        </w:rPr>
      </w:pPr>
      <w:r>
        <w:rPr>
          <w:szCs w:val="20"/>
        </w:rPr>
        <w:t>There are no point sou</w:t>
      </w:r>
      <w:r w:rsidR="00C17C05">
        <w:rPr>
          <w:szCs w:val="20"/>
        </w:rPr>
        <w:t>rce-specific SCCs for open burning of yard waste</w:t>
      </w:r>
      <w:r w:rsidR="0056502F">
        <w:rPr>
          <w:szCs w:val="20"/>
        </w:rPr>
        <w:t>;</w:t>
      </w:r>
      <w:r>
        <w:rPr>
          <w:szCs w:val="20"/>
        </w:rPr>
        <w:t xml:space="preserve"> therefore p</w:t>
      </w:r>
      <w:r w:rsidR="00B97E6E">
        <w:rPr>
          <w:szCs w:val="20"/>
        </w:rPr>
        <w:t>oint source subtraction is not performed for this category.</w:t>
      </w:r>
    </w:p>
    <w:p w14:paraId="3D39889F" w14:textId="77777777" w:rsidR="00B97E6E" w:rsidRPr="003E3AC3" w:rsidRDefault="00B97E6E" w:rsidP="00052E59">
      <w:pPr>
        <w:pStyle w:val="Heading1"/>
      </w:pPr>
      <w:r>
        <w:t>Sample</w:t>
      </w:r>
      <w:r w:rsidRPr="00036CF5">
        <w:t xml:space="preserve"> Calculations </w:t>
      </w:r>
    </w:p>
    <w:p w14:paraId="633B07D0" w14:textId="271D82AE" w:rsidR="00B97E6E" w:rsidRDefault="00AD7E0B" w:rsidP="00B97E6E">
      <w:pPr>
        <w:widowControl/>
        <w:tabs>
          <w:tab w:val="left" w:pos="0"/>
        </w:tabs>
        <w:rPr>
          <w:szCs w:val="20"/>
        </w:rPr>
      </w:pPr>
      <w:r>
        <w:rPr>
          <w:szCs w:val="20"/>
        </w:rPr>
        <w:fldChar w:fldCharType="begin"/>
      </w:r>
      <w:r>
        <w:rPr>
          <w:szCs w:val="20"/>
        </w:rPr>
        <w:instrText xml:space="preserve"> REF _Ref477187560 \h </w:instrText>
      </w:r>
      <w:r>
        <w:rPr>
          <w:szCs w:val="20"/>
        </w:rPr>
      </w:r>
      <w:r>
        <w:rPr>
          <w:szCs w:val="20"/>
        </w:rPr>
        <w:fldChar w:fldCharType="separate"/>
      </w:r>
      <w:r w:rsidR="00B36F28">
        <w:t xml:space="preserve">Table </w:t>
      </w:r>
      <w:r w:rsidR="00B36F28">
        <w:rPr>
          <w:noProof/>
        </w:rPr>
        <w:t>3</w:t>
      </w:r>
      <w:r>
        <w:rPr>
          <w:szCs w:val="20"/>
        </w:rPr>
        <w:fldChar w:fldCharType="end"/>
      </w:r>
      <w:r>
        <w:rPr>
          <w:szCs w:val="20"/>
        </w:rPr>
        <w:t xml:space="preserve"> </w:t>
      </w:r>
      <w:r w:rsidR="0097139E">
        <w:rPr>
          <w:szCs w:val="20"/>
        </w:rPr>
        <w:t>lists sampl</w:t>
      </w:r>
      <w:r w:rsidR="00624A8A">
        <w:rPr>
          <w:szCs w:val="20"/>
        </w:rPr>
        <w:t>e calculations to determine the</w:t>
      </w:r>
      <w:r w:rsidR="004A19A1">
        <w:rPr>
          <w:szCs w:val="20"/>
        </w:rPr>
        <w:t xml:space="preserve"> </w:t>
      </w:r>
      <w:r w:rsidR="00266CAD">
        <w:rPr>
          <w:szCs w:val="20"/>
        </w:rPr>
        <w:t>CO</w:t>
      </w:r>
      <w:r w:rsidR="00B97E6E" w:rsidRPr="004008E6">
        <w:rPr>
          <w:szCs w:val="20"/>
        </w:rPr>
        <w:t xml:space="preserve"> emissions from </w:t>
      </w:r>
      <w:r w:rsidR="004A19A1">
        <w:rPr>
          <w:szCs w:val="20"/>
        </w:rPr>
        <w:t>open burning</w:t>
      </w:r>
      <w:r w:rsidR="0097139E">
        <w:rPr>
          <w:szCs w:val="20"/>
        </w:rPr>
        <w:t xml:space="preserve"> </w:t>
      </w:r>
      <w:r w:rsidR="00B36F28">
        <w:rPr>
          <w:szCs w:val="20"/>
        </w:rPr>
        <w:t xml:space="preserve">of yard waste </w:t>
      </w:r>
      <w:r w:rsidR="0097139E" w:rsidRPr="004008E6">
        <w:rPr>
          <w:szCs w:val="20"/>
        </w:rPr>
        <w:t xml:space="preserve">in </w:t>
      </w:r>
      <w:r w:rsidR="0097139E">
        <w:rPr>
          <w:szCs w:val="20"/>
        </w:rPr>
        <w:t>A</w:t>
      </w:r>
      <w:r w:rsidR="004A19A1">
        <w:rPr>
          <w:szCs w:val="20"/>
        </w:rPr>
        <w:t xml:space="preserve">utauga </w:t>
      </w:r>
      <w:r w:rsidR="0097139E">
        <w:rPr>
          <w:szCs w:val="20"/>
        </w:rPr>
        <w:t>County</w:t>
      </w:r>
      <w:r w:rsidR="0097139E" w:rsidRPr="004008E6">
        <w:rPr>
          <w:szCs w:val="20"/>
        </w:rPr>
        <w:t xml:space="preserve">, </w:t>
      </w:r>
      <w:r w:rsidR="004A19A1">
        <w:rPr>
          <w:szCs w:val="20"/>
        </w:rPr>
        <w:t>Alabama</w:t>
      </w:r>
      <w:r w:rsidR="0097139E">
        <w:rPr>
          <w:szCs w:val="20"/>
        </w:rPr>
        <w:t>.</w:t>
      </w:r>
    </w:p>
    <w:p w14:paraId="1649524D" w14:textId="68528A5F" w:rsidR="0097139E" w:rsidRDefault="0097139E" w:rsidP="0097139E">
      <w:pPr>
        <w:pStyle w:val="TableCaption"/>
      </w:pPr>
      <w:bookmarkStart w:id="16" w:name="_Ref477187560"/>
      <w:r>
        <w:lastRenderedPageBreak/>
        <w:t xml:space="preserve">Table </w:t>
      </w:r>
      <w:r w:rsidR="001946A7">
        <w:rPr>
          <w:noProof/>
        </w:rPr>
        <w:fldChar w:fldCharType="begin"/>
      </w:r>
      <w:r w:rsidR="001946A7">
        <w:rPr>
          <w:noProof/>
        </w:rPr>
        <w:instrText xml:space="preserve"> SEQ Table \* ARABIC </w:instrText>
      </w:r>
      <w:r w:rsidR="001946A7">
        <w:rPr>
          <w:noProof/>
        </w:rPr>
        <w:fldChar w:fldCharType="separate"/>
      </w:r>
      <w:r w:rsidR="00B36F28">
        <w:rPr>
          <w:noProof/>
        </w:rPr>
        <w:t>3</w:t>
      </w:r>
      <w:r w:rsidR="001946A7">
        <w:rPr>
          <w:noProof/>
        </w:rPr>
        <w:fldChar w:fldCharType="end"/>
      </w:r>
      <w:bookmarkEnd w:id="16"/>
      <w:r>
        <w:t>. Sample calculations for</w:t>
      </w:r>
      <w:r w:rsidR="00AD7E0B">
        <w:t xml:space="preserve"> </w:t>
      </w:r>
      <w:r w:rsidR="00266CAD">
        <w:t>CO</w:t>
      </w:r>
      <w:r>
        <w:t xml:space="preserve"> emissions from </w:t>
      </w:r>
      <w:r w:rsidR="005F309A">
        <w:t>open burning</w:t>
      </w:r>
      <w:r>
        <w:t xml:space="preserve"> in </w:t>
      </w:r>
      <w:r w:rsidR="005F309A">
        <w:t>Autauga County, Al</w:t>
      </w:r>
      <w:r>
        <w:t>.</w:t>
      </w:r>
    </w:p>
    <w:tbl>
      <w:tblPr>
        <w:tblStyle w:val="TableGrid"/>
        <w:tblW w:w="5000" w:type="pct"/>
        <w:tblLook w:val="04A0" w:firstRow="1" w:lastRow="0" w:firstColumn="1" w:lastColumn="0" w:noHBand="0" w:noVBand="1"/>
      </w:tblPr>
      <w:tblGrid>
        <w:gridCol w:w="511"/>
        <w:gridCol w:w="3823"/>
        <w:gridCol w:w="3223"/>
        <w:gridCol w:w="2019"/>
      </w:tblGrid>
      <w:tr w:rsidR="00B162D6" w:rsidRPr="00DF0B38" w14:paraId="56321F79" w14:textId="77777777" w:rsidTr="00FA3543">
        <w:trPr>
          <w:cantSplit/>
          <w:tblHeader/>
        </w:trPr>
        <w:tc>
          <w:tcPr>
            <w:tcW w:w="267" w:type="pct"/>
            <w:shd w:val="clear" w:color="auto" w:fill="BFBFBF" w:themeFill="background1" w:themeFillShade="BF"/>
            <w:vAlign w:val="center"/>
          </w:tcPr>
          <w:p w14:paraId="15E71B88" w14:textId="77777777" w:rsidR="00DF0B38" w:rsidRPr="00DF0B38" w:rsidRDefault="00DF0B38" w:rsidP="00FE7F5B">
            <w:pPr>
              <w:widowControl/>
              <w:tabs>
                <w:tab w:val="left" w:pos="0"/>
              </w:tabs>
              <w:jc w:val="center"/>
              <w:rPr>
                <w:b/>
                <w:szCs w:val="20"/>
              </w:rPr>
            </w:pPr>
            <w:r w:rsidRPr="00DF0B38">
              <w:rPr>
                <w:b/>
                <w:szCs w:val="20"/>
              </w:rPr>
              <w:t>Eq. #</w:t>
            </w:r>
          </w:p>
        </w:tc>
        <w:tc>
          <w:tcPr>
            <w:tcW w:w="1996" w:type="pct"/>
            <w:shd w:val="clear" w:color="auto" w:fill="BFBFBF" w:themeFill="background1" w:themeFillShade="BF"/>
            <w:vAlign w:val="center"/>
          </w:tcPr>
          <w:p w14:paraId="5E17F5CA" w14:textId="77777777" w:rsidR="00DF0B38" w:rsidRPr="00DF0B38" w:rsidRDefault="00DF0B38" w:rsidP="00FE7F5B">
            <w:pPr>
              <w:widowControl/>
              <w:tabs>
                <w:tab w:val="left" w:pos="0"/>
              </w:tabs>
              <w:jc w:val="center"/>
              <w:rPr>
                <w:b/>
                <w:szCs w:val="20"/>
              </w:rPr>
            </w:pPr>
            <w:r w:rsidRPr="00DF0B38">
              <w:rPr>
                <w:b/>
                <w:szCs w:val="20"/>
              </w:rPr>
              <w:t>Equation</w:t>
            </w:r>
          </w:p>
        </w:tc>
        <w:tc>
          <w:tcPr>
            <w:tcW w:w="1683" w:type="pct"/>
            <w:shd w:val="clear" w:color="auto" w:fill="BFBFBF" w:themeFill="background1" w:themeFillShade="BF"/>
            <w:vAlign w:val="center"/>
          </w:tcPr>
          <w:p w14:paraId="583D27DD" w14:textId="2B87ED82" w:rsidR="00DF0B38" w:rsidRPr="00DF0B38" w:rsidRDefault="00DF0B38" w:rsidP="00B25B74">
            <w:pPr>
              <w:widowControl/>
              <w:tabs>
                <w:tab w:val="left" w:pos="0"/>
              </w:tabs>
              <w:jc w:val="center"/>
              <w:rPr>
                <w:b/>
                <w:szCs w:val="20"/>
              </w:rPr>
            </w:pPr>
            <w:r w:rsidRPr="00DF0B38">
              <w:rPr>
                <w:b/>
                <w:szCs w:val="20"/>
              </w:rPr>
              <w:t>Values</w:t>
            </w:r>
            <w:r w:rsidR="0097139E">
              <w:rPr>
                <w:b/>
                <w:szCs w:val="20"/>
              </w:rPr>
              <w:t xml:space="preserve"> for A</w:t>
            </w:r>
            <w:r w:rsidR="00B25B74">
              <w:rPr>
                <w:b/>
                <w:szCs w:val="20"/>
              </w:rPr>
              <w:t>utauga County, AL</w:t>
            </w:r>
          </w:p>
        </w:tc>
        <w:tc>
          <w:tcPr>
            <w:tcW w:w="1054" w:type="pct"/>
            <w:shd w:val="clear" w:color="auto" w:fill="BFBFBF" w:themeFill="background1" w:themeFillShade="BF"/>
            <w:vAlign w:val="center"/>
          </w:tcPr>
          <w:p w14:paraId="3D2F2F30" w14:textId="77777777" w:rsidR="00DF0B38" w:rsidRPr="00DF0B38" w:rsidRDefault="00DF0B38" w:rsidP="00FE7F5B">
            <w:pPr>
              <w:widowControl/>
              <w:tabs>
                <w:tab w:val="left" w:pos="0"/>
              </w:tabs>
              <w:jc w:val="center"/>
              <w:rPr>
                <w:b/>
                <w:szCs w:val="20"/>
              </w:rPr>
            </w:pPr>
            <w:r w:rsidRPr="00DF0B38">
              <w:rPr>
                <w:b/>
                <w:szCs w:val="20"/>
              </w:rPr>
              <w:t>Result</w:t>
            </w:r>
          </w:p>
        </w:tc>
      </w:tr>
      <w:tr w:rsidR="00B162D6" w14:paraId="784CAB0E" w14:textId="77777777" w:rsidTr="00FA3543">
        <w:trPr>
          <w:cantSplit/>
        </w:trPr>
        <w:tc>
          <w:tcPr>
            <w:tcW w:w="267" w:type="pct"/>
            <w:vAlign w:val="center"/>
          </w:tcPr>
          <w:p w14:paraId="4F80AFA6" w14:textId="1948AA87" w:rsidR="0003373D" w:rsidRDefault="0056502F" w:rsidP="00A207E8">
            <w:pPr>
              <w:widowControl/>
              <w:tabs>
                <w:tab w:val="left" w:pos="0"/>
              </w:tabs>
              <w:spacing w:before="120" w:after="60"/>
              <w:jc w:val="center"/>
              <w:rPr>
                <w:szCs w:val="20"/>
              </w:rPr>
            </w:pPr>
            <w:r>
              <w:rPr>
                <w:szCs w:val="20"/>
              </w:rPr>
              <w:t>1</w:t>
            </w:r>
          </w:p>
        </w:tc>
        <w:tc>
          <w:tcPr>
            <w:tcW w:w="1996" w:type="pct"/>
            <w:vAlign w:val="center"/>
          </w:tcPr>
          <w:p w14:paraId="16DF6101" w14:textId="03C8CA45" w:rsidR="0003373D" w:rsidRDefault="001946A7" w:rsidP="00A207E8">
            <w:pPr>
              <w:widowControl/>
              <w:tabs>
                <w:tab w:val="left" w:pos="0"/>
              </w:tabs>
              <w:spacing w:before="120"/>
              <w:jc w:val="center"/>
              <w:rPr>
                <w:szCs w:val="20"/>
              </w:rPr>
            </w:pPr>
            <m:oMathPara>
              <m:oMath>
                <m:sSub>
                  <m:sSubPr>
                    <m:ctrlPr>
                      <w:rPr>
                        <w:rFonts w:ascii="Cambria Math" w:hAnsi="Cambria Math"/>
                        <w:i/>
                      </w:rPr>
                    </m:ctrlPr>
                  </m:sSubPr>
                  <m:e>
                    <m:r>
                      <w:rPr>
                        <w:rFonts w:ascii="Cambria Math" w:hAnsi="Cambria Math"/>
                      </w:rPr>
                      <m:t>PC</m:t>
                    </m:r>
                  </m:e>
                  <m:sub>
                    <m:r>
                      <w:rPr>
                        <w:rFonts w:ascii="Cambria Math" w:hAnsi="Cambria Math"/>
                      </w:rPr>
                      <m:t>yw</m:t>
                    </m:r>
                  </m:sub>
                </m:sSub>
                <m:r>
                  <w:rPr>
                    <w:rFonts w:ascii="Cambria Math" w:hAnsi="Cambria Math"/>
                  </w:rPr>
                  <m:t>=</m:t>
                </m:r>
                <m:f>
                  <m:fPr>
                    <m:ctrlPr>
                      <w:rPr>
                        <w:rFonts w:ascii="Cambria Math" w:hAnsi="Cambria Math"/>
                        <w:i/>
                      </w:rPr>
                    </m:ctrlPr>
                  </m:fPr>
                  <m:num>
                    <m:r>
                      <w:rPr>
                        <w:rFonts w:ascii="Cambria Math" w:hAnsi="Cambria Math"/>
                      </w:rPr>
                      <m:t>YW×0.60</m:t>
                    </m:r>
                  </m:num>
                  <m:den>
                    <m:sSub>
                      <m:sSubPr>
                        <m:ctrlPr>
                          <w:rPr>
                            <w:rFonts w:ascii="Cambria Math" w:hAnsi="Cambria Math"/>
                            <w:i/>
                          </w:rPr>
                        </m:ctrlPr>
                      </m:sSubPr>
                      <m:e>
                        <m:r>
                          <w:rPr>
                            <w:rFonts w:ascii="Cambria Math" w:hAnsi="Cambria Math"/>
                          </w:rPr>
                          <m:t>P</m:t>
                        </m:r>
                      </m:e>
                      <m:sub>
                        <m:r>
                          <w:rPr>
                            <w:rFonts w:ascii="Cambria Math" w:hAnsi="Cambria Math"/>
                          </w:rPr>
                          <m:t>y,US</m:t>
                        </m:r>
                      </m:sub>
                    </m:sSub>
                  </m:den>
                </m:f>
              </m:oMath>
            </m:oMathPara>
          </w:p>
        </w:tc>
        <w:tc>
          <w:tcPr>
            <w:tcW w:w="1683" w:type="pct"/>
            <w:vAlign w:val="center"/>
          </w:tcPr>
          <w:p w14:paraId="129913D8" w14:textId="553C0DB8" w:rsidR="0003373D" w:rsidRDefault="001946A7" w:rsidP="00A207E8">
            <w:pPr>
              <w:widowControl/>
              <w:tabs>
                <w:tab w:val="left" w:pos="0"/>
              </w:tabs>
              <w:spacing w:before="120" w:after="60"/>
              <w:jc w:val="center"/>
              <w:rPr>
                <w:szCs w:val="20"/>
              </w:rPr>
            </w:pPr>
            <m:oMathPara>
              <m:oMath>
                <m:f>
                  <m:fPr>
                    <m:ctrlPr>
                      <w:rPr>
                        <w:rFonts w:ascii="Cambria Math" w:hAnsi="Cambria Math"/>
                        <w:i/>
                      </w:rPr>
                    </m:ctrlPr>
                  </m:fPr>
                  <m:num>
                    <m:r>
                      <w:rPr>
                        <w:rFonts w:ascii="Cambria Math" w:hAnsi="Cambria Math"/>
                      </w:rPr>
                      <m:t xml:space="preserve"> 34.5 million tons×0.60</m:t>
                    </m:r>
                  </m:num>
                  <m:den>
                    <m:r>
                      <w:rPr>
                        <w:rFonts w:ascii="Cambria Math" w:hAnsi="Cambria Math"/>
                      </w:rPr>
                      <m:t>318.85 million people</m:t>
                    </m:r>
                  </m:den>
                </m:f>
              </m:oMath>
            </m:oMathPara>
          </w:p>
        </w:tc>
        <w:tc>
          <w:tcPr>
            <w:tcW w:w="1054" w:type="pct"/>
          </w:tcPr>
          <w:p w14:paraId="159B0CF4" w14:textId="039B0253" w:rsidR="0003373D" w:rsidRDefault="004E1458" w:rsidP="00A207E8">
            <w:pPr>
              <w:widowControl/>
              <w:tabs>
                <w:tab w:val="left" w:pos="0"/>
              </w:tabs>
              <w:spacing w:before="120" w:after="60"/>
              <w:rPr>
                <w:szCs w:val="20"/>
              </w:rPr>
            </w:pPr>
            <w:r>
              <w:rPr>
                <w:szCs w:val="20"/>
              </w:rPr>
              <w:t>0.065</w:t>
            </w:r>
            <w:r w:rsidR="00266CAD">
              <w:rPr>
                <w:szCs w:val="20"/>
              </w:rPr>
              <w:t xml:space="preserve"> tons yard waste per person per year</w:t>
            </w:r>
          </w:p>
        </w:tc>
      </w:tr>
      <w:tr w:rsidR="00266CAD" w14:paraId="41D2A12A" w14:textId="77777777" w:rsidTr="00FA3543">
        <w:trPr>
          <w:cantSplit/>
        </w:trPr>
        <w:tc>
          <w:tcPr>
            <w:tcW w:w="267" w:type="pct"/>
            <w:vAlign w:val="center"/>
          </w:tcPr>
          <w:p w14:paraId="5E940209" w14:textId="7D367CB2" w:rsidR="00266CAD" w:rsidRDefault="00613673" w:rsidP="00FE7F5B">
            <w:pPr>
              <w:widowControl/>
              <w:tabs>
                <w:tab w:val="left" w:pos="0"/>
              </w:tabs>
              <w:spacing w:after="60"/>
              <w:jc w:val="center"/>
              <w:rPr>
                <w:szCs w:val="20"/>
              </w:rPr>
            </w:pPr>
            <w:r>
              <w:rPr>
                <w:szCs w:val="20"/>
              </w:rPr>
              <w:t>2</w:t>
            </w:r>
          </w:p>
        </w:tc>
        <w:tc>
          <w:tcPr>
            <w:tcW w:w="1996" w:type="pct"/>
            <w:vAlign w:val="center"/>
          </w:tcPr>
          <w:p w14:paraId="6F1F0C34" w14:textId="5D7C0CC7" w:rsidR="00266CAD" w:rsidRDefault="001946A7" w:rsidP="00613673">
            <w:pPr>
              <w:widowControl/>
              <w:autoSpaceDE/>
              <w:autoSpaceDN/>
              <w:adjustRightInd/>
              <w:jc w:val="center"/>
            </w:pPr>
            <m:oMathPara>
              <m:oMath>
                <m:sSub>
                  <m:sSubPr>
                    <m:ctrlPr>
                      <w:rPr>
                        <w:rFonts w:ascii="Cambria Math" w:hAnsi="Cambria Math"/>
                        <w:i/>
                      </w:rPr>
                    </m:ctrlPr>
                  </m:sSubPr>
                  <m:e>
                    <m:r>
                      <w:rPr>
                        <w:rFonts w:ascii="Cambria Math" w:hAnsi="Cambria Math"/>
                      </w:rPr>
                      <m:t>PBurn</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RPop</m:t>
                    </m:r>
                  </m:e>
                  <m:sub>
                    <m:r>
                      <w:rPr>
                        <w:rFonts w:ascii="Cambria Math" w:hAnsi="Cambria Math"/>
                      </w:rPr>
                      <m:t>c</m:t>
                    </m:r>
                  </m:sub>
                </m:sSub>
                <m:r>
                  <w:rPr>
                    <w:rFonts w:ascii="Cambria Math" w:hAnsi="Cambria Math"/>
                  </w:rPr>
                  <m:t>×0.24</m:t>
                </m:r>
              </m:oMath>
            </m:oMathPara>
          </w:p>
        </w:tc>
        <w:tc>
          <w:tcPr>
            <w:tcW w:w="1683" w:type="pct"/>
            <w:vAlign w:val="center"/>
          </w:tcPr>
          <w:p w14:paraId="1524072D" w14:textId="27CB908D" w:rsidR="00266CAD" w:rsidRDefault="00613673" w:rsidP="00613673">
            <w:pPr>
              <w:widowControl/>
              <w:tabs>
                <w:tab w:val="left" w:pos="0"/>
              </w:tabs>
              <w:spacing w:after="60"/>
              <w:jc w:val="center"/>
              <w:rPr>
                <w:szCs w:val="20"/>
              </w:rPr>
            </w:pPr>
            <m:oMathPara>
              <m:oMath>
                <m:r>
                  <w:rPr>
                    <w:rFonts w:ascii="Cambria Math" w:hAnsi="Cambria Math"/>
                  </w:rPr>
                  <m:t>22,921 people×0.24</m:t>
                </m:r>
              </m:oMath>
            </m:oMathPara>
          </w:p>
        </w:tc>
        <w:tc>
          <w:tcPr>
            <w:tcW w:w="1054" w:type="pct"/>
          </w:tcPr>
          <w:p w14:paraId="22340C8F" w14:textId="0E342234" w:rsidR="00266CAD" w:rsidRDefault="00613673" w:rsidP="00DF0B38">
            <w:pPr>
              <w:widowControl/>
              <w:tabs>
                <w:tab w:val="left" w:pos="0"/>
              </w:tabs>
              <w:spacing w:after="60"/>
              <w:rPr>
                <w:szCs w:val="20"/>
              </w:rPr>
            </w:pPr>
            <w:r>
              <w:rPr>
                <w:szCs w:val="20"/>
              </w:rPr>
              <w:t>5,501</w:t>
            </w:r>
            <w:r w:rsidR="00266CAD">
              <w:rPr>
                <w:szCs w:val="20"/>
              </w:rPr>
              <w:t xml:space="preserve"> people likely to burn in Autauga County, AL</w:t>
            </w:r>
          </w:p>
        </w:tc>
      </w:tr>
      <w:tr w:rsidR="00266CAD" w14:paraId="575C298A" w14:textId="77777777" w:rsidTr="00FA3543">
        <w:trPr>
          <w:cantSplit/>
        </w:trPr>
        <w:tc>
          <w:tcPr>
            <w:tcW w:w="267" w:type="pct"/>
            <w:vAlign w:val="center"/>
          </w:tcPr>
          <w:p w14:paraId="34F6C94A" w14:textId="2EE4405A" w:rsidR="00266CAD" w:rsidRDefault="00613673" w:rsidP="00FE7F5B">
            <w:pPr>
              <w:widowControl/>
              <w:tabs>
                <w:tab w:val="left" w:pos="0"/>
              </w:tabs>
              <w:spacing w:after="60"/>
              <w:jc w:val="center"/>
              <w:rPr>
                <w:szCs w:val="20"/>
              </w:rPr>
            </w:pPr>
            <w:r>
              <w:rPr>
                <w:szCs w:val="20"/>
              </w:rPr>
              <w:t>3</w:t>
            </w:r>
          </w:p>
        </w:tc>
        <w:tc>
          <w:tcPr>
            <w:tcW w:w="1996" w:type="pct"/>
            <w:vAlign w:val="center"/>
          </w:tcPr>
          <w:p w14:paraId="7A94E190" w14:textId="6BC24536" w:rsidR="00266CAD" w:rsidRDefault="001946A7" w:rsidP="00B25B74">
            <w:pPr>
              <w:widowControl/>
              <w:autoSpaceDE/>
              <w:autoSpaceDN/>
              <w:adjustRightInd/>
              <w:jc w:val="center"/>
            </w:pPr>
            <m:oMathPara>
              <m:oMath>
                <m:sSub>
                  <m:sSubPr>
                    <m:ctrlPr>
                      <w:rPr>
                        <w:rFonts w:ascii="Cambria Math" w:hAnsi="Cambria Math"/>
                        <w:i/>
                      </w:rPr>
                    </m:ctrlPr>
                  </m:sSubPr>
                  <m:e>
                    <m:r>
                      <w:rPr>
                        <w:rFonts w:ascii="Cambria Math" w:hAnsi="Cambria Math"/>
                      </w:rPr>
                      <m:t>LW</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PBurn</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PC</m:t>
                    </m:r>
                  </m:e>
                  <m:sub>
                    <m:r>
                      <w:rPr>
                        <w:rFonts w:ascii="Cambria Math" w:hAnsi="Cambria Math"/>
                      </w:rPr>
                      <m:t>yw</m:t>
                    </m:r>
                  </m:sub>
                </m:sSub>
                <m:r>
                  <w:rPr>
                    <w:rFonts w:ascii="Cambria Math" w:hAnsi="Cambria Math"/>
                  </w:rPr>
                  <m:t>×</m:t>
                </m:r>
                <m:sSub>
                  <m:sSubPr>
                    <m:ctrlPr>
                      <w:rPr>
                        <w:rFonts w:ascii="Cambria Math" w:hAnsi="Cambria Math"/>
                        <w:i/>
                      </w:rPr>
                    </m:ctrlPr>
                  </m:sSubPr>
                  <m:e>
                    <m:r>
                      <w:rPr>
                        <w:rFonts w:ascii="Cambria Math" w:hAnsi="Cambria Math"/>
                      </w:rPr>
                      <m:t>YWFr</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AF</m:t>
                    </m:r>
                  </m:e>
                  <m:sub>
                    <m:r>
                      <w:rPr>
                        <w:rFonts w:ascii="Cambria Math" w:hAnsi="Cambria Math"/>
                      </w:rPr>
                      <m:t>fa,c</m:t>
                    </m:r>
                  </m:sub>
                </m:sSub>
              </m:oMath>
            </m:oMathPara>
          </w:p>
        </w:tc>
        <w:tc>
          <w:tcPr>
            <w:tcW w:w="1683" w:type="pct"/>
            <w:vAlign w:val="center"/>
          </w:tcPr>
          <w:p w14:paraId="3C9E4EAB" w14:textId="2DC5DA4F" w:rsidR="00266CAD" w:rsidRDefault="00613673" w:rsidP="00D65A31">
            <w:pPr>
              <w:widowControl/>
              <w:tabs>
                <w:tab w:val="left" w:pos="0"/>
              </w:tabs>
              <w:spacing w:after="60"/>
              <w:jc w:val="center"/>
              <w:rPr>
                <w:szCs w:val="20"/>
              </w:rPr>
            </w:pPr>
            <m:oMathPara>
              <m:oMath>
                <m:r>
                  <w:rPr>
                    <w:rFonts w:ascii="Cambria Math" w:hAnsi="Cambria Math"/>
                  </w:rPr>
                  <m:t>5,501 people×0.065 tons×0.25×1</m:t>
                </m:r>
              </m:oMath>
            </m:oMathPara>
          </w:p>
        </w:tc>
        <w:tc>
          <w:tcPr>
            <w:tcW w:w="1054" w:type="pct"/>
          </w:tcPr>
          <w:p w14:paraId="203CCB9E" w14:textId="43E5E625" w:rsidR="00266CAD" w:rsidRDefault="00613673" w:rsidP="00350AB1">
            <w:pPr>
              <w:widowControl/>
              <w:tabs>
                <w:tab w:val="left" w:pos="0"/>
              </w:tabs>
              <w:spacing w:after="60"/>
              <w:rPr>
                <w:szCs w:val="20"/>
              </w:rPr>
            </w:pPr>
            <w:r>
              <w:rPr>
                <w:szCs w:val="20"/>
              </w:rPr>
              <w:t xml:space="preserve">89.39 </w:t>
            </w:r>
            <w:r w:rsidR="00266CAD">
              <w:rPr>
                <w:szCs w:val="20"/>
              </w:rPr>
              <w:t xml:space="preserve"> tons of leaf waste burned in Autauga County, AL</w:t>
            </w:r>
          </w:p>
        </w:tc>
      </w:tr>
      <w:tr w:rsidR="00266CAD" w14:paraId="4168EE61" w14:textId="77777777" w:rsidTr="00FA3543">
        <w:trPr>
          <w:cantSplit/>
        </w:trPr>
        <w:tc>
          <w:tcPr>
            <w:tcW w:w="267" w:type="pct"/>
            <w:vAlign w:val="center"/>
          </w:tcPr>
          <w:p w14:paraId="6AD5AE4F" w14:textId="1F166AE0" w:rsidR="00266CAD" w:rsidRDefault="00613673" w:rsidP="00FE7F5B">
            <w:pPr>
              <w:widowControl/>
              <w:tabs>
                <w:tab w:val="left" w:pos="0"/>
              </w:tabs>
              <w:spacing w:after="60"/>
              <w:jc w:val="center"/>
              <w:rPr>
                <w:szCs w:val="20"/>
              </w:rPr>
            </w:pPr>
            <w:r>
              <w:rPr>
                <w:szCs w:val="20"/>
              </w:rPr>
              <w:t>4</w:t>
            </w:r>
          </w:p>
        </w:tc>
        <w:tc>
          <w:tcPr>
            <w:tcW w:w="1996" w:type="pct"/>
            <w:vAlign w:val="center"/>
          </w:tcPr>
          <w:p w14:paraId="228CF90C" w14:textId="12C1507F" w:rsidR="00266CAD" w:rsidRDefault="001946A7" w:rsidP="00B25B74">
            <w:pPr>
              <w:widowControl/>
              <w:autoSpaceDE/>
              <w:autoSpaceDN/>
              <w:adjustRightInd/>
              <w:jc w:val="center"/>
            </w:pPr>
            <m:oMathPara>
              <m:oMath>
                <m:sSub>
                  <m:sSubPr>
                    <m:ctrlPr>
                      <w:rPr>
                        <w:rFonts w:ascii="Cambria Math" w:hAnsi="Cambria Math"/>
                        <w:i/>
                      </w:rPr>
                    </m:ctrlPr>
                  </m:sSubPr>
                  <m:e>
                    <m:r>
                      <w:rPr>
                        <w:rFonts w:ascii="Cambria Math" w:hAnsi="Cambria Math"/>
                      </w:rPr>
                      <m:t>BW</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PBurn</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PC</m:t>
                    </m:r>
                  </m:e>
                  <m:sub>
                    <m:r>
                      <w:rPr>
                        <w:rFonts w:ascii="Cambria Math" w:hAnsi="Cambria Math"/>
                      </w:rPr>
                      <m:t>yw</m:t>
                    </m:r>
                  </m:sub>
                </m:sSub>
                <m:r>
                  <w:rPr>
                    <w:rFonts w:ascii="Cambria Math" w:hAnsi="Cambria Math"/>
                  </w:rPr>
                  <m:t>×</m:t>
                </m:r>
                <m:sSub>
                  <m:sSubPr>
                    <m:ctrlPr>
                      <w:rPr>
                        <w:rFonts w:ascii="Cambria Math" w:hAnsi="Cambria Math"/>
                        <w:i/>
                      </w:rPr>
                    </m:ctrlPr>
                  </m:sSubPr>
                  <m:e>
                    <m:r>
                      <w:rPr>
                        <w:rFonts w:ascii="Cambria Math" w:hAnsi="Cambria Math"/>
                      </w:rPr>
                      <m:t>YWFr</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AF</m:t>
                    </m:r>
                  </m:e>
                  <m:sub>
                    <m:r>
                      <w:rPr>
                        <w:rFonts w:ascii="Cambria Math" w:hAnsi="Cambria Math"/>
                      </w:rPr>
                      <m:t>fa,c</m:t>
                    </m:r>
                  </m:sub>
                </m:sSub>
              </m:oMath>
            </m:oMathPara>
          </w:p>
        </w:tc>
        <w:tc>
          <w:tcPr>
            <w:tcW w:w="1683" w:type="pct"/>
            <w:vAlign w:val="center"/>
          </w:tcPr>
          <w:p w14:paraId="153B0DDD" w14:textId="64256F78" w:rsidR="00266CAD" w:rsidRDefault="00613673" w:rsidP="00D65A31">
            <w:pPr>
              <w:widowControl/>
              <w:tabs>
                <w:tab w:val="left" w:pos="0"/>
              </w:tabs>
              <w:spacing w:after="60"/>
              <w:jc w:val="center"/>
              <w:rPr>
                <w:szCs w:val="20"/>
              </w:rPr>
            </w:pPr>
            <m:oMathPara>
              <m:oMath>
                <m:r>
                  <w:rPr>
                    <w:rFonts w:ascii="Cambria Math" w:hAnsi="Cambria Math"/>
                  </w:rPr>
                  <m:t>5,501 people×0.065 tons×0.25×1</m:t>
                </m:r>
              </m:oMath>
            </m:oMathPara>
          </w:p>
        </w:tc>
        <w:tc>
          <w:tcPr>
            <w:tcW w:w="1054" w:type="pct"/>
          </w:tcPr>
          <w:p w14:paraId="158F9C39" w14:textId="68E37654" w:rsidR="00266CAD" w:rsidRDefault="00613673" w:rsidP="00266CAD">
            <w:pPr>
              <w:widowControl/>
              <w:tabs>
                <w:tab w:val="left" w:pos="0"/>
              </w:tabs>
              <w:spacing w:after="60"/>
              <w:rPr>
                <w:szCs w:val="20"/>
              </w:rPr>
            </w:pPr>
            <w:r>
              <w:rPr>
                <w:szCs w:val="20"/>
              </w:rPr>
              <w:t xml:space="preserve">89.39 </w:t>
            </w:r>
            <w:r w:rsidR="00266CAD">
              <w:rPr>
                <w:szCs w:val="20"/>
              </w:rPr>
              <w:t>tons of brush waste burned in Autauga County, AL</w:t>
            </w:r>
          </w:p>
        </w:tc>
      </w:tr>
      <w:tr w:rsidR="00FA3543" w14:paraId="783FE5C2" w14:textId="77777777" w:rsidTr="00FA3543">
        <w:trPr>
          <w:cantSplit/>
        </w:trPr>
        <w:tc>
          <w:tcPr>
            <w:tcW w:w="267" w:type="pct"/>
            <w:vAlign w:val="center"/>
          </w:tcPr>
          <w:p w14:paraId="45406865" w14:textId="3BFC1BD1" w:rsidR="00FA3543" w:rsidRDefault="00613673" w:rsidP="00FE7F5B">
            <w:pPr>
              <w:widowControl/>
              <w:tabs>
                <w:tab w:val="left" w:pos="0"/>
              </w:tabs>
              <w:spacing w:after="60"/>
              <w:jc w:val="center"/>
              <w:rPr>
                <w:szCs w:val="20"/>
              </w:rPr>
            </w:pPr>
            <w:r>
              <w:rPr>
                <w:szCs w:val="20"/>
              </w:rPr>
              <w:t>5</w:t>
            </w:r>
          </w:p>
        </w:tc>
        <w:tc>
          <w:tcPr>
            <w:tcW w:w="1996" w:type="pct"/>
            <w:vAlign w:val="center"/>
          </w:tcPr>
          <w:p w14:paraId="5191BEE2" w14:textId="48447212" w:rsidR="00FA3543" w:rsidRPr="009A0471" w:rsidRDefault="00FA3543" w:rsidP="00624A8A">
            <w:pPr>
              <w:widowControl/>
              <w:autoSpaceDE/>
              <w:autoSpaceDN/>
              <w:adjustRightInd/>
              <w:jc w:val="center"/>
            </w:pPr>
            <m:oMathPara>
              <m:oMathParaPr>
                <m:jc m:val="center"/>
              </m:oMathParaPr>
              <m:oMath>
                <m:r>
                  <w:rPr>
                    <w:rFonts w:ascii="Cambria Math" w:hAnsi="Cambria Math"/>
                  </w:rPr>
                  <m:t>If county c has a burn ban</m:t>
                </m:r>
              </m:oMath>
            </m:oMathPara>
          </w:p>
          <w:p w14:paraId="52F1D790" w14:textId="5F54C116" w:rsidR="00FA3543" w:rsidRDefault="00FA3543" w:rsidP="00624A8A">
            <w:pPr>
              <w:widowControl/>
              <w:autoSpaceDE/>
              <w:autoSpaceDN/>
              <w:adjustRightInd/>
              <w:jc w:val="center"/>
            </w:pPr>
            <m:oMathPara>
              <m:oMath>
                <m:r>
                  <w:rPr>
                    <w:rFonts w:ascii="Cambria Math" w:hAnsi="Cambria Math"/>
                  </w:rPr>
                  <m:t xml:space="preserve">Then </m:t>
                </m:r>
                <m:sSub>
                  <m:sSubPr>
                    <m:ctrlPr>
                      <w:rPr>
                        <w:rFonts w:ascii="Cambria Math" w:hAnsi="Cambria Math"/>
                        <w:i/>
                      </w:rPr>
                    </m:ctrlPr>
                  </m:sSubPr>
                  <m:e>
                    <m:r>
                      <w:rPr>
                        <w:rFonts w:ascii="Cambria Math" w:hAnsi="Cambria Math"/>
                      </w:rPr>
                      <m:t>LW</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LW</m:t>
                    </m:r>
                  </m:e>
                  <m:sub>
                    <m:r>
                      <w:rPr>
                        <w:rFonts w:ascii="Cambria Math" w:hAnsi="Cambria Math"/>
                      </w:rPr>
                      <m:t>c</m:t>
                    </m:r>
                  </m:sub>
                </m:sSub>
                <m:r>
                  <w:rPr>
                    <w:rFonts w:ascii="Cambria Math" w:hAnsi="Cambria Math"/>
                  </w:rPr>
                  <m:t>×0.25</m:t>
                </m:r>
              </m:oMath>
            </m:oMathPara>
          </w:p>
        </w:tc>
        <w:tc>
          <w:tcPr>
            <w:tcW w:w="1683" w:type="pct"/>
            <w:vAlign w:val="center"/>
          </w:tcPr>
          <w:p w14:paraId="22E7863B" w14:textId="68452CA8" w:rsidR="00FA3543" w:rsidRDefault="00FA3543" w:rsidP="00FA3543">
            <w:pPr>
              <w:widowControl/>
              <w:tabs>
                <w:tab w:val="left" w:pos="0"/>
              </w:tabs>
              <w:spacing w:after="60"/>
              <w:jc w:val="center"/>
              <w:rPr>
                <w:szCs w:val="20"/>
              </w:rPr>
            </w:pPr>
            <m:oMathPara>
              <m:oMath>
                <m:r>
                  <w:rPr>
                    <w:rFonts w:ascii="Cambria Math" w:hAnsi="Cambria Math"/>
                  </w:rPr>
                  <m:t>N/A</m:t>
                </m:r>
              </m:oMath>
            </m:oMathPara>
          </w:p>
        </w:tc>
        <w:tc>
          <w:tcPr>
            <w:tcW w:w="1054" w:type="pct"/>
          </w:tcPr>
          <w:p w14:paraId="271553E3" w14:textId="6107A042" w:rsidR="00FA3543" w:rsidRDefault="00FA3543" w:rsidP="00DF0B38">
            <w:pPr>
              <w:widowControl/>
              <w:tabs>
                <w:tab w:val="left" w:pos="0"/>
              </w:tabs>
              <w:spacing w:after="60"/>
              <w:rPr>
                <w:szCs w:val="20"/>
              </w:rPr>
            </w:pPr>
            <w:r>
              <w:rPr>
                <w:szCs w:val="20"/>
              </w:rPr>
              <w:t>Autauga County, AL does not have a burn ban</w:t>
            </w:r>
          </w:p>
        </w:tc>
      </w:tr>
      <w:tr w:rsidR="00FA3543" w14:paraId="4DF9A49D" w14:textId="77777777" w:rsidTr="00FA3543">
        <w:trPr>
          <w:cantSplit/>
        </w:trPr>
        <w:tc>
          <w:tcPr>
            <w:tcW w:w="267" w:type="pct"/>
            <w:vAlign w:val="center"/>
          </w:tcPr>
          <w:p w14:paraId="10AA6ECF" w14:textId="52C41828" w:rsidR="00FA3543" w:rsidRDefault="00613673" w:rsidP="00FE7F5B">
            <w:pPr>
              <w:widowControl/>
              <w:tabs>
                <w:tab w:val="left" w:pos="0"/>
              </w:tabs>
              <w:spacing w:after="60"/>
              <w:jc w:val="center"/>
              <w:rPr>
                <w:szCs w:val="20"/>
              </w:rPr>
            </w:pPr>
            <w:r>
              <w:rPr>
                <w:szCs w:val="20"/>
              </w:rPr>
              <w:t>6</w:t>
            </w:r>
          </w:p>
        </w:tc>
        <w:tc>
          <w:tcPr>
            <w:tcW w:w="1996" w:type="pct"/>
            <w:vAlign w:val="center"/>
          </w:tcPr>
          <w:p w14:paraId="71F2ACF2" w14:textId="04D8E5AC" w:rsidR="00FA3543" w:rsidRPr="009A0471" w:rsidRDefault="00FA3543" w:rsidP="00624A8A">
            <w:pPr>
              <w:widowControl/>
              <w:autoSpaceDE/>
              <w:autoSpaceDN/>
              <w:adjustRightInd/>
              <w:jc w:val="center"/>
            </w:pPr>
            <m:oMathPara>
              <m:oMathParaPr>
                <m:jc m:val="center"/>
              </m:oMathParaPr>
              <m:oMath>
                <m:r>
                  <w:rPr>
                    <w:rFonts w:ascii="Cambria Math" w:hAnsi="Cambria Math"/>
                  </w:rPr>
                  <m:t>If county c has a burn ban</m:t>
                </m:r>
              </m:oMath>
            </m:oMathPara>
          </w:p>
          <w:p w14:paraId="7569C334" w14:textId="05E1C331" w:rsidR="00FA3543" w:rsidRDefault="00FA3543" w:rsidP="00624A8A">
            <w:pPr>
              <w:widowControl/>
              <w:autoSpaceDE/>
              <w:autoSpaceDN/>
              <w:adjustRightInd/>
              <w:jc w:val="center"/>
            </w:pPr>
            <m:oMathPara>
              <m:oMath>
                <m:r>
                  <w:rPr>
                    <w:rFonts w:ascii="Cambria Math" w:hAnsi="Cambria Math"/>
                  </w:rPr>
                  <m:t xml:space="preserve">Then </m:t>
                </m:r>
                <m:sSub>
                  <m:sSubPr>
                    <m:ctrlPr>
                      <w:rPr>
                        <w:rFonts w:ascii="Cambria Math" w:hAnsi="Cambria Math"/>
                        <w:i/>
                      </w:rPr>
                    </m:ctrlPr>
                  </m:sSubPr>
                  <m:e>
                    <m:r>
                      <w:rPr>
                        <w:rFonts w:ascii="Cambria Math" w:hAnsi="Cambria Math"/>
                      </w:rPr>
                      <m:t>BW</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BW</m:t>
                    </m:r>
                  </m:e>
                  <m:sub>
                    <m:r>
                      <w:rPr>
                        <w:rFonts w:ascii="Cambria Math" w:hAnsi="Cambria Math"/>
                      </w:rPr>
                      <m:t>c</m:t>
                    </m:r>
                  </m:sub>
                </m:sSub>
                <m:r>
                  <w:rPr>
                    <w:rFonts w:ascii="Cambria Math" w:hAnsi="Cambria Math"/>
                  </w:rPr>
                  <m:t>×0.25</m:t>
                </m:r>
              </m:oMath>
            </m:oMathPara>
          </w:p>
        </w:tc>
        <w:tc>
          <w:tcPr>
            <w:tcW w:w="1683" w:type="pct"/>
            <w:vAlign w:val="center"/>
          </w:tcPr>
          <w:p w14:paraId="75729115" w14:textId="648ACA32" w:rsidR="00FA3543" w:rsidRDefault="00FA3543" w:rsidP="00FA3543">
            <w:pPr>
              <w:widowControl/>
              <w:tabs>
                <w:tab w:val="left" w:pos="0"/>
              </w:tabs>
              <w:spacing w:after="60"/>
              <w:jc w:val="center"/>
              <w:rPr>
                <w:szCs w:val="20"/>
              </w:rPr>
            </w:pPr>
            <m:oMathPara>
              <m:oMath>
                <m:r>
                  <w:rPr>
                    <w:rFonts w:ascii="Cambria Math" w:hAnsi="Cambria Math"/>
                  </w:rPr>
                  <m:t>N/A</m:t>
                </m:r>
              </m:oMath>
            </m:oMathPara>
          </w:p>
        </w:tc>
        <w:tc>
          <w:tcPr>
            <w:tcW w:w="1054" w:type="pct"/>
          </w:tcPr>
          <w:p w14:paraId="4734C1BF" w14:textId="7C9BEBD3" w:rsidR="00FA3543" w:rsidRDefault="00FA3543" w:rsidP="00DF0B38">
            <w:pPr>
              <w:widowControl/>
              <w:tabs>
                <w:tab w:val="left" w:pos="0"/>
              </w:tabs>
              <w:spacing w:after="60"/>
              <w:rPr>
                <w:szCs w:val="20"/>
              </w:rPr>
            </w:pPr>
            <w:r>
              <w:rPr>
                <w:szCs w:val="20"/>
              </w:rPr>
              <w:t>Autauga County, AL does not have a burn ban</w:t>
            </w:r>
          </w:p>
        </w:tc>
      </w:tr>
      <w:tr w:rsidR="00266CAD" w14:paraId="6CEC5A1C" w14:textId="77777777" w:rsidTr="00FA3543">
        <w:trPr>
          <w:cantSplit/>
        </w:trPr>
        <w:tc>
          <w:tcPr>
            <w:tcW w:w="267" w:type="pct"/>
            <w:vAlign w:val="center"/>
          </w:tcPr>
          <w:p w14:paraId="121E414B" w14:textId="47F7A602" w:rsidR="00266CAD" w:rsidRDefault="00613673" w:rsidP="00FE7F5B">
            <w:pPr>
              <w:widowControl/>
              <w:tabs>
                <w:tab w:val="left" w:pos="0"/>
              </w:tabs>
              <w:spacing w:after="60"/>
              <w:jc w:val="center"/>
              <w:rPr>
                <w:szCs w:val="20"/>
              </w:rPr>
            </w:pPr>
            <w:r>
              <w:rPr>
                <w:szCs w:val="20"/>
              </w:rPr>
              <w:t>7</w:t>
            </w:r>
          </w:p>
        </w:tc>
        <w:tc>
          <w:tcPr>
            <w:tcW w:w="1996" w:type="pct"/>
            <w:vAlign w:val="center"/>
          </w:tcPr>
          <w:p w14:paraId="2DBBA613" w14:textId="63358FF1" w:rsidR="00266CAD" w:rsidRDefault="001946A7" w:rsidP="00B25B74">
            <w:pPr>
              <w:widowControl/>
              <w:autoSpaceDE/>
              <w:autoSpaceDN/>
              <w:adjustRightInd/>
              <w:jc w:val="center"/>
            </w:pPr>
            <m:oMathPara>
              <m:oMath>
                <m:sSub>
                  <m:sSubPr>
                    <m:ctrlPr>
                      <w:rPr>
                        <w:rFonts w:ascii="Cambria Math" w:hAnsi="Cambria Math"/>
                        <w:i/>
                      </w:rPr>
                    </m:ctrlPr>
                  </m:sSubPr>
                  <m:e>
                    <m:r>
                      <w:rPr>
                        <w:rFonts w:ascii="Cambria Math" w:hAnsi="Cambria Math"/>
                      </w:rPr>
                      <m:t>E</m:t>
                    </m:r>
                  </m:e>
                  <m:sub>
                    <m:r>
                      <w:rPr>
                        <w:rFonts w:ascii="Cambria Math" w:hAnsi="Cambria Math"/>
                      </w:rPr>
                      <m:t>p,c</m:t>
                    </m:r>
                  </m:sub>
                </m:sSub>
                <m:r>
                  <w:rPr>
                    <w:rFonts w:ascii="Cambria Math" w:hAnsi="Cambria Math"/>
                  </w:rPr>
                  <m:t>=</m:t>
                </m:r>
                <m:sSub>
                  <m:sSubPr>
                    <m:ctrlPr>
                      <w:rPr>
                        <w:rFonts w:ascii="Cambria Math" w:hAnsi="Cambria Math"/>
                        <w:i/>
                      </w:rPr>
                    </m:ctrlPr>
                  </m:sSubPr>
                  <m:e>
                    <m:r>
                      <w:rPr>
                        <w:rFonts w:ascii="Cambria Math" w:hAnsi="Cambria Math"/>
                      </w:rPr>
                      <m:t>LW</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p</m:t>
                    </m:r>
                  </m:sub>
                </m:sSub>
              </m:oMath>
            </m:oMathPara>
          </w:p>
        </w:tc>
        <w:tc>
          <w:tcPr>
            <w:tcW w:w="1683" w:type="pct"/>
            <w:vAlign w:val="center"/>
          </w:tcPr>
          <w:p w14:paraId="12DEF9DA" w14:textId="221B1DB9" w:rsidR="00266CAD" w:rsidRDefault="00613673" w:rsidP="00350AB1">
            <w:pPr>
              <w:widowControl/>
              <w:tabs>
                <w:tab w:val="left" w:pos="0"/>
              </w:tabs>
              <w:spacing w:after="60"/>
              <w:jc w:val="center"/>
              <w:rPr>
                <w:szCs w:val="20"/>
              </w:rPr>
            </w:pPr>
            <m:oMathPara>
              <m:oMath>
                <m:r>
                  <w:rPr>
                    <w:rFonts w:ascii="Cambria Math" w:hAnsi="Cambria Math"/>
                  </w:rPr>
                  <m:t>89.39 tons of leaf waste×112 lbs.per ton</m:t>
                </m:r>
              </m:oMath>
            </m:oMathPara>
          </w:p>
        </w:tc>
        <w:tc>
          <w:tcPr>
            <w:tcW w:w="1054" w:type="pct"/>
          </w:tcPr>
          <w:p w14:paraId="0F23D699" w14:textId="098397B6" w:rsidR="00266CAD" w:rsidRDefault="00613673" w:rsidP="00DF0B38">
            <w:pPr>
              <w:widowControl/>
              <w:tabs>
                <w:tab w:val="left" w:pos="0"/>
              </w:tabs>
              <w:spacing w:after="60"/>
              <w:rPr>
                <w:szCs w:val="20"/>
              </w:rPr>
            </w:pPr>
            <w:r>
              <w:rPr>
                <w:szCs w:val="20"/>
              </w:rPr>
              <w:t>5.01</w:t>
            </w:r>
            <w:r w:rsidR="00A13699">
              <w:rPr>
                <w:szCs w:val="20"/>
              </w:rPr>
              <w:t xml:space="preserve"> tons CO emissions from burning of leaf waste in Autauga County, AL</w:t>
            </w:r>
          </w:p>
        </w:tc>
      </w:tr>
      <w:tr w:rsidR="00266CAD" w14:paraId="2F33EFA0" w14:textId="77777777" w:rsidTr="00FA3543">
        <w:trPr>
          <w:cantSplit/>
        </w:trPr>
        <w:tc>
          <w:tcPr>
            <w:tcW w:w="267" w:type="pct"/>
            <w:vAlign w:val="center"/>
          </w:tcPr>
          <w:p w14:paraId="0AD3BA12" w14:textId="4BFE48DE" w:rsidR="00266CAD" w:rsidRDefault="00613673" w:rsidP="00FE7F5B">
            <w:pPr>
              <w:widowControl/>
              <w:tabs>
                <w:tab w:val="left" w:pos="0"/>
              </w:tabs>
              <w:spacing w:after="60"/>
              <w:jc w:val="center"/>
              <w:rPr>
                <w:szCs w:val="20"/>
              </w:rPr>
            </w:pPr>
            <w:r>
              <w:rPr>
                <w:szCs w:val="20"/>
              </w:rPr>
              <w:t>8</w:t>
            </w:r>
          </w:p>
        </w:tc>
        <w:tc>
          <w:tcPr>
            <w:tcW w:w="1996" w:type="pct"/>
            <w:vAlign w:val="center"/>
          </w:tcPr>
          <w:p w14:paraId="7795F683" w14:textId="11C0BF82" w:rsidR="00266CAD" w:rsidRDefault="001946A7" w:rsidP="00B25B74">
            <w:pPr>
              <w:widowControl/>
              <w:autoSpaceDE/>
              <w:autoSpaceDN/>
              <w:adjustRightInd/>
              <w:jc w:val="center"/>
            </w:pPr>
            <m:oMathPara>
              <m:oMath>
                <m:sSub>
                  <m:sSubPr>
                    <m:ctrlPr>
                      <w:rPr>
                        <w:rFonts w:ascii="Cambria Math" w:hAnsi="Cambria Math"/>
                        <w:i/>
                      </w:rPr>
                    </m:ctrlPr>
                  </m:sSubPr>
                  <m:e>
                    <m:r>
                      <w:rPr>
                        <w:rFonts w:ascii="Cambria Math" w:hAnsi="Cambria Math"/>
                      </w:rPr>
                      <m:t>E</m:t>
                    </m:r>
                  </m:e>
                  <m:sub>
                    <m:r>
                      <w:rPr>
                        <w:rFonts w:ascii="Cambria Math" w:hAnsi="Cambria Math"/>
                      </w:rPr>
                      <m:t>p,c</m:t>
                    </m:r>
                  </m:sub>
                </m:sSub>
                <m:r>
                  <w:rPr>
                    <w:rFonts w:ascii="Cambria Math" w:hAnsi="Cambria Math"/>
                  </w:rPr>
                  <m:t>=</m:t>
                </m:r>
                <m:sSub>
                  <m:sSubPr>
                    <m:ctrlPr>
                      <w:rPr>
                        <w:rFonts w:ascii="Cambria Math" w:hAnsi="Cambria Math"/>
                        <w:i/>
                      </w:rPr>
                    </m:ctrlPr>
                  </m:sSubPr>
                  <m:e>
                    <m:r>
                      <w:rPr>
                        <w:rFonts w:ascii="Cambria Math" w:hAnsi="Cambria Math"/>
                      </w:rPr>
                      <m:t>BW</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p</m:t>
                    </m:r>
                  </m:sub>
                </m:sSub>
              </m:oMath>
            </m:oMathPara>
          </w:p>
        </w:tc>
        <w:tc>
          <w:tcPr>
            <w:tcW w:w="1683" w:type="pct"/>
            <w:vAlign w:val="center"/>
          </w:tcPr>
          <w:p w14:paraId="4F1F05B6" w14:textId="15FC773A" w:rsidR="00266CAD" w:rsidRDefault="00613673" w:rsidP="00350AB1">
            <w:pPr>
              <w:widowControl/>
              <w:tabs>
                <w:tab w:val="left" w:pos="0"/>
              </w:tabs>
              <w:spacing w:after="60"/>
              <w:jc w:val="center"/>
              <w:rPr>
                <w:szCs w:val="20"/>
              </w:rPr>
            </w:pPr>
            <m:oMath>
              <m:r>
                <w:rPr>
                  <w:rFonts w:ascii="Cambria Math" w:hAnsi="Cambria Math"/>
                </w:rPr>
                <m:t>89.39 tons of brush waste×140 lbs. per ton</m:t>
              </m:r>
            </m:oMath>
            <w:r w:rsidR="00266CAD">
              <w:rPr>
                <w:szCs w:val="20"/>
              </w:rPr>
              <w:t xml:space="preserve"> </w:t>
            </w:r>
          </w:p>
        </w:tc>
        <w:tc>
          <w:tcPr>
            <w:tcW w:w="1054" w:type="pct"/>
          </w:tcPr>
          <w:p w14:paraId="742AF633" w14:textId="603AEC24" w:rsidR="00266CAD" w:rsidRDefault="00613673" w:rsidP="00A13699">
            <w:pPr>
              <w:widowControl/>
              <w:tabs>
                <w:tab w:val="left" w:pos="0"/>
              </w:tabs>
              <w:spacing w:after="60"/>
              <w:ind w:firstLine="3"/>
              <w:rPr>
                <w:szCs w:val="20"/>
              </w:rPr>
            </w:pPr>
            <w:r>
              <w:rPr>
                <w:szCs w:val="20"/>
              </w:rPr>
              <w:t>6.26</w:t>
            </w:r>
            <w:r w:rsidR="00A13699">
              <w:rPr>
                <w:szCs w:val="20"/>
              </w:rPr>
              <w:t xml:space="preserve"> tons CO emissions from burning of brush waste in Autauga County, AL</w:t>
            </w:r>
          </w:p>
        </w:tc>
      </w:tr>
    </w:tbl>
    <w:p w14:paraId="5D4688CF" w14:textId="77777777" w:rsidR="00B97E6E" w:rsidRPr="004008E6" w:rsidRDefault="00B97E6E" w:rsidP="00D135E3">
      <w:pPr>
        <w:widowControl/>
        <w:tabs>
          <w:tab w:val="left" w:pos="0"/>
        </w:tabs>
        <w:spacing w:after="0"/>
        <w:ind w:firstLine="720"/>
        <w:rPr>
          <w:szCs w:val="20"/>
        </w:rPr>
      </w:pPr>
    </w:p>
    <w:p w14:paraId="75FB51D3" w14:textId="77777777" w:rsidR="00B97E6E" w:rsidRDefault="00B97E6E" w:rsidP="00052E59">
      <w:pPr>
        <w:pStyle w:val="Heading1"/>
      </w:pPr>
      <w:r>
        <w:t>Changes from 2014 Methodology</w:t>
      </w:r>
    </w:p>
    <w:p w14:paraId="14D2CD93" w14:textId="33476B42" w:rsidR="00AA748C" w:rsidRDefault="00C21D38" w:rsidP="00C21D38">
      <w:pPr>
        <w:widowControl/>
        <w:tabs>
          <w:tab w:val="left" w:pos="0"/>
        </w:tabs>
        <w:rPr>
          <w:szCs w:val="20"/>
        </w:rPr>
      </w:pPr>
      <w:r>
        <w:rPr>
          <w:szCs w:val="20"/>
        </w:rPr>
        <w:t xml:space="preserve">The 2017 emissions inventory methodology for yard waste burning includes a change to the method for determining population likely to burn. The 2014 v2 NEI methodology determined the population likely to burn by identifying the rural and “like rural” population in each county in 2010 and using the fraction of 2010 rural and like rural population to total population in order to determine the rural population in 2014. The 2017 methodology only uses the 2010 rural population to determine the population likely to burn. </w:t>
      </w:r>
    </w:p>
    <w:p w14:paraId="35A34622" w14:textId="1626645B" w:rsidR="00B97E6E" w:rsidRPr="00641127" w:rsidRDefault="00C21D38" w:rsidP="00C21D38">
      <w:pPr>
        <w:pStyle w:val="Heading1"/>
      </w:pPr>
      <w:r w:rsidRPr="00641127">
        <w:t xml:space="preserve"> </w:t>
      </w:r>
      <w:r w:rsidR="00B97E6E" w:rsidRPr="00641127">
        <w:t>Puerto Rico and U</w:t>
      </w:r>
      <w:r w:rsidR="00A54167">
        <w:t>.</w:t>
      </w:r>
      <w:r w:rsidR="00B97E6E" w:rsidRPr="00641127">
        <w:t>S</w:t>
      </w:r>
      <w:r w:rsidR="00A54167">
        <w:t>.</w:t>
      </w:r>
      <w:r w:rsidR="00B97E6E" w:rsidRPr="00641127">
        <w:t xml:space="preserve"> Virgin Islands Emissions Calculations</w:t>
      </w:r>
    </w:p>
    <w:p w14:paraId="53C64BBC" w14:textId="6B30B82D" w:rsidR="00B97E6E" w:rsidRDefault="004B0DDF" w:rsidP="00B97E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Emissions from Puerto Rico are calculated using the same method described above. </w:t>
      </w:r>
      <w:r w:rsidR="00E10956">
        <w:t>F</w:t>
      </w:r>
      <w:r w:rsidR="00B97E6E">
        <w:t xml:space="preserve">or </w:t>
      </w:r>
      <w:r w:rsidR="00B97E6E" w:rsidRPr="00641127">
        <w:t xml:space="preserve">the </w:t>
      </w:r>
      <w:r w:rsidR="00E10956">
        <w:t>U</w:t>
      </w:r>
      <w:r w:rsidR="00A54167">
        <w:t>.</w:t>
      </w:r>
      <w:r w:rsidR="00E10956">
        <w:t>S</w:t>
      </w:r>
      <w:r w:rsidR="00A54167">
        <w:t>.</w:t>
      </w:r>
      <w:r w:rsidR="00E10956">
        <w:t xml:space="preserve"> Virgin Islands,</w:t>
      </w:r>
      <w:r w:rsidR="00B97E6E">
        <w:t xml:space="preserve"> </w:t>
      </w:r>
      <w:r w:rsidR="00E10956">
        <w:t>e</w:t>
      </w:r>
      <w:r w:rsidR="00B97E6E" w:rsidRPr="00641127">
        <w:t xml:space="preserve">missions are </w:t>
      </w:r>
      <w:r w:rsidR="00B97E6E">
        <w:t xml:space="preserve">calculated using </w:t>
      </w:r>
      <w:r w:rsidR="00E10956">
        <w:t>2010 population data,</w:t>
      </w:r>
      <w:r w:rsidR="009D4555">
        <w:t xml:space="preserve"> </w:t>
      </w:r>
      <w:r w:rsidR="00E10956">
        <w:t>since 201</w:t>
      </w:r>
      <w:r w:rsidR="001946A7">
        <w:t>7</w:t>
      </w:r>
      <w:r w:rsidR="00E10956">
        <w:t xml:space="preserve"> Census Data does not exist for the U</w:t>
      </w:r>
      <w:r w:rsidR="00A54167">
        <w:t>.</w:t>
      </w:r>
      <w:r w:rsidR="00E10956">
        <w:t>S</w:t>
      </w:r>
      <w:r w:rsidR="00A54167">
        <w:t>.</w:t>
      </w:r>
      <w:r w:rsidR="00E10956">
        <w:t xml:space="preserve"> Virgin Islands</w:t>
      </w:r>
      <w:r w:rsidR="00B97E6E">
        <w:t xml:space="preserve">. </w:t>
      </w:r>
    </w:p>
    <w:p w14:paraId="5A34ED9F" w14:textId="1400E7A9" w:rsidR="00CB0EFC" w:rsidRDefault="00BC47F1" w:rsidP="00CB0EFC">
      <w:pPr>
        <w:pStyle w:val="Heading1"/>
        <w:spacing w:after="0"/>
        <w:sectPr w:rsidR="00CB0EFC" w:rsidSect="007D6365">
          <w:footerReference w:type="default" r:id="rId12"/>
          <w:endnotePr>
            <w:numFmt w:val="decimal"/>
          </w:endnotePr>
          <w:pgSz w:w="12240" w:h="15840"/>
          <w:pgMar w:top="1440" w:right="1440" w:bottom="1440" w:left="1440" w:header="720" w:footer="720" w:gutter="0"/>
          <w:cols w:space="720"/>
          <w:docGrid w:linePitch="360"/>
        </w:sectPr>
      </w:pPr>
      <w:r>
        <w:t>References</w:t>
      </w:r>
    </w:p>
    <w:p w14:paraId="21837EFA" w14:textId="3A06FA38" w:rsidR="009D4555" w:rsidRDefault="009D4555" w:rsidP="009D4555">
      <w:pPr>
        <w:pStyle w:val="TableCaption"/>
      </w:pPr>
      <w:bookmarkStart w:id="17" w:name="_Ref478471503"/>
      <w:r>
        <w:lastRenderedPageBreak/>
        <w:t xml:space="preserve">Table </w:t>
      </w:r>
      <w:r w:rsidR="001946A7">
        <w:rPr>
          <w:noProof/>
        </w:rPr>
        <w:fldChar w:fldCharType="begin"/>
      </w:r>
      <w:r w:rsidR="001946A7">
        <w:rPr>
          <w:noProof/>
        </w:rPr>
        <w:instrText xml:space="preserve"> SEQ Table \* ARABIC </w:instrText>
      </w:r>
      <w:r w:rsidR="001946A7">
        <w:rPr>
          <w:noProof/>
        </w:rPr>
        <w:fldChar w:fldCharType="separate"/>
      </w:r>
      <w:r w:rsidR="00B36F28">
        <w:rPr>
          <w:noProof/>
        </w:rPr>
        <w:t>4</w:t>
      </w:r>
      <w:r w:rsidR="001946A7">
        <w:rPr>
          <w:noProof/>
        </w:rPr>
        <w:fldChar w:fldCharType="end"/>
      </w:r>
      <w:bookmarkEnd w:id="17"/>
      <w:r>
        <w:t xml:space="preserve">. Emissions Factors for Open Burning of </w:t>
      </w:r>
      <w:r w:rsidR="00522B8B">
        <w:t>Leaf Species</w:t>
      </w:r>
    </w:p>
    <w:tbl>
      <w:tblPr>
        <w:tblStyle w:val="LightList"/>
        <w:tblW w:w="52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1"/>
        <w:gridCol w:w="1196"/>
        <w:gridCol w:w="1047"/>
        <w:gridCol w:w="1047"/>
        <w:gridCol w:w="1234"/>
        <w:gridCol w:w="1234"/>
        <w:gridCol w:w="1668"/>
      </w:tblGrid>
      <w:tr w:rsidR="00522B8B" w:rsidRPr="00F8021B" w14:paraId="2E286314" w14:textId="77777777" w:rsidTr="00522B8B">
        <w:trPr>
          <w:cnfStyle w:val="100000000000" w:firstRow="1" w:lastRow="0" w:firstColumn="0" w:lastColumn="0" w:oddVBand="0" w:evenVBand="0" w:oddHBand="0" w:evenHBand="0" w:firstRowFirstColumn="0" w:firstRowLastColumn="0" w:lastRowFirstColumn="0" w:lastRowLastColumn="0"/>
          <w:trHeight w:val="1020"/>
          <w:tblHeader/>
        </w:trPr>
        <w:tc>
          <w:tcPr>
            <w:cnfStyle w:val="001000000000" w:firstRow="0" w:lastRow="0" w:firstColumn="1" w:lastColumn="0" w:oddVBand="0" w:evenVBand="0" w:oddHBand="0" w:evenHBand="0" w:firstRowFirstColumn="0" w:firstRowLastColumn="0" w:lastRowFirstColumn="0" w:lastRowLastColumn="0"/>
            <w:tcW w:w="1304" w:type="pct"/>
            <w:shd w:val="clear" w:color="auto" w:fill="BFBFBF" w:themeFill="background1" w:themeFillShade="BF"/>
            <w:vAlign w:val="center"/>
            <w:hideMark/>
          </w:tcPr>
          <w:p w14:paraId="4B4E37B0" w14:textId="77777777" w:rsidR="009D4555" w:rsidRPr="00F8021B" w:rsidRDefault="009D4555" w:rsidP="009D4555">
            <w:pPr>
              <w:widowControl/>
              <w:autoSpaceDE/>
              <w:autoSpaceDN/>
              <w:adjustRightInd/>
              <w:jc w:val="center"/>
              <w:rPr>
                <w:color w:val="000000"/>
                <w:szCs w:val="20"/>
              </w:rPr>
            </w:pPr>
            <w:r w:rsidRPr="00F8021B">
              <w:rPr>
                <w:color w:val="000000"/>
                <w:szCs w:val="20"/>
              </w:rPr>
              <w:t>Pollutant</w:t>
            </w:r>
          </w:p>
        </w:tc>
        <w:tc>
          <w:tcPr>
            <w:tcW w:w="595" w:type="pct"/>
            <w:shd w:val="clear" w:color="auto" w:fill="BFBFBF" w:themeFill="background1" w:themeFillShade="BF"/>
            <w:vAlign w:val="center"/>
            <w:hideMark/>
          </w:tcPr>
          <w:p w14:paraId="12BB366E" w14:textId="77777777" w:rsidR="009D4555" w:rsidRPr="00F8021B" w:rsidRDefault="009D4555" w:rsidP="009D4555">
            <w:pPr>
              <w:widowControl/>
              <w:autoSpaceDE/>
              <w:autoSpaceDN/>
              <w:adjustRightInd/>
              <w:jc w:val="center"/>
              <w:cnfStyle w:val="100000000000" w:firstRow="1" w:lastRow="0" w:firstColumn="0" w:lastColumn="0" w:oddVBand="0" w:evenVBand="0" w:oddHBand="0" w:evenHBand="0" w:firstRowFirstColumn="0" w:firstRowLastColumn="0" w:lastRowFirstColumn="0" w:lastRowLastColumn="0"/>
              <w:rPr>
                <w:color w:val="000000"/>
                <w:szCs w:val="20"/>
              </w:rPr>
            </w:pPr>
            <w:r w:rsidRPr="00F8021B">
              <w:rPr>
                <w:color w:val="000000"/>
                <w:szCs w:val="20"/>
              </w:rPr>
              <w:t>Pollutant Code</w:t>
            </w:r>
          </w:p>
        </w:tc>
        <w:tc>
          <w:tcPr>
            <w:tcW w:w="521" w:type="pct"/>
            <w:shd w:val="clear" w:color="auto" w:fill="BFBFBF" w:themeFill="background1" w:themeFillShade="BF"/>
            <w:vAlign w:val="center"/>
            <w:hideMark/>
          </w:tcPr>
          <w:p w14:paraId="3323C51F" w14:textId="77777777" w:rsidR="009D4555" w:rsidRPr="00F8021B" w:rsidRDefault="009D4555" w:rsidP="009D4555">
            <w:pPr>
              <w:widowControl/>
              <w:autoSpaceDE/>
              <w:autoSpaceDN/>
              <w:adjustRightInd/>
              <w:jc w:val="center"/>
              <w:cnfStyle w:val="100000000000" w:firstRow="1" w:lastRow="0" w:firstColumn="0" w:lastColumn="0" w:oddVBand="0" w:evenVBand="0" w:oddHBand="0" w:evenHBand="0" w:firstRowFirstColumn="0" w:firstRowLastColumn="0" w:lastRowFirstColumn="0" w:lastRowLastColumn="0"/>
              <w:rPr>
                <w:color w:val="000000"/>
                <w:szCs w:val="20"/>
              </w:rPr>
            </w:pPr>
            <w:r w:rsidRPr="00F8021B">
              <w:rPr>
                <w:color w:val="000000"/>
                <w:szCs w:val="20"/>
              </w:rPr>
              <w:t>Emission Factor (original)</w:t>
            </w:r>
          </w:p>
        </w:tc>
        <w:tc>
          <w:tcPr>
            <w:tcW w:w="521" w:type="pct"/>
            <w:shd w:val="clear" w:color="auto" w:fill="BFBFBF" w:themeFill="background1" w:themeFillShade="BF"/>
            <w:vAlign w:val="center"/>
            <w:hideMark/>
          </w:tcPr>
          <w:p w14:paraId="7E4E01B6" w14:textId="77777777" w:rsidR="009D4555" w:rsidRPr="00F8021B" w:rsidRDefault="009D4555" w:rsidP="009D4555">
            <w:pPr>
              <w:widowControl/>
              <w:autoSpaceDE/>
              <w:autoSpaceDN/>
              <w:adjustRightInd/>
              <w:jc w:val="center"/>
              <w:cnfStyle w:val="100000000000" w:firstRow="1" w:lastRow="0" w:firstColumn="0" w:lastColumn="0" w:oddVBand="0" w:evenVBand="0" w:oddHBand="0" w:evenHBand="0" w:firstRowFirstColumn="0" w:firstRowLastColumn="0" w:lastRowFirstColumn="0" w:lastRowLastColumn="0"/>
              <w:rPr>
                <w:color w:val="000000"/>
                <w:szCs w:val="20"/>
              </w:rPr>
            </w:pPr>
            <w:r w:rsidRPr="00F8021B">
              <w:rPr>
                <w:color w:val="000000"/>
                <w:szCs w:val="20"/>
              </w:rPr>
              <w:t>Emission Factor Units (original)</w:t>
            </w:r>
          </w:p>
        </w:tc>
        <w:tc>
          <w:tcPr>
            <w:tcW w:w="614" w:type="pct"/>
            <w:shd w:val="clear" w:color="auto" w:fill="BFBFBF" w:themeFill="background1" w:themeFillShade="BF"/>
            <w:vAlign w:val="center"/>
            <w:hideMark/>
          </w:tcPr>
          <w:p w14:paraId="11A49FF3" w14:textId="77777777" w:rsidR="009D4555" w:rsidRPr="00F8021B" w:rsidRDefault="009D4555" w:rsidP="009D4555">
            <w:pPr>
              <w:widowControl/>
              <w:autoSpaceDE/>
              <w:autoSpaceDN/>
              <w:adjustRightInd/>
              <w:jc w:val="center"/>
              <w:cnfStyle w:val="100000000000" w:firstRow="1" w:lastRow="0" w:firstColumn="0" w:lastColumn="0" w:oddVBand="0" w:evenVBand="0" w:oddHBand="0" w:evenHBand="0" w:firstRowFirstColumn="0" w:firstRowLastColumn="0" w:lastRowFirstColumn="0" w:lastRowLastColumn="0"/>
              <w:rPr>
                <w:color w:val="000000"/>
                <w:szCs w:val="20"/>
              </w:rPr>
            </w:pPr>
            <w:r w:rsidRPr="00F8021B">
              <w:rPr>
                <w:color w:val="000000"/>
                <w:szCs w:val="20"/>
              </w:rPr>
              <w:t>Emission Factor (converted)</w:t>
            </w:r>
          </w:p>
        </w:tc>
        <w:tc>
          <w:tcPr>
            <w:tcW w:w="614" w:type="pct"/>
            <w:shd w:val="clear" w:color="auto" w:fill="BFBFBF" w:themeFill="background1" w:themeFillShade="BF"/>
            <w:vAlign w:val="center"/>
            <w:hideMark/>
          </w:tcPr>
          <w:p w14:paraId="7398F847" w14:textId="77777777" w:rsidR="009D4555" w:rsidRPr="00F8021B" w:rsidRDefault="009D4555" w:rsidP="009D4555">
            <w:pPr>
              <w:widowControl/>
              <w:autoSpaceDE/>
              <w:autoSpaceDN/>
              <w:adjustRightInd/>
              <w:jc w:val="center"/>
              <w:cnfStyle w:val="100000000000" w:firstRow="1" w:lastRow="0" w:firstColumn="0" w:lastColumn="0" w:oddVBand="0" w:evenVBand="0" w:oddHBand="0" w:evenHBand="0" w:firstRowFirstColumn="0" w:firstRowLastColumn="0" w:lastRowFirstColumn="0" w:lastRowLastColumn="0"/>
              <w:rPr>
                <w:color w:val="000000"/>
                <w:szCs w:val="20"/>
              </w:rPr>
            </w:pPr>
            <w:r w:rsidRPr="00F8021B">
              <w:rPr>
                <w:color w:val="000000"/>
                <w:szCs w:val="20"/>
              </w:rPr>
              <w:t>Emission Factor Units (converted)</w:t>
            </w:r>
          </w:p>
        </w:tc>
        <w:tc>
          <w:tcPr>
            <w:tcW w:w="830" w:type="pct"/>
            <w:shd w:val="clear" w:color="auto" w:fill="BFBFBF" w:themeFill="background1" w:themeFillShade="BF"/>
            <w:vAlign w:val="center"/>
            <w:hideMark/>
          </w:tcPr>
          <w:p w14:paraId="4E79B52D" w14:textId="77777777" w:rsidR="009D4555" w:rsidRPr="00F8021B" w:rsidRDefault="009D4555" w:rsidP="009D4555">
            <w:pPr>
              <w:widowControl/>
              <w:autoSpaceDE/>
              <w:autoSpaceDN/>
              <w:adjustRightInd/>
              <w:jc w:val="center"/>
              <w:cnfStyle w:val="100000000000" w:firstRow="1" w:lastRow="0" w:firstColumn="0" w:lastColumn="0" w:oddVBand="0" w:evenVBand="0" w:oddHBand="0" w:evenHBand="0" w:firstRowFirstColumn="0" w:firstRowLastColumn="0" w:lastRowFirstColumn="0" w:lastRowLastColumn="0"/>
              <w:rPr>
                <w:color w:val="000000"/>
                <w:szCs w:val="20"/>
              </w:rPr>
            </w:pPr>
            <w:r w:rsidRPr="00F8021B">
              <w:rPr>
                <w:color w:val="000000"/>
                <w:szCs w:val="20"/>
              </w:rPr>
              <w:t>Reference &amp; Table No.</w:t>
            </w:r>
          </w:p>
        </w:tc>
      </w:tr>
      <w:tr w:rsidR="00E36C4A" w:rsidRPr="00F8021B" w14:paraId="48F6C492" w14:textId="77777777" w:rsidTr="00E36C4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4" w:type="pct"/>
            <w:shd w:val="clear" w:color="auto" w:fill="auto"/>
            <w:vAlign w:val="center"/>
          </w:tcPr>
          <w:p w14:paraId="6EBC274C" w14:textId="36249546" w:rsidR="00E36C4A" w:rsidRPr="00522B8B" w:rsidRDefault="00E36C4A" w:rsidP="00454160">
            <w:pPr>
              <w:widowControl/>
              <w:autoSpaceDE/>
              <w:autoSpaceDN/>
              <w:adjustRightInd/>
              <w:jc w:val="center"/>
              <w:rPr>
                <w:b w:val="0"/>
                <w:color w:val="000000"/>
                <w:szCs w:val="20"/>
              </w:rPr>
            </w:pPr>
            <w:r w:rsidRPr="00522B8B">
              <w:rPr>
                <w:b w:val="0"/>
              </w:rPr>
              <w:t>CO</w:t>
            </w:r>
          </w:p>
        </w:tc>
        <w:tc>
          <w:tcPr>
            <w:tcW w:w="595" w:type="pct"/>
            <w:shd w:val="clear" w:color="auto" w:fill="auto"/>
            <w:vAlign w:val="center"/>
          </w:tcPr>
          <w:p w14:paraId="433C9242" w14:textId="5CC646C3" w:rsidR="00E36C4A" w:rsidRPr="00522B8B" w:rsidRDefault="00E36C4A" w:rsidP="00454160">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522B8B">
              <w:t>CO</w:t>
            </w:r>
          </w:p>
        </w:tc>
        <w:tc>
          <w:tcPr>
            <w:tcW w:w="521" w:type="pct"/>
            <w:shd w:val="clear" w:color="auto" w:fill="auto"/>
            <w:vAlign w:val="center"/>
          </w:tcPr>
          <w:p w14:paraId="05C3CD5D" w14:textId="025CE69F" w:rsidR="00E36C4A" w:rsidRPr="00F8021B" w:rsidRDefault="00E36C4A" w:rsidP="00454160">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845E09">
              <w:t>112</w:t>
            </w:r>
          </w:p>
        </w:tc>
        <w:tc>
          <w:tcPr>
            <w:tcW w:w="521" w:type="pct"/>
            <w:shd w:val="clear" w:color="auto" w:fill="auto"/>
            <w:vAlign w:val="center"/>
          </w:tcPr>
          <w:p w14:paraId="43AA2507" w14:textId="41081829" w:rsidR="00E36C4A" w:rsidRPr="00F8021B" w:rsidRDefault="00E36C4A" w:rsidP="00454160">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EE0366">
              <w:rPr>
                <w:color w:val="000000"/>
                <w:szCs w:val="20"/>
              </w:rPr>
              <w:t>lbs./ton</w:t>
            </w:r>
          </w:p>
        </w:tc>
        <w:tc>
          <w:tcPr>
            <w:tcW w:w="614" w:type="pct"/>
            <w:shd w:val="clear" w:color="auto" w:fill="auto"/>
          </w:tcPr>
          <w:p w14:paraId="715B58E1" w14:textId="200EAFBC" w:rsidR="00E36C4A" w:rsidRPr="00F8021B" w:rsidRDefault="00E36C4A" w:rsidP="00454160">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AA2853">
              <w:rPr>
                <w:color w:val="000000"/>
                <w:szCs w:val="20"/>
              </w:rPr>
              <w:t>--</w:t>
            </w:r>
          </w:p>
        </w:tc>
        <w:tc>
          <w:tcPr>
            <w:tcW w:w="614" w:type="pct"/>
            <w:shd w:val="clear" w:color="auto" w:fill="auto"/>
          </w:tcPr>
          <w:p w14:paraId="586D99B0" w14:textId="0663C1B2" w:rsidR="00E36C4A" w:rsidRPr="00F8021B" w:rsidRDefault="00E36C4A" w:rsidP="00454160">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AA2853">
              <w:rPr>
                <w:color w:val="000000"/>
                <w:szCs w:val="20"/>
              </w:rPr>
              <w:t>--</w:t>
            </w:r>
          </w:p>
        </w:tc>
        <w:tc>
          <w:tcPr>
            <w:tcW w:w="830" w:type="pct"/>
            <w:shd w:val="clear" w:color="auto" w:fill="auto"/>
            <w:vAlign w:val="center"/>
          </w:tcPr>
          <w:p w14:paraId="7FADC8A1" w14:textId="464BD106" w:rsidR="00E36C4A" w:rsidRPr="00F8021B" w:rsidRDefault="00E36C4A" w:rsidP="00454160">
            <w:pPr>
              <w:widowControl/>
              <w:autoSpaceDE/>
              <w:autoSpaceDN/>
              <w:adjustRightInd/>
              <w:cnfStyle w:val="000000100000" w:firstRow="0" w:lastRow="0" w:firstColumn="0" w:lastColumn="0" w:oddVBand="0" w:evenVBand="0" w:oddHBand="1" w:evenHBand="0" w:firstRowFirstColumn="0" w:firstRowLastColumn="0" w:lastRowFirstColumn="0" w:lastRowLastColumn="0"/>
              <w:rPr>
                <w:color w:val="000000"/>
                <w:szCs w:val="20"/>
              </w:rPr>
            </w:pPr>
            <w:r w:rsidRPr="00AD0162">
              <w:rPr>
                <w:color w:val="000000"/>
                <w:szCs w:val="20"/>
              </w:rPr>
              <w:t>Reference</w:t>
            </w:r>
            <w:r>
              <w:rPr>
                <w:color w:val="000000"/>
                <w:szCs w:val="20"/>
              </w:rPr>
              <w:t xml:space="preserve"> </w:t>
            </w:r>
            <w:r>
              <w:rPr>
                <w:color w:val="000000"/>
                <w:szCs w:val="20"/>
              </w:rPr>
              <w:fldChar w:fldCharType="begin"/>
            </w:r>
            <w:r>
              <w:rPr>
                <w:color w:val="000000"/>
                <w:szCs w:val="20"/>
              </w:rPr>
              <w:instrText xml:space="preserve"> NOTEREF _Ref478652832 \h  \* MERGEFORMAT </w:instrText>
            </w:r>
            <w:r>
              <w:rPr>
                <w:color w:val="000000"/>
                <w:szCs w:val="20"/>
              </w:rPr>
            </w:r>
            <w:r>
              <w:rPr>
                <w:color w:val="000000"/>
                <w:szCs w:val="20"/>
              </w:rPr>
              <w:fldChar w:fldCharType="separate"/>
            </w:r>
            <w:r>
              <w:rPr>
                <w:color w:val="000000"/>
                <w:szCs w:val="20"/>
              </w:rPr>
              <w:t>7</w:t>
            </w:r>
            <w:r>
              <w:rPr>
                <w:color w:val="000000"/>
                <w:szCs w:val="20"/>
              </w:rPr>
              <w:fldChar w:fldCharType="end"/>
            </w:r>
            <w:r>
              <w:rPr>
                <w:color w:val="000000"/>
                <w:szCs w:val="20"/>
              </w:rPr>
              <w:t>, Table 2.5-6</w:t>
            </w:r>
          </w:p>
        </w:tc>
      </w:tr>
      <w:tr w:rsidR="00E36C4A" w:rsidRPr="00F8021B" w14:paraId="6BD46ABB" w14:textId="77777777" w:rsidTr="00E36C4A">
        <w:trPr>
          <w:trHeight w:val="20"/>
        </w:trPr>
        <w:tc>
          <w:tcPr>
            <w:cnfStyle w:val="001000000000" w:firstRow="0" w:lastRow="0" w:firstColumn="1" w:lastColumn="0" w:oddVBand="0" w:evenVBand="0" w:oddHBand="0" w:evenHBand="0" w:firstRowFirstColumn="0" w:firstRowLastColumn="0" w:lastRowFirstColumn="0" w:lastRowLastColumn="0"/>
            <w:tcW w:w="1304" w:type="pct"/>
            <w:shd w:val="clear" w:color="auto" w:fill="auto"/>
            <w:vAlign w:val="center"/>
          </w:tcPr>
          <w:p w14:paraId="33328BAA" w14:textId="77777777" w:rsidR="00E36C4A" w:rsidRPr="00522B8B" w:rsidRDefault="00E36C4A" w:rsidP="005D522D">
            <w:pPr>
              <w:widowControl/>
              <w:autoSpaceDE/>
              <w:autoSpaceDN/>
              <w:adjustRightInd/>
              <w:jc w:val="center"/>
              <w:rPr>
                <w:b w:val="0"/>
                <w:color w:val="000000"/>
                <w:szCs w:val="20"/>
              </w:rPr>
            </w:pPr>
            <w:r w:rsidRPr="00522B8B">
              <w:rPr>
                <w:b w:val="0"/>
              </w:rPr>
              <w:t>Nitrogen Oxides</w:t>
            </w:r>
          </w:p>
        </w:tc>
        <w:tc>
          <w:tcPr>
            <w:tcW w:w="595" w:type="pct"/>
            <w:shd w:val="clear" w:color="auto" w:fill="auto"/>
            <w:vAlign w:val="bottom"/>
          </w:tcPr>
          <w:p w14:paraId="3524D359" w14:textId="77777777" w:rsidR="00E36C4A" w:rsidRPr="00522B8B" w:rsidRDefault="00E36C4A" w:rsidP="005D522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smartTag w:uri="urn:schemas-microsoft-com:office:smarttags" w:element="stockticker">
              <w:r w:rsidRPr="00522B8B">
                <w:t>NOX</w:t>
              </w:r>
            </w:smartTag>
          </w:p>
        </w:tc>
        <w:tc>
          <w:tcPr>
            <w:tcW w:w="521" w:type="pct"/>
            <w:shd w:val="clear" w:color="auto" w:fill="auto"/>
            <w:vAlign w:val="bottom"/>
          </w:tcPr>
          <w:p w14:paraId="60CCC7F5" w14:textId="33187B82" w:rsidR="00E36C4A" w:rsidRPr="00F8021B" w:rsidRDefault="00E36C4A" w:rsidP="005D522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845E09">
              <w:t>6.2</w:t>
            </w:r>
          </w:p>
        </w:tc>
        <w:tc>
          <w:tcPr>
            <w:tcW w:w="521" w:type="pct"/>
            <w:shd w:val="clear" w:color="auto" w:fill="auto"/>
            <w:vAlign w:val="center"/>
          </w:tcPr>
          <w:p w14:paraId="2B1FFEE9" w14:textId="378DDC32" w:rsidR="00E36C4A" w:rsidRPr="00F8021B" w:rsidRDefault="00E36C4A" w:rsidP="005D522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EE0366">
              <w:rPr>
                <w:color w:val="000000"/>
                <w:szCs w:val="20"/>
              </w:rPr>
              <w:t>lbs./ton</w:t>
            </w:r>
          </w:p>
        </w:tc>
        <w:tc>
          <w:tcPr>
            <w:tcW w:w="614" w:type="pct"/>
            <w:shd w:val="clear" w:color="auto" w:fill="auto"/>
          </w:tcPr>
          <w:p w14:paraId="0583029F" w14:textId="6E78729F" w:rsidR="00E36C4A" w:rsidRPr="00F8021B" w:rsidRDefault="00E36C4A" w:rsidP="005D522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AA2853">
              <w:rPr>
                <w:color w:val="000000"/>
                <w:szCs w:val="20"/>
              </w:rPr>
              <w:t>--</w:t>
            </w:r>
          </w:p>
        </w:tc>
        <w:tc>
          <w:tcPr>
            <w:tcW w:w="614" w:type="pct"/>
            <w:shd w:val="clear" w:color="auto" w:fill="auto"/>
          </w:tcPr>
          <w:p w14:paraId="0E08364D" w14:textId="3C0A878E" w:rsidR="00E36C4A" w:rsidRPr="00F8021B" w:rsidRDefault="00E36C4A" w:rsidP="005D522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AA2853">
              <w:rPr>
                <w:color w:val="000000"/>
                <w:szCs w:val="20"/>
              </w:rPr>
              <w:t>--</w:t>
            </w:r>
          </w:p>
        </w:tc>
        <w:tc>
          <w:tcPr>
            <w:tcW w:w="830" w:type="pct"/>
            <w:shd w:val="clear" w:color="auto" w:fill="auto"/>
            <w:vAlign w:val="center"/>
          </w:tcPr>
          <w:p w14:paraId="6C17E5B6" w14:textId="10C7CBD2" w:rsidR="00E36C4A" w:rsidRPr="00F8021B" w:rsidRDefault="00E36C4A" w:rsidP="004B7AFE">
            <w:pPr>
              <w:widowControl/>
              <w:autoSpaceDE/>
              <w:autoSpaceDN/>
              <w:adjustRightInd/>
              <w:cnfStyle w:val="000000000000" w:firstRow="0" w:lastRow="0" w:firstColumn="0" w:lastColumn="0" w:oddVBand="0" w:evenVBand="0" w:oddHBand="0" w:evenHBand="0" w:firstRowFirstColumn="0" w:firstRowLastColumn="0" w:lastRowFirstColumn="0" w:lastRowLastColumn="0"/>
              <w:rPr>
                <w:color w:val="000000"/>
                <w:szCs w:val="20"/>
              </w:rPr>
            </w:pPr>
            <w:r w:rsidRPr="00AD0162">
              <w:rPr>
                <w:color w:val="000000"/>
                <w:szCs w:val="20"/>
              </w:rPr>
              <w:t>Reference</w:t>
            </w:r>
            <w:r>
              <w:rPr>
                <w:color w:val="000000"/>
                <w:szCs w:val="20"/>
              </w:rPr>
              <w:t xml:space="preserve"> </w:t>
            </w:r>
          </w:p>
        </w:tc>
      </w:tr>
      <w:tr w:rsidR="00E36C4A" w:rsidRPr="00F8021B" w14:paraId="219C1585" w14:textId="77777777" w:rsidTr="00E36C4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4" w:type="pct"/>
            <w:shd w:val="clear" w:color="auto" w:fill="auto"/>
            <w:vAlign w:val="center"/>
          </w:tcPr>
          <w:p w14:paraId="68C2F0B4" w14:textId="77777777" w:rsidR="00E36C4A" w:rsidRPr="00522B8B" w:rsidRDefault="00E36C4A" w:rsidP="005D522D">
            <w:pPr>
              <w:widowControl/>
              <w:autoSpaceDE/>
              <w:autoSpaceDN/>
              <w:adjustRightInd/>
              <w:jc w:val="center"/>
              <w:rPr>
                <w:b w:val="0"/>
                <w:color w:val="000000"/>
                <w:szCs w:val="20"/>
              </w:rPr>
            </w:pPr>
            <w:r w:rsidRPr="00522B8B">
              <w:rPr>
                <w:b w:val="0"/>
              </w:rPr>
              <w:t>PM10-FIL</w:t>
            </w:r>
          </w:p>
        </w:tc>
        <w:tc>
          <w:tcPr>
            <w:tcW w:w="595" w:type="pct"/>
            <w:shd w:val="clear" w:color="auto" w:fill="auto"/>
            <w:vAlign w:val="bottom"/>
          </w:tcPr>
          <w:p w14:paraId="1999094D" w14:textId="77777777" w:rsidR="00E36C4A" w:rsidRPr="00522B8B" w:rsidRDefault="00E36C4A" w:rsidP="005D522D">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522B8B">
              <w:t>PM10-FIL</w:t>
            </w:r>
          </w:p>
        </w:tc>
        <w:tc>
          <w:tcPr>
            <w:tcW w:w="521" w:type="pct"/>
            <w:shd w:val="clear" w:color="auto" w:fill="auto"/>
            <w:vAlign w:val="bottom"/>
          </w:tcPr>
          <w:p w14:paraId="1F0695A2" w14:textId="584533F8" w:rsidR="00E36C4A" w:rsidRPr="00F8021B" w:rsidRDefault="00E36C4A" w:rsidP="005D522D">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t>38</w:t>
            </w:r>
          </w:p>
        </w:tc>
        <w:tc>
          <w:tcPr>
            <w:tcW w:w="521" w:type="pct"/>
            <w:shd w:val="clear" w:color="auto" w:fill="auto"/>
            <w:vAlign w:val="center"/>
          </w:tcPr>
          <w:p w14:paraId="5AA72657" w14:textId="5A4E2A0E" w:rsidR="00E36C4A" w:rsidRPr="00F8021B" w:rsidRDefault="00E36C4A" w:rsidP="005D522D">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EE0366">
              <w:rPr>
                <w:color w:val="000000"/>
                <w:szCs w:val="20"/>
              </w:rPr>
              <w:t>lbs./ton</w:t>
            </w:r>
          </w:p>
        </w:tc>
        <w:tc>
          <w:tcPr>
            <w:tcW w:w="614" w:type="pct"/>
            <w:shd w:val="clear" w:color="auto" w:fill="auto"/>
          </w:tcPr>
          <w:p w14:paraId="5976C42D" w14:textId="1DD227DD" w:rsidR="00E36C4A" w:rsidRPr="00F8021B" w:rsidRDefault="00E36C4A" w:rsidP="005D522D">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AA2853">
              <w:rPr>
                <w:color w:val="000000"/>
                <w:szCs w:val="20"/>
              </w:rPr>
              <w:t>--</w:t>
            </w:r>
          </w:p>
        </w:tc>
        <w:tc>
          <w:tcPr>
            <w:tcW w:w="614" w:type="pct"/>
            <w:shd w:val="clear" w:color="auto" w:fill="auto"/>
          </w:tcPr>
          <w:p w14:paraId="3C50D3C1" w14:textId="7AFF2DC5" w:rsidR="00E36C4A" w:rsidRPr="00F8021B" w:rsidRDefault="00E36C4A" w:rsidP="005D522D">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AA2853">
              <w:rPr>
                <w:color w:val="000000"/>
                <w:szCs w:val="20"/>
              </w:rPr>
              <w:t>--</w:t>
            </w:r>
          </w:p>
        </w:tc>
        <w:tc>
          <w:tcPr>
            <w:tcW w:w="830" w:type="pct"/>
            <w:shd w:val="clear" w:color="auto" w:fill="auto"/>
            <w:vAlign w:val="center"/>
          </w:tcPr>
          <w:p w14:paraId="03D8720D" w14:textId="3244F649" w:rsidR="00E36C4A" w:rsidRPr="00F8021B" w:rsidRDefault="00E36C4A" w:rsidP="00454160">
            <w:pPr>
              <w:widowControl/>
              <w:autoSpaceDE/>
              <w:autoSpaceDN/>
              <w:adjustRightInd/>
              <w:cnfStyle w:val="000000100000" w:firstRow="0" w:lastRow="0" w:firstColumn="0" w:lastColumn="0" w:oddVBand="0" w:evenVBand="0" w:oddHBand="1" w:evenHBand="0" w:firstRowFirstColumn="0" w:firstRowLastColumn="0" w:lastRowFirstColumn="0" w:lastRowLastColumn="0"/>
              <w:rPr>
                <w:color w:val="000000"/>
                <w:szCs w:val="20"/>
              </w:rPr>
            </w:pPr>
            <w:r w:rsidRPr="00AD0162">
              <w:rPr>
                <w:color w:val="000000"/>
                <w:szCs w:val="20"/>
              </w:rPr>
              <w:t>Reference</w:t>
            </w:r>
            <w:r>
              <w:rPr>
                <w:color w:val="000000"/>
                <w:szCs w:val="20"/>
              </w:rPr>
              <w:t xml:space="preserve"> </w:t>
            </w:r>
            <w:r>
              <w:rPr>
                <w:color w:val="000000"/>
                <w:szCs w:val="20"/>
              </w:rPr>
              <w:fldChar w:fldCharType="begin"/>
            </w:r>
            <w:r>
              <w:rPr>
                <w:color w:val="000000"/>
                <w:szCs w:val="20"/>
              </w:rPr>
              <w:instrText xml:space="preserve"> NOTEREF _Ref478652832 \h  \* MERGEFORMAT </w:instrText>
            </w:r>
            <w:r>
              <w:rPr>
                <w:color w:val="000000"/>
                <w:szCs w:val="20"/>
              </w:rPr>
            </w:r>
            <w:r>
              <w:rPr>
                <w:color w:val="000000"/>
                <w:szCs w:val="20"/>
              </w:rPr>
              <w:fldChar w:fldCharType="separate"/>
            </w:r>
            <w:r>
              <w:rPr>
                <w:color w:val="000000"/>
                <w:szCs w:val="20"/>
              </w:rPr>
              <w:t>7</w:t>
            </w:r>
            <w:r>
              <w:rPr>
                <w:color w:val="000000"/>
                <w:szCs w:val="20"/>
              </w:rPr>
              <w:fldChar w:fldCharType="end"/>
            </w:r>
            <w:r>
              <w:rPr>
                <w:color w:val="000000"/>
                <w:szCs w:val="20"/>
              </w:rPr>
              <w:t>, Table 2.5-6</w:t>
            </w:r>
          </w:p>
        </w:tc>
      </w:tr>
      <w:tr w:rsidR="00E36C4A" w:rsidRPr="00F8021B" w14:paraId="4F5AB838" w14:textId="77777777" w:rsidTr="00E36C4A">
        <w:trPr>
          <w:trHeight w:val="20"/>
        </w:trPr>
        <w:tc>
          <w:tcPr>
            <w:cnfStyle w:val="001000000000" w:firstRow="0" w:lastRow="0" w:firstColumn="1" w:lastColumn="0" w:oddVBand="0" w:evenVBand="0" w:oddHBand="0" w:evenHBand="0" w:firstRowFirstColumn="0" w:firstRowLastColumn="0" w:lastRowFirstColumn="0" w:lastRowLastColumn="0"/>
            <w:tcW w:w="1304" w:type="pct"/>
            <w:shd w:val="clear" w:color="auto" w:fill="auto"/>
            <w:vAlign w:val="center"/>
          </w:tcPr>
          <w:p w14:paraId="7BF25D04" w14:textId="77777777" w:rsidR="00E36C4A" w:rsidRPr="00522B8B" w:rsidRDefault="00E36C4A" w:rsidP="005D522D">
            <w:pPr>
              <w:widowControl/>
              <w:autoSpaceDE/>
              <w:autoSpaceDN/>
              <w:adjustRightInd/>
              <w:jc w:val="center"/>
              <w:rPr>
                <w:b w:val="0"/>
                <w:color w:val="000000"/>
                <w:szCs w:val="20"/>
              </w:rPr>
            </w:pPr>
            <w:r w:rsidRPr="00522B8B">
              <w:rPr>
                <w:b w:val="0"/>
              </w:rPr>
              <w:t>PM10-PRI</w:t>
            </w:r>
          </w:p>
        </w:tc>
        <w:tc>
          <w:tcPr>
            <w:tcW w:w="595" w:type="pct"/>
            <w:shd w:val="clear" w:color="auto" w:fill="auto"/>
            <w:vAlign w:val="bottom"/>
          </w:tcPr>
          <w:p w14:paraId="1BE74A28" w14:textId="77777777" w:rsidR="00E36C4A" w:rsidRPr="00522B8B" w:rsidRDefault="00E36C4A" w:rsidP="005D522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522B8B">
              <w:t>PM10-PRI</w:t>
            </w:r>
          </w:p>
        </w:tc>
        <w:tc>
          <w:tcPr>
            <w:tcW w:w="521" w:type="pct"/>
            <w:shd w:val="clear" w:color="auto" w:fill="auto"/>
            <w:vAlign w:val="bottom"/>
          </w:tcPr>
          <w:p w14:paraId="1314A2FF" w14:textId="03B04C4E" w:rsidR="00E36C4A" w:rsidRPr="00F8021B" w:rsidRDefault="00E36C4A" w:rsidP="005D522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t>38</w:t>
            </w:r>
          </w:p>
        </w:tc>
        <w:tc>
          <w:tcPr>
            <w:tcW w:w="521" w:type="pct"/>
            <w:shd w:val="clear" w:color="auto" w:fill="auto"/>
            <w:vAlign w:val="center"/>
          </w:tcPr>
          <w:p w14:paraId="19BDC889" w14:textId="1D6C116C" w:rsidR="00E36C4A" w:rsidRPr="00F8021B" w:rsidRDefault="00E36C4A" w:rsidP="005D522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EE0366">
              <w:rPr>
                <w:color w:val="000000"/>
                <w:szCs w:val="20"/>
              </w:rPr>
              <w:t>lbs./ton</w:t>
            </w:r>
          </w:p>
        </w:tc>
        <w:tc>
          <w:tcPr>
            <w:tcW w:w="614" w:type="pct"/>
            <w:shd w:val="clear" w:color="auto" w:fill="auto"/>
          </w:tcPr>
          <w:p w14:paraId="20C2F694" w14:textId="2250048E" w:rsidR="00E36C4A" w:rsidRPr="00F8021B" w:rsidRDefault="00E36C4A" w:rsidP="005D522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AA2853">
              <w:rPr>
                <w:color w:val="000000"/>
                <w:szCs w:val="20"/>
              </w:rPr>
              <w:t>--</w:t>
            </w:r>
          </w:p>
        </w:tc>
        <w:tc>
          <w:tcPr>
            <w:tcW w:w="614" w:type="pct"/>
            <w:shd w:val="clear" w:color="auto" w:fill="auto"/>
          </w:tcPr>
          <w:p w14:paraId="727A5831" w14:textId="2A8BE0F1" w:rsidR="00E36C4A" w:rsidRPr="00F8021B" w:rsidRDefault="00E36C4A" w:rsidP="005D522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AA2853">
              <w:rPr>
                <w:color w:val="000000"/>
                <w:szCs w:val="20"/>
              </w:rPr>
              <w:t>--</w:t>
            </w:r>
          </w:p>
        </w:tc>
        <w:tc>
          <w:tcPr>
            <w:tcW w:w="830" w:type="pct"/>
            <w:shd w:val="clear" w:color="auto" w:fill="auto"/>
            <w:vAlign w:val="center"/>
          </w:tcPr>
          <w:p w14:paraId="5A963421" w14:textId="1AA91DF3" w:rsidR="00E36C4A" w:rsidRPr="00F8021B" w:rsidRDefault="00E36C4A" w:rsidP="00454160">
            <w:pPr>
              <w:widowControl/>
              <w:autoSpaceDE/>
              <w:autoSpaceDN/>
              <w:adjustRightInd/>
              <w:cnfStyle w:val="000000000000" w:firstRow="0" w:lastRow="0" w:firstColumn="0" w:lastColumn="0" w:oddVBand="0" w:evenVBand="0" w:oddHBand="0" w:evenHBand="0" w:firstRowFirstColumn="0" w:firstRowLastColumn="0" w:lastRowFirstColumn="0" w:lastRowLastColumn="0"/>
              <w:rPr>
                <w:color w:val="000000"/>
                <w:szCs w:val="20"/>
              </w:rPr>
            </w:pPr>
            <w:r w:rsidRPr="00AD0162">
              <w:rPr>
                <w:color w:val="000000"/>
                <w:szCs w:val="20"/>
              </w:rPr>
              <w:t>Reference</w:t>
            </w:r>
            <w:r>
              <w:rPr>
                <w:color w:val="000000"/>
                <w:szCs w:val="20"/>
              </w:rPr>
              <w:t xml:space="preserve"> </w:t>
            </w:r>
            <w:r>
              <w:rPr>
                <w:color w:val="000000"/>
                <w:szCs w:val="20"/>
              </w:rPr>
              <w:fldChar w:fldCharType="begin"/>
            </w:r>
            <w:r>
              <w:rPr>
                <w:color w:val="000000"/>
                <w:szCs w:val="20"/>
              </w:rPr>
              <w:instrText xml:space="preserve"> NOTEREF _Ref478652832 \h  \* MERGEFORMAT </w:instrText>
            </w:r>
            <w:r>
              <w:rPr>
                <w:color w:val="000000"/>
                <w:szCs w:val="20"/>
              </w:rPr>
            </w:r>
            <w:r>
              <w:rPr>
                <w:color w:val="000000"/>
                <w:szCs w:val="20"/>
              </w:rPr>
              <w:fldChar w:fldCharType="separate"/>
            </w:r>
            <w:r>
              <w:rPr>
                <w:color w:val="000000"/>
                <w:szCs w:val="20"/>
              </w:rPr>
              <w:t>7</w:t>
            </w:r>
            <w:r>
              <w:rPr>
                <w:color w:val="000000"/>
                <w:szCs w:val="20"/>
              </w:rPr>
              <w:fldChar w:fldCharType="end"/>
            </w:r>
            <w:r>
              <w:rPr>
                <w:color w:val="000000"/>
                <w:szCs w:val="20"/>
              </w:rPr>
              <w:t>, Table 2.5-6</w:t>
            </w:r>
          </w:p>
        </w:tc>
      </w:tr>
      <w:tr w:rsidR="00E36C4A" w:rsidRPr="00F8021B" w14:paraId="4FC9A1FB" w14:textId="77777777" w:rsidTr="00E36C4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4" w:type="pct"/>
            <w:shd w:val="clear" w:color="auto" w:fill="auto"/>
            <w:vAlign w:val="center"/>
          </w:tcPr>
          <w:p w14:paraId="665A1B33" w14:textId="77777777" w:rsidR="00E36C4A" w:rsidRPr="00522B8B" w:rsidRDefault="00E36C4A" w:rsidP="005D522D">
            <w:pPr>
              <w:widowControl/>
              <w:autoSpaceDE/>
              <w:autoSpaceDN/>
              <w:adjustRightInd/>
              <w:jc w:val="center"/>
              <w:rPr>
                <w:b w:val="0"/>
                <w:color w:val="000000"/>
                <w:szCs w:val="20"/>
              </w:rPr>
            </w:pPr>
            <w:r w:rsidRPr="00522B8B">
              <w:rPr>
                <w:b w:val="0"/>
              </w:rPr>
              <w:t>PM25-FIL</w:t>
            </w:r>
          </w:p>
        </w:tc>
        <w:tc>
          <w:tcPr>
            <w:tcW w:w="595" w:type="pct"/>
            <w:shd w:val="clear" w:color="auto" w:fill="auto"/>
            <w:vAlign w:val="bottom"/>
          </w:tcPr>
          <w:p w14:paraId="29D27215" w14:textId="77777777" w:rsidR="00E36C4A" w:rsidRPr="00522B8B" w:rsidRDefault="00E36C4A" w:rsidP="005D522D">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522B8B">
              <w:t>PM25-FIL</w:t>
            </w:r>
          </w:p>
        </w:tc>
        <w:tc>
          <w:tcPr>
            <w:tcW w:w="521" w:type="pct"/>
            <w:shd w:val="clear" w:color="auto" w:fill="auto"/>
            <w:vAlign w:val="bottom"/>
          </w:tcPr>
          <w:p w14:paraId="096F6174" w14:textId="55E521D7" w:rsidR="00E36C4A" w:rsidRPr="00F8021B" w:rsidRDefault="00E36C4A" w:rsidP="005D522D">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29.3</w:t>
            </w:r>
          </w:p>
        </w:tc>
        <w:tc>
          <w:tcPr>
            <w:tcW w:w="521" w:type="pct"/>
            <w:shd w:val="clear" w:color="auto" w:fill="auto"/>
            <w:vAlign w:val="center"/>
          </w:tcPr>
          <w:p w14:paraId="10FA601B" w14:textId="52502B7E" w:rsidR="00E36C4A" w:rsidRPr="00F8021B" w:rsidRDefault="00E36C4A" w:rsidP="005D522D">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C64C1B">
              <w:rPr>
                <w:color w:val="000000"/>
                <w:szCs w:val="20"/>
              </w:rPr>
              <w:t>lbs./ton</w:t>
            </w:r>
          </w:p>
        </w:tc>
        <w:tc>
          <w:tcPr>
            <w:tcW w:w="614" w:type="pct"/>
            <w:shd w:val="clear" w:color="auto" w:fill="auto"/>
          </w:tcPr>
          <w:p w14:paraId="7045B1CA" w14:textId="72CB890F" w:rsidR="00E36C4A" w:rsidRPr="00F8021B" w:rsidRDefault="00E36C4A" w:rsidP="005D522D">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AA2853">
              <w:rPr>
                <w:color w:val="000000"/>
                <w:szCs w:val="20"/>
              </w:rPr>
              <w:t>--</w:t>
            </w:r>
          </w:p>
        </w:tc>
        <w:tc>
          <w:tcPr>
            <w:tcW w:w="614" w:type="pct"/>
            <w:shd w:val="clear" w:color="auto" w:fill="auto"/>
          </w:tcPr>
          <w:p w14:paraId="3CC28540" w14:textId="5341597D" w:rsidR="00E36C4A" w:rsidRPr="00F8021B" w:rsidRDefault="00E36C4A" w:rsidP="005D522D">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AA2853">
              <w:rPr>
                <w:color w:val="000000"/>
                <w:szCs w:val="20"/>
              </w:rPr>
              <w:t>--</w:t>
            </w:r>
          </w:p>
        </w:tc>
        <w:tc>
          <w:tcPr>
            <w:tcW w:w="830" w:type="pct"/>
            <w:shd w:val="clear" w:color="auto" w:fill="auto"/>
            <w:vAlign w:val="center"/>
          </w:tcPr>
          <w:p w14:paraId="0D7EAD43" w14:textId="77777777" w:rsidR="00E36C4A" w:rsidRPr="00F8021B" w:rsidRDefault="00E36C4A" w:rsidP="00454160">
            <w:pPr>
              <w:widowControl/>
              <w:autoSpaceDE/>
              <w:autoSpaceDN/>
              <w:adjustRightInd/>
              <w:cnfStyle w:val="000000100000" w:firstRow="0" w:lastRow="0" w:firstColumn="0" w:lastColumn="0" w:oddVBand="0" w:evenVBand="0" w:oddHBand="1" w:evenHBand="0" w:firstRowFirstColumn="0" w:firstRowLastColumn="0" w:lastRowFirstColumn="0" w:lastRowLastColumn="0"/>
              <w:rPr>
                <w:color w:val="000000"/>
                <w:szCs w:val="20"/>
              </w:rPr>
            </w:pPr>
            <w:r>
              <w:t>0.7709 * PM10</w:t>
            </w:r>
          </w:p>
        </w:tc>
      </w:tr>
      <w:tr w:rsidR="00E36C4A" w:rsidRPr="00F8021B" w14:paraId="1ECDB5BF" w14:textId="77777777" w:rsidTr="00E36C4A">
        <w:trPr>
          <w:trHeight w:val="20"/>
        </w:trPr>
        <w:tc>
          <w:tcPr>
            <w:cnfStyle w:val="001000000000" w:firstRow="0" w:lastRow="0" w:firstColumn="1" w:lastColumn="0" w:oddVBand="0" w:evenVBand="0" w:oddHBand="0" w:evenHBand="0" w:firstRowFirstColumn="0" w:firstRowLastColumn="0" w:lastRowFirstColumn="0" w:lastRowLastColumn="0"/>
            <w:tcW w:w="1304" w:type="pct"/>
            <w:shd w:val="clear" w:color="auto" w:fill="auto"/>
            <w:vAlign w:val="center"/>
          </w:tcPr>
          <w:p w14:paraId="0557EE55" w14:textId="77777777" w:rsidR="00E36C4A" w:rsidRPr="00522B8B" w:rsidRDefault="00E36C4A" w:rsidP="005D522D">
            <w:pPr>
              <w:widowControl/>
              <w:autoSpaceDE/>
              <w:autoSpaceDN/>
              <w:adjustRightInd/>
              <w:jc w:val="center"/>
              <w:rPr>
                <w:b w:val="0"/>
                <w:color w:val="000000"/>
                <w:szCs w:val="20"/>
              </w:rPr>
            </w:pPr>
            <w:r w:rsidRPr="00522B8B">
              <w:rPr>
                <w:b w:val="0"/>
              </w:rPr>
              <w:t>PM25-PRI</w:t>
            </w:r>
          </w:p>
        </w:tc>
        <w:tc>
          <w:tcPr>
            <w:tcW w:w="595" w:type="pct"/>
            <w:shd w:val="clear" w:color="auto" w:fill="auto"/>
            <w:vAlign w:val="bottom"/>
          </w:tcPr>
          <w:p w14:paraId="195EE5AF" w14:textId="77777777" w:rsidR="00E36C4A" w:rsidRPr="00522B8B" w:rsidRDefault="00E36C4A" w:rsidP="005D522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522B8B">
              <w:t>PM25-PRI</w:t>
            </w:r>
          </w:p>
        </w:tc>
        <w:tc>
          <w:tcPr>
            <w:tcW w:w="521" w:type="pct"/>
            <w:shd w:val="clear" w:color="auto" w:fill="auto"/>
            <w:vAlign w:val="bottom"/>
          </w:tcPr>
          <w:p w14:paraId="689E23E4" w14:textId="68A15A50" w:rsidR="00E36C4A" w:rsidRPr="00F8021B" w:rsidRDefault="00E36C4A" w:rsidP="005D522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29.3</w:t>
            </w:r>
          </w:p>
        </w:tc>
        <w:tc>
          <w:tcPr>
            <w:tcW w:w="521" w:type="pct"/>
            <w:shd w:val="clear" w:color="auto" w:fill="auto"/>
            <w:vAlign w:val="center"/>
          </w:tcPr>
          <w:p w14:paraId="15D3E04F" w14:textId="11128B3A" w:rsidR="00E36C4A" w:rsidRPr="00F8021B" w:rsidRDefault="00E36C4A" w:rsidP="005D522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C64C1B">
              <w:rPr>
                <w:color w:val="000000"/>
                <w:szCs w:val="20"/>
              </w:rPr>
              <w:t>lbs./ton</w:t>
            </w:r>
          </w:p>
        </w:tc>
        <w:tc>
          <w:tcPr>
            <w:tcW w:w="614" w:type="pct"/>
            <w:shd w:val="clear" w:color="auto" w:fill="auto"/>
          </w:tcPr>
          <w:p w14:paraId="7C51018D" w14:textId="0555FD9D" w:rsidR="00E36C4A" w:rsidRPr="00F8021B" w:rsidRDefault="00E36C4A" w:rsidP="005D522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AA2853">
              <w:rPr>
                <w:color w:val="000000"/>
                <w:szCs w:val="20"/>
              </w:rPr>
              <w:t>--</w:t>
            </w:r>
          </w:p>
        </w:tc>
        <w:tc>
          <w:tcPr>
            <w:tcW w:w="614" w:type="pct"/>
            <w:shd w:val="clear" w:color="auto" w:fill="auto"/>
          </w:tcPr>
          <w:p w14:paraId="4AB569AB" w14:textId="0D12E562" w:rsidR="00E36C4A" w:rsidRPr="00F8021B" w:rsidRDefault="00E36C4A" w:rsidP="005D522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AA2853">
              <w:rPr>
                <w:color w:val="000000"/>
                <w:szCs w:val="20"/>
              </w:rPr>
              <w:t>--</w:t>
            </w:r>
          </w:p>
        </w:tc>
        <w:tc>
          <w:tcPr>
            <w:tcW w:w="830" w:type="pct"/>
            <w:shd w:val="clear" w:color="auto" w:fill="auto"/>
            <w:vAlign w:val="center"/>
          </w:tcPr>
          <w:p w14:paraId="2CA3B118" w14:textId="77777777" w:rsidR="00E36C4A" w:rsidRPr="00F8021B" w:rsidRDefault="00E36C4A" w:rsidP="00454160">
            <w:pPr>
              <w:widowControl/>
              <w:autoSpaceDE/>
              <w:autoSpaceDN/>
              <w:adjustRightInd/>
              <w:cnfStyle w:val="000000000000" w:firstRow="0" w:lastRow="0" w:firstColumn="0" w:lastColumn="0" w:oddVBand="0" w:evenVBand="0" w:oddHBand="0" w:evenHBand="0" w:firstRowFirstColumn="0" w:firstRowLastColumn="0" w:lastRowFirstColumn="0" w:lastRowLastColumn="0"/>
              <w:rPr>
                <w:color w:val="000000"/>
                <w:szCs w:val="20"/>
              </w:rPr>
            </w:pPr>
            <w:r>
              <w:t>0.7709 * PM10</w:t>
            </w:r>
          </w:p>
        </w:tc>
      </w:tr>
      <w:tr w:rsidR="00E36C4A" w:rsidRPr="00F8021B" w14:paraId="6C9D78A5" w14:textId="77777777" w:rsidTr="00E36C4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4" w:type="pct"/>
            <w:shd w:val="clear" w:color="auto" w:fill="auto"/>
            <w:vAlign w:val="center"/>
          </w:tcPr>
          <w:p w14:paraId="463D2339" w14:textId="77777777" w:rsidR="00E36C4A" w:rsidRPr="00522B8B" w:rsidRDefault="00E36C4A" w:rsidP="005D522D">
            <w:pPr>
              <w:widowControl/>
              <w:autoSpaceDE/>
              <w:autoSpaceDN/>
              <w:adjustRightInd/>
              <w:jc w:val="center"/>
              <w:rPr>
                <w:b w:val="0"/>
                <w:color w:val="000000"/>
                <w:szCs w:val="20"/>
              </w:rPr>
            </w:pPr>
            <w:r w:rsidRPr="00522B8B">
              <w:rPr>
                <w:b w:val="0"/>
              </w:rPr>
              <w:t>Sulfur Dioxide</w:t>
            </w:r>
          </w:p>
        </w:tc>
        <w:tc>
          <w:tcPr>
            <w:tcW w:w="595" w:type="pct"/>
            <w:shd w:val="clear" w:color="auto" w:fill="auto"/>
            <w:vAlign w:val="bottom"/>
          </w:tcPr>
          <w:p w14:paraId="327D0DAF" w14:textId="77777777" w:rsidR="00E36C4A" w:rsidRPr="00522B8B" w:rsidRDefault="00E36C4A" w:rsidP="005D522D">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522B8B">
              <w:t>SO2</w:t>
            </w:r>
          </w:p>
        </w:tc>
        <w:tc>
          <w:tcPr>
            <w:tcW w:w="521" w:type="pct"/>
            <w:shd w:val="clear" w:color="auto" w:fill="auto"/>
            <w:vAlign w:val="bottom"/>
          </w:tcPr>
          <w:p w14:paraId="0282D376" w14:textId="0F73F396" w:rsidR="00E36C4A" w:rsidRPr="00F8021B" w:rsidRDefault="00E36C4A" w:rsidP="005D522D">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845E09">
              <w:t>0.76</w:t>
            </w:r>
          </w:p>
        </w:tc>
        <w:tc>
          <w:tcPr>
            <w:tcW w:w="521" w:type="pct"/>
            <w:shd w:val="clear" w:color="auto" w:fill="auto"/>
            <w:vAlign w:val="center"/>
          </w:tcPr>
          <w:p w14:paraId="6FF70405" w14:textId="37211666" w:rsidR="00E36C4A" w:rsidRPr="00F8021B" w:rsidRDefault="00E36C4A" w:rsidP="005D522D">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C64C1B">
              <w:rPr>
                <w:color w:val="000000"/>
                <w:szCs w:val="20"/>
              </w:rPr>
              <w:t>lbs./ton</w:t>
            </w:r>
          </w:p>
        </w:tc>
        <w:tc>
          <w:tcPr>
            <w:tcW w:w="614" w:type="pct"/>
            <w:shd w:val="clear" w:color="auto" w:fill="auto"/>
          </w:tcPr>
          <w:p w14:paraId="72622FD3" w14:textId="4EEF1892" w:rsidR="00E36C4A" w:rsidRPr="00F8021B" w:rsidRDefault="00E36C4A" w:rsidP="005D522D">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AA2853">
              <w:rPr>
                <w:color w:val="000000"/>
                <w:szCs w:val="20"/>
              </w:rPr>
              <w:t>--</w:t>
            </w:r>
          </w:p>
        </w:tc>
        <w:tc>
          <w:tcPr>
            <w:tcW w:w="614" w:type="pct"/>
            <w:shd w:val="clear" w:color="auto" w:fill="auto"/>
          </w:tcPr>
          <w:p w14:paraId="3BD193BC" w14:textId="28F69354" w:rsidR="00E36C4A" w:rsidRPr="00F8021B" w:rsidRDefault="00E36C4A" w:rsidP="005D522D">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AA2853">
              <w:rPr>
                <w:color w:val="000000"/>
                <w:szCs w:val="20"/>
              </w:rPr>
              <w:t>--</w:t>
            </w:r>
          </w:p>
        </w:tc>
        <w:tc>
          <w:tcPr>
            <w:tcW w:w="830" w:type="pct"/>
            <w:shd w:val="clear" w:color="auto" w:fill="auto"/>
            <w:vAlign w:val="center"/>
          </w:tcPr>
          <w:p w14:paraId="721D644B" w14:textId="3CE6EC28" w:rsidR="00E36C4A" w:rsidRPr="00F8021B" w:rsidRDefault="00E36C4A" w:rsidP="004B7AFE">
            <w:pPr>
              <w:widowControl/>
              <w:autoSpaceDE/>
              <w:autoSpaceDN/>
              <w:adjustRightInd/>
              <w:cnfStyle w:val="000000100000" w:firstRow="0" w:lastRow="0" w:firstColumn="0" w:lastColumn="0" w:oddVBand="0" w:evenVBand="0" w:oddHBand="1" w:evenHBand="0" w:firstRowFirstColumn="0" w:firstRowLastColumn="0" w:lastRowFirstColumn="0" w:lastRowLastColumn="0"/>
              <w:rPr>
                <w:color w:val="000000"/>
                <w:szCs w:val="20"/>
              </w:rPr>
            </w:pPr>
            <w:r w:rsidRPr="00DB71E9">
              <w:rPr>
                <w:color w:val="000000"/>
                <w:szCs w:val="20"/>
              </w:rPr>
              <w:t>Reference</w:t>
            </w:r>
            <w:r>
              <w:rPr>
                <w:color w:val="000000"/>
                <w:szCs w:val="20"/>
              </w:rPr>
              <w:t xml:space="preserve"> </w:t>
            </w:r>
          </w:p>
        </w:tc>
      </w:tr>
      <w:tr w:rsidR="00E36C4A" w:rsidRPr="00F8021B" w14:paraId="2E78C5A4" w14:textId="77777777" w:rsidTr="00E36C4A">
        <w:trPr>
          <w:trHeight w:val="20"/>
        </w:trPr>
        <w:tc>
          <w:tcPr>
            <w:cnfStyle w:val="001000000000" w:firstRow="0" w:lastRow="0" w:firstColumn="1" w:lastColumn="0" w:oddVBand="0" w:evenVBand="0" w:oddHBand="0" w:evenHBand="0" w:firstRowFirstColumn="0" w:firstRowLastColumn="0" w:lastRowFirstColumn="0" w:lastRowLastColumn="0"/>
            <w:tcW w:w="1304" w:type="pct"/>
            <w:shd w:val="clear" w:color="auto" w:fill="auto"/>
            <w:vAlign w:val="center"/>
          </w:tcPr>
          <w:p w14:paraId="1F8EAD8C" w14:textId="77777777" w:rsidR="00E36C4A" w:rsidRPr="00522B8B" w:rsidRDefault="00E36C4A" w:rsidP="00454160">
            <w:pPr>
              <w:widowControl/>
              <w:autoSpaceDE/>
              <w:autoSpaceDN/>
              <w:adjustRightInd/>
              <w:jc w:val="center"/>
              <w:rPr>
                <w:b w:val="0"/>
                <w:color w:val="000000"/>
                <w:szCs w:val="20"/>
              </w:rPr>
            </w:pPr>
            <w:r w:rsidRPr="00522B8B">
              <w:rPr>
                <w:b w:val="0"/>
              </w:rPr>
              <w:t>VOC</w:t>
            </w:r>
          </w:p>
        </w:tc>
        <w:tc>
          <w:tcPr>
            <w:tcW w:w="595" w:type="pct"/>
            <w:shd w:val="clear" w:color="auto" w:fill="auto"/>
            <w:vAlign w:val="center"/>
          </w:tcPr>
          <w:p w14:paraId="3FA499C5" w14:textId="77777777" w:rsidR="00E36C4A" w:rsidRPr="00522B8B" w:rsidRDefault="00E36C4A" w:rsidP="00454160">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522B8B">
              <w:t>VOC</w:t>
            </w:r>
          </w:p>
        </w:tc>
        <w:tc>
          <w:tcPr>
            <w:tcW w:w="521" w:type="pct"/>
            <w:shd w:val="clear" w:color="auto" w:fill="auto"/>
            <w:vAlign w:val="center"/>
          </w:tcPr>
          <w:p w14:paraId="28ABE01A" w14:textId="0B6518CE" w:rsidR="00E36C4A" w:rsidRPr="00F8021B" w:rsidRDefault="00E36C4A" w:rsidP="00454160">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845E09">
              <w:t>28</w:t>
            </w:r>
          </w:p>
        </w:tc>
        <w:tc>
          <w:tcPr>
            <w:tcW w:w="521" w:type="pct"/>
            <w:shd w:val="clear" w:color="auto" w:fill="auto"/>
            <w:vAlign w:val="center"/>
          </w:tcPr>
          <w:p w14:paraId="64C10E80" w14:textId="407550D5" w:rsidR="00E36C4A" w:rsidRPr="00F8021B" w:rsidRDefault="00E36C4A" w:rsidP="00454160">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C64C1B">
              <w:rPr>
                <w:color w:val="000000"/>
                <w:szCs w:val="20"/>
              </w:rPr>
              <w:t>lbs./ton</w:t>
            </w:r>
          </w:p>
        </w:tc>
        <w:tc>
          <w:tcPr>
            <w:tcW w:w="614" w:type="pct"/>
            <w:shd w:val="clear" w:color="auto" w:fill="auto"/>
          </w:tcPr>
          <w:p w14:paraId="5D562229" w14:textId="458E7D25" w:rsidR="00E36C4A" w:rsidRPr="00F8021B" w:rsidRDefault="00E36C4A" w:rsidP="00454160">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AA2853">
              <w:rPr>
                <w:color w:val="000000"/>
                <w:szCs w:val="20"/>
              </w:rPr>
              <w:t>--</w:t>
            </w:r>
          </w:p>
        </w:tc>
        <w:tc>
          <w:tcPr>
            <w:tcW w:w="614" w:type="pct"/>
            <w:shd w:val="clear" w:color="auto" w:fill="auto"/>
          </w:tcPr>
          <w:p w14:paraId="4C695AAE" w14:textId="167ED63C" w:rsidR="00E36C4A" w:rsidRPr="00F8021B" w:rsidRDefault="00E36C4A" w:rsidP="00454160">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AA2853">
              <w:rPr>
                <w:color w:val="000000"/>
                <w:szCs w:val="20"/>
              </w:rPr>
              <w:t>--</w:t>
            </w:r>
          </w:p>
        </w:tc>
        <w:tc>
          <w:tcPr>
            <w:tcW w:w="830" w:type="pct"/>
            <w:shd w:val="clear" w:color="auto" w:fill="auto"/>
            <w:vAlign w:val="center"/>
          </w:tcPr>
          <w:p w14:paraId="00C8B29C" w14:textId="7F4C7ED5" w:rsidR="00E36C4A" w:rsidRPr="00F8021B" w:rsidRDefault="00E36C4A" w:rsidP="00454160">
            <w:pPr>
              <w:widowControl/>
              <w:autoSpaceDE/>
              <w:autoSpaceDN/>
              <w:adjustRightInd/>
              <w:cnfStyle w:val="000000000000" w:firstRow="0" w:lastRow="0" w:firstColumn="0" w:lastColumn="0" w:oddVBand="0" w:evenVBand="0" w:oddHBand="0" w:evenHBand="0" w:firstRowFirstColumn="0" w:firstRowLastColumn="0" w:lastRowFirstColumn="0" w:lastRowLastColumn="0"/>
              <w:rPr>
                <w:color w:val="000000"/>
                <w:szCs w:val="20"/>
              </w:rPr>
            </w:pPr>
            <w:r w:rsidRPr="00AD0162">
              <w:rPr>
                <w:color w:val="000000"/>
                <w:szCs w:val="20"/>
              </w:rPr>
              <w:t>Reference</w:t>
            </w:r>
            <w:r>
              <w:rPr>
                <w:color w:val="000000"/>
                <w:szCs w:val="20"/>
              </w:rPr>
              <w:t xml:space="preserve"> </w:t>
            </w:r>
            <w:r>
              <w:rPr>
                <w:color w:val="000000"/>
                <w:szCs w:val="20"/>
              </w:rPr>
              <w:fldChar w:fldCharType="begin"/>
            </w:r>
            <w:r>
              <w:rPr>
                <w:color w:val="000000"/>
                <w:szCs w:val="20"/>
              </w:rPr>
              <w:instrText xml:space="preserve"> NOTEREF _Ref478652832 \h  \* MERGEFORMAT </w:instrText>
            </w:r>
            <w:r>
              <w:rPr>
                <w:color w:val="000000"/>
                <w:szCs w:val="20"/>
              </w:rPr>
            </w:r>
            <w:r>
              <w:rPr>
                <w:color w:val="000000"/>
                <w:szCs w:val="20"/>
              </w:rPr>
              <w:fldChar w:fldCharType="separate"/>
            </w:r>
            <w:r>
              <w:rPr>
                <w:color w:val="000000"/>
                <w:szCs w:val="20"/>
              </w:rPr>
              <w:t>7</w:t>
            </w:r>
            <w:r>
              <w:rPr>
                <w:color w:val="000000"/>
                <w:szCs w:val="20"/>
              </w:rPr>
              <w:fldChar w:fldCharType="end"/>
            </w:r>
            <w:r>
              <w:rPr>
                <w:color w:val="000000"/>
                <w:szCs w:val="20"/>
              </w:rPr>
              <w:t>, Table 2.5-6</w:t>
            </w:r>
          </w:p>
        </w:tc>
      </w:tr>
      <w:tr w:rsidR="00B36F28" w:rsidRPr="00F8021B" w14:paraId="0327F4DD" w14:textId="77777777" w:rsidTr="009F6A7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4" w:type="pct"/>
            <w:shd w:val="clear" w:color="auto" w:fill="auto"/>
            <w:vAlign w:val="center"/>
          </w:tcPr>
          <w:p w14:paraId="3DDFE716" w14:textId="347F6011" w:rsidR="00B36F28" w:rsidRPr="00522B8B" w:rsidRDefault="00B36F28" w:rsidP="00522B8B">
            <w:pPr>
              <w:widowControl/>
              <w:autoSpaceDE/>
              <w:autoSpaceDN/>
              <w:adjustRightInd/>
              <w:jc w:val="center"/>
              <w:rPr>
                <w:b w:val="0"/>
                <w:color w:val="000000"/>
                <w:szCs w:val="20"/>
              </w:rPr>
            </w:pPr>
            <w:r w:rsidRPr="00522B8B">
              <w:rPr>
                <w:b w:val="0"/>
              </w:rPr>
              <w:t>Cumene</w:t>
            </w:r>
          </w:p>
        </w:tc>
        <w:tc>
          <w:tcPr>
            <w:tcW w:w="595" w:type="pct"/>
            <w:shd w:val="clear" w:color="auto" w:fill="auto"/>
            <w:vAlign w:val="bottom"/>
          </w:tcPr>
          <w:p w14:paraId="51B10CDC" w14:textId="3D95992E" w:rsidR="00B36F28" w:rsidRPr="00522B8B" w:rsidRDefault="00B36F28" w:rsidP="009D4555">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522B8B">
              <w:t>98828</w:t>
            </w:r>
          </w:p>
        </w:tc>
        <w:tc>
          <w:tcPr>
            <w:tcW w:w="521" w:type="pct"/>
            <w:shd w:val="clear" w:color="auto" w:fill="auto"/>
            <w:vAlign w:val="bottom"/>
          </w:tcPr>
          <w:p w14:paraId="104733E9" w14:textId="35493E1C" w:rsidR="00B36F28" w:rsidRPr="00F8021B" w:rsidRDefault="00B36F28" w:rsidP="009D4555">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p>
        </w:tc>
        <w:tc>
          <w:tcPr>
            <w:tcW w:w="521" w:type="pct"/>
            <w:shd w:val="clear" w:color="auto" w:fill="auto"/>
            <w:vAlign w:val="center"/>
          </w:tcPr>
          <w:p w14:paraId="169F18E9" w14:textId="6B339788" w:rsidR="00B36F28" w:rsidRPr="00F8021B" w:rsidRDefault="00B36F28" w:rsidP="009D4555">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p>
        </w:tc>
        <w:tc>
          <w:tcPr>
            <w:tcW w:w="614" w:type="pct"/>
            <w:shd w:val="clear" w:color="auto" w:fill="auto"/>
            <w:vAlign w:val="bottom"/>
          </w:tcPr>
          <w:p w14:paraId="708B5D03" w14:textId="628BF0F2" w:rsidR="00B36F28" w:rsidRPr="00F8021B" w:rsidRDefault="00B36F28" w:rsidP="009D4555">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845E09">
              <w:t>0.01325</w:t>
            </w:r>
          </w:p>
        </w:tc>
        <w:tc>
          <w:tcPr>
            <w:tcW w:w="614" w:type="pct"/>
            <w:shd w:val="clear" w:color="auto" w:fill="auto"/>
            <w:vAlign w:val="center"/>
          </w:tcPr>
          <w:p w14:paraId="2D7C2909" w14:textId="09F96D46" w:rsidR="00B36F28" w:rsidRPr="00F8021B" w:rsidRDefault="00B36F28" w:rsidP="00522B8B">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EE0366">
              <w:rPr>
                <w:color w:val="000000"/>
                <w:szCs w:val="20"/>
              </w:rPr>
              <w:t>lbs./ton</w:t>
            </w:r>
          </w:p>
        </w:tc>
        <w:tc>
          <w:tcPr>
            <w:tcW w:w="830" w:type="pct"/>
            <w:shd w:val="clear" w:color="auto" w:fill="auto"/>
            <w:vAlign w:val="center"/>
          </w:tcPr>
          <w:p w14:paraId="0F3F1C28" w14:textId="34AAA2BF" w:rsidR="00B36F28" w:rsidRPr="00F8021B" w:rsidRDefault="00B36F28" w:rsidP="00454160">
            <w:pPr>
              <w:widowControl/>
              <w:autoSpaceDE/>
              <w:autoSpaceDN/>
              <w:adjustRightInd/>
              <w:cnfStyle w:val="000000100000" w:firstRow="0" w:lastRow="0" w:firstColumn="0" w:lastColumn="0" w:oddVBand="0" w:evenVBand="0" w:oddHBand="1" w:evenHBand="0" w:firstRowFirstColumn="0" w:firstRowLastColumn="0" w:lastRowFirstColumn="0" w:lastRowLastColumn="0"/>
              <w:rPr>
                <w:color w:val="000000"/>
                <w:szCs w:val="20"/>
              </w:rPr>
            </w:pPr>
            <w:r w:rsidRPr="00AD0162">
              <w:rPr>
                <w:color w:val="000000"/>
                <w:szCs w:val="20"/>
              </w:rPr>
              <w:t>Reference</w:t>
            </w:r>
            <w:r>
              <w:rPr>
                <w:color w:val="000000"/>
                <w:szCs w:val="20"/>
              </w:rPr>
              <w:t xml:space="preserve"> </w:t>
            </w:r>
            <w:r>
              <w:rPr>
                <w:color w:val="000000"/>
                <w:szCs w:val="20"/>
              </w:rPr>
              <w:fldChar w:fldCharType="begin"/>
            </w:r>
            <w:r>
              <w:rPr>
                <w:color w:val="000000"/>
                <w:szCs w:val="20"/>
              </w:rPr>
              <w:instrText xml:space="preserve"> NOTEREF _Ref478559170 \h  \* MERGEFORMAT </w:instrText>
            </w:r>
            <w:r>
              <w:rPr>
                <w:color w:val="000000"/>
                <w:szCs w:val="20"/>
              </w:rPr>
            </w:r>
            <w:r>
              <w:rPr>
                <w:color w:val="000000"/>
                <w:szCs w:val="20"/>
              </w:rPr>
              <w:fldChar w:fldCharType="separate"/>
            </w:r>
            <w:r>
              <w:rPr>
                <w:color w:val="000000"/>
                <w:szCs w:val="20"/>
              </w:rPr>
              <w:t>9</w:t>
            </w:r>
            <w:r>
              <w:rPr>
                <w:color w:val="000000"/>
                <w:szCs w:val="20"/>
              </w:rPr>
              <w:fldChar w:fldCharType="end"/>
            </w:r>
          </w:p>
        </w:tc>
      </w:tr>
      <w:tr w:rsidR="00B36F28" w:rsidRPr="00F8021B" w14:paraId="5373F82B" w14:textId="77777777" w:rsidTr="009F6A7F">
        <w:trPr>
          <w:trHeight w:val="20"/>
        </w:trPr>
        <w:tc>
          <w:tcPr>
            <w:cnfStyle w:val="001000000000" w:firstRow="0" w:lastRow="0" w:firstColumn="1" w:lastColumn="0" w:oddVBand="0" w:evenVBand="0" w:oddHBand="0" w:evenHBand="0" w:firstRowFirstColumn="0" w:firstRowLastColumn="0" w:lastRowFirstColumn="0" w:lastRowLastColumn="0"/>
            <w:tcW w:w="1304" w:type="pct"/>
            <w:shd w:val="clear" w:color="auto" w:fill="auto"/>
            <w:vAlign w:val="center"/>
          </w:tcPr>
          <w:p w14:paraId="2EE97CF5" w14:textId="15954A83" w:rsidR="00B36F28" w:rsidRPr="00522B8B" w:rsidRDefault="00B36F28" w:rsidP="00522B8B">
            <w:pPr>
              <w:widowControl/>
              <w:autoSpaceDE/>
              <w:autoSpaceDN/>
              <w:adjustRightInd/>
              <w:jc w:val="center"/>
              <w:rPr>
                <w:b w:val="0"/>
                <w:color w:val="000000"/>
                <w:szCs w:val="20"/>
              </w:rPr>
            </w:pPr>
            <w:r w:rsidRPr="00522B8B">
              <w:rPr>
                <w:b w:val="0"/>
              </w:rPr>
              <w:t>Ethyl Benzene</w:t>
            </w:r>
          </w:p>
        </w:tc>
        <w:tc>
          <w:tcPr>
            <w:tcW w:w="595" w:type="pct"/>
            <w:shd w:val="clear" w:color="auto" w:fill="auto"/>
            <w:vAlign w:val="bottom"/>
          </w:tcPr>
          <w:p w14:paraId="4E6B7F19" w14:textId="2F225A98" w:rsidR="00B36F28" w:rsidRPr="00522B8B" w:rsidRDefault="00B36F28" w:rsidP="009D4555">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522B8B">
              <w:t>100414</w:t>
            </w:r>
          </w:p>
        </w:tc>
        <w:tc>
          <w:tcPr>
            <w:tcW w:w="521" w:type="pct"/>
            <w:shd w:val="clear" w:color="auto" w:fill="auto"/>
            <w:vAlign w:val="bottom"/>
          </w:tcPr>
          <w:p w14:paraId="0CF7C67D" w14:textId="1FFB750B" w:rsidR="00B36F28" w:rsidRPr="00F8021B" w:rsidRDefault="00B36F28" w:rsidP="009D4555">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p>
        </w:tc>
        <w:tc>
          <w:tcPr>
            <w:tcW w:w="521" w:type="pct"/>
            <w:shd w:val="clear" w:color="auto" w:fill="auto"/>
            <w:vAlign w:val="center"/>
          </w:tcPr>
          <w:p w14:paraId="18866C2D" w14:textId="55E07BD5" w:rsidR="00B36F28" w:rsidRPr="00F8021B" w:rsidRDefault="00B36F28" w:rsidP="009D4555">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p>
        </w:tc>
        <w:tc>
          <w:tcPr>
            <w:tcW w:w="614" w:type="pct"/>
            <w:shd w:val="clear" w:color="auto" w:fill="auto"/>
            <w:vAlign w:val="bottom"/>
          </w:tcPr>
          <w:p w14:paraId="77F0A7C0" w14:textId="40E1DD50" w:rsidR="00B36F28" w:rsidRPr="00F8021B" w:rsidRDefault="00B36F28" w:rsidP="009D4555">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845E09">
              <w:t>0.048</w:t>
            </w:r>
          </w:p>
        </w:tc>
        <w:tc>
          <w:tcPr>
            <w:tcW w:w="614" w:type="pct"/>
            <w:shd w:val="clear" w:color="auto" w:fill="auto"/>
            <w:vAlign w:val="center"/>
          </w:tcPr>
          <w:p w14:paraId="666073CC" w14:textId="33F41975" w:rsidR="00B36F28" w:rsidRPr="00F8021B" w:rsidRDefault="00B36F28" w:rsidP="00522B8B">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EE0366">
              <w:rPr>
                <w:color w:val="000000"/>
                <w:szCs w:val="20"/>
              </w:rPr>
              <w:t>lbs./ton</w:t>
            </w:r>
          </w:p>
        </w:tc>
        <w:tc>
          <w:tcPr>
            <w:tcW w:w="830" w:type="pct"/>
            <w:shd w:val="clear" w:color="auto" w:fill="auto"/>
            <w:vAlign w:val="center"/>
          </w:tcPr>
          <w:p w14:paraId="1D474D7A" w14:textId="11324C7C" w:rsidR="00B36F28" w:rsidRPr="00F8021B" w:rsidRDefault="00B36F28" w:rsidP="00454160">
            <w:pPr>
              <w:widowControl/>
              <w:autoSpaceDE/>
              <w:autoSpaceDN/>
              <w:adjustRightInd/>
              <w:cnfStyle w:val="000000000000" w:firstRow="0" w:lastRow="0" w:firstColumn="0" w:lastColumn="0" w:oddVBand="0" w:evenVBand="0" w:oddHBand="0" w:evenHBand="0" w:firstRowFirstColumn="0" w:firstRowLastColumn="0" w:lastRowFirstColumn="0" w:lastRowLastColumn="0"/>
              <w:rPr>
                <w:color w:val="000000"/>
                <w:szCs w:val="20"/>
              </w:rPr>
            </w:pPr>
            <w:r w:rsidRPr="00AD0162">
              <w:rPr>
                <w:color w:val="000000"/>
                <w:szCs w:val="20"/>
              </w:rPr>
              <w:t>Reference</w:t>
            </w:r>
            <w:r>
              <w:rPr>
                <w:color w:val="000000"/>
                <w:szCs w:val="20"/>
              </w:rPr>
              <w:t xml:space="preserve"> </w:t>
            </w:r>
            <w:r>
              <w:rPr>
                <w:color w:val="000000"/>
                <w:szCs w:val="20"/>
              </w:rPr>
              <w:fldChar w:fldCharType="begin"/>
            </w:r>
            <w:r>
              <w:rPr>
                <w:color w:val="000000"/>
                <w:szCs w:val="20"/>
              </w:rPr>
              <w:instrText xml:space="preserve"> NOTEREF _Ref478559170 \h  \* MERGEFORMAT </w:instrText>
            </w:r>
            <w:r>
              <w:rPr>
                <w:color w:val="000000"/>
                <w:szCs w:val="20"/>
              </w:rPr>
            </w:r>
            <w:r>
              <w:rPr>
                <w:color w:val="000000"/>
                <w:szCs w:val="20"/>
              </w:rPr>
              <w:fldChar w:fldCharType="separate"/>
            </w:r>
            <w:r>
              <w:rPr>
                <w:color w:val="000000"/>
                <w:szCs w:val="20"/>
              </w:rPr>
              <w:t>9</w:t>
            </w:r>
            <w:r>
              <w:rPr>
                <w:color w:val="000000"/>
                <w:szCs w:val="20"/>
              </w:rPr>
              <w:fldChar w:fldCharType="end"/>
            </w:r>
          </w:p>
        </w:tc>
      </w:tr>
      <w:tr w:rsidR="00B36F28" w:rsidRPr="00F8021B" w14:paraId="13C7661A" w14:textId="77777777" w:rsidTr="009F6A7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04" w:type="pct"/>
            <w:shd w:val="clear" w:color="auto" w:fill="auto"/>
            <w:vAlign w:val="center"/>
          </w:tcPr>
          <w:p w14:paraId="47C31A29" w14:textId="7E908E1A" w:rsidR="00B36F28" w:rsidRPr="00522B8B" w:rsidRDefault="00B36F28" w:rsidP="00522B8B">
            <w:pPr>
              <w:widowControl/>
              <w:autoSpaceDE/>
              <w:autoSpaceDN/>
              <w:adjustRightInd/>
              <w:jc w:val="center"/>
              <w:rPr>
                <w:b w:val="0"/>
                <w:color w:val="000000"/>
                <w:szCs w:val="20"/>
              </w:rPr>
            </w:pPr>
            <w:r w:rsidRPr="00522B8B">
              <w:rPr>
                <w:b w:val="0"/>
              </w:rPr>
              <w:t>Phenol</w:t>
            </w:r>
          </w:p>
        </w:tc>
        <w:tc>
          <w:tcPr>
            <w:tcW w:w="595" w:type="pct"/>
            <w:shd w:val="clear" w:color="auto" w:fill="auto"/>
            <w:vAlign w:val="bottom"/>
          </w:tcPr>
          <w:p w14:paraId="22CF7E13" w14:textId="4A27547F" w:rsidR="00B36F28" w:rsidRPr="00522B8B" w:rsidRDefault="00B36F28" w:rsidP="009D4555">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522B8B">
              <w:t>108952</w:t>
            </w:r>
          </w:p>
        </w:tc>
        <w:tc>
          <w:tcPr>
            <w:tcW w:w="521" w:type="pct"/>
            <w:shd w:val="clear" w:color="auto" w:fill="auto"/>
            <w:vAlign w:val="bottom"/>
          </w:tcPr>
          <w:p w14:paraId="0D2456F4" w14:textId="21DEB1A4" w:rsidR="00B36F28" w:rsidRPr="00F8021B" w:rsidRDefault="00B36F28" w:rsidP="009D4555">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p>
        </w:tc>
        <w:tc>
          <w:tcPr>
            <w:tcW w:w="521" w:type="pct"/>
            <w:shd w:val="clear" w:color="auto" w:fill="auto"/>
            <w:vAlign w:val="center"/>
          </w:tcPr>
          <w:p w14:paraId="46287D05" w14:textId="0CC5F899" w:rsidR="00B36F28" w:rsidRPr="00F8021B" w:rsidRDefault="00B36F28" w:rsidP="009D4555">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p>
        </w:tc>
        <w:tc>
          <w:tcPr>
            <w:tcW w:w="614" w:type="pct"/>
            <w:shd w:val="clear" w:color="auto" w:fill="auto"/>
            <w:vAlign w:val="bottom"/>
          </w:tcPr>
          <w:p w14:paraId="1A51135E" w14:textId="36817DB6" w:rsidR="00B36F28" w:rsidRPr="00F8021B" w:rsidRDefault="00B36F28" w:rsidP="009D4555">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845E09">
              <w:t>0.115</w:t>
            </w:r>
          </w:p>
        </w:tc>
        <w:tc>
          <w:tcPr>
            <w:tcW w:w="614" w:type="pct"/>
            <w:shd w:val="clear" w:color="auto" w:fill="auto"/>
            <w:vAlign w:val="center"/>
          </w:tcPr>
          <w:p w14:paraId="3360BBDD" w14:textId="20C091A6" w:rsidR="00B36F28" w:rsidRPr="00F8021B" w:rsidRDefault="00B36F28" w:rsidP="00522B8B">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EE0366">
              <w:rPr>
                <w:color w:val="000000"/>
                <w:szCs w:val="20"/>
              </w:rPr>
              <w:t>lbs./ton</w:t>
            </w:r>
          </w:p>
        </w:tc>
        <w:tc>
          <w:tcPr>
            <w:tcW w:w="830" w:type="pct"/>
            <w:shd w:val="clear" w:color="auto" w:fill="auto"/>
            <w:vAlign w:val="center"/>
          </w:tcPr>
          <w:p w14:paraId="2113E866" w14:textId="51ACF561" w:rsidR="00B36F28" w:rsidRPr="00F8021B" w:rsidRDefault="00B36F28" w:rsidP="00454160">
            <w:pPr>
              <w:widowControl/>
              <w:autoSpaceDE/>
              <w:autoSpaceDN/>
              <w:adjustRightInd/>
              <w:cnfStyle w:val="000000100000" w:firstRow="0" w:lastRow="0" w:firstColumn="0" w:lastColumn="0" w:oddVBand="0" w:evenVBand="0" w:oddHBand="1" w:evenHBand="0" w:firstRowFirstColumn="0" w:firstRowLastColumn="0" w:lastRowFirstColumn="0" w:lastRowLastColumn="0"/>
              <w:rPr>
                <w:color w:val="000000"/>
                <w:szCs w:val="20"/>
              </w:rPr>
            </w:pPr>
            <w:r w:rsidRPr="00AD0162">
              <w:rPr>
                <w:color w:val="000000"/>
                <w:szCs w:val="20"/>
              </w:rPr>
              <w:t>Reference</w:t>
            </w:r>
            <w:r>
              <w:rPr>
                <w:color w:val="000000"/>
                <w:szCs w:val="20"/>
              </w:rPr>
              <w:t xml:space="preserve"> </w:t>
            </w:r>
            <w:r>
              <w:rPr>
                <w:color w:val="000000"/>
                <w:szCs w:val="20"/>
              </w:rPr>
              <w:fldChar w:fldCharType="begin"/>
            </w:r>
            <w:r>
              <w:rPr>
                <w:color w:val="000000"/>
                <w:szCs w:val="20"/>
              </w:rPr>
              <w:instrText xml:space="preserve"> NOTEREF _Ref478559170 \h  \* MERGEFORMAT </w:instrText>
            </w:r>
            <w:r>
              <w:rPr>
                <w:color w:val="000000"/>
                <w:szCs w:val="20"/>
              </w:rPr>
            </w:r>
            <w:r>
              <w:rPr>
                <w:color w:val="000000"/>
                <w:szCs w:val="20"/>
              </w:rPr>
              <w:fldChar w:fldCharType="separate"/>
            </w:r>
            <w:r>
              <w:rPr>
                <w:color w:val="000000"/>
                <w:szCs w:val="20"/>
              </w:rPr>
              <w:t>9</w:t>
            </w:r>
            <w:r>
              <w:rPr>
                <w:color w:val="000000"/>
                <w:szCs w:val="20"/>
              </w:rPr>
              <w:fldChar w:fldCharType="end"/>
            </w:r>
          </w:p>
        </w:tc>
      </w:tr>
      <w:tr w:rsidR="00B36F28" w:rsidRPr="00F8021B" w14:paraId="64123D87" w14:textId="77777777" w:rsidTr="009F6A7F">
        <w:trPr>
          <w:trHeight w:val="20"/>
        </w:trPr>
        <w:tc>
          <w:tcPr>
            <w:cnfStyle w:val="001000000000" w:firstRow="0" w:lastRow="0" w:firstColumn="1" w:lastColumn="0" w:oddVBand="0" w:evenVBand="0" w:oddHBand="0" w:evenHBand="0" w:firstRowFirstColumn="0" w:firstRowLastColumn="0" w:lastRowFirstColumn="0" w:lastRowLastColumn="0"/>
            <w:tcW w:w="1304" w:type="pct"/>
            <w:shd w:val="clear" w:color="auto" w:fill="auto"/>
            <w:vAlign w:val="center"/>
          </w:tcPr>
          <w:p w14:paraId="19FC5674" w14:textId="2A43D13B" w:rsidR="00B36F28" w:rsidRPr="00522B8B" w:rsidRDefault="00B36F28" w:rsidP="00522B8B">
            <w:pPr>
              <w:widowControl/>
              <w:autoSpaceDE/>
              <w:autoSpaceDN/>
              <w:adjustRightInd/>
              <w:jc w:val="center"/>
              <w:rPr>
                <w:b w:val="0"/>
                <w:color w:val="000000"/>
                <w:szCs w:val="20"/>
              </w:rPr>
            </w:pPr>
            <w:r w:rsidRPr="00522B8B">
              <w:rPr>
                <w:b w:val="0"/>
              </w:rPr>
              <w:t>Styrene</w:t>
            </w:r>
          </w:p>
        </w:tc>
        <w:tc>
          <w:tcPr>
            <w:tcW w:w="595" w:type="pct"/>
            <w:shd w:val="clear" w:color="auto" w:fill="auto"/>
            <w:vAlign w:val="bottom"/>
          </w:tcPr>
          <w:p w14:paraId="008D5199" w14:textId="6400ED36" w:rsidR="00B36F28" w:rsidRPr="00522B8B" w:rsidRDefault="00B36F28" w:rsidP="009D4555">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522B8B">
              <w:t>100425</w:t>
            </w:r>
          </w:p>
        </w:tc>
        <w:tc>
          <w:tcPr>
            <w:tcW w:w="521" w:type="pct"/>
            <w:shd w:val="clear" w:color="auto" w:fill="auto"/>
            <w:vAlign w:val="bottom"/>
          </w:tcPr>
          <w:p w14:paraId="48800990" w14:textId="1449F97A" w:rsidR="00B36F28" w:rsidRPr="00F8021B" w:rsidRDefault="00B36F28" w:rsidP="009D4555">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p>
        </w:tc>
        <w:tc>
          <w:tcPr>
            <w:tcW w:w="521" w:type="pct"/>
            <w:shd w:val="clear" w:color="auto" w:fill="auto"/>
            <w:vAlign w:val="center"/>
          </w:tcPr>
          <w:p w14:paraId="72FBAEE1" w14:textId="7751B2EC" w:rsidR="00B36F28" w:rsidRPr="00F8021B" w:rsidRDefault="00B36F28" w:rsidP="009D4555">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p>
        </w:tc>
        <w:tc>
          <w:tcPr>
            <w:tcW w:w="614" w:type="pct"/>
            <w:shd w:val="clear" w:color="auto" w:fill="auto"/>
            <w:vAlign w:val="bottom"/>
          </w:tcPr>
          <w:p w14:paraId="3C70E3AD" w14:textId="16A061AD" w:rsidR="00B36F28" w:rsidRPr="00F8021B" w:rsidRDefault="00B36F28" w:rsidP="009D4555">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845E09">
              <w:t>0.1015</w:t>
            </w:r>
          </w:p>
        </w:tc>
        <w:tc>
          <w:tcPr>
            <w:tcW w:w="614" w:type="pct"/>
            <w:shd w:val="clear" w:color="auto" w:fill="auto"/>
            <w:vAlign w:val="center"/>
          </w:tcPr>
          <w:p w14:paraId="51DB39F1" w14:textId="21CFF18E" w:rsidR="00B36F28" w:rsidRPr="00F8021B" w:rsidRDefault="00B36F28" w:rsidP="00522B8B">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C64C1B">
              <w:rPr>
                <w:color w:val="000000"/>
                <w:szCs w:val="20"/>
              </w:rPr>
              <w:t>lbs./ton</w:t>
            </w:r>
          </w:p>
        </w:tc>
        <w:tc>
          <w:tcPr>
            <w:tcW w:w="830" w:type="pct"/>
            <w:shd w:val="clear" w:color="auto" w:fill="auto"/>
            <w:vAlign w:val="center"/>
          </w:tcPr>
          <w:p w14:paraId="624AA113" w14:textId="734E7D40" w:rsidR="00B36F28" w:rsidRPr="00F8021B" w:rsidRDefault="00B36F28" w:rsidP="00454160">
            <w:pPr>
              <w:widowControl/>
              <w:autoSpaceDE/>
              <w:autoSpaceDN/>
              <w:adjustRightInd/>
              <w:cnfStyle w:val="000000000000" w:firstRow="0" w:lastRow="0" w:firstColumn="0" w:lastColumn="0" w:oddVBand="0" w:evenVBand="0" w:oddHBand="0" w:evenHBand="0" w:firstRowFirstColumn="0" w:firstRowLastColumn="0" w:lastRowFirstColumn="0" w:lastRowLastColumn="0"/>
              <w:rPr>
                <w:color w:val="000000"/>
                <w:szCs w:val="20"/>
              </w:rPr>
            </w:pPr>
            <w:r w:rsidRPr="00DB71E9">
              <w:rPr>
                <w:color w:val="000000"/>
                <w:szCs w:val="20"/>
              </w:rPr>
              <w:t>Reference</w:t>
            </w:r>
            <w:r>
              <w:rPr>
                <w:color w:val="000000"/>
                <w:szCs w:val="20"/>
              </w:rPr>
              <w:t xml:space="preserve"> </w:t>
            </w:r>
            <w:r>
              <w:rPr>
                <w:color w:val="000000"/>
                <w:szCs w:val="20"/>
              </w:rPr>
              <w:fldChar w:fldCharType="begin"/>
            </w:r>
            <w:r>
              <w:rPr>
                <w:color w:val="000000"/>
                <w:szCs w:val="20"/>
              </w:rPr>
              <w:instrText xml:space="preserve"> NOTEREF _Ref478559170 \h  \* MERGEFORMAT </w:instrText>
            </w:r>
            <w:r>
              <w:rPr>
                <w:color w:val="000000"/>
                <w:szCs w:val="20"/>
              </w:rPr>
            </w:r>
            <w:r>
              <w:rPr>
                <w:color w:val="000000"/>
                <w:szCs w:val="20"/>
              </w:rPr>
              <w:fldChar w:fldCharType="separate"/>
            </w:r>
            <w:r>
              <w:rPr>
                <w:color w:val="000000"/>
                <w:szCs w:val="20"/>
              </w:rPr>
              <w:t>9</w:t>
            </w:r>
            <w:r>
              <w:rPr>
                <w:color w:val="000000"/>
                <w:szCs w:val="20"/>
              </w:rPr>
              <w:fldChar w:fldCharType="end"/>
            </w:r>
          </w:p>
        </w:tc>
      </w:tr>
    </w:tbl>
    <w:p w14:paraId="322DE783" w14:textId="77777777" w:rsidR="00573609" w:rsidRDefault="00573609" w:rsidP="009D4555"/>
    <w:p w14:paraId="6CB7F3DB" w14:textId="1669AB7A" w:rsidR="007762EB" w:rsidRDefault="007762EB" w:rsidP="007762EB">
      <w:pPr>
        <w:pStyle w:val="TableCaption"/>
      </w:pPr>
      <w:bookmarkStart w:id="18" w:name="_Ref478559409"/>
      <w:r>
        <w:t xml:space="preserve">Table </w:t>
      </w:r>
      <w:r w:rsidR="001946A7">
        <w:rPr>
          <w:noProof/>
        </w:rPr>
        <w:fldChar w:fldCharType="begin"/>
      </w:r>
      <w:r w:rsidR="001946A7">
        <w:rPr>
          <w:noProof/>
        </w:rPr>
        <w:instrText xml:space="preserve"> SEQ Table \* ARABIC </w:instrText>
      </w:r>
      <w:r w:rsidR="001946A7">
        <w:rPr>
          <w:noProof/>
        </w:rPr>
        <w:fldChar w:fldCharType="separate"/>
      </w:r>
      <w:r w:rsidR="00B36F28">
        <w:rPr>
          <w:noProof/>
        </w:rPr>
        <w:t>5</w:t>
      </w:r>
      <w:r w:rsidR="001946A7">
        <w:rPr>
          <w:noProof/>
        </w:rPr>
        <w:fldChar w:fldCharType="end"/>
      </w:r>
      <w:bookmarkEnd w:id="18"/>
      <w:r>
        <w:t>. Emissions Factors for Open Burning of Brush Species</w:t>
      </w:r>
    </w:p>
    <w:tbl>
      <w:tblPr>
        <w:tblStyle w:val="LightList"/>
        <w:tblW w:w="52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1190"/>
        <w:gridCol w:w="1041"/>
        <w:gridCol w:w="1041"/>
        <w:gridCol w:w="1276"/>
        <w:gridCol w:w="1228"/>
        <w:gridCol w:w="1660"/>
      </w:tblGrid>
      <w:tr w:rsidR="00573609" w:rsidRPr="00F8021B" w14:paraId="4EBEDCCD" w14:textId="77777777" w:rsidTr="00E36C4A">
        <w:trPr>
          <w:cnfStyle w:val="100000000000" w:firstRow="1" w:lastRow="0" w:firstColumn="0" w:lastColumn="0" w:oddVBand="0" w:evenVBand="0" w:oddHBand="0" w:evenHBand="0" w:firstRowFirstColumn="0" w:firstRowLastColumn="0" w:lastRowFirstColumn="0" w:lastRowLastColumn="0"/>
          <w:trHeight w:val="1020"/>
          <w:tblHeader/>
        </w:trPr>
        <w:tc>
          <w:tcPr>
            <w:cnfStyle w:val="001000000000" w:firstRow="0" w:lastRow="0" w:firstColumn="1" w:lastColumn="0" w:oddVBand="0" w:evenVBand="0" w:oddHBand="0" w:evenHBand="0" w:firstRowFirstColumn="0" w:firstRowLastColumn="0" w:lastRowFirstColumn="0" w:lastRowLastColumn="0"/>
            <w:tcW w:w="1299" w:type="pct"/>
            <w:shd w:val="clear" w:color="auto" w:fill="BFBFBF" w:themeFill="background1" w:themeFillShade="BF"/>
            <w:vAlign w:val="center"/>
            <w:hideMark/>
          </w:tcPr>
          <w:p w14:paraId="6BAA3128" w14:textId="77777777" w:rsidR="00573609" w:rsidRPr="00F8021B" w:rsidRDefault="00573609" w:rsidP="00FA3543">
            <w:pPr>
              <w:widowControl/>
              <w:autoSpaceDE/>
              <w:autoSpaceDN/>
              <w:adjustRightInd/>
              <w:jc w:val="center"/>
              <w:rPr>
                <w:color w:val="000000"/>
                <w:szCs w:val="20"/>
              </w:rPr>
            </w:pPr>
            <w:r w:rsidRPr="00F8021B">
              <w:rPr>
                <w:color w:val="000000"/>
                <w:szCs w:val="20"/>
              </w:rPr>
              <w:t>Pollutant</w:t>
            </w:r>
          </w:p>
        </w:tc>
        <w:tc>
          <w:tcPr>
            <w:tcW w:w="592" w:type="pct"/>
            <w:shd w:val="clear" w:color="auto" w:fill="BFBFBF" w:themeFill="background1" w:themeFillShade="BF"/>
            <w:vAlign w:val="center"/>
            <w:hideMark/>
          </w:tcPr>
          <w:p w14:paraId="7B2CB062" w14:textId="77777777" w:rsidR="00573609" w:rsidRPr="00F8021B" w:rsidRDefault="00573609" w:rsidP="00FA3543">
            <w:pPr>
              <w:widowControl/>
              <w:autoSpaceDE/>
              <w:autoSpaceDN/>
              <w:adjustRightInd/>
              <w:jc w:val="center"/>
              <w:cnfStyle w:val="100000000000" w:firstRow="1" w:lastRow="0" w:firstColumn="0" w:lastColumn="0" w:oddVBand="0" w:evenVBand="0" w:oddHBand="0" w:evenHBand="0" w:firstRowFirstColumn="0" w:firstRowLastColumn="0" w:lastRowFirstColumn="0" w:lastRowLastColumn="0"/>
              <w:rPr>
                <w:color w:val="000000"/>
                <w:szCs w:val="20"/>
              </w:rPr>
            </w:pPr>
            <w:r w:rsidRPr="00F8021B">
              <w:rPr>
                <w:color w:val="000000"/>
                <w:szCs w:val="20"/>
              </w:rPr>
              <w:t>Pollutant Code</w:t>
            </w:r>
          </w:p>
        </w:tc>
        <w:tc>
          <w:tcPr>
            <w:tcW w:w="518" w:type="pct"/>
            <w:shd w:val="clear" w:color="auto" w:fill="BFBFBF" w:themeFill="background1" w:themeFillShade="BF"/>
            <w:vAlign w:val="center"/>
            <w:hideMark/>
          </w:tcPr>
          <w:p w14:paraId="7C778C2B" w14:textId="77777777" w:rsidR="00573609" w:rsidRPr="00F8021B" w:rsidRDefault="00573609" w:rsidP="00FA3543">
            <w:pPr>
              <w:widowControl/>
              <w:autoSpaceDE/>
              <w:autoSpaceDN/>
              <w:adjustRightInd/>
              <w:jc w:val="center"/>
              <w:cnfStyle w:val="100000000000" w:firstRow="1" w:lastRow="0" w:firstColumn="0" w:lastColumn="0" w:oddVBand="0" w:evenVBand="0" w:oddHBand="0" w:evenHBand="0" w:firstRowFirstColumn="0" w:firstRowLastColumn="0" w:lastRowFirstColumn="0" w:lastRowLastColumn="0"/>
              <w:rPr>
                <w:color w:val="000000"/>
                <w:szCs w:val="20"/>
              </w:rPr>
            </w:pPr>
            <w:r w:rsidRPr="00F8021B">
              <w:rPr>
                <w:color w:val="000000"/>
                <w:szCs w:val="20"/>
              </w:rPr>
              <w:t>Emission Factor (original)</w:t>
            </w:r>
          </w:p>
        </w:tc>
        <w:tc>
          <w:tcPr>
            <w:tcW w:w="518" w:type="pct"/>
            <w:shd w:val="clear" w:color="auto" w:fill="BFBFBF" w:themeFill="background1" w:themeFillShade="BF"/>
            <w:vAlign w:val="center"/>
            <w:hideMark/>
          </w:tcPr>
          <w:p w14:paraId="11495578" w14:textId="77777777" w:rsidR="00573609" w:rsidRPr="00F8021B" w:rsidRDefault="00573609" w:rsidP="00FA3543">
            <w:pPr>
              <w:widowControl/>
              <w:autoSpaceDE/>
              <w:autoSpaceDN/>
              <w:adjustRightInd/>
              <w:jc w:val="center"/>
              <w:cnfStyle w:val="100000000000" w:firstRow="1" w:lastRow="0" w:firstColumn="0" w:lastColumn="0" w:oddVBand="0" w:evenVBand="0" w:oddHBand="0" w:evenHBand="0" w:firstRowFirstColumn="0" w:firstRowLastColumn="0" w:lastRowFirstColumn="0" w:lastRowLastColumn="0"/>
              <w:rPr>
                <w:color w:val="000000"/>
                <w:szCs w:val="20"/>
              </w:rPr>
            </w:pPr>
            <w:r w:rsidRPr="00F8021B">
              <w:rPr>
                <w:color w:val="000000"/>
                <w:szCs w:val="20"/>
              </w:rPr>
              <w:t>Emission Factor Units (original)</w:t>
            </w:r>
          </w:p>
        </w:tc>
        <w:tc>
          <w:tcPr>
            <w:tcW w:w="635" w:type="pct"/>
            <w:shd w:val="clear" w:color="auto" w:fill="BFBFBF" w:themeFill="background1" w:themeFillShade="BF"/>
            <w:vAlign w:val="center"/>
            <w:hideMark/>
          </w:tcPr>
          <w:p w14:paraId="45609C35" w14:textId="77777777" w:rsidR="00573609" w:rsidRPr="00F8021B" w:rsidRDefault="00573609" w:rsidP="00FA3543">
            <w:pPr>
              <w:widowControl/>
              <w:autoSpaceDE/>
              <w:autoSpaceDN/>
              <w:adjustRightInd/>
              <w:jc w:val="center"/>
              <w:cnfStyle w:val="100000000000" w:firstRow="1" w:lastRow="0" w:firstColumn="0" w:lastColumn="0" w:oddVBand="0" w:evenVBand="0" w:oddHBand="0" w:evenHBand="0" w:firstRowFirstColumn="0" w:firstRowLastColumn="0" w:lastRowFirstColumn="0" w:lastRowLastColumn="0"/>
              <w:rPr>
                <w:color w:val="000000"/>
                <w:szCs w:val="20"/>
              </w:rPr>
            </w:pPr>
            <w:r w:rsidRPr="00F8021B">
              <w:rPr>
                <w:color w:val="000000"/>
                <w:szCs w:val="20"/>
              </w:rPr>
              <w:t>Emission Factor (converted)</w:t>
            </w:r>
          </w:p>
        </w:tc>
        <w:tc>
          <w:tcPr>
            <w:tcW w:w="611" w:type="pct"/>
            <w:shd w:val="clear" w:color="auto" w:fill="BFBFBF" w:themeFill="background1" w:themeFillShade="BF"/>
            <w:vAlign w:val="center"/>
            <w:hideMark/>
          </w:tcPr>
          <w:p w14:paraId="26557F43" w14:textId="77777777" w:rsidR="00573609" w:rsidRPr="00F8021B" w:rsidRDefault="00573609" w:rsidP="00FA3543">
            <w:pPr>
              <w:widowControl/>
              <w:autoSpaceDE/>
              <w:autoSpaceDN/>
              <w:adjustRightInd/>
              <w:jc w:val="center"/>
              <w:cnfStyle w:val="100000000000" w:firstRow="1" w:lastRow="0" w:firstColumn="0" w:lastColumn="0" w:oddVBand="0" w:evenVBand="0" w:oddHBand="0" w:evenHBand="0" w:firstRowFirstColumn="0" w:firstRowLastColumn="0" w:lastRowFirstColumn="0" w:lastRowLastColumn="0"/>
              <w:rPr>
                <w:color w:val="000000"/>
                <w:szCs w:val="20"/>
              </w:rPr>
            </w:pPr>
            <w:r w:rsidRPr="00F8021B">
              <w:rPr>
                <w:color w:val="000000"/>
                <w:szCs w:val="20"/>
              </w:rPr>
              <w:t>Emission Factor Units (converted)</w:t>
            </w:r>
          </w:p>
        </w:tc>
        <w:tc>
          <w:tcPr>
            <w:tcW w:w="826" w:type="pct"/>
            <w:shd w:val="clear" w:color="auto" w:fill="BFBFBF" w:themeFill="background1" w:themeFillShade="BF"/>
            <w:vAlign w:val="center"/>
            <w:hideMark/>
          </w:tcPr>
          <w:p w14:paraId="38FFF74B" w14:textId="77777777" w:rsidR="00573609" w:rsidRPr="00F8021B" w:rsidRDefault="00573609" w:rsidP="00FA3543">
            <w:pPr>
              <w:widowControl/>
              <w:autoSpaceDE/>
              <w:autoSpaceDN/>
              <w:adjustRightInd/>
              <w:jc w:val="center"/>
              <w:cnfStyle w:val="100000000000" w:firstRow="1" w:lastRow="0" w:firstColumn="0" w:lastColumn="0" w:oddVBand="0" w:evenVBand="0" w:oddHBand="0" w:evenHBand="0" w:firstRowFirstColumn="0" w:firstRowLastColumn="0" w:lastRowFirstColumn="0" w:lastRowLastColumn="0"/>
              <w:rPr>
                <w:color w:val="000000"/>
                <w:szCs w:val="20"/>
              </w:rPr>
            </w:pPr>
            <w:r w:rsidRPr="00F8021B">
              <w:rPr>
                <w:color w:val="000000"/>
                <w:szCs w:val="20"/>
              </w:rPr>
              <w:t>Reference &amp; Table No.</w:t>
            </w:r>
          </w:p>
        </w:tc>
      </w:tr>
      <w:tr w:rsidR="00E36C4A" w:rsidRPr="00F8021B" w14:paraId="44D9D15A" w14:textId="77777777" w:rsidTr="00E36C4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99" w:type="pct"/>
            <w:shd w:val="clear" w:color="auto" w:fill="auto"/>
            <w:vAlign w:val="center"/>
          </w:tcPr>
          <w:p w14:paraId="0B29752D" w14:textId="665EA3B1" w:rsidR="00E36C4A" w:rsidRPr="006434AF" w:rsidRDefault="00E36C4A" w:rsidP="00454160">
            <w:pPr>
              <w:widowControl/>
              <w:autoSpaceDE/>
              <w:autoSpaceDN/>
              <w:adjustRightInd/>
              <w:jc w:val="center"/>
              <w:rPr>
                <w:b w:val="0"/>
                <w:color w:val="000000"/>
                <w:szCs w:val="20"/>
              </w:rPr>
            </w:pPr>
            <w:r w:rsidRPr="006434AF">
              <w:rPr>
                <w:b w:val="0"/>
              </w:rPr>
              <w:t>CO</w:t>
            </w:r>
          </w:p>
        </w:tc>
        <w:tc>
          <w:tcPr>
            <w:tcW w:w="592" w:type="pct"/>
            <w:shd w:val="clear" w:color="auto" w:fill="auto"/>
            <w:vAlign w:val="center"/>
          </w:tcPr>
          <w:p w14:paraId="5080E483" w14:textId="4A4F83A5" w:rsidR="00E36C4A" w:rsidRPr="00522B8B" w:rsidRDefault="00E36C4A" w:rsidP="00454160">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1C2A97">
              <w:t>CO</w:t>
            </w:r>
          </w:p>
        </w:tc>
        <w:tc>
          <w:tcPr>
            <w:tcW w:w="518" w:type="pct"/>
            <w:shd w:val="clear" w:color="auto" w:fill="auto"/>
            <w:vAlign w:val="center"/>
          </w:tcPr>
          <w:p w14:paraId="7BCB5306" w14:textId="4141B769" w:rsidR="00E36C4A" w:rsidRPr="00F8021B" w:rsidRDefault="00E36C4A" w:rsidP="00454160">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1C2A97">
              <w:t>140</w:t>
            </w:r>
          </w:p>
        </w:tc>
        <w:tc>
          <w:tcPr>
            <w:tcW w:w="518" w:type="pct"/>
            <w:shd w:val="clear" w:color="auto" w:fill="auto"/>
            <w:vAlign w:val="center"/>
          </w:tcPr>
          <w:p w14:paraId="423CFA6D" w14:textId="11260752" w:rsidR="00E36C4A" w:rsidRPr="00F8021B" w:rsidRDefault="00E36C4A" w:rsidP="00454160">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625009">
              <w:rPr>
                <w:color w:val="000000"/>
                <w:szCs w:val="20"/>
              </w:rPr>
              <w:t>lbs./ton</w:t>
            </w:r>
          </w:p>
        </w:tc>
        <w:tc>
          <w:tcPr>
            <w:tcW w:w="635" w:type="pct"/>
            <w:shd w:val="clear" w:color="auto" w:fill="auto"/>
          </w:tcPr>
          <w:p w14:paraId="385FFAFE" w14:textId="77B09E22" w:rsidR="00E36C4A" w:rsidRPr="00F8021B" w:rsidRDefault="00E36C4A" w:rsidP="00454160">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6D43FA">
              <w:rPr>
                <w:color w:val="000000"/>
                <w:szCs w:val="20"/>
              </w:rPr>
              <w:t>--</w:t>
            </w:r>
          </w:p>
        </w:tc>
        <w:tc>
          <w:tcPr>
            <w:tcW w:w="611" w:type="pct"/>
            <w:shd w:val="clear" w:color="auto" w:fill="auto"/>
          </w:tcPr>
          <w:p w14:paraId="552CC27B" w14:textId="3CA19696" w:rsidR="00E36C4A" w:rsidRPr="00F8021B" w:rsidRDefault="00E36C4A" w:rsidP="00454160">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6D43FA">
              <w:rPr>
                <w:color w:val="000000"/>
                <w:szCs w:val="20"/>
              </w:rPr>
              <w:t>--</w:t>
            </w:r>
          </w:p>
        </w:tc>
        <w:tc>
          <w:tcPr>
            <w:tcW w:w="826" w:type="pct"/>
            <w:shd w:val="clear" w:color="auto" w:fill="auto"/>
            <w:vAlign w:val="center"/>
          </w:tcPr>
          <w:p w14:paraId="312DCB37" w14:textId="78F049E7" w:rsidR="00E36C4A" w:rsidRPr="00F8021B" w:rsidRDefault="00E36C4A" w:rsidP="00FA3543">
            <w:pPr>
              <w:widowControl/>
              <w:autoSpaceDE/>
              <w:autoSpaceDN/>
              <w:adjustRightInd/>
              <w:cnfStyle w:val="000000100000" w:firstRow="0" w:lastRow="0" w:firstColumn="0" w:lastColumn="0" w:oddVBand="0" w:evenVBand="0" w:oddHBand="1" w:evenHBand="0" w:firstRowFirstColumn="0" w:firstRowLastColumn="0" w:lastRowFirstColumn="0" w:lastRowLastColumn="0"/>
              <w:rPr>
                <w:color w:val="000000"/>
                <w:szCs w:val="20"/>
              </w:rPr>
            </w:pPr>
            <w:r w:rsidRPr="00AD0162">
              <w:rPr>
                <w:color w:val="000000"/>
                <w:szCs w:val="20"/>
              </w:rPr>
              <w:t>Reference</w:t>
            </w:r>
            <w:r>
              <w:rPr>
                <w:color w:val="000000"/>
                <w:szCs w:val="20"/>
              </w:rPr>
              <w:t xml:space="preserve"> </w:t>
            </w:r>
            <w:r>
              <w:rPr>
                <w:color w:val="000000"/>
                <w:szCs w:val="20"/>
              </w:rPr>
              <w:fldChar w:fldCharType="begin"/>
            </w:r>
            <w:r>
              <w:rPr>
                <w:color w:val="000000"/>
                <w:szCs w:val="20"/>
              </w:rPr>
              <w:instrText xml:space="preserve"> NOTEREF _Ref478652832 \h  \* MERGEFORMAT </w:instrText>
            </w:r>
            <w:r>
              <w:rPr>
                <w:color w:val="000000"/>
                <w:szCs w:val="20"/>
              </w:rPr>
            </w:r>
            <w:r>
              <w:rPr>
                <w:color w:val="000000"/>
                <w:szCs w:val="20"/>
              </w:rPr>
              <w:fldChar w:fldCharType="separate"/>
            </w:r>
            <w:r>
              <w:rPr>
                <w:color w:val="000000"/>
                <w:szCs w:val="20"/>
              </w:rPr>
              <w:t>7</w:t>
            </w:r>
            <w:r>
              <w:rPr>
                <w:color w:val="000000"/>
                <w:szCs w:val="20"/>
              </w:rPr>
              <w:fldChar w:fldCharType="end"/>
            </w:r>
            <w:r>
              <w:rPr>
                <w:color w:val="000000"/>
                <w:szCs w:val="20"/>
              </w:rPr>
              <w:t>, Table 2.5-5</w:t>
            </w:r>
          </w:p>
        </w:tc>
      </w:tr>
      <w:tr w:rsidR="00E36C4A" w:rsidRPr="00F8021B" w14:paraId="3B72F747" w14:textId="77777777" w:rsidTr="00E36C4A">
        <w:trPr>
          <w:trHeight w:val="20"/>
        </w:trPr>
        <w:tc>
          <w:tcPr>
            <w:cnfStyle w:val="001000000000" w:firstRow="0" w:lastRow="0" w:firstColumn="1" w:lastColumn="0" w:oddVBand="0" w:evenVBand="0" w:oddHBand="0" w:evenHBand="0" w:firstRowFirstColumn="0" w:firstRowLastColumn="0" w:lastRowFirstColumn="0" w:lastRowLastColumn="0"/>
            <w:tcW w:w="1299" w:type="pct"/>
            <w:shd w:val="clear" w:color="auto" w:fill="auto"/>
          </w:tcPr>
          <w:p w14:paraId="037837C6" w14:textId="57BABC27" w:rsidR="00E36C4A" w:rsidRPr="006434AF" w:rsidRDefault="00E36C4A" w:rsidP="00FA3543">
            <w:pPr>
              <w:widowControl/>
              <w:autoSpaceDE/>
              <w:autoSpaceDN/>
              <w:adjustRightInd/>
              <w:jc w:val="center"/>
              <w:rPr>
                <w:b w:val="0"/>
                <w:color w:val="000000"/>
                <w:szCs w:val="20"/>
              </w:rPr>
            </w:pPr>
            <w:r w:rsidRPr="006434AF">
              <w:rPr>
                <w:b w:val="0"/>
              </w:rPr>
              <w:t>Nitrogen Oxides</w:t>
            </w:r>
          </w:p>
        </w:tc>
        <w:tc>
          <w:tcPr>
            <w:tcW w:w="592" w:type="pct"/>
            <w:shd w:val="clear" w:color="auto" w:fill="auto"/>
            <w:vAlign w:val="bottom"/>
          </w:tcPr>
          <w:p w14:paraId="36006772" w14:textId="677A3D36" w:rsidR="00E36C4A" w:rsidRPr="00522B8B" w:rsidRDefault="00E36C4A" w:rsidP="00FA354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smartTag w:uri="urn:schemas-microsoft-com:office:smarttags" w:element="stockticker">
              <w:r w:rsidRPr="001C2A97">
                <w:t>NOX</w:t>
              </w:r>
            </w:smartTag>
          </w:p>
        </w:tc>
        <w:tc>
          <w:tcPr>
            <w:tcW w:w="518" w:type="pct"/>
            <w:shd w:val="clear" w:color="auto" w:fill="auto"/>
            <w:vAlign w:val="bottom"/>
          </w:tcPr>
          <w:p w14:paraId="488D42F3" w14:textId="6DCA92D6" w:rsidR="00E36C4A" w:rsidRPr="00F8021B" w:rsidRDefault="00E36C4A" w:rsidP="00FA354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1C2A97">
              <w:t>5</w:t>
            </w:r>
          </w:p>
        </w:tc>
        <w:tc>
          <w:tcPr>
            <w:tcW w:w="518" w:type="pct"/>
            <w:shd w:val="clear" w:color="auto" w:fill="auto"/>
          </w:tcPr>
          <w:p w14:paraId="6E4E4981" w14:textId="57B109E8" w:rsidR="00E36C4A" w:rsidRPr="00F8021B" w:rsidRDefault="00E36C4A" w:rsidP="00FA354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625009">
              <w:rPr>
                <w:color w:val="000000"/>
                <w:szCs w:val="20"/>
              </w:rPr>
              <w:t>lbs./ton</w:t>
            </w:r>
          </w:p>
        </w:tc>
        <w:tc>
          <w:tcPr>
            <w:tcW w:w="635" w:type="pct"/>
            <w:shd w:val="clear" w:color="auto" w:fill="auto"/>
          </w:tcPr>
          <w:p w14:paraId="4C66C2EA" w14:textId="4DAF6C7F" w:rsidR="00E36C4A" w:rsidRPr="00F8021B" w:rsidRDefault="00E36C4A" w:rsidP="00FA354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6D43FA">
              <w:rPr>
                <w:color w:val="000000"/>
                <w:szCs w:val="20"/>
              </w:rPr>
              <w:t>--</w:t>
            </w:r>
          </w:p>
        </w:tc>
        <w:tc>
          <w:tcPr>
            <w:tcW w:w="611" w:type="pct"/>
            <w:shd w:val="clear" w:color="auto" w:fill="auto"/>
          </w:tcPr>
          <w:p w14:paraId="1D5057D0" w14:textId="1E1AD674" w:rsidR="00E36C4A" w:rsidRPr="00F8021B" w:rsidRDefault="00E36C4A" w:rsidP="00FA354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6D43FA">
              <w:rPr>
                <w:color w:val="000000"/>
                <w:szCs w:val="20"/>
              </w:rPr>
              <w:t>--</w:t>
            </w:r>
          </w:p>
        </w:tc>
        <w:tc>
          <w:tcPr>
            <w:tcW w:w="826" w:type="pct"/>
            <w:shd w:val="clear" w:color="auto" w:fill="auto"/>
          </w:tcPr>
          <w:p w14:paraId="2E458102" w14:textId="3ABBF8AD" w:rsidR="00E36C4A" w:rsidRPr="00F8021B" w:rsidRDefault="00E36C4A" w:rsidP="004B7AFE">
            <w:pPr>
              <w:widowControl/>
              <w:autoSpaceDE/>
              <w:autoSpaceDN/>
              <w:adjustRightInd/>
              <w:cnfStyle w:val="000000000000" w:firstRow="0" w:lastRow="0" w:firstColumn="0" w:lastColumn="0" w:oddVBand="0" w:evenVBand="0" w:oddHBand="0" w:evenHBand="0" w:firstRowFirstColumn="0" w:firstRowLastColumn="0" w:lastRowFirstColumn="0" w:lastRowLastColumn="0"/>
              <w:rPr>
                <w:color w:val="000000"/>
                <w:szCs w:val="20"/>
              </w:rPr>
            </w:pPr>
            <w:r w:rsidRPr="001C2A97">
              <w:t xml:space="preserve">Reference </w:t>
            </w:r>
          </w:p>
        </w:tc>
      </w:tr>
      <w:tr w:rsidR="00E36C4A" w:rsidRPr="00F8021B" w14:paraId="3EBF12E8" w14:textId="77777777" w:rsidTr="00E36C4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99" w:type="pct"/>
            <w:shd w:val="clear" w:color="auto" w:fill="auto"/>
          </w:tcPr>
          <w:p w14:paraId="1406EC46" w14:textId="31D111DD" w:rsidR="00E36C4A" w:rsidRPr="006434AF" w:rsidRDefault="00E36C4A" w:rsidP="00FA3543">
            <w:pPr>
              <w:widowControl/>
              <w:autoSpaceDE/>
              <w:autoSpaceDN/>
              <w:adjustRightInd/>
              <w:jc w:val="center"/>
              <w:rPr>
                <w:b w:val="0"/>
                <w:color w:val="000000"/>
                <w:szCs w:val="20"/>
              </w:rPr>
            </w:pPr>
            <w:r w:rsidRPr="006434AF">
              <w:rPr>
                <w:b w:val="0"/>
              </w:rPr>
              <w:t>PM10-PRI</w:t>
            </w:r>
          </w:p>
        </w:tc>
        <w:tc>
          <w:tcPr>
            <w:tcW w:w="592" w:type="pct"/>
            <w:shd w:val="clear" w:color="auto" w:fill="auto"/>
            <w:vAlign w:val="bottom"/>
          </w:tcPr>
          <w:p w14:paraId="68A3004F" w14:textId="578B2C83" w:rsidR="00E36C4A" w:rsidRPr="00522B8B" w:rsidRDefault="00E36C4A" w:rsidP="00FA3543">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1C2A97">
              <w:t>PM10-PRI</w:t>
            </w:r>
          </w:p>
        </w:tc>
        <w:tc>
          <w:tcPr>
            <w:tcW w:w="518" w:type="pct"/>
            <w:shd w:val="clear" w:color="auto" w:fill="auto"/>
            <w:vAlign w:val="bottom"/>
          </w:tcPr>
          <w:p w14:paraId="504FD075" w14:textId="3DD5E73E" w:rsidR="00E36C4A" w:rsidRPr="00F8021B" w:rsidRDefault="00E36C4A" w:rsidP="00FA3543">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17</w:t>
            </w:r>
          </w:p>
        </w:tc>
        <w:tc>
          <w:tcPr>
            <w:tcW w:w="518" w:type="pct"/>
            <w:shd w:val="clear" w:color="auto" w:fill="auto"/>
          </w:tcPr>
          <w:p w14:paraId="20FCF8B7" w14:textId="0BB38334" w:rsidR="00E36C4A" w:rsidRPr="00F8021B" w:rsidRDefault="00E36C4A" w:rsidP="00FA3543">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625009">
              <w:rPr>
                <w:color w:val="000000"/>
                <w:szCs w:val="20"/>
              </w:rPr>
              <w:t>lbs./ton</w:t>
            </w:r>
          </w:p>
        </w:tc>
        <w:tc>
          <w:tcPr>
            <w:tcW w:w="635" w:type="pct"/>
            <w:shd w:val="clear" w:color="auto" w:fill="auto"/>
          </w:tcPr>
          <w:p w14:paraId="23DE40A6" w14:textId="5DE21E6C" w:rsidR="00E36C4A" w:rsidRPr="00F8021B" w:rsidRDefault="00E36C4A" w:rsidP="00FA3543">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6D43FA">
              <w:rPr>
                <w:color w:val="000000"/>
                <w:szCs w:val="20"/>
              </w:rPr>
              <w:t>--</w:t>
            </w:r>
          </w:p>
        </w:tc>
        <w:tc>
          <w:tcPr>
            <w:tcW w:w="611" w:type="pct"/>
            <w:shd w:val="clear" w:color="auto" w:fill="auto"/>
          </w:tcPr>
          <w:p w14:paraId="2062F4AD" w14:textId="06A1F171" w:rsidR="00E36C4A" w:rsidRPr="00F8021B" w:rsidRDefault="00E36C4A" w:rsidP="00FA3543">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6D43FA">
              <w:rPr>
                <w:color w:val="000000"/>
                <w:szCs w:val="20"/>
              </w:rPr>
              <w:t>--</w:t>
            </w:r>
          </w:p>
        </w:tc>
        <w:tc>
          <w:tcPr>
            <w:tcW w:w="826" w:type="pct"/>
            <w:shd w:val="clear" w:color="auto" w:fill="auto"/>
          </w:tcPr>
          <w:p w14:paraId="0F51588F" w14:textId="37D7CDF8" w:rsidR="00E36C4A" w:rsidRPr="00F8021B" w:rsidRDefault="00E36C4A" w:rsidP="00FA3543">
            <w:pPr>
              <w:widowControl/>
              <w:autoSpaceDE/>
              <w:autoSpaceDN/>
              <w:adjustRightInd/>
              <w:cnfStyle w:val="000000100000" w:firstRow="0" w:lastRow="0" w:firstColumn="0" w:lastColumn="0" w:oddVBand="0" w:evenVBand="0" w:oddHBand="1" w:evenHBand="0" w:firstRowFirstColumn="0" w:firstRowLastColumn="0" w:lastRowFirstColumn="0" w:lastRowLastColumn="0"/>
              <w:rPr>
                <w:color w:val="000000"/>
                <w:szCs w:val="20"/>
              </w:rPr>
            </w:pPr>
            <w:r w:rsidRPr="001C2A97">
              <w:t xml:space="preserve">Reference </w:t>
            </w:r>
            <w:r>
              <w:fldChar w:fldCharType="begin"/>
            </w:r>
            <w:r>
              <w:instrText xml:space="preserve"> NOTEREF _Ref478479650 \h  \* MERGEFORMAT </w:instrText>
            </w:r>
            <w:r>
              <w:fldChar w:fldCharType="separate"/>
            </w:r>
            <w:r>
              <w:t>8</w:t>
            </w:r>
            <w:r>
              <w:fldChar w:fldCharType="end"/>
            </w:r>
          </w:p>
        </w:tc>
      </w:tr>
      <w:tr w:rsidR="00E36C4A" w:rsidRPr="00F8021B" w14:paraId="4F3ECCB6" w14:textId="77777777" w:rsidTr="00E36C4A">
        <w:trPr>
          <w:trHeight w:val="20"/>
        </w:trPr>
        <w:tc>
          <w:tcPr>
            <w:cnfStyle w:val="001000000000" w:firstRow="0" w:lastRow="0" w:firstColumn="1" w:lastColumn="0" w:oddVBand="0" w:evenVBand="0" w:oddHBand="0" w:evenHBand="0" w:firstRowFirstColumn="0" w:firstRowLastColumn="0" w:lastRowFirstColumn="0" w:lastRowLastColumn="0"/>
            <w:tcW w:w="1299" w:type="pct"/>
            <w:shd w:val="clear" w:color="auto" w:fill="auto"/>
          </w:tcPr>
          <w:p w14:paraId="6400A190" w14:textId="3CA72221" w:rsidR="00E36C4A" w:rsidRPr="006434AF" w:rsidRDefault="00E36C4A" w:rsidP="00FA3543">
            <w:pPr>
              <w:widowControl/>
              <w:autoSpaceDE/>
              <w:autoSpaceDN/>
              <w:adjustRightInd/>
              <w:jc w:val="center"/>
              <w:rPr>
                <w:b w:val="0"/>
                <w:color w:val="000000"/>
                <w:szCs w:val="20"/>
              </w:rPr>
            </w:pPr>
            <w:r w:rsidRPr="006434AF">
              <w:rPr>
                <w:b w:val="0"/>
              </w:rPr>
              <w:t>PM10-FIL</w:t>
            </w:r>
          </w:p>
        </w:tc>
        <w:tc>
          <w:tcPr>
            <w:tcW w:w="592" w:type="pct"/>
            <w:shd w:val="clear" w:color="auto" w:fill="auto"/>
            <w:vAlign w:val="bottom"/>
          </w:tcPr>
          <w:p w14:paraId="0742F98B" w14:textId="11378D03" w:rsidR="00E36C4A" w:rsidRPr="00522B8B" w:rsidRDefault="00E36C4A" w:rsidP="00FA354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1C2A97">
              <w:t>PM10-FIL</w:t>
            </w:r>
          </w:p>
        </w:tc>
        <w:tc>
          <w:tcPr>
            <w:tcW w:w="518" w:type="pct"/>
            <w:shd w:val="clear" w:color="auto" w:fill="auto"/>
            <w:vAlign w:val="bottom"/>
          </w:tcPr>
          <w:p w14:paraId="2F6BF003" w14:textId="00BD1E5D" w:rsidR="00E36C4A" w:rsidRPr="00F8021B" w:rsidRDefault="00E36C4A" w:rsidP="00FA354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17</w:t>
            </w:r>
          </w:p>
        </w:tc>
        <w:tc>
          <w:tcPr>
            <w:tcW w:w="518" w:type="pct"/>
            <w:shd w:val="clear" w:color="auto" w:fill="auto"/>
          </w:tcPr>
          <w:p w14:paraId="5AE36480" w14:textId="7242794C" w:rsidR="00E36C4A" w:rsidRPr="00F8021B" w:rsidRDefault="00E36C4A" w:rsidP="00FA354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625009">
              <w:rPr>
                <w:color w:val="000000"/>
                <w:szCs w:val="20"/>
              </w:rPr>
              <w:t>lbs./ton</w:t>
            </w:r>
          </w:p>
        </w:tc>
        <w:tc>
          <w:tcPr>
            <w:tcW w:w="635" w:type="pct"/>
            <w:shd w:val="clear" w:color="auto" w:fill="auto"/>
          </w:tcPr>
          <w:p w14:paraId="6093724B" w14:textId="46B610B7" w:rsidR="00E36C4A" w:rsidRPr="00F8021B" w:rsidRDefault="00E36C4A" w:rsidP="00FA354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6D43FA">
              <w:rPr>
                <w:color w:val="000000"/>
                <w:szCs w:val="20"/>
              </w:rPr>
              <w:t>--</w:t>
            </w:r>
          </w:p>
        </w:tc>
        <w:tc>
          <w:tcPr>
            <w:tcW w:w="611" w:type="pct"/>
            <w:shd w:val="clear" w:color="auto" w:fill="auto"/>
          </w:tcPr>
          <w:p w14:paraId="13948163" w14:textId="0DB8329A" w:rsidR="00E36C4A" w:rsidRPr="00F8021B" w:rsidRDefault="00E36C4A" w:rsidP="00FA354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6D43FA">
              <w:rPr>
                <w:color w:val="000000"/>
                <w:szCs w:val="20"/>
              </w:rPr>
              <w:t>--</w:t>
            </w:r>
          </w:p>
        </w:tc>
        <w:tc>
          <w:tcPr>
            <w:tcW w:w="826" w:type="pct"/>
            <w:shd w:val="clear" w:color="auto" w:fill="auto"/>
          </w:tcPr>
          <w:p w14:paraId="43347A26" w14:textId="6D058014" w:rsidR="00E36C4A" w:rsidRPr="00F8021B" w:rsidRDefault="00E36C4A" w:rsidP="00FA3543">
            <w:pPr>
              <w:widowControl/>
              <w:autoSpaceDE/>
              <w:autoSpaceDN/>
              <w:adjustRightInd/>
              <w:cnfStyle w:val="000000000000" w:firstRow="0" w:lastRow="0" w:firstColumn="0" w:lastColumn="0" w:oddVBand="0" w:evenVBand="0" w:oddHBand="0" w:evenHBand="0" w:firstRowFirstColumn="0" w:firstRowLastColumn="0" w:lastRowFirstColumn="0" w:lastRowLastColumn="0"/>
              <w:rPr>
                <w:color w:val="000000"/>
                <w:szCs w:val="20"/>
              </w:rPr>
            </w:pPr>
            <w:r w:rsidRPr="001C2A97">
              <w:t xml:space="preserve">Reference </w:t>
            </w:r>
            <w:r>
              <w:fldChar w:fldCharType="begin"/>
            </w:r>
            <w:r>
              <w:instrText xml:space="preserve"> NOTEREF _Ref478479650 \h  \* MERGEFORMAT </w:instrText>
            </w:r>
            <w:r>
              <w:fldChar w:fldCharType="separate"/>
            </w:r>
            <w:r>
              <w:t>8</w:t>
            </w:r>
            <w:r>
              <w:fldChar w:fldCharType="end"/>
            </w:r>
          </w:p>
        </w:tc>
      </w:tr>
      <w:tr w:rsidR="00E36C4A" w:rsidRPr="00F8021B" w14:paraId="32D08741" w14:textId="77777777" w:rsidTr="00E36C4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99" w:type="pct"/>
            <w:shd w:val="clear" w:color="auto" w:fill="auto"/>
          </w:tcPr>
          <w:p w14:paraId="73413166" w14:textId="72D51378" w:rsidR="00E36C4A" w:rsidRPr="006434AF" w:rsidRDefault="00E36C4A" w:rsidP="00FA3543">
            <w:pPr>
              <w:widowControl/>
              <w:autoSpaceDE/>
              <w:autoSpaceDN/>
              <w:adjustRightInd/>
              <w:jc w:val="center"/>
              <w:rPr>
                <w:b w:val="0"/>
                <w:color w:val="000000"/>
                <w:szCs w:val="20"/>
              </w:rPr>
            </w:pPr>
            <w:r w:rsidRPr="006434AF">
              <w:rPr>
                <w:b w:val="0"/>
              </w:rPr>
              <w:t>PM25-PRI</w:t>
            </w:r>
          </w:p>
        </w:tc>
        <w:tc>
          <w:tcPr>
            <w:tcW w:w="592" w:type="pct"/>
            <w:shd w:val="clear" w:color="auto" w:fill="auto"/>
            <w:vAlign w:val="bottom"/>
          </w:tcPr>
          <w:p w14:paraId="27110FBD" w14:textId="1B296364" w:rsidR="00E36C4A" w:rsidRPr="00522B8B" w:rsidRDefault="00E36C4A" w:rsidP="00FA3543">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1C2A97">
              <w:t>PM25-PRI</w:t>
            </w:r>
          </w:p>
        </w:tc>
        <w:tc>
          <w:tcPr>
            <w:tcW w:w="518" w:type="pct"/>
            <w:shd w:val="clear" w:color="auto" w:fill="auto"/>
          </w:tcPr>
          <w:p w14:paraId="54959EE6" w14:textId="7B345C8E" w:rsidR="00E36C4A" w:rsidRPr="00F8021B" w:rsidRDefault="00E36C4A" w:rsidP="00FA3543">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t>13.1</w:t>
            </w:r>
          </w:p>
        </w:tc>
        <w:tc>
          <w:tcPr>
            <w:tcW w:w="518" w:type="pct"/>
            <w:shd w:val="clear" w:color="auto" w:fill="auto"/>
          </w:tcPr>
          <w:p w14:paraId="0AFDC436" w14:textId="22CFBA3C" w:rsidR="00E36C4A" w:rsidRPr="00F8021B" w:rsidRDefault="00E36C4A" w:rsidP="00FA3543">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625009">
              <w:rPr>
                <w:color w:val="000000"/>
                <w:szCs w:val="20"/>
              </w:rPr>
              <w:t>lbs./ton</w:t>
            </w:r>
          </w:p>
        </w:tc>
        <w:tc>
          <w:tcPr>
            <w:tcW w:w="635" w:type="pct"/>
            <w:shd w:val="clear" w:color="auto" w:fill="auto"/>
          </w:tcPr>
          <w:p w14:paraId="445CF940" w14:textId="51AC2382" w:rsidR="00E36C4A" w:rsidRPr="00F8021B" w:rsidRDefault="00E36C4A" w:rsidP="00FA3543">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6D43FA">
              <w:rPr>
                <w:color w:val="000000"/>
                <w:szCs w:val="20"/>
              </w:rPr>
              <w:t>--</w:t>
            </w:r>
          </w:p>
        </w:tc>
        <w:tc>
          <w:tcPr>
            <w:tcW w:w="611" w:type="pct"/>
            <w:shd w:val="clear" w:color="auto" w:fill="auto"/>
          </w:tcPr>
          <w:p w14:paraId="3DD2D77A" w14:textId="6E79FA69" w:rsidR="00E36C4A" w:rsidRPr="00F8021B" w:rsidRDefault="00E36C4A" w:rsidP="00FA3543">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6D43FA">
              <w:rPr>
                <w:color w:val="000000"/>
                <w:szCs w:val="20"/>
              </w:rPr>
              <w:t>--</w:t>
            </w:r>
          </w:p>
        </w:tc>
        <w:tc>
          <w:tcPr>
            <w:tcW w:w="826" w:type="pct"/>
            <w:shd w:val="clear" w:color="auto" w:fill="auto"/>
            <w:vAlign w:val="center"/>
          </w:tcPr>
          <w:p w14:paraId="5CA14B3F" w14:textId="71F89520" w:rsidR="00E36C4A" w:rsidRPr="00F8021B" w:rsidRDefault="00E36C4A" w:rsidP="00FA3543">
            <w:pPr>
              <w:widowControl/>
              <w:autoSpaceDE/>
              <w:autoSpaceDN/>
              <w:adjustRightInd/>
              <w:cnfStyle w:val="000000100000" w:firstRow="0" w:lastRow="0" w:firstColumn="0" w:lastColumn="0" w:oddVBand="0" w:evenVBand="0" w:oddHBand="1" w:evenHBand="0" w:firstRowFirstColumn="0" w:firstRowLastColumn="0" w:lastRowFirstColumn="0" w:lastRowLastColumn="0"/>
              <w:rPr>
                <w:color w:val="000000"/>
                <w:szCs w:val="20"/>
              </w:rPr>
            </w:pPr>
            <w:r>
              <w:t>0.7709 * PM10</w:t>
            </w:r>
          </w:p>
        </w:tc>
      </w:tr>
      <w:tr w:rsidR="00E36C4A" w:rsidRPr="00F8021B" w14:paraId="1B16B326" w14:textId="77777777" w:rsidTr="00E36C4A">
        <w:trPr>
          <w:trHeight w:val="20"/>
        </w:trPr>
        <w:tc>
          <w:tcPr>
            <w:cnfStyle w:val="001000000000" w:firstRow="0" w:lastRow="0" w:firstColumn="1" w:lastColumn="0" w:oddVBand="0" w:evenVBand="0" w:oddHBand="0" w:evenHBand="0" w:firstRowFirstColumn="0" w:firstRowLastColumn="0" w:lastRowFirstColumn="0" w:lastRowLastColumn="0"/>
            <w:tcW w:w="1299" w:type="pct"/>
            <w:shd w:val="clear" w:color="auto" w:fill="auto"/>
          </w:tcPr>
          <w:p w14:paraId="04E19A84" w14:textId="7358C75F" w:rsidR="00E36C4A" w:rsidRPr="006434AF" w:rsidRDefault="00E36C4A" w:rsidP="00FA3543">
            <w:pPr>
              <w:widowControl/>
              <w:autoSpaceDE/>
              <w:autoSpaceDN/>
              <w:adjustRightInd/>
              <w:jc w:val="center"/>
              <w:rPr>
                <w:b w:val="0"/>
                <w:color w:val="000000"/>
                <w:szCs w:val="20"/>
              </w:rPr>
            </w:pPr>
            <w:r w:rsidRPr="006434AF">
              <w:rPr>
                <w:b w:val="0"/>
              </w:rPr>
              <w:t>PM25-FIL</w:t>
            </w:r>
          </w:p>
        </w:tc>
        <w:tc>
          <w:tcPr>
            <w:tcW w:w="592" w:type="pct"/>
            <w:shd w:val="clear" w:color="auto" w:fill="auto"/>
            <w:vAlign w:val="bottom"/>
          </w:tcPr>
          <w:p w14:paraId="5DF15B85" w14:textId="1DD6A8C1" w:rsidR="00E36C4A" w:rsidRPr="00522B8B" w:rsidRDefault="00E36C4A" w:rsidP="00FA354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1C2A97">
              <w:t>PM25-FIL</w:t>
            </w:r>
          </w:p>
        </w:tc>
        <w:tc>
          <w:tcPr>
            <w:tcW w:w="518" w:type="pct"/>
            <w:shd w:val="clear" w:color="auto" w:fill="auto"/>
          </w:tcPr>
          <w:p w14:paraId="0F50E58C" w14:textId="16285303" w:rsidR="00E36C4A" w:rsidRPr="00F8021B" w:rsidRDefault="00E36C4A" w:rsidP="00FA354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t>13.1</w:t>
            </w:r>
          </w:p>
        </w:tc>
        <w:tc>
          <w:tcPr>
            <w:tcW w:w="518" w:type="pct"/>
            <w:shd w:val="clear" w:color="auto" w:fill="auto"/>
          </w:tcPr>
          <w:p w14:paraId="2D82D260" w14:textId="24054AF2" w:rsidR="00E36C4A" w:rsidRPr="00F8021B" w:rsidRDefault="00E36C4A" w:rsidP="00FA354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625009">
              <w:rPr>
                <w:color w:val="000000"/>
                <w:szCs w:val="20"/>
              </w:rPr>
              <w:t>lbs./ton</w:t>
            </w:r>
          </w:p>
        </w:tc>
        <w:tc>
          <w:tcPr>
            <w:tcW w:w="635" w:type="pct"/>
            <w:shd w:val="clear" w:color="auto" w:fill="auto"/>
          </w:tcPr>
          <w:p w14:paraId="0ECD6E4A" w14:textId="53DB02B3" w:rsidR="00E36C4A" w:rsidRPr="00F8021B" w:rsidRDefault="00E36C4A" w:rsidP="00FA354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6D43FA">
              <w:rPr>
                <w:color w:val="000000"/>
                <w:szCs w:val="20"/>
              </w:rPr>
              <w:t>--</w:t>
            </w:r>
          </w:p>
        </w:tc>
        <w:tc>
          <w:tcPr>
            <w:tcW w:w="611" w:type="pct"/>
            <w:shd w:val="clear" w:color="auto" w:fill="auto"/>
          </w:tcPr>
          <w:p w14:paraId="7A0CD64F" w14:textId="58887E63" w:rsidR="00E36C4A" w:rsidRPr="00F8021B" w:rsidRDefault="00E36C4A" w:rsidP="00FA354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6D43FA">
              <w:rPr>
                <w:color w:val="000000"/>
                <w:szCs w:val="20"/>
              </w:rPr>
              <w:t>--</w:t>
            </w:r>
          </w:p>
        </w:tc>
        <w:tc>
          <w:tcPr>
            <w:tcW w:w="826" w:type="pct"/>
            <w:shd w:val="clear" w:color="auto" w:fill="auto"/>
            <w:vAlign w:val="center"/>
          </w:tcPr>
          <w:p w14:paraId="59869533" w14:textId="3ED71683" w:rsidR="00E36C4A" w:rsidRPr="00F8021B" w:rsidRDefault="00E36C4A" w:rsidP="00FA3543">
            <w:pPr>
              <w:widowControl/>
              <w:autoSpaceDE/>
              <w:autoSpaceDN/>
              <w:adjustRightInd/>
              <w:cnfStyle w:val="000000000000" w:firstRow="0" w:lastRow="0" w:firstColumn="0" w:lastColumn="0" w:oddVBand="0" w:evenVBand="0" w:oddHBand="0" w:evenHBand="0" w:firstRowFirstColumn="0" w:firstRowLastColumn="0" w:lastRowFirstColumn="0" w:lastRowLastColumn="0"/>
              <w:rPr>
                <w:color w:val="000000"/>
                <w:szCs w:val="20"/>
              </w:rPr>
            </w:pPr>
            <w:r>
              <w:t>0.7709 * PM10</w:t>
            </w:r>
          </w:p>
        </w:tc>
      </w:tr>
      <w:tr w:rsidR="00E36C4A" w:rsidRPr="00F8021B" w14:paraId="7737492A" w14:textId="77777777" w:rsidTr="00E36C4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99" w:type="pct"/>
            <w:shd w:val="clear" w:color="auto" w:fill="auto"/>
          </w:tcPr>
          <w:p w14:paraId="50E388AD" w14:textId="2FE56D31" w:rsidR="00E36C4A" w:rsidRPr="006434AF" w:rsidRDefault="00E36C4A" w:rsidP="00FA3543">
            <w:pPr>
              <w:widowControl/>
              <w:autoSpaceDE/>
              <w:autoSpaceDN/>
              <w:adjustRightInd/>
              <w:jc w:val="center"/>
              <w:rPr>
                <w:b w:val="0"/>
                <w:color w:val="000000"/>
                <w:szCs w:val="20"/>
              </w:rPr>
            </w:pPr>
            <w:r w:rsidRPr="006434AF">
              <w:rPr>
                <w:b w:val="0"/>
              </w:rPr>
              <w:t>Sulfur Dioxide</w:t>
            </w:r>
          </w:p>
        </w:tc>
        <w:tc>
          <w:tcPr>
            <w:tcW w:w="592" w:type="pct"/>
            <w:shd w:val="clear" w:color="auto" w:fill="auto"/>
            <w:vAlign w:val="bottom"/>
          </w:tcPr>
          <w:p w14:paraId="43FF46D0" w14:textId="4F14BB25" w:rsidR="00E36C4A" w:rsidRPr="00522B8B" w:rsidRDefault="00E36C4A" w:rsidP="00FA3543">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1C2A97">
              <w:t>SO2</w:t>
            </w:r>
          </w:p>
        </w:tc>
        <w:tc>
          <w:tcPr>
            <w:tcW w:w="518" w:type="pct"/>
            <w:shd w:val="clear" w:color="auto" w:fill="auto"/>
            <w:vAlign w:val="bottom"/>
          </w:tcPr>
          <w:p w14:paraId="334C7DF8" w14:textId="7A18E9DF" w:rsidR="00E36C4A" w:rsidRPr="00F8021B" w:rsidRDefault="00E36C4A" w:rsidP="00FA3543">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1C2A97">
              <w:t>1.66</w:t>
            </w:r>
          </w:p>
        </w:tc>
        <w:tc>
          <w:tcPr>
            <w:tcW w:w="518" w:type="pct"/>
            <w:shd w:val="clear" w:color="auto" w:fill="auto"/>
          </w:tcPr>
          <w:p w14:paraId="188955DC" w14:textId="75F51055" w:rsidR="00E36C4A" w:rsidRPr="00F8021B" w:rsidRDefault="00E36C4A" w:rsidP="00FA3543">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625009">
              <w:rPr>
                <w:color w:val="000000"/>
                <w:szCs w:val="20"/>
              </w:rPr>
              <w:t>lbs./ton</w:t>
            </w:r>
          </w:p>
        </w:tc>
        <w:tc>
          <w:tcPr>
            <w:tcW w:w="635" w:type="pct"/>
            <w:shd w:val="clear" w:color="auto" w:fill="auto"/>
          </w:tcPr>
          <w:p w14:paraId="67AF8654" w14:textId="14036A04" w:rsidR="00E36C4A" w:rsidRPr="00F8021B" w:rsidRDefault="00E36C4A" w:rsidP="00FA3543">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6D43FA">
              <w:rPr>
                <w:color w:val="000000"/>
                <w:szCs w:val="20"/>
              </w:rPr>
              <w:t>--</w:t>
            </w:r>
          </w:p>
        </w:tc>
        <w:tc>
          <w:tcPr>
            <w:tcW w:w="611" w:type="pct"/>
            <w:shd w:val="clear" w:color="auto" w:fill="auto"/>
          </w:tcPr>
          <w:p w14:paraId="53C12133" w14:textId="0765798E" w:rsidR="00E36C4A" w:rsidRPr="00F8021B" w:rsidRDefault="00E36C4A" w:rsidP="00FA3543">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6D43FA">
              <w:rPr>
                <w:color w:val="000000"/>
                <w:szCs w:val="20"/>
              </w:rPr>
              <w:t>--</w:t>
            </w:r>
          </w:p>
        </w:tc>
        <w:tc>
          <w:tcPr>
            <w:tcW w:w="826" w:type="pct"/>
            <w:shd w:val="clear" w:color="auto" w:fill="auto"/>
          </w:tcPr>
          <w:p w14:paraId="332395D1" w14:textId="3F320F40" w:rsidR="00E36C4A" w:rsidRPr="00F8021B" w:rsidRDefault="00E36C4A" w:rsidP="004B7AFE">
            <w:pPr>
              <w:widowControl/>
              <w:autoSpaceDE/>
              <w:autoSpaceDN/>
              <w:adjustRightInd/>
              <w:cnfStyle w:val="000000100000" w:firstRow="0" w:lastRow="0" w:firstColumn="0" w:lastColumn="0" w:oddVBand="0" w:evenVBand="0" w:oddHBand="1" w:evenHBand="0" w:firstRowFirstColumn="0" w:firstRowLastColumn="0" w:lastRowFirstColumn="0" w:lastRowLastColumn="0"/>
              <w:rPr>
                <w:color w:val="000000"/>
                <w:szCs w:val="20"/>
              </w:rPr>
            </w:pPr>
            <w:r w:rsidRPr="001C2A97">
              <w:t xml:space="preserve">Reference </w:t>
            </w:r>
          </w:p>
        </w:tc>
      </w:tr>
      <w:tr w:rsidR="00E36C4A" w:rsidRPr="00F8021B" w14:paraId="6B505564" w14:textId="77777777" w:rsidTr="00E36C4A">
        <w:trPr>
          <w:trHeight w:val="20"/>
        </w:trPr>
        <w:tc>
          <w:tcPr>
            <w:cnfStyle w:val="001000000000" w:firstRow="0" w:lastRow="0" w:firstColumn="1" w:lastColumn="0" w:oddVBand="0" w:evenVBand="0" w:oddHBand="0" w:evenHBand="0" w:firstRowFirstColumn="0" w:firstRowLastColumn="0" w:lastRowFirstColumn="0" w:lastRowLastColumn="0"/>
            <w:tcW w:w="1299" w:type="pct"/>
            <w:shd w:val="clear" w:color="auto" w:fill="auto"/>
            <w:vAlign w:val="center"/>
          </w:tcPr>
          <w:p w14:paraId="1EFED316" w14:textId="0F9AB703" w:rsidR="00E36C4A" w:rsidRPr="006434AF" w:rsidRDefault="00E36C4A" w:rsidP="00454160">
            <w:pPr>
              <w:widowControl/>
              <w:autoSpaceDE/>
              <w:autoSpaceDN/>
              <w:adjustRightInd/>
              <w:jc w:val="center"/>
              <w:rPr>
                <w:b w:val="0"/>
                <w:color w:val="000000"/>
                <w:szCs w:val="20"/>
              </w:rPr>
            </w:pPr>
            <w:r w:rsidRPr="006434AF">
              <w:rPr>
                <w:b w:val="0"/>
              </w:rPr>
              <w:t>VOC</w:t>
            </w:r>
          </w:p>
        </w:tc>
        <w:tc>
          <w:tcPr>
            <w:tcW w:w="592" w:type="pct"/>
            <w:shd w:val="clear" w:color="auto" w:fill="auto"/>
            <w:vAlign w:val="center"/>
          </w:tcPr>
          <w:p w14:paraId="30F4AC04" w14:textId="695C5BC5" w:rsidR="00E36C4A" w:rsidRPr="00522B8B" w:rsidRDefault="00E36C4A" w:rsidP="00454160">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1C2A97">
              <w:t>VOC</w:t>
            </w:r>
          </w:p>
        </w:tc>
        <w:tc>
          <w:tcPr>
            <w:tcW w:w="518" w:type="pct"/>
            <w:shd w:val="clear" w:color="auto" w:fill="auto"/>
            <w:vAlign w:val="center"/>
          </w:tcPr>
          <w:p w14:paraId="3577D1B2" w14:textId="55808729" w:rsidR="00E36C4A" w:rsidRPr="00F8021B" w:rsidRDefault="00E36C4A" w:rsidP="00454160">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1C2A97">
              <w:t>19</w:t>
            </w:r>
          </w:p>
        </w:tc>
        <w:tc>
          <w:tcPr>
            <w:tcW w:w="518" w:type="pct"/>
            <w:shd w:val="clear" w:color="auto" w:fill="auto"/>
            <w:vAlign w:val="center"/>
          </w:tcPr>
          <w:p w14:paraId="50B47500" w14:textId="3ECE1A85" w:rsidR="00E36C4A" w:rsidRPr="00F8021B" w:rsidRDefault="00E36C4A" w:rsidP="00454160">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625009">
              <w:rPr>
                <w:color w:val="000000"/>
                <w:szCs w:val="20"/>
              </w:rPr>
              <w:t>lbs./ton</w:t>
            </w:r>
          </w:p>
        </w:tc>
        <w:tc>
          <w:tcPr>
            <w:tcW w:w="635" w:type="pct"/>
            <w:shd w:val="clear" w:color="auto" w:fill="auto"/>
          </w:tcPr>
          <w:p w14:paraId="35F96AF3" w14:textId="6206DEE3" w:rsidR="00E36C4A" w:rsidRPr="00F8021B" w:rsidRDefault="00E36C4A" w:rsidP="00454160">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6D43FA">
              <w:rPr>
                <w:color w:val="000000"/>
                <w:szCs w:val="20"/>
              </w:rPr>
              <w:t>--</w:t>
            </w:r>
          </w:p>
        </w:tc>
        <w:tc>
          <w:tcPr>
            <w:tcW w:w="611" w:type="pct"/>
            <w:shd w:val="clear" w:color="auto" w:fill="auto"/>
          </w:tcPr>
          <w:p w14:paraId="3C88BFF9" w14:textId="5AF4EB0A" w:rsidR="00E36C4A" w:rsidRPr="00F8021B" w:rsidRDefault="00E36C4A" w:rsidP="00454160">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6D43FA">
              <w:rPr>
                <w:color w:val="000000"/>
                <w:szCs w:val="20"/>
              </w:rPr>
              <w:t>--</w:t>
            </w:r>
          </w:p>
        </w:tc>
        <w:tc>
          <w:tcPr>
            <w:tcW w:w="826" w:type="pct"/>
            <w:shd w:val="clear" w:color="auto" w:fill="auto"/>
          </w:tcPr>
          <w:p w14:paraId="6539892C" w14:textId="1383A9E8" w:rsidR="00E36C4A" w:rsidRPr="00F8021B" w:rsidRDefault="00E36C4A" w:rsidP="00FA3543">
            <w:pPr>
              <w:widowControl/>
              <w:autoSpaceDE/>
              <w:autoSpaceDN/>
              <w:adjustRightInd/>
              <w:cnfStyle w:val="000000000000" w:firstRow="0" w:lastRow="0" w:firstColumn="0" w:lastColumn="0" w:oddVBand="0" w:evenVBand="0" w:oddHBand="0" w:evenHBand="0" w:firstRowFirstColumn="0" w:firstRowLastColumn="0" w:lastRowFirstColumn="0" w:lastRowLastColumn="0"/>
              <w:rPr>
                <w:color w:val="000000"/>
                <w:szCs w:val="20"/>
              </w:rPr>
            </w:pPr>
            <w:r w:rsidRPr="00AD0162">
              <w:rPr>
                <w:color w:val="000000"/>
                <w:szCs w:val="20"/>
              </w:rPr>
              <w:t>Reference</w:t>
            </w:r>
            <w:r>
              <w:rPr>
                <w:color w:val="000000"/>
                <w:szCs w:val="20"/>
              </w:rPr>
              <w:t xml:space="preserve"> </w:t>
            </w:r>
            <w:r>
              <w:rPr>
                <w:color w:val="000000"/>
                <w:szCs w:val="20"/>
              </w:rPr>
              <w:fldChar w:fldCharType="begin"/>
            </w:r>
            <w:r>
              <w:rPr>
                <w:color w:val="000000"/>
                <w:szCs w:val="20"/>
              </w:rPr>
              <w:instrText xml:space="preserve"> NOTEREF _Ref478652832 \h  \* MERGEFORMAT </w:instrText>
            </w:r>
            <w:r>
              <w:rPr>
                <w:color w:val="000000"/>
                <w:szCs w:val="20"/>
              </w:rPr>
            </w:r>
            <w:r>
              <w:rPr>
                <w:color w:val="000000"/>
                <w:szCs w:val="20"/>
              </w:rPr>
              <w:fldChar w:fldCharType="separate"/>
            </w:r>
            <w:r>
              <w:rPr>
                <w:color w:val="000000"/>
                <w:szCs w:val="20"/>
              </w:rPr>
              <w:t>7</w:t>
            </w:r>
            <w:r>
              <w:rPr>
                <w:color w:val="000000"/>
                <w:szCs w:val="20"/>
              </w:rPr>
              <w:fldChar w:fldCharType="end"/>
            </w:r>
            <w:r>
              <w:rPr>
                <w:color w:val="000000"/>
                <w:szCs w:val="20"/>
              </w:rPr>
              <w:t>, Table 2.5-5</w:t>
            </w:r>
          </w:p>
        </w:tc>
      </w:tr>
      <w:tr w:rsidR="007762EB" w:rsidRPr="00F8021B" w14:paraId="2789BD6D" w14:textId="77777777" w:rsidTr="00E36C4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99" w:type="pct"/>
            <w:shd w:val="clear" w:color="auto" w:fill="auto"/>
          </w:tcPr>
          <w:p w14:paraId="2D3CE538" w14:textId="2DD58FF8" w:rsidR="007762EB" w:rsidRPr="006434AF" w:rsidRDefault="007762EB" w:rsidP="00FA3543">
            <w:pPr>
              <w:widowControl/>
              <w:autoSpaceDE/>
              <w:autoSpaceDN/>
              <w:adjustRightInd/>
              <w:jc w:val="center"/>
              <w:rPr>
                <w:b w:val="0"/>
              </w:rPr>
            </w:pPr>
            <w:r w:rsidRPr="006434AF">
              <w:rPr>
                <w:b w:val="0"/>
              </w:rPr>
              <w:t>Cumene</w:t>
            </w:r>
          </w:p>
        </w:tc>
        <w:tc>
          <w:tcPr>
            <w:tcW w:w="592" w:type="pct"/>
            <w:shd w:val="clear" w:color="auto" w:fill="auto"/>
            <w:vAlign w:val="bottom"/>
          </w:tcPr>
          <w:p w14:paraId="14325C74" w14:textId="0A20E381" w:rsidR="007762EB" w:rsidRPr="00522B8B" w:rsidRDefault="007762EB" w:rsidP="00FA3543">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pPr>
            <w:r w:rsidRPr="001C2A97">
              <w:t>98828</w:t>
            </w:r>
          </w:p>
        </w:tc>
        <w:tc>
          <w:tcPr>
            <w:tcW w:w="518" w:type="pct"/>
            <w:shd w:val="clear" w:color="auto" w:fill="auto"/>
            <w:vAlign w:val="center"/>
          </w:tcPr>
          <w:p w14:paraId="6B119013" w14:textId="77777777" w:rsidR="007762EB" w:rsidRPr="00F8021B" w:rsidRDefault="007762EB" w:rsidP="00FA3543">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p>
        </w:tc>
        <w:tc>
          <w:tcPr>
            <w:tcW w:w="518" w:type="pct"/>
            <w:shd w:val="clear" w:color="auto" w:fill="auto"/>
            <w:vAlign w:val="center"/>
          </w:tcPr>
          <w:p w14:paraId="1BD1231D" w14:textId="77777777" w:rsidR="007762EB" w:rsidRPr="00F8021B" w:rsidRDefault="007762EB" w:rsidP="00FA3543">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p>
        </w:tc>
        <w:tc>
          <w:tcPr>
            <w:tcW w:w="635" w:type="pct"/>
            <w:shd w:val="clear" w:color="auto" w:fill="auto"/>
            <w:vAlign w:val="bottom"/>
          </w:tcPr>
          <w:p w14:paraId="413CCCE7" w14:textId="3555BCC7" w:rsidR="007762EB" w:rsidRPr="00845E09" w:rsidRDefault="007762EB" w:rsidP="00FA3543">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pPr>
            <w:r w:rsidRPr="001C2A97">
              <w:t>0.01325</w:t>
            </w:r>
          </w:p>
        </w:tc>
        <w:tc>
          <w:tcPr>
            <w:tcW w:w="611" w:type="pct"/>
            <w:shd w:val="clear" w:color="auto" w:fill="auto"/>
          </w:tcPr>
          <w:p w14:paraId="548D8AB1" w14:textId="5F494BDF" w:rsidR="007762EB" w:rsidRPr="00C64C1B" w:rsidRDefault="007762EB" w:rsidP="00FA3543">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625009">
              <w:rPr>
                <w:color w:val="000000"/>
                <w:szCs w:val="20"/>
              </w:rPr>
              <w:t>lbs./ton</w:t>
            </w:r>
          </w:p>
        </w:tc>
        <w:tc>
          <w:tcPr>
            <w:tcW w:w="826" w:type="pct"/>
            <w:shd w:val="clear" w:color="auto" w:fill="auto"/>
          </w:tcPr>
          <w:p w14:paraId="550E7ACC" w14:textId="4D691C69" w:rsidR="007762EB" w:rsidRPr="00DB71E9" w:rsidRDefault="007762EB" w:rsidP="00FA3543">
            <w:pPr>
              <w:widowControl/>
              <w:autoSpaceDE/>
              <w:autoSpaceDN/>
              <w:adjustRightInd/>
              <w:cnfStyle w:val="000000100000" w:firstRow="0" w:lastRow="0" w:firstColumn="0" w:lastColumn="0" w:oddVBand="0" w:evenVBand="0" w:oddHBand="1" w:evenHBand="0" w:firstRowFirstColumn="0" w:firstRowLastColumn="0" w:lastRowFirstColumn="0" w:lastRowLastColumn="0"/>
              <w:rPr>
                <w:color w:val="000000"/>
                <w:szCs w:val="20"/>
              </w:rPr>
            </w:pPr>
            <w:r>
              <w:t xml:space="preserve">Reference </w:t>
            </w:r>
            <w:r>
              <w:fldChar w:fldCharType="begin"/>
            </w:r>
            <w:r>
              <w:instrText xml:space="preserve"> NOTEREF _Ref478559170 \h </w:instrText>
            </w:r>
            <w:r w:rsidR="006434AF">
              <w:instrText xml:space="preserve"> \* MERGEFORMAT </w:instrText>
            </w:r>
            <w:r>
              <w:fldChar w:fldCharType="separate"/>
            </w:r>
            <w:r w:rsidR="00B36F28">
              <w:t>9</w:t>
            </w:r>
            <w:r>
              <w:fldChar w:fldCharType="end"/>
            </w:r>
          </w:p>
        </w:tc>
      </w:tr>
      <w:tr w:rsidR="007762EB" w:rsidRPr="00F8021B" w14:paraId="3761E7C6" w14:textId="77777777" w:rsidTr="00E36C4A">
        <w:trPr>
          <w:trHeight w:val="20"/>
        </w:trPr>
        <w:tc>
          <w:tcPr>
            <w:cnfStyle w:val="001000000000" w:firstRow="0" w:lastRow="0" w:firstColumn="1" w:lastColumn="0" w:oddVBand="0" w:evenVBand="0" w:oddHBand="0" w:evenHBand="0" w:firstRowFirstColumn="0" w:firstRowLastColumn="0" w:lastRowFirstColumn="0" w:lastRowLastColumn="0"/>
            <w:tcW w:w="1299" w:type="pct"/>
            <w:shd w:val="clear" w:color="auto" w:fill="auto"/>
          </w:tcPr>
          <w:p w14:paraId="4FE0F9AA" w14:textId="7500E7B8" w:rsidR="007762EB" w:rsidRPr="006434AF" w:rsidRDefault="007762EB" w:rsidP="00FA3543">
            <w:pPr>
              <w:widowControl/>
              <w:autoSpaceDE/>
              <w:autoSpaceDN/>
              <w:adjustRightInd/>
              <w:jc w:val="center"/>
              <w:rPr>
                <w:b w:val="0"/>
              </w:rPr>
            </w:pPr>
            <w:r w:rsidRPr="006434AF">
              <w:rPr>
                <w:b w:val="0"/>
              </w:rPr>
              <w:t>Ethyl Benzene</w:t>
            </w:r>
          </w:p>
        </w:tc>
        <w:tc>
          <w:tcPr>
            <w:tcW w:w="592" w:type="pct"/>
            <w:shd w:val="clear" w:color="auto" w:fill="auto"/>
            <w:vAlign w:val="bottom"/>
          </w:tcPr>
          <w:p w14:paraId="04D6C501" w14:textId="2AC48350" w:rsidR="007762EB" w:rsidRPr="00522B8B" w:rsidRDefault="007762EB" w:rsidP="00FA354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pPr>
            <w:r w:rsidRPr="001C2A97">
              <w:t>100414</w:t>
            </w:r>
          </w:p>
        </w:tc>
        <w:tc>
          <w:tcPr>
            <w:tcW w:w="518" w:type="pct"/>
            <w:shd w:val="clear" w:color="auto" w:fill="auto"/>
            <w:vAlign w:val="center"/>
          </w:tcPr>
          <w:p w14:paraId="3E506D76" w14:textId="77777777" w:rsidR="007762EB" w:rsidRPr="00F8021B" w:rsidRDefault="007762EB" w:rsidP="00FA354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p>
        </w:tc>
        <w:tc>
          <w:tcPr>
            <w:tcW w:w="518" w:type="pct"/>
            <w:shd w:val="clear" w:color="auto" w:fill="auto"/>
            <w:vAlign w:val="center"/>
          </w:tcPr>
          <w:p w14:paraId="2E842741" w14:textId="77777777" w:rsidR="007762EB" w:rsidRPr="00F8021B" w:rsidRDefault="007762EB" w:rsidP="00FA354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p>
        </w:tc>
        <w:tc>
          <w:tcPr>
            <w:tcW w:w="635" w:type="pct"/>
            <w:shd w:val="clear" w:color="auto" w:fill="auto"/>
            <w:vAlign w:val="bottom"/>
          </w:tcPr>
          <w:p w14:paraId="1EE2A4DC" w14:textId="3537DC56" w:rsidR="007762EB" w:rsidRPr="00845E09" w:rsidRDefault="007762EB" w:rsidP="00FA354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pPr>
            <w:r w:rsidRPr="001C2A97">
              <w:t>0.048</w:t>
            </w:r>
          </w:p>
        </w:tc>
        <w:tc>
          <w:tcPr>
            <w:tcW w:w="611" w:type="pct"/>
            <w:shd w:val="clear" w:color="auto" w:fill="auto"/>
          </w:tcPr>
          <w:p w14:paraId="77DB40E5" w14:textId="19F085A7" w:rsidR="007762EB" w:rsidRPr="00C64C1B" w:rsidRDefault="007762EB" w:rsidP="00FA354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625009">
              <w:rPr>
                <w:color w:val="000000"/>
                <w:szCs w:val="20"/>
              </w:rPr>
              <w:t>lbs./ton</w:t>
            </w:r>
          </w:p>
        </w:tc>
        <w:tc>
          <w:tcPr>
            <w:tcW w:w="826" w:type="pct"/>
            <w:shd w:val="clear" w:color="auto" w:fill="auto"/>
          </w:tcPr>
          <w:p w14:paraId="31557B24" w14:textId="5473D204" w:rsidR="007762EB" w:rsidRPr="00DB71E9" w:rsidRDefault="007762EB" w:rsidP="00FA3543">
            <w:pPr>
              <w:widowControl/>
              <w:autoSpaceDE/>
              <w:autoSpaceDN/>
              <w:adjustRightInd/>
              <w:cnfStyle w:val="000000000000" w:firstRow="0" w:lastRow="0" w:firstColumn="0" w:lastColumn="0" w:oddVBand="0" w:evenVBand="0" w:oddHBand="0" w:evenHBand="0" w:firstRowFirstColumn="0" w:firstRowLastColumn="0" w:lastRowFirstColumn="0" w:lastRowLastColumn="0"/>
              <w:rPr>
                <w:color w:val="000000"/>
                <w:szCs w:val="20"/>
              </w:rPr>
            </w:pPr>
            <w:r>
              <w:t xml:space="preserve">Reference </w:t>
            </w:r>
            <w:r>
              <w:fldChar w:fldCharType="begin"/>
            </w:r>
            <w:r>
              <w:instrText xml:space="preserve"> NOTEREF _Ref478559170 \h </w:instrText>
            </w:r>
            <w:r w:rsidR="006434AF">
              <w:instrText xml:space="preserve"> \* MERGEFORMAT </w:instrText>
            </w:r>
            <w:r>
              <w:fldChar w:fldCharType="separate"/>
            </w:r>
            <w:r w:rsidR="00B36F28">
              <w:t>9</w:t>
            </w:r>
            <w:r>
              <w:fldChar w:fldCharType="end"/>
            </w:r>
          </w:p>
        </w:tc>
      </w:tr>
      <w:tr w:rsidR="007762EB" w:rsidRPr="00F8021B" w14:paraId="1CA3CC8F" w14:textId="77777777" w:rsidTr="00E36C4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99" w:type="pct"/>
            <w:shd w:val="clear" w:color="auto" w:fill="auto"/>
          </w:tcPr>
          <w:p w14:paraId="0DEEE046" w14:textId="7D990CF9" w:rsidR="007762EB" w:rsidRPr="006434AF" w:rsidRDefault="007762EB" w:rsidP="00FA3543">
            <w:pPr>
              <w:widowControl/>
              <w:autoSpaceDE/>
              <w:autoSpaceDN/>
              <w:adjustRightInd/>
              <w:jc w:val="center"/>
              <w:rPr>
                <w:b w:val="0"/>
              </w:rPr>
            </w:pPr>
            <w:r w:rsidRPr="006434AF">
              <w:rPr>
                <w:b w:val="0"/>
              </w:rPr>
              <w:t>Phenol</w:t>
            </w:r>
          </w:p>
        </w:tc>
        <w:tc>
          <w:tcPr>
            <w:tcW w:w="592" w:type="pct"/>
            <w:shd w:val="clear" w:color="auto" w:fill="auto"/>
            <w:vAlign w:val="bottom"/>
          </w:tcPr>
          <w:p w14:paraId="201E9F4B" w14:textId="67014B0B" w:rsidR="007762EB" w:rsidRPr="00522B8B" w:rsidRDefault="007762EB" w:rsidP="00FA3543">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pPr>
            <w:r w:rsidRPr="001C2A97">
              <w:t>108952</w:t>
            </w:r>
          </w:p>
        </w:tc>
        <w:tc>
          <w:tcPr>
            <w:tcW w:w="518" w:type="pct"/>
            <w:shd w:val="clear" w:color="auto" w:fill="auto"/>
            <w:vAlign w:val="center"/>
          </w:tcPr>
          <w:p w14:paraId="51D1CD1F" w14:textId="77777777" w:rsidR="007762EB" w:rsidRPr="00F8021B" w:rsidRDefault="007762EB" w:rsidP="00FA3543">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p>
        </w:tc>
        <w:tc>
          <w:tcPr>
            <w:tcW w:w="518" w:type="pct"/>
            <w:shd w:val="clear" w:color="auto" w:fill="auto"/>
            <w:vAlign w:val="center"/>
          </w:tcPr>
          <w:p w14:paraId="78B70609" w14:textId="77777777" w:rsidR="007762EB" w:rsidRPr="00F8021B" w:rsidRDefault="007762EB" w:rsidP="00FA3543">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p>
        </w:tc>
        <w:tc>
          <w:tcPr>
            <w:tcW w:w="635" w:type="pct"/>
            <w:shd w:val="clear" w:color="auto" w:fill="auto"/>
            <w:vAlign w:val="bottom"/>
          </w:tcPr>
          <w:p w14:paraId="206F7711" w14:textId="6E8D6909" w:rsidR="007762EB" w:rsidRPr="00845E09" w:rsidRDefault="007762EB" w:rsidP="00FA3543">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pPr>
            <w:r w:rsidRPr="001C2A97">
              <w:t>0.115</w:t>
            </w:r>
          </w:p>
        </w:tc>
        <w:tc>
          <w:tcPr>
            <w:tcW w:w="611" w:type="pct"/>
            <w:shd w:val="clear" w:color="auto" w:fill="auto"/>
          </w:tcPr>
          <w:p w14:paraId="6F377AF3" w14:textId="72B7A3B9" w:rsidR="007762EB" w:rsidRPr="00C64C1B" w:rsidRDefault="007762EB" w:rsidP="00FA3543">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625009">
              <w:rPr>
                <w:color w:val="000000"/>
                <w:szCs w:val="20"/>
              </w:rPr>
              <w:t>lbs./ton</w:t>
            </w:r>
          </w:p>
        </w:tc>
        <w:tc>
          <w:tcPr>
            <w:tcW w:w="826" w:type="pct"/>
            <w:shd w:val="clear" w:color="auto" w:fill="auto"/>
          </w:tcPr>
          <w:p w14:paraId="3E74A9D3" w14:textId="7A4CD68A" w:rsidR="007762EB" w:rsidRPr="00DB71E9" w:rsidRDefault="007762EB" w:rsidP="00FA3543">
            <w:pPr>
              <w:widowControl/>
              <w:autoSpaceDE/>
              <w:autoSpaceDN/>
              <w:adjustRightInd/>
              <w:cnfStyle w:val="000000100000" w:firstRow="0" w:lastRow="0" w:firstColumn="0" w:lastColumn="0" w:oddVBand="0" w:evenVBand="0" w:oddHBand="1" w:evenHBand="0" w:firstRowFirstColumn="0" w:firstRowLastColumn="0" w:lastRowFirstColumn="0" w:lastRowLastColumn="0"/>
              <w:rPr>
                <w:color w:val="000000"/>
                <w:szCs w:val="20"/>
              </w:rPr>
            </w:pPr>
            <w:r w:rsidRPr="001C2A97">
              <w:t xml:space="preserve">Reference </w:t>
            </w:r>
            <w:r>
              <w:fldChar w:fldCharType="begin"/>
            </w:r>
            <w:r>
              <w:instrText xml:space="preserve"> NOTEREF _Ref478559170 \h </w:instrText>
            </w:r>
            <w:r w:rsidR="006434AF">
              <w:instrText xml:space="preserve"> \* MERGEFORMAT </w:instrText>
            </w:r>
            <w:r>
              <w:fldChar w:fldCharType="separate"/>
            </w:r>
            <w:r w:rsidR="00B36F28">
              <w:t>9</w:t>
            </w:r>
            <w:r>
              <w:fldChar w:fldCharType="end"/>
            </w:r>
          </w:p>
        </w:tc>
      </w:tr>
      <w:tr w:rsidR="007762EB" w:rsidRPr="00F8021B" w14:paraId="7848AD76" w14:textId="77777777" w:rsidTr="00E36C4A">
        <w:trPr>
          <w:trHeight w:val="20"/>
        </w:trPr>
        <w:tc>
          <w:tcPr>
            <w:cnfStyle w:val="001000000000" w:firstRow="0" w:lastRow="0" w:firstColumn="1" w:lastColumn="0" w:oddVBand="0" w:evenVBand="0" w:oddHBand="0" w:evenHBand="0" w:firstRowFirstColumn="0" w:firstRowLastColumn="0" w:lastRowFirstColumn="0" w:lastRowLastColumn="0"/>
            <w:tcW w:w="1299" w:type="pct"/>
            <w:shd w:val="clear" w:color="auto" w:fill="auto"/>
          </w:tcPr>
          <w:p w14:paraId="7812D2A2" w14:textId="7393B2CD" w:rsidR="007762EB" w:rsidRPr="006434AF" w:rsidRDefault="007762EB" w:rsidP="00FA3543">
            <w:pPr>
              <w:widowControl/>
              <w:autoSpaceDE/>
              <w:autoSpaceDN/>
              <w:adjustRightInd/>
              <w:jc w:val="center"/>
              <w:rPr>
                <w:b w:val="0"/>
              </w:rPr>
            </w:pPr>
            <w:r w:rsidRPr="006434AF">
              <w:rPr>
                <w:b w:val="0"/>
              </w:rPr>
              <w:t>Styrene</w:t>
            </w:r>
          </w:p>
        </w:tc>
        <w:tc>
          <w:tcPr>
            <w:tcW w:w="592" w:type="pct"/>
            <w:shd w:val="clear" w:color="auto" w:fill="auto"/>
            <w:vAlign w:val="bottom"/>
          </w:tcPr>
          <w:p w14:paraId="05277F00" w14:textId="37A8DC48" w:rsidR="007762EB" w:rsidRPr="00522B8B" w:rsidRDefault="007762EB" w:rsidP="00FA354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pPr>
            <w:r w:rsidRPr="001C2A97">
              <w:t>100425</w:t>
            </w:r>
          </w:p>
        </w:tc>
        <w:tc>
          <w:tcPr>
            <w:tcW w:w="518" w:type="pct"/>
            <w:shd w:val="clear" w:color="auto" w:fill="auto"/>
            <w:vAlign w:val="center"/>
          </w:tcPr>
          <w:p w14:paraId="573FD6ED" w14:textId="77777777" w:rsidR="007762EB" w:rsidRPr="00F8021B" w:rsidRDefault="007762EB" w:rsidP="00FA354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p>
        </w:tc>
        <w:tc>
          <w:tcPr>
            <w:tcW w:w="518" w:type="pct"/>
            <w:shd w:val="clear" w:color="auto" w:fill="auto"/>
            <w:vAlign w:val="center"/>
          </w:tcPr>
          <w:p w14:paraId="47251737" w14:textId="77777777" w:rsidR="007762EB" w:rsidRPr="00F8021B" w:rsidRDefault="007762EB" w:rsidP="00FA354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p>
        </w:tc>
        <w:tc>
          <w:tcPr>
            <w:tcW w:w="635" w:type="pct"/>
            <w:shd w:val="clear" w:color="auto" w:fill="auto"/>
            <w:vAlign w:val="bottom"/>
          </w:tcPr>
          <w:p w14:paraId="74F88001" w14:textId="420372A2" w:rsidR="007762EB" w:rsidRPr="00845E09" w:rsidRDefault="007762EB" w:rsidP="00FA354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pPr>
            <w:r w:rsidRPr="001C2A97">
              <w:t>0.1015</w:t>
            </w:r>
          </w:p>
        </w:tc>
        <w:tc>
          <w:tcPr>
            <w:tcW w:w="611" w:type="pct"/>
            <w:shd w:val="clear" w:color="auto" w:fill="auto"/>
          </w:tcPr>
          <w:p w14:paraId="7C539D32" w14:textId="0A10DA89" w:rsidR="007762EB" w:rsidRPr="00C64C1B" w:rsidRDefault="007762EB" w:rsidP="00FA354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625009">
              <w:rPr>
                <w:color w:val="000000"/>
                <w:szCs w:val="20"/>
              </w:rPr>
              <w:t>lbs./ton</w:t>
            </w:r>
          </w:p>
        </w:tc>
        <w:tc>
          <w:tcPr>
            <w:tcW w:w="826" w:type="pct"/>
            <w:shd w:val="clear" w:color="auto" w:fill="auto"/>
          </w:tcPr>
          <w:p w14:paraId="2EC28A84" w14:textId="70CF6C55" w:rsidR="007762EB" w:rsidRPr="00DB71E9" w:rsidRDefault="007762EB" w:rsidP="00FA3543">
            <w:pPr>
              <w:widowControl/>
              <w:autoSpaceDE/>
              <w:autoSpaceDN/>
              <w:adjustRightInd/>
              <w:cnfStyle w:val="000000000000" w:firstRow="0" w:lastRow="0" w:firstColumn="0" w:lastColumn="0" w:oddVBand="0" w:evenVBand="0" w:oddHBand="0" w:evenHBand="0" w:firstRowFirstColumn="0" w:firstRowLastColumn="0" w:lastRowFirstColumn="0" w:lastRowLastColumn="0"/>
              <w:rPr>
                <w:color w:val="000000"/>
                <w:szCs w:val="20"/>
              </w:rPr>
            </w:pPr>
            <w:r w:rsidRPr="001C2A97">
              <w:t xml:space="preserve">Reference </w:t>
            </w:r>
            <w:r>
              <w:fldChar w:fldCharType="begin"/>
            </w:r>
            <w:r>
              <w:instrText xml:space="preserve"> NOTEREF _Ref478559170 \h </w:instrText>
            </w:r>
            <w:r w:rsidR="006434AF">
              <w:instrText xml:space="preserve"> \* MERGEFORMAT </w:instrText>
            </w:r>
            <w:r>
              <w:fldChar w:fldCharType="separate"/>
            </w:r>
            <w:r w:rsidR="00B36F28">
              <w:t>9</w:t>
            </w:r>
            <w:r>
              <w:fldChar w:fldCharType="end"/>
            </w:r>
          </w:p>
        </w:tc>
      </w:tr>
    </w:tbl>
    <w:p w14:paraId="26176C80" w14:textId="77777777" w:rsidR="00573609" w:rsidRPr="009D4555" w:rsidRDefault="00573609" w:rsidP="009D4555"/>
    <w:sectPr w:rsidR="00573609" w:rsidRPr="009D4555" w:rsidSect="007D6365">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05DF8" w14:textId="77777777" w:rsidR="00E36C4A" w:rsidRPr="005A2CA7" w:rsidRDefault="00E36C4A" w:rsidP="005A2CA7">
      <w:pPr>
        <w:pStyle w:val="Footer"/>
      </w:pPr>
    </w:p>
  </w:endnote>
  <w:endnote w:type="continuationSeparator" w:id="0">
    <w:p w14:paraId="3434FD9C" w14:textId="77777777" w:rsidR="00E36C4A" w:rsidRPr="00D05698" w:rsidRDefault="00E36C4A" w:rsidP="00D05698">
      <w:pPr>
        <w:pStyle w:val="Footer"/>
      </w:pPr>
    </w:p>
  </w:endnote>
  <w:endnote w:type="continuationNotice" w:id="1">
    <w:p w14:paraId="33E51152" w14:textId="77777777" w:rsidR="00E36C4A" w:rsidRDefault="00E36C4A">
      <w:pPr>
        <w:spacing w:after="0"/>
      </w:pPr>
    </w:p>
  </w:endnote>
  <w:endnote w:id="2">
    <w:p w14:paraId="7F30C3A2" w14:textId="51B9E744" w:rsidR="00E36C4A" w:rsidRDefault="00E36C4A" w:rsidP="00350AB1">
      <w:pPr>
        <w:pStyle w:val="References"/>
      </w:pPr>
      <w:r>
        <w:rPr>
          <w:rStyle w:val="EndnoteReference"/>
        </w:rPr>
        <w:endnoteRef/>
      </w:r>
      <w:r>
        <w:t xml:space="preserve"> </w:t>
      </w:r>
      <w:r w:rsidR="001946A7" w:rsidRPr="00C76429">
        <w:t>U.S. Environmental Protection Agency</w:t>
      </w:r>
      <w:r w:rsidR="001946A7">
        <w:t>. 2018.</w:t>
      </w:r>
      <w:r w:rsidR="001946A7" w:rsidRPr="00C76429">
        <w:t xml:space="preserve"> </w:t>
      </w:r>
      <w:r w:rsidR="001946A7" w:rsidRPr="00356A3C">
        <w:rPr>
          <w:i/>
        </w:rPr>
        <w:t>Advan</w:t>
      </w:r>
      <w:r w:rsidR="001946A7">
        <w:rPr>
          <w:i/>
        </w:rPr>
        <w:t>cing Sustainable Materials: 2015</w:t>
      </w:r>
      <w:r w:rsidR="001946A7" w:rsidRPr="00356A3C">
        <w:rPr>
          <w:i/>
        </w:rPr>
        <w:t xml:space="preserve"> Fact Sheet</w:t>
      </w:r>
      <w:r w:rsidR="001946A7" w:rsidRPr="00C76429">
        <w:t>, "</w:t>
      </w:r>
      <w:r w:rsidR="001946A7" w:rsidRPr="000975F2">
        <w:t xml:space="preserve">Table 1. </w:t>
      </w:r>
      <w:r w:rsidR="001946A7">
        <w:t>Generation, Recovery and Discards of Materials in MSW, 2015 (in millions of tons and percent of generation of each material)</w:t>
      </w:r>
      <w:r w:rsidR="001946A7" w:rsidRPr="000975F2">
        <w:t>".</w:t>
      </w:r>
      <w:r w:rsidR="001946A7">
        <w:t xml:space="preserve"> </w:t>
      </w:r>
      <w:hyperlink r:id="rId1" w:history="1">
        <w:r w:rsidR="001946A7" w:rsidRPr="00E71196">
          <w:rPr>
            <w:rStyle w:val="Hyperlink"/>
          </w:rPr>
          <w:t>https://www.epa.gov/smm/advancing-sustainable-materials-management-facts-and-figures-report</w:t>
        </w:r>
      </w:hyperlink>
      <w:r>
        <w:t xml:space="preserve"> </w:t>
      </w:r>
    </w:p>
  </w:endnote>
  <w:endnote w:id="3">
    <w:p w14:paraId="556D8DE8" w14:textId="4AF003AF" w:rsidR="00E36C4A" w:rsidRDefault="00E36C4A" w:rsidP="00BE1458">
      <w:pPr>
        <w:pStyle w:val="References"/>
      </w:pPr>
      <w:r>
        <w:rPr>
          <w:rStyle w:val="EndnoteReference"/>
        </w:rPr>
        <w:endnoteRef/>
      </w:r>
      <w:r>
        <w:t xml:space="preserve"> </w:t>
      </w:r>
      <w:r w:rsidRPr="00C76429">
        <w:t>U.S. Environmental Protection Agency</w:t>
      </w:r>
      <w:r>
        <w:t>. 2011.</w:t>
      </w:r>
      <w:r w:rsidRPr="00C76429">
        <w:t xml:space="preserve"> </w:t>
      </w:r>
      <w:r w:rsidRPr="00C76429">
        <w:rPr>
          <w:i/>
        </w:rPr>
        <w:t>Municipal Solid Waste Generation, Recycling, and Disposal in the United States: Facts and Figures</w:t>
      </w:r>
      <w:r>
        <w:rPr>
          <w:i/>
        </w:rPr>
        <w:t xml:space="preserve"> for 2010—Fact Sheet</w:t>
      </w:r>
      <w:r w:rsidRPr="00C76429">
        <w:t>,"</w:t>
      </w:r>
      <w:r w:rsidRPr="000975F2">
        <w:t xml:space="preserve"> </w:t>
      </w:r>
      <w:r>
        <w:t>p. 4.</w:t>
      </w:r>
      <w:r w:rsidRPr="000975F2">
        <w:t xml:space="preserve"> </w:t>
      </w:r>
      <w:hyperlink r:id="rId2" w:history="1">
        <w:r w:rsidRPr="004E4038">
          <w:rPr>
            <w:rStyle w:val="Hyperlink"/>
          </w:rPr>
          <w:t>https://archive.epa.gov/epawaste/no</w:t>
        </w:r>
        <w:r w:rsidRPr="004E4038">
          <w:rPr>
            <w:rStyle w:val="Hyperlink"/>
          </w:rPr>
          <w:t>n</w:t>
        </w:r>
        <w:r w:rsidRPr="004E4038">
          <w:rPr>
            <w:rStyle w:val="Hyperlink"/>
          </w:rPr>
          <w:t>haz/municipal/web/pdf/msw_2010_factsheet.pdf</w:t>
        </w:r>
      </w:hyperlink>
      <w:r>
        <w:t xml:space="preserve"> </w:t>
      </w:r>
    </w:p>
  </w:endnote>
  <w:endnote w:id="4">
    <w:p w14:paraId="632BB7A5" w14:textId="79B67596" w:rsidR="00E36C4A" w:rsidRDefault="00E36C4A" w:rsidP="00350AB1">
      <w:pPr>
        <w:pStyle w:val="References"/>
      </w:pPr>
      <w:r>
        <w:rPr>
          <w:rStyle w:val="EndnoteReference"/>
        </w:rPr>
        <w:endnoteRef/>
      </w:r>
      <w:r>
        <w:t xml:space="preserve"> </w:t>
      </w:r>
      <w:r w:rsidR="001946A7" w:rsidRPr="005B0D17">
        <w:t>U.S. Census Bureau.</w:t>
      </w:r>
      <w:r w:rsidR="001946A7">
        <w:t xml:space="preserve"> </w:t>
      </w:r>
      <w:r w:rsidR="001946A7">
        <w:rPr>
          <w:i/>
          <w:iCs/>
        </w:rPr>
        <w:t>Total Population, American Community Survey</w:t>
      </w:r>
      <w:r w:rsidR="001946A7" w:rsidRPr="005B0D17">
        <w:rPr>
          <w:i/>
          <w:iCs/>
        </w:rPr>
        <w:t xml:space="preserve">, </w:t>
      </w:r>
      <w:hyperlink r:id="rId3" w:history="1">
        <w:r w:rsidR="001946A7">
          <w:rPr>
            <w:rStyle w:val="Hyperlink"/>
          </w:rPr>
          <w:t>https://data.census.gov/cedsci/table?hidePreview=false&amp;tid=ACSDT1Y2017.B01003&amp;vintage=2018</w:t>
        </w:r>
      </w:hyperlink>
      <w:r>
        <w:t xml:space="preserve"> </w:t>
      </w:r>
    </w:p>
  </w:endnote>
  <w:endnote w:id="5">
    <w:p w14:paraId="5D65B178" w14:textId="5CA30C48" w:rsidR="00E36C4A" w:rsidRDefault="00E36C4A" w:rsidP="00BE1458">
      <w:pPr>
        <w:pStyle w:val="References"/>
      </w:pPr>
      <w:r>
        <w:rPr>
          <w:rStyle w:val="EndnoteReference"/>
        </w:rPr>
        <w:endnoteRef/>
      </w:r>
      <w:r>
        <w:t xml:space="preserve"> U</w:t>
      </w:r>
      <w:r w:rsidRPr="00E44CEA">
        <w:t>.S. Census Bureau, Decennial Censuses, 20</w:t>
      </w:r>
      <w:r>
        <w:t>1</w:t>
      </w:r>
      <w:r w:rsidRPr="00E44CEA">
        <w:t xml:space="preserve">0 Census: </w:t>
      </w:r>
      <w:r>
        <w:t xml:space="preserve">Summary File 1. </w:t>
      </w:r>
      <w:hyperlink r:id="rId4" w:history="1">
        <w:r w:rsidRPr="002451D6">
          <w:rPr>
            <w:rStyle w:val="Hyperlink"/>
          </w:rPr>
          <w:t>http://www2.census.gov/census_2010/04-Summary_File_1/</w:t>
        </w:r>
      </w:hyperlink>
      <w:r>
        <w:t>.</w:t>
      </w:r>
    </w:p>
  </w:endnote>
  <w:endnote w:id="6">
    <w:p w14:paraId="5D06ED7F" w14:textId="4F6A9C95" w:rsidR="00E36C4A" w:rsidRDefault="00E36C4A" w:rsidP="00BE1458">
      <w:pPr>
        <w:pStyle w:val="References"/>
      </w:pPr>
      <w:r>
        <w:rPr>
          <w:rStyle w:val="EndnoteReference"/>
        </w:rPr>
        <w:endnoteRef/>
      </w:r>
      <w:r>
        <w:t xml:space="preserve"> Environment Canada. 2001. “Household Garbage Disposal and Burning.” Prepared by Environics Research Group.</w:t>
      </w:r>
    </w:p>
  </w:endnote>
  <w:endnote w:id="7">
    <w:p w14:paraId="460B3DB2" w14:textId="725B590A" w:rsidR="00E36C4A" w:rsidRDefault="00E36C4A" w:rsidP="00624A8A">
      <w:pPr>
        <w:pStyle w:val="References"/>
      </w:pPr>
      <w:r>
        <w:rPr>
          <w:rStyle w:val="EndnoteReference"/>
        </w:rPr>
        <w:endnoteRef/>
      </w:r>
      <w:r>
        <w:t xml:space="preserve"> </w:t>
      </w:r>
      <w:r w:rsidRPr="00624A8A">
        <w:t>Two Rivers Regional Council of Public Officials and Patrick Engineering, Inc.</w:t>
      </w:r>
      <w:r>
        <w:t xml:space="preserve"> 1994.</w:t>
      </w:r>
      <w:r w:rsidRPr="00624A8A">
        <w:t xml:space="preserve">  “Emission Characteristics of Burn Barrels,” prepared for the U.S. Environmental Protection Agency, Region V. </w:t>
      </w:r>
    </w:p>
  </w:endnote>
  <w:endnote w:id="8">
    <w:p w14:paraId="0519BA0B" w14:textId="21A3747A" w:rsidR="00E36C4A" w:rsidRDefault="00E36C4A" w:rsidP="005D522D">
      <w:pPr>
        <w:pStyle w:val="References"/>
      </w:pPr>
      <w:r>
        <w:rPr>
          <w:rStyle w:val="EndnoteReference"/>
        </w:rPr>
        <w:endnoteRef/>
      </w:r>
      <w:r>
        <w:t xml:space="preserve"> U.S. Environmental Protection Agency. 1992. AP-42, Fifth Edition, Volume 1, Chapter 2: Solid Waste Disposal. Section 2.5: Open Burning. </w:t>
      </w:r>
    </w:p>
  </w:endnote>
  <w:endnote w:id="9">
    <w:p w14:paraId="30D7E790" w14:textId="44CFFBEA" w:rsidR="00E36C4A" w:rsidRDefault="00E36C4A" w:rsidP="00AF2479">
      <w:pPr>
        <w:pStyle w:val="NoSpacing"/>
        <w:ind w:left="540" w:hanging="540"/>
      </w:pPr>
      <w:r>
        <w:rPr>
          <w:rStyle w:val="EndnoteReference"/>
        </w:rPr>
        <w:endnoteRef/>
      </w:r>
      <w:r>
        <w:t xml:space="preserve"> Eastern Research Group, Inc. Emissions Inventory Improvement Program. Volume III: Chapter 16, Open Burning. 2001. </w:t>
      </w:r>
      <w:hyperlink r:id="rId5" w:history="1">
        <w:r w:rsidRPr="00DE6DD3">
          <w:rPr>
            <w:rStyle w:val="Hyperlink"/>
          </w:rPr>
          <w:t>https://www.epa.gov/sites/production/files/2015-08/documents/iii16_apr2001.pdf</w:t>
        </w:r>
      </w:hyperlink>
      <w:r>
        <w:t xml:space="preserve"> </w:t>
      </w:r>
    </w:p>
  </w:endnote>
  <w:endnote w:id="10">
    <w:p w14:paraId="3C92DD40" w14:textId="5806CB1C" w:rsidR="00E36C4A" w:rsidRDefault="00E36C4A" w:rsidP="00EA44CB">
      <w:pPr>
        <w:pStyle w:val="References"/>
      </w:pPr>
      <w:r>
        <w:rPr>
          <w:rStyle w:val="EndnoteReference"/>
        </w:rPr>
        <w:endnoteRef/>
      </w:r>
      <w:r>
        <w:t xml:space="preserve"> </w:t>
      </w:r>
      <w:bookmarkStart w:id="13" w:name="OLE_LINK1"/>
      <w:r w:rsidRPr="001C4120">
        <w:t>U.S. Environmental Protection Agency, Control Technology Center.</w:t>
      </w:r>
      <w:r>
        <w:t xml:space="preserve"> 1997.</w:t>
      </w:r>
      <w:r w:rsidRPr="001C4120">
        <w:t xml:space="preserve">  “Evaluation of Emissions from the Open Burning of Household Waste in Barrels.” EPA</w:t>
      </w:r>
      <w:r w:rsidRPr="001C4120">
        <w:noBreakHyphen/>
        <w:t>600/R</w:t>
      </w:r>
      <w:r w:rsidRPr="001C4120">
        <w:noBreakHyphen/>
        <w:t>97</w:t>
      </w:r>
      <w:r w:rsidRPr="001C4120">
        <w:noBreakHyphen/>
        <w:t>134a.</w:t>
      </w:r>
      <w:bookmarkEnd w:id="13"/>
      <w:r>
        <w:t xml:space="preserve"> </w:t>
      </w:r>
      <w:hyperlink r:id="rId6" w:history="1">
        <w:r w:rsidRPr="00E71196">
          <w:rPr>
            <w:rStyle w:val="Hyperlink"/>
          </w:rPr>
          <w:t>https://cfpub.epa.gov/si/si_public_record_Report.cfm?dirEntryID=115129</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058902"/>
      <w:docPartObj>
        <w:docPartGallery w:val="Page Numbers (Bottom of Page)"/>
        <w:docPartUnique/>
      </w:docPartObj>
    </w:sdtPr>
    <w:sdtEndPr>
      <w:rPr>
        <w:noProof/>
      </w:rPr>
    </w:sdtEndPr>
    <w:sdtContent>
      <w:p w14:paraId="67D4140F" w14:textId="712473E0" w:rsidR="00E36C4A" w:rsidRDefault="00E36C4A">
        <w:pPr>
          <w:pStyle w:val="Footer"/>
          <w:jc w:val="right"/>
        </w:pPr>
        <w:r>
          <w:fldChar w:fldCharType="begin"/>
        </w:r>
        <w:r>
          <w:instrText xml:space="preserve"> PAGE   \* MERGEFORMAT </w:instrText>
        </w:r>
        <w:r>
          <w:fldChar w:fldCharType="separate"/>
        </w:r>
        <w:r w:rsidR="001946A7">
          <w:rPr>
            <w:noProof/>
          </w:rPr>
          <w:t>2</w:t>
        </w:r>
        <w:r>
          <w:rPr>
            <w:noProof/>
          </w:rPr>
          <w:fldChar w:fldCharType="end"/>
        </w:r>
      </w:p>
    </w:sdtContent>
  </w:sdt>
  <w:p w14:paraId="17F18410" w14:textId="77777777" w:rsidR="00E36C4A" w:rsidRDefault="00E36C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94AA9" w14:textId="77777777" w:rsidR="00E36C4A" w:rsidRDefault="00E36C4A" w:rsidP="005A2CA7">
      <w:r>
        <w:separator/>
      </w:r>
    </w:p>
  </w:footnote>
  <w:footnote w:type="continuationSeparator" w:id="0">
    <w:p w14:paraId="4458F18B" w14:textId="77777777" w:rsidR="00E36C4A" w:rsidRDefault="00E36C4A" w:rsidP="005A2C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73D0A"/>
    <w:multiLevelType w:val="hybridMultilevel"/>
    <w:tmpl w:val="811226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61FBA"/>
    <w:multiLevelType w:val="hybridMultilevel"/>
    <w:tmpl w:val="6B062A7E"/>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25B8E"/>
    <w:multiLevelType w:val="hybridMultilevel"/>
    <w:tmpl w:val="5D34FAAC"/>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04EA8"/>
    <w:multiLevelType w:val="hybridMultilevel"/>
    <w:tmpl w:val="18BA0D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62F78"/>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391CAD"/>
    <w:multiLevelType w:val="hybridMultilevel"/>
    <w:tmpl w:val="9754E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05A47"/>
    <w:multiLevelType w:val="hybridMultilevel"/>
    <w:tmpl w:val="4CC6B8F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0750CD"/>
    <w:multiLevelType w:val="hybridMultilevel"/>
    <w:tmpl w:val="DA8CE900"/>
    <w:lvl w:ilvl="0" w:tplc="0409000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410923"/>
    <w:multiLevelType w:val="hybridMultilevel"/>
    <w:tmpl w:val="C95A38C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91677F"/>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EE59C1"/>
    <w:multiLevelType w:val="hybridMultilevel"/>
    <w:tmpl w:val="BE1A5FD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8B1B90"/>
    <w:multiLevelType w:val="hybridMultilevel"/>
    <w:tmpl w:val="577CAAA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D615A"/>
    <w:multiLevelType w:val="hybridMultilevel"/>
    <w:tmpl w:val="3930506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CE6B35"/>
    <w:multiLevelType w:val="hybridMultilevel"/>
    <w:tmpl w:val="2E04AC82"/>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BF48A3"/>
    <w:multiLevelType w:val="hybridMultilevel"/>
    <w:tmpl w:val="189EC75C"/>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F94BB4"/>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914FC8"/>
    <w:multiLevelType w:val="hybridMultilevel"/>
    <w:tmpl w:val="D02A776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1B5F84"/>
    <w:multiLevelType w:val="hybridMultilevel"/>
    <w:tmpl w:val="DB8AF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AC4E76"/>
    <w:multiLevelType w:val="hybridMultilevel"/>
    <w:tmpl w:val="8BB41ED2"/>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C17371"/>
    <w:multiLevelType w:val="hybridMultilevel"/>
    <w:tmpl w:val="6B062A7E"/>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1E6D0A"/>
    <w:multiLevelType w:val="hybridMultilevel"/>
    <w:tmpl w:val="35AA3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977E38"/>
    <w:multiLevelType w:val="hybridMultilevel"/>
    <w:tmpl w:val="DF7C4F1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C97D4A"/>
    <w:multiLevelType w:val="hybridMultilevel"/>
    <w:tmpl w:val="B2C85A64"/>
    <w:lvl w:ilvl="0" w:tplc="558C64EA">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651A54"/>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3191523"/>
    <w:multiLevelType w:val="hybridMultilevel"/>
    <w:tmpl w:val="05A0283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321916"/>
    <w:multiLevelType w:val="hybridMultilevel"/>
    <w:tmpl w:val="2628317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B96E74"/>
    <w:multiLevelType w:val="hybridMultilevel"/>
    <w:tmpl w:val="27AE966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A274A0"/>
    <w:multiLevelType w:val="hybridMultilevel"/>
    <w:tmpl w:val="1B74A40E"/>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404FE"/>
    <w:multiLevelType w:val="hybridMultilevel"/>
    <w:tmpl w:val="68E4928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6660571"/>
    <w:multiLevelType w:val="hybridMultilevel"/>
    <w:tmpl w:val="74F0822E"/>
    <w:lvl w:ilvl="0" w:tplc="852A08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FCE4F6A"/>
    <w:multiLevelType w:val="hybridMultilevel"/>
    <w:tmpl w:val="19CE787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5"/>
  </w:num>
  <w:num w:numId="3">
    <w:abstractNumId w:val="9"/>
  </w:num>
  <w:num w:numId="4">
    <w:abstractNumId w:val="17"/>
  </w:num>
  <w:num w:numId="5">
    <w:abstractNumId w:val="4"/>
  </w:num>
  <w:num w:numId="6">
    <w:abstractNumId w:val="20"/>
  </w:num>
  <w:num w:numId="7">
    <w:abstractNumId w:val="29"/>
  </w:num>
  <w:num w:numId="8">
    <w:abstractNumId w:val="28"/>
  </w:num>
  <w:num w:numId="9">
    <w:abstractNumId w:val="22"/>
  </w:num>
  <w:num w:numId="10">
    <w:abstractNumId w:val="25"/>
  </w:num>
  <w:num w:numId="11">
    <w:abstractNumId w:val="16"/>
  </w:num>
  <w:num w:numId="12">
    <w:abstractNumId w:val="12"/>
  </w:num>
  <w:num w:numId="13">
    <w:abstractNumId w:val="6"/>
  </w:num>
  <w:num w:numId="14">
    <w:abstractNumId w:val="3"/>
  </w:num>
  <w:num w:numId="15">
    <w:abstractNumId w:val="26"/>
  </w:num>
  <w:num w:numId="16">
    <w:abstractNumId w:val="18"/>
  </w:num>
  <w:num w:numId="17">
    <w:abstractNumId w:val="0"/>
  </w:num>
  <w:num w:numId="18">
    <w:abstractNumId w:val="21"/>
  </w:num>
  <w:num w:numId="19">
    <w:abstractNumId w:val="30"/>
  </w:num>
  <w:num w:numId="20">
    <w:abstractNumId w:val="8"/>
  </w:num>
  <w:num w:numId="21">
    <w:abstractNumId w:val="19"/>
  </w:num>
  <w:num w:numId="22">
    <w:abstractNumId w:val="2"/>
  </w:num>
  <w:num w:numId="23">
    <w:abstractNumId w:val="1"/>
  </w:num>
  <w:num w:numId="24">
    <w:abstractNumId w:val="10"/>
  </w:num>
  <w:num w:numId="25">
    <w:abstractNumId w:val="13"/>
  </w:num>
  <w:num w:numId="26">
    <w:abstractNumId w:val="24"/>
  </w:num>
  <w:num w:numId="27">
    <w:abstractNumId w:val="14"/>
  </w:num>
  <w:num w:numId="28">
    <w:abstractNumId w:val="11"/>
  </w:num>
  <w:num w:numId="29">
    <w:abstractNumId w:val="27"/>
  </w:num>
  <w:num w:numId="30">
    <w:abstractNumId w:val="5"/>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9E"/>
    <w:rsid w:val="00010E6C"/>
    <w:rsid w:val="00016464"/>
    <w:rsid w:val="00024A94"/>
    <w:rsid w:val="0003373D"/>
    <w:rsid w:val="00052E59"/>
    <w:rsid w:val="00056E9D"/>
    <w:rsid w:val="00060A69"/>
    <w:rsid w:val="00073181"/>
    <w:rsid w:val="000840F3"/>
    <w:rsid w:val="00091662"/>
    <w:rsid w:val="000B7FC0"/>
    <w:rsid w:val="000C0667"/>
    <w:rsid w:val="000C7112"/>
    <w:rsid w:val="00103E34"/>
    <w:rsid w:val="001123F3"/>
    <w:rsid w:val="00157738"/>
    <w:rsid w:val="00174AE6"/>
    <w:rsid w:val="00185155"/>
    <w:rsid w:val="00186E1E"/>
    <w:rsid w:val="001946A7"/>
    <w:rsid w:val="001A09E7"/>
    <w:rsid w:val="001A19EB"/>
    <w:rsid w:val="001D6A38"/>
    <w:rsid w:val="001F1A1E"/>
    <w:rsid w:val="0020011C"/>
    <w:rsid w:val="002005B7"/>
    <w:rsid w:val="0020702C"/>
    <w:rsid w:val="002375F1"/>
    <w:rsid w:val="00266CAD"/>
    <w:rsid w:val="00274943"/>
    <w:rsid w:val="002958BB"/>
    <w:rsid w:val="002D0E4F"/>
    <w:rsid w:val="002D5E9B"/>
    <w:rsid w:val="002D74BC"/>
    <w:rsid w:val="002E5ADD"/>
    <w:rsid w:val="003165C3"/>
    <w:rsid w:val="0033702E"/>
    <w:rsid w:val="00340DAC"/>
    <w:rsid w:val="003478A9"/>
    <w:rsid w:val="00350AB1"/>
    <w:rsid w:val="00370113"/>
    <w:rsid w:val="00387957"/>
    <w:rsid w:val="003933F5"/>
    <w:rsid w:val="003D38C0"/>
    <w:rsid w:val="003D471D"/>
    <w:rsid w:val="003E35AF"/>
    <w:rsid w:val="003F3D3C"/>
    <w:rsid w:val="00402D36"/>
    <w:rsid w:val="00423F3B"/>
    <w:rsid w:val="00433E3C"/>
    <w:rsid w:val="0044447B"/>
    <w:rsid w:val="00454160"/>
    <w:rsid w:val="00454AD5"/>
    <w:rsid w:val="00456573"/>
    <w:rsid w:val="004A19A1"/>
    <w:rsid w:val="004A1B25"/>
    <w:rsid w:val="004B0DDF"/>
    <w:rsid w:val="004B7AFE"/>
    <w:rsid w:val="004E1458"/>
    <w:rsid w:val="004E1CBE"/>
    <w:rsid w:val="004E5DDA"/>
    <w:rsid w:val="00522B8B"/>
    <w:rsid w:val="00542287"/>
    <w:rsid w:val="005479A1"/>
    <w:rsid w:val="0056502F"/>
    <w:rsid w:val="00567EC9"/>
    <w:rsid w:val="00573609"/>
    <w:rsid w:val="00576E8A"/>
    <w:rsid w:val="005972AE"/>
    <w:rsid w:val="005A2CA7"/>
    <w:rsid w:val="005C4AFC"/>
    <w:rsid w:val="005D522D"/>
    <w:rsid w:val="005F309A"/>
    <w:rsid w:val="00613673"/>
    <w:rsid w:val="00624A8A"/>
    <w:rsid w:val="006375E3"/>
    <w:rsid w:val="00641FAE"/>
    <w:rsid w:val="006434AF"/>
    <w:rsid w:val="00646D28"/>
    <w:rsid w:val="00676FE8"/>
    <w:rsid w:val="00684CBB"/>
    <w:rsid w:val="00697D2A"/>
    <w:rsid w:val="006B3338"/>
    <w:rsid w:val="006E7E04"/>
    <w:rsid w:val="006F5441"/>
    <w:rsid w:val="00700C74"/>
    <w:rsid w:val="00705DD0"/>
    <w:rsid w:val="0071346C"/>
    <w:rsid w:val="0075019B"/>
    <w:rsid w:val="00760A1F"/>
    <w:rsid w:val="007614AA"/>
    <w:rsid w:val="007660D8"/>
    <w:rsid w:val="00770E9B"/>
    <w:rsid w:val="007762EB"/>
    <w:rsid w:val="00780F50"/>
    <w:rsid w:val="007818A7"/>
    <w:rsid w:val="00784C8C"/>
    <w:rsid w:val="007C3960"/>
    <w:rsid w:val="007D6365"/>
    <w:rsid w:val="007E28CD"/>
    <w:rsid w:val="007F3EDA"/>
    <w:rsid w:val="007F53C1"/>
    <w:rsid w:val="00811E42"/>
    <w:rsid w:val="00820422"/>
    <w:rsid w:val="00824E07"/>
    <w:rsid w:val="00830499"/>
    <w:rsid w:val="00837710"/>
    <w:rsid w:val="00873FFC"/>
    <w:rsid w:val="008810A9"/>
    <w:rsid w:val="008936CB"/>
    <w:rsid w:val="008B738B"/>
    <w:rsid w:val="008D104F"/>
    <w:rsid w:val="008E1A37"/>
    <w:rsid w:val="008E2445"/>
    <w:rsid w:val="00944444"/>
    <w:rsid w:val="00964B52"/>
    <w:rsid w:val="0097139E"/>
    <w:rsid w:val="0097551A"/>
    <w:rsid w:val="009807FA"/>
    <w:rsid w:val="00986448"/>
    <w:rsid w:val="009944E8"/>
    <w:rsid w:val="009A0471"/>
    <w:rsid w:val="009A3FCC"/>
    <w:rsid w:val="009A4421"/>
    <w:rsid w:val="009B67B9"/>
    <w:rsid w:val="009C0F97"/>
    <w:rsid w:val="009D22C4"/>
    <w:rsid w:val="009D4555"/>
    <w:rsid w:val="009F5C98"/>
    <w:rsid w:val="009F69C6"/>
    <w:rsid w:val="009F6A7F"/>
    <w:rsid w:val="009F7029"/>
    <w:rsid w:val="00A13699"/>
    <w:rsid w:val="00A207E8"/>
    <w:rsid w:val="00A254EC"/>
    <w:rsid w:val="00A329DA"/>
    <w:rsid w:val="00A4319E"/>
    <w:rsid w:val="00A54167"/>
    <w:rsid w:val="00A6061A"/>
    <w:rsid w:val="00A754FD"/>
    <w:rsid w:val="00A84DAA"/>
    <w:rsid w:val="00AA748C"/>
    <w:rsid w:val="00AA771E"/>
    <w:rsid w:val="00AB23B5"/>
    <w:rsid w:val="00AD70B8"/>
    <w:rsid w:val="00AD7E0B"/>
    <w:rsid w:val="00AE30FA"/>
    <w:rsid w:val="00AE432D"/>
    <w:rsid w:val="00AE4CC9"/>
    <w:rsid w:val="00AE6CC9"/>
    <w:rsid w:val="00AF1787"/>
    <w:rsid w:val="00AF2479"/>
    <w:rsid w:val="00AF4787"/>
    <w:rsid w:val="00B1561C"/>
    <w:rsid w:val="00B162D6"/>
    <w:rsid w:val="00B24CB0"/>
    <w:rsid w:val="00B259AF"/>
    <w:rsid w:val="00B25B74"/>
    <w:rsid w:val="00B302A4"/>
    <w:rsid w:val="00B32469"/>
    <w:rsid w:val="00B36F28"/>
    <w:rsid w:val="00B511A0"/>
    <w:rsid w:val="00B60052"/>
    <w:rsid w:val="00B76CA8"/>
    <w:rsid w:val="00B937CC"/>
    <w:rsid w:val="00B97E6E"/>
    <w:rsid w:val="00BC47F1"/>
    <w:rsid w:val="00BD21A4"/>
    <w:rsid w:val="00BD61EA"/>
    <w:rsid w:val="00BE0480"/>
    <w:rsid w:val="00BE1458"/>
    <w:rsid w:val="00BE722C"/>
    <w:rsid w:val="00BF2D63"/>
    <w:rsid w:val="00C17C05"/>
    <w:rsid w:val="00C2093D"/>
    <w:rsid w:val="00C21D38"/>
    <w:rsid w:val="00C900AF"/>
    <w:rsid w:val="00CA6FB5"/>
    <w:rsid w:val="00CA76F8"/>
    <w:rsid w:val="00CA7F23"/>
    <w:rsid w:val="00CB0EFC"/>
    <w:rsid w:val="00CF6988"/>
    <w:rsid w:val="00D05698"/>
    <w:rsid w:val="00D13507"/>
    <w:rsid w:val="00D135E3"/>
    <w:rsid w:val="00D360C1"/>
    <w:rsid w:val="00D53991"/>
    <w:rsid w:val="00D65A31"/>
    <w:rsid w:val="00D74764"/>
    <w:rsid w:val="00DA1272"/>
    <w:rsid w:val="00DB0467"/>
    <w:rsid w:val="00DC1FF2"/>
    <w:rsid w:val="00DD56FB"/>
    <w:rsid w:val="00DE6C05"/>
    <w:rsid w:val="00DF0B38"/>
    <w:rsid w:val="00DF2E2F"/>
    <w:rsid w:val="00E10956"/>
    <w:rsid w:val="00E12236"/>
    <w:rsid w:val="00E267BB"/>
    <w:rsid w:val="00E3043C"/>
    <w:rsid w:val="00E36C4A"/>
    <w:rsid w:val="00E438D7"/>
    <w:rsid w:val="00E576D3"/>
    <w:rsid w:val="00E61A28"/>
    <w:rsid w:val="00E73FF9"/>
    <w:rsid w:val="00E7492B"/>
    <w:rsid w:val="00E91F7F"/>
    <w:rsid w:val="00E95198"/>
    <w:rsid w:val="00EA44CB"/>
    <w:rsid w:val="00EC0C41"/>
    <w:rsid w:val="00ED0BEB"/>
    <w:rsid w:val="00ED598D"/>
    <w:rsid w:val="00EE0E08"/>
    <w:rsid w:val="00EE7CB6"/>
    <w:rsid w:val="00EF1C43"/>
    <w:rsid w:val="00EF4865"/>
    <w:rsid w:val="00F1596A"/>
    <w:rsid w:val="00F33727"/>
    <w:rsid w:val="00F33E46"/>
    <w:rsid w:val="00F36AC5"/>
    <w:rsid w:val="00F5341A"/>
    <w:rsid w:val="00F60ED8"/>
    <w:rsid w:val="00F71199"/>
    <w:rsid w:val="00F8021B"/>
    <w:rsid w:val="00F87189"/>
    <w:rsid w:val="00FA3543"/>
    <w:rsid w:val="00FA6A41"/>
    <w:rsid w:val="00FB02D3"/>
    <w:rsid w:val="00FE02FD"/>
    <w:rsid w:val="00FE7F5B"/>
    <w:rsid w:val="3360A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B26C642"/>
  <w15:docId w15:val="{2D46F387-AB1E-433D-9B5C-495941AEF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CBE"/>
    <w:pPr>
      <w:widowControl w:val="0"/>
      <w:autoSpaceDE w:val="0"/>
      <w:autoSpaceDN w:val="0"/>
      <w:adjustRightInd w:val="0"/>
      <w:spacing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186E1E"/>
    <w:pPr>
      <w:keepNext/>
      <w:keepLines/>
      <w:numPr>
        <w:numId w:val="9"/>
      </w:numPr>
      <w:ind w:left="360"/>
      <w:outlineLvl w:val="0"/>
    </w:pPr>
    <w:rPr>
      <w:rFonts w:ascii="Arial" w:eastAsiaTheme="majorEastAsia" w:hAnsi="Arial"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A4319E"/>
  </w:style>
  <w:style w:type="character" w:styleId="Hyperlink">
    <w:name w:val="Hyperlink"/>
    <w:basedOn w:val="DefaultParagraphFont"/>
    <w:rsid w:val="00A4319E"/>
    <w:rPr>
      <w:color w:val="0000FF"/>
      <w:u w:val="single"/>
    </w:rPr>
  </w:style>
  <w:style w:type="paragraph" w:styleId="FootnoteText">
    <w:name w:val="footnote text"/>
    <w:basedOn w:val="Normal"/>
    <w:link w:val="FootnoteTextChar"/>
    <w:uiPriority w:val="99"/>
    <w:semiHidden/>
    <w:unhideWhenUsed/>
    <w:rsid w:val="00A4319E"/>
    <w:rPr>
      <w:szCs w:val="20"/>
    </w:rPr>
  </w:style>
  <w:style w:type="character" w:customStyle="1" w:styleId="FootnoteTextChar">
    <w:name w:val="Footnote Text Char"/>
    <w:basedOn w:val="DefaultParagraphFont"/>
    <w:link w:val="FootnoteText"/>
    <w:uiPriority w:val="99"/>
    <w:semiHidden/>
    <w:rsid w:val="00A4319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4319E"/>
    <w:rPr>
      <w:vertAlign w:val="superscript"/>
    </w:rPr>
  </w:style>
  <w:style w:type="paragraph" w:styleId="EndnoteText">
    <w:name w:val="endnote text"/>
    <w:basedOn w:val="Normal"/>
    <w:link w:val="EndnoteTextChar"/>
    <w:uiPriority w:val="99"/>
    <w:semiHidden/>
    <w:unhideWhenUsed/>
    <w:rsid w:val="00A4319E"/>
    <w:rPr>
      <w:szCs w:val="20"/>
    </w:rPr>
  </w:style>
  <w:style w:type="character" w:customStyle="1" w:styleId="EndnoteTextChar">
    <w:name w:val="Endnote Text Char"/>
    <w:basedOn w:val="DefaultParagraphFont"/>
    <w:link w:val="EndnoteText"/>
    <w:uiPriority w:val="99"/>
    <w:semiHidden/>
    <w:rsid w:val="00A4319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4319E"/>
    <w:rPr>
      <w:vertAlign w:val="superscript"/>
    </w:rPr>
  </w:style>
  <w:style w:type="character" w:styleId="CommentReference">
    <w:name w:val="annotation reference"/>
    <w:basedOn w:val="DefaultParagraphFont"/>
    <w:uiPriority w:val="99"/>
    <w:semiHidden/>
    <w:unhideWhenUsed/>
    <w:rsid w:val="00A4319E"/>
    <w:rPr>
      <w:sz w:val="16"/>
      <w:szCs w:val="16"/>
    </w:rPr>
  </w:style>
  <w:style w:type="paragraph" w:styleId="CommentText">
    <w:name w:val="annotation text"/>
    <w:basedOn w:val="Normal"/>
    <w:link w:val="CommentTextChar"/>
    <w:uiPriority w:val="99"/>
    <w:semiHidden/>
    <w:unhideWhenUsed/>
    <w:rsid w:val="00A4319E"/>
    <w:rPr>
      <w:szCs w:val="20"/>
    </w:rPr>
  </w:style>
  <w:style w:type="character" w:customStyle="1" w:styleId="CommentTextChar">
    <w:name w:val="Comment Text Char"/>
    <w:basedOn w:val="DefaultParagraphFont"/>
    <w:link w:val="CommentText"/>
    <w:uiPriority w:val="99"/>
    <w:semiHidden/>
    <w:rsid w:val="00A431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319E"/>
    <w:rPr>
      <w:b/>
      <w:bCs/>
    </w:rPr>
  </w:style>
  <w:style w:type="character" w:customStyle="1" w:styleId="CommentSubjectChar">
    <w:name w:val="Comment Subject Char"/>
    <w:basedOn w:val="CommentTextChar"/>
    <w:link w:val="CommentSubject"/>
    <w:uiPriority w:val="99"/>
    <w:semiHidden/>
    <w:rsid w:val="00A4319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4319E"/>
    <w:rPr>
      <w:rFonts w:ascii="Tahoma" w:hAnsi="Tahoma" w:cs="Tahoma"/>
      <w:sz w:val="16"/>
      <w:szCs w:val="16"/>
    </w:rPr>
  </w:style>
  <w:style w:type="character" w:customStyle="1" w:styleId="BalloonTextChar">
    <w:name w:val="Balloon Text Char"/>
    <w:basedOn w:val="DefaultParagraphFont"/>
    <w:link w:val="BalloonText"/>
    <w:uiPriority w:val="99"/>
    <w:semiHidden/>
    <w:rsid w:val="00A4319E"/>
    <w:rPr>
      <w:rFonts w:ascii="Tahoma" w:eastAsia="Times New Roman" w:hAnsi="Tahoma" w:cs="Tahoma"/>
      <w:sz w:val="16"/>
      <w:szCs w:val="16"/>
    </w:rPr>
  </w:style>
  <w:style w:type="paragraph" w:styleId="NormalWeb">
    <w:name w:val="Normal (Web)"/>
    <w:basedOn w:val="Normal"/>
    <w:uiPriority w:val="99"/>
    <w:semiHidden/>
    <w:unhideWhenUsed/>
    <w:rsid w:val="00A4319E"/>
    <w:pPr>
      <w:widowControl/>
      <w:autoSpaceDE/>
      <w:autoSpaceDN/>
      <w:adjustRightInd/>
      <w:spacing w:before="100" w:beforeAutospacing="1" w:after="100" w:afterAutospacing="1"/>
    </w:pPr>
  </w:style>
  <w:style w:type="character" w:styleId="FollowedHyperlink">
    <w:name w:val="FollowedHyperlink"/>
    <w:basedOn w:val="DefaultParagraphFont"/>
    <w:uiPriority w:val="99"/>
    <w:semiHidden/>
    <w:unhideWhenUsed/>
    <w:rsid w:val="00A4319E"/>
    <w:rPr>
      <w:color w:val="800080" w:themeColor="followedHyperlink"/>
      <w:u w:val="single"/>
    </w:rPr>
  </w:style>
  <w:style w:type="paragraph" w:styleId="ListParagraph">
    <w:name w:val="List Paragraph"/>
    <w:basedOn w:val="Normal"/>
    <w:uiPriority w:val="34"/>
    <w:qFormat/>
    <w:rsid w:val="00A4319E"/>
    <w:pPr>
      <w:ind w:left="720"/>
      <w:contextualSpacing/>
    </w:pPr>
  </w:style>
  <w:style w:type="character" w:styleId="PlaceholderText">
    <w:name w:val="Placeholder Text"/>
    <w:basedOn w:val="DefaultParagraphFont"/>
    <w:uiPriority w:val="99"/>
    <w:semiHidden/>
    <w:rsid w:val="00A4319E"/>
    <w:rPr>
      <w:color w:val="808080"/>
    </w:rPr>
  </w:style>
  <w:style w:type="paragraph" w:styleId="Revision">
    <w:name w:val="Revision"/>
    <w:hidden/>
    <w:uiPriority w:val="99"/>
    <w:semiHidden/>
    <w:rsid w:val="00A4319E"/>
    <w:pPr>
      <w:spacing w:after="0" w:line="240" w:lineRule="auto"/>
    </w:pPr>
    <w:rPr>
      <w:rFonts w:ascii="Times New Roman" w:eastAsia="Times New Roman" w:hAnsi="Times New Roman" w:cs="Times New Roman"/>
      <w:sz w:val="24"/>
      <w:szCs w:val="24"/>
    </w:rPr>
  </w:style>
  <w:style w:type="paragraph" w:customStyle="1" w:styleId="Style1">
    <w:name w:val="Style1"/>
    <w:basedOn w:val="Normal"/>
    <w:next w:val="Normal"/>
    <w:link w:val="Style1Char"/>
    <w:rsid w:val="00ED598D"/>
    <w:pPr>
      <w:widowControl/>
      <w:tabs>
        <w:tab w:val="left" w:pos="0"/>
      </w:tabs>
      <w:spacing w:after="240"/>
    </w:pPr>
    <w:rPr>
      <w:b/>
      <w:i/>
      <w:szCs w:val="20"/>
    </w:rPr>
  </w:style>
  <w:style w:type="paragraph" w:styleId="Caption">
    <w:name w:val="caption"/>
    <w:basedOn w:val="Normal"/>
    <w:next w:val="Normal"/>
    <w:link w:val="CaptionChar"/>
    <w:uiPriority w:val="35"/>
    <w:unhideWhenUsed/>
    <w:qFormat/>
    <w:rsid w:val="004B0DDF"/>
    <w:rPr>
      <w:b/>
      <w:bCs/>
      <w:color w:val="4F81BD" w:themeColor="accent1"/>
      <w:sz w:val="18"/>
      <w:szCs w:val="18"/>
    </w:rPr>
  </w:style>
  <w:style w:type="character" w:customStyle="1" w:styleId="Style1Char">
    <w:name w:val="Style1 Char"/>
    <w:basedOn w:val="DefaultParagraphFont"/>
    <w:link w:val="Style1"/>
    <w:rsid w:val="00ED598D"/>
    <w:rPr>
      <w:rFonts w:ascii="Times New Roman" w:eastAsia="Times New Roman" w:hAnsi="Times New Roman" w:cs="Times New Roman"/>
      <w:b/>
      <w:i/>
      <w:sz w:val="20"/>
      <w:szCs w:val="20"/>
    </w:rPr>
  </w:style>
  <w:style w:type="paragraph" w:styleId="Footer">
    <w:name w:val="footer"/>
    <w:basedOn w:val="Normal"/>
    <w:link w:val="FooterChar"/>
    <w:uiPriority w:val="99"/>
    <w:unhideWhenUsed/>
    <w:rsid w:val="005A2CA7"/>
    <w:pPr>
      <w:tabs>
        <w:tab w:val="center" w:pos="4680"/>
        <w:tab w:val="right" w:pos="9360"/>
      </w:tabs>
    </w:pPr>
  </w:style>
  <w:style w:type="character" w:customStyle="1" w:styleId="FooterChar">
    <w:name w:val="Footer Char"/>
    <w:basedOn w:val="DefaultParagraphFont"/>
    <w:link w:val="Footer"/>
    <w:uiPriority w:val="99"/>
    <w:rsid w:val="005A2CA7"/>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186E1E"/>
    <w:rPr>
      <w:rFonts w:ascii="Arial" w:eastAsiaTheme="majorEastAsia" w:hAnsi="Arial" w:cstheme="majorBidi"/>
      <w:b/>
      <w:caps/>
      <w:kern w:val="28"/>
      <w:sz w:val="24"/>
      <w:szCs w:val="52"/>
    </w:rPr>
  </w:style>
  <w:style w:type="character" w:customStyle="1" w:styleId="TitleChar">
    <w:name w:val="Title Char"/>
    <w:basedOn w:val="DefaultParagraphFont"/>
    <w:link w:val="Title"/>
    <w:uiPriority w:val="10"/>
    <w:rsid w:val="00186E1E"/>
    <w:rPr>
      <w:rFonts w:ascii="Arial" w:eastAsiaTheme="majorEastAsia" w:hAnsi="Arial" w:cstheme="majorBidi"/>
      <w:b/>
      <w:caps/>
      <w:kern w:val="28"/>
      <w:sz w:val="24"/>
      <w:szCs w:val="52"/>
    </w:rPr>
  </w:style>
  <w:style w:type="character" w:customStyle="1" w:styleId="Heading1Char">
    <w:name w:val="Heading 1 Char"/>
    <w:basedOn w:val="DefaultParagraphFont"/>
    <w:link w:val="Heading1"/>
    <w:uiPriority w:val="9"/>
    <w:rsid w:val="00186E1E"/>
    <w:rPr>
      <w:rFonts w:ascii="Arial" w:eastAsiaTheme="majorEastAsia" w:hAnsi="Arial" w:cstheme="majorBidi"/>
      <w:b/>
      <w:bCs/>
      <w:sz w:val="20"/>
      <w:szCs w:val="28"/>
    </w:rPr>
  </w:style>
  <w:style w:type="paragraph" w:styleId="NoSpacing">
    <w:name w:val="No Spacing"/>
    <w:aliases w:val="Variables"/>
    <w:uiPriority w:val="1"/>
    <w:qFormat/>
    <w:rsid w:val="004E1CBE"/>
    <w:pPr>
      <w:widowControl w:val="0"/>
      <w:tabs>
        <w:tab w:val="left" w:pos="576"/>
        <w:tab w:val="left" w:pos="1296"/>
        <w:tab w:val="left" w:pos="1584"/>
      </w:tabs>
      <w:autoSpaceDE w:val="0"/>
      <w:autoSpaceDN w:val="0"/>
      <w:adjustRightInd w:val="0"/>
      <w:spacing w:after="0" w:line="240" w:lineRule="auto"/>
      <w:ind w:left="1728" w:hanging="1728"/>
    </w:pPr>
    <w:rPr>
      <w:rFonts w:ascii="Times New Roman" w:eastAsia="Times New Roman" w:hAnsi="Times New Roman" w:cs="Times New Roman"/>
      <w:sz w:val="20"/>
      <w:szCs w:val="24"/>
    </w:rPr>
  </w:style>
  <w:style w:type="paragraph" w:customStyle="1" w:styleId="References">
    <w:name w:val="References"/>
    <w:basedOn w:val="EndnoteText"/>
    <w:link w:val="ReferencesChar"/>
    <w:qFormat/>
    <w:rsid w:val="00052E59"/>
    <w:pPr>
      <w:spacing w:after="0"/>
      <w:ind w:left="540" w:hanging="540"/>
    </w:pPr>
  </w:style>
  <w:style w:type="paragraph" w:customStyle="1" w:styleId="TableCaption">
    <w:name w:val="TableCaption"/>
    <w:basedOn w:val="Caption"/>
    <w:link w:val="TableCaptionChar"/>
    <w:qFormat/>
    <w:rsid w:val="00024A94"/>
    <w:pPr>
      <w:keepNext/>
      <w:spacing w:after="120"/>
      <w:jc w:val="center"/>
    </w:pPr>
    <w:rPr>
      <w:color w:val="auto"/>
      <w:sz w:val="20"/>
    </w:rPr>
  </w:style>
  <w:style w:type="character" w:customStyle="1" w:styleId="ReferencesChar">
    <w:name w:val="References Char"/>
    <w:basedOn w:val="EndnoteTextChar"/>
    <w:link w:val="References"/>
    <w:rsid w:val="00052E59"/>
    <w:rPr>
      <w:rFonts w:ascii="Times New Roman" w:eastAsia="Times New Roman" w:hAnsi="Times New Roman" w:cs="Times New Roman"/>
      <w:sz w:val="20"/>
      <w:szCs w:val="20"/>
    </w:rPr>
  </w:style>
  <w:style w:type="table" w:styleId="TableGrid">
    <w:name w:val="Table Grid"/>
    <w:basedOn w:val="TableNormal"/>
    <w:uiPriority w:val="59"/>
    <w:rsid w:val="00986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basedOn w:val="DefaultParagraphFont"/>
    <w:link w:val="Caption"/>
    <w:uiPriority w:val="35"/>
    <w:rsid w:val="00052E59"/>
    <w:rPr>
      <w:rFonts w:ascii="Times New Roman" w:eastAsia="Times New Roman" w:hAnsi="Times New Roman" w:cs="Times New Roman"/>
      <w:b/>
      <w:bCs/>
      <w:color w:val="4F81BD" w:themeColor="accent1"/>
      <w:sz w:val="18"/>
      <w:szCs w:val="18"/>
    </w:rPr>
  </w:style>
  <w:style w:type="character" w:customStyle="1" w:styleId="TableCaptionChar">
    <w:name w:val="TableCaption Char"/>
    <w:basedOn w:val="CaptionChar"/>
    <w:link w:val="TableCaption"/>
    <w:rsid w:val="00024A94"/>
    <w:rPr>
      <w:rFonts w:ascii="Times New Roman" w:eastAsia="Times New Roman" w:hAnsi="Times New Roman" w:cs="Times New Roman"/>
      <w:b/>
      <w:bCs/>
      <w:color w:val="4F81BD" w:themeColor="accent1"/>
      <w:sz w:val="20"/>
      <w:szCs w:val="18"/>
    </w:rPr>
  </w:style>
  <w:style w:type="table" w:styleId="LightList">
    <w:name w:val="Light List"/>
    <w:basedOn w:val="TableNormal"/>
    <w:uiPriority w:val="61"/>
    <w:rsid w:val="009D455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5">
    <w:name w:val="Light List Accent 5"/>
    <w:basedOn w:val="TableNormal"/>
    <w:uiPriority w:val="61"/>
    <w:rsid w:val="009D455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Header">
    <w:name w:val="header"/>
    <w:basedOn w:val="Normal"/>
    <w:link w:val="HeaderChar"/>
    <w:uiPriority w:val="99"/>
    <w:unhideWhenUsed/>
    <w:rsid w:val="00D135E3"/>
    <w:pPr>
      <w:tabs>
        <w:tab w:val="center" w:pos="4680"/>
        <w:tab w:val="right" w:pos="9360"/>
      </w:tabs>
      <w:spacing w:after="0"/>
    </w:pPr>
  </w:style>
  <w:style w:type="character" w:customStyle="1" w:styleId="HeaderChar">
    <w:name w:val="Header Char"/>
    <w:basedOn w:val="DefaultParagraphFont"/>
    <w:link w:val="Header"/>
    <w:uiPriority w:val="99"/>
    <w:rsid w:val="00D135E3"/>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064842">
      <w:bodyDiv w:val="1"/>
      <w:marLeft w:val="0"/>
      <w:marRight w:val="0"/>
      <w:marTop w:val="0"/>
      <w:marBottom w:val="0"/>
      <w:divBdr>
        <w:top w:val="none" w:sz="0" w:space="0" w:color="auto"/>
        <w:left w:val="none" w:sz="0" w:space="0" w:color="auto"/>
        <w:bottom w:val="none" w:sz="0" w:space="0" w:color="auto"/>
        <w:right w:val="none" w:sz="0" w:space="0" w:color="auto"/>
      </w:divBdr>
    </w:div>
    <w:div w:id="639921403">
      <w:bodyDiv w:val="1"/>
      <w:marLeft w:val="0"/>
      <w:marRight w:val="0"/>
      <w:marTop w:val="0"/>
      <w:marBottom w:val="0"/>
      <w:divBdr>
        <w:top w:val="none" w:sz="0" w:space="0" w:color="auto"/>
        <w:left w:val="none" w:sz="0" w:space="0" w:color="auto"/>
        <w:bottom w:val="none" w:sz="0" w:space="0" w:color="auto"/>
        <w:right w:val="none" w:sz="0" w:space="0" w:color="auto"/>
      </w:divBdr>
    </w:div>
    <w:div w:id="780998515">
      <w:bodyDiv w:val="1"/>
      <w:marLeft w:val="0"/>
      <w:marRight w:val="0"/>
      <w:marTop w:val="0"/>
      <w:marBottom w:val="0"/>
      <w:divBdr>
        <w:top w:val="none" w:sz="0" w:space="0" w:color="auto"/>
        <w:left w:val="none" w:sz="0" w:space="0" w:color="auto"/>
        <w:bottom w:val="none" w:sz="0" w:space="0" w:color="auto"/>
        <w:right w:val="none" w:sz="0" w:space="0" w:color="auto"/>
      </w:divBdr>
    </w:div>
    <w:div w:id="1158691918">
      <w:bodyDiv w:val="1"/>
      <w:marLeft w:val="0"/>
      <w:marRight w:val="0"/>
      <w:marTop w:val="0"/>
      <w:marBottom w:val="0"/>
      <w:divBdr>
        <w:top w:val="none" w:sz="0" w:space="0" w:color="auto"/>
        <w:left w:val="none" w:sz="0" w:space="0" w:color="auto"/>
        <w:bottom w:val="none" w:sz="0" w:space="0" w:color="auto"/>
        <w:right w:val="none" w:sz="0" w:space="0" w:color="auto"/>
      </w:divBdr>
    </w:div>
    <w:div w:id="1189489726">
      <w:bodyDiv w:val="1"/>
      <w:marLeft w:val="0"/>
      <w:marRight w:val="0"/>
      <w:marTop w:val="0"/>
      <w:marBottom w:val="0"/>
      <w:divBdr>
        <w:top w:val="none" w:sz="0" w:space="0" w:color="auto"/>
        <w:left w:val="none" w:sz="0" w:space="0" w:color="auto"/>
        <w:bottom w:val="none" w:sz="0" w:space="0" w:color="auto"/>
        <w:right w:val="none" w:sz="0" w:space="0" w:color="auto"/>
      </w:divBdr>
    </w:div>
    <w:div w:id="214126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data.census.gov/cedsci/table?hidePreview=false&amp;tid=ACSDT1Y2017.B01003&amp;vintage=2018" TargetMode="External"/><Relationship Id="rId2" Type="http://schemas.openxmlformats.org/officeDocument/2006/relationships/hyperlink" Target="https://archive.epa.gov/epawaste/nonhaz/municipal/web/pdf/msw_2010_factsheet.pdf" TargetMode="External"/><Relationship Id="rId1" Type="http://schemas.openxmlformats.org/officeDocument/2006/relationships/hyperlink" Target="https://www.epa.gov/smm/advancing-sustainable-materials-management-facts-and-figures-report" TargetMode="External"/><Relationship Id="rId6" Type="http://schemas.openxmlformats.org/officeDocument/2006/relationships/hyperlink" Target="https://cfpub.epa.gov/si/si_public_record_Report.cfm?dirEntryID=115129" TargetMode="External"/><Relationship Id="rId5" Type="http://schemas.openxmlformats.org/officeDocument/2006/relationships/hyperlink" Target="https://www.epa.gov/sites/production/files/2015-08/documents/iii16_apr2001.pdf" TargetMode="External"/><Relationship Id="rId4" Type="http://schemas.openxmlformats.org/officeDocument/2006/relationships/hyperlink" Target="http://www2.census.gov/census_2010/04-Summary_File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2017-02-27T20:46:29+00:00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06DC88A3BFD6754DA1EA05A9DC1B21F9" ma:contentTypeVersion="8" ma:contentTypeDescription="Create a new document." ma:contentTypeScope="" ma:versionID="5875bbb3270e6378e8161e7dcd2ff56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xmlns:ns6="eae1606c-bbef-499f-bb66-c2dbf02f8e2b" targetNamespace="http://schemas.microsoft.com/office/2006/metadata/properties" ma:root="true" ma:fieldsID="12c871e09c71e41589c4872e61c48a00" ns1:_="" ns2:_="" ns3:_="" ns4:_="" ns5:_="" ns6: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import namespace="eae1606c-bbef-499f-bb66-c2dbf02f8e2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e1606c-bbef-499f-bb66-c2dbf02f8e2b"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0840A-CB90-4B4C-BB34-4F22FEDE0888}">
  <ds:schemaRefs>
    <ds:schemaRef ds:uri="http://purl.org/dc/dcmitype/"/>
    <ds:schemaRef ds:uri="http://www.w3.org/XML/1998/namespace"/>
    <ds:schemaRef ds:uri="http://schemas.microsoft.com/sharepoint/v3/fields"/>
    <ds:schemaRef ds:uri="http://schemas.microsoft.com/office/2006/metadata/properties"/>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7d8dd676-26ca-4e08-b90f-b4e0026a58ac"/>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E9221DED-9309-4821-9432-519D3006EDAF}">
  <ds:schemaRefs>
    <ds:schemaRef ds:uri="http://schemas.microsoft.com/sharepoint/v3/contenttype/forms"/>
  </ds:schemaRefs>
</ds:datastoreItem>
</file>

<file path=customXml/itemProps3.xml><?xml version="1.0" encoding="utf-8"?>
<ds:datastoreItem xmlns:ds="http://schemas.openxmlformats.org/officeDocument/2006/customXml" ds:itemID="{E2713F79-4529-4EFB-897A-BF6CC8023A2A}">
  <ds:schemaRefs>
    <ds:schemaRef ds:uri="Microsoft.SharePoint.Taxonomy.ContentTypeSync"/>
  </ds:schemaRefs>
</ds:datastoreItem>
</file>

<file path=customXml/itemProps4.xml><?xml version="1.0" encoding="utf-8"?>
<ds:datastoreItem xmlns:ds="http://schemas.openxmlformats.org/officeDocument/2006/customXml" ds:itemID="{18D81CB0-9078-4899-97E4-3BAA59D403BB}"/>
</file>

<file path=customXml/itemProps5.xml><?xml version="1.0" encoding="utf-8"?>
<ds:datastoreItem xmlns:ds="http://schemas.openxmlformats.org/officeDocument/2006/customXml" ds:itemID="{03AE25FB-0BA9-4DEF-A4DB-F54A9C98F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2016</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13487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Cooley</dc:creator>
  <cp:lastModifiedBy>David Cooley</cp:lastModifiedBy>
  <cp:revision>2</cp:revision>
  <dcterms:created xsi:type="dcterms:W3CDTF">2020-04-04T12:10:00Z</dcterms:created>
  <dcterms:modified xsi:type="dcterms:W3CDTF">2020-04-04T12:10:00Z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0x01010006DC88A3BFD6754DA1EA05A9DC1B21F9</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