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6061A" w:rsidR="00D360C1" w:rsidP="00387957" w:rsidRDefault="00A10CE9" w14:paraId="5FB32095" w14:textId="77777777">
      <w:pPr>
        <w:pStyle w:val="Title"/>
      </w:pPr>
      <w:r>
        <w:t xml:space="preserve">Construction Dust - </w:t>
      </w:r>
      <w:r w:rsidR="00DA4A3D">
        <w:t>RESIDENTIAL CONSTRUCTION</w:t>
      </w:r>
    </w:p>
    <w:p w:rsidRPr="00886F17" w:rsidR="00D360C1" w:rsidP="00387957" w:rsidRDefault="00D360C1" w14:paraId="39FF5589" w14:textId="77777777">
      <w:pPr>
        <w:pStyle w:val="Heading1"/>
      </w:pPr>
      <w:r w:rsidRPr="00886F17">
        <w:t>Source Category Description</w:t>
      </w:r>
    </w:p>
    <w:p w:rsidR="00D360C1" w:rsidP="00D360C1" w:rsidRDefault="00DA4A3D" w14:paraId="3304476E" w14:textId="1DDD698D">
      <w:pPr>
        <w:widowControl/>
        <w:tabs>
          <w:tab w:val="left" w:pos="0"/>
        </w:tabs>
        <w:rPr>
          <w:szCs w:val="20"/>
        </w:rPr>
      </w:pPr>
      <w:r w:rsidRPr="00DA4A3D">
        <w:rPr>
          <w:szCs w:val="20"/>
        </w:rPr>
        <w:t>Emissions from residential construction activity are a function of the acreage disturbed and volume of soil excavated for residential construction.</w:t>
      </w:r>
      <w:r w:rsidR="00372AFF">
        <w:rPr>
          <w:szCs w:val="20"/>
        </w:rPr>
        <w:t xml:space="preserve"> PM emissions are released through a number of residential construction related activities including movement of equipment on unpaved surfaces, excavation and earthmoving activities, material transfer operations, material alterations including drilling, cutting, blas</w:t>
      </w:r>
      <w:r w:rsidR="00912B9C">
        <w:rPr>
          <w:szCs w:val="20"/>
        </w:rPr>
        <w:t>t</w:t>
      </w:r>
      <w:r w:rsidR="00372AFF">
        <w:rPr>
          <w:szCs w:val="20"/>
        </w:rPr>
        <w:t>ing, and surface cleaning, tracking of dirt to nearby paved surfaces that are re-</w:t>
      </w:r>
      <w:r w:rsidR="00912B9C">
        <w:rPr>
          <w:szCs w:val="20"/>
        </w:rPr>
        <w:t>suspended</w:t>
      </w:r>
      <w:r w:rsidR="00372AFF">
        <w:rPr>
          <w:szCs w:val="20"/>
        </w:rPr>
        <w:t xml:space="preserve"> by traffic, land clearing, and wind erosion of soil exposed from construction.</w:t>
      </w:r>
      <w:r w:rsidR="00912B9C">
        <w:rPr>
          <w:szCs w:val="20"/>
          <w:vertAlign w:val="superscript"/>
        </w:rPr>
        <w:t>8</w:t>
      </w:r>
      <w:r w:rsidR="00372AFF">
        <w:rPr>
          <w:szCs w:val="20"/>
        </w:rPr>
        <w:t xml:space="preserve"> </w:t>
      </w:r>
      <w:r w:rsidRPr="00DA4A3D">
        <w:rPr>
          <w:szCs w:val="20"/>
        </w:rPr>
        <w:t xml:space="preserve"> Residential construction activity is developed from data obtained from the U.S. Department of Commerce (DOC)’s Bureau of the Census.</w:t>
      </w:r>
      <w:r>
        <w:rPr>
          <w:szCs w:val="20"/>
        </w:rPr>
        <w:t xml:space="preserve"> </w:t>
      </w:r>
      <w:r w:rsidR="00975078">
        <w:rPr>
          <w:szCs w:val="20"/>
        </w:rPr>
        <w:t>In 2014, the emissions were 57,9</w:t>
      </w:r>
      <w:r w:rsidR="00A57F0F">
        <w:rPr>
          <w:szCs w:val="20"/>
        </w:rPr>
        <w:t>61</w:t>
      </w:r>
      <w:r w:rsidR="00975078">
        <w:rPr>
          <w:szCs w:val="20"/>
        </w:rPr>
        <w:t xml:space="preserve"> tons for PM10-PRI and PM10-FIL and 5,79</w:t>
      </w:r>
      <w:r w:rsidR="00A57F0F">
        <w:rPr>
          <w:szCs w:val="20"/>
        </w:rPr>
        <w:t>6</w:t>
      </w:r>
      <w:r w:rsidR="00975078">
        <w:rPr>
          <w:szCs w:val="20"/>
        </w:rPr>
        <w:t xml:space="preserve"> tons for PM25-PRI and PM25-FIL.</w:t>
      </w:r>
    </w:p>
    <w:p w:rsidRPr="003E3AC3" w:rsidR="00D360C1" w:rsidP="00D360C1" w:rsidRDefault="00D360C1" w14:paraId="5D4A4EBF" w14:textId="77777777">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9574"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ook w:val="0000" w:firstRow="0" w:lastRow="0" w:firstColumn="0" w:lastColumn="0" w:noHBand="0" w:noVBand="0"/>
      </w:tblPr>
      <w:tblGrid>
        <w:gridCol w:w="1222"/>
        <w:gridCol w:w="2016"/>
        <w:gridCol w:w="2304"/>
        <w:gridCol w:w="2736"/>
        <w:gridCol w:w="1296"/>
      </w:tblGrid>
      <w:tr w:rsidRPr="003E3AC3" w:rsidR="00D360C1" w:rsidTr="00A10CE9" w14:paraId="388EFFF6" w14:textId="77777777">
        <w:trPr>
          <w:trHeight w:val="265"/>
          <w:jc w:val="center"/>
        </w:trPr>
        <w:tc>
          <w:tcPr>
            <w:tcW w:w="1222" w:type="dxa"/>
            <w:shd w:val="clear" w:color="auto" w:fill="BFBFBF" w:themeFill="background1" w:themeFillShade="BF"/>
            <w:noWrap/>
          </w:tcPr>
          <w:p w:rsidRPr="003E3AC3" w:rsidR="00D360C1" w:rsidP="00052E59" w:rsidRDefault="00D360C1" w14:paraId="7C9C6135" w14:textId="77777777">
            <w:pPr>
              <w:widowControl/>
              <w:tabs>
                <w:tab w:val="left" w:pos="0"/>
              </w:tabs>
              <w:spacing w:after="0"/>
              <w:rPr>
                <w:b/>
                <w:bCs/>
                <w:szCs w:val="20"/>
              </w:rPr>
            </w:pPr>
            <w:r w:rsidRPr="003E3AC3">
              <w:rPr>
                <w:b/>
                <w:bCs/>
                <w:szCs w:val="20"/>
              </w:rPr>
              <w:t>SCC</w:t>
            </w:r>
          </w:p>
        </w:tc>
        <w:tc>
          <w:tcPr>
            <w:tcW w:w="2016" w:type="dxa"/>
            <w:shd w:val="clear" w:color="auto" w:fill="BFBFBF" w:themeFill="background1" w:themeFillShade="BF"/>
            <w:noWrap/>
          </w:tcPr>
          <w:p w:rsidRPr="003E3AC3" w:rsidR="00D360C1" w:rsidP="00052E59" w:rsidRDefault="00D360C1" w14:paraId="3FA28144" w14:textId="77777777">
            <w:pPr>
              <w:widowControl/>
              <w:tabs>
                <w:tab w:val="left" w:pos="0"/>
              </w:tabs>
              <w:spacing w:after="0"/>
              <w:rPr>
                <w:b/>
                <w:bCs/>
                <w:szCs w:val="20"/>
              </w:rPr>
            </w:pPr>
            <w:r w:rsidRPr="003E3AC3">
              <w:rPr>
                <w:b/>
                <w:bCs/>
                <w:szCs w:val="20"/>
              </w:rPr>
              <w:t>SCC Level 1</w:t>
            </w:r>
          </w:p>
        </w:tc>
        <w:tc>
          <w:tcPr>
            <w:tcW w:w="2304" w:type="dxa"/>
            <w:shd w:val="clear" w:color="auto" w:fill="BFBFBF" w:themeFill="background1" w:themeFillShade="BF"/>
            <w:noWrap/>
          </w:tcPr>
          <w:p w:rsidRPr="003E3AC3" w:rsidR="00D360C1" w:rsidP="00052E59" w:rsidRDefault="00D360C1" w14:paraId="25188F5F" w14:textId="77777777">
            <w:pPr>
              <w:widowControl/>
              <w:tabs>
                <w:tab w:val="left" w:pos="0"/>
              </w:tabs>
              <w:spacing w:after="0"/>
              <w:rPr>
                <w:b/>
                <w:bCs/>
                <w:szCs w:val="20"/>
              </w:rPr>
            </w:pPr>
            <w:r w:rsidRPr="003E3AC3">
              <w:rPr>
                <w:b/>
                <w:bCs/>
                <w:szCs w:val="20"/>
              </w:rPr>
              <w:t>SCC Level 2</w:t>
            </w:r>
          </w:p>
        </w:tc>
        <w:tc>
          <w:tcPr>
            <w:tcW w:w="2736" w:type="dxa"/>
            <w:shd w:val="clear" w:color="auto" w:fill="BFBFBF" w:themeFill="background1" w:themeFillShade="BF"/>
            <w:noWrap/>
          </w:tcPr>
          <w:p w:rsidRPr="003E3AC3" w:rsidR="00D360C1" w:rsidP="00052E59" w:rsidRDefault="00D360C1" w14:paraId="3C02815A" w14:textId="77777777">
            <w:pPr>
              <w:widowControl/>
              <w:tabs>
                <w:tab w:val="left" w:pos="0"/>
              </w:tabs>
              <w:spacing w:after="0"/>
              <w:rPr>
                <w:b/>
                <w:bCs/>
                <w:szCs w:val="20"/>
              </w:rPr>
            </w:pPr>
            <w:r w:rsidRPr="003E3AC3">
              <w:rPr>
                <w:b/>
                <w:bCs/>
                <w:szCs w:val="20"/>
              </w:rPr>
              <w:t>SCC Level 3</w:t>
            </w:r>
          </w:p>
        </w:tc>
        <w:tc>
          <w:tcPr>
            <w:tcW w:w="1296" w:type="dxa"/>
            <w:shd w:val="clear" w:color="auto" w:fill="BFBFBF" w:themeFill="background1" w:themeFillShade="BF"/>
            <w:noWrap/>
          </w:tcPr>
          <w:p w:rsidRPr="003E3AC3" w:rsidR="00D360C1" w:rsidP="00052E59" w:rsidRDefault="00D360C1" w14:paraId="2FF3E207" w14:textId="77777777">
            <w:pPr>
              <w:widowControl/>
              <w:tabs>
                <w:tab w:val="left" w:pos="0"/>
              </w:tabs>
              <w:spacing w:after="0"/>
              <w:rPr>
                <w:b/>
                <w:bCs/>
                <w:szCs w:val="20"/>
              </w:rPr>
            </w:pPr>
            <w:r w:rsidRPr="003E3AC3">
              <w:rPr>
                <w:b/>
                <w:bCs/>
                <w:szCs w:val="20"/>
              </w:rPr>
              <w:t>SCC Level 4</w:t>
            </w:r>
          </w:p>
        </w:tc>
      </w:tr>
      <w:tr w:rsidRPr="003E3AC3" w:rsidR="00DA4A3D" w:rsidTr="00A10CE9" w14:paraId="19E2CEC0" w14:textId="77777777">
        <w:trPr>
          <w:trHeight w:val="413"/>
          <w:jc w:val="center"/>
        </w:trPr>
        <w:tc>
          <w:tcPr>
            <w:tcW w:w="1222" w:type="dxa"/>
            <w:vAlign w:val="center"/>
          </w:tcPr>
          <w:p w:rsidRPr="004E7569" w:rsidR="00DA4A3D" w:rsidP="00DE7325" w:rsidRDefault="00DA4A3D" w14:paraId="347791B8" w14:textId="77777777">
            <w:pPr>
              <w:spacing w:after="0"/>
              <w:rPr>
                <w:szCs w:val="20"/>
              </w:rPr>
            </w:pPr>
            <w:r w:rsidRPr="004E7569">
              <w:rPr>
                <w:szCs w:val="20"/>
              </w:rPr>
              <w:t>2311010000</w:t>
            </w:r>
          </w:p>
        </w:tc>
        <w:tc>
          <w:tcPr>
            <w:tcW w:w="2016" w:type="dxa"/>
            <w:vAlign w:val="center"/>
          </w:tcPr>
          <w:p w:rsidRPr="004E7569" w:rsidR="00DA4A3D" w:rsidP="00DE7325" w:rsidRDefault="00DA4A3D" w14:paraId="701A2C5D" w14:textId="77777777">
            <w:pPr>
              <w:spacing w:after="0"/>
              <w:rPr>
                <w:szCs w:val="20"/>
              </w:rPr>
            </w:pPr>
            <w:r w:rsidRPr="004E7569">
              <w:rPr>
                <w:szCs w:val="20"/>
              </w:rPr>
              <w:t>Industrial Processes</w:t>
            </w:r>
          </w:p>
        </w:tc>
        <w:tc>
          <w:tcPr>
            <w:tcW w:w="2304" w:type="dxa"/>
            <w:vAlign w:val="center"/>
          </w:tcPr>
          <w:p w:rsidRPr="004E7569" w:rsidR="00DA4A3D" w:rsidP="00DE7325" w:rsidRDefault="00DA4A3D" w14:paraId="0748BA5E" w14:textId="77777777">
            <w:pPr>
              <w:spacing w:after="0"/>
              <w:rPr>
                <w:szCs w:val="20"/>
              </w:rPr>
            </w:pPr>
            <w:r w:rsidRPr="004E7569">
              <w:rPr>
                <w:szCs w:val="20"/>
              </w:rPr>
              <w:t>Construction: SIC 15 - 17</w:t>
            </w:r>
          </w:p>
        </w:tc>
        <w:tc>
          <w:tcPr>
            <w:tcW w:w="2736" w:type="dxa"/>
            <w:vAlign w:val="center"/>
          </w:tcPr>
          <w:p w:rsidRPr="004E7569" w:rsidR="00DA4A3D" w:rsidP="00DE7325" w:rsidRDefault="00372AFF" w14:paraId="041AABC8" w14:textId="39A5B304">
            <w:pPr>
              <w:spacing w:after="0"/>
              <w:rPr>
                <w:szCs w:val="20"/>
              </w:rPr>
            </w:pPr>
            <w:r>
              <w:rPr>
                <w:szCs w:val="20"/>
              </w:rPr>
              <w:t>Residential</w:t>
            </w:r>
          </w:p>
        </w:tc>
        <w:tc>
          <w:tcPr>
            <w:tcW w:w="1296" w:type="dxa"/>
            <w:vAlign w:val="center"/>
          </w:tcPr>
          <w:p w:rsidRPr="004E7569" w:rsidR="00DA4A3D" w:rsidP="00DE7325" w:rsidRDefault="00DA4A3D" w14:paraId="24BC5CF3" w14:textId="77777777">
            <w:pPr>
              <w:spacing w:after="0"/>
              <w:rPr>
                <w:szCs w:val="20"/>
              </w:rPr>
            </w:pPr>
            <w:r w:rsidRPr="004E7569">
              <w:rPr>
                <w:szCs w:val="20"/>
              </w:rPr>
              <w:t>Total</w:t>
            </w:r>
          </w:p>
        </w:tc>
      </w:tr>
    </w:tbl>
    <w:p w:rsidR="00D360C1" w:rsidP="00A10CE9" w:rsidRDefault="00D360C1" w14:paraId="53C47A9D" w14:textId="77777777">
      <w:pPr>
        <w:spacing w:after="0"/>
      </w:pPr>
    </w:p>
    <w:p w:rsidR="00D360C1" w:rsidP="00052E59" w:rsidRDefault="00D360C1" w14:paraId="0B2F9CC0" w14:textId="77777777">
      <w:pPr>
        <w:pStyle w:val="Heading1"/>
      </w:pPr>
      <w:r w:rsidRPr="00052E59">
        <w:t>Overview</w:t>
      </w:r>
      <w:r>
        <w:t xml:space="preserve"> of Calculations</w:t>
      </w:r>
    </w:p>
    <w:p w:rsidRPr="002958BB" w:rsidR="002958BB" w:rsidP="00D360C1" w:rsidRDefault="007924A3" w14:paraId="1FA39F64" w14:textId="77777777">
      <w:pPr>
        <w:widowControl/>
        <w:tabs>
          <w:tab w:val="left" w:pos="0"/>
        </w:tabs>
        <w:rPr>
          <w:szCs w:val="20"/>
        </w:rPr>
      </w:pPr>
      <w:r w:rsidRPr="007924A3">
        <w:rPr>
          <w:szCs w:val="20"/>
        </w:rPr>
        <w:t xml:space="preserve">The calculations for estimating emissions from residential construction involve </w:t>
      </w:r>
      <w:r w:rsidR="007E4E39">
        <w:rPr>
          <w:szCs w:val="20"/>
        </w:rPr>
        <w:t xml:space="preserve">three main steps: 1) determining the number of housing starts in each county; 2) determining the amount of soil disturbed for 1-unit homes with basements; and 3) determining the amount of surface soil disturbed for all building types. The amount of soil disturbed in each county is multiplied by emissions factors to determine the emission of PM10 and PM25 in each county. Data on housing starts in each region is from the U.S. Census Bureau, and it is distributed to the counties based on county-level data on building permits. </w:t>
      </w:r>
      <w:r w:rsidRPr="007924A3">
        <w:rPr>
          <w:szCs w:val="20"/>
        </w:rPr>
        <w:t>S</w:t>
      </w:r>
      <w:r w:rsidRPr="007924A3" w:rsidR="002958BB">
        <w:rPr>
          <w:szCs w:val="20"/>
        </w:rPr>
        <w:t xml:space="preserve">ources of data and calculations for the </w:t>
      </w:r>
      <w:r w:rsidR="007E4E39">
        <w:rPr>
          <w:szCs w:val="20"/>
        </w:rPr>
        <w:t xml:space="preserve">activity data are discussed in more detail in </w:t>
      </w:r>
      <w:r w:rsidRPr="007924A3" w:rsidR="00052E59">
        <w:rPr>
          <w:szCs w:val="20"/>
        </w:rPr>
        <w:t xml:space="preserve">section </w:t>
      </w:r>
      <w:r w:rsidRPr="007924A3" w:rsidR="00052E59">
        <w:rPr>
          <w:szCs w:val="20"/>
        </w:rPr>
        <w:fldChar w:fldCharType="begin"/>
      </w:r>
      <w:r w:rsidRPr="007924A3" w:rsidR="00052E59">
        <w:rPr>
          <w:szCs w:val="20"/>
        </w:rPr>
        <w:instrText xml:space="preserve"> REF _Ref477177316 \r \h </w:instrText>
      </w:r>
      <w:r w:rsidRPr="007924A3" w:rsidR="00DA4A3D">
        <w:rPr>
          <w:szCs w:val="20"/>
        </w:rPr>
        <w:instrText xml:space="preserve"> \* MERGEFORMAT </w:instrText>
      </w:r>
      <w:r w:rsidRPr="007924A3" w:rsidR="00052E59">
        <w:rPr>
          <w:szCs w:val="20"/>
        </w:rPr>
      </w:r>
      <w:r w:rsidRPr="007924A3" w:rsidR="00052E59">
        <w:rPr>
          <w:szCs w:val="20"/>
        </w:rPr>
        <w:fldChar w:fldCharType="separate"/>
      </w:r>
      <w:r w:rsidR="007D5A4D">
        <w:rPr>
          <w:szCs w:val="20"/>
        </w:rPr>
        <w:t>C</w:t>
      </w:r>
      <w:r w:rsidRPr="007924A3" w:rsidR="00052E59">
        <w:rPr>
          <w:szCs w:val="20"/>
        </w:rPr>
        <w:fldChar w:fldCharType="end"/>
      </w:r>
      <w:r w:rsidRPr="007924A3" w:rsidR="002958BB">
        <w:rPr>
          <w:szCs w:val="20"/>
        </w:rPr>
        <w:t>.</w:t>
      </w:r>
      <w:r w:rsidRPr="007924A3" w:rsidR="00052E59">
        <w:rPr>
          <w:szCs w:val="20"/>
        </w:rPr>
        <w:t xml:space="preserve"> The process of allocating </w:t>
      </w:r>
      <w:r w:rsidRPr="007924A3">
        <w:rPr>
          <w:szCs w:val="20"/>
        </w:rPr>
        <w:t>building permit data</w:t>
      </w:r>
      <w:r w:rsidRPr="007924A3" w:rsidR="004062A6">
        <w:rPr>
          <w:szCs w:val="20"/>
        </w:rPr>
        <w:t xml:space="preserve"> </w:t>
      </w:r>
      <w:r w:rsidRPr="007924A3" w:rsidR="00052E59">
        <w:rPr>
          <w:szCs w:val="20"/>
        </w:rPr>
        <w:t xml:space="preserve">to the county level is discussed in section </w:t>
      </w:r>
      <w:r w:rsidRPr="007924A3" w:rsidR="00052E59">
        <w:rPr>
          <w:szCs w:val="20"/>
        </w:rPr>
        <w:fldChar w:fldCharType="begin"/>
      </w:r>
      <w:r w:rsidRPr="007924A3" w:rsidR="00052E59">
        <w:rPr>
          <w:szCs w:val="20"/>
        </w:rPr>
        <w:instrText xml:space="preserve"> REF _Ref477177506 \r \h </w:instrText>
      </w:r>
      <w:r w:rsidRPr="007924A3" w:rsidR="00DA4A3D">
        <w:rPr>
          <w:szCs w:val="20"/>
        </w:rPr>
        <w:instrText xml:space="preserve"> \* MERGEFORMAT </w:instrText>
      </w:r>
      <w:r w:rsidRPr="007924A3" w:rsidR="00052E59">
        <w:rPr>
          <w:szCs w:val="20"/>
        </w:rPr>
      </w:r>
      <w:r w:rsidRPr="007924A3" w:rsidR="00052E59">
        <w:rPr>
          <w:szCs w:val="20"/>
        </w:rPr>
        <w:fldChar w:fldCharType="separate"/>
      </w:r>
      <w:r w:rsidR="007D5A4D">
        <w:rPr>
          <w:szCs w:val="20"/>
        </w:rPr>
        <w:t>D</w:t>
      </w:r>
      <w:r w:rsidRPr="007924A3" w:rsidR="00052E59">
        <w:rPr>
          <w:szCs w:val="20"/>
        </w:rPr>
        <w:fldChar w:fldCharType="end"/>
      </w:r>
      <w:r w:rsidRPr="007924A3" w:rsidR="00052E59">
        <w:rPr>
          <w:szCs w:val="20"/>
        </w:rPr>
        <w:t>. Emission</w:t>
      </w:r>
      <w:r w:rsidRPr="007924A3" w:rsidR="00680037">
        <w:rPr>
          <w:szCs w:val="20"/>
        </w:rPr>
        <w:t>s</w:t>
      </w:r>
      <w:r w:rsidRPr="007924A3" w:rsidR="00052E59">
        <w:rPr>
          <w:szCs w:val="20"/>
        </w:rPr>
        <w:t xml:space="preserve"> factors are discussed in section</w:t>
      </w:r>
      <w:r w:rsidRPr="007924A3" w:rsidR="00B259AF">
        <w:rPr>
          <w:szCs w:val="20"/>
        </w:rPr>
        <w:t xml:space="preserve"> </w:t>
      </w:r>
      <w:r w:rsidRPr="007924A3" w:rsidR="00B259AF">
        <w:rPr>
          <w:szCs w:val="20"/>
        </w:rPr>
        <w:fldChar w:fldCharType="begin"/>
      </w:r>
      <w:r w:rsidRPr="007924A3" w:rsidR="00B259AF">
        <w:rPr>
          <w:szCs w:val="20"/>
        </w:rPr>
        <w:instrText xml:space="preserve"> REF _Ref477187901 \r \h </w:instrText>
      </w:r>
      <w:r w:rsidRPr="007924A3" w:rsidR="00DA4A3D">
        <w:rPr>
          <w:szCs w:val="20"/>
        </w:rPr>
        <w:instrText xml:space="preserve"> \* MERGEFORMAT </w:instrText>
      </w:r>
      <w:r w:rsidRPr="007924A3" w:rsidR="00B259AF">
        <w:rPr>
          <w:szCs w:val="20"/>
        </w:rPr>
      </w:r>
      <w:r w:rsidRPr="007924A3" w:rsidR="00B259AF">
        <w:rPr>
          <w:szCs w:val="20"/>
        </w:rPr>
        <w:fldChar w:fldCharType="separate"/>
      </w:r>
      <w:r w:rsidR="007D5A4D">
        <w:rPr>
          <w:szCs w:val="20"/>
        </w:rPr>
        <w:t>E</w:t>
      </w:r>
      <w:r w:rsidRPr="007924A3" w:rsidR="00B259AF">
        <w:rPr>
          <w:szCs w:val="20"/>
        </w:rPr>
        <w:fldChar w:fldCharType="end"/>
      </w:r>
      <w:r w:rsidRPr="007924A3" w:rsidR="00052E59">
        <w:rPr>
          <w:szCs w:val="20"/>
        </w:rPr>
        <w:t xml:space="preserve">. </w:t>
      </w:r>
      <w:r w:rsidRPr="007924A3" w:rsidR="008E2445">
        <w:rPr>
          <w:szCs w:val="20"/>
        </w:rPr>
        <w:t xml:space="preserve">The estimation of emissions from </w:t>
      </w:r>
      <w:r w:rsidRPr="007924A3">
        <w:rPr>
          <w:szCs w:val="20"/>
        </w:rPr>
        <w:t>residential construction</w:t>
      </w:r>
      <w:r w:rsidRPr="007924A3" w:rsidR="004062A6">
        <w:rPr>
          <w:szCs w:val="20"/>
        </w:rPr>
        <w:t xml:space="preserve"> </w:t>
      </w:r>
      <w:r w:rsidRPr="007924A3" w:rsidR="008E2445">
        <w:rPr>
          <w:szCs w:val="20"/>
        </w:rPr>
        <w:t xml:space="preserve">is discussed in section </w:t>
      </w:r>
      <w:r w:rsidRPr="007924A3" w:rsidR="008E2445">
        <w:rPr>
          <w:szCs w:val="20"/>
        </w:rPr>
        <w:fldChar w:fldCharType="begin"/>
      </w:r>
      <w:r w:rsidRPr="007924A3" w:rsidR="008E2445">
        <w:rPr>
          <w:szCs w:val="20"/>
        </w:rPr>
        <w:instrText xml:space="preserve"> REF _Ref477177564 \r \h </w:instrText>
      </w:r>
      <w:r w:rsidRPr="007924A3" w:rsidR="00DA4A3D">
        <w:rPr>
          <w:szCs w:val="20"/>
        </w:rPr>
        <w:instrText xml:space="preserve"> \* MERGEFORMAT </w:instrText>
      </w:r>
      <w:r w:rsidRPr="007924A3" w:rsidR="008E2445">
        <w:rPr>
          <w:szCs w:val="20"/>
        </w:rPr>
      </w:r>
      <w:r w:rsidRPr="007924A3" w:rsidR="008E2445">
        <w:rPr>
          <w:szCs w:val="20"/>
        </w:rPr>
        <w:fldChar w:fldCharType="separate"/>
      </w:r>
      <w:r w:rsidR="007D5A4D">
        <w:rPr>
          <w:szCs w:val="20"/>
        </w:rPr>
        <w:t>G</w:t>
      </w:r>
      <w:r w:rsidRPr="007924A3" w:rsidR="008E2445">
        <w:rPr>
          <w:szCs w:val="20"/>
        </w:rPr>
        <w:fldChar w:fldCharType="end"/>
      </w:r>
      <w:r w:rsidRPr="007924A3" w:rsidR="008E2445">
        <w:rPr>
          <w:szCs w:val="20"/>
        </w:rPr>
        <w:t>.</w:t>
      </w:r>
    </w:p>
    <w:p w:rsidR="00B97E6E" w:rsidP="00052E59" w:rsidRDefault="00B97E6E" w14:paraId="522DC399" w14:textId="77777777">
      <w:pPr>
        <w:pStyle w:val="Heading1"/>
      </w:pPr>
      <w:bookmarkStart w:name="_Ref477177316" w:id="0"/>
      <w:r w:rsidRPr="00886F17">
        <w:t>Activity Data</w:t>
      </w:r>
      <w:bookmarkEnd w:id="0"/>
    </w:p>
    <w:p w:rsidRPr="004E7569" w:rsidR="00DA4A3D" w:rsidP="00DA4A3D" w:rsidRDefault="00DA4A3D" w14:paraId="78FF2169" w14:textId="77777777">
      <w:pPr>
        <w:rPr>
          <w:b/>
          <w:i/>
          <w:szCs w:val="20"/>
        </w:rPr>
      </w:pPr>
      <w:r w:rsidRPr="004E7569">
        <w:rPr>
          <w:szCs w:val="20"/>
        </w:rPr>
        <w:t xml:space="preserve">There are two activity calculations performed for this </w:t>
      </w:r>
      <w:smartTag w:uri="urn:schemas-microsoft-com:office:smarttags" w:element="stockticker">
        <w:r w:rsidRPr="004E7569">
          <w:rPr>
            <w:szCs w:val="20"/>
          </w:rPr>
          <w:t>SCC</w:t>
        </w:r>
      </w:smartTag>
      <w:r w:rsidRPr="004E7569">
        <w:rPr>
          <w:szCs w:val="20"/>
        </w:rPr>
        <w:t>, acres of surface soil disturbed and volume of soil removed for basements.</w:t>
      </w:r>
    </w:p>
    <w:p w:rsidR="00907DAA" w:rsidP="00907DAA" w:rsidRDefault="00907DAA" w14:paraId="5E6E063F" w14:textId="77777777">
      <w:pPr>
        <w:spacing w:before="240"/>
        <w:rPr>
          <w:b/>
          <w:i/>
        </w:rPr>
      </w:pPr>
      <w:r>
        <w:rPr>
          <w:b/>
          <w:i/>
        </w:rPr>
        <w:t>Determine the Number of Housing Starts in Each County</w:t>
      </w:r>
    </w:p>
    <w:p w:rsidRPr="00907DAA" w:rsidR="00DA4A3D" w:rsidP="00907DAA" w:rsidRDefault="00DA4A3D" w14:paraId="13FF5B5D" w14:textId="21007DB0">
      <w:pPr>
        <w:spacing w:before="240"/>
        <w:rPr>
          <w:b/>
          <w:i/>
        </w:rPr>
      </w:pPr>
      <w:r w:rsidRPr="004E7569">
        <w:rPr>
          <w:szCs w:val="20"/>
        </w:rPr>
        <w:t>The US Census Bureau has 201</w:t>
      </w:r>
      <w:r w:rsidR="00592CB0">
        <w:rPr>
          <w:szCs w:val="20"/>
        </w:rPr>
        <w:t>7</w:t>
      </w:r>
      <w:r w:rsidRPr="004E7569">
        <w:rPr>
          <w:szCs w:val="20"/>
        </w:rPr>
        <w:t xml:space="preserve"> data for </w:t>
      </w:r>
      <w:r w:rsidRPr="004E7569">
        <w:rPr>
          <w:i/>
          <w:szCs w:val="20"/>
        </w:rPr>
        <w:t>New Privately Owned Housing Units Started by Purpose and Design</w:t>
      </w:r>
      <w:bookmarkStart w:name="_Ref478544364" w:id="1"/>
      <w:r w:rsidR="00135FC5">
        <w:rPr>
          <w:rStyle w:val="EndnoteReference"/>
          <w:i/>
          <w:szCs w:val="20"/>
        </w:rPr>
        <w:endnoteReference w:id="2"/>
      </w:r>
      <w:bookmarkEnd w:id="1"/>
      <w:r w:rsidRPr="004E7569">
        <w:rPr>
          <w:i/>
          <w:szCs w:val="20"/>
        </w:rPr>
        <w:t xml:space="preserve"> </w:t>
      </w:r>
      <w:r w:rsidRPr="004E7569">
        <w:rPr>
          <w:szCs w:val="20"/>
        </w:rPr>
        <w:t xml:space="preserve">which provides </w:t>
      </w:r>
      <w:r>
        <w:rPr>
          <w:szCs w:val="20"/>
        </w:rPr>
        <w:t xml:space="preserve">data on </w:t>
      </w:r>
      <w:r w:rsidRPr="004E7569">
        <w:rPr>
          <w:szCs w:val="20"/>
        </w:rPr>
        <w:t xml:space="preserve">housing starts based on the groupings of 1 unit, 2-4 units, </w:t>
      </w:r>
      <w:r w:rsidR="00FE1D0B">
        <w:rPr>
          <w:szCs w:val="20"/>
        </w:rPr>
        <w:t xml:space="preserve">and </w:t>
      </w:r>
      <w:r w:rsidRPr="004E7569">
        <w:rPr>
          <w:szCs w:val="20"/>
        </w:rPr>
        <w:t xml:space="preserve">5 or more units. </w:t>
      </w:r>
      <w:r>
        <w:rPr>
          <w:szCs w:val="20"/>
        </w:rPr>
        <w:t>Regional-level results are also provided for quarterly totals and 1 unit structures (</w:t>
      </w:r>
      <w:r w:rsidRPr="00300CE8">
        <w:rPr>
          <w:szCs w:val="20"/>
        </w:rPr>
        <w:fldChar w:fldCharType="begin"/>
      </w:r>
      <w:r w:rsidRPr="00300CE8">
        <w:rPr>
          <w:szCs w:val="20"/>
        </w:rPr>
        <w:instrText xml:space="preserve"> REF _Ref476829817 \h </w:instrText>
      </w:r>
      <w:r>
        <w:rPr>
          <w:szCs w:val="20"/>
        </w:rPr>
        <w:instrText xml:space="preserve"> \* MERGEFORMAT </w:instrText>
      </w:r>
      <w:r w:rsidRPr="00300CE8">
        <w:rPr>
          <w:szCs w:val="20"/>
        </w:rPr>
      </w:r>
      <w:r w:rsidRPr="00300CE8">
        <w:rPr>
          <w:szCs w:val="20"/>
        </w:rPr>
        <w:fldChar w:fldCharType="separate"/>
      </w:r>
      <w:r w:rsidRPr="007D5A4D" w:rsidR="007D5A4D">
        <w:rPr>
          <w:szCs w:val="20"/>
        </w:rPr>
        <w:t xml:space="preserve">Table </w:t>
      </w:r>
      <w:r w:rsidRPr="007D5A4D" w:rsidR="007D5A4D">
        <w:rPr>
          <w:noProof/>
          <w:szCs w:val="20"/>
        </w:rPr>
        <w:t>1</w:t>
      </w:r>
      <w:r w:rsidRPr="00300CE8">
        <w:rPr>
          <w:szCs w:val="20"/>
        </w:rPr>
        <w:fldChar w:fldCharType="end"/>
      </w:r>
      <w:r w:rsidRPr="00300CE8">
        <w:rPr>
          <w:szCs w:val="20"/>
        </w:rPr>
        <w:t>). In order to breakdown the 2 to 4 unit category, data from a consultation w</w:t>
      </w:r>
      <w:r w:rsidR="007924A3">
        <w:rPr>
          <w:szCs w:val="20"/>
        </w:rPr>
        <w:t xml:space="preserve">ith the Census Bureau in 2002 </w:t>
      </w:r>
      <w:r w:rsidR="00FE1D0B">
        <w:rPr>
          <w:szCs w:val="20"/>
        </w:rPr>
        <w:t xml:space="preserve">are </w:t>
      </w:r>
      <w:r w:rsidRPr="00300CE8">
        <w:rPr>
          <w:szCs w:val="20"/>
        </w:rPr>
        <w:t xml:space="preserve">used; approximately 1/3 of the housing starts are for 2 unit structures, and 2/3 </w:t>
      </w:r>
      <w:r w:rsidR="003527BA">
        <w:rPr>
          <w:szCs w:val="20"/>
        </w:rPr>
        <w:t xml:space="preserve">are for 3 and 4 unit structures. </w:t>
      </w:r>
    </w:p>
    <w:p w:rsidRPr="00A6797B" w:rsidR="00C53669" w:rsidP="00A6797B" w:rsidRDefault="00A6797B" w14:paraId="3092D79F" w14:textId="5DC88D22">
      <w:pPr>
        <w:tabs>
          <w:tab w:val="left" w:pos="0"/>
        </w:tabs>
        <w:rPr>
          <w:szCs w:val="20"/>
        </w:rPr>
      </w:pPr>
      <w:r w:rsidRPr="00A6797B">
        <w:rPr>
          <w:szCs w:val="20"/>
        </w:rPr>
        <w:t>The</w:t>
      </w:r>
      <w:r w:rsidRPr="00A6797B" w:rsidR="00DA4A3D">
        <w:rPr>
          <w:szCs w:val="20"/>
        </w:rPr>
        <w:t xml:space="preserve"> 201</w:t>
      </w:r>
      <w:r w:rsidR="00592CB0">
        <w:rPr>
          <w:szCs w:val="20"/>
        </w:rPr>
        <w:t>7</w:t>
      </w:r>
      <w:r w:rsidRPr="00A6797B" w:rsidR="00DA4A3D">
        <w:rPr>
          <w:szCs w:val="20"/>
        </w:rPr>
        <w:t xml:space="preserve"> US Census Bureau </w:t>
      </w:r>
      <w:r w:rsidRPr="00A6797B" w:rsidR="00DA4A3D">
        <w:rPr>
          <w:i/>
          <w:szCs w:val="20"/>
        </w:rPr>
        <w:t>New Privately Owned Housing Units Started by Purpose and Design</w:t>
      </w:r>
      <w:r w:rsidRPr="00B35558" w:rsidR="00B35558">
        <w:rPr>
          <w:i/>
          <w:szCs w:val="20"/>
          <w:vertAlign w:val="superscript"/>
        </w:rPr>
        <w:fldChar w:fldCharType="begin"/>
      </w:r>
      <w:r w:rsidRPr="00B35558" w:rsidR="00B35558">
        <w:rPr>
          <w:i/>
          <w:szCs w:val="20"/>
          <w:vertAlign w:val="superscript"/>
        </w:rPr>
        <w:instrText xml:space="preserve"> NOTEREF _Ref478544364 \h </w:instrText>
      </w:r>
      <w:r w:rsidRPr="00B35558" w:rsidR="00B35558">
        <w:rPr>
          <w:i/>
          <w:szCs w:val="20"/>
          <w:vertAlign w:val="superscript"/>
        </w:rPr>
      </w:r>
      <w:r w:rsidRPr="00B35558" w:rsidR="00B35558">
        <w:rPr>
          <w:i/>
          <w:szCs w:val="20"/>
          <w:vertAlign w:val="superscript"/>
        </w:rPr>
        <w:fldChar w:fldCharType="separate"/>
      </w:r>
      <w:r w:rsidR="007D5A4D">
        <w:rPr>
          <w:i/>
          <w:szCs w:val="20"/>
          <w:vertAlign w:val="superscript"/>
        </w:rPr>
        <w:t>1</w:t>
      </w:r>
      <w:r w:rsidRPr="00B35558" w:rsidR="00B35558">
        <w:rPr>
          <w:i/>
          <w:szCs w:val="20"/>
          <w:vertAlign w:val="superscript"/>
        </w:rPr>
        <w:fldChar w:fldCharType="end"/>
      </w:r>
      <w:r w:rsidRPr="00A6797B" w:rsidR="00DA4A3D">
        <w:rPr>
          <w:i/>
          <w:szCs w:val="20"/>
        </w:rPr>
        <w:t xml:space="preserve"> </w:t>
      </w:r>
      <w:r w:rsidRPr="00A6797B" w:rsidR="00DA4A3D">
        <w:rPr>
          <w:szCs w:val="20"/>
        </w:rPr>
        <w:t>data for 2-4 units</w:t>
      </w:r>
      <w:r w:rsidRPr="00A6797B">
        <w:rPr>
          <w:szCs w:val="20"/>
        </w:rPr>
        <w:t xml:space="preserve"> </w:t>
      </w:r>
      <w:r w:rsidR="00FE1D0B">
        <w:rPr>
          <w:szCs w:val="20"/>
        </w:rPr>
        <w:t>are</w:t>
      </w:r>
      <w:r w:rsidRPr="00A6797B">
        <w:rPr>
          <w:szCs w:val="20"/>
        </w:rPr>
        <w:t xml:space="preserve"> distributed</w:t>
      </w:r>
      <w:r w:rsidRPr="00A6797B" w:rsidR="00DA4A3D">
        <w:rPr>
          <w:szCs w:val="20"/>
        </w:rPr>
        <w:t xml:space="preserve"> to two categories, 2 and 3-4 units, based on a ratio </w:t>
      </w:r>
      <w:r w:rsidRPr="00A6797B" w:rsidR="00FE1D0B">
        <w:rPr>
          <w:szCs w:val="20"/>
        </w:rPr>
        <w:t xml:space="preserve">for 2 and 3-4 units </w:t>
      </w:r>
      <w:r w:rsidRPr="00A6797B" w:rsidR="00DA4A3D">
        <w:rPr>
          <w:szCs w:val="20"/>
        </w:rPr>
        <w:t>calculated from the 2</w:t>
      </w:r>
      <w:r w:rsidR="007D5A4D">
        <w:rPr>
          <w:szCs w:val="20"/>
        </w:rPr>
        <w:t>000</w:t>
      </w:r>
      <w:r w:rsidRPr="00A6797B" w:rsidR="00DA4A3D">
        <w:rPr>
          <w:szCs w:val="20"/>
        </w:rPr>
        <w:t xml:space="preserve"> US Census Bureau </w:t>
      </w:r>
      <w:r w:rsidRPr="00A6797B" w:rsidR="00DA4A3D">
        <w:rPr>
          <w:i/>
          <w:szCs w:val="20"/>
        </w:rPr>
        <w:t xml:space="preserve">National Housing Starts </w:t>
      </w:r>
      <w:r w:rsidRPr="00A6797B" w:rsidR="00DA4A3D">
        <w:rPr>
          <w:szCs w:val="20"/>
        </w:rPr>
        <w:t>data,</w:t>
      </w:r>
      <w:bookmarkStart w:name="_Ref478726125" w:id="4"/>
      <w:r w:rsidR="007D5A4D">
        <w:rPr>
          <w:rStyle w:val="EndnoteReference"/>
          <w:szCs w:val="20"/>
        </w:rPr>
        <w:endnoteReference w:id="3"/>
      </w:r>
      <w:bookmarkEnd w:id="4"/>
      <w:r w:rsidRPr="00A6797B" w:rsidR="00DA4A3D">
        <w:rPr>
          <w:szCs w:val="20"/>
        </w:rPr>
        <w:t xml:space="preserve"> for each quarter in 201</w:t>
      </w:r>
      <w:r w:rsidR="00592CB0">
        <w:rPr>
          <w:szCs w:val="20"/>
        </w:rPr>
        <w:t>7</w:t>
      </w:r>
      <w:r w:rsidRPr="00A6797B" w:rsidR="00DA4A3D">
        <w:rPr>
          <w:szCs w:val="20"/>
        </w:rPr>
        <w:t>.</w:t>
      </w:r>
      <w:r w:rsidRPr="003527BA" w:rsidR="003527BA">
        <w:rPr>
          <w:szCs w:val="20"/>
        </w:rPr>
        <w:t xml:space="preserve"> </w:t>
      </w:r>
      <w:r w:rsidR="007D5A4D">
        <w:rPr>
          <w:szCs w:val="20"/>
        </w:rPr>
        <w:t xml:space="preserve">Note that 2000 is the last full year when Census housing starts data </w:t>
      </w:r>
      <w:r w:rsidR="00FE1D0B">
        <w:rPr>
          <w:szCs w:val="20"/>
        </w:rPr>
        <w:t>are</w:t>
      </w:r>
      <w:r w:rsidR="007D5A4D">
        <w:rPr>
          <w:szCs w:val="20"/>
        </w:rPr>
        <w:t xml:space="preserve"> available separately for 2-unit and 3-4 unit homes. </w:t>
      </w:r>
      <w:r w:rsidR="003527BA">
        <w:rPr>
          <w:szCs w:val="20"/>
        </w:rPr>
        <w:fldChar w:fldCharType="begin"/>
      </w:r>
      <w:r w:rsidR="003527BA">
        <w:rPr>
          <w:szCs w:val="20"/>
        </w:rPr>
        <w:instrText xml:space="preserve"> REF _Ref476829822 \h </w:instrText>
      </w:r>
      <w:r w:rsidR="003527BA">
        <w:rPr>
          <w:szCs w:val="20"/>
        </w:rPr>
      </w:r>
      <w:r w:rsidR="003527BA">
        <w:rPr>
          <w:szCs w:val="20"/>
        </w:rPr>
        <w:fldChar w:fldCharType="separate"/>
      </w:r>
      <w:r w:rsidRPr="00300CE8" w:rsidR="007D5A4D">
        <w:t xml:space="preserve">Table </w:t>
      </w:r>
      <w:r w:rsidR="007D5A4D">
        <w:rPr>
          <w:noProof/>
        </w:rPr>
        <w:t>2</w:t>
      </w:r>
      <w:r w:rsidR="003527BA">
        <w:rPr>
          <w:szCs w:val="20"/>
        </w:rPr>
        <w:fldChar w:fldCharType="end"/>
      </w:r>
      <w:r w:rsidR="003527BA">
        <w:rPr>
          <w:szCs w:val="20"/>
        </w:rPr>
        <w:t xml:space="preserve"> shows a breakdown of the 2 unit and 3-4 unit structures based on the following calculation.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Pr="00A6797B" w:rsidR="00A6797B" w:rsidTr="000B309F" w14:paraId="231DAF49" w14:textId="77777777">
        <w:trPr>
          <w:trHeight w:val="585"/>
        </w:trPr>
        <w:tc>
          <w:tcPr>
            <w:tcW w:w="8748" w:type="dxa"/>
          </w:tcPr>
          <w:p w:rsidRPr="00A6797B" w:rsidR="00A6797B" w:rsidP="00DE7325" w:rsidRDefault="00A32BA3" w14:paraId="3DAF61E1"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Q,n</m:t>
                    </m:r>
                  </m:sub>
                </m:sSub>
                <m:r>
                  <w:rPr>
                    <w:rFonts w:ascii="Cambria Math" w:hAnsi="Cambria Math"/>
                    <w:szCs w:val="20"/>
                  </w:rPr>
                  <m:t>=</m:t>
                </m:r>
                <m:d>
                  <m:dPr>
                    <m:ctrlPr>
                      <w:rPr>
                        <w:rFonts w:ascii="Cambria Math" w:hAnsi="Cambria Math"/>
                        <w:i/>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U</m:t>
                            </m:r>
                          </m:e>
                          <m:sub>
                            <m:r>
                              <w:rPr>
                                <w:rFonts w:ascii="Cambria Math" w:hAnsi="Cambria Math"/>
                                <w:szCs w:val="20"/>
                              </w:rPr>
                              <m:t>n</m:t>
                            </m:r>
                          </m:sub>
                        </m:sSub>
                      </m:num>
                      <m:den>
                        <m:sSub>
                          <m:sSubPr>
                            <m:ctrlPr>
                              <w:rPr>
                                <w:rFonts w:ascii="Cambria Math" w:hAnsi="Cambria Math"/>
                                <w:i/>
                                <w:szCs w:val="20"/>
                              </w:rPr>
                            </m:ctrlPr>
                          </m:sSubPr>
                          <m:e>
                            <m:r>
                              <w:rPr>
                                <w:rFonts w:ascii="Cambria Math" w:hAnsi="Cambria Math"/>
                                <w:szCs w:val="20"/>
                              </w:rPr>
                              <m:t>U</m:t>
                            </m:r>
                          </m:e>
                          <m:sub>
                            <m:r>
                              <w:rPr>
                                <w:rFonts w:ascii="Cambria Math" w:hAnsi="Cambria Math"/>
                                <w:szCs w:val="20"/>
                              </w:rPr>
                              <m:t>t</m:t>
                            </m:r>
                          </m:sub>
                        </m:sSub>
                      </m:den>
                    </m:f>
                  </m:e>
                </m:d>
                <m:r>
                  <w:rPr>
                    <w:rFonts w:ascii="Cambria Math" w:hAnsi="Cambria Math"/>
                    <w:szCs w:val="20"/>
                  </w:rPr>
                  <m:t>×</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Q,2-4</m:t>
                    </m:r>
                  </m:sub>
                </m:sSub>
              </m:oMath>
            </m:oMathPara>
          </w:p>
        </w:tc>
        <w:tc>
          <w:tcPr>
            <w:tcW w:w="828" w:type="dxa"/>
            <w:vAlign w:val="center"/>
          </w:tcPr>
          <w:p w:rsidRPr="00A6797B" w:rsidR="00A6797B" w:rsidP="000B309F" w:rsidRDefault="00A6797B" w14:paraId="6E3D46B1" w14:textId="77777777">
            <w:pPr>
              <w:pStyle w:val="ListParagraph"/>
              <w:widowControl/>
              <w:numPr>
                <w:ilvl w:val="0"/>
                <w:numId w:val="10"/>
              </w:numPr>
              <w:autoSpaceDE/>
              <w:autoSpaceDN/>
              <w:adjustRightInd/>
              <w:jc w:val="right"/>
              <w:rPr>
                <w:szCs w:val="20"/>
              </w:rPr>
            </w:pPr>
          </w:p>
        </w:tc>
      </w:tr>
    </w:tbl>
    <w:p w:rsidRPr="00A6797B" w:rsidR="00DA4A3D" w:rsidP="00A10CE9" w:rsidRDefault="00DA4A3D" w14:paraId="0CA598D8" w14:textId="77777777">
      <w:pPr>
        <w:widowControl/>
        <w:tabs>
          <w:tab w:val="left" w:pos="0"/>
        </w:tabs>
        <w:spacing w:after="120"/>
        <w:rPr>
          <w:szCs w:val="20"/>
        </w:rPr>
      </w:pPr>
      <w:r w:rsidRPr="00A6797B">
        <w:rPr>
          <w:szCs w:val="20"/>
        </w:rPr>
        <w:t>Where:</w:t>
      </w:r>
    </w:p>
    <w:p w:rsidRPr="00A6797B" w:rsidR="00DA4A3D" w:rsidP="00A6797B" w:rsidRDefault="00DA4A3D" w14:paraId="0B667E33" w14:textId="77777777">
      <w:pPr>
        <w:pStyle w:val="NoSpacing"/>
      </w:pPr>
      <w:r w:rsidRPr="00A6797B">
        <w:rPr>
          <w:i/>
        </w:rPr>
        <w:tab/>
      </w:r>
      <w:r w:rsidRPr="00A6797B">
        <w:rPr>
          <w:i/>
        </w:rPr>
        <w:t>S</w:t>
      </w:r>
      <w:r w:rsidRPr="00A6797B">
        <w:rPr>
          <w:i/>
          <w:vertAlign w:val="subscript"/>
        </w:rPr>
        <w:t>Q,n</w:t>
      </w:r>
      <w:r w:rsidRPr="00A6797B">
        <w:rPr>
          <w:vertAlign w:val="subscript"/>
        </w:rPr>
        <w:tab/>
      </w:r>
      <w:r w:rsidRPr="00A6797B">
        <w:t xml:space="preserve">= </w:t>
      </w:r>
      <w:r w:rsidRPr="00A6797B">
        <w:tab/>
      </w:r>
      <w:r w:rsidRPr="00A6797B">
        <w:t xml:space="preserve">Housing starts, by quarter, </w:t>
      </w:r>
      <w:r w:rsidRPr="00A6797B">
        <w:rPr>
          <w:i/>
        </w:rPr>
        <w:t>Q</w:t>
      </w:r>
      <w:r w:rsidRPr="00A6797B">
        <w:t>, and number of units</w:t>
      </w:r>
      <w:r w:rsidRPr="00A6797B">
        <w:rPr>
          <w:i/>
        </w:rPr>
        <w:t>, n</w:t>
      </w:r>
      <w:r w:rsidRPr="00A6797B">
        <w:t xml:space="preserve"> (2 units or 3-4 units)</w:t>
      </w:r>
      <w:r w:rsidR="00486228">
        <w:t>, in thousand units</w:t>
      </w:r>
    </w:p>
    <w:p w:rsidRPr="00A6797B" w:rsidR="00DA4A3D" w:rsidP="00A6797B" w:rsidRDefault="00DA4A3D" w14:paraId="47F007A9" w14:textId="77777777">
      <w:pPr>
        <w:pStyle w:val="NoSpacing"/>
      </w:pPr>
      <w:r w:rsidRPr="00A6797B">
        <w:rPr>
          <w:i/>
        </w:rPr>
        <w:tab/>
      </w:r>
      <w:r w:rsidRPr="00A6797B">
        <w:rPr>
          <w:i/>
        </w:rPr>
        <w:t>U</w:t>
      </w:r>
      <w:r w:rsidRPr="00A6797B">
        <w:rPr>
          <w:i/>
          <w:vertAlign w:val="subscript"/>
        </w:rPr>
        <w:t>n</w:t>
      </w:r>
      <w:r w:rsidRPr="00A6797B">
        <w:rPr>
          <w:vertAlign w:val="subscript"/>
        </w:rPr>
        <w:tab/>
      </w:r>
      <w:r w:rsidRPr="00A6797B">
        <w:t xml:space="preserve">= </w:t>
      </w:r>
      <w:r w:rsidRPr="00A6797B">
        <w:tab/>
      </w:r>
      <w:r w:rsidRPr="00A6797B">
        <w:t xml:space="preserve">Number of housing starts by number of units, </w:t>
      </w:r>
      <w:r w:rsidRPr="00A6797B">
        <w:rPr>
          <w:i/>
        </w:rPr>
        <w:t>n</w:t>
      </w:r>
      <w:r w:rsidR="007E4E39">
        <w:t>, from the 2000</w:t>
      </w:r>
      <w:r w:rsidRPr="00A6797B">
        <w:t xml:space="preserve"> </w:t>
      </w:r>
      <w:r w:rsidRPr="00A6797B">
        <w:rPr>
          <w:i/>
        </w:rPr>
        <w:t>National Housing Starts</w:t>
      </w:r>
      <w:r w:rsidRPr="00A6797B">
        <w:t xml:space="preserve"> data</w:t>
      </w:r>
      <w:r w:rsidR="00486228">
        <w:t xml:space="preserve">, in </w:t>
      </w:r>
      <w:r w:rsidR="00486228">
        <w:lastRenderedPageBreak/>
        <w:t>thousand housing starts</w:t>
      </w:r>
    </w:p>
    <w:p w:rsidRPr="00A6797B" w:rsidR="00DA4A3D" w:rsidP="00A6797B" w:rsidRDefault="00DA4A3D" w14:paraId="2192CB06" w14:textId="77777777">
      <w:pPr>
        <w:pStyle w:val="NoSpacing"/>
      </w:pPr>
      <w:r w:rsidRPr="00A6797B">
        <w:rPr>
          <w:i/>
        </w:rPr>
        <w:tab/>
      </w:r>
      <w:r w:rsidRPr="00A6797B">
        <w:rPr>
          <w:i/>
        </w:rPr>
        <w:t>U</w:t>
      </w:r>
      <w:r w:rsidRPr="00A6797B">
        <w:rPr>
          <w:i/>
          <w:vertAlign w:val="subscript"/>
        </w:rPr>
        <w:t>t</w:t>
      </w:r>
      <w:r w:rsidRPr="00A6797B">
        <w:rPr>
          <w:vertAlign w:val="subscript"/>
        </w:rPr>
        <w:tab/>
      </w:r>
      <w:r w:rsidRPr="00A6797B">
        <w:t xml:space="preserve">= </w:t>
      </w:r>
      <w:r w:rsidRPr="00A6797B">
        <w:tab/>
      </w:r>
      <w:r w:rsidRPr="00A6797B">
        <w:t>Total number of housing starts for both 2 u</w:t>
      </w:r>
      <w:r w:rsidR="007E4E39">
        <w:t>nits and 3-4 units from the 2000</w:t>
      </w:r>
      <w:r w:rsidRPr="00A6797B">
        <w:t xml:space="preserve"> </w:t>
      </w:r>
      <w:r w:rsidRPr="00A6797B">
        <w:rPr>
          <w:i/>
        </w:rPr>
        <w:t>National Housing Starts</w:t>
      </w:r>
      <w:r w:rsidRPr="00A6797B" w:rsidR="00A6797B">
        <w:t xml:space="preserve"> </w:t>
      </w:r>
      <w:r w:rsidRPr="00A6797B">
        <w:t>data</w:t>
      </w:r>
      <w:r w:rsidR="00486228">
        <w:t>, in thousand housing starts</w:t>
      </w:r>
    </w:p>
    <w:p w:rsidR="00DA4A3D" w:rsidP="00A6797B" w:rsidRDefault="00DA4A3D" w14:paraId="20E04516" w14:textId="04CC1229">
      <w:pPr>
        <w:pStyle w:val="NoSpacing"/>
      </w:pPr>
      <w:r w:rsidRPr="00A6797B">
        <w:tab/>
      </w:r>
      <w:r w:rsidRPr="00A6797B">
        <w:rPr>
          <w:i/>
        </w:rPr>
        <w:t>S</w:t>
      </w:r>
      <w:r w:rsidRPr="00A6797B">
        <w:rPr>
          <w:i/>
          <w:vertAlign w:val="subscript"/>
        </w:rPr>
        <w:t>Q,2-4</w:t>
      </w:r>
      <w:r w:rsidRPr="00A6797B">
        <w:tab/>
      </w:r>
      <w:r w:rsidRPr="00A6797B">
        <w:t>=</w:t>
      </w:r>
      <w:r w:rsidRPr="00A6797B">
        <w:tab/>
      </w:r>
      <w:r w:rsidRPr="00A6797B">
        <w:t xml:space="preserve">Number of 2-4 units by quarter, </w:t>
      </w:r>
      <w:r w:rsidRPr="00A6797B">
        <w:rPr>
          <w:i/>
        </w:rPr>
        <w:t>Q</w:t>
      </w:r>
      <w:r w:rsidRPr="00A6797B">
        <w:t>, from the 201</w:t>
      </w:r>
      <w:r w:rsidR="00592CB0">
        <w:t>7</w:t>
      </w:r>
      <w:r w:rsidRPr="00A6797B">
        <w:t xml:space="preserve"> </w:t>
      </w:r>
      <w:r w:rsidRPr="00A6797B">
        <w:rPr>
          <w:i/>
        </w:rPr>
        <w:t>New Privately Owned Housing Units Started by Purpose and Design</w:t>
      </w:r>
      <w:r w:rsidRPr="00A6797B">
        <w:t xml:space="preserve"> data</w:t>
      </w:r>
      <w:r w:rsidR="00486228">
        <w:t>, in thousand units</w:t>
      </w:r>
    </w:p>
    <w:p w:rsidR="00116FAD" w:rsidP="00A6797B" w:rsidRDefault="00116FAD" w14:paraId="19B9A794" w14:textId="77777777">
      <w:pPr>
        <w:pStyle w:val="NoSpacing"/>
      </w:pPr>
    </w:p>
    <w:p w:rsidRPr="00300CE8" w:rsidR="00DA4A3D" w:rsidP="5FE1AB41" w:rsidRDefault="00DA4A3D" w14:paraId="5A9E07DD" w14:textId="47253F9C">
      <w:pPr>
        <w:pStyle w:val="Caption"/>
        <w:keepNext/>
        <w:spacing w:after="0"/>
        <w:jc w:val="center"/>
        <w:rPr>
          <w:color w:val="auto"/>
          <w:sz w:val="20"/>
          <w:szCs w:val="20"/>
        </w:rPr>
      </w:pPr>
      <w:bookmarkStart w:name="_Ref476829817" w:id="5"/>
      <w:r w:rsidRPr="5FE1AB41" w:rsidR="00DA4A3D">
        <w:rPr>
          <w:color w:val="auto"/>
          <w:sz w:val="20"/>
          <w:szCs w:val="20"/>
        </w:rPr>
        <w:t xml:space="preserve">Table </w:t>
      </w:r>
      <w:r w:rsidRPr="5FE1AB41">
        <w:rPr>
          <w:color w:val="auto"/>
          <w:sz w:val="20"/>
          <w:szCs w:val="20"/>
        </w:rPr>
        <w:fldChar w:fldCharType="begin"/>
      </w:r>
      <w:r w:rsidRPr="5FE1AB41">
        <w:rPr>
          <w:color w:val="auto"/>
          <w:sz w:val="20"/>
          <w:szCs w:val="20"/>
        </w:rPr>
        <w:instrText xml:space="preserve"> SEQ Table \* ARABIC </w:instrText>
      </w:r>
      <w:r w:rsidRPr="5FE1AB41">
        <w:rPr>
          <w:color w:val="auto"/>
          <w:sz w:val="20"/>
          <w:szCs w:val="20"/>
        </w:rPr>
        <w:fldChar w:fldCharType="separate"/>
      </w:r>
      <w:r w:rsidRPr="5FE1AB41" w:rsidR="007D5A4D">
        <w:rPr>
          <w:noProof/>
          <w:color w:val="auto"/>
          <w:sz w:val="20"/>
          <w:szCs w:val="20"/>
        </w:rPr>
        <w:t>1</w:t>
      </w:r>
      <w:r w:rsidRPr="5FE1AB41">
        <w:rPr>
          <w:color w:val="auto"/>
          <w:sz w:val="20"/>
          <w:szCs w:val="20"/>
        </w:rPr>
        <w:fldChar w:fldCharType="end"/>
      </w:r>
      <w:r w:rsidRPr="5FE1AB41" w:rsidR="00DA4A3D">
        <w:rPr>
          <w:color w:val="auto"/>
          <w:sz w:val="20"/>
          <w:szCs w:val="20"/>
        </w:rPr>
        <w:t>. Housing Start Data for 201</w:t>
      </w:r>
      <w:r w:rsidRPr="5FE1AB41" w:rsidR="72D86B4C">
        <w:rPr>
          <w:color w:val="auto"/>
          <w:sz w:val="20"/>
          <w:szCs w:val="20"/>
        </w:rPr>
        <w:t>7</w:t>
      </w:r>
      <w:bookmarkEnd w:id="5"/>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729"/>
        <w:gridCol w:w="722"/>
        <w:gridCol w:w="668"/>
        <w:gridCol w:w="851"/>
        <w:gridCol w:w="684"/>
        <w:gridCol w:w="698"/>
        <w:gridCol w:w="698"/>
        <w:gridCol w:w="608"/>
        <w:gridCol w:w="611"/>
        <w:gridCol w:w="698"/>
        <w:gridCol w:w="699"/>
        <w:gridCol w:w="694"/>
      </w:tblGrid>
      <w:tr w:rsidRPr="00300CE8" w:rsidR="00DA4A3D" w:rsidTr="005E7FC5" w14:paraId="25C90BF9" w14:textId="77777777">
        <w:trPr>
          <w:trHeight w:val="300"/>
          <w:jc w:val="center"/>
        </w:trPr>
        <w:tc>
          <w:tcPr>
            <w:tcW w:w="529" w:type="pct"/>
            <w:vMerge w:val="restart"/>
            <w:shd w:val="clear" w:color="auto" w:fill="D9D9D9" w:themeFill="background1" w:themeFillShade="D9"/>
            <w:noWrap/>
            <w:vAlign w:val="bottom"/>
            <w:hideMark/>
          </w:tcPr>
          <w:p w:rsidRPr="00300CE8" w:rsidR="00DA4A3D" w:rsidP="00DE7325" w:rsidRDefault="00DA4A3D" w14:paraId="10B2DE01" w14:textId="77777777">
            <w:pPr>
              <w:spacing w:after="0"/>
              <w:jc w:val="center"/>
              <w:rPr>
                <w:szCs w:val="20"/>
              </w:rPr>
            </w:pPr>
            <w:r w:rsidRPr="00300CE8">
              <w:rPr>
                <w:szCs w:val="20"/>
              </w:rPr>
              <w:t> </w:t>
            </w:r>
          </w:p>
          <w:p w:rsidRPr="00300CE8" w:rsidR="00DA4A3D" w:rsidP="00DE7325" w:rsidRDefault="00DA4A3D" w14:paraId="7CF9626F" w14:textId="77777777">
            <w:pPr>
              <w:spacing w:after="0"/>
              <w:jc w:val="center"/>
              <w:rPr>
                <w:szCs w:val="20"/>
              </w:rPr>
            </w:pPr>
            <w:r w:rsidRPr="00300CE8">
              <w:rPr>
                <w:b/>
                <w:bCs/>
                <w:szCs w:val="20"/>
              </w:rPr>
              <w:t>Quarter</w:t>
            </w:r>
          </w:p>
        </w:tc>
        <w:tc>
          <w:tcPr>
            <w:tcW w:w="390" w:type="pct"/>
            <w:vMerge w:val="restart"/>
            <w:shd w:val="clear" w:color="auto" w:fill="D9D9D9" w:themeFill="background1" w:themeFillShade="D9"/>
            <w:noWrap/>
            <w:vAlign w:val="bottom"/>
            <w:hideMark/>
          </w:tcPr>
          <w:p w:rsidRPr="00300CE8" w:rsidR="00DA4A3D" w:rsidP="00DE7325" w:rsidRDefault="00DA4A3D" w14:paraId="20B65947" w14:textId="77777777">
            <w:pPr>
              <w:spacing w:after="0"/>
              <w:jc w:val="center"/>
              <w:rPr>
                <w:b/>
                <w:bCs/>
                <w:szCs w:val="20"/>
              </w:rPr>
            </w:pPr>
            <w:r w:rsidRPr="00300CE8">
              <w:rPr>
                <w:b/>
                <w:bCs/>
                <w:szCs w:val="20"/>
              </w:rPr>
              <w:t> </w:t>
            </w:r>
          </w:p>
          <w:p w:rsidRPr="00300CE8" w:rsidR="00DA4A3D" w:rsidP="00DE7325" w:rsidRDefault="00DA4A3D" w14:paraId="1D0AB1EE" w14:textId="77777777">
            <w:pPr>
              <w:spacing w:after="0"/>
              <w:jc w:val="center"/>
              <w:rPr>
                <w:b/>
                <w:bCs/>
                <w:szCs w:val="20"/>
              </w:rPr>
            </w:pPr>
            <w:r w:rsidRPr="00300CE8">
              <w:rPr>
                <w:b/>
                <w:bCs/>
                <w:szCs w:val="20"/>
              </w:rPr>
              <w:t>Total</w:t>
            </w:r>
          </w:p>
        </w:tc>
        <w:tc>
          <w:tcPr>
            <w:tcW w:w="1198" w:type="pct"/>
            <w:gridSpan w:val="3"/>
            <w:shd w:val="clear" w:color="auto" w:fill="D9D9D9" w:themeFill="background1" w:themeFillShade="D9"/>
            <w:noWrap/>
            <w:vAlign w:val="bottom"/>
            <w:hideMark/>
          </w:tcPr>
          <w:p w:rsidRPr="00300CE8" w:rsidR="00DA4A3D" w:rsidP="00DE7325" w:rsidRDefault="00DA4A3D" w14:paraId="4C18D31D" w14:textId="77777777">
            <w:pPr>
              <w:spacing w:after="0"/>
              <w:jc w:val="center"/>
              <w:rPr>
                <w:b/>
                <w:bCs/>
                <w:szCs w:val="20"/>
              </w:rPr>
            </w:pPr>
            <w:r w:rsidRPr="00300CE8">
              <w:rPr>
                <w:b/>
                <w:bCs/>
                <w:szCs w:val="20"/>
              </w:rPr>
              <w:t>Structure</w:t>
            </w:r>
          </w:p>
        </w:tc>
        <w:tc>
          <w:tcPr>
            <w:tcW w:w="1437" w:type="pct"/>
            <w:gridSpan w:val="4"/>
            <w:shd w:val="clear" w:color="auto" w:fill="D9D9D9" w:themeFill="background1" w:themeFillShade="D9"/>
            <w:noWrap/>
            <w:vAlign w:val="bottom"/>
            <w:hideMark/>
          </w:tcPr>
          <w:p w:rsidRPr="00300CE8" w:rsidR="00DA4A3D" w:rsidP="00DE7325" w:rsidRDefault="00DA4A3D" w14:paraId="37FE8C83" w14:textId="77777777">
            <w:pPr>
              <w:spacing w:after="0"/>
              <w:jc w:val="center"/>
              <w:rPr>
                <w:b/>
                <w:bCs/>
                <w:szCs w:val="20"/>
              </w:rPr>
            </w:pPr>
            <w:r w:rsidRPr="00300CE8">
              <w:rPr>
                <w:b/>
                <w:bCs/>
                <w:szCs w:val="20"/>
              </w:rPr>
              <w:t>Region</w:t>
            </w:r>
          </w:p>
        </w:tc>
        <w:tc>
          <w:tcPr>
            <w:tcW w:w="1445" w:type="pct"/>
            <w:gridSpan w:val="4"/>
            <w:shd w:val="clear" w:color="auto" w:fill="D9D9D9" w:themeFill="background1" w:themeFillShade="D9"/>
            <w:noWrap/>
            <w:vAlign w:val="bottom"/>
            <w:hideMark/>
          </w:tcPr>
          <w:p w:rsidR="00C53669" w:rsidP="00DE7325" w:rsidRDefault="00DA4A3D" w14:paraId="18CBC9C5" w14:textId="77777777">
            <w:pPr>
              <w:spacing w:after="0"/>
              <w:jc w:val="center"/>
              <w:rPr>
                <w:b/>
                <w:bCs/>
                <w:szCs w:val="20"/>
              </w:rPr>
            </w:pPr>
            <w:r w:rsidRPr="00300CE8">
              <w:rPr>
                <w:b/>
                <w:bCs/>
                <w:szCs w:val="20"/>
              </w:rPr>
              <w:t xml:space="preserve">Regional Starts of Structures </w:t>
            </w:r>
          </w:p>
          <w:p w:rsidRPr="00300CE8" w:rsidR="00DA4A3D" w:rsidP="00DE7325" w:rsidRDefault="00DA4A3D" w14:paraId="4B48E454" w14:textId="77777777">
            <w:pPr>
              <w:spacing w:after="0"/>
              <w:jc w:val="center"/>
              <w:rPr>
                <w:b/>
                <w:bCs/>
                <w:szCs w:val="20"/>
              </w:rPr>
            </w:pPr>
            <w:r w:rsidRPr="00300CE8">
              <w:rPr>
                <w:b/>
                <w:bCs/>
                <w:szCs w:val="20"/>
              </w:rPr>
              <w:t>with 1 unit</w:t>
            </w:r>
          </w:p>
        </w:tc>
      </w:tr>
      <w:tr w:rsidRPr="00300CE8" w:rsidR="00C53669" w:rsidTr="005E7FC5" w14:paraId="2400DF46" w14:textId="77777777">
        <w:trPr>
          <w:trHeight w:val="630"/>
          <w:jc w:val="center"/>
        </w:trPr>
        <w:tc>
          <w:tcPr>
            <w:tcW w:w="529" w:type="pct"/>
            <w:vMerge/>
            <w:shd w:val="clear" w:color="auto" w:fill="D9D9D9" w:themeFill="background1" w:themeFillShade="D9"/>
            <w:noWrap/>
            <w:vAlign w:val="bottom"/>
            <w:hideMark/>
          </w:tcPr>
          <w:p w:rsidRPr="00300CE8" w:rsidR="00DA4A3D" w:rsidP="00DE7325" w:rsidRDefault="00DA4A3D" w14:paraId="208B2D00" w14:textId="77777777">
            <w:pPr>
              <w:spacing w:after="0"/>
              <w:jc w:val="center"/>
              <w:rPr>
                <w:b/>
                <w:bCs/>
                <w:szCs w:val="20"/>
              </w:rPr>
            </w:pPr>
          </w:p>
        </w:tc>
        <w:tc>
          <w:tcPr>
            <w:tcW w:w="390" w:type="pct"/>
            <w:vMerge/>
            <w:shd w:val="clear" w:color="auto" w:fill="D9D9D9" w:themeFill="background1" w:themeFillShade="D9"/>
            <w:vAlign w:val="bottom"/>
            <w:hideMark/>
          </w:tcPr>
          <w:p w:rsidRPr="00300CE8" w:rsidR="00DA4A3D" w:rsidP="00DE7325" w:rsidRDefault="00DA4A3D" w14:paraId="69DB393F" w14:textId="77777777">
            <w:pPr>
              <w:spacing w:after="0"/>
              <w:jc w:val="center"/>
              <w:rPr>
                <w:b/>
                <w:bCs/>
                <w:szCs w:val="20"/>
              </w:rPr>
            </w:pPr>
          </w:p>
        </w:tc>
        <w:tc>
          <w:tcPr>
            <w:tcW w:w="386" w:type="pct"/>
            <w:shd w:val="clear" w:color="auto" w:fill="D9D9D9" w:themeFill="background1" w:themeFillShade="D9"/>
            <w:vAlign w:val="bottom"/>
            <w:hideMark/>
          </w:tcPr>
          <w:p w:rsidRPr="00300CE8" w:rsidR="00DA4A3D" w:rsidP="00DE7325" w:rsidRDefault="00DA4A3D" w14:paraId="52EBF753" w14:textId="77777777">
            <w:pPr>
              <w:spacing w:after="0"/>
              <w:jc w:val="center"/>
              <w:rPr>
                <w:b/>
                <w:bCs/>
                <w:szCs w:val="20"/>
              </w:rPr>
            </w:pPr>
            <w:r w:rsidRPr="00300CE8">
              <w:rPr>
                <w:b/>
                <w:bCs/>
                <w:szCs w:val="20"/>
              </w:rPr>
              <w:t>1 unit</w:t>
            </w:r>
          </w:p>
        </w:tc>
        <w:tc>
          <w:tcPr>
            <w:tcW w:w="357" w:type="pct"/>
            <w:shd w:val="clear" w:color="auto" w:fill="D9D9D9" w:themeFill="background1" w:themeFillShade="D9"/>
            <w:vAlign w:val="bottom"/>
            <w:hideMark/>
          </w:tcPr>
          <w:p w:rsidRPr="00300CE8" w:rsidR="00DA4A3D" w:rsidP="00DE7325" w:rsidRDefault="00DA4A3D" w14:paraId="566684E1" w14:textId="77777777">
            <w:pPr>
              <w:spacing w:after="0"/>
              <w:jc w:val="center"/>
              <w:rPr>
                <w:b/>
                <w:bCs/>
                <w:szCs w:val="20"/>
              </w:rPr>
            </w:pPr>
            <w:r w:rsidRPr="00300CE8">
              <w:rPr>
                <w:b/>
                <w:bCs/>
                <w:szCs w:val="20"/>
              </w:rPr>
              <w:t>2 to 4 units</w:t>
            </w:r>
          </w:p>
        </w:tc>
        <w:tc>
          <w:tcPr>
            <w:tcW w:w="455" w:type="pct"/>
            <w:shd w:val="clear" w:color="auto" w:fill="D9D9D9" w:themeFill="background1" w:themeFillShade="D9"/>
            <w:vAlign w:val="bottom"/>
            <w:hideMark/>
          </w:tcPr>
          <w:p w:rsidRPr="00300CE8" w:rsidR="00DA4A3D" w:rsidP="00DE7325" w:rsidRDefault="00DA4A3D" w14:paraId="0E7054C7" w14:textId="77777777">
            <w:pPr>
              <w:spacing w:after="0"/>
              <w:jc w:val="center"/>
              <w:rPr>
                <w:b/>
                <w:bCs/>
                <w:szCs w:val="20"/>
              </w:rPr>
            </w:pPr>
            <w:r w:rsidRPr="00300CE8">
              <w:rPr>
                <w:b/>
                <w:bCs/>
                <w:szCs w:val="20"/>
              </w:rPr>
              <w:t>5 units or more</w:t>
            </w:r>
          </w:p>
        </w:tc>
        <w:tc>
          <w:tcPr>
            <w:tcW w:w="366" w:type="pct"/>
            <w:shd w:val="clear" w:color="auto" w:fill="D9D9D9" w:themeFill="background1" w:themeFillShade="D9"/>
            <w:vAlign w:val="bottom"/>
            <w:hideMark/>
          </w:tcPr>
          <w:p w:rsidRPr="00300CE8" w:rsidR="00DA4A3D" w:rsidP="00DE7325" w:rsidRDefault="00DA4A3D" w14:paraId="2917AFE3" w14:textId="77777777">
            <w:pPr>
              <w:spacing w:after="0"/>
              <w:jc w:val="center"/>
              <w:rPr>
                <w:b/>
                <w:bCs/>
                <w:szCs w:val="20"/>
              </w:rPr>
            </w:pPr>
            <w:r w:rsidRPr="00300CE8">
              <w:rPr>
                <w:b/>
                <w:bCs/>
                <w:szCs w:val="20"/>
              </w:rPr>
              <w:t>NE</w:t>
            </w:r>
          </w:p>
        </w:tc>
        <w:tc>
          <w:tcPr>
            <w:tcW w:w="373" w:type="pct"/>
            <w:shd w:val="clear" w:color="auto" w:fill="D9D9D9" w:themeFill="background1" w:themeFillShade="D9"/>
            <w:vAlign w:val="bottom"/>
            <w:hideMark/>
          </w:tcPr>
          <w:p w:rsidRPr="00300CE8" w:rsidR="00DA4A3D" w:rsidP="00DE7325" w:rsidRDefault="00DA4A3D" w14:paraId="341CA36B" w14:textId="77777777">
            <w:pPr>
              <w:spacing w:after="0"/>
              <w:jc w:val="center"/>
              <w:rPr>
                <w:b/>
                <w:bCs/>
                <w:szCs w:val="20"/>
              </w:rPr>
            </w:pPr>
            <w:r w:rsidRPr="00300CE8">
              <w:rPr>
                <w:b/>
                <w:bCs/>
                <w:szCs w:val="20"/>
              </w:rPr>
              <w:t>MW</w:t>
            </w:r>
          </w:p>
        </w:tc>
        <w:tc>
          <w:tcPr>
            <w:tcW w:w="373" w:type="pct"/>
            <w:shd w:val="clear" w:color="auto" w:fill="D9D9D9" w:themeFill="background1" w:themeFillShade="D9"/>
            <w:vAlign w:val="bottom"/>
            <w:hideMark/>
          </w:tcPr>
          <w:p w:rsidRPr="00300CE8" w:rsidR="00DA4A3D" w:rsidP="00DE7325" w:rsidRDefault="00DA4A3D" w14:paraId="259B1F4A" w14:textId="77777777">
            <w:pPr>
              <w:spacing w:after="0"/>
              <w:jc w:val="center"/>
              <w:rPr>
                <w:b/>
                <w:bCs/>
                <w:szCs w:val="20"/>
              </w:rPr>
            </w:pPr>
            <w:r w:rsidRPr="00300CE8">
              <w:rPr>
                <w:b/>
                <w:bCs/>
                <w:szCs w:val="20"/>
              </w:rPr>
              <w:t>S</w:t>
            </w:r>
          </w:p>
        </w:tc>
        <w:tc>
          <w:tcPr>
            <w:tcW w:w="325" w:type="pct"/>
            <w:shd w:val="clear" w:color="auto" w:fill="D9D9D9" w:themeFill="background1" w:themeFillShade="D9"/>
            <w:vAlign w:val="bottom"/>
            <w:hideMark/>
          </w:tcPr>
          <w:p w:rsidRPr="00300CE8" w:rsidR="00DA4A3D" w:rsidP="00DE7325" w:rsidRDefault="00DA4A3D" w14:paraId="51D0B514" w14:textId="77777777">
            <w:pPr>
              <w:spacing w:after="0"/>
              <w:rPr>
                <w:b/>
                <w:bCs/>
                <w:szCs w:val="20"/>
              </w:rPr>
            </w:pPr>
            <w:r w:rsidRPr="00300CE8">
              <w:rPr>
                <w:b/>
                <w:bCs/>
                <w:szCs w:val="20"/>
              </w:rPr>
              <w:t>W</w:t>
            </w:r>
          </w:p>
        </w:tc>
        <w:tc>
          <w:tcPr>
            <w:tcW w:w="327" w:type="pct"/>
            <w:shd w:val="clear" w:color="auto" w:fill="D9D9D9" w:themeFill="background1" w:themeFillShade="D9"/>
            <w:noWrap/>
            <w:vAlign w:val="bottom"/>
            <w:hideMark/>
          </w:tcPr>
          <w:p w:rsidRPr="00300CE8" w:rsidR="00DA4A3D" w:rsidP="00DE7325" w:rsidRDefault="00DA4A3D" w14:paraId="6044B54A" w14:textId="77777777">
            <w:pPr>
              <w:spacing w:after="0"/>
              <w:jc w:val="center"/>
              <w:rPr>
                <w:b/>
                <w:bCs/>
                <w:szCs w:val="20"/>
              </w:rPr>
            </w:pPr>
            <w:r w:rsidRPr="00300CE8">
              <w:rPr>
                <w:b/>
                <w:bCs/>
                <w:szCs w:val="20"/>
              </w:rPr>
              <w:t>NE</w:t>
            </w:r>
          </w:p>
        </w:tc>
        <w:tc>
          <w:tcPr>
            <w:tcW w:w="373" w:type="pct"/>
            <w:shd w:val="clear" w:color="auto" w:fill="D9D9D9" w:themeFill="background1" w:themeFillShade="D9"/>
            <w:noWrap/>
            <w:vAlign w:val="bottom"/>
            <w:hideMark/>
          </w:tcPr>
          <w:p w:rsidRPr="00300CE8" w:rsidR="00DA4A3D" w:rsidP="00DE7325" w:rsidRDefault="00DA4A3D" w14:paraId="048977E1" w14:textId="77777777">
            <w:pPr>
              <w:spacing w:after="0"/>
              <w:jc w:val="center"/>
              <w:rPr>
                <w:b/>
                <w:bCs/>
                <w:szCs w:val="20"/>
              </w:rPr>
            </w:pPr>
            <w:r w:rsidRPr="00300CE8">
              <w:rPr>
                <w:b/>
                <w:bCs/>
                <w:szCs w:val="20"/>
              </w:rPr>
              <w:t>MW</w:t>
            </w:r>
          </w:p>
        </w:tc>
        <w:tc>
          <w:tcPr>
            <w:tcW w:w="374" w:type="pct"/>
            <w:shd w:val="clear" w:color="auto" w:fill="D9D9D9" w:themeFill="background1" w:themeFillShade="D9"/>
            <w:noWrap/>
            <w:vAlign w:val="bottom"/>
            <w:hideMark/>
          </w:tcPr>
          <w:p w:rsidRPr="00300CE8" w:rsidR="00DA4A3D" w:rsidP="00DE7325" w:rsidRDefault="00DA4A3D" w14:paraId="2FCA4540" w14:textId="77777777">
            <w:pPr>
              <w:spacing w:after="0"/>
              <w:jc w:val="center"/>
              <w:rPr>
                <w:b/>
                <w:bCs/>
                <w:szCs w:val="20"/>
              </w:rPr>
            </w:pPr>
            <w:r w:rsidRPr="00300CE8">
              <w:rPr>
                <w:b/>
                <w:bCs/>
                <w:szCs w:val="20"/>
              </w:rPr>
              <w:t>S</w:t>
            </w:r>
          </w:p>
        </w:tc>
        <w:tc>
          <w:tcPr>
            <w:tcW w:w="371" w:type="pct"/>
            <w:shd w:val="clear" w:color="auto" w:fill="D9D9D9" w:themeFill="background1" w:themeFillShade="D9"/>
            <w:noWrap/>
            <w:vAlign w:val="bottom"/>
            <w:hideMark/>
          </w:tcPr>
          <w:p w:rsidRPr="00300CE8" w:rsidR="00DA4A3D" w:rsidP="00DE7325" w:rsidRDefault="00DA4A3D" w14:paraId="01451A56" w14:textId="77777777">
            <w:pPr>
              <w:spacing w:after="0"/>
              <w:jc w:val="center"/>
              <w:rPr>
                <w:b/>
                <w:bCs/>
                <w:szCs w:val="20"/>
              </w:rPr>
            </w:pPr>
            <w:r w:rsidRPr="00300CE8">
              <w:rPr>
                <w:b/>
                <w:bCs/>
                <w:szCs w:val="20"/>
              </w:rPr>
              <w:t>W</w:t>
            </w:r>
          </w:p>
        </w:tc>
      </w:tr>
      <w:tr w:rsidRPr="00300CE8" w:rsidR="00C53669" w:rsidTr="005E7FC5" w14:paraId="25FFFA2C" w14:textId="77777777">
        <w:trPr>
          <w:trHeight w:val="300"/>
          <w:jc w:val="center"/>
        </w:trPr>
        <w:tc>
          <w:tcPr>
            <w:tcW w:w="529" w:type="pct"/>
            <w:shd w:val="clear" w:color="auto" w:fill="auto"/>
            <w:noWrap/>
            <w:vAlign w:val="bottom"/>
            <w:hideMark/>
          </w:tcPr>
          <w:p w:rsidRPr="00300CE8" w:rsidR="00DA4A3D" w:rsidP="00907DAA" w:rsidRDefault="00DA4A3D" w14:paraId="02716FCF" w14:textId="77777777">
            <w:pPr>
              <w:spacing w:after="0"/>
              <w:jc w:val="center"/>
              <w:rPr>
                <w:szCs w:val="20"/>
              </w:rPr>
            </w:pPr>
            <w:r w:rsidRPr="00300CE8">
              <w:rPr>
                <w:szCs w:val="20"/>
              </w:rPr>
              <w:t>Q1-14</w:t>
            </w:r>
          </w:p>
        </w:tc>
        <w:tc>
          <w:tcPr>
            <w:tcW w:w="390" w:type="pct"/>
            <w:shd w:val="clear" w:color="auto" w:fill="auto"/>
            <w:noWrap/>
            <w:vAlign w:val="bottom"/>
            <w:hideMark/>
          </w:tcPr>
          <w:p w:rsidRPr="00300CE8" w:rsidR="00DA4A3D" w:rsidP="00DE7325" w:rsidRDefault="00DA4A3D" w14:paraId="3A2C9F76" w14:textId="77777777">
            <w:pPr>
              <w:spacing w:after="0"/>
              <w:jc w:val="right"/>
              <w:rPr>
                <w:szCs w:val="20"/>
              </w:rPr>
            </w:pPr>
            <w:r w:rsidRPr="00300CE8">
              <w:rPr>
                <w:szCs w:val="20"/>
              </w:rPr>
              <w:t>206.0</w:t>
            </w:r>
          </w:p>
        </w:tc>
        <w:tc>
          <w:tcPr>
            <w:tcW w:w="386" w:type="pct"/>
            <w:shd w:val="clear" w:color="auto" w:fill="auto"/>
            <w:noWrap/>
            <w:vAlign w:val="bottom"/>
            <w:hideMark/>
          </w:tcPr>
          <w:p w:rsidRPr="00300CE8" w:rsidR="00DA4A3D" w:rsidP="00DE7325" w:rsidRDefault="00DA4A3D" w14:paraId="7ADF9E14" w14:textId="77777777">
            <w:pPr>
              <w:spacing w:after="0"/>
              <w:jc w:val="right"/>
              <w:rPr>
                <w:szCs w:val="20"/>
              </w:rPr>
            </w:pPr>
            <w:r w:rsidRPr="00300CE8">
              <w:rPr>
                <w:szCs w:val="20"/>
              </w:rPr>
              <w:t>134.0</w:t>
            </w:r>
          </w:p>
        </w:tc>
        <w:tc>
          <w:tcPr>
            <w:tcW w:w="357" w:type="pct"/>
            <w:shd w:val="clear" w:color="auto" w:fill="auto"/>
            <w:noWrap/>
            <w:vAlign w:val="bottom"/>
            <w:hideMark/>
          </w:tcPr>
          <w:p w:rsidRPr="00300CE8" w:rsidR="00DA4A3D" w:rsidP="00907DAA" w:rsidRDefault="00DA4A3D" w14:paraId="0E5F1A84" w14:textId="77777777">
            <w:pPr>
              <w:spacing w:after="0"/>
              <w:jc w:val="center"/>
              <w:rPr>
                <w:szCs w:val="20"/>
              </w:rPr>
            </w:pPr>
            <w:r w:rsidRPr="00300CE8">
              <w:rPr>
                <w:szCs w:val="20"/>
              </w:rPr>
              <w:t>2.0</w:t>
            </w:r>
          </w:p>
        </w:tc>
        <w:tc>
          <w:tcPr>
            <w:tcW w:w="455" w:type="pct"/>
            <w:shd w:val="clear" w:color="auto" w:fill="auto"/>
            <w:noWrap/>
            <w:vAlign w:val="bottom"/>
            <w:hideMark/>
          </w:tcPr>
          <w:p w:rsidRPr="00300CE8" w:rsidR="00DA4A3D" w:rsidP="00DE7325" w:rsidRDefault="00DA4A3D" w14:paraId="32FCE86C" w14:textId="77777777">
            <w:pPr>
              <w:spacing w:after="0"/>
              <w:jc w:val="right"/>
              <w:rPr>
                <w:szCs w:val="20"/>
              </w:rPr>
            </w:pPr>
            <w:r w:rsidRPr="00300CE8">
              <w:rPr>
                <w:szCs w:val="20"/>
              </w:rPr>
              <w:t>70.0</w:t>
            </w:r>
          </w:p>
        </w:tc>
        <w:tc>
          <w:tcPr>
            <w:tcW w:w="366" w:type="pct"/>
            <w:shd w:val="clear" w:color="auto" w:fill="auto"/>
            <w:noWrap/>
            <w:vAlign w:val="bottom"/>
            <w:hideMark/>
          </w:tcPr>
          <w:p w:rsidRPr="00300CE8" w:rsidR="00DA4A3D" w:rsidP="00907DAA" w:rsidRDefault="00DA4A3D" w14:paraId="19B2112C" w14:textId="77777777">
            <w:pPr>
              <w:spacing w:after="0"/>
              <w:jc w:val="center"/>
              <w:rPr>
                <w:szCs w:val="20"/>
              </w:rPr>
            </w:pPr>
            <w:r w:rsidRPr="00300CE8">
              <w:rPr>
                <w:szCs w:val="20"/>
              </w:rPr>
              <w:t>23.0</w:t>
            </w:r>
          </w:p>
        </w:tc>
        <w:tc>
          <w:tcPr>
            <w:tcW w:w="373" w:type="pct"/>
            <w:shd w:val="clear" w:color="auto" w:fill="auto"/>
            <w:noWrap/>
            <w:vAlign w:val="bottom"/>
            <w:hideMark/>
          </w:tcPr>
          <w:p w:rsidRPr="00300CE8" w:rsidR="00DA4A3D" w:rsidP="00907DAA" w:rsidRDefault="00DA4A3D" w14:paraId="741279B0" w14:textId="77777777">
            <w:pPr>
              <w:spacing w:after="0"/>
              <w:jc w:val="center"/>
              <w:rPr>
                <w:szCs w:val="20"/>
              </w:rPr>
            </w:pPr>
            <w:r w:rsidRPr="00300CE8">
              <w:rPr>
                <w:szCs w:val="20"/>
              </w:rPr>
              <w:t>21.0</w:t>
            </w:r>
          </w:p>
        </w:tc>
        <w:tc>
          <w:tcPr>
            <w:tcW w:w="373" w:type="pct"/>
            <w:shd w:val="clear" w:color="auto" w:fill="auto"/>
            <w:noWrap/>
            <w:vAlign w:val="bottom"/>
            <w:hideMark/>
          </w:tcPr>
          <w:p w:rsidRPr="00300CE8" w:rsidR="00DA4A3D" w:rsidP="00907DAA" w:rsidRDefault="00DA4A3D" w14:paraId="0E611701" w14:textId="77777777">
            <w:pPr>
              <w:spacing w:after="0"/>
              <w:jc w:val="center"/>
              <w:rPr>
                <w:szCs w:val="20"/>
              </w:rPr>
            </w:pPr>
            <w:r w:rsidRPr="00300CE8">
              <w:rPr>
                <w:szCs w:val="20"/>
              </w:rPr>
              <w:t>113.0</w:t>
            </w:r>
          </w:p>
        </w:tc>
        <w:tc>
          <w:tcPr>
            <w:tcW w:w="325" w:type="pct"/>
            <w:shd w:val="clear" w:color="auto" w:fill="auto"/>
            <w:noWrap/>
            <w:vAlign w:val="bottom"/>
            <w:hideMark/>
          </w:tcPr>
          <w:p w:rsidRPr="00300CE8" w:rsidR="00DA4A3D" w:rsidP="00907DAA" w:rsidRDefault="00DA4A3D" w14:paraId="790289A9" w14:textId="77777777">
            <w:pPr>
              <w:spacing w:after="0"/>
              <w:jc w:val="center"/>
              <w:rPr>
                <w:szCs w:val="20"/>
              </w:rPr>
            </w:pPr>
            <w:r w:rsidRPr="00300CE8">
              <w:rPr>
                <w:szCs w:val="20"/>
              </w:rPr>
              <w:t>49.0</w:t>
            </w:r>
          </w:p>
        </w:tc>
        <w:tc>
          <w:tcPr>
            <w:tcW w:w="327" w:type="pct"/>
            <w:shd w:val="clear" w:color="auto" w:fill="auto"/>
            <w:noWrap/>
            <w:vAlign w:val="bottom"/>
            <w:hideMark/>
          </w:tcPr>
          <w:p w:rsidRPr="00300CE8" w:rsidR="00DA4A3D" w:rsidP="00DE7325" w:rsidRDefault="00DA4A3D" w14:paraId="59D989DA" w14:textId="77777777">
            <w:pPr>
              <w:spacing w:after="0"/>
              <w:jc w:val="right"/>
              <w:rPr>
                <w:szCs w:val="20"/>
              </w:rPr>
            </w:pPr>
            <w:r w:rsidRPr="00300CE8">
              <w:rPr>
                <w:szCs w:val="20"/>
              </w:rPr>
              <w:t>9.0</w:t>
            </w:r>
          </w:p>
        </w:tc>
        <w:tc>
          <w:tcPr>
            <w:tcW w:w="373" w:type="pct"/>
            <w:shd w:val="clear" w:color="auto" w:fill="auto"/>
            <w:noWrap/>
            <w:vAlign w:val="bottom"/>
            <w:hideMark/>
          </w:tcPr>
          <w:p w:rsidRPr="00300CE8" w:rsidR="00DA4A3D" w:rsidP="00907DAA" w:rsidRDefault="00DA4A3D" w14:paraId="4A512064" w14:textId="77777777">
            <w:pPr>
              <w:spacing w:after="0"/>
              <w:jc w:val="center"/>
              <w:rPr>
                <w:szCs w:val="20"/>
              </w:rPr>
            </w:pPr>
            <w:r w:rsidRPr="00300CE8">
              <w:rPr>
                <w:szCs w:val="20"/>
              </w:rPr>
              <w:t>14.0</w:t>
            </w:r>
          </w:p>
        </w:tc>
        <w:tc>
          <w:tcPr>
            <w:tcW w:w="374" w:type="pct"/>
            <w:shd w:val="clear" w:color="auto" w:fill="auto"/>
            <w:noWrap/>
            <w:vAlign w:val="bottom"/>
            <w:hideMark/>
          </w:tcPr>
          <w:p w:rsidRPr="00300CE8" w:rsidR="00DA4A3D" w:rsidP="00907DAA" w:rsidRDefault="00DA4A3D" w14:paraId="7695DC5C" w14:textId="77777777">
            <w:pPr>
              <w:spacing w:after="0"/>
              <w:jc w:val="center"/>
              <w:rPr>
                <w:szCs w:val="20"/>
              </w:rPr>
            </w:pPr>
            <w:r w:rsidRPr="00300CE8">
              <w:rPr>
                <w:szCs w:val="20"/>
              </w:rPr>
              <w:t>79.0</w:t>
            </w:r>
          </w:p>
        </w:tc>
        <w:tc>
          <w:tcPr>
            <w:tcW w:w="371" w:type="pct"/>
            <w:shd w:val="clear" w:color="auto" w:fill="auto"/>
            <w:noWrap/>
            <w:vAlign w:val="bottom"/>
            <w:hideMark/>
          </w:tcPr>
          <w:p w:rsidRPr="00300CE8" w:rsidR="00DA4A3D" w:rsidP="00907DAA" w:rsidRDefault="00DA4A3D" w14:paraId="07214958" w14:textId="77777777">
            <w:pPr>
              <w:spacing w:after="0"/>
              <w:jc w:val="center"/>
              <w:rPr>
                <w:szCs w:val="20"/>
              </w:rPr>
            </w:pPr>
            <w:r w:rsidRPr="00300CE8">
              <w:rPr>
                <w:szCs w:val="20"/>
              </w:rPr>
              <w:t>32.0</w:t>
            </w:r>
          </w:p>
        </w:tc>
      </w:tr>
      <w:tr w:rsidRPr="00300CE8" w:rsidR="00C53669" w:rsidTr="005E7FC5" w14:paraId="040603AC" w14:textId="77777777">
        <w:trPr>
          <w:trHeight w:val="300"/>
          <w:jc w:val="center"/>
        </w:trPr>
        <w:tc>
          <w:tcPr>
            <w:tcW w:w="529" w:type="pct"/>
            <w:shd w:val="clear" w:color="auto" w:fill="auto"/>
            <w:noWrap/>
            <w:vAlign w:val="bottom"/>
            <w:hideMark/>
          </w:tcPr>
          <w:p w:rsidRPr="00300CE8" w:rsidR="00DA4A3D" w:rsidP="00907DAA" w:rsidRDefault="00DA4A3D" w14:paraId="36B9C8AF" w14:textId="77777777">
            <w:pPr>
              <w:spacing w:after="0"/>
              <w:jc w:val="center"/>
              <w:rPr>
                <w:szCs w:val="20"/>
              </w:rPr>
            </w:pPr>
            <w:r w:rsidRPr="00300CE8">
              <w:rPr>
                <w:szCs w:val="20"/>
              </w:rPr>
              <w:t>Q2-14</w:t>
            </w:r>
          </w:p>
        </w:tc>
        <w:tc>
          <w:tcPr>
            <w:tcW w:w="390" w:type="pct"/>
            <w:shd w:val="clear" w:color="auto" w:fill="auto"/>
            <w:noWrap/>
            <w:vAlign w:val="bottom"/>
            <w:hideMark/>
          </w:tcPr>
          <w:p w:rsidRPr="00300CE8" w:rsidR="00DA4A3D" w:rsidP="00DE7325" w:rsidRDefault="00DA4A3D" w14:paraId="3F16C9A2" w14:textId="77777777">
            <w:pPr>
              <w:spacing w:after="0"/>
              <w:jc w:val="right"/>
              <w:rPr>
                <w:szCs w:val="20"/>
              </w:rPr>
            </w:pPr>
            <w:r w:rsidRPr="00300CE8">
              <w:rPr>
                <w:szCs w:val="20"/>
              </w:rPr>
              <w:t>275.0</w:t>
            </w:r>
          </w:p>
        </w:tc>
        <w:tc>
          <w:tcPr>
            <w:tcW w:w="386" w:type="pct"/>
            <w:shd w:val="clear" w:color="auto" w:fill="auto"/>
            <w:noWrap/>
            <w:vAlign w:val="bottom"/>
            <w:hideMark/>
          </w:tcPr>
          <w:p w:rsidRPr="00300CE8" w:rsidR="00DA4A3D" w:rsidP="00DE7325" w:rsidRDefault="00DA4A3D" w14:paraId="67A512E0" w14:textId="77777777">
            <w:pPr>
              <w:spacing w:after="0"/>
              <w:jc w:val="right"/>
              <w:rPr>
                <w:szCs w:val="20"/>
              </w:rPr>
            </w:pPr>
            <w:r w:rsidRPr="00300CE8">
              <w:rPr>
                <w:szCs w:val="20"/>
              </w:rPr>
              <w:t>183.0</w:t>
            </w:r>
          </w:p>
        </w:tc>
        <w:tc>
          <w:tcPr>
            <w:tcW w:w="357" w:type="pct"/>
            <w:shd w:val="clear" w:color="auto" w:fill="auto"/>
            <w:noWrap/>
            <w:vAlign w:val="bottom"/>
            <w:hideMark/>
          </w:tcPr>
          <w:p w:rsidRPr="00300CE8" w:rsidR="00DA4A3D" w:rsidP="00907DAA" w:rsidRDefault="00DA4A3D" w14:paraId="3961F9D4" w14:textId="77777777">
            <w:pPr>
              <w:spacing w:after="0"/>
              <w:jc w:val="center"/>
              <w:rPr>
                <w:szCs w:val="20"/>
              </w:rPr>
            </w:pPr>
            <w:r w:rsidRPr="00300CE8">
              <w:rPr>
                <w:szCs w:val="20"/>
              </w:rPr>
              <w:t>3.0</w:t>
            </w:r>
          </w:p>
        </w:tc>
        <w:tc>
          <w:tcPr>
            <w:tcW w:w="455" w:type="pct"/>
            <w:shd w:val="clear" w:color="auto" w:fill="auto"/>
            <w:noWrap/>
            <w:vAlign w:val="bottom"/>
            <w:hideMark/>
          </w:tcPr>
          <w:p w:rsidRPr="00300CE8" w:rsidR="00DA4A3D" w:rsidP="00DE7325" w:rsidRDefault="00DA4A3D" w14:paraId="2DB63D15" w14:textId="77777777">
            <w:pPr>
              <w:spacing w:after="0"/>
              <w:jc w:val="right"/>
              <w:rPr>
                <w:szCs w:val="20"/>
              </w:rPr>
            </w:pPr>
            <w:r w:rsidRPr="00300CE8">
              <w:rPr>
                <w:szCs w:val="20"/>
              </w:rPr>
              <w:t>89.0</w:t>
            </w:r>
          </w:p>
        </w:tc>
        <w:tc>
          <w:tcPr>
            <w:tcW w:w="366" w:type="pct"/>
            <w:shd w:val="clear" w:color="auto" w:fill="auto"/>
            <w:noWrap/>
            <w:vAlign w:val="bottom"/>
            <w:hideMark/>
          </w:tcPr>
          <w:p w:rsidRPr="00300CE8" w:rsidR="00DA4A3D" w:rsidP="00907DAA" w:rsidRDefault="00DA4A3D" w14:paraId="3A6D26F9" w14:textId="77777777">
            <w:pPr>
              <w:spacing w:after="0"/>
              <w:jc w:val="center"/>
              <w:rPr>
                <w:szCs w:val="20"/>
              </w:rPr>
            </w:pPr>
            <w:r w:rsidRPr="00300CE8">
              <w:rPr>
                <w:szCs w:val="20"/>
              </w:rPr>
              <w:t>28.0</w:t>
            </w:r>
          </w:p>
        </w:tc>
        <w:tc>
          <w:tcPr>
            <w:tcW w:w="373" w:type="pct"/>
            <w:shd w:val="clear" w:color="auto" w:fill="auto"/>
            <w:noWrap/>
            <w:vAlign w:val="bottom"/>
            <w:hideMark/>
          </w:tcPr>
          <w:p w:rsidRPr="00300CE8" w:rsidR="00DA4A3D" w:rsidP="00907DAA" w:rsidRDefault="00DA4A3D" w14:paraId="73742E5C" w14:textId="77777777">
            <w:pPr>
              <w:spacing w:after="0"/>
              <w:jc w:val="center"/>
              <w:rPr>
                <w:szCs w:val="20"/>
              </w:rPr>
            </w:pPr>
            <w:r w:rsidRPr="00300CE8">
              <w:rPr>
                <w:szCs w:val="20"/>
              </w:rPr>
              <w:t>53.0</w:t>
            </w:r>
          </w:p>
        </w:tc>
        <w:tc>
          <w:tcPr>
            <w:tcW w:w="373" w:type="pct"/>
            <w:shd w:val="clear" w:color="auto" w:fill="auto"/>
            <w:noWrap/>
            <w:vAlign w:val="bottom"/>
            <w:hideMark/>
          </w:tcPr>
          <w:p w:rsidRPr="00300CE8" w:rsidR="00DA4A3D" w:rsidP="00907DAA" w:rsidRDefault="00DA4A3D" w14:paraId="46B79E5F" w14:textId="77777777">
            <w:pPr>
              <w:spacing w:after="0"/>
              <w:jc w:val="center"/>
              <w:rPr>
                <w:szCs w:val="20"/>
              </w:rPr>
            </w:pPr>
            <w:r w:rsidRPr="00300CE8">
              <w:rPr>
                <w:szCs w:val="20"/>
              </w:rPr>
              <w:t>130.0</w:t>
            </w:r>
          </w:p>
        </w:tc>
        <w:tc>
          <w:tcPr>
            <w:tcW w:w="325" w:type="pct"/>
            <w:shd w:val="clear" w:color="auto" w:fill="auto"/>
            <w:noWrap/>
            <w:vAlign w:val="bottom"/>
            <w:hideMark/>
          </w:tcPr>
          <w:p w:rsidRPr="00300CE8" w:rsidR="00DA4A3D" w:rsidP="00907DAA" w:rsidRDefault="00DA4A3D" w14:paraId="5031B7F5" w14:textId="77777777">
            <w:pPr>
              <w:spacing w:after="0"/>
              <w:jc w:val="center"/>
              <w:rPr>
                <w:szCs w:val="20"/>
              </w:rPr>
            </w:pPr>
            <w:r w:rsidRPr="00300CE8">
              <w:rPr>
                <w:szCs w:val="20"/>
              </w:rPr>
              <w:t>62.0</w:t>
            </w:r>
          </w:p>
        </w:tc>
        <w:tc>
          <w:tcPr>
            <w:tcW w:w="327" w:type="pct"/>
            <w:shd w:val="clear" w:color="auto" w:fill="auto"/>
            <w:noWrap/>
            <w:vAlign w:val="bottom"/>
            <w:hideMark/>
          </w:tcPr>
          <w:p w:rsidRPr="00300CE8" w:rsidR="00DA4A3D" w:rsidP="00DE7325" w:rsidRDefault="00DA4A3D" w14:paraId="6748DCFF" w14:textId="77777777">
            <w:pPr>
              <w:spacing w:after="0"/>
              <w:jc w:val="right"/>
              <w:rPr>
                <w:szCs w:val="20"/>
              </w:rPr>
            </w:pPr>
            <w:r w:rsidRPr="00300CE8">
              <w:rPr>
                <w:szCs w:val="20"/>
              </w:rPr>
              <w:t>15.0</w:t>
            </w:r>
          </w:p>
        </w:tc>
        <w:tc>
          <w:tcPr>
            <w:tcW w:w="373" w:type="pct"/>
            <w:shd w:val="clear" w:color="auto" w:fill="auto"/>
            <w:noWrap/>
            <w:vAlign w:val="bottom"/>
            <w:hideMark/>
          </w:tcPr>
          <w:p w:rsidRPr="00300CE8" w:rsidR="00DA4A3D" w:rsidP="00907DAA" w:rsidRDefault="00DA4A3D" w14:paraId="5FCCF1EA" w14:textId="77777777">
            <w:pPr>
              <w:spacing w:after="0"/>
              <w:jc w:val="center"/>
              <w:rPr>
                <w:szCs w:val="20"/>
              </w:rPr>
            </w:pPr>
            <w:r w:rsidRPr="00300CE8">
              <w:rPr>
                <w:szCs w:val="20"/>
              </w:rPr>
              <w:t>34.0</w:t>
            </w:r>
          </w:p>
        </w:tc>
        <w:tc>
          <w:tcPr>
            <w:tcW w:w="374" w:type="pct"/>
            <w:shd w:val="clear" w:color="auto" w:fill="auto"/>
            <w:noWrap/>
            <w:vAlign w:val="bottom"/>
            <w:hideMark/>
          </w:tcPr>
          <w:p w:rsidRPr="00300CE8" w:rsidR="00DA4A3D" w:rsidP="00907DAA" w:rsidRDefault="00DA4A3D" w14:paraId="638DE8F4" w14:textId="77777777">
            <w:pPr>
              <w:spacing w:after="0"/>
              <w:jc w:val="center"/>
              <w:rPr>
                <w:szCs w:val="20"/>
              </w:rPr>
            </w:pPr>
            <w:r w:rsidRPr="00300CE8">
              <w:rPr>
                <w:szCs w:val="20"/>
              </w:rPr>
              <w:t>91.0</w:t>
            </w:r>
          </w:p>
        </w:tc>
        <w:tc>
          <w:tcPr>
            <w:tcW w:w="371" w:type="pct"/>
            <w:shd w:val="clear" w:color="auto" w:fill="auto"/>
            <w:noWrap/>
            <w:vAlign w:val="bottom"/>
            <w:hideMark/>
          </w:tcPr>
          <w:p w:rsidRPr="00300CE8" w:rsidR="00DA4A3D" w:rsidP="00907DAA" w:rsidRDefault="00DA4A3D" w14:paraId="5749DAC7" w14:textId="77777777">
            <w:pPr>
              <w:spacing w:after="0"/>
              <w:jc w:val="center"/>
              <w:rPr>
                <w:szCs w:val="20"/>
              </w:rPr>
            </w:pPr>
            <w:r w:rsidRPr="00300CE8">
              <w:rPr>
                <w:szCs w:val="20"/>
              </w:rPr>
              <w:t>42.0</w:t>
            </w:r>
          </w:p>
        </w:tc>
      </w:tr>
      <w:tr w:rsidRPr="00300CE8" w:rsidR="00C53669" w:rsidTr="005E7FC5" w14:paraId="2254E85F" w14:textId="77777777">
        <w:trPr>
          <w:trHeight w:val="300"/>
          <w:jc w:val="center"/>
        </w:trPr>
        <w:tc>
          <w:tcPr>
            <w:tcW w:w="529" w:type="pct"/>
            <w:shd w:val="clear" w:color="auto" w:fill="auto"/>
            <w:noWrap/>
            <w:vAlign w:val="bottom"/>
            <w:hideMark/>
          </w:tcPr>
          <w:p w:rsidRPr="00300CE8" w:rsidR="00DA4A3D" w:rsidP="00907DAA" w:rsidRDefault="00DA4A3D" w14:paraId="4FC215F1" w14:textId="77777777">
            <w:pPr>
              <w:spacing w:after="0"/>
              <w:jc w:val="center"/>
              <w:rPr>
                <w:szCs w:val="20"/>
              </w:rPr>
            </w:pPr>
            <w:r w:rsidRPr="00300CE8">
              <w:rPr>
                <w:szCs w:val="20"/>
              </w:rPr>
              <w:t>Q3-14</w:t>
            </w:r>
          </w:p>
        </w:tc>
        <w:tc>
          <w:tcPr>
            <w:tcW w:w="390" w:type="pct"/>
            <w:shd w:val="clear" w:color="auto" w:fill="auto"/>
            <w:noWrap/>
            <w:vAlign w:val="bottom"/>
            <w:hideMark/>
          </w:tcPr>
          <w:p w:rsidRPr="00300CE8" w:rsidR="00DA4A3D" w:rsidP="00DE7325" w:rsidRDefault="00DA4A3D" w14:paraId="409B8FCB" w14:textId="77777777">
            <w:pPr>
              <w:spacing w:after="0"/>
              <w:jc w:val="right"/>
              <w:rPr>
                <w:szCs w:val="20"/>
              </w:rPr>
            </w:pPr>
            <w:r w:rsidRPr="00300CE8">
              <w:rPr>
                <w:szCs w:val="20"/>
              </w:rPr>
              <w:t>282.0</w:t>
            </w:r>
          </w:p>
        </w:tc>
        <w:tc>
          <w:tcPr>
            <w:tcW w:w="386" w:type="pct"/>
            <w:shd w:val="clear" w:color="auto" w:fill="auto"/>
            <w:noWrap/>
            <w:vAlign w:val="bottom"/>
            <w:hideMark/>
          </w:tcPr>
          <w:p w:rsidRPr="00300CE8" w:rsidR="00DA4A3D" w:rsidP="00DE7325" w:rsidRDefault="00DA4A3D" w14:paraId="56148FFC" w14:textId="77777777">
            <w:pPr>
              <w:spacing w:after="0"/>
              <w:jc w:val="right"/>
              <w:rPr>
                <w:szCs w:val="20"/>
              </w:rPr>
            </w:pPr>
            <w:r w:rsidRPr="00300CE8">
              <w:rPr>
                <w:szCs w:val="20"/>
              </w:rPr>
              <w:t>178.0</w:t>
            </w:r>
          </w:p>
        </w:tc>
        <w:tc>
          <w:tcPr>
            <w:tcW w:w="357" w:type="pct"/>
            <w:shd w:val="clear" w:color="auto" w:fill="auto"/>
            <w:noWrap/>
            <w:vAlign w:val="bottom"/>
            <w:hideMark/>
          </w:tcPr>
          <w:p w:rsidRPr="00300CE8" w:rsidR="00DA4A3D" w:rsidP="00907DAA" w:rsidRDefault="00DA4A3D" w14:paraId="75FEC6B8" w14:textId="77777777">
            <w:pPr>
              <w:spacing w:after="0"/>
              <w:jc w:val="center"/>
              <w:rPr>
                <w:szCs w:val="20"/>
              </w:rPr>
            </w:pPr>
            <w:r w:rsidRPr="00300CE8">
              <w:rPr>
                <w:szCs w:val="20"/>
              </w:rPr>
              <w:t>4.0</w:t>
            </w:r>
          </w:p>
        </w:tc>
        <w:tc>
          <w:tcPr>
            <w:tcW w:w="455" w:type="pct"/>
            <w:shd w:val="clear" w:color="auto" w:fill="auto"/>
            <w:noWrap/>
            <w:vAlign w:val="bottom"/>
            <w:hideMark/>
          </w:tcPr>
          <w:p w:rsidRPr="00300CE8" w:rsidR="00DA4A3D" w:rsidP="00DE7325" w:rsidRDefault="00DA4A3D" w14:paraId="0F6DC3AB" w14:textId="77777777">
            <w:pPr>
              <w:spacing w:after="0"/>
              <w:jc w:val="right"/>
              <w:rPr>
                <w:szCs w:val="20"/>
              </w:rPr>
            </w:pPr>
            <w:r w:rsidRPr="00300CE8">
              <w:rPr>
                <w:szCs w:val="20"/>
              </w:rPr>
              <w:t>100.0</w:t>
            </w:r>
          </w:p>
        </w:tc>
        <w:tc>
          <w:tcPr>
            <w:tcW w:w="366" w:type="pct"/>
            <w:shd w:val="clear" w:color="auto" w:fill="auto"/>
            <w:noWrap/>
            <w:vAlign w:val="bottom"/>
            <w:hideMark/>
          </w:tcPr>
          <w:p w:rsidRPr="00300CE8" w:rsidR="00DA4A3D" w:rsidP="00907DAA" w:rsidRDefault="00DA4A3D" w14:paraId="56F96843" w14:textId="77777777">
            <w:pPr>
              <w:spacing w:after="0"/>
              <w:jc w:val="center"/>
              <w:rPr>
                <w:szCs w:val="20"/>
              </w:rPr>
            </w:pPr>
            <w:r w:rsidRPr="00300CE8">
              <w:rPr>
                <w:szCs w:val="20"/>
              </w:rPr>
              <w:t>32.0</w:t>
            </w:r>
          </w:p>
        </w:tc>
        <w:tc>
          <w:tcPr>
            <w:tcW w:w="373" w:type="pct"/>
            <w:shd w:val="clear" w:color="auto" w:fill="auto"/>
            <w:noWrap/>
            <w:vAlign w:val="bottom"/>
            <w:hideMark/>
          </w:tcPr>
          <w:p w:rsidRPr="00300CE8" w:rsidR="00DA4A3D" w:rsidP="00907DAA" w:rsidRDefault="00DA4A3D" w14:paraId="1E44E978" w14:textId="77777777">
            <w:pPr>
              <w:spacing w:after="0"/>
              <w:jc w:val="center"/>
              <w:rPr>
                <w:szCs w:val="20"/>
              </w:rPr>
            </w:pPr>
            <w:r w:rsidRPr="00300CE8">
              <w:rPr>
                <w:szCs w:val="20"/>
              </w:rPr>
              <w:t>49.0</w:t>
            </w:r>
          </w:p>
        </w:tc>
        <w:tc>
          <w:tcPr>
            <w:tcW w:w="373" w:type="pct"/>
            <w:shd w:val="clear" w:color="auto" w:fill="auto"/>
            <w:noWrap/>
            <w:vAlign w:val="bottom"/>
            <w:hideMark/>
          </w:tcPr>
          <w:p w:rsidRPr="00300CE8" w:rsidR="00DA4A3D" w:rsidP="00907DAA" w:rsidRDefault="00DA4A3D" w14:paraId="62DE1277" w14:textId="77777777">
            <w:pPr>
              <w:spacing w:after="0"/>
              <w:jc w:val="center"/>
              <w:rPr>
                <w:szCs w:val="20"/>
              </w:rPr>
            </w:pPr>
            <w:r w:rsidRPr="00300CE8">
              <w:rPr>
                <w:szCs w:val="20"/>
              </w:rPr>
              <w:t>134.0</w:t>
            </w:r>
          </w:p>
        </w:tc>
        <w:tc>
          <w:tcPr>
            <w:tcW w:w="325" w:type="pct"/>
            <w:shd w:val="clear" w:color="auto" w:fill="auto"/>
            <w:noWrap/>
            <w:vAlign w:val="bottom"/>
            <w:hideMark/>
          </w:tcPr>
          <w:p w:rsidRPr="00300CE8" w:rsidR="00DA4A3D" w:rsidP="00907DAA" w:rsidRDefault="00DA4A3D" w14:paraId="51393508" w14:textId="77777777">
            <w:pPr>
              <w:spacing w:after="0"/>
              <w:jc w:val="center"/>
              <w:rPr>
                <w:szCs w:val="20"/>
              </w:rPr>
            </w:pPr>
            <w:r w:rsidRPr="00300CE8">
              <w:rPr>
                <w:szCs w:val="20"/>
              </w:rPr>
              <w:t>65.0</w:t>
            </w:r>
          </w:p>
        </w:tc>
        <w:tc>
          <w:tcPr>
            <w:tcW w:w="327" w:type="pct"/>
            <w:shd w:val="clear" w:color="auto" w:fill="auto"/>
            <w:noWrap/>
            <w:vAlign w:val="bottom"/>
            <w:hideMark/>
          </w:tcPr>
          <w:p w:rsidRPr="00300CE8" w:rsidR="00DA4A3D" w:rsidP="00DE7325" w:rsidRDefault="00DA4A3D" w14:paraId="299F71FF" w14:textId="77777777">
            <w:pPr>
              <w:spacing w:after="0"/>
              <w:jc w:val="right"/>
              <w:rPr>
                <w:szCs w:val="20"/>
              </w:rPr>
            </w:pPr>
            <w:r w:rsidRPr="00300CE8">
              <w:rPr>
                <w:szCs w:val="20"/>
              </w:rPr>
              <w:t>14.0</w:t>
            </w:r>
          </w:p>
        </w:tc>
        <w:tc>
          <w:tcPr>
            <w:tcW w:w="373" w:type="pct"/>
            <w:shd w:val="clear" w:color="auto" w:fill="auto"/>
            <w:noWrap/>
            <w:vAlign w:val="bottom"/>
            <w:hideMark/>
          </w:tcPr>
          <w:p w:rsidRPr="00300CE8" w:rsidR="00DA4A3D" w:rsidP="00907DAA" w:rsidRDefault="00DA4A3D" w14:paraId="65CEE158" w14:textId="77777777">
            <w:pPr>
              <w:spacing w:after="0"/>
              <w:jc w:val="center"/>
              <w:rPr>
                <w:szCs w:val="20"/>
              </w:rPr>
            </w:pPr>
            <w:r w:rsidRPr="00300CE8">
              <w:rPr>
                <w:szCs w:val="20"/>
              </w:rPr>
              <w:t>32.0</w:t>
            </w:r>
          </w:p>
        </w:tc>
        <w:tc>
          <w:tcPr>
            <w:tcW w:w="374" w:type="pct"/>
            <w:shd w:val="clear" w:color="auto" w:fill="auto"/>
            <w:noWrap/>
            <w:vAlign w:val="bottom"/>
            <w:hideMark/>
          </w:tcPr>
          <w:p w:rsidRPr="00300CE8" w:rsidR="00DA4A3D" w:rsidP="00907DAA" w:rsidRDefault="00DA4A3D" w14:paraId="3196D328" w14:textId="77777777">
            <w:pPr>
              <w:spacing w:after="0"/>
              <w:jc w:val="center"/>
              <w:rPr>
                <w:szCs w:val="20"/>
              </w:rPr>
            </w:pPr>
            <w:r w:rsidRPr="00300CE8">
              <w:rPr>
                <w:szCs w:val="20"/>
              </w:rPr>
              <w:t>92.0</w:t>
            </w:r>
          </w:p>
        </w:tc>
        <w:tc>
          <w:tcPr>
            <w:tcW w:w="371" w:type="pct"/>
            <w:shd w:val="clear" w:color="auto" w:fill="auto"/>
            <w:noWrap/>
            <w:vAlign w:val="bottom"/>
            <w:hideMark/>
          </w:tcPr>
          <w:p w:rsidRPr="00300CE8" w:rsidR="00DA4A3D" w:rsidP="00907DAA" w:rsidRDefault="00DA4A3D" w14:paraId="2FEE6595" w14:textId="77777777">
            <w:pPr>
              <w:spacing w:after="0"/>
              <w:jc w:val="center"/>
              <w:rPr>
                <w:szCs w:val="20"/>
              </w:rPr>
            </w:pPr>
            <w:r w:rsidRPr="00300CE8">
              <w:rPr>
                <w:szCs w:val="20"/>
              </w:rPr>
              <w:t>39.0</w:t>
            </w:r>
          </w:p>
        </w:tc>
      </w:tr>
      <w:tr w:rsidRPr="00300CE8" w:rsidR="00C53669" w:rsidTr="005E7FC5" w14:paraId="122A15FF" w14:textId="77777777">
        <w:trPr>
          <w:trHeight w:val="300"/>
          <w:jc w:val="center"/>
        </w:trPr>
        <w:tc>
          <w:tcPr>
            <w:tcW w:w="529" w:type="pct"/>
            <w:shd w:val="clear" w:color="auto" w:fill="auto"/>
            <w:noWrap/>
            <w:vAlign w:val="bottom"/>
            <w:hideMark/>
          </w:tcPr>
          <w:p w:rsidRPr="00300CE8" w:rsidR="00DA4A3D" w:rsidP="00907DAA" w:rsidRDefault="00DA4A3D" w14:paraId="70D8AF95" w14:textId="77777777">
            <w:pPr>
              <w:spacing w:after="0"/>
              <w:jc w:val="center"/>
              <w:rPr>
                <w:szCs w:val="20"/>
              </w:rPr>
            </w:pPr>
            <w:r w:rsidRPr="00300CE8">
              <w:rPr>
                <w:szCs w:val="20"/>
              </w:rPr>
              <w:t>Q4-14</w:t>
            </w:r>
          </w:p>
        </w:tc>
        <w:tc>
          <w:tcPr>
            <w:tcW w:w="390" w:type="pct"/>
            <w:shd w:val="clear" w:color="auto" w:fill="auto"/>
            <w:noWrap/>
            <w:vAlign w:val="bottom"/>
            <w:hideMark/>
          </w:tcPr>
          <w:p w:rsidRPr="00300CE8" w:rsidR="00DA4A3D" w:rsidP="00DE7325" w:rsidRDefault="00DA4A3D" w14:paraId="79126D78" w14:textId="77777777">
            <w:pPr>
              <w:spacing w:after="0"/>
              <w:jc w:val="right"/>
              <w:rPr>
                <w:szCs w:val="20"/>
              </w:rPr>
            </w:pPr>
            <w:r w:rsidRPr="00300CE8">
              <w:rPr>
                <w:szCs w:val="20"/>
              </w:rPr>
              <w:t>241.0</w:t>
            </w:r>
          </w:p>
        </w:tc>
        <w:tc>
          <w:tcPr>
            <w:tcW w:w="386" w:type="pct"/>
            <w:shd w:val="clear" w:color="auto" w:fill="auto"/>
            <w:noWrap/>
            <w:vAlign w:val="bottom"/>
            <w:hideMark/>
          </w:tcPr>
          <w:p w:rsidRPr="00300CE8" w:rsidR="00DA4A3D" w:rsidP="00DE7325" w:rsidRDefault="00DA4A3D" w14:paraId="0C15647D" w14:textId="77777777">
            <w:pPr>
              <w:spacing w:after="0"/>
              <w:jc w:val="right"/>
              <w:rPr>
                <w:szCs w:val="20"/>
              </w:rPr>
            </w:pPr>
            <w:r w:rsidRPr="00300CE8">
              <w:rPr>
                <w:szCs w:val="20"/>
              </w:rPr>
              <w:t>154.0</w:t>
            </w:r>
          </w:p>
        </w:tc>
        <w:tc>
          <w:tcPr>
            <w:tcW w:w="357" w:type="pct"/>
            <w:shd w:val="clear" w:color="auto" w:fill="auto"/>
            <w:noWrap/>
            <w:vAlign w:val="bottom"/>
            <w:hideMark/>
          </w:tcPr>
          <w:p w:rsidRPr="00300CE8" w:rsidR="00DA4A3D" w:rsidP="00907DAA" w:rsidRDefault="00DA4A3D" w14:paraId="17DA786A" w14:textId="77777777">
            <w:pPr>
              <w:spacing w:after="0"/>
              <w:jc w:val="center"/>
              <w:rPr>
                <w:szCs w:val="20"/>
              </w:rPr>
            </w:pPr>
            <w:r w:rsidRPr="00300CE8">
              <w:rPr>
                <w:szCs w:val="20"/>
              </w:rPr>
              <w:t>4.0</w:t>
            </w:r>
          </w:p>
        </w:tc>
        <w:tc>
          <w:tcPr>
            <w:tcW w:w="455" w:type="pct"/>
            <w:shd w:val="clear" w:color="auto" w:fill="auto"/>
            <w:noWrap/>
            <w:vAlign w:val="bottom"/>
            <w:hideMark/>
          </w:tcPr>
          <w:p w:rsidRPr="00300CE8" w:rsidR="00DA4A3D" w:rsidP="00DE7325" w:rsidRDefault="00DA4A3D" w14:paraId="21F6668B" w14:textId="77777777">
            <w:pPr>
              <w:spacing w:after="0"/>
              <w:jc w:val="right"/>
              <w:rPr>
                <w:szCs w:val="20"/>
              </w:rPr>
            </w:pPr>
            <w:r w:rsidRPr="00300CE8">
              <w:rPr>
                <w:szCs w:val="20"/>
              </w:rPr>
              <w:t>84.0</w:t>
            </w:r>
          </w:p>
        </w:tc>
        <w:tc>
          <w:tcPr>
            <w:tcW w:w="366" w:type="pct"/>
            <w:shd w:val="clear" w:color="auto" w:fill="auto"/>
            <w:noWrap/>
            <w:vAlign w:val="bottom"/>
            <w:hideMark/>
          </w:tcPr>
          <w:p w:rsidRPr="00300CE8" w:rsidR="00DA4A3D" w:rsidP="00907DAA" w:rsidRDefault="00DA4A3D" w14:paraId="30169FBF" w14:textId="77777777">
            <w:pPr>
              <w:spacing w:after="0"/>
              <w:jc w:val="center"/>
              <w:rPr>
                <w:szCs w:val="20"/>
              </w:rPr>
            </w:pPr>
            <w:r w:rsidRPr="00300CE8">
              <w:rPr>
                <w:szCs w:val="20"/>
              </w:rPr>
              <w:t>26.0</w:t>
            </w:r>
          </w:p>
        </w:tc>
        <w:tc>
          <w:tcPr>
            <w:tcW w:w="373" w:type="pct"/>
            <w:shd w:val="clear" w:color="auto" w:fill="auto"/>
            <w:noWrap/>
            <w:vAlign w:val="bottom"/>
            <w:hideMark/>
          </w:tcPr>
          <w:p w:rsidRPr="00300CE8" w:rsidR="00DA4A3D" w:rsidP="00907DAA" w:rsidRDefault="00DA4A3D" w14:paraId="6EE1569A" w14:textId="77777777">
            <w:pPr>
              <w:spacing w:after="0"/>
              <w:jc w:val="center"/>
              <w:rPr>
                <w:szCs w:val="20"/>
              </w:rPr>
            </w:pPr>
            <w:r w:rsidRPr="00300CE8">
              <w:rPr>
                <w:szCs w:val="20"/>
              </w:rPr>
              <w:t>39.0</w:t>
            </w:r>
          </w:p>
        </w:tc>
        <w:tc>
          <w:tcPr>
            <w:tcW w:w="373" w:type="pct"/>
            <w:shd w:val="clear" w:color="auto" w:fill="auto"/>
            <w:noWrap/>
            <w:vAlign w:val="bottom"/>
            <w:hideMark/>
          </w:tcPr>
          <w:p w:rsidRPr="00300CE8" w:rsidR="00DA4A3D" w:rsidP="00907DAA" w:rsidRDefault="00DA4A3D" w14:paraId="12B9EB72" w14:textId="77777777">
            <w:pPr>
              <w:spacing w:after="0"/>
              <w:jc w:val="center"/>
              <w:rPr>
                <w:szCs w:val="20"/>
              </w:rPr>
            </w:pPr>
            <w:r w:rsidRPr="00300CE8">
              <w:rPr>
                <w:szCs w:val="20"/>
              </w:rPr>
              <w:t>118.0</w:t>
            </w:r>
          </w:p>
        </w:tc>
        <w:tc>
          <w:tcPr>
            <w:tcW w:w="325" w:type="pct"/>
            <w:shd w:val="clear" w:color="auto" w:fill="auto"/>
            <w:noWrap/>
            <w:vAlign w:val="bottom"/>
            <w:hideMark/>
          </w:tcPr>
          <w:p w:rsidRPr="00300CE8" w:rsidR="00DA4A3D" w:rsidP="00907DAA" w:rsidRDefault="00DA4A3D" w14:paraId="789FA269" w14:textId="77777777">
            <w:pPr>
              <w:spacing w:after="0"/>
              <w:jc w:val="center"/>
              <w:rPr>
                <w:szCs w:val="20"/>
              </w:rPr>
            </w:pPr>
            <w:r w:rsidRPr="00300CE8">
              <w:rPr>
                <w:szCs w:val="20"/>
              </w:rPr>
              <w:t>58.0</w:t>
            </w:r>
          </w:p>
        </w:tc>
        <w:tc>
          <w:tcPr>
            <w:tcW w:w="327" w:type="pct"/>
            <w:shd w:val="clear" w:color="auto" w:fill="auto"/>
            <w:noWrap/>
            <w:vAlign w:val="bottom"/>
            <w:hideMark/>
          </w:tcPr>
          <w:p w:rsidRPr="00300CE8" w:rsidR="00DA4A3D" w:rsidP="00DE7325" w:rsidRDefault="00DA4A3D" w14:paraId="4B277E0C" w14:textId="77777777">
            <w:pPr>
              <w:spacing w:after="0"/>
              <w:jc w:val="right"/>
              <w:rPr>
                <w:szCs w:val="20"/>
              </w:rPr>
            </w:pPr>
            <w:r w:rsidRPr="00300CE8">
              <w:rPr>
                <w:szCs w:val="20"/>
              </w:rPr>
              <w:t>13.0</w:t>
            </w:r>
          </w:p>
        </w:tc>
        <w:tc>
          <w:tcPr>
            <w:tcW w:w="373" w:type="pct"/>
            <w:shd w:val="clear" w:color="auto" w:fill="auto"/>
            <w:noWrap/>
            <w:vAlign w:val="bottom"/>
            <w:hideMark/>
          </w:tcPr>
          <w:p w:rsidRPr="00300CE8" w:rsidR="00DA4A3D" w:rsidP="00907DAA" w:rsidRDefault="00DA4A3D" w14:paraId="0214082B" w14:textId="77777777">
            <w:pPr>
              <w:spacing w:after="0"/>
              <w:jc w:val="center"/>
              <w:rPr>
                <w:szCs w:val="20"/>
              </w:rPr>
            </w:pPr>
            <w:r w:rsidRPr="00300CE8">
              <w:rPr>
                <w:szCs w:val="20"/>
              </w:rPr>
              <w:t>25.0</w:t>
            </w:r>
          </w:p>
        </w:tc>
        <w:tc>
          <w:tcPr>
            <w:tcW w:w="374" w:type="pct"/>
            <w:shd w:val="clear" w:color="auto" w:fill="auto"/>
            <w:noWrap/>
            <w:vAlign w:val="bottom"/>
            <w:hideMark/>
          </w:tcPr>
          <w:p w:rsidRPr="00300CE8" w:rsidR="00DA4A3D" w:rsidP="00907DAA" w:rsidRDefault="00DA4A3D" w14:paraId="46D7F35C" w14:textId="77777777">
            <w:pPr>
              <w:spacing w:after="0"/>
              <w:jc w:val="center"/>
              <w:rPr>
                <w:szCs w:val="20"/>
              </w:rPr>
            </w:pPr>
            <w:r w:rsidRPr="00300CE8">
              <w:rPr>
                <w:szCs w:val="20"/>
              </w:rPr>
              <w:t>83.0</w:t>
            </w:r>
          </w:p>
        </w:tc>
        <w:tc>
          <w:tcPr>
            <w:tcW w:w="371" w:type="pct"/>
            <w:shd w:val="clear" w:color="auto" w:fill="auto"/>
            <w:noWrap/>
            <w:vAlign w:val="bottom"/>
            <w:hideMark/>
          </w:tcPr>
          <w:p w:rsidRPr="00300CE8" w:rsidR="00DA4A3D" w:rsidP="00907DAA" w:rsidRDefault="00DA4A3D" w14:paraId="328BCBCF" w14:textId="77777777">
            <w:pPr>
              <w:spacing w:after="0"/>
              <w:jc w:val="center"/>
              <w:rPr>
                <w:szCs w:val="20"/>
              </w:rPr>
            </w:pPr>
            <w:r w:rsidRPr="00300CE8">
              <w:rPr>
                <w:szCs w:val="20"/>
              </w:rPr>
              <w:t>32.0</w:t>
            </w:r>
          </w:p>
        </w:tc>
      </w:tr>
    </w:tbl>
    <w:p w:rsidRPr="003527BA" w:rsidR="00DA4A3D" w:rsidP="00DA4A3D" w:rsidRDefault="003527BA" w14:paraId="3BB9D16F" w14:textId="77777777">
      <w:pPr>
        <w:spacing w:after="0"/>
      </w:pPr>
      <w:r>
        <w:rPr>
          <w:i/>
          <w:szCs w:val="20"/>
        </w:rPr>
        <w:t xml:space="preserve">Source: </w:t>
      </w:r>
      <w:r>
        <w:t xml:space="preserve">Reference </w:t>
      </w:r>
      <w:r>
        <w:fldChar w:fldCharType="begin"/>
      </w:r>
      <w:r>
        <w:instrText xml:space="preserve"> NOTEREF _Ref478544364 \h </w:instrText>
      </w:r>
      <w:r>
        <w:fldChar w:fldCharType="separate"/>
      </w:r>
      <w:r w:rsidR="007D5A4D">
        <w:t>1</w:t>
      </w:r>
      <w:r>
        <w:fldChar w:fldCharType="end"/>
      </w:r>
    </w:p>
    <w:p w:rsidR="003527BA" w:rsidP="00DA4A3D" w:rsidRDefault="003527BA" w14:paraId="69FAE780" w14:textId="77777777">
      <w:pPr>
        <w:spacing w:after="0"/>
        <w:rPr>
          <w:i/>
          <w:szCs w:val="20"/>
        </w:rPr>
      </w:pPr>
    </w:p>
    <w:p w:rsidRPr="00300CE8" w:rsidR="00DA4A3D" w:rsidP="003527BA" w:rsidRDefault="00DA4A3D" w14:paraId="1396C115" w14:textId="77777777">
      <w:pPr>
        <w:pStyle w:val="Caption"/>
        <w:keepNext/>
        <w:spacing w:after="0"/>
        <w:jc w:val="center"/>
        <w:rPr>
          <w:color w:val="auto"/>
          <w:sz w:val="20"/>
        </w:rPr>
      </w:pPr>
      <w:bookmarkStart w:name="_Ref476829822" w:id="6"/>
      <w:r w:rsidRPr="00300CE8">
        <w:rPr>
          <w:color w:val="auto"/>
          <w:sz w:val="20"/>
        </w:rPr>
        <w:t xml:space="preserve">Table </w:t>
      </w:r>
      <w:r w:rsidRPr="00300CE8">
        <w:rPr>
          <w:color w:val="auto"/>
          <w:sz w:val="20"/>
        </w:rPr>
        <w:fldChar w:fldCharType="begin"/>
      </w:r>
      <w:r w:rsidRPr="00300CE8">
        <w:rPr>
          <w:color w:val="auto"/>
          <w:sz w:val="20"/>
        </w:rPr>
        <w:instrText xml:space="preserve"> SEQ Table \* ARABIC </w:instrText>
      </w:r>
      <w:r w:rsidRPr="00300CE8">
        <w:rPr>
          <w:color w:val="auto"/>
          <w:sz w:val="20"/>
        </w:rPr>
        <w:fldChar w:fldCharType="separate"/>
      </w:r>
      <w:r w:rsidR="007D5A4D">
        <w:rPr>
          <w:noProof/>
          <w:color w:val="auto"/>
          <w:sz w:val="20"/>
        </w:rPr>
        <w:t>2</w:t>
      </w:r>
      <w:r w:rsidRPr="00300CE8">
        <w:rPr>
          <w:color w:val="auto"/>
          <w:sz w:val="20"/>
        </w:rPr>
        <w:fldChar w:fldCharType="end"/>
      </w:r>
      <w:bookmarkEnd w:id="6"/>
      <w:r w:rsidRPr="00300CE8">
        <w:rPr>
          <w:color w:val="auto"/>
          <w:sz w:val="20"/>
        </w:rPr>
        <w:t>. Breakdown of 2 to 4 unit structures</w:t>
      </w:r>
    </w:p>
    <w:tbl>
      <w:tblPr>
        <w:tblW w:w="4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6"/>
        <w:gridCol w:w="1136"/>
        <w:gridCol w:w="976"/>
        <w:gridCol w:w="1076"/>
      </w:tblGrid>
      <w:tr w:rsidRPr="00300CE8" w:rsidR="00DA4A3D" w:rsidTr="00DE7325" w14:paraId="2E922899" w14:textId="77777777">
        <w:trPr>
          <w:trHeight w:val="300"/>
          <w:jc w:val="center"/>
        </w:trPr>
        <w:tc>
          <w:tcPr>
            <w:tcW w:w="976" w:type="dxa"/>
            <w:vMerge w:val="restart"/>
            <w:shd w:val="clear" w:color="auto" w:fill="D9D9D9" w:themeFill="background1" w:themeFillShade="D9"/>
            <w:noWrap/>
            <w:vAlign w:val="bottom"/>
          </w:tcPr>
          <w:p w:rsidRPr="00300CE8" w:rsidR="00DA4A3D" w:rsidP="00DE7325" w:rsidRDefault="00DA4A3D" w14:paraId="4F6EFF77" w14:textId="77777777">
            <w:pPr>
              <w:spacing w:after="0"/>
              <w:rPr>
                <w:b/>
                <w:bCs/>
                <w:szCs w:val="18"/>
              </w:rPr>
            </w:pPr>
            <w:r w:rsidRPr="00300CE8">
              <w:rPr>
                <w:b/>
                <w:bCs/>
                <w:szCs w:val="18"/>
              </w:rPr>
              <w:t>Quarter</w:t>
            </w:r>
          </w:p>
        </w:tc>
        <w:tc>
          <w:tcPr>
            <w:tcW w:w="3188" w:type="dxa"/>
            <w:gridSpan w:val="3"/>
            <w:shd w:val="clear" w:color="auto" w:fill="D9D9D9" w:themeFill="background1" w:themeFillShade="D9"/>
            <w:noWrap/>
            <w:vAlign w:val="bottom"/>
          </w:tcPr>
          <w:p w:rsidRPr="00300CE8" w:rsidR="00DA4A3D" w:rsidP="00DE7325" w:rsidRDefault="00DA4A3D" w14:paraId="42683664" w14:textId="77777777">
            <w:pPr>
              <w:spacing w:after="0"/>
              <w:jc w:val="center"/>
              <w:rPr>
                <w:b/>
                <w:bCs/>
                <w:szCs w:val="18"/>
              </w:rPr>
            </w:pPr>
            <w:r w:rsidRPr="00300CE8">
              <w:rPr>
                <w:b/>
                <w:bCs/>
                <w:szCs w:val="18"/>
              </w:rPr>
              <w:t>Structure</w:t>
            </w:r>
          </w:p>
        </w:tc>
      </w:tr>
      <w:tr w:rsidRPr="00300CE8" w:rsidR="00DA4A3D" w:rsidTr="00DE7325" w14:paraId="51BD9151" w14:textId="77777777">
        <w:trPr>
          <w:trHeight w:val="300"/>
          <w:jc w:val="center"/>
        </w:trPr>
        <w:tc>
          <w:tcPr>
            <w:tcW w:w="976" w:type="dxa"/>
            <w:vMerge/>
            <w:shd w:val="clear" w:color="auto" w:fill="D9D9D9" w:themeFill="background1" w:themeFillShade="D9"/>
            <w:noWrap/>
            <w:vAlign w:val="bottom"/>
            <w:hideMark/>
          </w:tcPr>
          <w:p w:rsidRPr="00300CE8" w:rsidR="00DA4A3D" w:rsidP="00DE7325" w:rsidRDefault="00DA4A3D" w14:paraId="3E9F010F" w14:textId="77777777">
            <w:pPr>
              <w:spacing w:after="0"/>
              <w:rPr>
                <w:b/>
                <w:bCs/>
                <w:szCs w:val="18"/>
              </w:rPr>
            </w:pPr>
          </w:p>
        </w:tc>
        <w:tc>
          <w:tcPr>
            <w:tcW w:w="1136" w:type="dxa"/>
            <w:shd w:val="clear" w:color="auto" w:fill="D9D9D9" w:themeFill="background1" w:themeFillShade="D9"/>
            <w:noWrap/>
            <w:vAlign w:val="bottom"/>
            <w:hideMark/>
          </w:tcPr>
          <w:p w:rsidRPr="00300CE8" w:rsidR="00DA4A3D" w:rsidP="00DE7325" w:rsidRDefault="00DA4A3D" w14:paraId="3866F9DE" w14:textId="77777777">
            <w:pPr>
              <w:spacing w:after="0"/>
              <w:jc w:val="center"/>
              <w:rPr>
                <w:b/>
                <w:bCs/>
                <w:szCs w:val="18"/>
              </w:rPr>
            </w:pPr>
            <w:r w:rsidRPr="00300CE8">
              <w:rPr>
                <w:b/>
                <w:bCs/>
                <w:szCs w:val="18"/>
              </w:rPr>
              <w:t>2 to 4 units</w:t>
            </w:r>
          </w:p>
        </w:tc>
        <w:tc>
          <w:tcPr>
            <w:tcW w:w="976" w:type="dxa"/>
            <w:shd w:val="clear" w:color="auto" w:fill="D9D9D9" w:themeFill="background1" w:themeFillShade="D9"/>
            <w:noWrap/>
            <w:vAlign w:val="bottom"/>
            <w:hideMark/>
          </w:tcPr>
          <w:p w:rsidRPr="00300CE8" w:rsidR="00DA4A3D" w:rsidP="00DE7325" w:rsidRDefault="00DA4A3D" w14:paraId="03C4F9DE" w14:textId="77777777">
            <w:pPr>
              <w:spacing w:after="0"/>
              <w:jc w:val="center"/>
              <w:rPr>
                <w:b/>
                <w:bCs/>
                <w:szCs w:val="18"/>
              </w:rPr>
            </w:pPr>
            <w:r w:rsidRPr="00300CE8">
              <w:rPr>
                <w:b/>
                <w:bCs/>
                <w:szCs w:val="18"/>
              </w:rPr>
              <w:t>2 units</w:t>
            </w:r>
          </w:p>
        </w:tc>
        <w:tc>
          <w:tcPr>
            <w:tcW w:w="1076" w:type="dxa"/>
            <w:shd w:val="clear" w:color="auto" w:fill="D9D9D9" w:themeFill="background1" w:themeFillShade="D9"/>
            <w:noWrap/>
            <w:vAlign w:val="bottom"/>
            <w:hideMark/>
          </w:tcPr>
          <w:p w:rsidRPr="00300CE8" w:rsidR="00DA4A3D" w:rsidP="00DE7325" w:rsidRDefault="00DA4A3D" w14:paraId="545259AB" w14:textId="77777777">
            <w:pPr>
              <w:spacing w:after="0"/>
              <w:jc w:val="center"/>
              <w:rPr>
                <w:b/>
                <w:bCs/>
                <w:szCs w:val="18"/>
              </w:rPr>
            </w:pPr>
            <w:r w:rsidRPr="00300CE8">
              <w:rPr>
                <w:b/>
                <w:bCs/>
                <w:szCs w:val="18"/>
              </w:rPr>
              <w:t>3-4 units</w:t>
            </w:r>
          </w:p>
        </w:tc>
      </w:tr>
      <w:tr w:rsidRPr="00300CE8" w:rsidR="00DA4A3D" w:rsidTr="00DE7325" w14:paraId="672818B1" w14:textId="77777777">
        <w:trPr>
          <w:trHeight w:val="300"/>
          <w:jc w:val="center"/>
        </w:trPr>
        <w:tc>
          <w:tcPr>
            <w:tcW w:w="976" w:type="dxa"/>
            <w:shd w:val="clear" w:color="auto" w:fill="auto"/>
            <w:noWrap/>
            <w:vAlign w:val="bottom"/>
            <w:hideMark/>
          </w:tcPr>
          <w:p w:rsidRPr="00300CE8" w:rsidR="00DA4A3D" w:rsidP="00DE7325" w:rsidRDefault="00DA4A3D" w14:paraId="3027E114" w14:textId="77777777">
            <w:pPr>
              <w:spacing w:after="0"/>
              <w:rPr>
                <w:szCs w:val="18"/>
              </w:rPr>
            </w:pPr>
            <w:r w:rsidRPr="00300CE8">
              <w:rPr>
                <w:szCs w:val="18"/>
              </w:rPr>
              <w:t>Q1-14</w:t>
            </w:r>
          </w:p>
        </w:tc>
        <w:tc>
          <w:tcPr>
            <w:tcW w:w="1136" w:type="dxa"/>
            <w:shd w:val="clear" w:color="auto" w:fill="auto"/>
            <w:noWrap/>
            <w:vAlign w:val="bottom"/>
            <w:hideMark/>
          </w:tcPr>
          <w:p w:rsidRPr="00300CE8" w:rsidR="00DA4A3D" w:rsidP="00907DAA" w:rsidRDefault="00DA4A3D" w14:paraId="65C11A33" w14:textId="77777777">
            <w:pPr>
              <w:spacing w:after="0"/>
              <w:jc w:val="center"/>
              <w:rPr>
                <w:szCs w:val="18"/>
              </w:rPr>
            </w:pPr>
            <w:r w:rsidRPr="00300CE8">
              <w:rPr>
                <w:szCs w:val="18"/>
              </w:rPr>
              <w:t>2.0</w:t>
            </w:r>
          </w:p>
        </w:tc>
        <w:tc>
          <w:tcPr>
            <w:tcW w:w="976" w:type="dxa"/>
            <w:shd w:val="clear" w:color="auto" w:fill="auto"/>
            <w:noWrap/>
            <w:vAlign w:val="bottom"/>
            <w:hideMark/>
          </w:tcPr>
          <w:p w:rsidRPr="00300CE8" w:rsidR="00DA4A3D" w:rsidP="00907DAA" w:rsidRDefault="00DA4A3D" w14:paraId="53DBB637" w14:textId="77777777">
            <w:pPr>
              <w:spacing w:after="0"/>
              <w:jc w:val="center"/>
              <w:rPr>
                <w:szCs w:val="18"/>
              </w:rPr>
            </w:pPr>
            <w:r w:rsidRPr="00300CE8">
              <w:rPr>
                <w:szCs w:val="18"/>
              </w:rPr>
              <w:t>0.74</w:t>
            </w:r>
          </w:p>
        </w:tc>
        <w:tc>
          <w:tcPr>
            <w:tcW w:w="1076" w:type="dxa"/>
            <w:shd w:val="clear" w:color="auto" w:fill="auto"/>
            <w:noWrap/>
            <w:vAlign w:val="bottom"/>
            <w:hideMark/>
          </w:tcPr>
          <w:p w:rsidRPr="00300CE8" w:rsidR="00DA4A3D" w:rsidP="00907DAA" w:rsidRDefault="00DA4A3D" w14:paraId="6DDD9499" w14:textId="77777777">
            <w:pPr>
              <w:spacing w:after="0"/>
              <w:jc w:val="center"/>
              <w:rPr>
                <w:szCs w:val="18"/>
              </w:rPr>
            </w:pPr>
            <w:r w:rsidRPr="00300CE8">
              <w:rPr>
                <w:szCs w:val="18"/>
              </w:rPr>
              <w:t>1.26</w:t>
            </w:r>
          </w:p>
        </w:tc>
      </w:tr>
      <w:tr w:rsidRPr="00300CE8" w:rsidR="00DA4A3D" w:rsidTr="00DE7325" w14:paraId="3E05A0E1" w14:textId="77777777">
        <w:trPr>
          <w:trHeight w:val="300"/>
          <w:jc w:val="center"/>
        </w:trPr>
        <w:tc>
          <w:tcPr>
            <w:tcW w:w="976" w:type="dxa"/>
            <w:shd w:val="clear" w:color="auto" w:fill="auto"/>
            <w:noWrap/>
            <w:vAlign w:val="bottom"/>
            <w:hideMark/>
          </w:tcPr>
          <w:p w:rsidRPr="00300CE8" w:rsidR="00DA4A3D" w:rsidP="00DE7325" w:rsidRDefault="00DA4A3D" w14:paraId="5393187B" w14:textId="77777777">
            <w:pPr>
              <w:spacing w:after="0"/>
              <w:rPr>
                <w:szCs w:val="18"/>
              </w:rPr>
            </w:pPr>
            <w:r w:rsidRPr="00300CE8">
              <w:rPr>
                <w:szCs w:val="18"/>
              </w:rPr>
              <w:t>Q2-14</w:t>
            </w:r>
          </w:p>
        </w:tc>
        <w:tc>
          <w:tcPr>
            <w:tcW w:w="1136" w:type="dxa"/>
            <w:shd w:val="clear" w:color="auto" w:fill="auto"/>
            <w:noWrap/>
            <w:vAlign w:val="bottom"/>
            <w:hideMark/>
          </w:tcPr>
          <w:p w:rsidRPr="00300CE8" w:rsidR="00DA4A3D" w:rsidP="00907DAA" w:rsidRDefault="00DA4A3D" w14:paraId="7C1F69EC" w14:textId="77777777">
            <w:pPr>
              <w:spacing w:after="0"/>
              <w:jc w:val="center"/>
              <w:rPr>
                <w:szCs w:val="18"/>
              </w:rPr>
            </w:pPr>
            <w:r w:rsidRPr="00300CE8">
              <w:rPr>
                <w:szCs w:val="18"/>
              </w:rPr>
              <w:t>3.0</w:t>
            </w:r>
          </w:p>
        </w:tc>
        <w:tc>
          <w:tcPr>
            <w:tcW w:w="976" w:type="dxa"/>
            <w:shd w:val="clear" w:color="auto" w:fill="auto"/>
            <w:noWrap/>
            <w:vAlign w:val="bottom"/>
            <w:hideMark/>
          </w:tcPr>
          <w:p w:rsidRPr="00300CE8" w:rsidR="00DA4A3D" w:rsidP="00907DAA" w:rsidRDefault="00DA4A3D" w14:paraId="0A7EC164" w14:textId="77777777">
            <w:pPr>
              <w:spacing w:after="0"/>
              <w:jc w:val="center"/>
              <w:rPr>
                <w:szCs w:val="18"/>
              </w:rPr>
            </w:pPr>
            <w:r w:rsidRPr="00300CE8">
              <w:rPr>
                <w:szCs w:val="18"/>
              </w:rPr>
              <w:t>1.11</w:t>
            </w:r>
          </w:p>
        </w:tc>
        <w:tc>
          <w:tcPr>
            <w:tcW w:w="1076" w:type="dxa"/>
            <w:shd w:val="clear" w:color="auto" w:fill="auto"/>
            <w:noWrap/>
            <w:vAlign w:val="bottom"/>
            <w:hideMark/>
          </w:tcPr>
          <w:p w:rsidRPr="00300CE8" w:rsidR="00DA4A3D" w:rsidP="00907DAA" w:rsidRDefault="00DA4A3D" w14:paraId="614A185D" w14:textId="77777777">
            <w:pPr>
              <w:spacing w:after="0"/>
              <w:jc w:val="center"/>
              <w:rPr>
                <w:szCs w:val="18"/>
              </w:rPr>
            </w:pPr>
            <w:r w:rsidRPr="00300CE8">
              <w:rPr>
                <w:szCs w:val="18"/>
              </w:rPr>
              <w:t>1.89</w:t>
            </w:r>
          </w:p>
        </w:tc>
      </w:tr>
      <w:tr w:rsidRPr="00300CE8" w:rsidR="00DA4A3D" w:rsidTr="00DE7325" w14:paraId="55DEEEC9" w14:textId="77777777">
        <w:trPr>
          <w:trHeight w:val="300"/>
          <w:jc w:val="center"/>
        </w:trPr>
        <w:tc>
          <w:tcPr>
            <w:tcW w:w="976" w:type="dxa"/>
            <w:shd w:val="clear" w:color="auto" w:fill="auto"/>
            <w:noWrap/>
            <w:vAlign w:val="bottom"/>
            <w:hideMark/>
          </w:tcPr>
          <w:p w:rsidRPr="00300CE8" w:rsidR="00DA4A3D" w:rsidP="00DE7325" w:rsidRDefault="00DA4A3D" w14:paraId="571F4A7C" w14:textId="77777777">
            <w:pPr>
              <w:spacing w:after="0"/>
              <w:rPr>
                <w:szCs w:val="18"/>
              </w:rPr>
            </w:pPr>
            <w:r w:rsidRPr="00300CE8">
              <w:rPr>
                <w:szCs w:val="18"/>
              </w:rPr>
              <w:t>Q3-14</w:t>
            </w:r>
          </w:p>
        </w:tc>
        <w:tc>
          <w:tcPr>
            <w:tcW w:w="1136" w:type="dxa"/>
            <w:shd w:val="clear" w:color="auto" w:fill="auto"/>
            <w:noWrap/>
            <w:vAlign w:val="bottom"/>
            <w:hideMark/>
          </w:tcPr>
          <w:p w:rsidRPr="00300CE8" w:rsidR="00DA4A3D" w:rsidP="00907DAA" w:rsidRDefault="00DA4A3D" w14:paraId="5B337882" w14:textId="77777777">
            <w:pPr>
              <w:spacing w:after="0"/>
              <w:jc w:val="center"/>
              <w:rPr>
                <w:szCs w:val="18"/>
              </w:rPr>
            </w:pPr>
            <w:r w:rsidRPr="00300CE8">
              <w:rPr>
                <w:szCs w:val="18"/>
              </w:rPr>
              <w:t>4.0</w:t>
            </w:r>
          </w:p>
        </w:tc>
        <w:tc>
          <w:tcPr>
            <w:tcW w:w="976" w:type="dxa"/>
            <w:shd w:val="clear" w:color="auto" w:fill="auto"/>
            <w:noWrap/>
            <w:vAlign w:val="bottom"/>
            <w:hideMark/>
          </w:tcPr>
          <w:p w:rsidRPr="00300CE8" w:rsidR="00DA4A3D" w:rsidP="00907DAA" w:rsidRDefault="00DA4A3D" w14:paraId="47F27980" w14:textId="77777777">
            <w:pPr>
              <w:spacing w:after="0"/>
              <w:jc w:val="center"/>
              <w:rPr>
                <w:szCs w:val="18"/>
              </w:rPr>
            </w:pPr>
            <w:r w:rsidRPr="00300CE8">
              <w:rPr>
                <w:szCs w:val="18"/>
              </w:rPr>
              <w:t>1.47</w:t>
            </w:r>
          </w:p>
        </w:tc>
        <w:tc>
          <w:tcPr>
            <w:tcW w:w="1076" w:type="dxa"/>
            <w:shd w:val="clear" w:color="auto" w:fill="auto"/>
            <w:noWrap/>
            <w:vAlign w:val="bottom"/>
            <w:hideMark/>
          </w:tcPr>
          <w:p w:rsidRPr="00300CE8" w:rsidR="00DA4A3D" w:rsidP="00907DAA" w:rsidRDefault="00DA4A3D" w14:paraId="41978269" w14:textId="77777777">
            <w:pPr>
              <w:spacing w:after="0"/>
              <w:jc w:val="center"/>
              <w:rPr>
                <w:szCs w:val="18"/>
              </w:rPr>
            </w:pPr>
            <w:r w:rsidRPr="00300CE8">
              <w:rPr>
                <w:szCs w:val="18"/>
              </w:rPr>
              <w:t>2.53</w:t>
            </w:r>
          </w:p>
        </w:tc>
      </w:tr>
      <w:tr w:rsidRPr="00300CE8" w:rsidR="00DA4A3D" w:rsidTr="00DE7325" w14:paraId="27333B08" w14:textId="77777777">
        <w:trPr>
          <w:trHeight w:val="300"/>
          <w:jc w:val="center"/>
        </w:trPr>
        <w:tc>
          <w:tcPr>
            <w:tcW w:w="976" w:type="dxa"/>
            <w:shd w:val="clear" w:color="auto" w:fill="auto"/>
            <w:noWrap/>
            <w:vAlign w:val="bottom"/>
            <w:hideMark/>
          </w:tcPr>
          <w:p w:rsidRPr="00300CE8" w:rsidR="00DA4A3D" w:rsidP="00DE7325" w:rsidRDefault="00DA4A3D" w14:paraId="337391C4" w14:textId="77777777">
            <w:pPr>
              <w:spacing w:after="0"/>
              <w:rPr>
                <w:szCs w:val="18"/>
              </w:rPr>
            </w:pPr>
            <w:r w:rsidRPr="00300CE8">
              <w:rPr>
                <w:szCs w:val="18"/>
              </w:rPr>
              <w:t>Q4-14</w:t>
            </w:r>
          </w:p>
        </w:tc>
        <w:tc>
          <w:tcPr>
            <w:tcW w:w="1136" w:type="dxa"/>
            <w:shd w:val="clear" w:color="auto" w:fill="auto"/>
            <w:noWrap/>
            <w:vAlign w:val="bottom"/>
            <w:hideMark/>
          </w:tcPr>
          <w:p w:rsidRPr="00300CE8" w:rsidR="00DA4A3D" w:rsidP="00907DAA" w:rsidRDefault="00DA4A3D" w14:paraId="3D082A7F" w14:textId="77777777">
            <w:pPr>
              <w:spacing w:after="0"/>
              <w:jc w:val="center"/>
              <w:rPr>
                <w:szCs w:val="18"/>
              </w:rPr>
            </w:pPr>
            <w:r w:rsidRPr="00300CE8">
              <w:rPr>
                <w:szCs w:val="18"/>
              </w:rPr>
              <w:t>4.0</w:t>
            </w:r>
          </w:p>
        </w:tc>
        <w:tc>
          <w:tcPr>
            <w:tcW w:w="976" w:type="dxa"/>
            <w:shd w:val="clear" w:color="auto" w:fill="auto"/>
            <w:noWrap/>
            <w:vAlign w:val="bottom"/>
            <w:hideMark/>
          </w:tcPr>
          <w:p w:rsidRPr="00300CE8" w:rsidR="00DA4A3D" w:rsidP="00907DAA" w:rsidRDefault="00DA4A3D" w14:paraId="47FBED61" w14:textId="77777777">
            <w:pPr>
              <w:spacing w:after="0"/>
              <w:jc w:val="center"/>
              <w:rPr>
                <w:szCs w:val="18"/>
              </w:rPr>
            </w:pPr>
            <w:r w:rsidRPr="00300CE8">
              <w:rPr>
                <w:szCs w:val="18"/>
              </w:rPr>
              <w:t>1.47</w:t>
            </w:r>
          </w:p>
        </w:tc>
        <w:tc>
          <w:tcPr>
            <w:tcW w:w="1076" w:type="dxa"/>
            <w:shd w:val="clear" w:color="auto" w:fill="auto"/>
            <w:noWrap/>
            <w:vAlign w:val="bottom"/>
            <w:hideMark/>
          </w:tcPr>
          <w:p w:rsidRPr="00300CE8" w:rsidR="00DA4A3D" w:rsidP="00907DAA" w:rsidRDefault="00DA4A3D" w14:paraId="0AED11F0" w14:textId="77777777">
            <w:pPr>
              <w:spacing w:after="0"/>
              <w:jc w:val="center"/>
              <w:rPr>
                <w:szCs w:val="18"/>
              </w:rPr>
            </w:pPr>
            <w:r w:rsidRPr="00300CE8">
              <w:rPr>
                <w:szCs w:val="18"/>
              </w:rPr>
              <w:t>2.53</w:t>
            </w:r>
          </w:p>
        </w:tc>
      </w:tr>
    </w:tbl>
    <w:p w:rsidR="003527BA" w:rsidP="00DA4A3D" w:rsidRDefault="003527BA" w14:paraId="73EABE8D" w14:textId="77777777">
      <w:pPr>
        <w:spacing w:after="0"/>
        <w:rPr>
          <w:i/>
          <w:szCs w:val="20"/>
        </w:rPr>
      </w:pPr>
    </w:p>
    <w:p w:rsidR="00A6797B" w:rsidP="00926F6D" w:rsidRDefault="00FE1D0B" w14:paraId="4895D04E" w14:textId="3409458D">
      <w:pPr>
        <w:rPr>
          <w:szCs w:val="20"/>
        </w:rPr>
      </w:pPr>
      <w:r>
        <w:rPr>
          <w:szCs w:val="20"/>
        </w:rPr>
        <w:t>Ratios of the number of 2, 3-</w:t>
      </w:r>
      <w:r w:rsidR="00DA4A3D">
        <w:rPr>
          <w:szCs w:val="20"/>
        </w:rPr>
        <w:t>4, and 5</w:t>
      </w:r>
      <w:r w:rsidR="00C53669">
        <w:rPr>
          <w:szCs w:val="20"/>
        </w:rPr>
        <w:t xml:space="preserve"> or more</w:t>
      </w:r>
      <w:r w:rsidR="00DA4A3D">
        <w:rPr>
          <w:szCs w:val="20"/>
        </w:rPr>
        <w:t xml:space="preserve"> unit structures are then used to estimate the number of structures of each type </w:t>
      </w:r>
      <w:r w:rsidR="00926F6D">
        <w:rPr>
          <w:szCs w:val="20"/>
        </w:rPr>
        <w:t xml:space="preserve">in each region. The ratios are calculated by dividing the housing starts by quarter for each unit type by the total housing starts for buildings with </w:t>
      </w:r>
      <w:r w:rsidR="005E7FC5">
        <w:rPr>
          <w:szCs w:val="20"/>
        </w:rPr>
        <w:t xml:space="preserve">2 or more </w:t>
      </w:r>
      <w:r w:rsidR="00926F6D">
        <w:rPr>
          <w:szCs w:val="20"/>
        </w:rPr>
        <w:t>units.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Pr="00A6797B" w:rsidR="00926F6D" w:rsidTr="000B309F" w14:paraId="246D9C74" w14:textId="77777777">
        <w:trPr>
          <w:trHeight w:val="585"/>
        </w:trPr>
        <w:tc>
          <w:tcPr>
            <w:tcW w:w="8748" w:type="dxa"/>
          </w:tcPr>
          <w:p w:rsidRPr="00A6797B" w:rsidR="00926F6D" w:rsidP="005E7A3E" w:rsidRDefault="00A32BA3" w14:paraId="628B1808"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Q,n</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S</m:t>
                        </m:r>
                      </m:e>
                      <m:sub>
                        <m:r>
                          <w:rPr>
                            <w:rFonts w:ascii="Cambria Math" w:hAnsi="Cambria Math"/>
                            <w:szCs w:val="20"/>
                          </w:rPr>
                          <m:t>Q,n</m:t>
                        </m:r>
                      </m:sub>
                    </m:sSub>
                  </m:num>
                  <m:den>
                    <m:sSub>
                      <m:sSubPr>
                        <m:ctrlPr>
                          <w:rPr>
                            <w:rFonts w:ascii="Cambria Math" w:hAnsi="Cambria Math"/>
                            <w:i/>
                            <w:szCs w:val="20"/>
                          </w:rPr>
                        </m:ctrlPr>
                      </m:sSubPr>
                      <m:e>
                        <m:r>
                          <w:rPr>
                            <w:rFonts w:ascii="Cambria Math" w:hAnsi="Cambria Math"/>
                            <w:szCs w:val="20"/>
                          </w:rPr>
                          <m:t>S</m:t>
                        </m:r>
                      </m:e>
                      <m:sub>
                        <m:r>
                          <w:rPr>
                            <w:rFonts w:ascii="Cambria Math" w:hAnsi="Cambria Math"/>
                            <w:szCs w:val="20"/>
                          </w:rPr>
                          <m:t>Q.t</m:t>
                        </m:r>
                      </m:sub>
                    </m:sSub>
                  </m:den>
                </m:f>
              </m:oMath>
            </m:oMathPara>
          </w:p>
        </w:tc>
        <w:tc>
          <w:tcPr>
            <w:tcW w:w="828" w:type="dxa"/>
            <w:vAlign w:val="center"/>
          </w:tcPr>
          <w:p w:rsidRPr="00A6797B" w:rsidR="00926F6D" w:rsidP="000B309F" w:rsidRDefault="00926F6D" w14:paraId="78E32AF6" w14:textId="77777777">
            <w:pPr>
              <w:pStyle w:val="ListParagraph"/>
              <w:widowControl/>
              <w:numPr>
                <w:ilvl w:val="0"/>
                <w:numId w:val="10"/>
              </w:numPr>
              <w:autoSpaceDE/>
              <w:autoSpaceDN/>
              <w:adjustRightInd/>
              <w:jc w:val="right"/>
              <w:rPr>
                <w:szCs w:val="20"/>
              </w:rPr>
            </w:pPr>
          </w:p>
        </w:tc>
      </w:tr>
    </w:tbl>
    <w:p w:rsidRPr="00A6797B" w:rsidR="00DA4A3D" w:rsidP="00A6797B" w:rsidRDefault="00DA4A3D" w14:paraId="3DA273F3" w14:textId="77777777">
      <w:pPr>
        <w:widowControl/>
        <w:tabs>
          <w:tab w:val="left" w:pos="0"/>
        </w:tabs>
        <w:rPr>
          <w:szCs w:val="20"/>
        </w:rPr>
      </w:pPr>
      <w:r w:rsidRPr="00A6797B">
        <w:rPr>
          <w:szCs w:val="20"/>
        </w:rPr>
        <w:t>Where:</w:t>
      </w:r>
    </w:p>
    <w:p w:rsidRPr="00DE7325" w:rsidR="00DA4A3D" w:rsidP="00DE7325" w:rsidRDefault="00DA4A3D" w14:paraId="7B0D4965" w14:textId="77777777">
      <w:pPr>
        <w:pStyle w:val="NoSpacing"/>
      </w:pPr>
      <w:r w:rsidRPr="00DE7325">
        <w:rPr>
          <w:i/>
        </w:rPr>
        <w:tab/>
      </w:r>
      <w:r w:rsidRPr="00DE7325">
        <w:rPr>
          <w:i/>
        </w:rPr>
        <w:t>r</w:t>
      </w:r>
      <w:r w:rsidRPr="00DE7325">
        <w:rPr>
          <w:i/>
          <w:vertAlign w:val="subscript"/>
        </w:rPr>
        <w:t>Q,n</w:t>
      </w:r>
      <w:r w:rsidRPr="00DE7325">
        <w:rPr>
          <w:vertAlign w:val="subscript"/>
        </w:rPr>
        <w:tab/>
      </w:r>
      <w:r w:rsidRPr="00DE7325">
        <w:t xml:space="preserve">= </w:t>
      </w:r>
      <w:r w:rsidRPr="00DE7325">
        <w:tab/>
      </w:r>
      <w:r w:rsidRPr="00DE7325">
        <w:t xml:space="preserve">Ratio of structures with number of units, </w:t>
      </w:r>
      <w:r w:rsidRPr="00DE7325">
        <w:rPr>
          <w:i/>
        </w:rPr>
        <w:t>n</w:t>
      </w:r>
      <w:r w:rsidRPr="00DE7325">
        <w:t xml:space="preserve">, to total number of units by quarter, </w:t>
      </w:r>
      <w:r w:rsidRPr="00DE7325">
        <w:rPr>
          <w:i/>
        </w:rPr>
        <w:t xml:space="preserve">Q </w:t>
      </w:r>
    </w:p>
    <w:p w:rsidRPr="00DE7325" w:rsidR="00DA4A3D" w:rsidP="00DE7325" w:rsidRDefault="00DA4A3D" w14:paraId="165FE1E1" w14:textId="53A7527A">
      <w:pPr>
        <w:pStyle w:val="NoSpacing"/>
      </w:pPr>
      <w:r w:rsidRPr="00DE7325">
        <w:rPr>
          <w:i/>
        </w:rPr>
        <w:tab/>
      </w:r>
      <w:r w:rsidRPr="00DE7325">
        <w:rPr>
          <w:i/>
        </w:rPr>
        <w:t>S</w:t>
      </w:r>
      <w:r w:rsidRPr="00DE7325">
        <w:rPr>
          <w:i/>
          <w:vertAlign w:val="subscript"/>
        </w:rPr>
        <w:t>Q,n</w:t>
      </w:r>
      <w:r w:rsidRPr="00DE7325">
        <w:rPr>
          <w:vertAlign w:val="subscript"/>
        </w:rPr>
        <w:tab/>
      </w:r>
      <w:r w:rsidRPr="00DE7325">
        <w:t xml:space="preserve">= </w:t>
      </w:r>
      <w:r w:rsidRPr="00DE7325">
        <w:tab/>
      </w:r>
      <w:r w:rsidRPr="00DE7325">
        <w:t xml:space="preserve">Housing starts, by quarter, </w:t>
      </w:r>
      <w:r w:rsidRPr="00DE7325">
        <w:rPr>
          <w:i/>
        </w:rPr>
        <w:t>Q</w:t>
      </w:r>
      <w:r w:rsidRPr="00DE7325">
        <w:t>, and number of units</w:t>
      </w:r>
      <w:r w:rsidRPr="00DE7325">
        <w:rPr>
          <w:i/>
        </w:rPr>
        <w:t>, n</w:t>
      </w:r>
      <w:r w:rsidRPr="00DE7325">
        <w:t>, from distributed calculation in Step 1 for the</w:t>
      </w:r>
      <w:r w:rsidR="00DE7325">
        <w:t xml:space="preserve"> </w:t>
      </w:r>
      <w:r w:rsidR="00486228">
        <w:t>2-</w:t>
      </w:r>
      <w:r w:rsidRPr="00DE7325">
        <w:t>unit or 3-4 unit categories or directly from the 201</w:t>
      </w:r>
      <w:r w:rsidR="00592CB0">
        <w:t>7</w:t>
      </w:r>
      <w:r w:rsidRPr="00DE7325">
        <w:t xml:space="preserve"> </w:t>
      </w:r>
      <w:r w:rsidRPr="00DE7325">
        <w:rPr>
          <w:i/>
        </w:rPr>
        <w:t>New Privately Owned Housing Units Started by Purpose and Design</w:t>
      </w:r>
      <w:r w:rsidRPr="00DE7325">
        <w:t xml:space="preserve"> data for the 5 units or more category</w:t>
      </w:r>
      <w:r w:rsidR="00A25E2C">
        <w:t>, in thousand housing starts</w:t>
      </w:r>
    </w:p>
    <w:p w:rsidR="00DA4A3D" w:rsidP="00DE7325" w:rsidRDefault="00DA4A3D" w14:paraId="5E30D443" w14:textId="40C3F9F8">
      <w:pPr>
        <w:pStyle w:val="NoSpacing"/>
      </w:pPr>
      <w:r w:rsidRPr="00DE7325">
        <w:rPr>
          <w:i/>
        </w:rPr>
        <w:tab/>
      </w:r>
      <w:r w:rsidRPr="00DE7325">
        <w:rPr>
          <w:i/>
        </w:rPr>
        <w:t>S</w:t>
      </w:r>
      <w:r w:rsidRPr="00DE7325">
        <w:rPr>
          <w:i/>
          <w:vertAlign w:val="subscript"/>
        </w:rPr>
        <w:t>Q,t</w:t>
      </w:r>
      <w:r w:rsidRPr="00DE7325">
        <w:rPr>
          <w:vertAlign w:val="subscript"/>
        </w:rPr>
        <w:tab/>
      </w:r>
      <w:r w:rsidRPr="00DE7325">
        <w:t xml:space="preserve">= </w:t>
      </w:r>
      <w:r w:rsidRPr="00DE7325">
        <w:tab/>
      </w:r>
      <w:r w:rsidRPr="00DE7325">
        <w:t xml:space="preserve">Housing starts, by quarter, </w:t>
      </w:r>
      <w:r w:rsidRPr="00DE7325">
        <w:rPr>
          <w:i/>
        </w:rPr>
        <w:t>Q</w:t>
      </w:r>
      <w:r w:rsidRPr="00DE7325">
        <w:t xml:space="preserve">, for total number </w:t>
      </w:r>
      <w:r w:rsidR="005E7FC5">
        <w:t xml:space="preserve">of </w:t>
      </w:r>
      <w:r w:rsidR="005E7FC5">
        <w:rPr>
          <w:szCs w:val="20"/>
        </w:rPr>
        <w:t>buildings with 2 or more units</w:t>
      </w:r>
      <w:r w:rsidRPr="00DE7325">
        <w:t xml:space="preserve">, </w:t>
      </w:r>
      <w:r w:rsidRPr="00DE7325">
        <w:rPr>
          <w:i/>
        </w:rPr>
        <w:t xml:space="preserve">t </w:t>
      </w:r>
      <w:r w:rsidR="00486228">
        <w:t>(excludes 1-</w:t>
      </w:r>
      <w:r w:rsidRPr="00DE7325">
        <w:t>unit</w:t>
      </w:r>
      <w:r w:rsidR="005E7FC5">
        <w:t xml:space="preserve"> </w:t>
      </w:r>
      <w:r w:rsidRPr="00DE7325">
        <w:t>category)</w:t>
      </w:r>
      <w:r w:rsidR="00A25E2C">
        <w:t>, in thousand housing starts</w:t>
      </w:r>
    </w:p>
    <w:p w:rsidR="004F547C" w:rsidP="004F547C" w:rsidRDefault="004F547C" w14:paraId="538B14EF" w14:textId="77777777">
      <w:pPr>
        <w:spacing w:after="0"/>
        <w:rPr>
          <w:szCs w:val="20"/>
        </w:rPr>
      </w:pPr>
    </w:p>
    <w:p w:rsidRPr="00926F6D" w:rsidR="00926F6D" w:rsidP="00926F6D" w:rsidRDefault="00926F6D" w14:paraId="3871B5B7" w14:textId="17CFB077">
      <w:pPr>
        <w:rPr>
          <w:szCs w:val="20"/>
        </w:rPr>
      </w:pPr>
      <w:r>
        <w:rPr>
          <w:szCs w:val="20"/>
        </w:rPr>
        <w:t xml:space="preserve">The ratio is then used to </w:t>
      </w:r>
      <w:r w:rsidRPr="00926F6D" w:rsidR="004F547C">
        <w:rPr>
          <w:szCs w:val="20"/>
        </w:rPr>
        <w:t>distribute the 201</w:t>
      </w:r>
      <w:r w:rsidR="00592CB0">
        <w:rPr>
          <w:szCs w:val="20"/>
        </w:rPr>
        <w:t>7</w:t>
      </w:r>
      <w:r w:rsidRPr="00926F6D" w:rsidR="004F547C">
        <w:rPr>
          <w:szCs w:val="20"/>
        </w:rPr>
        <w:t xml:space="preserve"> </w:t>
      </w:r>
      <w:r w:rsidRPr="00EC232F" w:rsidR="004F547C">
        <w:rPr>
          <w:i/>
          <w:szCs w:val="20"/>
        </w:rPr>
        <w:t>New Privately Owned Housing Units Started by Purpose and Design</w:t>
      </w:r>
      <w:r w:rsidRPr="00926F6D" w:rsidR="004F547C">
        <w:rPr>
          <w:szCs w:val="20"/>
        </w:rPr>
        <w:t xml:space="preserve"> regional data for all unit types to the 2, 3-4, or 5 or more unit categories within each </w:t>
      </w:r>
      <w:r w:rsidR="00C53669">
        <w:rPr>
          <w:szCs w:val="20"/>
        </w:rPr>
        <w:t xml:space="preserve">Census </w:t>
      </w:r>
      <w:r w:rsidRPr="00926F6D" w:rsidR="004F547C">
        <w:rPr>
          <w:szCs w:val="20"/>
        </w:rPr>
        <w:t xml:space="preserve">region – Northeast, Midwest, South, and West.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A6797B" w:rsidR="00926F6D" w:rsidTr="00C53669" w14:paraId="754D739A" w14:textId="77777777">
        <w:trPr>
          <w:trHeight w:val="432"/>
        </w:trPr>
        <w:tc>
          <w:tcPr>
            <w:tcW w:w="8748" w:type="dxa"/>
          </w:tcPr>
          <w:p w:rsidRPr="00A6797B" w:rsidR="00926F6D" w:rsidP="005E7A3E" w:rsidRDefault="00A32BA3" w14:paraId="37C30AD1"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Q,n,rgn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Q,n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RS</m:t>
                    </m:r>
                  </m:e>
                  <m:sub>
                    <m:r>
                      <w:rPr>
                        <w:rFonts w:ascii="Cambria Math" w:hAnsi="Cambria Math"/>
                        <w:szCs w:val="20"/>
                      </w:rPr>
                      <m:t>t,rgn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RS</m:t>
                    </m:r>
                  </m:e>
                  <m:sub>
                    <m:r>
                      <w:rPr>
                        <w:rFonts w:ascii="Cambria Math" w:hAnsi="Cambria Math"/>
                        <w:szCs w:val="20"/>
                      </w:rPr>
                      <m:t>1,rgn</m:t>
                    </m:r>
                  </m:sub>
                </m:sSub>
                <m:r>
                  <w:rPr>
                    <w:rFonts w:ascii="Cambria Math" w:hAnsi="Cambria Math"/>
                    <w:szCs w:val="20"/>
                  </w:rPr>
                  <m:t>)</m:t>
                </m:r>
              </m:oMath>
            </m:oMathPara>
          </w:p>
        </w:tc>
        <w:tc>
          <w:tcPr>
            <w:tcW w:w="828" w:type="dxa"/>
          </w:tcPr>
          <w:p w:rsidRPr="00A6797B" w:rsidR="00926F6D" w:rsidP="00926F6D" w:rsidRDefault="00926F6D" w14:paraId="30B25FB8" w14:textId="77777777">
            <w:pPr>
              <w:pStyle w:val="ListParagraph"/>
              <w:widowControl/>
              <w:numPr>
                <w:ilvl w:val="0"/>
                <w:numId w:val="10"/>
              </w:numPr>
              <w:autoSpaceDE/>
              <w:autoSpaceDN/>
              <w:adjustRightInd/>
              <w:jc w:val="right"/>
              <w:rPr>
                <w:szCs w:val="20"/>
              </w:rPr>
            </w:pPr>
          </w:p>
        </w:tc>
      </w:tr>
    </w:tbl>
    <w:p w:rsidRPr="00A6797B" w:rsidR="004F547C" w:rsidP="00A6797B" w:rsidRDefault="004F547C" w14:paraId="71CE8576" w14:textId="77777777">
      <w:pPr>
        <w:widowControl/>
        <w:tabs>
          <w:tab w:val="left" w:pos="0"/>
        </w:tabs>
        <w:rPr>
          <w:szCs w:val="20"/>
        </w:rPr>
      </w:pPr>
      <w:r w:rsidRPr="00A6797B">
        <w:rPr>
          <w:szCs w:val="20"/>
        </w:rPr>
        <w:t>Where:</w:t>
      </w:r>
    </w:p>
    <w:p w:rsidRPr="00A25E2C" w:rsidR="004F547C" w:rsidP="00DE7325" w:rsidRDefault="004F547C" w14:paraId="4A55858B" w14:textId="77777777">
      <w:pPr>
        <w:pStyle w:val="NoSpacing"/>
      </w:pPr>
      <w:r w:rsidRPr="00DE7325">
        <w:rPr>
          <w:i/>
        </w:rPr>
        <w:tab/>
      </w:r>
      <w:r w:rsidRPr="00DE7325">
        <w:rPr>
          <w:i/>
        </w:rPr>
        <w:t>A</w:t>
      </w:r>
      <w:r w:rsidRPr="00DE7325">
        <w:rPr>
          <w:i/>
          <w:vertAlign w:val="subscript"/>
        </w:rPr>
        <w:t>Q,n,rgn</w:t>
      </w:r>
      <w:r w:rsidRPr="00DE7325">
        <w:rPr>
          <w:i/>
          <w:vertAlign w:val="subscript"/>
        </w:rPr>
        <w:tab/>
      </w:r>
      <w:r w:rsidRPr="00DE7325">
        <w:t>=</w:t>
      </w:r>
      <w:r w:rsidRPr="00DE7325">
        <w:tab/>
      </w:r>
      <w:r w:rsidR="00A25E2C">
        <w:t xml:space="preserve">Number of housing units started in </w:t>
      </w:r>
      <w:r w:rsidRPr="00DE7325">
        <w:t>quarter</w:t>
      </w:r>
      <w:r w:rsidRPr="00DE7325">
        <w:rPr>
          <w:i/>
        </w:rPr>
        <w:t xml:space="preserve"> Q</w:t>
      </w:r>
      <w:r w:rsidR="00A25E2C">
        <w:rPr>
          <w:i/>
        </w:rPr>
        <w:t>,</w:t>
      </w:r>
      <w:r w:rsidRPr="00DE7325">
        <w:t xml:space="preserve"> </w:t>
      </w:r>
      <w:r w:rsidR="00A25E2C">
        <w:t xml:space="preserve">by </w:t>
      </w:r>
      <w:r w:rsidRPr="00DE7325">
        <w:t>number of units</w:t>
      </w:r>
      <w:r w:rsidRPr="00DE7325">
        <w:rPr>
          <w:i/>
        </w:rPr>
        <w:t>, n</w:t>
      </w:r>
      <w:r w:rsidRPr="00DE7325">
        <w:t>, and region of the country</w:t>
      </w:r>
      <w:r w:rsidRPr="00DE7325">
        <w:rPr>
          <w:i/>
        </w:rPr>
        <w:t xml:space="preserve">, </w:t>
      </w:r>
      <w:r w:rsidRPr="00DE7325">
        <w:rPr>
          <w:i/>
        </w:rPr>
        <w:lastRenderedPageBreak/>
        <w:t>rgn</w:t>
      </w:r>
      <w:r w:rsidR="00A25E2C">
        <w:t>, in thousand units</w:t>
      </w:r>
    </w:p>
    <w:p w:rsidRPr="00DE7325" w:rsidR="004F547C" w:rsidP="00DE7325" w:rsidRDefault="004F547C" w14:paraId="1B05A063" w14:textId="77777777">
      <w:pPr>
        <w:pStyle w:val="NoSpacing"/>
        <w:rPr>
          <w:i/>
        </w:rPr>
      </w:pPr>
      <w:r w:rsidRPr="00DE7325">
        <w:rPr>
          <w:i/>
        </w:rPr>
        <w:tab/>
      </w:r>
      <w:r w:rsidRPr="00DE7325">
        <w:rPr>
          <w:i/>
        </w:rPr>
        <w:t>r</w:t>
      </w:r>
      <w:r w:rsidRPr="00DE7325">
        <w:rPr>
          <w:i/>
          <w:vertAlign w:val="subscript"/>
        </w:rPr>
        <w:t>Q,n</w:t>
      </w:r>
      <w:r w:rsidRPr="00DE7325">
        <w:rPr>
          <w:vertAlign w:val="subscript"/>
        </w:rPr>
        <w:tab/>
      </w:r>
      <w:r w:rsidRPr="00DE7325">
        <w:t xml:space="preserve">= </w:t>
      </w:r>
      <w:r w:rsidRPr="00DE7325">
        <w:tab/>
      </w:r>
      <w:r w:rsidRPr="00DE7325">
        <w:t xml:space="preserve">Ratio of structures with number of units, </w:t>
      </w:r>
      <w:r w:rsidRPr="00DE7325">
        <w:rPr>
          <w:i/>
        </w:rPr>
        <w:t>n</w:t>
      </w:r>
      <w:r w:rsidRPr="00DE7325">
        <w:t xml:space="preserve">, to total number of units by quarter, </w:t>
      </w:r>
      <w:r w:rsidRPr="00DE7325">
        <w:rPr>
          <w:i/>
        </w:rPr>
        <w:t xml:space="preserve">Q </w:t>
      </w:r>
    </w:p>
    <w:p w:rsidRPr="00DE7325" w:rsidR="004F547C" w:rsidP="00DE7325" w:rsidRDefault="004F547C" w14:paraId="24DC56D8" w14:textId="7B4310F0">
      <w:pPr>
        <w:pStyle w:val="NoSpacing"/>
        <w:rPr>
          <w:i/>
        </w:rPr>
      </w:pPr>
      <w:r w:rsidRPr="00DE7325">
        <w:rPr>
          <w:i/>
        </w:rPr>
        <w:tab/>
      </w:r>
      <w:r w:rsidRPr="00DE7325">
        <w:rPr>
          <w:i/>
        </w:rPr>
        <w:t>RS</w:t>
      </w:r>
      <w:r w:rsidRPr="00DE7325">
        <w:rPr>
          <w:i/>
          <w:vertAlign w:val="subscript"/>
        </w:rPr>
        <w:t>t</w:t>
      </w:r>
      <w:r w:rsidR="00C53669">
        <w:rPr>
          <w:i/>
          <w:vertAlign w:val="subscript"/>
        </w:rPr>
        <w:t>,rgn</w:t>
      </w:r>
      <w:r w:rsidRPr="00DE7325">
        <w:rPr>
          <w:i/>
          <w:vertAlign w:val="subscript"/>
        </w:rPr>
        <w:tab/>
      </w:r>
      <w:r w:rsidRPr="00DE7325">
        <w:t>=</w:t>
      </w:r>
      <w:r w:rsidRPr="00DE7325">
        <w:tab/>
      </w:r>
      <w:r w:rsidRPr="00DE7325">
        <w:t>Total regional starts from the 201</w:t>
      </w:r>
      <w:r w:rsidR="00592CB0">
        <w:t>7</w:t>
      </w:r>
      <w:r w:rsidRPr="00DE7325">
        <w:t xml:space="preserve"> </w:t>
      </w:r>
      <w:r w:rsidRPr="00DE7325">
        <w:rPr>
          <w:i/>
        </w:rPr>
        <w:t xml:space="preserve">New Privately Owned Housing Units Started by Purpose and </w:t>
      </w:r>
    </w:p>
    <w:p w:rsidRPr="00DE7325" w:rsidR="004F547C" w:rsidP="00DE7325" w:rsidRDefault="004F547C" w14:paraId="3A9A0188" w14:textId="77777777">
      <w:pPr>
        <w:pStyle w:val="NoSpacing"/>
      </w:pPr>
      <w:r w:rsidRPr="00DE7325">
        <w:rPr>
          <w:i/>
        </w:rPr>
        <w:tab/>
      </w:r>
      <w:r w:rsidRPr="00DE7325">
        <w:rPr>
          <w:i/>
        </w:rPr>
        <w:tab/>
      </w:r>
      <w:r w:rsidRPr="00DE7325">
        <w:rPr>
          <w:i/>
        </w:rPr>
        <w:tab/>
      </w:r>
      <w:r w:rsidRPr="00DE7325">
        <w:rPr>
          <w:i/>
        </w:rPr>
        <w:t xml:space="preserve">Design </w:t>
      </w:r>
      <w:r w:rsidRPr="00DE7325">
        <w:t>data</w:t>
      </w:r>
      <w:r w:rsidR="00A25E2C">
        <w:t>, in thousand housing starts</w:t>
      </w:r>
    </w:p>
    <w:p w:rsidRPr="00424A0A" w:rsidR="004F547C" w:rsidP="00DE7325" w:rsidRDefault="004F547C" w14:paraId="77946590" w14:textId="7B5D5531">
      <w:pPr>
        <w:pStyle w:val="NoSpacing"/>
      </w:pPr>
      <w:r w:rsidRPr="00DE7325">
        <w:rPr>
          <w:i/>
        </w:rPr>
        <w:tab/>
      </w:r>
      <w:r w:rsidRPr="00DE7325">
        <w:rPr>
          <w:i/>
        </w:rPr>
        <w:t>RS</w:t>
      </w:r>
      <w:r w:rsidRPr="00DE7325">
        <w:rPr>
          <w:i/>
          <w:vertAlign w:val="subscript"/>
        </w:rPr>
        <w:t>1</w:t>
      </w:r>
      <w:r w:rsidR="00C53669">
        <w:rPr>
          <w:i/>
          <w:vertAlign w:val="subscript"/>
        </w:rPr>
        <w:t>,rgn</w:t>
      </w:r>
      <w:r w:rsidRPr="00DE7325">
        <w:tab/>
      </w:r>
      <w:r w:rsidRPr="00DE7325">
        <w:t>=</w:t>
      </w:r>
      <w:r w:rsidRPr="00DE7325">
        <w:tab/>
      </w:r>
      <w:r w:rsidRPr="00DE7325">
        <w:t>Regional starts of structures with 1 unit from the 201</w:t>
      </w:r>
      <w:r w:rsidR="00592CB0">
        <w:t>7</w:t>
      </w:r>
      <w:r w:rsidRPr="00DE7325">
        <w:t xml:space="preserve"> </w:t>
      </w:r>
      <w:r w:rsidRPr="00DE7325">
        <w:rPr>
          <w:i/>
        </w:rPr>
        <w:t xml:space="preserve">New Privately Owned Housing Units Started by Purpose and Design </w:t>
      </w:r>
      <w:r w:rsidRPr="00DE7325">
        <w:t>data</w:t>
      </w:r>
      <w:r w:rsidR="00A25E2C">
        <w:t>, in thousand housing starts</w:t>
      </w:r>
    </w:p>
    <w:p w:rsidR="003F7F0D" w:rsidP="00926F6D" w:rsidRDefault="00DA4A3D" w14:paraId="05F49E3E" w14:textId="77777777">
      <w:pPr>
        <w:rPr>
          <w:szCs w:val="20"/>
        </w:rPr>
      </w:pPr>
      <w:r>
        <w:rPr>
          <w:i/>
          <w:szCs w:val="20"/>
        </w:rPr>
        <w:br/>
      </w:r>
      <w:r w:rsidR="00C835F7">
        <w:rPr>
          <w:szCs w:val="20"/>
        </w:rPr>
        <w:t xml:space="preserve">Data from the Census report </w:t>
      </w:r>
      <w:r w:rsidRPr="004E7569">
        <w:rPr>
          <w:i/>
          <w:szCs w:val="20"/>
        </w:rPr>
        <w:t>New Privately Owned Housing Units Authorized Unadjusted Units</w:t>
      </w:r>
      <w:bookmarkStart w:name="_Ref478726138" w:id="7"/>
      <w:r w:rsidRPr="00C53669" w:rsidR="00B35558">
        <w:rPr>
          <w:rStyle w:val="EndnoteReference"/>
          <w:szCs w:val="20"/>
        </w:rPr>
        <w:endnoteReference w:id="4"/>
      </w:r>
      <w:bookmarkEnd w:id="7"/>
      <w:r w:rsidRPr="004D19E4">
        <w:rPr>
          <w:szCs w:val="20"/>
          <w:vertAlign w:val="superscript"/>
        </w:rPr>
        <w:t xml:space="preserve"> </w:t>
      </w:r>
      <w:r w:rsidR="00C835F7">
        <w:rPr>
          <w:szCs w:val="20"/>
        </w:rPr>
        <w:t xml:space="preserve">is used to calculate </w:t>
      </w:r>
      <w:r w:rsidRPr="004E7569">
        <w:rPr>
          <w:szCs w:val="20"/>
        </w:rPr>
        <w:t xml:space="preserve">a conversion factor to determine the ratio of structures to units in the 5 or more unit category. </w:t>
      </w:r>
      <w:r w:rsidR="00926F6D">
        <w:rPr>
          <w:szCs w:val="20"/>
        </w:rPr>
        <w:t>The conversion factor is calculated by dividing the total number of units in structure</w:t>
      </w:r>
      <w:r w:rsidR="00C835F7">
        <w:rPr>
          <w:szCs w:val="20"/>
        </w:rPr>
        <w:t>s with 5 or more units by region</w:t>
      </w:r>
      <w:r w:rsidRPr="00C835F7" w:rsidR="00C835F7">
        <w:rPr>
          <w:szCs w:val="20"/>
          <w:vertAlign w:val="superscript"/>
        </w:rPr>
        <w:fldChar w:fldCharType="begin"/>
      </w:r>
      <w:r w:rsidRPr="00C835F7" w:rsidR="00C835F7">
        <w:rPr>
          <w:szCs w:val="20"/>
          <w:vertAlign w:val="superscript"/>
        </w:rPr>
        <w:instrText xml:space="preserve"> NOTEREF _Ref478726125 \h </w:instrText>
      </w:r>
      <w:r w:rsidR="00C835F7">
        <w:rPr>
          <w:szCs w:val="20"/>
          <w:vertAlign w:val="superscript"/>
        </w:rPr>
        <w:instrText xml:space="preserve"> \* MERGEFORMAT </w:instrText>
      </w:r>
      <w:r w:rsidRPr="00C835F7" w:rsidR="00C835F7">
        <w:rPr>
          <w:szCs w:val="20"/>
          <w:vertAlign w:val="superscript"/>
        </w:rPr>
      </w:r>
      <w:r w:rsidRPr="00C835F7" w:rsidR="00C835F7">
        <w:rPr>
          <w:szCs w:val="20"/>
          <w:vertAlign w:val="superscript"/>
        </w:rPr>
        <w:fldChar w:fldCharType="separate"/>
      </w:r>
      <w:r w:rsidRPr="00C835F7" w:rsidR="00C835F7">
        <w:rPr>
          <w:szCs w:val="20"/>
          <w:vertAlign w:val="superscript"/>
        </w:rPr>
        <w:t>2</w:t>
      </w:r>
      <w:r w:rsidRPr="00C835F7" w:rsidR="00C835F7">
        <w:rPr>
          <w:szCs w:val="20"/>
          <w:vertAlign w:val="superscript"/>
        </w:rPr>
        <w:fldChar w:fldCharType="end"/>
      </w:r>
      <w:r w:rsidR="00926F6D">
        <w:rPr>
          <w:szCs w:val="20"/>
        </w:rPr>
        <w:t xml:space="preserve"> by the total number of buildings with 5 or more units by region.</w:t>
      </w:r>
      <w:r w:rsidRPr="00C835F7" w:rsidR="00C835F7">
        <w:rPr>
          <w:szCs w:val="20"/>
          <w:vertAlign w:val="superscript"/>
        </w:rPr>
        <w:fldChar w:fldCharType="begin"/>
      </w:r>
      <w:r w:rsidRPr="00C835F7" w:rsidR="00C835F7">
        <w:rPr>
          <w:szCs w:val="20"/>
          <w:vertAlign w:val="superscript"/>
        </w:rPr>
        <w:instrText xml:space="preserve"> NOTEREF _Ref478726138 \h </w:instrText>
      </w:r>
      <w:r w:rsidR="00C835F7">
        <w:rPr>
          <w:szCs w:val="20"/>
          <w:vertAlign w:val="superscript"/>
        </w:rPr>
        <w:instrText xml:space="preserve"> \* MERGEFORMAT </w:instrText>
      </w:r>
      <w:r w:rsidRPr="00C835F7" w:rsidR="00C835F7">
        <w:rPr>
          <w:szCs w:val="20"/>
          <w:vertAlign w:val="superscript"/>
        </w:rPr>
      </w:r>
      <w:r w:rsidRPr="00C835F7" w:rsidR="00C835F7">
        <w:rPr>
          <w:szCs w:val="20"/>
          <w:vertAlign w:val="superscript"/>
        </w:rPr>
        <w:fldChar w:fldCharType="separate"/>
      </w:r>
      <w:r w:rsidRPr="00C835F7" w:rsidR="00C835F7">
        <w:rPr>
          <w:szCs w:val="20"/>
          <w:vertAlign w:val="superscript"/>
        </w:rPr>
        <w:t>3</w:t>
      </w:r>
      <w:r w:rsidRPr="00C835F7" w:rsidR="00C835F7">
        <w:rPr>
          <w:szCs w:val="20"/>
          <w:vertAlign w:val="superscript"/>
        </w:rPr>
        <w:fldChar w:fldCharType="end"/>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A6797B" w:rsidR="00926F6D" w:rsidTr="000B309F" w14:paraId="3C5931F8" w14:textId="77777777">
        <w:trPr>
          <w:trHeight w:val="585"/>
        </w:trPr>
        <w:tc>
          <w:tcPr>
            <w:tcW w:w="8748" w:type="dxa"/>
          </w:tcPr>
          <w:p w:rsidRPr="00A6797B" w:rsidR="00926F6D" w:rsidP="005E7A3E" w:rsidRDefault="00A32BA3" w14:paraId="5141B371"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CF</m:t>
                    </m:r>
                  </m:e>
                  <m:sub>
                    <m:r>
                      <w:rPr>
                        <w:rFonts w:ascii="Cambria Math" w:hAnsi="Cambria Math"/>
                        <w:szCs w:val="20"/>
                      </w:rPr>
                      <m:t>5,rgn</m:t>
                    </m:r>
                  </m:sub>
                </m:sSub>
                <m:r>
                  <w:rPr>
                    <w:rFonts w:ascii="Cambria Math" w:hAnsi="Cambria Math"/>
                    <w:szCs w:val="20"/>
                  </w:rPr>
                  <m:t xml:space="preserve">= </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U</m:t>
                        </m:r>
                      </m:e>
                      <m:sub>
                        <m:r>
                          <w:rPr>
                            <w:rFonts w:ascii="Cambria Math" w:hAnsi="Cambria Math"/>
                            <w:szCs w:val="20"/>
                          </w:rPr>
                          <m:t>5,rgn</m:t>
                        </m:r>
                      </m:sub>
                    </m:sSub>
                  </m:num>
                  <m:den>
                    <m:sSub>
                      <m:sSubPr>
                        <m:ctrlPr>
                          <w:rPr>
                            <w:rFonts w:ascii="Cambria Math" w:hAnsi="Cambria Math"/>
                            <w:i/>
                            <w:szCs w:val="20"/>
                          </w:rPr>
                        </m:ctrlPr>
                      </m:sSubPr>
                      <m:e>
                        <m:r>
                          <w:rPr>
                            <w:rFonts w:ascii="Cambria Math" w:hAnsi="Cambria Math"/>
                            <w:szCs w:val="20"/>
                          </w:rPr>
                          <m:t>B</m:t>
                        </m:r>
                      </m:e>
                      <m:sub>
                        <m:r>
                          <w:rPr>
                            <w:rFonts w:ascii="Cambria Math" w:hAnsi="Cambria Math"/>
                            <w:szCs w:val="20"/>
                          </w:rPr>
                          <m:t>5,rgn</m:t>
                        </m:r>
                      </m:sub>
                    </m:sSub>
                  </m:den>
                </m:f>
              </m:oMath>
            </m:oMathPara>
          </w:p>
        </w:tc>
        <w:tc>
          <w:tcPr>
            <w:tcW w:w="828" w:type="dxa"/>
            <w:vAlign w:val="center"/>
          </w:tcPr>
          <w:p w:rsidRPr="00A6797B" w:rsidR="00926F6D" w:rsidP="000B309F" w:rsidRDefault="00926F6D" w14:paraId="65DAE2A5" w14:textId="77777777">
            <w:pPr>
              <w:pStyle w:val="ListParagraph"/>
              <w:widowControl/>
              <w:numPr>
                <w:ilvl w:val="0"/>
                <w:numId w:val="10"/>
              </w:numPr>
              <w:autoSpaceDE/>
              <w:autoSpaceDN/>
              <w:adjustRightInd/>
              <w:jc w:val="right"/>
              <w:rPr>
                <w:szCs w:val="20"/>
              </w:rPr>
            </w:pPr>
          </w:p>
        </w:tc>
      </w:tr>
    </w:tbl>
    <w:p w:rsidRPr="00A6797B" w:rsidR="003F7F0D" w:rsidP="00A6797B" w:rsidRDefault="003F7F0D" w14:paraId="12DB9D04" w14:textId="77777777">
      <w:pPr>
        <w:widowControl/>
        <w:tabs>
          <w:tab w:val="left" w:pos="0"/>
        </w:tabs>
        <w:rPr>
          <w:szCs w:val="20"/>
        </w:rPr>
      </w:pPr>
      <w:r w:rsidRPr="00A6797B">
        <w:rPr>
          <w:szCs w:val="20"/>
        </w:rPr>
        <w:t>Where:</w:t>
      </w:r>
    </w:p>
    <w:p w:rsidRPr="00C53669" w:rsidR="003F7F0D" w:rsidP="00DE7325" w:rsidRDefault="003F7F0D" w14:paraId="38634892" w14:textId="77777777">
      <w:pPr>
        <w:pStyle w:val="NoSpacing"/>
        <w:rPr>
          <w:i/>
        </w:rPr>
      </w:pPr>
      <w:r w:rsidRPr="00DE7325">
        <w:rPr>
          <w:i/>
        </w:rPr>
        <w:tab/>
      </w:r>
      <w:r w:rsidRPr="00DE7325">
        <w:rPr>
          <w:i/>
        </w:rPr>
        <w:t>CF</w:t>
      </w:r>
      <w:r w:rsidRPr="00DE7325">
        <w:rPr>
          <w:i/>
          <w:vertAlign w:val="subscript"/>
        </w:rPr>
        <w:t>5</w:t>
      </w:r>
      <w:r w:rsidR="00C53669">
        <w:rPr>
          <w:i/>
          <w:vertAlign w:val="subscript"/>
        </w:rPr>
        <w:t>,rgn</w:t>
      </w:r>
      <w:r w:rsidRPr="00DE7325">
        <w:rPr>
          <w:i/>
          <w:vertAlign w:val="subscript"/>
        </w:rPr>
        <w:tab/>
      </w:r>
      <w:r w:rsidRPr="00DE7325">
        <w:t>=</w:t>
      </w:r>
      <w:r w:rsidRPr="00DE7325">
        <w:tab/>
      </w:r>
      <w:r w:rsidRPr="00DE7325">
        <w:t>Ratio of 5 units or more to the number of buildings with 5 units or more</w:t>
      </w:r>
      <w:r w:rsidR="00C53669">
        <w:t xml:space="preserve"> by region, </w:t>
      </w:r>
      <w:r w:rsidR="00C53669">
        <w:rPr>
          <w:i/>
        </w:rPr>
        <w:t>rgn</w:t>
      </w:r>
    </w:p>
    <w:p w:rsidRPr="00DE7325" w:rsidR="003F7F0D" w:rsidP="00DE7325" w:rsidRDefault="003F7F0D" w14:paraId="669FAF18" w14:textId="77777777">
      <w:pPr>
        <w:pStyle w:val="NoSpacing"/>
        <w:rPr>
          <w:i/>
        </w:rPr>
      </w:pPr>
      <w:r w:rsidRPr="00DE7325">
        <w:tab/>
      </w:r>
      <w:r w:rsidRPr="00DE7325">
        <w:rPr>
          <w:i/>
        </w:rPr>
        <w:t>U</w:t>
      </w:r>
      <w:r w:rsidRPr="00DE7325">
        <w:rPr>
          <w:i/>
          <w:vertAlign w:val="subscript"/>
        </w:rPr>
        <w:t>5,rgn</w:t>
      </w:r>
      <w:r w:rsidRPr="00DE7325">
        <w:rPr>
          <w:vertAlign w:val="subscript"/>
        </w:rPr>
        <w:tab/>
      </w:r>
      <w:r w:rsidRPr="00DE7325">
        <w:t>=</w:t>
      </w:r>
      <w:r w:rsidRPr="00DE7325">
        <w:tab/>
      </w:r>
      <w:r w:rsidRPr="00DE7325">
        <w:t xml:space="preserve">Total number of 5 or more units by region, </w:t>
      </w:r>
      <w:r w:rsidRPr="00DE7325">
        <w:rPr>
          <w:i/>
        </w:rPr>
        <w:t>rgn</w:t>
      </w:r>
    </w:p>
    <w:p w:rsidR="00926F6D" w:rsidP="00926F6D" w:rsidRDefault="003F7F0D" w14:paraId="0DD77D0E" w14:textId="77777777">
      <w:pPr>
        <w:pStyle w:val="NoSpacing"/>
        <w:rPr>
          <w:i/>
        </w:rPr>
      </w:pPr>
      <w:r w:rsidRPr="00DE7325">
        <w:tab/>
      </w:r>
      <w:r w:rsidRPr="00DE7325">
        <w:rPr>
          <w:i/>
        </w:rPr>
        <w:t>B</w:t>
      </w:r>
      <w:r w:rsidRPr="00DE7325">
        <w:rPr>
          <w:i/>
          <w:vertAlign w:val="subscript"/>
        </w:rPr>
        <w:t>5</w:t>
      </w:r>
      <w:r w:rsidR="00C53669">
        <w:rPr>
          <w:i/>
          <w:vertAlign w:val="subscript"/>
        </w:rPr>
        <w:t>,rgn</w:t>
      </w:r>
      <w:r w:rsidRPr="00DE7325">
        <w:tab/>
      </w:r>
      <w:r w:rsidRPr="00DE7325">
        <w:t>=</w:t>
      </w:r>
      <w:r w:rsidRPr="00DE7325">
        <w:tab/>
      </w:r>
      <w:r w:rsidRPr="00DE7325">
        <w:t xml:space="preserve">Total number of buildings with 5 or more units by region, </w:t>
      </w:r>
      <w:r w:rsidRPr="00DE7325">
        <w:rPr>
          <w:i/>
        </w:rPr>
        <w:t>rgn</w:t>
      </w:r>
    </w:p>
    <w:p w:rsidR="00926F6D" w:rsidP="00926F6D" w:rsidRDefault="00926F6D" w14:paraId="1B34FB5C" w14:textId="77777777">
      <w:pPr>
        <w:pStyle w:val="NoSpacing"/>
        <w:rPr>
          <w:i/>
        </w:rPr>
      </w:pPr>
    </w:p>
    <w:p w:rsidRPr="00926F6D" w:rsidR="00926F6D" w:rsidP="002F7651" w:rsidRDefault="003F7F0D" w14:paraId="1E49FF8D" w14:textId="46C34296">
      <w:r w:rsidRPr="00926F6D">
        <w:t>Structures started by category are then</w:t>
      </w:r>
      <w:r w:rsidR="002F7651">
        <w:t xml:space="preserve"> calculated at a regional level </w:t>
      </w:r>
      <w:r w:rsidR="00A25E2C">
        <w:t>by summing the number of housing unit starts across all four quarters and dividing by</w:t>
      </w:r>
      <w:r w:rsidR="00FE1D0B">
        <w:t xml:space="preserve"> the</w:t>
      </w:r>
      <w:r w:rsidR="00A25E2C">
        <w:t xml:space="preserve"> number of units in each building type. For the 3-4 unit type, the number of units per building is 3.5. The value is</w:t>
      </w:r>
      <w:r w:rsidR="002F7651">
        <w:t xml:space="preserve"> multiplied by 1,000 because the Census data are in units of thousand building starts.</w:t>
      </w:r>
    </w:p>
    <w:p w:rsidRPr="00926F6D" w:rsidR="003F7F0D" w:rsidP="00926F6D" w:rsidRDefault="003F7F0D" w14:paraId="0196D690" w14:textId="77777777">
      <w:pPr>
        <w:pStyle w:val="NoSpacing"/>
        <w:spacing w:after="200"/>
        <w:rPr>
          <w:szCs w:val="20"/>
        </w:rPr>
      </w:pPr>
      <w:r w:rsidRPr="00926F6D">
        <w:rPr>
          <w:szCs w:val="20"/>
        </w:rPr>
        <w:t>For buildings with 1, 2, or 3-4 units: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51"/>
        <w:gridCol w:w="809"/>
      </w:tblGrid>
      <w:tr w:rsidRPr="00A6797B" w:rsidR="00926F6D" w:rsidTr="000B309F" w14:paraId="706B0C7C" w14:textId="77777777">
        <w:trPr>
          <w:trHeight w:val="585"/>
        </w:trPr>
        <w:tc>
          <w:tcPr>
            <w:tcW w:w="8748" w:type="dxa"/>
          </w:tcPr>
          <w:p w:rsidRPr="00926F6D" w:rsidR="00926F6D" w:rsidP="00A25E2C" w:rsidRDefault="00A32BA3" w14:paraId="78D7E7ED"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f>
                  <m:fPr>
                    <m:ctrlPr>
                      <w:rPr>
                        <w:rFonts w:ascii="Cambria Math" w:hAnsi="Cambria Math"/>
                        <w:i/>
                        <w:szCs w:val="20"/>
                      </w:rPr>
                    </m:ctrlPr>
                  </m:fPr>
                  <m:num>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Q1</m:t>
                        </m:r>
                      </m:sub>
                      <m:sup>
                        <m:r>
                          <w:rPr>
                            <w:rFonts w:ascii="Cambria Math" w:hAnsi="Cambria Math"/>
                            <w:szCs w:val="20"/>
                          </w:rPr>
                          <m:t>Q4</m:t>
                        </m:r>
                      </m:sup>
                      <m:e>
                        <m:sSub>
                          <m:sSubPr>
                            <m:ctrlPr>
                              <w:rPr>
                                <w:rFonts w:ascii="Cambria Math" w:hAnsi="Cambria Math"/>
                                <w:i/>
                                <w:szCs w:val="20"/>
                              </w:rPr>
                            </m:ctrlPr>
                          </m:sSubPr>
                          <m:e>
                            <m:r>
                              <w:rPr>
                                <w:rFonts w:ascii="Cambria Math" w:hAnsi="Cambria Math"/>
                                <w:szCs w:val="20"/>
                              </w:rPr>
                              <m:t>A</m:t>
                            </m:r>
                          </m:e>
                          <m:sub>
                            <m:r>
                              <w:rPr>
                                <w:rFonts w:ascii="Cambria Math" w:hAnsi="Cambria Math"/>
                                <w:szCs w:val="20"/>
                              </w:rPr>
                              <m:t>Q.n.rgn</m:t>
                            </m:r>
                          </m:sub>
                        </m:sSub>
                      </m:e>
                    </m:nary>
                    <m:r>
                      <w:rPr>
                        <w:rFonts w:ascii="Cambria Math" w:hAnsi="Cambria Math"/>
                        <w:szCs w:val="20"/>
                      </w:rPr>
                      <m:t>)×1,000</m:t>
                    </m:r>
                  </m:num>
                  <m:den>
                    <m:r>
                      <w:rPr>
                        <w:rFonts w:ascii="Cambria Math" w:hAnsi="Cambria Math"/>
                        <w:szCs w:val="20"/>
                      </w:rPr>
                      <m:t>n</m:t>
                    </m:r>
                  </m:den>
                </m:f>
              </m:oMath>
            </m:oMathPara>
          </w:p>
        </w:tc>
        <w:tc>
          <w:tcPr>
            <w:tcW w:w="828" w:type="dxa"/>
            <w:vAlign w:val="center"/>
          </w:tcPr>
          <w:p w:rsidRPr="00926F6D" w:rsidR="00926F6D" w:rsidP="000B309F" w:rsidRDefault="00926F6D" w14:paraId="60679B1D" w14:textId="77777777">
            <w:pPr>
              <w:pStyle w:val="ListParagraph"/>
              <w:widowControl/>
              <w:numPr>
                <w:ilvl w:val="0"/>
                <w:numId w:val="10"/>
              </w:numPr>
              <w:autoSpaceDE/>
              <w:autoSpaceDN/>
              <w:adjustRightInd/>
              <w:jc w:val="right"/>
              <w:rPr>
                <w:szCs w:val="20"/>
              </w:rPr>
            </w:pPr>
          </w:p>
        </w:tc>
      </w:tr>
    </w:tbl>
    <w:p w:rsidRPr="00A6797B" w:rsidR="003F7F0D" w:rsidP="00A6797B" w:rsidRDefault="003F7F0D" w14:paraId="1E924863" w14:textId="77777777">
      <w:pPr>
        <w:widowControl/>
        <w:tabs>
          <w:tab w:val="left" w:pos="0"/>
        </w:tabs>
        <w:rPr>
          <w:szCs w:val="20"/>
        </w:rPr>
      </w:pPr>
      <w:r w:rsidRPr="00A6797B">
        <w:rPr>
          <w:szCs w:val="20"/>
        </w:rPr>
        <w:t>Where:</w:t>
      </w:r>
    </w:p>
    <w:p w:rsidRPr="00DE7325" w:rsidR="003F7F0D" w:rsidP="00DE7325" w:rsidRDefault="003F7F0D" w14:paraId="0BBA44A0" w14:textId="77777777">
      <w:pPr>
        <w:pStyle w:val="NoSpacing"/>
        <w:rPr>
          <w:i/>
        </w:rPr>
      </w:pPr>
      <w:r w:rsidRPr="00DE7325">
        <w:rPr>
          <w:i/>
        </w:rPr>
        <w:tab/>
      </w:r>
      <w:r w:rsidRPr="00DE7325">
        <w:rPr>
          <w:i/>
        </w:rPr>
        <w:t>B</w:t>
      </w:r>
      <w:r w:rsidRPr="00DE7325">
        <w:rPr>
          <w:i/>
          <w:vertAlign w:val="subscript"/>
        </w:rPr>
        <w:t>n,rgn</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region, </w:t>
      </w:r>
      <w:r w:rsidRPr="00DE7325">
        <w:rPr>
          <w:i/>
        </w:rPr>
        <w:t>rgn</w:t>
      </w:r>
    </w:p>
    <w:p w:rsidRPr="00A25E2C" w:rsidR="00A25E2C" w:rsidP="00A25E2C" w:rsidRDefault="00A25E2C" w14:paraId="0336022B" w14:textId="77777777">
      <w:pPr>
        <w:pStyle w:val="NoSpacing"/>
      </w:pPr>
      <w:r w:rsidRPr="00DE7325">
        <w:rPr>
          <w:i/>
        </w:rPr>
        <w:tab/>
      </w:r>
      <w:r w:rsidRPr="00DE7325">
        <w:rPr>
          <w:i/>
        </w:rPr>
        <w:t>A</w:t>
      </w:r>
      <w:r w:rsidRPr="00DE7325">
        <w:rPr>
          <w:i/>
          <w:vertAlign w:val="subscript"/>
        </w:rPr>
        <w:t>Q,n,rgn</w:t>
      </w:r>
      <w:r w:rsidRPr="00DE7325">
        <w:rPr>
          <w:i/>
          <w:vertAlign w:val="subscript"/>
        </w:rPr>
        <w:tab/>
      </w:r>
      <w:r w:rsidRPr="00DE7325">
        <w:t>=</w:t>
      </w:r>
      <w:r w:rsidRPr="00DE7325">
        <w:tab/>
      </w:r>
      <w:r>
        <w:t xml:space="preserve">Number of housing units started in </w:t>
      </w:r>
      <w:r w:rsidRPr="00DE7325">
        <w:t>quarter</w:t>
      </w:r>
      <w:r w:rsidRPr="00DE7325">
        <w:rPr>
          <w:i/>
        </w:rPr>
        <w:t xml:space="preserve"> Q</w:t>
      </w:r>
      <w:r>
        <w:rPr>
          <w:i/>
        </w:rPr>
        <w:t>,</w:t>
      </w:r>
      <w:r w:rsidRPr="00DE7325">
        <w:t xml:space="preserve"> </w:t>
      </w:r>
      <w:r>
        <w:t xml:space="preserve">by </w:t>
      </w:r>
      <w:r w:rsidRPr="00DE7325">
        <w:t>number of units</w:t>
      </w:r>
      <w:r w:rsidRPr="00DE7325">
        <w:rPr>
          <w:i/>
        </w:rPr>
        <w:t>, n</w:t>
      </w:r>
      <w:r w:rsidRPr="00DE7325">
        <w:t>, and region of the country</w:t>
      </w:r>
      <w:r w:rsidRPr="00DE7325">
        <w:rPr>
          <w:i/>
        </w:rPr>
        <w:t>, rgn</w:t>
      </w:r>
      <w:r>
        <w:t>, in thousand units</w:t>
      </w:r>
    </w:p>
    <w:p w:rsidRPr="00DE7325" w:rsidR="003F7F0D" w:rsidP="00DE7325" w:rsidRDefault="003F7F0D" w14:paraId="5AF88B40" w14:textId="77777777">
      <w:pPr>
        <w:pStyle w:val="NoSpacing"/>
      </w:pPr>
      <w:r w:rsidRPr="00DE7325">
        <w:rPr>
          <w:i/>
        </w:rPr>
        <w:tab/>
      </w:r>
      <w:r w:rsidRPr="00DE7325">
        <w:rPr>
          <w:i/>
        </w:rPr>
        <w:t>n</w:t>
      </w:r>
      <w:r w:rsidRPr="00DE7325">
        <w:rPr>
          <w:i/>
        </w:rPr>
        <w:tab/>
      </w:r>
      <w:r w:rsidRPr="00DE7325">
        <w:t>=</w:t>
      </w:r>
      <w:r w:rsidRPr="00DE7325">
        <w:tab/>
      </w:r>
      <w:r w:rsidR="00A25E2C">
        <w:t>Number of units per building</w:t>
      </w:r>
    </w:p>
    <w:p w:rsidRPr="003F7F0D" w:rsidR="003F7F0D" w:rsidP="003F7F0D" w:rsidRDefault="003F7F0D" w14:paraId="303B20A6" w14:textId="77777777">
      <w:pPr>
        <w:tabs>
          <w:tab w:val="left" w:pos="270"/>
          <w:tab w:val="left" w:pos="990"/>
          <w:tab w:val="left" w:pos="1260"/>
        </w:tabs>
        <w:spacing w:after="0"/>
        <w:rPr>
          <w:szCs w:val="20"/>
          <w:highlight w:val="yellow"/>
        </w:rPr>
      </w:pPr>
    </w:p>
    <w:p w:rsidRPr="00926F6D" w:rsidR="003F7F0D" w:rsidP="00926F6D" w:rsidRDefault="003F7F0D" w14:paraId="42F8577B" w14:textId="77777777">
      <w:pPr>
        <w:pStyle w:val="NoSpacing"/>
        <w:spacing w:after="200"/>
        <w:rPr>
          <w:szCs w:val="20"/>
        </w:rPr>
      </w:pPr>
      <w:r w:rsidRPr="00926F6D">
        <w:rPr>
          <w:szCs w:val="20"/>
        </w:rPr>
        <w:t xml:space="preserve">For </w:t>
      </w:r>
      <w:r w:rsidRPr="00926F6D" w:rsidR="00926F6D">
        <w:rPr>
          <w:szCs w:val="20"/>
        </w:rPr>
        <w:t>buildings with 5 or more units: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51"/>
        <w:gridCol w:w="809"/>
      </w:tblGrid>
      <w:tr w:rsidRPr="00926F6D" w:rsidR="00926F6D" w:rsidTr="000B309F" w14:paraId="3D33369A" w14:textId="77777777">
        <w:trPr>
          <w:trHeight w:val="585"/>
        </w:trPr>
        <w:tc>
          <w:tcPr>
            <w:tcW w:w="8748" w:type="dxa"/>
          </w:tcPr>
          <w:p w:rsidRPr="00926F6D" w:rsidR="00926F6D" w:rsidP="00A25E2C" w:rsidRDefault="00A32BA3" w14:paraId="0CF0CD29"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f>
                  <m:fPr>
                    <m:ctrlPr>
                      <w:rPr>
                        <w:rFonts w:ascii="Cambria Math" w:hAnsi="Cambria Math"/>
                        <w:i/>
                        <w:szCs w:val="20"/>
                      </w:rPr>
                    </m:ctrlPr>
                  </m:fPr>
                  <m:num>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Q1</m:t>
                        </m:r>
                      </m:sub>
                      <m:sup>
                        <m:r>
                          <w:rPr>
                            <w:rFonts w:ascii="Cambria Math" w:hAnsi="Cambria Math"/>
                            <w:szCs w:val="20"/>
                          </w:rPr>
                          <m:t>Q4</m:t>
                        </m:r>
                      </m:sup>
                      <m:e>
                        <m:sSub>
                          <m:sSubPr>
                            <m:ctrlPr>
                              <w:rPr>
                                <w:rFonts w:ascii="Cambria Math" w:hAnsi="Cambria Math"/>
                                <w:i/>
                                <w:szCs w:val="20"/>
                              </w:rPr>
                            </m:ctrlPr>
                          </m:sSubPr>
                          <m:e>
                            <m:r>
                              <w:rPr>
                                <w:rFonts w:ascii="Cambria Math" w:hAnsi="Cambria Math"/>
                                <w:szCs w:val="20"/>
                              </w:rPr>
                              <m:t>A</m:t>
                            </m:r>
                          </m:e>
                          <m:sub>
                            <m:r>
                              <w:rPr>
                                <w:rFonts w:ascii="Cambria Math" w:hAnsi="Cambria Math"/>
                                <w:szCs w:val="20"/>
                              </w:rPr>
                              <m:t>Q.n.rgn</m:t>
                            </m:r>
                          </m:sub>
                        </m:sSub>
                      </m:e>
                    </m:nary>
                    <m:r>
                      <w:rPr>
                        <w:rFonts w:ascii="Cambria Math" w:hAnsi="Cambria Math"/>
                        <w:szCs w:val="20"/>
                      </w:rPr>
                      <m:t>)×1,000</m:t>
                    </m:r>
                  </m:num>
                  <m:den>
                    <m:sSub>
                      <m:sSubPr>
                        <m:ctrlPr>
                          <w:rPr>
                            <w:rFonts w:ascii="Cambria Math" w:hAnsi="Cambria Math"/>
                            <w:i/>
                            <w:szCs w:val="20"/>
                          </w:rPr>
                        </m:ctrlPr>
                      </m:sSubPr>
                      <m:e>
                        <m:r>
                          <w:rPr>
                            <w:rFonts w:ascii="Cambria Math" w:hAnsi="Cambria Math"/>
                            <w:szCs w:val="20"/>
                          </w:rPr>
                          <m:t>CF</m:t>
                        </m:r>
                      </m:e>
                      <m:sub>
                        <m:r>
                          <w:rPr>
                            <w:rFonts w:ascii="Cambria Math" w:hAnsi="Cambria Math"/>
                            <w:szCs w:val="20"/>
                          </w:rPr>
                          <m:t>5</m:t>
                        </m:r>
                      </m:sub>
                    </m:sSub>
                  </m:den>
                </m:f>
              </m:oMath>
            </m:oMathPara>
          </w:p>
        </w:tc>
        <w:tc>
          <w:tcPr>
            <w:tcW w:w="828" w:type="dxa"/>
            <w:vAlign w:val="center"/>
          </w:tcPr>
          <w:p w:rsidRPr="00926F6D" w:rsidR="00926F6D" w:rsidP="000B309F" w:rsidRDefault="00926F6D" w14:paraId="2C4DED20" w14:textId="77777777">
            <w:pPr>
              <w:pStyle w:val="ListParagraph"/>
              <w:widowControl/>
              <w:numPr>
                <w:ilvl w:val="0"/>
                <w:numId w:val="10"/>
              </w:numPr>
              <w:autoSpaceDE/>
              <w:autoSpaceDN/>
              <w:adjustRightInd/>
              <w:jc w:val="right"/>
              <w:rPr>
                <w:szCs w:val="20"/>
              </w:rPr>
            </w:pPr>
          </w:p>
        </w:tc>
      </w:tr>
    </w:tbl>
    <w:p w:rsidRPr="00A6797B" w:rsidR="003F7F0D" w:rsidP="00A6797B" w:rsidRDefault="003F7F0D" w14:paraId="0DBF036E" w14:textId="77777777">
      <w:pPr>
        <w:widowControl/>
        <w:tabs>
          <w:tab w:val="left" w:pos="0"/>
        </w:tabs>
        <w:rPr>
          <w:szCs w:val="20"/>
        </w:rPr>
      </w:pPr>
      <w:r w:rsidRPr="00926F6D">
        <w:rPr>
          <w:szCs w:val="20"/>
        </w:rPr>
        <w:t>Where:</w:t>
      </w:r>
    </w:p>
    <w:p w:rsidRPr="00DE7325" w:rsidR="003F7F0D" w:rsidP="00DE7325" w:rsidRDefault="003F7F0D" w14:paraId="1D6D3912" w14:textId="77777777">
      <w:pPr>
        <w:pStyle w:val="NoSpacing"/>
        <w:rPr>
          <w:i/>
        </w:rPr>
      </w:pPr>
      <w:r w:rsidRPr="00DE7325">
        <w:rPr>
          <w:i/>
        </w:rPr>
        <w:tab/>
      </w:r>
      <w:r w:rsidRPr="00DE7325">
        <w:rPr>
          <w:i/>
        </w:rPr>
        <w:t>B</w:t>
      </w:r>
      <w:r w:rsidRPr="00DE7325">
        <w:rPr>
          <w:i/>
          <w:vertAlign w:val="subscript"/>
        </w:rPr>
        <w:t>n,rgn</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region, </w:t>
      </w:r>
      <w:r w:rsidRPr="00DE7325">
        <w:rPr>
          <w:i/>
        </w:rPr>
        <w:t>rgn</w:t>
      </w:r>
    </w:p>
    <w:p w:rsidRPr="00A25E2C" w:rsidR="00A25E2C" w:rsidP="00A25E2C" w:rsidRDefault="00A25E2C" w14:paraId="61D1D6E1" w14:textId="77777777">
      <w:pPr>
        <w:pStyle w:val="NoSpacing"/>
      </w:pPr>
      <w:r w:rsidRPr="00DE7325">
        <w:rPr>
          <w:i/>
        </w:rPr>
        <w:tab/>
      </w:r>
      <w:r w:rsidRPr="00DE7325">
        <w:rPr>
          <w:i/>
        </w:rPr>
        <w:t>A</w:t>
      </w:r>
      <w:r w:rsidRPr="00DE7325">
        <w:rPr>
          <w:i/>
          <w:vertAlign w:val="subscript"/>
        </w:rPr>
        <w:t>Q,n,rgn</w:t>
      </w:r>
      <w:r w:rsidRPr="00DE7325">
        <w:rPr>
          <w:i/>
          <w:vertAlign w:val="subscript"/>
        </w:rPr>
        <w:tab/>
      </w:r>
      <w:r w:rsidRPr="00DE7325">
        <w:t>=</w:t>
      </w:r>
      <w:r w:rsidRPr="00DE7325">
        <w:tab/>
      </w:r>
      <w:r>
        <w:t xml:space="preserve">Number of housing units started in </w:t>
      </w:r>
      <w:r w:rsidRPr="00DE7325">
        <w:t>quarter</w:t>
      </w:r>
      <w:r w:rsidRPr="00DE7325">
        <w:rPr>
          <w:i/>
        </w:rPr>
        <w:t xml:space="preserve"> Q</w:t>
      </w:r>
      <w:r>
        <w:rPr>
          <w:i/>
        </w:rPr>
        <w:t>,</w:t>
      </w:r>
      <w:r w:rsidRPr="00DE7325">
        <w:t xml:space="preserve"> </w:t>
      </w:r>
      <w:r>
        <w:t xml:space="preserve">by </w:t>
      </w:r>
      <w:r w:rsidRPr="00DE7325">
        <w:t>number of units</w:t>
      </w:r>
      <w:r w:rsidRPr="00DE7325">
        <w:rPr>
          <w:i/>
        </w:rPr>
        <w:t>, n</w:t>
      </w:r>
      <w:r w:rsidRPr="00DE7325">
        <w:t>, and region of the country</w:t>
      </w:r>
      <w:r w:rsidRPr="00DE7325">
        <w:rPr>
          <w:i/>
        </w:rPr>
        <w:t>, rgn</w:t>
      </w:r>
      <w:r>
        <w:t>, in thousand units</w:t>
      </w:r>
    </w:p>
    <w:p w:rsidR="00DA4A3D" w:rsidP="00DE7325" w:rsidRDefault="003F7F0D" w14:paraId="23706DB1" w14:textId="77777777">
      <w:pPr>
        <w:pStyle w:val="NoSpacing"/>
      </w:pPr>
      <w:r w:rsidRPr="00DE7325">
        <w:rPr>
          <w:i/>
        </w:rPr>
        <w:tab/>
      </w:r>
      <w:r w:rsidRPr="00DE7325">
        <w:rPr>
          <w:i/>
        </w:rPr>
        <w:t>CF</w:t>
      </w:r>
      <w:r w:rsidRPr="00DE7325">
        <w:rPr>
          <w:i/>
          <w:vertAlign w:val="subscript"/>
        </w:rPr>
        <w:t>5</w:t>
      </w:r>
      <w:r w:rsidRPr="00DE7325">
        <w:rPr>
          <w:i/>
          <w:vertAlign w:val="subscript"/>
        </w:rPr>
        <w:tab/>
      </w:r>
      <w:r w:rsidRPr="00DE7325">
        <w:t>=</w:t>
      </w:r>
      <w:r w:rsidRPr="00DE7325">
        <w:tab/>
      </w:r>
      <w:r w:rsidRPr="00DE7325">
        <w:t>Ratio of 5 units or more to the number of buildings with 5 units or more</w:t>
      </w:r>
    </w:p>
    <w:p w:rsidRPr="00DE7325" w:rsidR="00DE7325" w:rsidP="00DE7325" w:rsidRDefault="00DE7325" w14:paraId="174019C8" w14:textId="77777777">
      <w:pPr>
        <w:pStyle w:val="NoSpacing"/>
      </w:pPr>
    </w:p>
    <w:p w:rsidRPr="00E320C4" w:rsidR="003F7F0D" w:rsidP="00E320C4" w:rsidRDefault="00DA4A3D" w14:paraId="4FC8FCF2" w14:textId="53A6E02E">
      <w:pPr>
        <w:rPr>
          <w:szCs w:val="20"/>
        </w:rPr>
      </w:pPr>
      <w:r w:rsidRPr="004E7569">
        <w:rPr>
          <w:szCs w:val="20"/>
        </w:rPr>
        <w:t>Annual county</w:t>
      </w:r>
      <w:r w:rsidR="00304D9B">
        <w:rPr>
          <w:szCs w:val="20"/>
        </w:rPr>
        <w:t>-level</w:t>
      </w:r>
      <w:r w:rsidRPr="004E7569">
        <w:rPr>
          <w:szCs w:val="20"/>
        </w:rPr>
        <w:t xml:space="preserve"> building permit data were fro</w:t>
      </w:r>
      <w:r w:rsidR="00FC4749">
        <w:rPr>
          <w:szCs w:val="20"/>
        </w:rPr>
        <w:t>m the US Census Bureau for 20</w:t>
      </w:r>
      <w:r w:rsidR="00592CB0">
        <w:rPr>
          <w:szCs w:val="20"/>
        </w:rPr>
        <w:t>17</w:t>
      </w:r>
      <w:r w:rsidR="00FC4749">
        <w:rPr>
          <w:szCs w:val="20"/>
        </w:rPr>
        <w:t>.</w:t>
      </w:r>
      <w:bookmarkStart w:name="_Ref478720512" w:id="9"/>
      <w:r w:rsidR="00FC4749">
        <w:rPr>
          <w:rStyle w:val="EndnoteReference"/>
          <w:szCs w:val="20"/>
        </w:rPr>
        <w:endnoteReference w:id="5"/>
      </w:r>
      <w:bookmarkEnd w:id="9"/>
      <w:r w:rsidRPr="004E7569">
        <w:rPr>
          <w:szCs w:val="20"/>
        </w:rPr>
        <w:t xml:space="preserve"> The 201</w:t>
      </w:r>
      <w:r w:rsidR="00592CB0">
        <w:rPr>
          <w:szCs w:val="20"/>
        </w:rPr>
        <w:t>7</w:t>
      </w:r>
      <w:r w:rsidRPr="004E7569">
        <w:rPr>
          <w:szCs w:val="20"/>
        </w:rPr>
        <w:t xml:space="preserve"> County Level Residential Building Permit dataset has 201</w:t>
      </w:r>
      <w:r w:rsidR="00592CB0">
        <w:rPr>
          <w:szCs w:val="20"/>
        </w:rPr>
        <w:t>7</w:t>
      </w:r>
      <w:r w:rsidRPr="004E7569">
        <w:rPr>
          <w:szCs w:val="20"/>
        </w:rPr>
        <w:t xml:space="preserve"> data to allocate regional housing starts to the county level. This results </w:t>
      </w:r>
      <w:r w:rsidR="00304D9B">
        <w:rPr>
          <w:szCs w:val="20"/>
        </w:rPr>
        <w:t>in county-</w:t>
      </w:r>
      <w:r w:rsidRPr="00E320C4">
        <w:rPr>
          <w:szCs w:val="20"/>
        </w:rPr>
        <w:t>level housing starts by number of units.</w:t>
      </w:r>
      <w:r w:rsidR="00907DAA">
        <w:rPr>
          <w:szCs w:val="20"/>
        </w:rPr>
        <w:t xml:space="preserve"> </w:t>
      </w:r>
    </w:p>
    <w:p w:rsidR="003F7F0D" w:rsidP="00E320C4" w:rsidRDefault="00E320C4" w14:paraId="5CDDB57C" w14:textId="77777777">
      <w:pPr>
        <w:rPr>
          <w:szCs w:val="20"/>
        </w:rPr>
      </w:pPr>
      <w:r w:rsidRPr="00E320C4">
        <w:rPr>
          <w:szCs w:val="20"/>
        </w:rPr>
        <w:t>The</w:t>
      </w:r>
      <w:r w:rsidRPr="00E320C4" w:rsidR="003F7F0D">
        <w:rPr>
          <w:szCs w:val="20"/>
        </w:rPr>
        <w:t xml:space="preserve"> number of building permits for each unit number category by region </w:t>
      </w:r>
      <w:r w:rsidRPr="00E320C4">
        <w:rPr>
          <w:szCs w:val="20"/>
        </w:rPr>
        <w:t xml:space="preserve">is calculated by summing the county-level Census data to the </w:t>
      </w:r>
      <w:r w:rsidR="00304D9B">
        <w:rPr>
          <w:szCs w:val="20"/>
        </w:rPr>
        <w:t xml:space="preserve">Census </w:t>
      </w:r>
      <w:r w:rsidRPr="00E320C4">
        <w:rPr>
          <w:szCs w:val="20"/>
        </w:rPr>
        <w:t>region level.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926F6D" w:rsidR="00E320C4" w:rsidTr="000B309F" w14:paraId="186DF161" w14:textId="77777777">
        <w:trPr>
          <w:trHeight w:val="585"/>
        </w:trPr>
        <w:tc>
          <w:tcPr>
            <w:tcW w:w="8748" w:type="dxa"/>
          </w:tcPr>
          <w:p w:rsidRPr="00926F6D" w:rsidR="00E320C4" w:rsidP="005E7A3E" w:rsidRDefault="00A32BA3" w14:paraId="182BD3A7"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BP</m:t>
                    </m:r>
                  </m:e>
                  <m:sub>
                    <m:r>
                      <w:rPr>
                        <w:rFonts w:ascii="Cambria Math" w:hAnsi="Cambria Math"/>
                        <w:szCs w:val="20"/>
                      </w:rPr>
                      <m:t>n,rgn</m:t>
                    </m:r>
                  </m:sub>
                </m:sSub>
                <m:r>
                  <w:rPr>
                    <w:rFonts w:ascii="Cambria Math" w:hAnsi="Cambria Math"/>
                    <w:szCs w:val="20"/>
                  </w:rPr>
                  <m:t>=</m:t>
                </m:r>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BP</m:t>
                        </m:r>
                      </m:e>
                      <m:sub>
                        <m:r>
                          <w:rPr>
                            <w:rFonts w:ascii="Cambria Math" w:hAnsi="Cambria Math"/>
                            <w:szCs w:val="20"/>
                          </w:rPr>
                          <m:t>n,c</m:t>
                        </m:r>
                      </m:sub>
                    </m:sSub>
                  </m:e>
                </m:nary>
              </m:oMath>
            </m:oMathPara>
          </w:p>
        </w:tc>
        <w:tc>
          <w:tcPr>
            <w:tcW w:w="828" w:type="dxa"/>
            <w:vAlign w:val="center"/>
          </w:tcPr>
          <w:p w:rsidRPr="00926F6D" w:rsidR="00E320C4" w:rsidP="000B309F" w:rsidRDefault="00E320C4" w14:paraId="0D61EBD9" w14:textId="77777777">
            <w:pPr>
              <w:pStyle w:val="ListParagraph"/>
              <w:widowControl/>
              <w:numPr>
                <w:ilvl w:val="0"/>
                <w:numId w:val="10"/>
              </w:numPr>
              <w:autoSpaceDE/>
              <w:autoSpaceDN/>
              <w:adjustRightInd/>
              <w:jc w:val="right"/>
              <w:rPr>
                <w:szCs w:val="20"/>
              </w:rPr>
            </w:pPr>
          </w:p>
        </w:tc>
      </w:tr>
    </w:tbl>
    <w:p w:rsidRPr="00A6797B" w:rsidR="003F7F0D" w:rsidP="00A6797B" w:rsidRDefault="003F7F0D" w14:paraId="1358AC5F" w14:textId="77777777">
      <w:pPr>
        <w:widowControl/>
        <w:tabs>
          <w:tab w:val="left" w:pos="0"/>
        </w:tabs>
        <w:rPr>
          <w:szCs w:val="20"/>
        </w:rPr>
      </w:pPr>
      <w:r w:rsidRPr="00A6797B">
        <w:rPr>
          <w:szCs w:val="20"/>
        </w:rPr>
        <w:t>Where:</w:t>
      </w:r>
    </w:p>
    <w:p w:rsidRPr="00DE7325" w:rsidR="003F7F0D" w:rsidP="00DE7325" w:rsidRDefault="003F7F0D" w14:paraId="6DF6204F" w14:textId="77777777">
      <w:pPr>
        <w:pStyle w:val="NoSpacing"/>
        <w:rPr>
          <w:i/>
        </w:rPr>
      </w:pPr>
      <w:r w:rsidRPr="00DE7325">
        <w:rPr>
          <w:i/>
        </w:rPr>
        <w:tab/>
      </w:r>
      <w:r w:rsidRPr="00DE7325">
        <w:rPr>
          <w:i/>
        </w:rPr>
        <w:t>BP</w:t>
      </w:r>
      <w:r w:rsidRPr="00DE7325">
        <w:rPr>
          <w:i/>
          <w:vertAlign w:val="subscript"/>
        </w:rPr>
        <w:t>n,rgn</w:t>
      </w:r>
      <w:r w:rsidRPr="00DE7325">
        <w:rPr>
          <w:i/>
          <w:vertAlign w:val="subscript"/>
        </w:rPr>
        <w:tab/>
      </w:r>
      <w:r w:rsidRPr="00DE7325">
        <w:t>=</w:t>
      </w:r>
      <w:r w:rsidRPr="00DE7325">
        <w:tab/>
      </w:r>
      <w:r w:rsidRPr="00DE7325">
        <w:t xml:space="preserve">Number of building permits by the unit number category, </w:t>
      </w:r>
      <w:r w:rsidRPr="00DE7325">
        <w:rPr>
          <w:i/>
        </w:rPr>
        <w:t>n</w:t>
      </w:r>
      <w:r w:rsidRPr="00DE7325">
        <w:t xml:space="preserve">, and by region, </w:t>
      </w:r>
      <w:r w:rsidRPr="00DE7325">
        <w:rPr>
          <w:i/>
        </w:rPr>
        <w:t>rgn</w:t>
      </w:r>
    </w:p>
    <w:p w:rsidRPr="00AE072A" w:rsidR="003F7F0D" w:rsidP="00DE7325" w:rsidRDefault="003F7F0D" w14:paraId="0C3C9E56" w14:textId="77777777">
      <w:pPr>
        <w:pStyle w:val="NoSpacing"/>
        <w:rPr>
          <w:i/>
        </w:rPr>
      </w:pPr>
      <w:r w:rsidRPr="00DE7325">
        <w:rPr>
          <w:i/>
        </w:rPr>
        <w:tab/>
      </w:r>
      <w:r w:rsidRPr="00DE7325">
        <w:rPr>
          <w:i/>
        </w:rPr>
        <w:t>BP</w:t>
      </w:r>
      <w:r w:rsidRPr="00DE7325">
        <w:rPr>
          <w:i/>
          <w:vertAlign w:val="subscript"/>
        </w:rPr>
        <w:t>n,c</w:t>
      </w:r>
      <w:r w:rsidRPr="00DE7325">
        <w:rPr>
          <w:i/>
          <w:vertAlign w:val="subscript"/>
        </w:rPr>
        <w:tab/>
      </w:r>
      <w:r w:rsidRPr="00DE7325">
        <w:t>=</w:t>
      </w:r>
      <w:r w:rsidRPr="00DE7325">
        <w:tab/>
      </w:r>
      <w:r w:rsidRPr="00DE7325">
        <w:t xml:space="preserve">Number of building permits by the unit number category, </w:t>
      </w:r>
      <w:r w:rsidRPr="00DE7325">
        <w:rPr>
          <w:i/>
        </w:rPr>
        <w:t>n</w:t>
      </w:r>
      <w:r w:rsidRPr="00DE7325">
        <w:t xml:space="preserve">, and by county, </w:t>
      </w:r>
      <w:r w:rsidRPr="00DE7325">
        <w:rPr>
          <w:i/>
        </w:rPr>
        <w:t>c</w:t>
      </w:r>
    </w:p>
    <w:p w:rsidRPr="00A02C14" w:rsidR="003F7F0D" w:rsidP="003F7F0D" w:rsidRDefault="003F7F0D" w14:paraId="532BE902" w14:textId="77777777">
      <w:pPr>
        <w:spacing w:after="0"/>
        <w:rPr>
          <w:szCs w:val="20"/>
          <w:u w:val="single"/>
        </w:rPr>
      </w:pPr>
    </w:p>
    <w:p w:rsidRPr="00E320C4" w:rsidR="003F7F0D" w:rsidP="00E320C4" w:rsidRDefault="00E320C4" w14:paraId="7CB03562" w14:textId="77777777">
      <w:pPr>
        <w:rPr>
          <w:szCs w:val="20"/>
        </w:rPr>
      </w:pPr>
      <w:r w:rsidRPr="00E320C4">
        <w:rPr>
          <w:szCs w:val="20"/>
        </w:rPr>
        <w:t>The</w:t>
      </w:r>
      <w:r w:rsidRPr="00E320C4" w:rsidR="003F7F0D">
        <w:rPr>
          <w:szCs w:val="20"/>
        </w:rPr>
        <w:t xml:space="preserve"> ratio of the number of building permits by county to the total number of building permits by region in which the county is located, for each unit number category</w:t>
      </w:r>
      <w:r w:rsidRPr="00E320C4">
        <w:rPr>
          <w:szCs w:val="20"/>
        </w:rPr>
        <w:t>, is then calculated</w:t>
      </w:r>
      <w:r w:rsidRPr="00E320C4" w:rsidR="003F7F0D">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926F6D" w:rsidR="00E320C4" w:rsidTr="000B309F" w14:paraId="66078DF2" w14:textId="77777777">
        <w:trPr>
          <w:trHeight w:val="585"/>
        </w:trPr>
        <w:tc>
          <w:tcPr>
            <w:tcW w:w="8748" w:type="dxa"/>
          </w:tcPr>
          <w:p w:rsidRPr="00926F6D" w:rsidR="00E320C4" w:rsidP="00E320C4" w:rsidRDefault="00A32BA3" w14:paraId="053F2B61"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BP,c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BP</m:t>
                        </m:r>
                      </m:e>
                      <m:sub>
                        <m:r>
                          <w:rPr>
                            <w:rFonts w:ascii="Cambria Math" w:hAnsi="Cambria Math"/>
                            <w:szCs w:val="20"/>
                          </w:rPr>
                          <m:t>n,c</m:t>
                        </m:r>
                      </m:sub>
                    </m:sSub>
                  </m:num>
                  <m:den>
                    <m:sSub>
                      <m:sSubPr>
                        <m:ctrlPr>
                          <w:rPr>
                            <w:rFonts w:ascii="Cambria Math" w:hAnsi="Cambria Math"/>
                            <w:i/>
                            <w:szCs w:val="20"/>
                          </w:rPr>
                        </m:ctrlPr>
                      </m:sSubPr>
                      <m:e>
                        <m:r>
                          <w:rPr>
                            <w:rFonts w:ascii="Cambria Math" w:hAnsi="Cambria Math"/>
                            <w:szCs w:val="20"/>
                          </w:rPr>
                          <m:t>BP</m:t>
                        </m:r>
                      </m:e>
                      <m:sub>
                        <m:r>
                          <w:rPr>
                            <w:rFonts w:ascii="Cambria Math" w:hAnsi="Cambria Math"/>
                            <w:szCs w:val="20"/>
                          </w:rPr>
                          <m:t>n,rgn</m:t>
                        </m:r>
                      </m:sub>
                    </m:sSub>
                  </m:den>
                </m:f>
              </m:oMath>
            </m:oMathPara>
          </w:p>
        </w:tc>
        <w:tc>
          <w:tcPr>
            <w:tcW w:w="828" w:type="dxa"/>
            <w:vAlign w:val="center"/>
          </w:tcPr>
          <w:p w:rsidRPr="00926F6D" w:rsidR="00E320C4" w:rsidP="000B309F" w:rsidRDefault="00E320C4" w14:paraId="146D9A4D" w14:textId="77777777">
            <w:pPr>
              <w:pStyle w:val="ListParagraph"/>
              <w:widowControl/>
              <w:numPr>
                <w:ilvl w:val="0"/>
                <w:numId w:val="10"/>
              </w:numPr>
              <w:autoSpaceDE/>
              <w:autoSpaceDN/>
              <w:adjustRightInd/>
              <w:jc w:val="right"/>
              <w:rPr>
                <w:szCs w:val="20"/>
              </w:rPr>
            </w:pPr>
          </w:p>
        </w:tc>
      </w:tr>
    </w:tbl>
    <w:p w:rsidRPr="00A6797B" w:rsidR="003F7F0D" w:rsidP="00A6797B" w:rsidRDefault="003F7F0D" w14:paraId="088864D3" w14:textId="77777777">
      <w:pPr>
        <w:widowControl/>
        <w:tabs>
          <w:tab w:val="left" w:pos="0"/>
        </w:tabs>
        <w:rPr>
          <w:szCs w:val="20"/>
        </w:rPr>
      </w:pPr>
      <w:r w:rsidRPr="00A6797B">
        <w:rPr>
          <w:szCs w:val="20"/>
        </w:rPr>
        <w:t>Where:</w:t>
      </w:r>
    </w:p>
    <w:p w:rsidRPr="00304D9B" w:rsidR="003F7F0D" w:rsidP="00DE7325" w:rsidRDefault="003F7F0D" w14:paraId="53F9A167" w14:textId="5E281F01">
      <w:pPr>
        <w:pStyle w:val="NoSpacing"/>
        <w:rPr>
          <w:i/>
        </w:rPr>
      </w:pPr>
      <w:r w:rsidRPr="00DE7325">
        <w:rPr>
          <w:i/>
        </w:rPr>
        <w:tab/>
      </w:r>
      <w:r w:rsidRPr="00DE7325">
        <w:rPr>
          <w:i/>
        </w:rPr>
        <w:t>R</w:t>
      </w:r>
      <w:r w:rsidRPr="00DE7325">
        <w:rPr>
          <w:i/>
          <w:vertAlign w:val="subscript"/>
        </w:rPr>
        <w:t>BP,c</w:t>
      </w:r>
      <w:r w:rsidRPr="00DE7325">
        <w:rPr>
          <w:i/>
          <w:vertAlign w:val="subscript"/>
        </w:rPr>
        <w:tab/>
      </w:r>
      <w:r w:rsidRPr="00DE7325">
        <w:t>=</w:t>
      </w:r>
      <w:r w:rsidRPr="00DE7325">
        <w:tab/>
      </w:r>
      <w:r w:rsidRPr="00DE7325">
        <w:t xml:space="preserve">Ratio </w:t>
      </w:r>
      <w:r w:rsidR="00554CFA">
        <w:t xml:space="preserve">of </w:t>
      </w:r>
      <w:r w:rsidRPr="00DE7325">
        <w:t>building permits,</w:t>
      </w:r>
      <w:r w:rsidRPr="00DE7325">
        <w:rPr>
          <w:i/>
        </w:rPr>
        <w:t xml:space="preserve"> BP</w:t>
      </w:r>
      <w:r w:rsidRPr="00DE7325">
        <w:t>,</w:t>
      </w:r>
      <w:r w:rsidR="00907DAA">
        <w:t xml:space="preserve"> </w:t>
      </w:r>
      <w:r w:rsidRPr="00DE7325">
        <w:t xml:space="preserve">to total regional building permits in </w:t>
      </w:r>
      <w:r w:rsidR="00304D9B">
        <w:t xml:space="preserve">county </w:t>
      </w:r>
      <w:r w:rsidR="00304D9B">
        <w:rPr>
          <w:i/>
        </w:rPr>
        <w:t>c</w:t>
      </w:r>
    </w:p>
    <w:p w:rsidRPr="00DE7325" w:rsidR="003F7F0D" w:rsidP="00DE7325" w:rsidRDefault="003F7F0D" w14:paraId="3FE6D4B6" w14:textId="77777777">
      <w:pPr>
        <w:pStyle w:val="NoSpacing"/>
        <w:rPr>
          <w:i/>
        </w:rPr>
      </w:pPr>
      <w:r w:rsidRPr="00DE7325">
        <w:rPr>
          <w:i/>
        </w:rPr>
        <w:tab/>
      </w:r>
      <w:r w:rsidRPr="00DE7325">
        <w:rPr>
          <w:i/>
        </w:rPr>
        <w:t>BP</w:t>
      </w:r>
      <w:r w:rsidRPr="00DE7325">
        <w:rPr>
          <w:i/>
          <w:vertAlign w:val="subscript"/>
        </w:rPr>
        <w:t>n,c</w:t>
      </w:r>
      <w:r w:rsidRPr="00DE7325">
        <w:rPr>
          <w:i/>
          <w:vertAlign w:val="subscript"/>
        </w:rPr>
        <w:tab/>
      </w:r>
      <w:r w:rsidRPr="00DE7325">
        <w:t>=</w:t>
      </w:r>
      <w:r w:rsidRPr="00DE7325">
        <w:tab/>
      </w:r>
      <w:r w:rsidRPr="00DE7325">
        <w:t xml:space="preserve">Number of building permits by the unit number category, </w:t>
      </w:r>
      <w:r w:rsidRPr="00DE7325">
        <w:rPr>
          <w:i/>
        </w:rPr>
        <w:t>n</w:t>
      </w:r>
      <w:r w:rsidRPr="00DE7325">
        <w:t xml:space="preserve">, and by county, </w:t>
      </w:r>
      <w:r w:rsidRPr="00DE7325">
        <w:rPr>
          <w:i/>
        </w:rPr>
        <w:t>c</w:t>
      </w:r>
    </w:p>
    <w:p w:rsidR="00E320C4" w:rsidP="00E320C4" w:rsidRDefault="003F7F0D" w14:paraId="51F43E5F" w14:textId="77777777">
      <w:pPr>
        <w:pStyle w:val="NoSpacing"/>
        <w:rPr>
          <w:i/>
        </w:rPr>
      </w:pPr>
      <w:r w:rsidRPr="00DE7325">
        <w:rPr>
          <w:i/>
        </w:rPr>
        <w:tab/>
      </w:r>
      <w:r w:rsidRPr="00DE7325">
        <w:rPr>
          <w:i/>
        </w:rPr>
        <w:t>BP</w:t>
      </w:r>
      <w:r w:rsidRPr="00DE7325">
        <w:rPr>
          <w:i/>
          <w:vertAlign w:val="subscript"/>
        </w:rPr>
        <w:t>n,rgn</w:t>
      </w:r>
      <w:r w:rsidRPr="00DE7325">
        <w:rPr>
          <w:i/>
          <w:vertAlign w:val="subscript"/>
        </w:rPr>
        <w:tab/>
      </w:r>
      <w:r w:rsidRPr="00DE7325">
        <w:t>=</w:t>
      </w:r>
      <w:r w:rsidRPr="00DE7325">
        <w:tab/>
      </w:r>
      <w:r w:rsidRPr="00DE7325">
        <w:t xml:space="preserve">Number of building permits by the unit number category, </w:t>
      </w:r>
      <w:r w:rsidRPr="00DE7325">
        <w:rPr>
          <w:i/>
        </w:rPr>
        <w:t>n</w:t>
      </w:r>
      <w:r w:rsidRPr="00DE7325">
        <w:t xml:space="preserve">, and by region, </w:t>
      </w:r>
      <w:r w:rsidRPr="00DE7325">
        <w:rPr>
          <w:i/>
        </w:rPr>
        <w:t>rgn</w:t>
      </w:r>
    </w:p>
    <w:p w:rsidRPr="00E320C4" w:rsidR="00E320C4" w:rsidP="00E320C4" w:rsidRDefault="00E320C4" w14:paraId="4806A93A" w14:textId="77777777">
      <w:pPr>
        <w:pStyle w:val="NoSpacing"/>
        <w:rPr>
          <w:i/>
        </w:rPr>
      </w:pPr>
    </w:p>
    <w:p w:rsidRPr="00E320C4" w:rsidR="003F7F0D" w:rsidP="00E320C4" w:rsidRDefault="00E320C4" w14:paraId="7C758BAC" w14:textId="77777777">
      <w:pPr>
        <w:rPr>
          <w:szCs w:val="20"/>
        </w:rPr>
      </w:pPr>
      <w:r w:rsidRPr="00E320C4">
        <w:rPr>
          <w:szCs w:val="20"/>
        </w:rPr>
        <w:t>The final number of building starts for each unit type category is then calculated at the county-level by multiplying the number of structures started at the regional level and the building permit ratio.</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E320C4" w:rsidR="00E320C4" w:rsidTr="00304D9B" w14:paraId="575B6FB3" w14:textId="77777777">
        <w:trPr>
          <w:trHeight w:val="369"/>
        </w:trPr>
        <w:tc>
          <w:tcPr>
            <w:tcW w:w="8748" w:type="dxa"/>
          </w:tcPr>
          <w:p w:rsidRPr="00E320C4" w:rsidR="00E320C4" w:rsidP="005E7A3E" w:rsidRDefault="00A32BA3" w14:paraId="12201755"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BP,c</m:t>
                    </m:r>
                  </m:sub>
                </m:sSub>
              </m:oMath>
            </m:oMathPara>
          </w:p>
        </w:tc>
        <w:tc>
          <w:tcPr>
            <w:tcW w:w="828" w:type="dxa"/>
          </w:tcPr>
          <w:p w:rsidRPr="00E320C4" w:rsidR="00E320C4" w:rsidP="00E320C4" w:rsidRDefault="00E320C4" w14:paraId="661440D6" w14:textId="77777777">
            <w:pPr>
              <w:pStyle w:val="ListParagraph"/>
              <w:widowControl/>
              <w:numPr>
                <w:ilvl w:val="0"/>
                <w:numId w:val="10"/>
              </w:numPr>
              <w:autoSpaceDE/>
              <w:autoSpaceDN/>
              <w:adjustRightInd/>
              <w:jc w:val="right"/>
              <w:rPr>
                <w:szCs w:val="20"/>
              </w:rPr>
            </w:pPr>
          </w:p>
        </w:tc>
      </w:tr>
    </w:tbl>
    <w:p w:rsidRPr="00A6797B" w:rsidR="003F7F0D" w:rsidP="00A6797B" w:rsidRDefault="003F7F0D" w14:paraId="471F8360" w14:textId="77777777">
      <w:pPr>
        <w:widowControl/>
        <w:tabs>
          <w:tab w:val="left" w:pos="0"/>
        </w:tabs>
        <w:rPr>
          <w:szCs w:val="20"/>
        </w:rPr>
      </w:pPr>
      <w:r w:rsidRPr="00A6797B">
        <w:rPr>
          <w:szCs w:val="20"/>
        </w:rPr>
        <w:t>Where:</w:t>
      </w:r>
    </w:p>
    <w:p w:rsidRPr="00DE7325" w:rsidR="003F7F0D" w:rsidP="00DE7325" w:rsidRDefault="003F7F0D" w14:paraId="400D1522" w14:textId="77777777">
      <w:pPr>
        <w:pStyle w:val="NoSpacing"/>
        <w:rPr>
          <w:i/>
        </w:rPr>
      </w:pPr>
      <w:r w:rsidRPr="00DE7325">
        <w:rPr>
          <w:i/>
        </w:rPr>
        <w:tab/>
      </w:r>
      <w:r w:rsidRPr="00DE7325">
        <w:rPr>
          <w:i/>
        </w:rPr>
        <w:t>B</w:t>
      </w:r>
      <w:r w:rsidRPr="00DE7325">
        <w:rPr>
          <w:i/>
          <w:vertAlign w:val="subscript"/>
        </w:rPr>
        <w:t>n,c</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county, </w:t>
      </w:r>
      <w:r w:rsidRPr="00DE7325">
        <w:rPr>
          <w:i/>
        </w:rPr>
        <w:t>c</w:t>
      </w:r>
    </w:p>
    <w:p w:rsidRPr="00DE7325" w:rsidR="003F7F0D" w:rsidP="00DE7325" w:rsidRDefault="003F7F0D" w14:paraId="74A13631" w14:textId="77777777">
      <w:pPr>
        <w:pStyle w:val="NoSpacing"/>
        <w:rPr>
          <w:i/>
        </w:rPr>
      </w:pPr>
      <w:r w:rsidRPr="00DE7325">
        <w:rPr>
          <w:i/>
        </w:rPr>
        <w:tab/>
      </w:r>
      <w:r w:rsidRPr="00DE7325">
        <w:rPr>
          <w:i/>
        </w:rPr>
        <w:t>B</w:t>
      </w:r>
      <w:r w:rsidRPr="00DE7325">
        <w:rPr>
          <w:i/>
          <w:vertAlign w:val="subscript"/>
        </w:rPr>
        <w:t>n,rgn</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region, </w:t>
      </w:r>
      <w:r w:rsidRPr="00DE7325">
        <w:rPr>
          <w:i/>
        </w:rPr>
        <w:t>rgn</w:t>
      </w:r>
    </w:p>
    <w:p w:rsidRPr="00304D9B" w:rsidR="000B309F" w:rsidP="000B309F" w:rsidRDefault="000B309F" w14:paraId="77A1AA0C" w14:textId="443A6033">
      <w:pPr>
        <w:pStyle w:val="NoSpacing"/>
        <w:rPr>
          <w:i/>
        </w:rPr>
      </w:pPr>
      <w:r w:rsidRPr="00DE7325">
        <w:rPr>
          <w:i/>
        </w:rPr>
        <w:tab/>
      </w:r>
      <w:r w:rsidRPr="00DE7325">
        <w:rPr>
          <w:i/>
        </w:rPr>
        <w:t>R</w:t>
      </w:r>
      <w:r w:rsidRPr="00DE7325">
        <w:rPr>
          <w:i/>
          <w:vertAlign w:val="subscript"/>
        </w:rPr>
        <w:t>BP,c</w:t>
      </w:r>
      <w:r w:rsidRPr="00DE7325">
        <w:rPr>
          <w:i/>
          <w:vertAlign w:val="subscript"/>
        </w:rPr>
        <w:tab/>
      </w:r>
      <w:r w:rsidRPr="00DE7325">
        <w:t>=</w:t>
      </w:r>
      <w:r w:rsidRPr="00DE7325">
        <w:tab/>
      </w:r>
      <w:r w:rsidRPr="00DE7325">
        <w:t xml:space="preserve">Ratio </w:t>
      </w:r>
      <w:r w:rsidR="00554CFA">
        <w:t xml:space="preserve">of </w:t>
      </w:r>
      <w:r w:rsidRPr="00DE7325">
        <w:t>building permits,</w:t>
      </w:r>
      <w:r w:rsidRPr="00DE7325">
        <w:rPr>
          <w:i/>
        </w:rPr>
        <w:t xml:space="preserve"> BP</w:t>
      </w:r>
      <w:r w:rsidRPr="00DE7325">
        <w:t>,</w:t>
      </w:r>
      <w:r w:rsidR="00907DAA">
        <w:t xml:space="preserve"> </w:t>
      </w:r>
      <w:r w:rsidRPr="00DE7325">
        <w:t xml:space="preserve">to total regional building permits in </w:t>
      </w:r>
      <w:r>
        <w:t xml:space="preserve">county </w:t>
      </w:r>
      <w:r>
        <w:rPr>
          <w:i/>
        </w:rPr>
        <w:t>c</w:t>
      </w:r>
    </w:p>
    <w:p w:rsidR="003F7F0D" w:rsidP="00E320C4" w:rsidRDefault="003F7F0D" w14:paraId="3A612EF6" w14:textId="77777777">
      <w:pPr>
        <w:pStyle w:val="NoSpacing"/>
      </w:pPr>
    </w:p>
    <w:p w:rsidRPr="00907DAA" w:rsidR="00265770" w:rsidP="00265770" w:rsidRDefault="00907DAA" w14:paraId="7903D114" w14:textId="77777777">
      <w:pPr>
        <w:rPr>
          <w:b/>
          <w:i/>
        </w:rPr>
      </w:pPr>
      <w:r w:rsidRPr="00907DAA">
        <w:rPr>
          <w:b/>
          <w:i/>
        </w:rPr>
        <w:t xml:space="preserve">Determine </w:t>
      </w:r>
      <w:r>
        <w:rPr>
          <w:b/>
          <w:i/>
        </w:rPr>
        <w:t>A</w:t>
      </w:r>
      <w:r w:rsidRPr="00907DAA">
        <w:rPr>
          <w:b/>
          <w:i/>
        </w:rPr>
        <w:t xml:space="preserve">mount of </w:t>
      </w:r>
      <w:r>
        <w:rPr>
          <w:b/>
          <w:i/>
        </w:rPr>
        <w:t>S</w:t>
      </w:r>
      <w:r w:rsidRPr="00907DAA">
        <w:rPr>
          <w:b/>
          <w:i/>
        </w:rPr>
        <w:t xml:space="preserve">oil </w:t>
      </w:r>
      <w:r>
        <w:rPr>
          <w:b/>
          <w:i/>
        </w:rPr>
        <w:t>R</w:t>
      </w:r>
      <w:r w:rsidRPr="00907DAA">
        <w:rPr>
          <w:b/>
          <w:i/>
        </w:rPr>
        <w:t xml:space="preserve">emoved for </w:t>
      </w:r>
      <w:r>
        <w:rPr>
          <w:b/>
          <w:i/>
        </w:rPr>
        <w:t>B</w:t>
      </w:r>
      <w:r w:rsidRPr="00907DAA">
        <w:rPr>
          <w:b/>
          <w:i/>
        </w:rPr>
        <w:t>asements</w:t>
      </w:r>
    </w:p>
    <w:p w:rsidRPr="00776EA2" w:rsidR="003F7F0D" w:rsidP="00265770" w:rsidRDefault="00DA4A3D" w14:paraId="100B44D8" w14:textId="63F5B5B7">
      <w:r w:rsidRPr="004E7569">
        <w:t xml:space="preserve">To </w:t>
      </w:r>
      <w:r w:rsidRPr="00776EA2">
        <w:t>calculate basement soil removal, the 201</w:t>
      </w:r>
      <w:r w:rsidR="00592CB0">
        <w:t>7</w:t>
      </w:r>
      <w:r w:rsidRPr="00776EA2">
        <w:t xml:space="preserve"> </w:t>
      </w:r>
      <w:r w:rsidRPr="00776EA2">
        <w:rPr>
          <w:i/>
        </w:rPr>
        <w:t>Characteristics of New Single-Family Houses Completed, Foundation table</w:t>
      </w:r>
      <w:r w:rsidR="0075597F">
        <w:rPr>
          <w:rStyle w:val="EndnoteReference"/>
          <w:i/>
        </w:rPr>
        <w:endnoteReference w:id="6"/>
      </w:r>
      <w:r w:rsidRPr="00776EA2">
        <w:rPr>
          <w:i/>
        </w:rPr>
        <w:t xml:space="preserve"> </w:t>
      </w:r>
      <w:r w:rsidRPr="00776EA2">
        <w:t xml:space="preserve">is used </w:t>
      </w:r>
      <w:r w:rsidR="00630085">
        <w:t>to estimate the percentage of 1-</w:t>
      </w:r>
      <w:r w:rsidRPr="00776EA2">
        <w:t xml:space="preserve">unit structures that </w:t>
      </w:r>
      <w:r w:rsidRPr="00776EA2" w:rsidR="00776EA2">
        <w:t>have a basement at the regional level</w:t>
      </w:r>
      <w:r w:rsidRPr="00776EA2">
        <w:t xml:space="preserve">. </w:t>
      </w:r>
      <w:r w:rsidR="00630085">
        <w:t>T</w:t>
      </w:r>
      <w:r w:rsidRPr="00776EA2" w:rsidR="003F7F0D">
        <w:t xml:space="preserve">he data </w:t>
      </w:r>
      <w:r w:rsidR="00630085">
        <w:t xml:space="preserve">indicate whether the structure has a </w:t>
      </w:r>
      <w:r w:rsidRPr="00776EA2" w:rsidR="003F7F0D">
        <w:t xml:space="preserve">full/partial basement, slab or other type, </w:t>
      </w:r>
      <w:r w:rsidR="00630085">
        <w:t xml:space="preserve">or </w:t>
      </w:r>
      <w:r w:rsidRPr="00776EA2" w:rsidR="003F7F0D">
        <w:t>crawl space</w:t>
      </w:r>
      <w:r w:rsidR="00630085">
        <w:t>. However,</w:t>
      </w:r>
      <w:r w:rsidRPr="00776EA2" w:rsidR="003F7F0D">
        <w:t xml:space="preserve"> only </w:t>
      </w:r>
      <w:r w:rsidR="00630085">
        <w:t xml:space="preserve">structures with </w:t>
      </w:r>
      <w:r w:rsidRPr="00776EA2" w:rsidR="003F7F0D">
        <w:t>full/partial basement</w:t>
      </w:r>
      <w:r w:rsidR="00630085">
        <w:t>s</w:t>
      </w:r>
      <w:r w:rsidRPr="00776EA2" w:rsidR="003F7F0D">
        <w:t xml:space="preserve"> </w:t>
      </w:r>
      <w:r w:rsidR="00630085">
        <w:t xml:space="preserve">are </w:t>
      </w:r>
      <w:r w:rsidRPr="00776EA2" w:rsidR="003F7F0D">
        <w:t>used in this calculation.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E320C4" w:rsidR="00776EA2" w:rsidTr="000B309F" w14:paraId="4382B003" w14:textId="77777777">
        <w:trPr>
          <w:trHeight w:val="585"/>
        </w:trPr>
        <w:tc>
          <w:tcPr>
            <w:tcW w:w="8748" w:type="dxa"/>
          </w:tcPr>
          <w:p w:rsidRPr="00776EA2" w:rsidR="00776EA2" w:rsidP="005E7A3E" w:rsidRDefault="00A32BA3" w14:paraId="486DA993"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BM</m:t>
                    </m:r>
                  </m:e>
                  <m:sub>
                    <m:r>
                      <w:rPr>
                        <w:rFonts w:ascii="Cambria Math" w:hAnsi="Cambria Math"/>
                        <w:szCs w:val="20"/>
                      </w:rPr>
                      <m:t>rgn</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BM</m:t>
                        </m:r>
                      </m:e>
                      <m:sub>
                        <m:r>
                          <w:rPr>
                            <w:rFonts w:ascii="Cambria Math" w:hAnsi="Cambria Math"/>
                            <w:szCs w:val="20"/>
                          </w:rPr>
                          <m:t>fp,rgn</m:t>
                        </m:r>
                      </m:sub>
                    </m:sSub>
                  </m:num>
                  <m:den>
                    <m:sSub>
                      <m:sSubPr>
                        <m:ctrlPr>
                          <w:rPr>
                            <w:rFonts w:ascii="Cambria Math" w:hAnsi="Cambria Math"/>
                            <w:i/>
                            <w:szCs w:val="20"/>
                          </w:rPr>
                        </m:ctrlPr>
                      </m:sSubPr>
                      <m:e>
                        <m:r>
                          <w:rPr>
                            <w:rFonts w:ascii="Cambria Math" w:hAnsi="Cambria Math"/>
                            <w:szCs w:val="20"/>
                          </w:rPr>
                          <m:t>BM</m:t>
                        </m:r>
                      </m:e>
                      <m:sub>
                        <m:r>
                          <w:rPr>
                            <w:rFonts w:ascii="Cambria Math" w:hAnsi="Cambria Math"/>
                            <w:szCs w:val="20"/>
                          </w:rPr>
                          <m:t>t,rgn</m:t>
                        </m:r>
                      </m:sub>
                    </m:sSub>
                  </m:den>
                </m:f>
              </m:oMath>
            </m:oMathPara>
          </w:p>
        </w:tc>
        <w:tc>
          <w:tcPr>
            <w:tcW w:w="828" w:type="dxa"/>
            <w:vAlign w:val="center"/>
          </w:tcPr>
          <w:p w:rsidRPr="00776EA2" w:rsidR="00776EA2" w:rsidP="000B309F" w:rsidRDefault="00776EA2" w14:paraId="3109C622" w14:textId="77777777">
            <w:pPr>
              <w:pStyle w:val="ListParagraph"/>
              <w:widowControl/>
              <w:numPr>
                <w:ilvl w:val="0"/>
                <w:numId w:val="10"/>
              </w:numPr>
              <w:autoSpaceDE/>
              <w:autoSpaceDN/>
              <w:adjustRightInd/>
              <w:jc w:val="right"/>
              <w:rPr>
                <w:szCs w:val="20"/>
              </w:rPr>
            </w:pPr>
          </w:p>
        </w:tc>
      </w:tr>
    </w:tbl>
    <w:p w:rsidRPr="00A6797B" w:rsidR="003F7F0D" w:rsidP="00265770" w:rsidRDefault="003F7F0D" w14:paraId="14F2DAE1" w14:textId="77777777">
      <w:pPr>
        <w:widowControl/>
        <w:tabs>
          <w:tab w:val="left" w:pos="0"/>
        </w:tabs>
        <w:spacing w:after="120"/>
        <w:rPr>
          <w:szCs w:val="20"/>
        </w:rPr>
      </w:pPr>
      <w:r w:rsidRPr="00A6797B">
        <w:rPr>
          <w:szCs w:val="20"/>
        </w:rPr>
        <w:t>Where:</w:t>
      </w:r>
    </w:p>
    <w:p w:rsidRPr="00DE7325" w:rsidR="003F7F0D" w:rsidP="00DE7325" w:rsidRDefault="003F7F0D" w14:paraId="4F5F9550" w14:textId="77777777">
      <w:pPr>
        <w:pStyle w:val="NoSpacing"/>
      </w:pPr>
      <w:r w:rsidRPr="00DE7325">
        <w:rPr>
          <w:i/>
        </w:rPr>
        <w:tab/>
      </w:r>
      <w:r w:rsidRPr="00DE7325">
        <w:rPr>
          <w:i/>
        </w:rPr>
        <w:t>BM</w:t>
      </w:r>
      <w:r w:rsidRPr="00DE7325">
        <w:rPr>
          <w:i/>
          <w:vertAlign w:val="subscript"/>
        </w:rPr>
        <w:t>rgn</w:t>
      </w:r>
      <w:r w:rsidRPr="00DE7325">
        <w:rPr>
          <w:i/>
          <w:vertAlign w:val="subscript"/>
        </w:rPr>
        <w:tab/>
      </w:r>
      <w:r w:rsidRPr="00DE7325">
        <w:t>=</w:t>
      </w:r>
      <w:r w:rsidRPr="00DE7325">
        <w:tab/>
      </w:r>
      <w:r w:rsidRPr="00DE7325">
        <w:t>Fraction of basements for buildings in the region</w:t>
      </w:r>
    </w:p>
    <w:p w:rsidRPr="00DE7325" w:rsidR="003F7F0D" w:rsidP="00DE7325" w:rsidRDefault="003F7F0D" w14:paraId="3E0E801B" w14:textId="77777777">
      <w:pPr>
        <w:pStyle w:val="NoSpacing"/>
        <w:rPr>
          <w:i/>
        </w:rPr>
      </w:pPr>
      <w:r w:rsidRPr="00DE7325">
        <w:tab/>
      </w:r>
      <w:r w:rsidRPr="006C7720">
        <w:rPr>
          <w:i/>
        </w:rPr>
        <w:t>BM</w:t>
      </w:r>
      <w:r w:rsidRPr="006C7720">
        <w:rPr>
          <w:i/>
          <w:vertAlign w:val="subscript"/>
        </w:rPr>
        <w:t>fp,rgn</w:t>
      </w:r>
      <w:r w:rsidRPr="00DE7325">
        <w:rPr>
          <w:vertAlign w:val="subscript"/>
        </w:rPr>
        <w:tab/>
      </w:r>
      <w:r w:rsidRPr="00DE7325">
        <w:t>=</w:t>
      </w:r>
      <w:r w:rsidRPr="00DE7325">
        <w:tab/>
      </w:r>
      <w:r w:rsidRPr="00DE7325">
        <w:t xml:space="preserve">Number of full or partial basements, </w:t>
      </w:r>
      <w:r w:rsidRPr="00DE7325">
        <w:rPr>
          <w:i/>
        </w:rPr>
        <w:t>fp</w:t>
      </w:r>
      <w:r w:rsidRPr="00DE7325">
        <w:t xml:space="preserve">, by region, </w:t>
      </w:r>
      <w:r w:rsidRPr="00DE7325">
        <w:rPr>
          <w:i/>
        </w:rPr>
        <w:t>rgn</w:t>
      </w:r>
    </w:p>
    <w:p w:rsidR="003F7F0D" w:rsidP="00C835F7" w:rsidRDefault="003F7F0D" w14:paraId="3E5745DF" w14:textId="77777777">
      <w:pPr>
        <w:pStyle w:val="NoSpacing"/>
        <w:spacing w:after="120"/>
        <w:rPr>
          <w:i/>
        </w:rPr>
      </w:pPr>
      <w:r w:rsidRPr="00DE7325">
        <w:rPr>
          <w:i/>
        </w:rPr>
        <w:tab/>
      </w:r>
      <w:r w:rsidRPr="00DE7325">
        <w:rPr>
          <w:i/>
        </w:rPr>
        <w:t>BM</w:t>
      </w:r>
      <w:r w:rsidRPr="00DE7325">
        <w:rPr>
          <w:i/>
          <w:vertAlign w:val="subscript"/>
        </w:rPr>
        <w:t>t,rgn</w:t>
      </w:r>
      <w:r w:rsidRPr="00DE7325">
        <w:rPr>
          <w:i/>
        </w:rPr>
        <w:tab/>
      </w:r>
      <w:r w:rsidRPr="00DE7325">
        <w:t>=</w:t>
      </w:r>
      <w:r w:rsidRPr="00DE7325">
        <w:tab/>
      </w:r>
      <w:r w:rsidRPr="00DE7325">
        <w:t xml:space="preserve">Total number of </w:t>
      </w:r>
      <w:r w:rsidR="006C7720">
        <w:t>houses regardless of basement type (full/partial, slab/other, crawl space</w:t>
      </w:r>
      <w:r w:rsidRPr="00DE7325">
        <w:t xml:space="preserve"> by region, </w:t>
      </w:r>
      <w:r w:rsidRPr="00DE7325">
        <w:rPr>
          <w:i/>
        </w:rPr>
        <w:t>rgn</w:t>
      </w:r>
    </w:p>
    <w:p w:rsidR="003F7F0D" w:rsidP="00C835F7" w:rsidRDefault="00554CFA" w14:paraId="05DC0E2C" w14:textId="3D0B80BB">
      <w:pPr>
        <w:spacing w:after="120"/>
        <w:rPr>
          <w:szCs w:val="20"/>
        </w:rPr>
      </w:pPr>
      <w:r>
        <w:rPr>
          <w:szCs w:val="20"/>
        </w:rPr>
        <w:t>T</w:t>
      </w:r>
      <w:r w:rsidRPr="004E7569">
        <w:rPr>
          <w:szCs w:val="20"/>
        </w:rPr>
        <w:t xml:space="preserve">o </w:t>
      </w:r>
      <w:r>
        <w:rPr>
          <w:szCs w:val="20"/>
        </w:rPr>
        <w:t>estimate</w:t>
      </w:r>
      <w:r w:rsidRPr="004E7569">
        <w:rPr>
          <w:szCs w:val="20"/>
        </w:rPr>
        <w:t xml:space="preserve"> the number of </w:t>
      </w:r>
      <w:r>
        <w:rPr>
          <w:szCs w:val="20"/>
        </w:rPr>
        <w:t xml:space="preserve">building starts with and without </w:t>
      </w:r>
      <w:r w:rsidRPr="004E7569">
        <w:rPr>
          <w:szCs w:val="20"/>
        </w:rPr>
        <w:t xml:space="preserve">basements in </w:t>
      </w:r>
      <w:r>
        <w:rPr>
          <w:szCs w:val="20"/>
        </w:rPr>
        <w:t>each</w:t>
      </w:r>
      <w:r w:rsidRPr="004E7569">
        <w:rPr>
          <w:szCs w:val="20"/>
        </w:rPr>
        <w:t xml:space="preserve"> county</w:t>
      </w:r>
      <w:r>
        <w:rPr>
          <w:szCs w:val="20"/>
        </w:rPr>
        <w:t>, t</w:t>
      </w:r>
      <w:r w:rsidRPr="004E7569" w:rsidR="00DA4A3D">
        <w:rPr>
          <w:szCs w:val="20"/>
        </w:rPr>
        <w:t>he county level</w:t>
      </w:r>
      <w:r w:rsidR="00630085">
        <w:rPr>
          <w:szCs w:val="20"/>
        </w:rPr>
        <w:t xml:space="preserve"> estimate of </w:t>
      </w:r>
      <w:r>
        <w:rPr>
          <w:szCs w:val="20"/>
        </w:rPr>
        <w:t xml:space="preserve">the </w:t>
      </w:r>
      <w:r w:rsidR="00630085">
        <w:rPr>
          <w:szCs w:val="20"/>
        </w:rPr>
        <w:t>number of 1-</w:t>
      </w:r>
      <w:r w:rsidRPr="004E7569" w:rsidR="00DA4A3D">
        <w:rPr>
          <w:szCs w:val="20"/>
        </w:rPr>
        <w:t xml:space="preserve">unit starts </w:t>
      </w:r>
      <w:r w:rsidR="00630085">
        <w:rPr>
          <w:szCs w:val="20"/>
        </w:rPr>
        <w:t xml:space="preserve">(from equation 9) </w:t>
      </w:r>
      <w:r w:rsidRPr="004E7569" w:rsidR="00DA4A3D">
        <w:rPr>
          <w:szCs w:val="20"/>
        </w:rPr>
        <w:t>is</w:t>
      </w:r>
      <w:r w:rsidR="00630085">
        <w:rPr>
          <w:szCs w:val="20"/>
        </w:rPr>
        <w:t xml:space="preserve"> multiplied by the percent of 1-</w:t>
      </w:r>
      <w:r w:rsidRPr="004E7569" w:rsidR="00DA4A3D">
        <w:rPr>
          <w:szCs w:val="20"/>
        </w:rPr>
        <w:t>unit houses in the region that have a basement.</w:t>
      </w:r>
      <w:r w:rsidR="00907DAA">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02"/>
        <w:gridCol w:w="1358"/>
      </w:tblGrid>
      <w:tr w:rsidRPr="00E320C4" w:rsidR="00776EA2" w:rsidTr="00304D9B" w14:paraId="696B02E8" w14:textId="77777777">
        <w:trPr>
          <w:trHeight w:val="396"/>
        </w:trPr>
        <w:tc>
          <w:tcPr>
            <w:tcW w:w="8748" w:type="dxa"/>
          </w:tcPr>
          <w:p w:rsidRPr="00776EA2" w:rsidR="00776EA2" w:rsidP="005E7A3E" w:rsidRDefault="00A32BA3" w14:paraId="630920A3"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c,BM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m:t>
                    </m:r>
                  </m:e>
                  <m:sub>
                    <m:r>
                      <w:rPr>
                        <w:rFonts w:ascii="Cambria Math" w:hAnsi="Cambria Math"/>
                        <w:szCs w:val="20"/>
                      </w:rPr>
                      <m:t>rgn</m:t>
                    </m:r>
                  </m:sub>
                </m:sSub>
              </m:oMath>
            </m:oMathPara>
          </w:p>
        </w:tc>
        <w:tc>
          <w:tcPr>
            <w:tcW w:w="828" w:type="dxa"/>
          </w:tcPr>
          <w:p w:rsidRPr="00776EA2" w:rsidR="00776EA2" w:rsidP="00776EA2" w:rsidRDefault="00776EA2" w14:paraId="657F3B8E" w14:textId="77777777">
            <w:pPr>
              <w:pStyle w:val="ListParagraph"/>
              <w:widowControl/>
              <w:numPr>
                <w:ilvl w:val="0"/>
                <w:numId w:val="10"/>
              </w:numPr>
              <w:autoSpaceDE/>
              <w:autoSpaceDN/>
              <w:adjustRightInd/>
              <w:jc w:val="right"/>
              <w:rPr>
                <w:szCs w:val="20"/>
              </w:rPr>
            </w:pPr>
          </w:p>
        </w:tc>
      </w:tr>
      <w:tr w:rsidRPr="00E320C4" w:rsidR="00C835F7" w:rsidTr="00304D9B" w14:paraId="72717ACD" w14:textId="77777777">
        <w:trPr>
          <w:trHeight w:val="396"/>
        </w:trPr>
        <w:tc>
          <w:tcPr>
            <w:tcW w:w="8748" w:type="dxa"/>
          </w:tcPr>
          <w:p w:rsidR="00C835F7" w:rsidP="005E7A3E" w:rsidRDefault="00A32BA3" w14:paraId="1255AA0D" w14:textId="77777777">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c,nBM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×(1-</m:t>
                </m:r>
                <m:sSub>
                  <m:sSubPr>
                    <m:ctrlPr>
                      <w:rPr>
                        <w:rFonts w:ascii="Cambria Math" w:hAnsi="Cambria Math"/>
                        <w:i/>
                        <w:szCs w:val="20"/>
                      </w:rPr>
                    </m:ctrlPr>
                  </m:sSubPr>
                  <m:e>
                    <m:r>
                      <w:rPr>
                        <w:rFonts w:ascii="Cambria Math" w:hAnsi="Cambria Math"/>
                        <w:szCs w:val="20"/>
                      </w:rPr>
                      <m:t>BM</m:t>
                    </m:r>
                  </m:e>
                  <m:sub>
                    <m:r>
                      <w:rPr>
                        <w:rFonts w:ascii="Cambria Math" w:hAnsi="Cambria Math"/>
                        <w:szCs w:val="20"/>
                      </w:rPr>
                      <m:t>rgn</m:t>
                    </m:r>
                  </m:sub>
                </m:sSub>
                <m:r>
                  <w:rPr>
                    <w:rFonts w:ascii="Cambria Math" w:hAnsi="Cambria Math"/>
                    <w:szCs w:val="20"/>
                  </w:rPr>
                  <m:t>)</m:t>
                </m:r>
              </m:oMath>
            </m:oMathPara>
          </w:p>
        </w:tc>
        <w:tc>
          <w:tcPr>
            <w:tcW w:w="828" w:type="dxa"/>
          </w:tcPr>
          <w:p w:rsidRPr="00776EA2" w:rsidR="00C835F7" w:rsidP="00C835F7" w:rsidRDefault="00C835F7" w14:paraId="388E5B9D" w14:textId="77777777">
            <w:pPr>
              <w:pStyle w:val="ListParagraph"/>
              <w:widowControl/>
              <w:autoSpaceDE/>
              <w:autoSpaceDN/>
              <w:adjustRightInd/>
              <w:jc w:val="center"/>
              <w:rPr>
                <w:szCs w:val="20"/>
              </w:rPr>
            </w:pPr>
            <w:r>
              <w:rPr>
                <w:szCs w:val="20"/>
              </w:rPr>
              <w:t>(11a)</w:t>
            </w:r>
          </w:p>
        </w:tc>
      </w:tr>
    </w:tbl>
    <w:p w:rsidRPr="00A6797B" w:rsidR="003F7F0D" w:rsidP="00265770" w:rsidRDefault="003F7F0D" w14:paraId="0685CCC8" w14:textId="77777777">
      <w:pPr>
        <w:widowControl/>
        <w:tabs>
          <w:tab w:val="left" w:pos="0"/>
        </w:tabs>
        <w:spacing w:after="120"/>
        <w:rPr>
          <w:szCs w:val="20"/>
        </w:rPr>
      </w:pPr>
      <w:r w:rsidRPr="00A6797B">
        <w:rPr>
          <w:szCs w:val="20"/>
        </w:rPr>
        <w:t>Where:</w:t>
      </w:r>
    </w:p>
    <w:p w:rsidRPr="00DE7325" w:rsidR="003F7F0D" w:rsidP="00DE7325" w:rsidRDefault="003F7F0D" w14:paraId="74F0FD4D" w14:textId="77777777">
      <w:pPr>
        <w:pStyle w:val="NoSpacing"/>
        <w:rPr>
          <w:i/>
        </w:rPr>
      </w:pPr>
      <w:r w:rsidRPr="00DE7325">
        <w:rPr>
          <w:i/>
        </w:rPr>
        <w:tab/>
      </w:r>
      <w:r w:rsidRPr="00DE7325">
        <w:rPr>
          <w:i/>
        </w:rPr>
        <w:t>B</w:t>
      </w:r>
      <w:r w:rsidRPr="00DE7325">
        <w:rPr>
          <w:i/>
          <w:vertAlign w:val="subscript"/>
        </w:rPr>
        <w:t>c,BM</w:t>
      </w:r>
      <w:r w:rsidRPr="00DE7325">
        <w:rPr>
          <w:i/>
          <w:vertAlign w:val="subscript"/>
        </w:rPr>
        <w:tab/>
      </w:r>
      <w:r w:rsidRPr="00DE7325">
        <w:t>=</w:t>
      </w:r>
      <w:r w:rsidRPr="00DE7325">
        <w:tab/>
      </w:r>
      <w:r w:rsidRPr="00DE7325">
        <w:t>Number of building</w:t>
      </w:r>
      <w:r w:rsidR="00C835F7">
        <w:t xml:space="preserve"> </w:t>
      </w:r>
      <w:r w:rsidRPr="00DE7325">
        <w:t>s</w:t>
      </w:r>
      <w:r w:rsidR="00C835F7">
        <w:t>tarts</w:t>
      </w:r>
      <w:r w:rsidRPr="00DE7325">
        <w:t xml:space="preserve"> by county, </w:t>
      </w:r>
      <w:r w:rsidRPr="00DE7325">
        <w:rPr>
          <w:i/>
        </w:rPr>
        <w:t>c</w:t>
      </w:r>
      <w:r w:rsidRPr="00DE7325">
        <w:t xml:space="preserve">, with a basement, </w:t>
      </w:r>
      <w:r w:rsidRPr="00DE7325">
        <w:rPr>
          <w:i/>
        </w:rPr>
        <w:t>BM</w:t>
      </w:r>
    </w:p>
    <w:p w:rsidRPr="00DE7325" w:rsidR="00C835F7" w:rsidP="00C835F7" w:rsidRDefault="00C835F7" w14:paraId="2AFBF545" w14:textId="77777777">
      <w:pPr>
        <w:pStyle w:val="NoSpacing"/>
        <w:rPr>
          <w:i/>
        </w:rPr>
      </w:pPr>
      <w:r w:rsidRPr="00DE7325">
        <w:rPr>
          <w:i/>
        </w:rPr>
        <w:tab/>
      </w:r>
      <w:r w:rsidRPr="00DE7325">
        <w:rPr>
          <w:i/>
        </w:rPr>
        <w:t>B</w:t>
      </w:r>
      <w:r w:rsidRPr="00DE7325">
        <w:rPr>
          <w:i/>
          <w:vertAlign w:val="subscript"/>
        </w:rPr>
        <w:t>c,</w:t>
      </w:r>
      <w:r>
        <w:rPr>
          <w:i/>
          <w:vertAlign w:val="subscript"/>
        </w:rPr>
        <w:t>n</w:t>
      </w:r>
      <w:r w:rsidRPr="00DE7325">
        <w:rPr>
          <w:i/>
          <w:vertAlign w:val="subscript"/>
        </w:rPr>
        <w:t>BM</w:t>
      </w:r>
      <w:r w:rsidRPr="00DE7325">
        <w:rPr>
          <w:i/>
          <w:vertAlign w:val="subscript"/>
        </w:rPr>
        <w:tab/>
      </w:r>
      <w:r w:rsidRPr="00DE7325">
        <w:t>=</w:t>
      </w:r>
      <w:r w:rsidRPr="00DE7325">
        <w:tab/>
      </w:r>
      <w:r w:rsidRPr="00DE7325">
        <w:t>Number of building</w:t>
      </w:r>
      <w:r>
        <w:t xml:space="preserve"> </w:t>
      </w:r>
      <w:r w:rsidRPr="00DE7325">
        <w:t>s</w:t>
      </w:r>
      <w:r>
        <w:t>tarts</w:t>
      </w:r>
      <w:r w:rsidRPr="00DE7325">
        <w:t xml:space="preserve"> by county, </w:t>
      </w:r>
      <w:r w:rsidRPr="00DE7325">
        <w:rPr>
          <w:i/>
        </w:rPr>
        <w:t>c</w:t>
      </w:r>
      <w:r w:rsidRPr="00DE7325">
        <w:t xml:space="preserve">, without a basement, </w:t>
      </w:r>
      <w:r w:rsidRPr="00DE7325">
        <w:rPr>
          <w:i/>
        </w:rPr>
        <w:t>BM</w:t>
      </w:r>
    </w:p>
    <w:p w:rsidRPr="00DE7325" w:rsidR="003F7F0D" w:rsidP="00DE7325" w:rsidRDefault="003F7F0D" w14:paraId="2E8ABD2E" w14:textId="77777777">
      <w:pPr>
        <w:pStyle w:val="NoSpacing"/>
        <w:rPr>
          <w:i/>
        </w:rPr>
      </w:pPr>
      <w:r w:rsidRPr="00DE7325">
        <w:rPr>
          <w:i/>
        </w:rPr>
        <w:lastRenderedPageBreak/>
        <w:tab/>
      </w:r>
      <w:r w:rsidRPr="00DE7325">
        <w:rPr>
          <w:i/>
        </w:rPr>
        <w:t>B</w:t>
      </w:r>
      <w:r w:rsidRPr="00DE7325">
        <w:rPr>
          <w:i/>
          <w:vertAlign w:val="subscript"/>
        </w:rPr>
        <w:t>n,c</w:t>
      </w:r>
      <w:r w:rsidRPr="00DE7325">
        <w:rPr>
          <w:i/>
          <w:vertAlign w:val="subscript"/>
        </w:rPr>
        <w:tab/>
      </w:r>
      <w:r w:rsidRPr="00DE7325">
        <w:t>=</w:t>
      </w:r>
      <w:r w:rsidRPr="00DE7325">
        <w:tab/>
      </w:r>
      <w:r w:rsidRPr="00DE7325">
        <w:t xml:space="preserve">Number of building starts by the unit number category, </w:t>
      </w:r>
      <w:r w:rsidRPr="00DE7325">
        <w:rPr>
          <w:i/>
        </w:rPr>
        <w:t>n</w:t>
      </w:r>
      <w:r w:rsidRPr="00DE7325">
        <w:t xml:space="preserve">, and by county, </w:t>
      </w:r>
      <w:r w:rsidRPr="00DE7325">
        <w:rPr>
          <w:i/>
        </w:rPr>
        <w:t>c</w:t>
      </w:r>
    </w:p>
    <w:p w:rsidR="003F7F0D" w:rsidP="00DE7325" w:rsidRDefault="003F7F0D" w14:paraId="34AAD1C7" w14:textId="77777777">
      <w:pPr>
        <w:pStyle w:val="NoSpacing"/>
      </w:pPr>
      <w:r w:rsidRPr="00DE7325">
        <w:rPr>
          <w:i/>
        </w:rPr>
        <w:tab/>
      </w:r>
      <w:r w:rsidRPr="00DE7325">
        <w:rPr>
          <w:i/>
        </w:rPr>
        <w:t>BM</w:t>
      </w:r>
      <w:r w:rsidRPr="00DE7325">
        <w:rPr>
          <w:i/>
          <w:vertAlign w:val="subscript"/>
        </w:rPr>
        <w:t>rgn</w:t>
      </w:r>
      <w:r w:rsidRPr="00DE7325">
        <w:rPr>
          <w:i/>
          <w:vertAlign w:val="subscript"/>
        </w:rPr>
        <w:tab/>
      </w:r>
      <w:r w:rsidRPr="00DE7325">
        <w:t>=</w:t>
      </w:r>
      <w:r w:rsidRPr="00DE7325">
        <w:tab/>
      </w:r>
      <w:r w:rsidRPr="00DE7325">
        <w:t>Fraction of basements for buildings in the region</w:t>
      </w:r>
    </w:p>
    <w:p w:rsidR="000B309F" w:rsidP="007E4E39" w:rsidRDefault="000B309F" w14:paraId="38F72BC1" w14:textId="77777777">
      <w:pPr>
        <w:spacing w:after="0"/>
        <w:rPr>
          <w:szCs w:val="20"/>
        </w:rPr>
      </w:pPr>
    </w:p>
    <w:p w:rsidR="00A6797B" w:rsidP="00537635" w:rsidRDefault="00DA4A3D" w14:paraId="6C671869" w14:textId="24D17FC4">
      <w:pPr>
        <w:rPr>
          <w:szCs w:val="20"/>
        </w:rPr>
      </w:pPr>
      <w:r w:rsidRPr="004E7569">
        <w:rPr>
          <w:szCs w:val="20"/>
        </w:rPr>
        <w:t xml:space="preserve">Basement volume is calculated by assuming a </w:t>
      </w:r>
      <w:r w:rsidR="00372AFF">
        <w:rPr>
          <w:szCs w:val="20"/>
        </w:rPr>
        <w:t xml:space="preserve">house with a </w:t>
      </w:r>
      <w:r w:rsidRPr="004E7569">
        <w:rPr>
          <w:szCs w:val="20"/>
        </w:rPr>
        <w:t xml:space="preserve">2000 square foot </w:t>
      </w:r>
      <w:r w:rsidR="00372AFF">
        <w:rPr>
          <w:szCs w:val="20"/>
        </w:rPr>
        <w:t>footprint</w:t>
      </w:r>
      <w:r w:rsidRPr="004E7569" w:rsidR="00372AFF">
        <w:rPr>
          <w:szCs w:val="20"/>
        </w:rPr>
        <w:t xml:space="preserve"> </w:t>
      </w:r>
      <w:r w:rsidRPr="004E7569">
        <w:rPr>
          <w:szCs w:val="20"/>
        </w:rPr>
        <w:t>has a basement dug to a depth of 8 feet (making 16,000 ft</w:t>
      </w:r>
      <w:r w:rsidRPr="004E7569">
        <w:rPr>
          <w:szCs w:val="20"/>
          <w:vertAlign w:val="superscript"/>
        </w:rPr>
        <w:t>3</w:t>
      </w:r>
      <w:r w:rsidRPr="004E7569">
        <w:rPr>
          <w:szCs w:val="20"/>
        </w:rPr>
        <w:t xml:space="preserve"> per basement). An additional 10% is added for peripheral dirt bringing the total to 17,600 ft</w:t>
      </w:r>
      <w:r w:rsidRPr="004E7569">
        <w:rPr>
          <w:szCs w:val="20"/>
          <w:vertAlign w:val="superscript"/>
        </w:rPr>
        <w:t xml:space="preserve">3 </w:t>
      </w:r>
      <w:r w:rsidRPr="004E7569">
        <w:rPr>
          <w:szCs w:val="20"/>
        </w:rPr>
        <w:t>(651.85</w:t>
      </w:r>
      <w:r w:rsidRPr="004E7569">
        <w:rPr>
          <w:szCs w:val="20"/>
          <w:vertAlign w:val="superscript"/>
        </w:rPr>
        <w:t xml:space="preserve"> </w:t>
      </w:r>
      <w:r w:rsidRPr="004E7569">
        <w:rPr>
          <w:szCs w:val="20"/>
        </w:rPr>
        <w:t>yd</w:t>
      </w:r>
      <w:r w:rsidRPr="004E7569">
        <w:rPr>
          <w:szCs w:val="20"/>
          <w:vertAlign w:val="superscript"/>
        </w:rPr>
        <w:t>3</w:t>
      </w:r>
      <w:r w:rsidRPr="004E7569">
        <w:rPr>
          <w:szCs w:val="20"/>
        </w:rPr>
        <w:t xml:space="preserve">) per basement. </w:t>
      </w:r>
    </w:p>
    <w:p w:rsidRPr="00907DAA" w:rsidR="00265770" w:rsidP="00537635" w:rsidRDefault="00907DAA" w14:paraId="3BCAC50E" w14:textId="77777777">
      <w:pPr>
        <w:rPr>
          <w:b/>
          <w:i/>
          <w:szCs w:val="20"/>
        </w:rPr>
      </w:pPr>
      <w:r w:rsidRPr="00907DAA">
        <w:rPr>
          <w:b/>
          <w:i/>
          <w:szCs w:val="20"/>
        </w:rPr>
        <w:t xml:space="preserve">Determine Amount of </w:t>
      </w:r>
      <w:r w:rsidRPr="00907DAA" w:rsidR="00265770">
        <w:rPr>
          <w:b/>
          <w:i/>
          <w:szCs w:val="20"/>
        </w:rPr>
        <w:t>Soil Disturbed by Unit Type</w:t>
      </w:r>
    </w:p>
    <w:p w:rsidR="00A25E2C" w:rsidP="00A25E2C" w:rsidRDefault="00537635" w14:paraId="55668FD7" w14:textId="3F9DFC77">
      <w:pPr>
        <w:spacing w:after="0"/>
        <w:rPr>
          <w:szCs w:val="20"/>
        </w:rPr>
      </w:pPr>
      <w:r w:rsidRPr="00537635">
        <w:rPr>
          <w:szCs w:val="20"/>
        </w:rPr>
        <w:t>The</w:t>
      </w:r>
      <w:r w:rsidRPr="00537635" w:rsidR="00A6797B">
        <w:rPr>
          <w:szCs w:val="20"/>
        </w:rPr>
        <w:t xml:space="preserve"> </w:t>
      </w:r>
      <w:r w:rsidR="00620E76">
        <w:rPr>
          <w:szCs w:val="20"/>
        </w:rPr>
        <w:t xml:space="preserve">number of </w:t>
      </w:r>
      <w:r w:rsidRPr="00537635" w:rsidR="00A6797B">
        <w:rPr>
          <w:szCs w:val="20"/>
        </w:rPr>
        <w:t>acres of soil disturbed by the construction of residential buildings</w:t>
      </w:r>
      <w:r w:rsidRPr="00537635">
        <w:rPr>
          <w:szCs w:val="20"/>
        </w:rPr>
        <w:t xml:space="preserve"> is </w:t>
      </w:r>
      <w:r w:rsidRPr="00537635" w:rsidR="00135FC5">
        <w:rPr>
          <w:szCs w:val="20"/>
        </w:rPr>
        <w:t>calculated</w:t>
      </w:r>
      <w:r w:rsidRPr="00537635">
        <w:rPr>
          <w:szCs w:val="20"/>
        </w:rPr>
        <w:t xml:space="preserve"> for apartment buildings, buildings with 2 units, and buildings with 1 unit</w:t>
      </w:r>
      <w:r w:rsidRPr="00537635" w:rsidR="00A6797B">
        <w:rPr>
          <w:szCs w:val="20"/>
        </w:rPr>
        <w:t xml:space="preserve">. </w:t>
      </w:r>
      <w:r w:rsidRPr="00300CE8" w:rsidR="00A25E2C">
        <w:rPr>
          <w:szCs w:val="20"/>
        </w:rPr>
        <w:fldChar w:fldCharType="begin"/>
      </w:r>
      <w:r w:rsidRPr="00300CE8" w:rsidR="00A25E2C">
        <w:rPr>
          <w:szCs w:val="20"/>
        </w:rPr>
        <w:instrText xml:space="preserve"> REF _Ref476829915 \h  \* MERGEFORMAT </w:instrText>
      </w:r>
      <w:r w:rsidRPr="00300CE8" w:rsidR="00A25E2C">
        <w:rPr>
          <w:szCs w:val="20"/>
        </w:rPr>
      </w:r>
      <w:r w:rsidRPr="00300CE8" w:rsidR="00A25E2C">
        <w:rPr>
          <w:szCs w:val="20"/>
        </w:rPr>
        <w:fldChar w:fldCharType="separate"/>
      </w:r>
      <w:r w:rsidRPr="003527BA" w:rsidR="007D5A4D">
        <w:rPr>
          <w:szCs w:val="20"/>
        </w:rPr>
        <w:t xml:space="preserve">Table </w:t>
      </w:r>
      <w:r w:rsidR="007D5A4D">
        <w:rPr>
          <w:noProof/>
          <w:szCs w:val="20"/>
        </w:rPr>
        <w:t>3</w:t>
      </w:r>
      <w:r w:rsidRPr="00300CE8" w:rsidR="00A25E2C">
        <w:rPr>
          <w:szCs w:val="20"/>
        </w:rPr>
        <w:fldChar w:fldCharType="end"/>
      </w:r>
      <w:r w:rsidR="00554CFA">
        <w:rPr>
          <w:szCs w:val="20"/>
        </w:rPr>
        <w:t xml:space="preserve"> below</w:t>
      </w:r>
      <w:r w:rsidRPr="00300CE8" w:rsidR="00A25E2C">
        <w:rPr>
          <w:szCs w:val="20"/>
        </w:rPr>
        <w:t xml:space="preserve"> </w:t>
      </w:r>
      <w:r w:rsidR="00A25E2C">
        <w:rPr>
          <w:szCs w:val="20"/>
        </w:rPr>
        <w:t>shows the assumptions used for the surface area</w:t>
      </w:r>
      <w:r w:rsidRPr="004E7569" w:rsidR="00A25E2C">
        <w:rPr>
          <w:szCs w:val="20"/>
        </w:rPr>
        <w:t xml:space="preserve"> </w:t>
      </w:r>
      <w:r w:rsidR="00A25E2C">
        <w:rPr>
          <w:szCs w:val="20"/>
        </w:rPr>
        <w:t xml:space="preserve">disturbed for each unit type. </w:t>
      </w:r>
      <w:r w:rsidRPr="00537635" w:rsidR="00A6797B">
        <w:rPr>
          <w:szCs w:val="20"/>
        </w:rPr>
        <w:t>Buildings with unit types of 3-4 and 5 or more are grouped together as apartments in this ste</w:t>
      </w:r>
      <w:r>
        <w:rPr>
          <w:szCs w:val="20"/>
        </w:rPr>
        <w:t>p.</w:t>
      </w:r>
    </w:p>
    <w:p w:rsidRPr="00300CE8" w:rsidR="0075597F" w:rsidP="00A25E2C" w:rsidRDefault="0075597F" w14:paraId="569A8A26" w14:textId="77777777">
      <w:pPr>
        <w:spacing w:after="0"/>
        <w:rPr>
          <w:szCs w:val="20"/>
        </w:rPr>
      </w:pPr>
    </w:p>
    <w:p w:rsidRPr="003527BA" w:rsidR="00A25E2C" w:rsidP="00A25E2C" w:rsidRDefault="00A25E2C" w14:paraId="655C4B34" w14:textId="77777777">
      <w:pPr>
        <w:pStyle w:val="Caption"/>
        <w:keepNext/>
        <w:jc w:val="center"/>
        <w:rPr>
          <w:color w:val="auto"/>
          <w:sz w:val="20"/>
          <w:szCs w:val="20"/>
        </w:rPr>
      </w:pPr>
      <w:bookmarkStart w:name="_Ref476829924" w:id="11"/>
      <w:bookmarkStart w:name="_Ref476829915" w:id="12"/>
      <w:r w:rsidRPr="003527BA">
        <w:rPr>
          <w:color w:val="auto"/>
          <w:sz w:val="20"/>
          <w:szCs w:val="20"/>
        </w:rPr>
        <w:t xml:space="preserve">Table </w:t>
      </w:r>
      <w:r w:rsidRPr="003527BA">
        <w:rPr>
          <w:color w:val="auto"/>
          <w:sz w:val="20"/>
          <w:szCs w:val="20"/>
        </w:rPr>
        <w:fldChar w:fldCharType="begin"/>
      </w:r>
      <w:r w:rsidRPr="003527BA">
        <w:rPr>
          <w:color w:val="auto"/>
          <w:sz w:val="20"/>
          <w:szCs w:val="20"/>
        </w:rPr>
        <w:instrText xml:space="preserve"> SEQ Table \* ARABIC </w:instrText>
      </w:r>
      <w:r w:rsidRPr="003527BA">
        <w:rPr>
          <w:color w:val="auto"/>
          <w:sz w:val="20"/>
          <w:szCs w:val="20"/>
        </w:rPr>
        <w:fldChar w:fldCharType="separate"/>
      </w:r>
      <w:r w:rsidR="007D5A4D">
        <w:rPr>
          <w:noProof/>
          <w:color w:val="auto"/>
          <w:sz w:val="20"/>
          <w:szCs w:val="20"/>
        </w:rPr>
        <w:t>3</w:t>
      </w:r>
      <w:r w:rsidRPr="003527BA">
        <w:rPr>
          <w:color w:val="auto"/>
          <w:sz w:val="20"/>
          <w:szCs w:val="20"/>
        </w:rPr>
        <w:fldChar w:fldCharType="end"/>
      </w:r>
      <w:bookmarkEnd w:id="11"/>
      <w:r w:rsidRPr="003527BA">
        <w:rPr>
          <w:color w:val="auto"/>
          <w:sz w:val="20"/>
          <w:szCs w:val="20"/>
        </w:rPr>
        <w:t xml:space="preserve">. </w:t>
      </w:r>
      <w:r w:rsidRPr="003527BA">
        <w:rPr>
          <w:rStyle w:val="Strong"/>
          <w:b/>
          <w:color w:val="auto"/>
          <w:sz w:val="20"/>
          <w:szCs w:val="20"/>
        </w:rPr>
        <w:t>Surface Soil removed per unit type</w:t>
      </w:r>
      <w:bookmarkEnd w:id="12"/>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2"/>
        <w:gridCol w:w="1910"/>
      </w:tblGrid>
      <w:tr w:rsidRPr="004E7569" w:rsidR="00A25E2C" w:rsidTr="007E4E39" w14:paraId="4C14FDFD" w14:textId="77777777">
        <w:trPr>
          <w:jc w:val="center"/>
        </w:trPr>
        <w:tc>
          <w:tcPr>
            <w:tcW w:w="0" w:type="auto"/>
            <w:shd w:val="clear" w:color="auto" w:fill="D9D9D9" w:themeFill="background1" w:themeFillShade="D9"/>
          </w:tcPr>
          <w:p w:rsidRPr="00300CE8" w:rsidR="00A25E2C" w:rsidP="00A25E2C" w:rsidRDefault="00A25E2C" w14:paraId="05200273" w14:textId="77777777">
            <w:pPr>
              <w:spacing w:after="0"/>
              <w:rPr>
                <w:b/>
                <w:bCs/>
                <w:szCs w:val="18"/>
              </w:rPr>
            </w:pPr>
            <w:r w:rsidRPr="00300CE8">
              <w:rPr>
                <w:b/>
                <w:bCs/>
                <w:szCs w:val="18"/>
              </w:rPr>
              <w:t>Structure</w:t>
            </w:r>
            <w:r>
              <w:rPr>
                <w:b/>
                <w:bCs/>
                <w:szCs w:val="18"/>
              </w:rPr>
              <w:t xml:space="preserve"> Type</w:t>
            </w:r>
          </w:p>
        </w:tc>
        <w:tc>
          <w:tcPr>
            <w:tcW w:w="0" w:type="auto"/>
            <w:shd w:val="clear" w:color="auto" w:fill="D9D9D9" w:themeFill="background1" w:themeFillShade="D9"/>
          </w:tcPr>
          <w:p w:rsidRPr="00300CE8" w:rsidR="00A25E2C" w:rsidP="007E4E39" w:rsidRDefault="00A25E2C" w14:paraId="69B4BC1B" w14:textId="77777777">
            <w:pPr>
              <w:spacing w:after="0"/>
              <w:rPr>
                <w:b/>
                <w:bCs/>
                <w:szCs w:val="18"/>
              </w:rPr>
            </w:pPr>
            <w:r w:rsidRPr="00300CE8">
              <w:rPr>
                <w:b/>
                <w:bCs/>
                <w:szCs w:val="18"/>
              </w:rPr>
              <w:t>Acres disturbed</w:t>
            </w:r>
          </w:p>
        </w:tc>
      </w:tr>
      <w:tr w:rsidRPr="004E7569" w:rsidR="00A25E2C" w:rsidTr="007E4E39" w14:paraId="15BE321C" w14:textId="77777777">
        <w:trPr>
          <w:jc w:val="center"/>
        </w:trPr>
        <w:tc>
          <w:tcPr>
            <w:tcW w:w="0" w:type="auto"/>
          </w:tcPr>
          <w:p w:rsidRPr="004E7569" w:rsidR="00A25E2C" w:rsidP="007E4E39" w:rsidRDefault="00A25E2C" w14:paraId="5860DC3E" w14:textId="77777777">
            <w:pPr>
              <w:spacing w:after="0"/>
              <w:rPr>
                <w:szCs w:val="20"/>
              </w:rPr>
            </w:pPr>
            <w:r w:rsidRPr="004E7569">
              <w:rPr>
                <w:szCs w:val="20"/>
              </w:rPr>
              <w:t>1-Unit</w:t>
            </w:r>
          </w:p>
        </w:tc>
        <w:tc>
          <w:tcPr>
            <w:tcW w:w="0" w:type="auto"/>
          </w:tcPr>
          <w:p w:rsidRPr="004E7569" w:rsidR="00A25E2C" w:rsidP="007E4E39" w:rsidRDefault="004F6DF9" w14:paraId="238A9D75" w14:textId="77777777">
            <w:pPr>
              <w:spacing w:after="0"/>
              <w:rPr>
                <w:szCs w:val="20"/>
              </w:rPr>
            </w:pPr>
            <w:r>
              <w:rPr>
                <w:szCs w:val="20"/>
              </w:rPr>
              <w:t xml:space="preserve">1/4 acre per </w:t>
            </w:r>
            <w:r w:rsidRPr="004E7569" w:rsidR="00A25E2C">
              <w:rPr>
                <w:szCs w:val="20"/>
              </w:rPr>
              <w:t>structure</w:t>
            </w:r>
          </w:p>
        </w:tc>
      </w:tr>
      <w:tr w:rsidRPr="004E7569" w:rsidR="00A25E2C" w:rsidTr="007E4E39" w14:paraId="15C041CC" w14:textId="77777777">
        <w:trPr>
          <w:jc w:val="center"/>
        </w:trPr>
        <w:tc>
          <w:tcPr>
            <w:tcW w:w="0" w:type="auto"/>
          </w:tcPr>
          <w:p w:rsidRPr="004E7569" w:rsidR="00A25E2C" w:rsidP="007E4E39" w:rsidRDefault="00A25E2C" w14:paraId="58F77D68" w14:textId="77777777">
            <w:pPr>
              <w:spacing w:after="0"/>
              <w:rPr>
                <w:szCs w:val="20"/>
              </w:rPr>
            </w:pPr>
            <w:r w:rsidRPr="004E7569">
              <w:rPr>
                <w:szCs w:val="20"/>
              </w:rPr>
              <w:t>2-Unit</w:t>
            </w:r>
          </w:p>
        </w:tc>
        <w:tc>
          <w:tcPr>
            <w:tcW w:w="0" w:type="auto"/>
          </w:tcPr>
          <w:p w:rsidRPr="004E7569" w:rsidR="00A25E2C" w:rsidP="007E4E39" w:rsidRDefault="004F6DF9" w14:paraId="74F24F3A" w14:textId="77777777">
            <w:pPr>
              <w:spacing w:after="0"/>
              <w:rPr>
                <w:szCs w:val="20"/>
              </w:rPr>
            </w:pPr>
            <w:r>
              <w:rPr>
                <w:szCs w:val="20"/>
              </w:rPr>
              <w:t xml:space="preserve">1/3 acre per </w:t>
            </w:r>
            <w:r w:rsidRPr="004E7569" w:rsidR="00A25E2C">
              <w:rPr>
                <w:szCs w:val="20"/>
              </w:rPr>
              <w:t>structure</w:t>
            </w:r>
          </w:p>
        </w:tc>
      </w:tr>
      <w:tr w:rsidRPr="004E7569" w:rsidR="00A25E2C" w:rsidTr="007E4E39" w14:paraId="7C31597D" w14:textId="77777777">
        <w:trPr>
          <w:jc w:val="center"/>
        </w:trPr>
        <w:tc>
          <w:tcPr>
            <w:tcW w:w="0" w:type="auto"/>
          </w:tcPr>
          <w:p w:rsidRPr="004E7569" w:rsidR="00A25E2C" w:rsidP="007E4E39" w:rsidRDefault="00A25E2C" w14:paraId="0FA938FF" w14:textId="77777777">
            <w:pPr>
              <w:spacing w:after="0"/>
              <w:rPr>
                <w:szCs w:val="20"/>
              </w:rPr>
            </w:pPr>
            <w:r w:rsidRPr="004E7569">
              <w:rPr>
                <w:szCs w:val="20"/>
              </w:rPr>
              <w:t>Apartment</w:t>
            </w:r>
          </w:p>
        </w:tc>
        <w:tc>
          <w:tcPr>
            <w:tcW w:w="0" w:type="auto"/>
          </w:tcPr>
          <w:p w:rsidRPr="004E7569" w:rsidR="00A25E2C" w:rsidP="007E4E39" w:rsidRDefault="004F6DF9" w14:paraId="34428BCF" w14:textId="77777777">
            <w:pPr>
              <w:spacing w:after="0"/>
              <w:rPr>
                <w:szCs w:val="20"/>
              </w:rPr>
            </w:pPr>
            <w:r>
              <w:rPr>
                <w:szCs w:val="20"/>
              </w:rPr>
              <w:t xml:space="preserve">1/2 acre per </w:t>
            </w:r>
            <w:r w:rsidRPr="004E7569" w:rsidR="00A25E2C">
              <w:rPr>
                <w:szCs w:val="20"/>
              </w:rPr>
              <w:t xml:space="preserve">structure </w:t>
            </w:r>
          </w:p>
        </w:tc>
      </w:tr>
    </w:tbl>
    <w:p w:rsidRPr="00537635" w:rsidR="00A25E2C" w:rsidP="00A25E2C" w:rsidRDefault="00A25E2C" w14:paraId="34FDC7D0" w14:textId="77777777">
      <w:pPr>
        <w:spacing w:after="0"/>
        <w:rPr>
          <w:szCs w:val="20"/>
        </w:rPr>
      </w:pPr>
    </w:p>
    <w:p w:rsidR="00537635" w:rsidP="00537635" w:rsidRDefault="00A6797B" w14:paraId="704C507F" w14:textId="77777777">
      <w:pPr>
        <w:rPr>
          <w:szCs w:val="20"/>
        </w:rPr>
      </w:pPr>
      <w:r w:rsidRPr="00537635">
        <w:rPr>
          <w:szCs w:val="20"/>
        </w:rPr>
        <w:t>For apartment buildings (sum of 3-4 and 5 or more units) and buildings with 2 units: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Pr="00776EA2" w:rsidR="00537635" w:rsidTr="00265770" w14:paraId="450E04FC" w14:textId="77777777">
        <w:trPr>
          <w:trHeight w:val="315"/>
        </w:trPr>
        <w:tc>
          <w:tcPr>
            <w:tcW w:w="8748" w:type="dxa"/>
          </w:tcPr>
          <w:p w:rsidRPr="00776EA2" w:rsidR="00537635" w:rsidP="005E7A3E" w:rsidRDefault="00A32BA3" w14:paraId="4A79E4B7"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n</m:t>
                    </m:r>
                  </m:sub>
                </m:sSub>
              </m:oMath>
            </m:oMathPara>
          </w:p>
        </w:tc>
        <w:tc>
          <w:tcPr>
            <w:tcW w:w="828" w:type="dxa"/>
          </w:tcPr>
          <w:p w:rsidRPr="00776EA2" w:rsidR="00537635" w:rsidP="00537635" w:rsidRDefault="00537635" w14:paraId="15A25B88" w14:textId="77777777">
            <w:pPr>
              <w:pStyle w:val="ListParagraph"/>
              <w:widowControl/>
              <w:numPr>
                <w:ilvl w:val="0"/>
                <w:numId w:val="10"/>
              </w:numPr>
              <w:autoSpaceDE/>
              <w:autoSpaceDN/>
              <w:adjustRightInd/>
              <w:jc w:val="right"/>
              <w:rPr>
                <w:szCs w:val="20"/>
              </w:rPr>
            </w:pPr>
          </w:p>
        </w:tc>
      </w:tr>
    </w:tbl>
    <w:p w:rsidRPr="00A6797B" w:rsidR="00A6797B" w:rsidP="00A6797B" w:rsidRDefault="00A6797B" w14:paraId="3A0AC68A" w14:textId="77777777">
      <w:pPr>
        <w:widowControl/>
        <w:tabs>
          <w:tab w:val="left" w:pos="0"/>
        </w:tabs>
        <w:rPr>
          <w:szCs w:val="20"/>
        </w:rPr>
      </w:pPr>
      <w:r w:rsidRPr="00A6797B">
        <w:rPr>
          <w:szCs w:val="20"/>
        </w:rPr>
        <w:t>Where:</w:t>
      </w:r>
    </w:p>
    <w:p w:rsidRPr="003931CF" w:rsidR="00A6797B" w:rsidP="00DE7325" w:rsidRDefault="00A6797B" w14:paraId="68893B76" w14:textId="77777777">
      <w:pPr>
        <w:pStyle w:val="NoSpacing"/>
      </w:pPr>
      <w:r w:rsidRPr="00DE7325">
        <w:rPr>
          <w:i/>
        </w:rPr>
        <w:tab/>
      </w:r>
      <w:r w:rsidRPr="00DE7325">
        <w:rPr>
          <w:i/>
        </w:rPr>
        <w:t>S</w:t>
      </w:r>
      <w:r w:rsidRPr="00DE7325">
        <w:rPr>
          <w:i/>
          <w:vertAlign w:val="subscript"/>
        </w:rPr>
        <w:t>n,c</w:t>
      </w:r>
      <w:r w:rsidRPr="00DE7325">
        <w:rPr>
          <w:i/>
          <w:vertAlign w:val="subscript"/>
        </w:rPr>
        <w:tab/>
      </w:r>
      <w:r w:rsidRPr="00DE7325">
        <w:t>=</w:t>
      </w:r>
      <w:r w:rsidRPr="00DE7325">
        <w:tab/>
      </w:r>
      <w:r w:rsidRPr="00DE7325">
        <w:t xml:space="preserve">Surface soil disturbed by building construction by county, </w:t>
      </w:r>
      <w:r w:rsidRPr="00DE7325">
        <w:rPr>
          <w:i/>
        </w:rPr>
        <w:t>c</w:t>
      </w:r>
      <w:r w:rsidRPr="00DE7325">
        <w:t xml:space="preserve">, and unit type category, </w:t>
      </w:r>
      <w:r w:rsidRPr="00DE7325">
        <w:rPr>
          <w:i/>
        </w:rPr>
        <w:t>n</w:t>
      </w:r>
      <w:r w:rsidR="003931CF">
        <w:t>, in acres</w:t>
      </w:r>
    </w:p>
    <w:p w:rsidRPr="00DE7325" w:rsidR="00A6797B" w:rsidP="00DE7325" w:rsidRDefault="00A6797B" w14:paraId="64FD8896" w14:textId="141F377B">
      <w:pPr>
        <w:pStyle w:val="NoSpacing"/>
        <w:rPr>
          <w:i/>
        </w:rPr>
      </w:pPr>
      <w:r w:rsidRPr="00DE7325">
        <w:rPr>
          <w:i/>
        </w:rPr>
        <w:tab/>
      </w:r>
      <w:r w:rsidRPr="00DE7325">
        <w:rPr>
          <w:i/>
        </w:rPr>
        <w:t>B</w:t>
      </w:r>
      <w:r w:rsidRPr="00DE7325">
        <w:rPr>
          <w:i/>
          <w:vertAlign w:val="subscript"/>
        </w:rPr>
        <w:t>n,c</w:t>
      </w:r>
      <w:r w:rsidRPr="00DE7325">
        <w:rPr>
          <w:i/>
          <w:vertAlign w:val="subscript"/>
        </w:rPr>
        <w:tab/>
      </w:r>
      <w:r w:rsidRPr="00DE7325">
        <w:t>=</w:t>
      </w:r>
      <w:r w:rsidRPr="00DE7325">
        <w:tab/>
      </w:r>
      <w:r w:rsidRPr="00DE7325">
        <w:t xml:space="preserve">Number of building starts by the unit </w:t>
      </w:r>
      <w:r w:rsidR="00157B70">
        <w:t xml:space="preserve">type </w:t>
      </w:r>
      <w:r w:rsidRPr="00DE7325">
        <w:t xml:space="preserve">category, </w:t>
      </w:r>
      <w:r w:rsidRPr="00DE7325">
        <w:rPr>
          <w:i/>
        </w:rPr>
        <w:t>n</w:t>
      </w:r>
      <w:r w:rsidRPr="00DE7325">
        <w:t xml:space="preserve">, and by county, </w:t>
      </w:r>
      <w:r w:rsidRPr="00DE7325">
        <w:rPr>
          <w:i/>
        </w:rPr>
        <w:t>c</w:t>
      </w:r>
    </w:p>
    <w:p w:rsidRPr="00DE7325" w:rsidR="00A6797B" w:rsidP="00DE7325" w:rsidRDefault="00A6797B" w14:paraId="16F6501E" w14:textId="0CA022C8">
      <w:pPr>
        <w:pStyle w:val="NoSpacing"/>
      </w:pPr>
      <w:r w:rsidRPr="00DE7325">
        <w:rPr>
          <w:i/>
        </w:rPr>
        <w:tab/>
      </w:r>
      <w:r w:rsidRPr="00DE7325">
        <w:rPr>
          <w:i/>
        </w:rPr>
        <w:t>a</w:t>
      </w:r>
      <w:r w:rsidRPr="00DE7325">
        <w:rPr>
          <w:i/>
          <w:vertAlign w:val="subscript"/>
        </w:rPr>
        <w:t>n</w:t>
      </w:r>
      <w:r w:rsidRPr="00DE7325">
        <w:rPr>
          <w:i/>
          <w:vertAlign w:val="subscript"/>
        </w:rPr>
        <w:tab/>
      </w:r>
      <w:r w:rsidRPr="00DE7325">
        <w:t>=</w:t>
      </w:r>
      <w:r w:rsidRPr="00DE7325">
        <w:tab/>
      </w:r>
      <w:r w:rsidRPr="00DE7325">
        <w:t xml:space="preserve">Acres of surface soil disturbed by each unit type category, </w:t>
      </w:r>
      <w:r w:rsidRPr="00DE7325">
        <w:rPr>
          <w:i/>
        </w:rPr>
        <w:t>n</w:t>
      </w:r>
      <w:r w:rsidRPr="00DE7325">
        <w:t xml:space="preserve">. See </w:t>
      </w:r>
      <w:r w:rsidRPr="00DE7325">
        <w:fldChar w:fldCharType="begin"/>
      </w:r>
      <w:r w:rsidRPr="00DE7325">
        <w:instrText xml:space="preserve"> REF _Ref476829924 \h  \* MERGEFORMAT </w:instrText>
      </w:r>
      <w:r w:rsidRPr="00DE7325">
        <w:fldChar w:fldCharType="separate"/>
      </w:r>
      <w:r w:rsidRPr="007D5A4D" w:rsidR="007D5A4D">
        <w:t xml:space="preserve">Table </w:t>
      </w:r>
      <w:r w:rsidRPr="007D5A4D" w:rsidR="007D5A4D">
        <w:rPr>
          <w:noProof/>
        </w:rPr>
        <w:t>3</w:t>
      </w:r>
      <w:r w:rsidRPr="00DE7325">
        <w:fldChar w:fldCharType="end"/>
      </w:r>
      <w:r w:rsidRPr="00DE7325">
        <w:t xml:space="preserve"> for values for each type.</w:t>
      </w:r>
    </w:p>
    <w:p w:rsidRPr="00A6797B" w:rsidR="00A6797B" w:rsidP="00A6797B" w:rsidRDefault="00A6797B" w14:paraId="64E9F4E5" w14:textId="77777777">
      <w:pPr>
        <w:tabs>
          <w:tab w:val="left" w:pos="270"/>
          <w:tab w:val="left" w:pos="990"/>
          <w:tab w:val="left" w:pos="1260"/>
        </w:tabs>
        <w:spacing w:after="0"/>
        <w:rPr>
          <w:szCs w:val="20"/>
          <w:highlight w:val="yellow"/>
        </w:rPr>
      </w:pPr>
    </w:p>
    <w:p w:rsidR="00537635" w:rsidP="00630085" w:rsidRDefault="00914855" w14:paraId="7FCA6D47" w14:textId="77777777">
      <w:pPr>
        <w:rPr>
          <w:szCs w:val="20"/>
        </w:rPr>
      </w:pPr>
      <w:r>
        <w:rPr>
          <w:szCs w:val="20"/>
        </w:rPr>
        <w:t xml:space="preserve">For buildings with 1 </w:t>
      </w:r>
      <w:r w:rsidRPr="00537635" w:rsidR="00A6797B">
        <w:rPr>
          <w:szCs w:val="20"/>
        </w:rPr>
        <w:t>unit, with or without a basement: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Pr="00776EA2" w:rsidR="00537635" w:rsidTr="00630085" w14:paraId="2D85E539" w14:textId="77777777">
        <w:trPr>
          <w:trHeight w:val="360"/>
        </w:trPr>
        <w:tc>
          <w:tcPr>
            <w:tcW w:w="8748" w:type="dxa"/>
          </w:tcPr>
          <w:p w:rsidRPr="00776EA2" w:rsidR="00537635" w:rsidP="005E7A3E" w:rsidRDefault="00A32BA3" w14:paraId="4099B698"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c,BM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n</m:t>
                    </m:r>
                  </m:sub>
                </m:sSub>
              </m:oMath>
            </m:oMathPara>
          </w:p>
        </w:tc>
        <w:tc>
          <w:tcPr>
            <w:tcW w:w="828" w:type="dxa"/>
          </w:tcPr>
          <w:p w:rsidRPr="00776EA2" w:rsidR="00537635" w:rsidP="00537635" w:rsidRDefault="00537635" w14:paraId="4B1C17D4" w14:textId="77777777">
            <w:pPr>
              <w:pStyle w:val="ListParagraph"/>
              <w:widowControl/>
              <w:numPr>
                <w:ilvl w:val="0"/>
                <w:numId w:val="10"/>
              </w:numPr>
              <w:autoSpaceDE/>
              <w:autoSpaceDN/>
              <w:adjustRightInd/>
              <w:jc w:val="right"/>
              <w:rPr>
                <w:szCs w:val="20"/>
              </w:rPr>
            </w:pPr>
          </w:p>
        </w:tc>
      </w:tr>
    </w:tbl>
    <w:p w:rsidRPr="00A6797B" w:rsidR="00A6797B" w:rsidP="00A6797B" w:rsidRDefault="00A6797B" w14:paraId="49A540EC" w14:textId="77777777">
      <w:pPr>
        <w:widowControl/>
        <w:tabs>
          <w:tab w:val="left" w:pos="0"/>
        </w:tabs>
        <w:rPr>
          <w:szCs w:val="20"/>
        </w:rPr>
      </w:pPr>
      <w:r w:rsidRPr="00A6797B">
        <w:rPr>
          <w:szCs w:val="20"/>
        </w:rPr>
        <w:t>Where:</w:t>
      </w:r>
    </w:p>
    <w:p w:rsidRPr="003931CF" w:rsidR="00A6797B" w:rsidP="00DE7325" w:rsidRDefault="00A6797B" w14:paraId="4916ECDE" w14:textId="77777777">
      <w:pPr>
        <w:pStyle w:val="NoSpacing"/>
      </w:pPr>
      <w:r w:rsidRPr="00DE7325">
        <w:rPr>
          <w:i/>
        </w:rPr>
        <w:tab/>
      </w:r>
      <w:r w:rsidRPr="00DE7325">
        <w:rPr>
          <w:i/>
        </w:rPr>
        <w:t>S</w:t>
      </w:r>
      <w:r w:rsidRPr="00DE7325">
        <w:rPr>
          <w:i/>
          <w:vertAlign w:val="subscript"/>
        </w:rPr>
        <w:t>n,c</w:t>
      </w:r>
      <w:r w:rsidRPr="00DE7325">
        <w:rPr>
          <w:i/>
          <w:vertAlign w:val="subscript"/>
        </w:rPr>
        <w:tab/>
      </w:r>
      <w:r w:rsidRPr="00DE7325">
        <w:t>=</w:t>
      </w:r>
      <w:r w:rsidRPr="00DE7325">
        <w:tab/>
      </w:r>
      <w:r w:rsidRPr="00DE7325">
        <w:t xml:space="preserve">Surface soil disturbed by building construction by county, </w:t>
      </w:r>
      <w:r w:rsidRPr="00DE7325">
        <w:rPr>
          <w:i/>
        </w:rPr>
        <w:t>c</w:t>
      </w:r>
      <w:r w:rsidRPr="00DE7325">
        <w:t xml:space="preserve">, and unit type category, </w:t>
      </w:r>
      <w:r w:rsidRPr="00DE7325">
        <w:rPr>
          <w:i/>
        </w:rPr>
        <w:t>n</w:t>
      </w:r>
      <w:r w:rsidR="003931CF">
        <w:t>, in acres</w:t>
      </w:r>
    </w:p>
    <w:p w:rsidRPr="00DE7325" w:rsidR="00A6797B" w:rsidP="00DE7325" w:rsidRDefault="00A6797B" w14:paraId="05B65D2F" w14:textId="77777777">
      <w:pPr>
        <w:pStyle w:val="NoSpacing"/>
        <w:rPr>
          <w:i/>
        </w:rPr>
      </w:pPr>
      <w:r w:rsidRPr="00DE7325">
        <w:rPr>
          <w:i/>
        </w:rPr>
        <w:tab/>
      </w:r>
      <w:r w:rsidRPr="00DE7325">
        <w:rPr>
          <w:i/>
        </w:rPr>
        <w:t>B</w:t>
      </w:r>
      <w:r w:rsidRPr="00DE7325">
        <w:rPr>
          <w:i/>
          <w:vertAlign w:val="subscript"/>
        </w:rPr>
        <w:t>c,BM</w:t>
      </w:r>
      <w:r w:rsidRPr="00DE7325">
        <w:rPr>
          <w:i/>
          <w:vertAlign w:val="subscript"/>
        </w:rPr>
        <w:tab/>
      </w:r>
      <w:r w:rsidRPr="00DE7325">
        <w:t>=</w:t>
      </w:r>
      <w:r w:rsidRPr="00DE7325">
        <w:tab/>
      </w:r>
      <w:r w:rsidRPr="00DE7325">
        <w:t xml:space="preserve">Number of buildings by county, </w:t>
      </w:r>
      <w:r w:rsidRPr="00DE7325">
        <w:rPr>
          <w:i/>
        </w:rPr>
        <w:t>c</w:t>
      </w:r>
      <w:r w:rsidRPr="00DE7325">
        <w:t xml:space="preserve">, with or without a basement, </w:t>
      </w:r>
      <w:r w:rsidRPr="00DE7325">
        <w:rPr>
          <w:i/>
        </w:rPr>
        <w:t>BM</w:t>
      </w:r>
    </w:p>
    <w:p w:rsidR="00A6797B" w:rsidP="00DE7325" w:rsidRDefault="00A6797B" w14:paraId="400CA553" w14:textId="77777777">
      <w:pPr>
        <w:pStyle w:val="NoSpacing"/>
      </w:pPr>
      <w:r w:rsidRPr="00DE7325">
        <w:rPr>
          <w:i/>
        </w:rPr>
        <w:tab/>
      </w:r>
      <w:r w:rsidRPr="00DE7325">
        <w:rPr>
          <w:i/>
        </w:rPr>
        <w:t>a</w:t>
      </w:r>
      <w:r w:rsidRPr="00DE7325">
        <w:rPr>
          <w:i/>
          <w:vertAlign w:val="subscript"/>
        </w:rPr>
        <w:t>n</w:t>
      </w:r>
      <w:r w:rsidRPr="00DE7325">
        <w:rPr>
          <w:i/>
          <w:vertAlign w:val="subscript"/>
        </w:rPr>
        <w:tab/>
      </w:r>
      <w:r w:rsidRPr="00DE7325">
        <w:t>=</w:t>
      </w:r>
      <w:r w:rsidRPr="00DE7325">
        <w:tab/>
      </w:r>
      <w:r w:rsidRPr="00DE7325">
        <w:t xml:space="preserve">Acres of surface soil disturbed by each unit type category, </w:t>
      </w:r>
      <w:r w:rsidRPr="00DE7325">
        <w:rPr>
          <w:i/>
        </w:rPr>
        <w:t>n</w:t>
      </w:r>
      <w:r w:rsidRPr="00DE7325">
        <w:t xml:space="preserve">. See </w:t>
      </w:r>
      <w:r w:rsidRPr="00DE7325">
        <w:fldChar w:fldCharType="begin"/>
      </w:r>
      <w:r w:rsidRPr="00DE7325">
        <w:instrText xml:space="preserve"> REF _Ref476829924 \h  \* MERGEFORMAT </w:instrText>
      </w:r>
      <w:r w:rsidRPr="00DE7325">
        <w:fldChar w:fldCharType="separate"/>
      </w:r>
      <w:r w:rsidRPr="007D5A4D" w:rsidR="007D5A4D">
        <w:t xml:space="preserve">Table </w:t>
      </w:r>
      <w:r w:rsidRPr="007D5A4D" w:rsidR="007D5A4D">
        <w:rPr>
          <w:noProof/>
        </w:rPr>
        <w:t>3</w:t>
      </w:r>
      <w:r w:rsidRPr="00DE7325">
        <w:fldChar w:fldCharType="end"/>
      </w:r>
      <w:r w:rsidRPr="00DE7325">
        <w:t xml:space="preserve"> for values for each type.</w:t>
      </w:r>
    </w:p>
    <w:p w:rsidRPr="00300CE8" w:rsidR="00537635" w:rsidP="00DE7325" w:rsidRDefault="00537635" w14:paraId="23A42C6E" w14:textId="77777777">
      <w:pPr>
        <w:pStyle w:val="NoSpacing"/>
      </w:pPr>
    </w:p>
    <w:p w:rsidR="00B97E6E" w:rsidP="00052E59" w:rsidRDefault="007D6365" w14:paraId="07B7EAF5" w14:textId="77777777">
      <w:pPr>
        <w:pStyle w:val="Heading1"/>
      </w:pPr>
      <w:bookmarkStart w:name="_Ref477177506" w:id="13"/>
      <w:r>
        <w:t>A</w:t>
      </w:r>
      <w:r w:rsidRPr="00203DFF" w:rsidR="00B97E6E">
        <w:t>llocation Procedure</w:t>
      </w:r>
      <w:bookmarkEnd w:id="13"/>
      <w:r w:rsidRPr="009820A2" w:rsidR="00B97E6E">
        <w:t xml:space="preserve"> </w:t>
      </w:r>
    </w:p>
    <w:p w:rsidRPr="003D38C0" w:rsidR="003D38C0" w:rsidP="00DA4A3D" w:rsidRDefault="00DA4A3D" w14:paraId="730719BB" w14:textId="65173381">
      <w:r w:rsidRPr="004E7569">
        <w:rPr>
          <w:szCs w:val="20"/>
        </w:rPr>
        <w:t>Annual county building permit data were purchased from the US Census Bureau for 201</w:t>
      </w:r>
      <w:r w:rsidR="00592CB0">
        <w:rPr>
          <w:szCs w:val="20"/>
        </w:rPr>
        <w:t>7</w:t>
      </w:r>
      <w:r w:rsidRPr="004E7569">
        <w:rPr>
          <w:szCs w:val="20"/>
        </w:rPr>
        <w:t>.</w:t>
      </w:r>
      <w:r w:rsidRPr="007D5A4D" w:rsidR="007D5A4D">
        <w:rPr>
          <w:szCs w:val="20"/>
          <w:vertAlign w:val="superscript"/>
        </w:rPr>
        <w:fldChar w:fldCharType="begin"/>
      </w:r>
      <w:r w:rsidRPr="007D5A4D" w:rsidR="007D5A4D">
        <w:rPr>
          <w:szCs w:val="20"/>
          <w:vertAlign w:val="superscript"/>
        </w:rPr>
        <w:instrText xml:space="preserve"> NOTEREF _Ref478720512 \h  \* MERGEFORMAT </w:instrText>
      </w:r>
      <w:r w:rsidRPr="007D5A4D" w:rsidR="007D5A4D">
        <w:rPr>
          <w:szCs w:val="20"/>
          <w:vertAlign w:val="superscript"/>
        </w:rPr>
      </w:r>
      <w:r w:rsidRPr="007D5A4D" w:rsidR="007D5A4D">
        <w:rPr>
          <w:szCs w:val="20"/>
          <w:vertAlign w:val="superscript"/>
        </w:rPr>
        <w:fldChar w:fldCharType="separate"/>
      </w:r>
      <w:r w:rsidRPr="007D5A4D" w:rsidR="007D5A4D">
        <w:rPr>
          <w:szCs w:val="20"/>
          <w:vertAlign w:val="superscript"/>
        </w:rPr>
        <w:t>4</w:t>
      </w:r>
      <w:r w:rsidRPr="007D5A4D" w:rsidR="007D5A4D">
        <w:rPr>
          <w:szCs w:val="20"/>
          <w:vertAlign w:val="superscript"/>
        </w:rPr>
        <w:fldChar w:fldCharType="end"/>
      </w:r>
      <w:r w:rsidRPr="004E7569">
        <w:rPr>
          <w:szCs w:val="20"/>
        </w:rPr>
        <w:t xml:space="preserve"> The 2014 County Level Residential Building Permit dataset </w:t>
      </w:r>
      <w:r w:rsidR="00914855">
        <w:rPr>
          <w:szCs w:val="20"/>
        </w:rPr>
        <w:t xml:space="preserve">is used </w:t>
      </w:r>
      <w:r w:rsidRPr="004E7569">
        <w:rPr>
          <w:szCs w:val="20"/>
        </w:rPr>
        <w:t xml:space="preserve">to allocate regional housing starts to the county level. </w:t>
      </w:r>
      <w:bookmarkStart w:name="_Ref477177456" w:id="14"/>
      <w:r w:rsidR="00265770">
        <w:rPr>
          <w:szCs w:val="20"/>
        </w:rPr>
        <w:t xml:space="preserve">See Section </w:t>
      </w:r>
      <w:r w:rsidR="00265770">
        <w:rPr>
          <w:szCs w:val="20"/>
        </w:rPr>
        <w:fldChar w:fldCharType="begin"/>
      </w:r>
      <w:r w:rsidR="00265770">
        <w:rPr>
          <w:szCs w:val="20"/>
        </w:rPr>
        <w:instrText xml:space="preserve"> REF _Ref477177316 \r \h </w:instrText>
      </w:r>
      <w:r w:rsidR="00265770">
        <w:rPr>
          <w:szCs w:val="20"/>
        </w:rPr>
      </w:r>
      <w:r w:rsidR="00265770">
        <w:rPr>
          <w:szCs w:val="20"/>
        </w:rPr>
        <w:fldChar w:fldCharType="separate"/>
      </w:r>
      <w:r w:rsidR="007D5A4D">
        <w:rPr>
          <w:szCs w:val="20"/>
        </w:rPr>
        <w:t>C</w:t>
      </w:r>
      <w:r w:rsidR="00265770">
        <w:rPr>
          <w:szCs w:val="20"/>
        </w:rPr>
        <w:fldChar w:fldCharType="end"/>
      </w:r>
      <w:r w:rsidR="00265770">
        <w:rPr>
          <w:szCs w:val="20"/>
        </w:rPr>
        <w:t xml:space="preserve"> for more information. </w:t>
      </w:r>
    </w:p>
    <w:p w:rsidRPr="00886F17" w:rsidR="00B97E6E" w:rsidP="003D38C0" w:rsidRDefault="00B97E6E" w14:paraId="4BAD7AED" w14:textId="77777777">
      <w:pPr>
        <w:pStyle w:val="Heading1"/>
      </w:pPr>
      <w:bookmarkStart w:name="_Ref477187901" w:id="15"/>
      <w:r w:rsidRPr="00886F17">
        <w:t>Emission</w:t>
      </w:r>
      <w:r w:rsidR="00680037">
        <w:t>s</w:t>
      </w:r>
      <w:r w:rsidRPr="00886F17">
        <w:t xml:space="preserve"> Factors</w:t>
      </w:r>
      <w:bookmarkEnd w:id="14"/>
      <w:bookmarkEnd w:id="15"/>
    </w:p>
    <w:p w:rsidRPr="004E7569" w:rsidR="00DA4A3D" w:rsidP="00DA4A3D" w:rsidRDefault="00DA4A3D" w14:paraId="48DDDCE3" w14:textId="0E552FB7">
      <w:pPr>
        <w:rPr>
          <w:szCs w:val="20"/>
        </w:rPr>
      </w:pPr>
      <w:r w:rsidRPr="004E7569">
        <w:rPr>
          <w:szCs w:val="20"/>
        </w:rPr>
        <w:t>Initial PM</w:t>
      </w:r>
      <w:r w:rsidRPr="00DA4A3D">
        <w:rPr>
          <w:szCs w:val="20"/>
        </w:rPr>
        <w:t>10</w:t>
      </w:r>
      <w:r w:rsidRPr="004E7569">
        <w:rPr>
          <w:szCs w:val="20"/>
        </w:rPr>
        <w:t xml:space="preserve"> emissions from construction of single family, </w:t>
      </w:r>
      <w:r w:rsidR="00265770">
        <w:rPr>
          <w:szCs w:val="20"/>
        </w:rPr>
        <w:t>2-unit</w:t>
      </w:r>
      <w:r w:rsidRPr="004E7569">
        <w:rPr>
          <w:szCs w:val="20"/>
        </w:rPr>
        <w:t>, and apartments structures are calculated using the emission</w:t>
      </w:r>
      <w:r w:rsidR="00975078">
        <w:rPr>
          <w:szCs w:val="20"/>
        </w:rPr>
        <w:t>s</w:t>
      </w:r>
      <w:r w:rsidRPr="004E7569">
        <w:rPr>
          <w:szCs w:val="20"/>
        </w:rPr>
        <w:t xml:space="preserve"> factors given in </w:t>
      </w:r>
      <w:r>
        <w:rPr>
          <w:szCs w:val="20"/>
        </w:rPr>
        <w:fldChar w:fldCharType="begin"/>
      </w:r>
      <w:r>
        <w:rPr>
          <w:szCs w:val="20"/>
        </w:rPr>
        <w:instrText xml:space="preserve"> REF _Ref476830052 \h  \* MERGEFORMAT </w:instrText>
      </w:r>
      <w:r>
        <w:rPr>
          <w:szCs w:val="20"/>
        </w:rPr>
      </w:r>
      <w:r>
        <w:rPr>
          <w:szCs w:val="20"/>
        </w:rPr>
        <w:fldChar w:fldCharType="separate"/>
      </w:r>
      <w:r w:rsidRPr="00300CE8" w:rsidR="007D5A4D">
        <w:rPr>
          <w:szCs w:val="20"/>
        </w:rPr>
        <w:t xml:space="preserve">Table </w:t>
      </w:r>
      <w:r w:rsidR="007D5A4D">
        <w:rPr>
          <w:szCs w:val="20"/>
        </w:rPr>
        <w:t>4</w:t>
      </w:r>
      <w:r>
        <w:rPr>
          <w:szCs w:val="20"/>
        </w:rPr>
        <w:fldChar w:fldCharType="end"/>
      </w:r>
      <w:r w:rsidRPr="004E7569">
        <w:rPr>
          <w:szCs w:val="20"/>
        </w:rPr>
        <w:t xml:space="preserve">. </w:t>
      </w:r>
      <w:r w:rsidR="00C55020">
        <w:rPr>
          <w:szCs w:val="20"/>
        </w:rPr>
        <w:t>These emissions factors describe average “unit operations,” such as “loading and unloading of earth and aggregate materials, land clearing and general vehicle traffic.”</w:t>
      </w:r>
      <w:bookmarkStart w:name="_Ref503515079" w:id="16"/>
      <w:r w:rsidR="0075597F">
        <w:rPr>
          <w:rStyle w:val="EndnoteReference"/>
          <w:szCs w:val="20"/>
        </w:rPr>
        <w:endnoteReference w:id="7"/>
      </w:r>
      <w:bookmarkEnd w:id="16"/>
      <w:r w:rsidR="00C55020">
        <w:rPr>
          <w:szCs w:val="20"/>
        </w:rPr>
        <w:t xml:space="preserve"> </w:t>
      </w:r>
      <w:r w:rsidR="006A45B0">
        <w:rPr>
          <w:szCs w:val="20"/>
        </w:rPr>
        <w:t xml:space="preserve">They therefore take into account the entire duration of construction, and not simply the duration of active excavation. </w:t>
      </w:r>
      <w:r w:rsidRPr="004E7569">
        <w:rPr>
          <w:szCs w:val="20"/>
        </w:rPr>
        <w:t>The duration of construction activity for houses is assumed to be 6 months and the duration of construction for apartments is assumed to be 12 months.</w:t>
      </w:r>
    </w:p>
    <w:p w:rsidRPr="004E7569" w:rsidR="00DA4A3D" w:rsidP="00DA4A3D" w:rsidRDefault="00DA4A3D" w14:paraId="4A3F92DD" w14:textId="77777777">
      <w:pPr>
        <w:tabs>
          <w:tab w:val="left" w:pos="0"/>
        </w:tabs>
        <w:spacing w:after="0" w:line="226" w:lineRule="auto"/>
        <w:jc w:val="center"/>
        <w:rPr>
          <w:szCs w:val="20"/>
        </w:rPr>
      </w:pPr>
    </w:p>
    <w:p w:rsidRPr="00300CE8" w:rsidR="00DA4A3D" w:rsidP="00DA4A3D" w:rsidRDefault="00DA4A3D" w14:paraId="5459C3FF" w14:textId="77777777">
      <w:pPr>
        <w:pStyle w:val="Caption"/>
        <w:keepNext/>
        <w:rPr>
          <w:color w:val="auto"/>
          <w:sz w:val="20"/>
          <w:szCs w:val="20"/>
        </w:rPr>
      </w:pPr>
      <w:bookmarkStart w:name="_Ref476830052" w:id="17"/>
      <w:r w:rsidRPr="00300CE8">
        <w:rPr>
          <w:color w:val="auto"/>
          <w:sz w:val="20"/>
          <w:szCs w:val="20"/>
        </w:rPr>
        <w:t xml:space="preserve">Table </w:t>
      </w:r>
      <w:r w:rsidRPr="00300CE8">
        <w:rPr>
          <w:color w:val="auto"/>
          <w:sz w:val="20"/>
          <w:szCs w:val="20"/>
        </w:rPr>
        <w:fldChar w:fldCharType="begin"/>
      </w:r>
      <w:r w:rsidRPr="00300CE8">
        <w:rPr>
          <w:color w:val="auto"/>
          <w:sz w:val="20"/>
          <w:szCs w:val="20"/>
        </w:rPr>
        <w:instrText xml:space="preserve"> SEQ Table \* ARABIC </w:instrText>
      </w:r>
      <w:r w:rsidRPr="00300CE8">
        <w:rPr>
          <w:color w:val="auto"/>
          <w:sz w:val="20"/>
          <w:szCs w:val="20"/>
        </w:rPr>
        <w:fldChar w:fldCharType="separate"/>
      </w:r>
      <w:r w:rsidR="007D5A4D">
        <w:rPr>
          <w:noProof/>
          <w:color w:val="auto"/>
          <w:sz w:val="20"/>
          <w:szCs w:val="20"/>
        </w:rPr>
        <w:t>4</w:t>
      </w:r>
      <w:r w:rsidRPr="00300CE8">
        <w:rPr>
          <w:color w:val="auto"/>
          <w:sz w:val="20"/>
          <w:szCs w:val="20"/>
        </w:rPr>
        <w:fldChar w:fldCharType="end"/>
      </w:r>
      <w:bookmarkEnd w:id="17"/>
      <w:r w:rsidRPr="00300CE8">
        <w:rPr>
          <w:color w:val="auto"/>
          <w:sz w:val="20"/>
          <w:szCs w:val="20"/>
        </w:rPr>
        <w:t xml:space="preserve">. </w:t>
      </w:r>
      <w:r w:rsidRPr="00300CE8">
        <w:rPr>
          <w:bCs w:val="0"/>
          <w:color w:val="auto"/>
          <w:sz w:val="20"/>
          <w:szCs w:val="20"/>
        </w:rPr>
        <w:t>Emission</w:t>
      </w:r>
      <w:r w:rsidR="00975078">
        <w:rPr>
          <w:bCs w:val="0"/>
          <w:color w:val="auto"/>
          <w:sz w:val="20"/>
          <w:szCs w:val="20"/>
        </w:rPr>
        <w:t>s</w:t>
      </w:r>
      <w:r w:rsidRPr="00300CE8">
        <w:rPr>
          <w:bCs w:val="0"/>
          <w:color w:val="auto"/>
          <w:sz w:val="20"/>
          <w:szCs w:val="20"/>
        </w:rPr>
        <w:t xml:space="preserve"> Factors for Residential Construction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2906"/>
        <w:gridCol w:w="3067"/>
        <w:gridCol w:w="1800"/>
      </w:tblGrid>
      <w:tr w:rsidRPr="004E7569" w:rsidR="00DA4A3D" w:rsidTr="00A25E2C" w14:paraId="289913C3" w14:textId="77777777">
        <w:trPr>
          <w:cantSplit/>
          <w:tblHeader/>
          <w:jc w:val="center"/>
        </w:trPr>
        <w:tc>
          <w:tcPr>
            <w:tcW w:w="2906" w:type="dxa"/>
            <w:shd w:val="clear" w:color="auto" w:fill="D9D9D9" w:themeFill="background1" w:themeFillShade="D9"/>
            <w:vAlign w:val="center"/>
          </w:tcPr>
          <w:p w:rsidRPr="004E7569" w:rsidR="00DA4A3D" w:rsidP="00DE7325" w:rsidRDefault="00DA4A3D" w14:paraId="2D7B31ED" w14:textId="77777777">
            <w:pPr>
              <w:spacing w:after="0" w:line="120" w:lineRule="exact"/>
              <w:rPr>
                <w:szCs w:val="20"/>
              </w:rPr>
            </w:pPr>
          </w:p>
          <w:p w:rsidRPr="004E7569" w:rsidR="00DA4A3D" w:rsidP="00DE7325" w:rsidRDefault="00DA4A3D" w14:paraId="45E06573" w14:textId="77777777">
            <w:pPr>
              <w:tabs>
                <w:tab w:val="left" w:pos="0"/>
              </w:tabs>
              <w:spacing w:after="0" w:line="226" w:lineRule="auto"/>
              <w:rPr>
                <w:b/>
                <w:bCs/>
                <w:szCs w:val="20"/>
              </w:rPr>
            </w:pPr>
            <w:r w:rsidRPr="004E7569">
              <w:rPr>
                <w:b/>
                <w:bCs/>
                <w:szCs w:val="20"/>
              </w:rPr>
              <w:t>Type of Structure</w:t>
            </w:r>
          </w:p>
        </w:tc>
        <w:tc>
          <w:tcPr>
            <w:tcW w:w="3067" w:type="dxa"/>
            <w:shd w:val="clear" w:color="auto" w:fill="D9D9D9" w:themeFill="background1" w:themeFillShade="D9"/>
            <w:vAlign w:val="center"/>
          </w:tcPr>
          <w:p w:rsidRPr="004E7569" w:rsidR="00DA4A3D" w:rsidP="00DE7325" w:rsidRDefault="00DA4A3D" w14:paraId="4D48DED7" w14:textId="77777777">
            <w:pPr>
              <w:spacing w:after="0" w:line="120" w:lineRule="exact"/>
              <w:rPr>
                <w:b/>
                <w:bCs/>
                <w:szCs w:val="20"/>
              </w:rPr>
            </w:pPr>
          </w:p>
          <w:p w:rsidRPr="004E7569" w:rsidR="00DA4A3D" w:rsidP="00DE7325" w:rsidRDefault="00DA4A3D" w14:paraId="0C87BE26" w14:textId="77777777">
            <w:pPr>
              <w:tabs>
                <w:tab w:val="left" w:pos="0"/>
              </w:tabs>
              <w:spacing w:after="0" w:line="226" w:lineRule="auto"/>
              <w:rPr>
                <w:b/>
                <w:bCs/>
                <w:szCs w:val="20"/>
              </w:rPr>
            </w:pPr>
            <w:r w:rsidRPr="004E7569">
              <w:rPr>
                <w:b/>
                <w:bCs/>
                <w:szCs w:val="20"/>
              </w:rPr>
              <w:t>Emission</w:t>
            </w:r>
            <w:r w:rsidR="00975078">
              <w:rPr>
                <w:b/>
                <w:bCs/>
                <w:szCs w:val="20"/>
              </w:rPr>
              <w:t>s</w:t>
            </w:r>
            <w:r w:rsidRPr="004E7569">
              <w:rPr>
                <w:b/>
                <w:bCs/>
                <w:szCs w:val="20"/>
              </w:rPr>
              <w:t xml:space="preserve"> Factor</w:t>
            </w:r>
          </w:p>
        </w:tc>
        <w:tc>
          <w:tcPr>
            <w:tcW w:w="1800" w:type="dxa"/>
            <w:shd w:val="clear" w:color="auto" w:fill="D9D9D9" w:themeFill="background1" w:themeFillShade="D9"/>
            <w:vAlign w:val="center"/>
          </w:tcPr>
          <w:p w:rsidRPr="004E7569" w:rsidR="00DA4A3D" w:rsidP="00DE7325" w:rsidRDefault="00DA4A3D" w14:paraId="7D7F2B92" w14:textId="77777777">
            <w:pPr>
              <w:spacing w:after="0" w:line="120" w:lineRule="exact"/>
              <w:rPr>
                <w:b/>
                <w:bCs/>
                <w:szCs w:val="20"/>
              </w:rPr>
            </w:pPr>
          </w:p>
          <w:p w:rsidRPr="004E7569" w:rsidR="00DA4A3D" w:rsidP="00DE7325" w:rsidRDefault="00DA4A3D" w14:paraId="1624508F" w14:textId="77777777">
            <w:pPr>
              <w:tabs>
                <w:tab w:val="left" w:pos="0"/>
              </w:tabs>
              <w:spacing w:after="0" w:line="226" w:lineRule="auto"/>
              <w:rPr>
                <w:b/>
                <w:bCs/>
                <w:szCs w:val="20"/>
              </w:rPr>
            </w:pPr>
            <w:r w:rsidRPr="004E7569">
              <w:rPr>
                <w:b/>
                <w:bCs/>
                <w:szCs w:val="20"/>
              </w:rPr>
              <w:t>Duration of Construction</w:t>
            </w:r>
          </w:p>
        </w:tc>
      </w:tr>
      <w:tr w:rsidRPr="004E7569" w:rsidR="00DA4A3D" w:rsidTr="00A25E2C" w14:paraId="28E5229E" w14:textId="77777777">
        <w:trPr>
          <w:cantSplit/>
          <w:jc w:val="center"/>
        </w:trPr>
        <w:tc>
          <w:tcPr>
            <w:tcW w:w="2906" w:type="dxa"/>
          </w:tcPr>
          <w:p w:rsidRPr="004E7569" w:rsidR="00DA4A3D" w:rsidP="00DE7325" w:rsidRDefault="00DA4A3D" w14:paraId="524340F8" w14:textId="77777777">
            <w:pPr>
              <w:spacing w:after="0" w:line="120" w:lineRule="exact"/>
              <w:rPr>
                <w:b/>
                <w:bCs/>
                <w:szCs w:val="20"/>
              </w:rPr>
            </w:pPr>
          </w:p>
          <w:p w:rsidRPr="004E7569" w:rsidR="00DA4A3D" w:rsidP="00DE7325" w:rsidRDefault="00DA4A3D" w14:paraId="3FF3357D" w14:textId="77777777">
            <w:pPr>
              <w:tabs>
                <w:tab w:val="left" w:pos="0"/>
              </w:tabs>
              <w:spacing w:after="0" w:line="226" w:lineRule="auto"/>
              <w:rPr>
                <w:szCs w:val="20"/>
              </w:rPr>
            </w:pPr>
            <w:r w:rsidRPr="004E7569">
              <w:rPr>
                <w:szCs w:val="20"/>
              </w:rPr>
              <w:t>Apartments</w:t>
            </w:r>
          </w:p>
        </w:tc>
        <w:tc>
          <w:tcPr>
            <w:tcW w:w="3067" w:type="dxa"/>
          </w:tcPr>
          <w:p w:rsidRPr="004E7569" w:rsidR="00DA4A3D" w:rsidP="00DE7325" w:rsidRDefault="00DA4A3D" w14:paraId="3AAFA4C5" w14:textId="77777777">
            <w:pPr>
              <w:spacing w:after="0" w:line="120" w:lineRule="exact"/>
              <w:rPr>
                <w:szCs w:val="20"/>
              </w:rPr>
            </w:pPr>
          </w:p>
          <w:p w:rsidRPr="004E7569" w:rsidR="00DA4A3D" w:rsidP="00DE7325" w:rsidRDefault="00DA4A3D" w14:paraId="697CB831" w14:textId="77777777">
            <w:pPr>
              <w:tabs>
                <w:tab w:val="left" w:pos="0"/>
              </w:tabs>
              <w:spacing w:after="0" w:line="226" w:lineRule="auto"/>
              <w:rPr>
                <w:szCs w:val="20"/>
              </w:rPr>
            </w:pPr>
            <w:r w:rsidRPr="004E7569">
              <w:rPr>
                <w:szCs w:val="20"/>
              </w:rPr>
              <w:t>0.11 tons PM10/acre-month</w:t>
            </w:r>
          </w:p>
        </w:tc>
        <w:tc>
          <w:tcPr>
            <w:tcW w:w="1800" w:type="dxa"/>
          </w:tcPr>
          <w:p w:rsidRPr="004E7569" w:rsidR="00DA4A3D" w:rsidP="00DE7325" w:rsidRDefault="00DA4A3D" w14:paraId="6A30ED0F" w14:textId="77777777">
            <w:pPr>
              <w:spacing w:after="0" w:line="120" w:lineRule="exact"/>
              <w:rPr>
                <w:szCs w:val="20"/>
              </w:rPr>
            </w:pPr>
          </w:p>
          <w:p w:rsidRPr="004E7569" w:rsidR="00DA4A3D" w:rsidP="00DE7325" w:rsidRDefault="00DA4A3D" w14:paraId="2354D039" w14:textId="77777777">
            <w:pPr>
              <w:tabs>
                <w:tab w:val="left" w:pos="0"/>
              </w:tabs>
              <w:spacing w:after="0" w:line="226" w:lineRule="auto"/>
              <w:rPr>
                <w:szCs w:val="20"/>
              </w:rPr>
            </w:pPr>
            <w:r w:rsidRPr="004E7569">
              <w:rPr>
                <w:szCs w:val="20"/>
              </w:rPr>
              <w:t>12 months</w:t>
            </w:r>
          </w:p>
        </w:tc>
      </w:tr>
      <w:tr w:rsidRPr="004E7569" w:rsidR="00DA4A3D" w:rsidTr="00A25E2C" w14:paraId="325C51DF" w14:textId="77777777">
        <w:trPr>
          <w:cantSplit/>
          <w:jc w:val="center"/>
        </w:trPr>
        <w:tc>
          <w:tcPr>
            <w:tcW w:w="2906" w:type="dxa"/>
          </w:tcPr>
          <w:p w:rsidRPr="004E7569" w:rsidR="00DA4A3D" w:rsidP="00DE7325" w:rsidRDefault="00DA4A3D" w14:paraId="53418997" w14:textId="77777777">
            <w:pPr>
              <w:spacing w:after="0" w:line="120" w:lineRule="exact"/>
              <w:rPr>
                <w:szCs w:val="20"/>
              </w:rPr>
            </w:pPr>
          </w:p>
          <w:p w:rsidRPr="004E7569" w:rsidR="00DA4A3D" w:rsidP="00DE7325" w:rsidRDefault="00DA4A3D" w14:paraId="70690740" w14:textId="77777777">
            <w:pPr>
              <w:tabs>
                <w:tab w:val="left" w:pos="0"/>
              </w:tabs>
              <w:spacing w:after="0" w:line="226" w:lineRule="auto"/>
              <w:rPr>
                <w:szCs w:val="20"/>
              </w:rPr>
            </w:pPr>
            <w:r w:rsidRPr="004E7569">
              <w:rPr>
                <w:szCs w:val="20"/>
              </w:rPr>
              <w:t>2-Unit Structures</w:t>
            </w:r>
          </w:p>
        </w:tc>
        <w:tc>
          <w:tcPr>
            <w:tcW w:w="3067" w:type="dxa"/>
          </w:tcPr>
          <w:p w:rsidRPr="004E7569" w:rsidR="00DA4A3D" w:rsidP="00DE7325" w:rsidRDefault="00DA4A3D" w14:paraId="4E65FB16" w14:textId="77777777">
            <w:pPr>
              <w:spacing w:after="0" w:line="120" w:lineRule="exact"/>
              <w:rPr>
                <w:szCs w:val="20"/>
              </w:rPr>
            </w:pPr>
          </w:p>
          <w:p w:rsidRPr="004E7569" w:rsidR="00DA4A3D" w:rsidP="00DE7325" w:rsidRDefault="00DA4A3D" w14:paraId="672B0917" w14:textId="77777777">
            <w:pPr>
              <w:tabs>
                <w:tab w:val="left" w:pos="0"/>
              </w:tabs>
              <w:spacing w:after="0" w:line="226" w:lineRule="auto"/>
              <w:rPr>
                <w:szCs w:val="20"/>
              </w:rPr>
            </w:pPr>
            <w:r w:rsidRPr="004E7569">
              <w:rPr>
                <w:szCs w:val="20"/>
              </w:rPr>
              <w:t>0.032 tons PM10/acre-month</w:t>
            </w:r>
          </w:p>
        </w:tc>
        <w:tc>
          <w:tcPr>
            <w:tcW w:w="1800" w:type="dxa"/>
          </w:tcPr>
          <w:p w:rsidRPr="004E7569" w:rsidR="00DA4A3D" w:rsidP="00DE7325" w:rsidRDefault="00DA4A3D" w14:paraId="0555952B" w14:textId="77777777">
            <w:pPr>
              <w:spacing w:after="0" w:line="120" w:lineRule="exact"/>
              <w:rPr>
                <w:szCs w:val="20"/>
              </w:rPr>
            </w:pPr>
          </w:p>
          <w:p w:rsidRPr="004E7569" w:rsidR="00DA4A3D" w:rsidP="00DE7325" w:rsidRDefault="00DA4A3D" w14:paraId="3C2ED6E2" w14:textId="77777777">
            <w:pPr>
              <w:tabs>
                <w:tab w:val="left" w:pos="0"/>
              </w:tabs>
              <w:spacing w:after="0" w:line="226" w:lineRule="auto"/>
              <w:rPr>
                <w:szCs w:val="20"/>
              </w:rPr>
            </w:pPr>
            <w:r w:rsidRPr="004E7569">
              <w:rPr>
                <w:szCs w:val="20"/>
              </w:rPr>
              <w:t>6 months</w:t>
            </w:r>
          </w:p>
        </w:tc>
      </w:tr>
      <w:tr w:rsidRPr="004E7569" w:rsidR="00DA4A3D" w:rsidTr="00A25E2C" w14:paraId="55247B83" w14:textId="77777777">
        <w:trPr>
          <w:cantSplit/>
          <w:jc w:val="center"/>
        </w:trPr>
        <w:tc>
          <w:tcPr>
            <w:tcW w:w="2906" w:type="dxa"/>
            <w:vMerge w:val="restart"/>
            <w:vAlign w:val="center"/>
          </w:tcPr>
          <w:p w:rsidRPr="004E7569" w:rsidR="00DA4A3D" w:rsidP="00265770" w:rsidRDefault="00DA4A3D" w14:paraId="0D44C46A" w14:textId="77777777">
            <w:pPr>
              <w:tabs>
                <w:tab w:val="left" w:pos="0"/>
              </w:tabs>
              <w:spacing w:after="0" w:line="226" w:lineRule="auto"/>
              <w:rPr>
                <w:szCs w:val="20"/>
              </w:rPr>
            </w:pPr>
            <w:r w:rsidRPr="004E7569">
              <w:rPr>
                <w:szCs w:val="20"/>
              </w:rPr>
              <w:t>1</w:t>
            </w:r>
            <w:r w:rsidR="00265770">
              <w:rPr>
                <w:szCs w:val="20"/>
              </w:rPr>
              <w:t>-unit Structures with Basements</w:t>
            </w:r>
          </w:p>
        </w:tc>
        <w:tc>
          <w:tcPr>
            <w:tcW w:w="3067" w:type="dxa"/>
          </w:tcPr>
          <w:p w:rsidRPr="004E7569" w:rsidR="00DA4A3D" w:rsidP="00DE7325" w:rsidRDefault="00DA4A3D" w14:paraId="59E55C88" w14:textId="77777777">
            <w:pPr>
              <w:spacing w:after="0" w:line="120" w:lineRule="exact"/>
              <w:rPr>
                <w:szCs w:val="20"/>
              </w:rPr>
            </w:pPr>
          </w:p>
          <w:p w:rsidRPr="004E7569" w:rsidR="00DA4A3D" w:rsidP="00DE7325" w:rsidRDefault="00DA4A3D" w14:paraId="4CA954ED" w14:textId="77777777">
            <w:pPr>
              <w:tabs>
                <w:tab w:val="left" w:pos="0"/>
              </w:tabs>
              <w:spacing w:after="0" w:line="226" w:lineRule="auto"/>
              <w:rPr>
                <w:szCs w:val="20"/>
              </w:rPr>
            </w:pPr>
            <w:r w:rsidRPr="004E7569">
              <w:rPr>
                <w:szCs w:val="20"/>
              </w:rPr>
              <w:t>0.011 tons PM10/acre-month</w:t>
            </w:r>
          </w:p>
        </w:tc>
        <w:tc>
          <w:tcPr>
            <w:tcW w:w="1800" w:type="dxa"/>
            <w:vMerge w:val="restart"/>
            <w:vAlign w:val="center"/>
          </w:tcPr>
          <w:p w:rsidRPr="004E7569" w:rsidR="00DA4A3D" w:rsidP="00265770" w:rsidRDefault="00265770" w14:paraId="53412039" w14:textId="77777777">
            <w:pPr>
              <w:tabs>
                <w:tab w:val="left" w:pos="0"/>
              </w:tabs>
              <w:spacing w:after="0" w:line="226" w:lineRule="auto"/>
              <w:rPr>
                <w:szCs w:val="20"/>
              </w:rPr>
            </w:pPr>
            <w:r>
              <w:rPr>
                <w:szCs w:val="20"/>
              </w:rPr>
              <w:t>6 months</w:t>
            </w:r>
          </w:p>
        </w:tc>
      </w:tr>
      <w:tr w:rsidRPr="004E7569" w:rsidR="00DA4A3D" w:rsidTr="00A25E2C" w14:paraId="34E5A9E7" w14:textId="77777777">
        <w:trPr>
          <w:cantSplit/>
          <w:jc w:val="center"/>
        </w:trPr>
        <w:tc>
          <w:tcPr>
            <w:tcW w:w="2906" w:type="dxa"/>
            <w:vMerge/>
          </w:tcPr>
          <w:p w:rsidRPr="004E7569" w:rsidR="00DA4A3D" w:rsidP="00DE7325" w:rsidRDefault="00DA4A3D" w14:paraId="588D2D0F" w14:textId="77777777">
            <w:pPr>
              <w:tabs>
                <w:tab w:val="left" w:pos="0"/>
              </w:tabs>
              <w:spacing w:after="0" w:line="226" w:lineRule="auto"/>
              <w:rPr>
                <w:szCs w:val="20"/>
              </w:rPr>
            </w:pPr>
          </w:p>
        </w:tc>
        <w:tc>
          <w:tcPr>
            <w:tcW w:w="3067" w:type="dxa"/>
          </w:tcPr>
          <w:p w:rsidRPr="004E7569" w:rsidR="00DA4A3D" w:rsidP="00DE7325" w:rsidRDefault="00DA4A3D" w14:paraId="07F14E0A" w14:textId="77777777">
            <w:pPr>
              <w:spacing w:after="0" w:line="120" w:lineRule="exact"/>
              <w:rPr>
                <w:szCs w:val="20"/>
              </w:rPr>
            </w:pPr>
          </w:p>
          <w:p w:rsidRPr="004E7569" w:rsidR="00DA4A3D" w:rsidP="00DE7325" w:rsidRDefault="00DA4A3D" w14:paraId="413B7213" w14:textId="77777777">
            <w:pPr>
              <w:tabs>
                <w:tab w:val="left" w:pos="0"/>
              </w:tabs>
              <w:spacing w:after="0" w:line="226" w:lineRule="auto"/>
              <w:rPr>
                <w:szCs w:val="20"/>
              </w:rPr>
            </w:pPr>
            <w:r w:rsidRPr="004E7569">
              <w:rPr>
                <w:szCs w:val="20"/>
              </w:rPr>
              <w:t>0.059 tons PM10/1000 cubic yards</w:t>
            </w:r>
          </w:p>
        </w:tc>
        <w:tc>
          <w:tcPr>
            <w:tcW w:w="1800" w:type="dxa"/>
            <w:vMerge/>
          </w:tcPr>
          <w:p w:rsidRPr="004E7569" w:rsidR="00DA4A3D" w:rsidP="00DE7325" w:rsidRDefault="00DA4A3D" w14:paraId="69504CE2" w14:textId="77777777">
            <w:pPr>
              <w:tabs>
                <w:tab w:val="left" w:pos="0"/>
              </w:tabs>
              <w:spacing w:after="0" w:line="226" w:lineRule="auto"/>
              <w:rPr>
                <w:szCs w:val="20"/>
              </w:rPr>
            </w:pPr>
          </w:p>
        </w:tc>
      </w:tr>
      <w:tr w:rsidRPr="004E7569" w:rsidR="00DA4A3D" w:rsidTr="00A25E2C" w14:paraId="276E739C" w14:textId="77777777">
        <w:trPr>
          <w:cantSplit/>
          <w:trHeight w:val="413"/>
          <w:jc w:val="center"/>
        </w:trPr>
        <w:tc>
          <w:tcPr>
            <w:tcW w:w="2906" w:type="dxa"/>
            <w:vAlign w:val="center"/>
          </w:tcPr>
          <w:p w:rsidRPr="004E7569" w:rsidR="00DA4A3D" w:rsidP="00DE7325" w:rsidRDefault="00DA4A3D" w14:paraId="7ACE721E" w14:textId="77777777">
            <w:pPr>
              <w:tabs>
                <w:tab w:val="left" w:pos="0"/>
              </w:tabs>
              <w:spacing w:after="0" w:line="226" w:lineRule="auto"/>
              <w:rPr>
                <w:szCs w:val="20"/>
              </w:rPr>
            </w:pPr>
            <w:r w:rsidRPr="004E7569">
              <w:rPr>
                <w:szCs w:val="20"/>
              </w:rPr>
              <w:t>1-Unit Structures w/o Basements</w:t>
            </w:r>
          </w:p>
        </w:tc>
        <w:tc>
          <w:tcPr>
            <w:tcW w:w="3067" w:type="dxa"/>
            <w:vAlign w:val="center"/>
          </w:tcPr>
          <w:p w:rsidRPr="004E7569" w:rsidR="00DA4A3D" w:rsidP="00DE7325" w:rsidRDefault="00DA4A3D" w14:paraId="762020B7" w14:textId="77777777">
            <w:pPr>
              <w:tabs>
                <w:tab w:val="left" w:pos="0"/>
              </w:tabs>
              <w:spacing w:after="0" w:line="226" w:lineRule="auto"/>
              <w:rPr>
                <w:szCs w:val="20"/>
              </w:rPr>
            </w:pPr>
            <w:r w:rsidRPr="004E7569">
              <w:rPr>
                <w:szCs w:val="20"/>
              </w:rPr>
              <w:t>0.032 tons PM10/acre-month</w:t>
            </w:r>
          </w:p>
        </w:tc>
        <w:tc>
          <w:tcPr>
            <w:tcW w:w="1800" w:type="dxa"/>
            <w:vAlign w:val="center"/>
          </w:tcPr>
          <w:p w:rsidRPr="004E7569" w:rsidR="00DA4A3D" w:rsidP="00DE7325" w:rsidRDefault="00DA4A3D" w14:paraId="6D0947C4" w14:textId="77777777">
            <w:pPr>
              <w:tabs>
                <w:tab w:val="left" w:pos="0"/>
              </w:tabs>
              <w:spacing w:after="0" w:line="226" w:lineRule="auto"/>
              <w:rPr>
                <w:szCs w:val="20"/>
              </w:rPr>
            </w:pPr>
            <w:r w:rsidRPr="004E7569">
              <w:rPr>
                <w:szCs w:val="20"/>
              </w:rPr>
              <w:t>6 months</w:t>
            </w:r>
          </w:p>
        </w:tc>
      </w:tr>
    </w:tbl>
    <w:p w:rsidRPr="00537635" w:rsidR="00A6797B" w:rsidP="00537635" w:rsidRDefault="00537635" w14:paraId="0C8F94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135FC5">
        <w:rPr>
          <w:szCs w:val="20"/>
        </w:rPr>
        <w:t xml:space="preserve"> </w:t>
      </w:r>
      <w:r w:rsidRPr="00135FC5">
        <w:rPr>
          <w:i/>
          <w:szCs w:val="20"/>
        </w:rPr>
        <w:t xml:space="preserve"> </w:t>
      </w:r>
      <w:r w:rsidRPr="00135FC5">
        <w:rPr>
          <w:i/>
          <w:szCs w:val="20"/>
        </w:rPr>
        <w:tab/>
      </w:r>
      <w:r w:rsidRPr="00135FC5">
        <w:rPr>
          <w:i/>
          <w:szCs w:val="20"/>
        </w:rPr>
        <w:t xml:space="preserve">Source: </w:t>
      </w:r>
      <w:r w:rsidRPr="00135FC5" w:rsidR="00135FC5">
        <w:t>Reference</w:t>
      </w:r>
      <w:r w:rsidR="00135FC5">
        <w:t xml:space="preserve"> </w:t>
      </w:r>
      <w:r w:rsidR="00135FC5">
        <w:fldChar w:fldCharType="begin"/>
      </w:r>
      <w:r w:rsidR="00135FC5">
        <w:instrText xml:space="preserve"> NOTEREF _Ref478544553 \h </w:instrText>
      </w:r>
      <w:r w:rsidR="00135FC5">
        <w:fldChar w:fldCharType="separate"/>
      </w:r>
      <w:r w:rsidR="007D5A4D">
        <w:t>5</w:t>
      </w:r>
      <w:r w:rsidR="00135FC5">
        <w:fldChar w:fldCharType="end"/>
      </w:r>
    </w:p>
    <w:p w:rsidRPr="004E7569" w:rsidR="0012542B" w:rsidP="0012542B" w:rsidRDefault="0012542B" w14:paraId="22A8D603" w14:textId="0DBE20F8">
      <w:pPr>
        <w:rPr>
          <w:szCs w:val="20"/>
        </w:rPr>
      </w:pPr>
      <w:r w:rsidRPr="004E7569">
        <w:rPr>
          <w:szCs w:val="20"/>
        </w:rPr>
        <w:t>To account for the soil moisture level, the PM</w:t>
      </w:r>
      <w:r w:rsidRPr="00DA4A3D">
        <w:rPr>
          <w:szCs w:val="20"/>
        </w:rPr>
        <w:t>10</w:t>
      </w:r>
      <w:r w:rsidRPr="004E7569">
        <w:rPr>
          <w:szCs w:val="20"/>
        </w:rPr>
        <w:t xml:space="preserve"> emissions are weighted using the 30-year average precipitation-evaporation (PE) values from Thornthwaite’s PE Index.</w:t>
      </w:r>
      <w:r>
        <w:rPr>
          <w:szCs w:val="20"/>
        </w:rPr>
        <w:t xml:space="preserve"> </w:t>
      </w:r>
      <w:r w:rsidRPr="004E7569">
        <w:rPr>
          <w:szCs w:val="20"/>
        </w:rPr>
        <w:t xml:space="preserve">Average precipitation evaporation values for each </w:t>
      </w:r>
      <w:r>
        <w:rPr>
          <w:szCs w:val="20"/>
        </w:rPr>
        <w:t>s</w:t>
      </w:r>
      <w:r w:rsidRPr="004E7569">
        <w:rPr>
          <w:szCs w:val="20"/>
        </w:rPr>
        <w:t xml:space="preserve">tate </w:t>
      </w:r>
      <w:r>
        <w:rPr>
          <w:szCs w:val="20"/>
        </w:rPr>
        <w:t>a</w:t>
      </w:r>
      <w:r w:rsidRPr="004E7569">
        <w:rPr>
          <w:szCs w:val="20"/>
        </w:rPr>
        <w:t xml:space="preserve">re estimated based on PE values for specific climatic divisions within a </w:t>
      </w:r>
      <w:r>
        <w:rPr>
          <w:szCs w:val="20"/>
        </w:rPr>
        <w:t>s</w:t>
      </w:r>
      <w:r w:rsidRPr="004E7569">
        <w:rPr>
          <w:szCs w:val="20"/>
        </w:rPr>
        <w:t>tate.</w:t>
      </w:r>
      <w:r>
        <w:rPr>
          <w:szCs w:val="20"/>
        </w:rPr>
        <w:t xml:space="preserve"> </w:t>
      </w:r>
      <w:r>
        <w:rPr>
          <w:iCs/>
          <w:szCs w:val="20"/>
        </w:rPr>
        <w:t>The average PE value for the test sites from which the PM10 emissions factor was developed is 24</w:t>
      </w:r>
      <w:r w:rsidR="00851D7A">
        <w:rPr>
          <w:iCs/>
          <w:szCs w:val="20"/>
        </w:rPr>
        <w:t>.</w:t>
      </w:r>
      <w:r w:rsidRPr="002F6DFD" w:rsidR="002F6DFD">
        <w:rPr>
          <w:iCs/>
          <w:szCs w:val="20"/>
          <w:vertAlign w:val="superscript"/>
        </w:rPr>
        <w:fldChar w:fldCharType="begin"/>
      </w:r>
      <w:r w:rsidRPr="002F6DFD" w:rsidR="002F6DFD">
        <w:rPr>
          <w:iCs/>
          <w:szCs w:val="20"/>
          <w:vertAlign w:val="superscript"/>
        </w:rPr>
        <w:instrText xml:space="preserve"> NOTEREF _Ref503515079 \h  \* MERGEFORMAT </w:instrText>
      </w:r>
      <w:r w:rsidRPr="002F6DFD" w:rsidR="002F6DFD">
        <w:rPr>
          <w:iCs/>
          <w:szCs w:val="20"/>
          <w:vertAlign w:val="superscript"/>
        </w:rPr>
      </w:r>
      <w:r w:rsidRPr="002F6DFD" w:rsidR="002F6DFD">
        <w:rPr>
          <w:iCs/>
          <w:szCs w:val="20"/>
          <w:vertAlign w:val="superscript"/>
        </w:rPr>
        <w:fldChar w:fldCharType="separate"/>
      </w:r>
      <w:r w:rsidR="00851D7A">
        <w:rPr>
          <w:iCs/>
          <w:szCs w:val="20"/>
          <w:vertAlign w:val="superscript"/>
        </w:rPr>
        <w:t>6</w:t>
      </w:r>
      <w:r w:rsidRPr="002F6DFD" w:rsidR="002F6DFD">
        <w:rPr>
          <w:iCs/>
          <w:szCs w:val="20"/>
          <w:vertAlign w:val="superscript"/>
        </w:rPr>
        <w:fldChar w:fldCharType="end"/>
      </w:r>
      <w:r>
        <w:rPr>
          <w:iCs/>
          <w:szCs w:val="20"/>
        </w:rPr>
        <w:t xml:space="preserve"> </w:t>
      </w:r>
      <w:r w:rsidR="00851D7A">
        <w:rPr>
          <w:iCs/>
          <w:szCs w:val="20"/>
        </w:rPr>
        <w:t>E</w:t>
      </w:r>
      <w:r>
        <w:rPr>
          <w:iCs/>
          <w:szCs w:val="20"/>
        </w:rPr>
        <w:t xml:space="preserve">quation 14 </w:t>
      </w:r>
      <w:r w:rsidR="00851D7A">
        <w:rPr>
          <w:iCs/>
          <w:szCs w:val="20"/>
        </w:rPr>
        <w:t xml:space="preserve">is used to </w:t>
      </w:r>
      <w:r>
        <w:rPr>
          <w:iCs/>
          <w:szCs w:val="20"/>
        </w:rPr>
        <w:t>adjust the county-level emissions factor based on this PE value.</w:t>
      </w:r>
    </w:p>
    <w:p w:rsidRPr="00537635" w:rsidR="00A6797B" w:rsidP="0012542B" w:rsidRDefault="0012542B" w14:paraId="17B4A9BF" w14:textId="16A6EFBD">
      <w:pPr>
        <w:rPr>
          <w:szCs w:val="20"/>
        </w:rPr>
      </w:pPr>
      <w:r w:rsidRPr="00DA4A3D">
        <w:rPr>
          <w:szCs w:val="20"/>
        </w:rPr>
        <w:t>To account for the silt content, the PM10</w:t>
      </w:r>
      <w:r>
        <w:rPr>
          <w:szCs w:val="20"/>
        </w:rPr>
        <w:t>-PRI</w:t>
      </w:r>
      <w:r w:rsidRPr="00DA4A3D">
        <w:rPr>
          <w:szCs w:val="20"/>
        </w:rPr>
        <w:t xml:space="preserve"> emissions are weighted using average silt content for each county.</w:t>
      </w:r>
      <w:r>
        <w:rPr>
          <w:szCs w:val="20"/>
        </w:rPr>
        <w:t xml:space="preserve"> </w:t>
      </w:r>
      <w:r w:rsidRPr="00DA4A3D">
        <w:rPr>
          <w:szCs w:val="20"/>
        </w:rPr>
        <w:t>EPA used the National Cooperative Soil Survey Microsoft Access Soil Characterization Database to develop county-level, average silt content values for surface soil.</w:t>
      </w:r>
      <w:r>
        <w:rPr>
          <w:rStyle w:val="EndnoteReference"/>
          <w:szCs w:val="20"/>
        </w:rPr>
        <w:endnoteReference w:id="8"/>
      </w:r>
      <w:r>
        <w:rPr>
          <w:szCs w:val="20"/>
        </w:rPr>
        <w:t xml:space="preserve"> </w:t>
      </w:r>
      <w:r w:rsidRPr="00EE3A88" w:rsidR="004934C7">
        <w:rPr>
          <w:szCs w:val="20"/>
        </w:rPr>
        <w:t>The U.S. Department of Agriculture and the National Cooperative Soil Survey define silt content of surface soil as the percentage of particles (mass basis) of diameter smaller than 50 micrometers (µm) found in the surface soil.</w:t>
      </w:r>
      <w:r w:rsidR="004934C7">
        <w:rPr>
          <w:rStyle w:val="FootnoteReference"/>
          <w:szCs w:val="20"/>
        </w:rPr>
        <w:footnoteReference w:id="1"/>
      </w:r>
      <w:r w:rsidR="004934C7">
        <w:rPr>
          <w:szCs w:val="20"/>
        </w:rPr>
        <w:t xml:space="preserve"> </w:t>
      </w:r>
      <w:r w:rsidRPr="00DA4A3D">
        <w:rPr>
          <w:szCs w:val="20"/>
        </w:rPr>
        <w:t>This database contains the most commonly requested data from the National Cooperative Soil Survey Laboratories including data from the Kellogg Soil Survey Laboratory and cooperating universities.</w:t>
      </w:r>
      <w:r>
        <w:rPr>
          <w:szCs w:val="20"/>
        </w:rPr>
        <w:t xml:space="preserve"> </w:t>
      </w:r>
      <w:r>
        <w:rPr>
          <w:iCs/>
          <w:szCs w:val="20"/>
        </w:rPr>
        <w:t>The average silt content for the test sites from which the PM10 emissions factor was developed is 9%</w:t>
      </w:r>
      <w:r w:rsidR="00851D7A">
        <w:rPr>
          <w:iCs/>
          <w:szCs w:val="20"/>
        </w:rPr>
        <w:t>.</w:t>
      </w:r>
      <w:r w:rsidRPr="002F6DFD" w:rsidR="002F6DFD">
        <w:rPr>
          <w:iCs/>
          <w:szCs w:val="20"/>
          <w:vertAlign w:val="superscript"/>
        </w:rPr>
        <w:fldChar w:fldCharType="begin"/>
      </w:r>
      <w:r w:rsidRPr="002F6DFD" w:rsidR="002F6DFD">
        <w:rPr>
          <w:iCs/>
          <w:szCs w:val="20"/>
          <w:vertAlign w:val="superscript"/>
        </w:rPr>
        <w:instrText xml:space="preserve"> NOTEREF _Ref503515079 \h  \* MERGEFORMAT </w:instrText>
      </w:r>
      <w:r w:rsidRPr="002F6DFD" w:rsidR="002F6DFD">
        <w:rPr>
          <w:iCs/>
          <w:szCs w:val="20"/>
          <w:vertAlign w:val="superscript"/>
        </w:rPr>
      </w:r>
      <w:r w:rsidRPr="002F6DFD" w:rsidR="002F6DFD">
        <w:rPr>
          <w:iCs/>
          <w:szCs w:val="20"/>
          <w:vertAlign w:val="superscript"/>
        </w:rPr>
        <w:fldChar w:fldCharType="separate"/>
      </w:r>
      <w:r w:rsidRPr="002F6DFD" w:rsidR="002F6DFD">
        <w:rPr>
          <w:iCs/>
          <w:szCs w:val="20"/>
          <w:vertAlign w:val="superscript"/>
        </w:rPr>
        <w:t>6</w:t>
      </w:r>
      <w:r w:rsidRPr="002F6DFD" w:rsidR="002F6DFD">
        <w:rPr>
          <w:iCs/>
          <w:szCs w:val="20"/>
          <w:vertAlign w:val="superscript"/>
        </w:rPr>
        <w:fldChar w:fldCharType="end"/>
      </w:r>
      <w:r>
        <w:rPr>
          <w:iCs/>
          <w:szCs w:val="20"/>
        </w:rPr>
        <w:t xml:space="preserve"> </w:t>
      </w:r>
      <w:r w:rsidR="00851D7A">
        <w:rPr>
          <w:iCs/>
          <w:szCs w:val="20"/>
        </w:rPr>
        <w:t>E</w:t>
      </w:r>
      <w:r>
        <w:rPr>
          <w:iCs/>
          <w:szCs w:val="20"/>
        </w:rPr>
        <w:t xml:space="preserve">quation 7 </w:t>
      </w:r>
      <w:r w:rsidR="00851D7A">
        <w:rPr>
          <w:iCs/>
          <w:szCs w:val="20"/>
        </w:rPr>
        <w:t xml:space="preserve">is used to </w:t>
      </w:r>
      <w:r>
        <w:rPr>
          <w:iCs/>
          <w:szCs w:val="20"/>
        </w:rPr>
        <w:t>adjust the county-level emissions factor based on this silt content value.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7"/>
        <w:gridCol w:w="813"/>
      </w:tblGrid>
      <w:tr w:rsidRPr="00776EA2" w:rsidR="00537635" w:rsidTr="00630085" w14:paraId="0A6E91F8" w14:textId="77777777">
        <w:trPr>
          <w:trHeight w:val="585"/>
        </w:trPr>
        <w:tc>
          <w:tcPr>
            <w:tcW w:w="8748" w:type="dxa"/>
          </w:tcPr>
          <w:p w:rsidRPr="00537635" w:rsidR="00537635" w:rsidP="005E7A3E" w:rsidRDefault="00A32BA3" w14:paraId="676AC952"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PM10</m:t>
                    </m:r>
                  </m:sub>
                </m:sSub>
                <m:r>
                  <w:rPr>
                    <w:rFonts w:ascii="Cambria Math" w:hAnsi="Cambria Math"/>
                    <w:szCs w:val="20"/>
                  </w:rPr>
                  <m:t>=</m:t>
                </m:r>
                <m:f>
                  <m:fPr>
                    <m:ctrlPr>
                      <w:rPr>
                        <w:rFonts w:ascii="Cambria Math" w:hAnsi="Cambria Math"/>
                        <w:i/>
                        <w:szCs w:val="20"/>
                      </w:rPr>
                    </m:ctrlPr>
                  </m:fPr>
                  <m:num>
                    <m:r>
                      <w:rPr>
                        <w:rFonts w:ascii="Cambria Math" w:hAnsi="Cambria Math"/>
                        <w:szCs w:val="20"/>
                      </w:rPr>
                      <m:t>24</m:t>
                    </m:r>
                  </m:num>
                  <m:den>
                    <m:r>
                      <w:rPr>
                        <w:rFonts w:ascii="Cambria Math" w:hAnsi="Cambria Math"/>
                        <w:szCs w:val="20"/>
                      </w:rPr>
                      <m:t>PE</m:t>
                    </m:r>
                  </m:den>
                </m:f>
                <m:r>
                  <w:rPr>
                    <w:rFonts w:ascii="Cambria Math" w:hAnsi="Cambria Math"/>
                    <w:szCs w:val="20"/>
                  </w:rPr>
                  <m:t>×</m:t>
                </m:r>
                <m:f>
                  <m:fPr>
                    <m:ctrlPr>
                      <w:rPr>
                        <w:rFonts w:ascii="Cambria Math" w:hAnsi="Cambria Math"/>
                        <w:i/>
                        <w:szCs w:val="20"/>
                      </w:rPr>
                    </m:ctrlPr>
                  </m:fPr>
                  <m:num>
                    <m:r>
                      <w:rPr>
                        <w:rFonts w:ascii="Cambria Math" w:hAnsi="Cambria Math"/>
                        <w:szCs w:val="20"/>
                      </w:rPr>
                      <m:t>s</m:t>
                    </m:r>
                  </m:num>
                  <m:den>
                    <m:r>
                      <w:rPr>
                        <w:rFonts w:ascii="Cambria Math" w:hAnsi="Cambria Math"/>
                        <w:szCs w:val="20"/>
                      </w:rPr>
                      <m:t>9%</m:t>
                    </m:r>
                  </m:den>
                </m:f>
              </m:oMath>
            </m:oMathPara>
          </w:p>
        </w:tc>
        <w:tc>
          <w:tcPr>
            <w:tcW w:w="828" w:type="dxa"/>
            <w:vAlign w:val="center"/>
          </w:tcPr>
          <w:p w:rsidRPr="00537635" w:rsidR="00537635" w:rsidP="00630085" w:rsidRDefault="00537635" w14:paraId="69A61CB8" w14:textId="77777777">
            <w:pPr>
              <w:pStyle w:val="ListParagraph"/>
              <w:widowControl/>
              <w:numPr>
                <w:ilvl w:val="0"/>
                <w:numId w:val="10"/>
              </w:numPr>
              <w:autoSpaceDE/>
              <w:autoSpaceDN/>
              <w:adjustRightInd/>
              <w:jc w:val="right"/>
              <w:rPr>
                <w:szCs w:val="20"/>
              </w:rPr>
            </w:pPr>
          </w:p>
        </w:tc>
      </w:tr>
    </w:tbl>
    <w:p w:rsidRPr="00A6797B" w:rsidR="00A6797B" w:rsidP="00A6797B" w:rsidRDefault="00A6797B" w14:paraId="04A0C29B" w14:textId="77777777">
      <w:pPr>
        <w:widowControl/>
        <w:tabs>
          <w:tab w:val="left" w:pos="0"/>
        </w:tabs>
        <w:rPr>
          <w:szCs w:val="20"/>
        </w:rPr>
      </w:pPr>
      <w:r w:rsidRPr="00A6797B">
        <w:rPr>
          <w:szCs w:val="20"/>
        </w:rPr>
        <w:t>Where:</w:t>
      </w:r>
    </w:p>
    <w:p w:rsidRPr="00DE7325" w:rsidR="00A6797B" w:rsidP="00DE7325" w:rsidRDefault="00A6797B" w14:paraId="6E56759F" w14:textId="77777777">
      <w:pPr>
        <w:pStyle w:val="NoSpacing"/>
      </w:pPr>
      <w:r w:rsidRPr="00DE7325">
        <w:rPr>
          <w:i/>
        </w:rPr>
        <w:tab/>
      </w:r>
      <w:r w:rsidRPr="00DE7325">
        <w:rPr>
          <w:i/>
        </w:rPr>
        <w:t>AF</w:t>
      </w:r>
      <w:r w:rsidRPr="00DE7325">
        <w:rPr>
          <w:i/>
          <w:vertAlign w:val="subscript"/>
        </w:rPr>
        <w:t>PM10</w:t>
      </w:r>
      <w:r w:rsidRPr="00DE7325">
        <w:rPr>
          <w:i/>
          <w:vertAlign w:val="subscript"/>
        </w:rPr>
        <w:tab/>
      </w:r>
      <w:r w:rsidRPr="00DE7325">
        <w:t>=</w:t>
      </w:r>
      <w:r w:rsidRPr="00DE7325">
        <w:tab/>
      </w:r>
      <w:r w:rsidRPr="00DE7325">
        <w:t>PM</w:t>
      </w:r>
      <w:r w:rsidRPr="00537635">
        <w:t>10</w:t>
      </w:r>
      <w:r w:rsidR="005A1A1C">
        <w:t>-</w:t>
      </w:r>
      <w:r w:rsidR="00035DC6">
        <w:t>PRI</w:t>
      </w:r>
      <w:r w:rsidRPr="00DE7325">
        <w:t xml:space="preserve"> adjustment factor</w:t>
      </w:r>
    </w:p>
    <w:p w:rsidRPr="00DE7325" w:rsidR="00A6797B" w:rsidP="00DE7325" w:rsidRDefault="00A6797B" w14:paraId="0B28E257" w14:textId="77777777">
      <w:pPr>
        <w:pStyle w:val="NoSpacing"/>
      </w:pPr>
      <w:r w:rsidRPr="00DE7325">
        <w:tab/>
      </w:r>
      <w:r w:rsidRPr="00DE7325">
        <w:rPr>
          <w:i/>
        </w:rPr>
        <w:t>PE</w:t>
      </w:r>
      <w:r w:rsidRPr="00DE7325">
        <w:tab/>
      </w:r>
      <w:r w:rsidRPr="00DE7325">
        <w:t>=</w:t>
      </w:r>
      <w:r w:rsidRPr="00DE7325">
        <w:tab/>
      </w:r>
      <w:r w:rsidRPr="00DE7325">
        <w:t>precipitation-evaporation value for each State</w:t>
      </w:r>
    </w:p>
    <w:p w:rsidR="00A6797B" w:rsidP="00DE7325" w:rsidRDefault="00A6797B" w14:paraId="0EF59C27" w14:textId="3A3C8C22">
      <w:pPr>
        <w:pStyle w:val="NoSpacing"/>
      </w:pPr>
      <w:r w:rsidRPr="00DE7325">
        <w:tab/>
      </w:r>
      <w:r w:rsidRPr="00DE7325">
        <w:rPr>
          <w:i/>
        </w:rPr>
        <w:t>s</w:t>
      </w:r>
      <w:r w:rsidRPr="00DE7325">
        <w:tab/>
      </w:r>
      <w:r w:rsidRPr="00DE7325">
        <w:t>=</w:t>
      </w:r>
      <w:r w:rsidRPr="00DE7325">
        <w:tab/>
      </w:r>
      <w:r w:rsidRPr="00DE7325">
        <w:t>% dry silt content</w:t>
      </w:r>
      <w:r w:rsidR="00372AFF">
        <w:t>, by county,</w:t>
      </w:r>
      <w:r w:rsidRPr="00DE7325">
        <w:t xml:space="preserve"> in soil for area being inventoried</w:t>
      </w:r>
    </w:p>
    <w:p w:rsidRPr="004E7569" w:rsidR="00DE7325" w:rsidP="00DE7325" w:rsidRDefault="00DE7325" w14:paraId="5F9A34AC" w14:textId="77777777">
      <w:pPr>
        <w:pStyle w:val="NoSpacing"/>
      </w:pPr>
    </w:p>
    <w:p w:rsidRPr="00537635" w:rsidR="00A6797B" w:rsidP="00537635" w:rsidRDefault="0012542B" w14:paraId="1B85701F" w14:textId="77777777">
      <w:pPr>
        <w:rPr>
          <w:szCs w:val="20"/>
        </w:rPr>
      </w:pPr>
      <w:r>
        <w:rPr>
          <w:szCs w:val="20"/>
        </w:rPr>
        <w:t xml:space="preserve">This adjustment factor is used to adjust the </w:t>
      </w:r>
      <w:r w:rsidR="00537635">
        <w:rPr>
          <w:szCs w:val="20"/>
        </w:rPr>
        <w:t>PM10-</w:t>
      </w:r>
      <w:r w:rsidR="00035DC6">
        <w:rPr>
          <w:szCs w:val="20"/>
        </w:rPr>
        <w:t>PRI</w:t>
      </w:r>
      <w:r w:rsidRPr="00537635" w:rsidR="00A6797B">
        <w:rPr>
          <w:szCs w:val="20"/>
        </w:rPr>
        <w:t xml:space="preserve"> emission</w:t>
      </w:r>
      <w:r w:rsidR="00537635">
        <w:rPr>
          <w:szCs w:val="20"/>
        </w:rPr>
        <w:t>s</w:t>
      </w:r>
      <w:r w:rsidRPr="00537635" w:rsidR="00A6797B">
        <w:rPr>
          <w:szCs w:val="20"/>
        </w:rPr>
        <w:t xml:space="preserve"> factor for each un</w:t>
      </w:r>
      <w:r w:rsidR="00907DAA">
        <w:rPr>
          <w:szCs w:val="20"/>
        </w:rPr>
        <w:t>it type category – apartment, 2-unit, 1-</w:t>
      </w:r>
      <w:r w:rsidRPr="00537635" w:rsidR="00A6797B">
        <w:rPr>
          <w:szCs w:val="20"/>
        </w:rPr>
        <w:t>unit with baseme</w:t>
      </w:r>
      <w:r w:rsidR="00907DAA">
        <w:rPr>
          <w:szCs w:val="20"/>
        </w:rPr>
        <w:t>nt, and 1-</w:t>
      </w:r>
      <w:r>
        <w:rPr>
          <w:szCs w:val="20"/>
        </w:rPr>
        <w:t>unit without basement.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776EA2" w:rsidR="00537635" w:rsidTr="00630085" w14:paraId="1CB7D51A" w14:textId="77777777">
        <w:trPr>
          <w:trHeight w:val="396"/>
        </w:trPr>
        <w:tc>
          <w:tcPr>
            <w:tcW w:w="8748" w:type="dxa"/>
          </w:tcPr>
          <w:p w:rsidRPr="00537635" w:rsidR="00537635" w:rsidP="003931CF" w:rsidRDefault="00A32BA3" w14:paraId="7147DA8E"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p,n,c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PM10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m:t>
                    </m:r>
                  </m:e>
                  <m:sub>
                    <m:r>
                      <w:rPr>
                        <w:rFonts w:ascii="Cambria Math" w:hAnsi="Cambria Math"/>
                        <w:szCs w:val="20"/>
                      </w:rPr>
                      <m:t>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orig</m:t>
                    </m:r>
                  </m:sub>
                </m:sSub>
              </m:oMath>
            </m:oMathPara>
          </w:p>
        </w:tc>
        <w:tc>
          <w:tcPr>
            <w:tcW w:w="828" w:type="dxa"/>
          </w:tcPr>
          <w:p w:rsidRPr="00537635" w:rsidR="00537635" w:rsidP="00537635" w:rsidRDefault="00537635" w14:paraId="3476615D" w14:textId="77777777">
            <w:pPr>
              <w:pStyle w:val="ListParagraph"/>
              <w:widowControl/>
              <w:numPr>
                <w:ilvl w:val="0"/>
                <w:numId w:val="10"/>
              </w:numPr>
              <w:autoSpaceDE/>
              <w:autoSpaceDN/>
              <w:adjustRightInd/>
              <w:jc w:val="right"/>
              <w:rPr>
                <w:szCs w:val="20"/>
              </w:rPr>
            </w:pPr>
          </w:p>
        </w:tc>
      </w:tr>
    </w:tbl>
    <w:p w:rsidRPr="00A6797B" w:rsidR="00A6797B" w:rsidP="00A6797B" w:rsidRDefault="00A6797B" w14:paraId="029E127B" w14:textId="77777777">
      <w:pPr>
        <w:widowControl/>
        <w:tabs>
          <w:tab w:val="left" w:pos="0"/>
        </w:tabs>
        <w:rPr>
          <w:szCs w:val="20"/>
        </w:rPr>
      </w:pPr>
      <w:r w:rsidRPr="00A6797B">
        <w:rPr>
          <w:szCs w:val="20"/>
        </w:rPr>
        <w:t>Where:</w:t>
      </w:r>
    </w:p>
    <w:p w:rsidRPr="00A6797B" w:rsidR="00A6797B" w:rsidP="00A6797B" w:rsidRDefault="00A6797B" w14:paraId="7D477FD6" w14:textId="77777777">
      <w:pPr>
        <w:pStyle w:val="NoSpacing"/>
      </w:pPr>
      <w:r w:rsidRPr="00A6797B">
        <w:rPr>
          <w:i/>
        </w:rPr>
        <w:tab/>
      </w:r>
      <w:r w:rsidRPr="00A6797B">
        <w:rPr>
          <w:i/>
        </w:rPr>
        <w:t>EF</w:t>
      </w:r>
      <w:r w:rsidRPr="00A6797B">
        <w:rPr>
          <w:i/>
          <w:vertAlign w:val="subscript"/>
        </w:rPr>
        <w:t>p,n,c</w:t>
      </w:r>
      <w:r w:rsidRPr="00A6797B">
        <w:rPr>
          <w:i/>
          <w:vertAlign w:val="subscript"/>
        </w:rPr>
        <w:tab/>
      </w:r>
      <w:r w:rsidRPr="00A6797B">
        <w:t>=</w:t>
      </w:r>
      <w:r w:rsidRPr="00A6797B">
        <w:tab/>
      </w:r>
      <w:r w:rsidRPr="00A6797B">
        <w:t>Adjusted county-level,</w:t>
      </w:r>
      <w:r w:rsidRPr="00A6797B">
        <w:rPr>
          <w:i/>
        </w:rPr>
        <w:t xml:space="preserve"> c</w:t>
      </w:r>
      <w:r w:rsidRPr="00A6797B">
        <w:t>, PM</w:t>
      </w:r>
      <w:r w:rsidRPr="005A1A1C">
        <w:t>10</w:t>
      </w:r>
      <w:r w:rsidR="005A1A1C">
        <w:t>-</w:t>
      </w:r>
      <w:r w:rsidR="00035DC6">
        <w:t>PRI</w:t>
      </w:r>
      <w:r w:rsidRPr="00A6797B">
        <w:t xml:space="preserve"> emission</w:t>
      </w:r>
      <w:r w:rsidR="00975078">
        <w:t>s</w:t>
      </w:r>
      <w:r w:rsidRPr="00A6797B">
        <w:t xml:space="preserve"> factor, </w:t>
      </w:r>
      <w:r w:rsidRPr="00A6797B">
        <w:rPr>
          <w:i/>
        </w:rPr>
        <w:t>p</w:t>
      </w:r>
      <w:r w:rsidRPr="00A6797B">
        <w:t xml:space="preserve">, for each unit type category, </w:t>
      </w:r>
      <w:r w:rsidRPr="00A6797B">
        <w:rPr>
          <w:i/>
        </w:rPr>
        <w:t>n</w:t>
      </w:r>
      <w:r w:rsidRPr="00A6797B">
        <w:t>, in tons/acre</w:t>
      </w:r>
    </w:p>
    <w:p w:rsidRPr="00A6797B" w:rsidR="00A6797B" w:rsidP="00A6797B" w:rsidRDefault="00A6797B" w14:paraId="61B2D3CB" w14:textId="77777777">
      <w:pPr>
        <w:pStyle w:val="NoSpacing"/>
      </w:pPr>
      <w:r w:rsidRPr="00A6797B">
        <w:tab/>
      </w:r>
      <w:r w:rsidRPr="00A6797B">
        <w:rPr>
          <w:i/>
        </w:rPr>
        <w:t>AF</w:t>
      </w:r>
      <w:r w:rsidRPr="00A6797B">
        <w:rPr>
          <w:i/>
          <w:vertAlign w:val="subscript"/>
        </w:rPr>
        <w:t>PM10</w:t>
      </w:r>
      <w:r w:rsidRPr="00A6797B">
        <w:rPr>
          <w:i/>
          <w:vertAlign w:val="subscript"/>
        </w:rPr>
        <w:tab/>
      </w:r>
      <w:r w:rsidRPr="00A6797B">
        <w:t>=</w:t>
      </w:r>
      <w:r w:rsidRPr="00A6797B">
        <w:tab/>
      </w:r>
      <w:r w:rsidRPr="00A6797B">
        <w:t>PM</w:t>
      </w:r>
      <w:r w:rsidRPr="005A1A1C">
        <w:t>10</w:t>
      </w:r>
      <w:r w:rsidR="005A1A1C">
        <w:t>-</w:t>
      </w:r>
      <w:r w:rsidR="00035DC6">
        <w:t>PRI</w:t>
      </w:r>
      <w:r w:rsidRPr="005A1A1C">
        <w:t xml:space="preserve"> </w:t>
      </w:r>
      <w:r w:rsidRPr="00A6797B">
        <w:t>adjustment factor</w:t>
      </w:r>
    </w:p>
    <w:p w:rsidRPr="00A6797B" w:rsidR="00A6797B" w:rsidP="00A6797B" w:rsidRDefault="00A6797B" w14:paraId="44E9FDB2" w14:textId="77777777">
      <w:pPr>
        <w:pStyle w:val="NoSpacing"/>
      </w:pPr>
      <w:r w:rsidRPr="00A6797B">
        <w:tab/>
      </w:r>
      <w:r w:rsidRPr="003931CF">
        <w:rPr>
          <w:i/>
        </w:rPr>
        <w:t>D</w:t>
      </w:r>
      <w:r w:rsidRPr="003931CF">
        <w:rPr>
          <w:i/>
          <w:vertAlign w:val="subscript"/>
        </w:rPr>
        <w:t>n</w:t>
      </w:r>
      <w:r w:rsidRPr="00A6797B">
        <w:tab/>
      </w:r>
      <w:r w:rsidRPr="00A6797B">
        <w:t xml:space="preserve">= </w:t>
      </w:r>
      <w:r w:rsidRPr="00A6797B">
        <w:tab/>
      </w:r>
      <w:r w:rsidRPr="00A6797B">
        <w:t xml:space="preserve">Duration of construction by unit type category, </w:t>
      </w:r>
      <w:r w:rsidRPr="00A6797B">
        <w:rPr>
          <w:i/>
        </w:rPr>
        <w:t>n</w:t>
      </w:r>
      <w:r w:rsidR="003931CF">
        <w:t>, in months</w:t>
      </w:r>
      <w:r w:rsidRPr="00A6797B">
        <w:rPr>
          <w:i/>
        </w:rPr>
        <w:t>.</w:t>
      </w:r>
      <w:r w:rsidRPr="00A6797B">
        <w:t xml:space="preserve"> See </w:t>
      </w:r>
      <w:r w:rsidRPr="00A6797B">
        <w:fldChar w:fldCharType="begin"/>
      </w:r>
      <w:r w:rsidRPr="00A6797B">
        <w:instrText xml:space="preserve"> REF _Ref476830052 \h  \* MERGEFORMAT </w:instrText>
      </w:r>
      <w:r w:rsidRPr="00A6797B">
        <w:fldChar w:fldCharType="separate"/>
      </w:r>
      <w:r w:rsidRPr="007D5A4D" w:rsidR="007D5A4D">
        <w:t xml:space="preserve">Table </w:t>
      </w:r>
      <w:r w:rsidRPr="007D5A4D" w:rsidR="007D5A4D">
        <w:rPr>
          <w:noProof/>
        </w:rPr>
        <w:t>4</w:t>
      </w:r>
      <w:r w:rsidRPr="00A6797B">
        <w:fldChar w:fldCharType="end"/>
      </w:r>
      <w:r w:rsidRPr="00A6797B">
        <w:t xml:space="preserve"> for duration values.</w:t>
      </w:r>
    </w:p>
    <w:p w:rsidR="00A6797B" w:rsidP="005A1A1C" w:rsidRDefault="00A6797B" w14:paraId="182AED1D" w14:textId="77777777">
      <w:pPr>
        <w:pStyle w:val="NoSpacing"/>
      </w:pPr>
      <w:r w:rsidRPr="00A6797B">
        <w:rPr>
          <w:i/>
        </w:rPr>
        <w:lastRenderedPageBreak/>
        <w:tab/>
      </w:r>
      <w:r w:rsidRPr="00A6797B">
        <w:rPr>
          <w:i/>
        </w:rPr>
        <w:t>EF</w:t>
      </w:r>
      <w:r w:rsidRPr="00A6797B">
        <w:rPr>
          <w:i/>
          <w:vertAlign w:val="subscript"/>
        </w:rPr>
        <w:t>orig</w:t>
      </w:r>
      <w:r w:rsidRPr="00A6797B">
        <w:rPr>
          <w:i/>
        </w:rPr>
        <w:tab/>
      </w:r>
      <w:r w:rsidRPr="00A6797B">
        <w:t>=</w:t>
      </w:r>
      <w:r w:rsidRPr="00A6797B">
        <w:tab/>
      </w:r>
      <w:r w:rsidRPr="00A6797B">
        <w:t>Original unadjusted PM</w:t>
      </w:r>
      <w:r w:rsidRPr="00851D7A">
        <w:t>10</w:t>
      </w:r>
      <w:r w:rsidRPr="00A6797B">
        <w:t xml:space="preserve"> emission</w:t>
      </w:r>
      <w:r w:rsidR="00975078">
        <w:t>s</w:t>
      </w:r>
      <w:r w:rsidRPr="00A6797B">
        <w:t xml:space="preserve"> factor, in tons/acre. See </w:t>
      </w:r>
      <w:r w:rsidRPr="00A6797B">
        <w:fldChar w:fldCharType="begin"/>
      </w:r>
      <w:r w:rsidRPr="00A6797B">
        <w:instrText xml:space="preserve"> REF _Ref476830052 \h  \* MERGEFORMAT </w:instrText>
      </w:r>
      <w:r w:rsidRPr="00A6797B">
        <w:fldChar w:fldCharType="separate"/>
      </w:r>
      <w:r w:rsidRPr="007D5A4D" w:rsidR="007D5A4D">
        <w:t xml:space="preserve">Table </w:t>
      </w:r>
      <w:r w:rsidRPr="007D5A4D" w:rsidR="007D5A4D">
        <w:rPr>
          <w:noProof/>
        </w:rPr>
        <w:t>4</w:t>
      </w:r>
      <w:r w:rsidRPr="00A6797B">
        <w:fldChar w:fldCharType="end"/>
      </w:r>
      <w:r w:rsidRPr="00A6797B">
        <w:t xml:space="preserve"> for original emission</w:t>
      </w:r>
      <w:r w:rsidR="00975078">
        <w:t>s</w:t>
      </w:r>
      <w:r w:rsidRPr="00A6797B">
        <w:t xml:space="preserve"> factors.</w:t>
      </w:r>
    </w:p>
    <w:p w:rsidRPr="005A1A1C" w:rsidR="005A1A1C" w:rsidP="005A1A1C" w:rsidRDefault="005A1A1C" w14:paraId="5374983F" w14:textId="77777777">
      <w:pPr>
        <w:pStyle w:val="NoSpacing"/>
      </w:pPr>
    </w:p>
    <w:p w:rsidRPr="00886F17" w:rsidR="00B97E6E" w:rsidP="00052E59" w:rsidRDefault="00B97E6E" w14:paraId="20366D83" w14:textId="77777777">
      <w:pPr>
        <w:pStyle w:val="Heading1"/>
      </w:pPr>
      <w:r w:rsidRPr="00886F17">
        <w:t>Controls</w:t>
      </w:r>
    </w:p>
    <w:p w:rsidR="00B97E6E" w:rsidP="00B97E6E" w:rsidRDefault="00B97E6E" w14:paraId="6BFB08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p>
    <w:p w:rsidR="00B97E6E" w:rsidP="00052E59" w:rsidRDefault="00B97E6E" w14:paraId="009F89EA" w14:textId="77777777">
      <w:pPr>
        <w:pStyle w:val="Heading1"/>
      </w:pPr>
      <w:bookmarkStart w:name="_Ref477177564" w:id="18"/>
      <w:r w:rsidRPr="00886F17">
        <w:t>Emissions</w:t>
      </w:r>
      <w:bookmarkEnd w:id="18"/>
    </w:p>
    <w:p w:rsidR="00646D28" w:rsidP="00DA4A3D" w:rsidRDefault="00DA4A3D" w14:paraId="39469DEC" w14:textId="77777777">
      <w:pPr>
        <w:pStyle w:val="Style1"/>
        <w:rPr>
          <w:b w:val="0"/>
          <w:i w:val="0"/>
        </w:rPr>
      </w:pPr>
      <w:r w:rsidRPr="00DA2AE6">
        <w:rPr>
          <w:b w:val="0"/>
          <w:i w:val="0"/>
        </w:rPr>
        <w:t xml:space="preserve">The </w:t>
      </w:r>
      <w:r>
        <w:rPr>
          <w:b w:val="0"/>
          <w:i w:val="0"/>
        </w:rPr>
        <w:t>PM</w:t>
      </w:r>
      <w:r w:rsidRPr="005A1A1C">
        <w:rPr>
          <w:b w:val="0"/>
          <w:i w:val="0"/>
        </w:rPr>
        <w:t>10</w:t>
      </w:r>
      <w:r w:rsidR="005A1A1C">
        <w:rPr>
          <w:b w:val="0"/>
          <w:i w:val="0"/>
        </w:rPr>
        <w:t>-</w:t>
      </w:r>
      <w:r w:rsidR="00035DC6">
        <w:rPr>
          <w:b w:val="0"/>
          <w:i w:val="0"/>
        </w:rPr>
        <w:t>PRI</w:t>
      </w:r>
      <w:r>
        <w:rPr>
          <w:b w:val="0"/>
          <w:i w:val="0"/>
        </w:rPr>
        <w:t xml:space="preserve"> </w:t>
      </w:r>
      <w:r w:rsidRPr="00DA2AE6">
        <w:rPr>
          <w:b w:val="0"/>
          <w:i w:val="0"/>
        </w:rPr>
        <w:t xml:space="preserve">emissions </w:t>
      </w:r>
      <w:r w:rsidR="007924A3">
        <w:rPr>
          <w:b w:val="0"/>
          <w:i w:val="0"/>
        </w:rPr>
        <w:t>ar</w:t>
      </w:r>
      <w:r w:rsidRPr="00DA2AE6">
        <w:rPr>
          <w:b w:val="0"/>
          <w:i w:val="0"/>
        </w:rPr>
        <w:t xml:space="preserve">e calculated by </w:t>
      </w:r>
      <w:r>
        <w:rPr>
          <w:b w:val="0"/>
          <w:i w:val="0"/>
        </w:rPr>
        <w:t>taking the sum of the surface soil disturbed by county and unit type category and multiplying it by the corresponding adjusted PM</w:t>
      </w:r>
      <w:r w:rsidRPr="005A1A1C">
        <w:rPr>
          <w:b w:val="0"/>
          <w:i w:val="0"/>
        </w:rPr>
        <w:t>10</w:t>
      </w:r>
      <w:r w:rsidR="005A1A1C">
        <w:rPr>
          <w:b w:val="0"/>
          <w:i w:val="0"/>
        </w:rPr>
        <w:t>-</w:t>
      </w:r>
      <w:r w:rsidR="00035DC6">
        <w:rPr>
          <w:b w:val="0"/>
          <w:i w:val="0"/>
        </w:rPr>
        <w:t>PRI</w:t>
      </w:r>
      <w:r w:rsidRPr="005A1A1C">
        <w:rPr>
          <w:b w:val="0"/>
          <w:i w:val="0"/>
        </w:rPr>
        <w:t xml:space="preserve"> </w:t>
      </w:r>
      <w:r>
        <w:rPr>
          <w:b w:val="0"/>
          <w:i w:val="0"/>
        </w:rPr>
        <w:t>emission</w:t>
      </w:r>
      <w:r w:rsidR="00975078">
        <w:rPr>
          <w:b w:val="0"/>
          <w:i w:val="0"/>
        </w:rPr>
        <w:t>s</w:t>
      </w:r>
      <w:r>
        <w:rPr>
          <w:b w:val="0"/>
          <w:i w:val="0"/>
        </w:rPr>
        <w:t xml:space="preserve"> factor. </w:t>
      </w:r>
      <w:r w:rsidRPr="00300CE8">
        <w:rPr>
          <w:b w:val="0"/>
          <w:i w:val="0"/>
        </w:rPr>
        <w:t>Once PM</w:t>
      </w:r>
      <w:r w:rsidRPr="005A1A1C">
        <w:rPr>
          <w:b w:val="0"/>
          <w:i w:val="0"/>
        </w:rPr>
        <w:t>10</w:t>
      </w:r>
      <w:r w:rsidR="005A1A1C">
        <w:rPr>
          <w:b w:val="0"/>
          <w:i w:val="0"/>
        </w:rPr>
        <w:t>-</w:t>
      </w:r>
      <w:r w:rsidR="00035DC6">
        <w:rPr>
          <w:b w:val="0"/>
          <w:i w:val="0"/>
        </w:rPr>
        <w:t>PRI</w:t>
      </w:r>
      <w:r w:rsidRPr="00300CE8">
        <w:rPr>
          <w:b w:val="0"/>
          <w:i w:val="0"/>
        </w:rPr>
        <w:t xml:space="preserve"> adjustments have been made, </w:t>
      </w:r>
      <w:r w:rsidRPr="005A1A1C">
        <w:rPr>
          <w:b w:val="0"/>
          <w:i w:val="0"/>
        </w:rPr>
        <w:t>PM</w:t>
      </w:r>
      <w:r w:rsidR="005A1A1C">
        <w:rPr>
          <w:b w:val="0"/>
          <w:i w:val="0"/>
        </w:rPr>
        <w:t>2</w:t>
      </w:r>
      <w:r w:rsidRPr="005A1A1C">
        <w:rPr>
          <w:b w:val="0"/>
          <w:i w:val="0"/>
        </w:rPr>
        <w:t>5-</w:t>
      </w:r>
      <w:r w:rsidR="00035DC6">
        <w:rPr>
          <w:b w:val="0"/>
          <w:i w:val="0"/>
        </w:rPr>
        <w:t>PRI</w:t>
      </w:r>
      <w:r w:rsidRPr="00300CE8">
        <w:rPr>
          <w:b w:val="0"/>
          <w:i w:val="0"/>
          <w:vertAlign w:val="subscript"/>
        </w:rPr>
        <w:t xml:space="preserve"> </w:t>
      </w:r>
      <w:r w:rsidRPr="00300CE8">
        <w:rPr>
          <w:b w:val="0"/>
          <w:i w:val="0"/>
        </w:rPr>
        <w:t xml:space="preserve">emissions are estimated by applying a particle size multiplier of 0.10 to </w:t>
      </w:r>
      <w:r w:rsidRPr="005A1A1C">
        <w:rPr>
          <w:b w:val="0"/>
          <w:i w:val="0"/>
        </w:rPr>
        <w:t>PM10-</w:t>
      </w:r>
      <w:r w:rsidR="00035DC6">
        <w:rPr>
          <w:b w:val="0"/>
          <w:i w:val="0"/>
        </w:rPr>
        <w:t>PRI</w:t>
      </w:r>
      <w:r w:rsidRPr="00300CE8">
        <w:rPr>
          <w:b w:val="0"/>
          <w:i w:val="0"/>
          <w:vertAlign w:val="subscript"/>
        </w:rPr>
        <w:t xml:space="preserve"> </w:t>
      </w:r>
      <w:r w:rsidRPr="00300CE8">
        <w:rPr>
          <w:b w:val="0"/>
          <w:i w:val="0"/>
        </w:rPr>
        <w:t>emissions.</w:t>
      </w:r>
      <w:r w:rsidR="00135FC5">
        <w:rPr>
          <w:rStyle w:val="EndnoteReference"/>
          <w:b w:val="0"/>
          <w:i w:val="0"/>
        </w:rPr>
        <w:endnoteReference w:id="9"/>
      </w:r>
      <w:r w:rsidRPr="00300CE8">
        <w:rPr>
          <w:b w:val="0"/>
          <w:i w:val="0"/>
        </w:rPr>
        <w:t xml:space="preserve"> Primary PM emissions are equal to filterable emissions since there are no </w:t>
      </w:r>
      <w:r w:rsidR="00914855">
        <w:rPr>
          <w:b w:val="0"/>
          <w:i w:val="0"/>
        </w:rPr>
        <w:t>condensi</w:t>
      </w:r>
      <w:r w:rsidRPr="00300CE8" w:rsidR="00914855">
        <w:rPr>
          <w:b w:val="0"/>
          <w:i w:val="0"/>
        </w:rPr>
        <w:t>ble</w:t>
      </w:r>
      <w:r w:rsidRPr="00300CE8">
        <w:rPr>
          <w:b w:val="0"/>
          <w:i w:val="0"/>
        </w:rPr>
        <w:t xml:space="preserve"> emissions from residential construction.</w:t>
      </w:r>
    </w:p>
    <w:p w:rsidRPr="005A1A1C" w:rsidR="00A6797B" w:rsidP="003931CF" w:rsidRDefault="005A1A1C" w14:paraId="489981AB" w14:textId="77777777">
      <w:pPr>
        <w:pStyle w:val="Style1"/>
        <w:spacing w:after="120"/>
        <w:rPr>
          <w:b w:val="0"/>
          <w:i w:val="0"/>
        </w:rPr>
      </w:pPr>
      <w:r w:rsidRPr="005A1A1C">
        <w:rPr>
          <w:b w:val="0"/>
          <w:i w:val="0"/>
        </w:rPr>
        <w:t>The PM10-</w:t>
      </w:r>
      <w:r w:rsidR="00035DC6">
        <w:rPr>
          <w:b w:val="0"/>
          <w:i w:val="0"/>
        </w:rPr>
        <w:t>PRI</w:t>
      </w:r>
      <w:r w:rsidRPr="005A1A1C">
        <w:rPr>
          <w:b w:val="0"/>
          <w:i w:val="0"/>
        </w:rPr>
        <w:t xml:space="preserve"> emissions are calculated at the county-level by multiplying the surface soil disturbed from construction for each unit type by the corresponding emission</w:t>
      </w:r>
      <w:r w:rsidR="00975078">
        <w:rPr>
          <w:b w:val="0"/>
          <w:i w:val="0"/>
        </w:rPr>
        <w:t>s</w:t>
      </w:r>
      <w:r w:rsidR="003931CF">
        <w:rPr>
          <w:b w:val="0"/>
          <w:i w:val="0"/>
        </w:rPr>
        <w:t xml:space="preserve"> factor for that unit type, and then summed across unit types</w:t>
      </w:r>
      <w:r w:rsidRPr="005A1A1C">
        <w:rPr>
          <w:b w:val="0"/>
          <w:i w:val="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37635" w:rsidR="005A1A1C" w:rsidTr="00907DAA" w14:paraId="3D97237F" w14:textId="77777777">
        <w:trPr>
          <w:trHeight w:val="585"/>
        </w:trPr>
        <w:tc>
          <w:tcPr>
            <w:tcW w:w="8748" w:type="dxa"/>
          </w:tcPr>
          <w:p w:rsidRPr="00537635" w:rsidR="005A1A1C" w:rsidP="003931CF" w:rsidRDefault="00A32BA3" w14:paraId="20F3D494" w14:textId="77777777">
            <w:pPr>
              <w:widowControl/>
              <w:autoSpaceDE/>
              <w:autoSpaceDN/>
              <w:adjustRightInd/>
              <w:spacing w:before="120" w:after="120"/>
              <w:rPr>
                <w:szCs w:val="20"/>
              </w:rPr>
            </w:pPr>
            <m:oMathPara>
              <m:oMathParaPr>
                <m:jc m:val="center"/>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PM10,c</m:t>
                    </m:r>
                  </m:sub>
                </m:sSub>
                <m:r>
                  <w:rPr>
                    <w:rFonts w:ascii="Cambria Math" w:hAnsi="Cambria Math"/>
                    <w:szCs w:val="20"/>
                  </w:rPr>
                  <m:t xml:space="preserve">= </m:t>
                </m:r>
                <m:nary>
                  <m:naryPr>
                    <m:chr m:val="∑"/>
                    <m:limLoc m:val="undOvr"/>
                    <m:ctrlPr>
                      <w:rPr>
                        <w:rFonts w:ascii="Cambria Math" w:hAnsi="Cambria Math"/>
                        <w:i/>
                        <w:szCs w:val="20"/>
                      </w:rPr>
                    </m:ctrlPr>
                  </m:naryPr>
                  <m:sub>
                    <m:r>
                      <w:rPr>
                        <w:rFonts w:ascii="Cambria Math" w:hAnsi="Cambria Math"/>
                        <w:szCs w:val="20"/>
                      </w:rPr>
                      <m:t>n=1</m:t>
                    </m:r>
                  </m:sub>
                  <m:sup>
                    <m:r>
                      <w:rPr>
                        <w:rFonts w:ascii="Cambria Math" w:hAnsi="Cambria Math"/>
                        <w:szCs w:val="20"/>
                      </w:rPr>
                      <m:t>N</m:t>
                    </m:r>
                  </m:sup>
                  <m:e>
                    <m:sSub>
                      <m:sSubPr>
                        <m:ctrlPr>
                          <w:rPr>
                            <w:rFonts w:ascii="Cambria Math" w:hAnsi="Cambria Math"/>
                            <w:i/>
                            <w:szCs w:val="20"/>
                          </w:rPr>
                        </m:ctrlPr>
                      </m:sSubPr>
                      <m:e>
                        <m:r>
                          <w:rPr>
                            <w:rFonts w:ascii="Cambria Math" w:hAnsi="Cambria Math"/>
                            <w:szCs w:val="20"/>
                          </w:rPr>
                          <m:t>S</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PM10,n,c</m:t>
                        </m:r>
                      </m:sub>
                    </m:sSub>
                  </m:e>
                </m:nary>
              </m:oMath>
            </m:oMathPara>
          </w:p>
        </w:tc>
        <w:tc>
          <w:tcPr>
            <w:tcW w:w="828" w:type="dxa"/>
            <w:vAlign w:val="center"/>
          </w:tcPr>
          <w:p w:rsidRPr="00537635" w:rsidR="005A1A1C" w:rsidP="003931CF" w:rsidRDefault="005A1A1C" w14:paraId="1107CEE5" w14:textId="77777777">
            <w:pPr>
              <w:pStyle w:val="ListParagraph"/>
              <w:widowControl/>
              <w:numPr>
                <w:ilvl w:val="0"/>
                <w:numId w:val="10"/>
              </w:numPr>
              <w:autoSpaceDE/>
              <w:autoSpaceDN/>
              <w:adjustRightInd/>
              <w:spacing w:before="120" w:after="120"/>
              <w:jc w:val="right"/>
              <w:rPr>
                <w:szCs w:val="20"/>
              </w:rPr>
            </w:pPr>
          </w:p>
        </w:tc>
      </w:tr>
    </w:tbl>
    <w:p w:rsidRPr="00A6797B" w:rsidR="00A6797B" w:rsidP="00A6797B" w:rsidRDefault="00A6797B" w14:paraId="56A2E89A" w14:textId="77777777">
      <w:pPr>
        <w:widowControl/>
        <w:tabs>
          <w:tab w:val="left" w:pos="0"/>
        </w:tabs>
        <w:rPr>
          <w:szCs w:val="20"/>
        </w:rPr>
      </w:pPr>
      <w:r w:rsidRPr="00A6797B">
        <w:rPr>
          <w:szCs w:val="20"/>
        </w:rPr>
        <w:t>Where:</w:t>
      </w:r>
    </w:p>
    <w:p w:rsidR="00A6797B" w:rsidP="00A6797B" w:rsidRDefault="00A6797B" w14:paraId="13413129" w14:textId="77777777">
      <w:pPr>
        <w:pStyle w:val="NoSpacing"/>
      </w:pPr>
      <w:r w:rsidRPr="00A6797B">
        <w:tab/>
      </w:r>
      <w:r w:rsidRPr="00A6797B">
        <w:rPr>
          <w:i/>
        </w:rPr>
        <w:t>E</w:t>
      </w:r>
      <w:r w:rsidRPr="00A6797B">
        <w:rPr>
          <w:i/>
          <w:vertAlign w:val="subscript"/>
        </w:rPr>
        <w:t>PM10,c</w:t>
      </w:r>
      <w:r w:rsidRPr="00A6797B">
        <w:tab/>
      </w:r>
      <w:r w:rsidRPr="00A6797B">
        <w:t>=</w:t>
      </w:r>
      <w:r w:rsidRPr="00A6797B">
        <w:tab/>
      </w:r>
      <w:r w:rsidRPr="00A6797B">
        <w:t>Total PM</w:t>
      </w:r>
      <w:r w:rsidR="005A1A1C">
        <w:t>10-</w:t>
      </w:r>
      <w:r w:rsidR="00035DC6">
        <w:t xml:space="preserve">PRI </w:t>
      </w:r>
      <w:r w:rsidRPr="00A6797B">
        <w:t>emissions</w:t>
      </w:r>
      <w:r w:rsidR="003931CF">
        <w:t xml:space="preserve"> in county </w:t>
      </w:r>
      <w:r w:rsidR="003931CF">
        <w:rPr>
          <w:i/>
        </w:rPr>
        <w:t>c,</w:t>
      </w:r>
      <w:r w:rsidR="003931CF">
        <w:t xml:space="preserve"> in tons</w:t>
      </w:r>
      <w:r w:rsidRPr="00A6797B">
        <w:t xml:space="preserve"> </w:t>
      </w:r>
    </w:p>
    <w:p w:rsidRPr="005A1A1C" w:rsidR="005A1A1C" w:rsidP="005A1A1C" w:rsidRDefault="005A1A1C" w14:paraId="6EAE4612" w14:textId="77777777">
      <w:pPr>
        <w:pStyle w:val="NoSpacing"/>
        <w:rPr>
          <w:i/>
        </w:rPr>
      </w:pPr>
      <w:r w:rsidRPr="00A6797B">
        <w:rPr>
          <w:i/>
        </w:rPr>
        <w:tab/>
      </w:r>
      <w:r w:rsidRPr="00A6797B">
        <w:rPr>
          <w:i/>
        </w:rPr>
        <w:t>S</w:t>
      </w:r>
      <w:r w:rsidRPr="00A6797B">
        <w:rPr>
          <w:i/>
          <w:vertAlign w:val="subscript"/>
        </w:rPr>
        <w:t>n,c</w:t>
      </w:r>
      <w:r w:rsidRPr="00A6797B">
        <w:rPr>
          <w:i/>
          <w:vertAlign w:val="subscript"/>
        </w:rPr>
        <w:tab/>
      </w:r>
      <w:r w:rsidRPr="00A6797B">
        <w:t>=</w:t>
      </w:r>
      <w:r w:rsidRPr="00A6797B">
        <w:tab/>
      </w:r>
      <w:r w:rsidRPr="00A6797B">
        <w:t xml:space="preserve">Surface soil disturbed by building construction by county, </w:t>
      </w:r>
      <w:r w:rsidRPr="00A6797B">
        <w:rPr>
          <w:i/>
        </w:rPr>
        <w:t>c</w:t>
      </w:r>
      <w:r w:rsidRPr="00A6797B">
        <w:t xml:space="preserve">, and unit type category, </w:t>
      </w:r>
      <w:r>
        <w:rPr>
          <w:i/>
        </w:rPr>
        <w:t>n</w:t>
      </w:r>
    </w:p>
    <w:p w:rsidR="00A6797B" w:rsidP="005A1A1C" w:rsidRDefault="00A6797B" w14:paraId="7410CC57" w14:textId="77777777">
      <w:pPr>
        <w:pStyle w:val="NoSpacing"/>
      </w:pPr>
      <w:r w:rsidRPr="00A6797B">
        <w:rPr>
          <w:i/>
        </w:rPr>
        <w:tab/>
      </w:r>
      <w:r w:rsidRPr="00A6797B">
        <w:rPr>
          <w:i/>
        </w:rPr>
        <w:t>EF</w:t>
      </w:r>
      <w:r w:rsidRPr="00A6797B">
        <w:rPr>
          <w:i/>
          <w:vertAlign w:val="subscript"/>
        </w:rPr>
        <w:t>p,n,c</w:t>
      </w:r>
      <w:r w:rsidRPr="00A6797B">
        <w:rPr>
          <w:i/>
          <w:vertAlign w:val="subscript"/>
        </w:rPr>
        <w:tab/>
      </w:r>
      <w:r w:rsidRPr="00A6797B">
        <w:t>=</w:t>
      </w:r>
      <w:r w:rsidRPr="00A6797B">
        <w:tab/>
      </w:r>
      <w:r w:rsidRPr="00A6797B">
        <w:t>Adjusted county-level,</w:t>
      </w:r>
      <w:r w:rsidRPr="00A6797B">
        <w:rPr>
          <w:i/>
        </w:rPr>
        <w:t xml:space="preserve"> c</w:t>
      </w:r>
      <w:r w:rsidRPr="00A6797B">
        <w:t>, PM</w:t>
      </w:r>
      <w:r w:rsidRPr="00A6797B">
        <w:rPr>
          <w:vertAlign w:val="subscript"/>
        </w:rPr>
        <w:t>10</w:t>
      </w:r>
      <w:r w:rsidRPr="00A6797B">
        <w:t xml:space="preserve"> emission</w:t>
      </w:r>
      <w:r w:rsidR="00975078">
        <w:t>s</w:t>
      </w:r>
      <w:r w:rsidRPr="00A6797B">
        <w:t xml:space="preserve"> factor, </w:t>
      </w:r>
      <w:r w:rsidRPr="00A6797B">
        <w:rPr>
          <w:i/>
        </w:rPr>
        <w:t>p</w:t>
      </w:r>
      <w:r w:rsidRPr="00A6797B">
        <w:t xml:space="preserve">, for each unit type category, </w:t>
      </w:r>
      <w:r w:rsidRPr="00A6797B">
        <w:rPr>
          <w:i/>
        </w:rPr>
        <w:t>n</w:t>
      </w:r>
      <w:r w:rsidR="005A1A1C">
        <w:t>, in tons/acre</w:t>
      </w:r>
    </w:p>
    <w:p w:rsidRPr="005A1A1C" w:rsidR="005A1A1C" w:rsidP="005A1A1C" w:rsidRDefault="005A1A1C" w14:paraId="364B8874" w14:textId="77777777">
      <w:pPr>
        <w:pStyle w:val="NoSpacing"/>
      </w:pPr>
    </w:p>
    <w:p w:rsidRPr="005A1A1C" w:rsidR="00A6797B" w:rsidP="005A1A1C" w:rsidRDefault="005A1A1C" w14:paraId="25CCBD42" w14:textId="77777777">
      <w:pPr>
        <w:pStyle w:val="Style1"/>
        <w:rPr>
          <w:b w:val="0"/>
          <w:i w:val="0"/>
        </w:rPr>
      </w:pPr>
      <w:r w:rsidRPr="005A1A1C">
        <w:rPr>
          <w:b w:val="0"/>
          <w:i w:val="0"/>
        </w:rPr>
        <w:t>The PM25-</w:t>
      </w:r>
      <w:r w:rsidR="00035DC6">
        <w:rPr>
          <w:b w:val="0"/>
          <w:i w:val="0"/>
        </w:rPr>
        <w:t>PRI</w:t>
      </w:r>
      <w:r w:rsidRPr="005A1A1C">
        <w:rPr>
          <w:b w:val="0"/>
          <w:i w:val="0"/>
        </w:rPr>
        <w:t xml:space="preserve"> emissions are calculated</w:t>
      </w:r>
      <w:r w:rsidR="003931CF">
        <w:rPr>
          <w:b w:val="0"/>
          <w:i w:val="0"/>
        </w:rPr>
        <w:t xml:space="preserve"> based on the assumption that they are 10% of the PM10-PRI emissions</w:t>
      </w:r>
      <w:r w:rsidRPr="005A1A1C">
        <w:rPr>
          <w:b w:val="0"/>
          <w:i w:val="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5A1A1C" w:rsidR="005A1A1C" w:rsidTr="00630085" w14:paraId="3098B394" w14:textId="77777777">
        <w:trPr>
          <w:trHeight w:val="369"/>
        </w:trPr>
        <w:tc>
          <w:tcPr>
            <w:tcW w:w="8748" w:type="dxa"/>
          </w:tcPr>
          <w:p w:rsidRPr="005A1A1C" w:rsidR="005A1A1C" w:rsidP="005E7A3E" w:rsidRDefault="00A32BA3" w14:paraId="58B45D81"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PM2.5,c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PM10,c</m:t>
                    </m:r>
                  </m:sub>
                </m:sSub>
                <m:r>
                  <w:rPr>
                    <w:rFonts w:ascii="Cambria Math" w:hAnsi="Cambria Math"/>
                    <w:szCs w:val="20"/>
                  </w:rPr>
                  <m:t>×0.1</m:t>
                </m:r>
              </m:oMath>
            </m:oMathPara>
          </w:p>
        </w:tc>
        <w:tc>
          <w:tcPr>
            <w:tcW w:w="828" w:type="dxa"/>
          </w:tcPr>
          <w:p w:rsidRPr="005A1A1C" w:rsidR="005A1A1C" w:rsidP="005A1A1C" w:rsidRDefault="005A1A1C" w14:paraId="43F7691E" w14:textId="77777777">
            <w:pPr>
              <w:pStyle w:val="ListParagraph"/>
              <w:widowControl/>
              <w:numPr>
                <w:ilvl w:val="0"/>
                <w:numId w:val="10"/>
              </w:numPr>
              <w:autoSpaceDE/>
              <w:autoSpaceDN/>
              <w:adjustRightInd/>
              <w:jc w:val="right"/>
              <w:rPr>
                <w:szCs w:val="20"/>
              </w:rPr>
            </w:pPr>
          </w:p>
        </w:tc>
      </w:tr>
    </w:tbl>
    <w:p w:rsidRPr="005A1A1C" w:rsidR="00A6797B" w:rsidP="00A6797B" w:rsidRDefault="00A6797B" w14:paraId="7FC03FC4" w14:textId="77777777">
      <w:pPr>
        <w:widowControl/>
        <w:tabs>
          <w:tab w:val="left" w:pos="0"/>
        </w:tabs>
        <w:rPr>
          <w:szCs w:val="20"/>
        </w:rPr>
      </w:pPr>
      <w:r w:rsidRPr="005A1A1C">
        <w:rPr>
          <w:szCs w:val="20"/>
        </w:rPr>
        <w:t>Where:</w:t>
      </w:r>
    </w:p>
    <w:p w:rsidRPr="00A6797B" w:rsidR="00A6797B" w:rsidP="00A6797B" w:rsidRDefault="00A6797B" w14:paraId="1BAF7872" w14:textId="77777777">
      <w:pPr>
        <w:pStyle w:val="NoSpacing"/>
      </w:pPr>
      <w:r w:rsidRPr="005A1A1C">
        <w:tab/>
      </w:r>
      <w:r w:rsidRPr="005A1A1C">
        <w:rPr>
          <w:i/>
        </w:rPr>
        <w:t>E</w:t>
      </w:r>
      <w:r w:rsidRPr="005A1A1C">
        <w:rPr>
          <w:i/>
          <w:vertAlign w:val="subscript"/>
        </w:rPr>
        <w:t>PM2.5,c</w:t>
      </w:r>
      <w:r w:rsidRPr="005A1A1C">
        <w:tab/>
      </w:r>
      <w:r w:rsidRPr="005A1A1C">
        <w:t>=</w:t>
      </w:r>
      <w:r w:rsidRPr="005A1A1C">
        <w:tab/>
      </w:r>
      <w:r w:rsidRPr="005A1A1C">
        <w:t xml:space="preserve">Total county-level, </w:t>
      </w:r>
      <w:r w:rsidRPr="005A1A1C">
        <w:rPr>
          <w:i/>
        </w:rPr>
        <w:t>c</w:t>
      </w:r>
      <w:r w:rsidRPr="005A1A1C">
        <w:t>, PM</w:t>
      </w:r>
      <w:r w:rsidRPr="005A1A1C" w:rsidR="005A1A1C">
        <w:t>2</w:t>
      </w:r>
      <w:r w:rsidRPr="005A1A1C">
        <w:t>5</w:t>
      </w:r>
      <w:r w:rsidRPr="005A1A1C" w:rsidR="005A1A1C">
        <w:t>-</w:t>
      </w:r>
      <w:r w:rsidR="00035DC6">
        <w:t>PRI</w:t>
      </w:r>
      <w:r w:rsidRPr="005A1A1C">
        <w:t xml:space="preserve"> emissions</w:t>
      </w:r>
      <w:r w:rsidRPr="00A6797B">
        <w:t xml:space="preserve"> </w:t>
      </w:r>
    </w:p>
    <w:p w:rsidRPr="00A6797B" w:rsidR="00A6797B" w:rsidP="00A6797B" w:rsidRDefault="00A6797B" w14:paraId="378E1447" w14:textId="77777777">
      <w:pPr>
        <w:pStyle w:val="NoSpacing"/>
      </w:pPr>
      <w:r w:rsidRPr="00A6797B">
        <w:rPr>
          <w:i/>
        </w:rPr>
        <w:tab/>
      </w:r>
      <w:r w:rsidRPr="00A6797B">
        <w:rPr>
          <w:i/>
        </w:rPr>
        <w:t>E</w:t>
      </w:r>
      <w:r w:rsidRPr="00A6797B">
        <w:rPr>
          <w:i/>
          <w:vertAlign w:val="subscript"/>
        </w:rPr>
        <w:t>PM10,c</w:t>
      </w:r>
      <w:r w:rsidRPr="00A6797B">
        <w:tab/>
      </w:r>
      <w:r w:rsidRPr="00A6797B">
        <w:t>=</w:t>
      </w:r>
      <w:r w:rsidRPr="00A6797B">
        <w:tab/>
      </w:r>
      <w:r w:rsidRPr="00A6797B">
        <w:t xml:space="preserve">Total county-level, </w:t>
      </w:r>
      <w:r w:rsidRPr="00A6797B">
        <w:rPr>
          <w:i/>
        </w:rPr>
        <w:t>c</w:t>
      </w:r>
      <w:r w:rsidRPr="00A6797B">
        <w:t>,</w:t>
      </w:r>
      <w:r w:rsidR="00907DAA">
        <w:t xml:space="preserve"> </w:t>
      </w:r>
      <w:r w:rsidRPr="005A1A1C">
        <w:t>PM10</w:t>
      </w:r>
      <w:r w:rsidR="005A1A1C">
        <w:t>-</w:t>
      </w:r>
      <w:r w:rsidR="00035DC6">
        <w:t>PRI</w:t>
      </w:r>
      <w:r w:rsidRPr="00A6797B">
        <w:t xml:space="preserve"> emissions</w:t>
      </w:r>
    </w:p>
    <w:p w:rsidR="00A6797B" w:rsidP="005A1A1C" w:rsidRDefault="00A6797B" w14:paraId="66CE05E3" w14:textId="77777777">
      <w:pPr>
        <w:pStyle w:val="NoSpacing"/>
        <w:rPr>
          <w:iCs/>
        </w:rPr>
      </w:pPr>
      <w:r w:rsidRPr="00A6797B">
        <w:tab/>
      </w:r>
      <w:r w:rsidRPr="00A6797B">
        <w:t>0.1</w:t>
      </w:r>
      <w:r w:rsidRPr="00A6797B">
        <w:tab/>
      </w:r>
      <w:r w:rsidRPr="00A6797B">
        <w:t>=</w:t>
      </w:r>
      <w:r w:rsidRPr="00A6797B">
        <w:tab/>
      </w:r>
      <w:r w:rsidRPr="00A6797B">
        <w:rPr>
          <w:iCs/>
        </w:rPr>
        <w:t>Particle size multiplier</w:t>
      </w:r>
    </w:p>
    <w:p w:rsidRPr="00A6797B" w:rsidR="005A1A1C" w:rsidP="005A1A1C" w:rsidRDefault="005A1A1C" w14:paraId="021BE213" w14:textId="77777777">
      <w:pPr>
        <w:pStyle w:val="NoSpacing"/>
      </w:pPr>
    </w:p>
    <w:p w:rsidR="00B97E6E" w:rsidP="00052E59" w:rsidRDefault="00B97E6E" w14:paraId="4AEFC061" w14:textId="77777777">
      <w:pPr>
        <w:pStyle w:val="Heading1"/>
      </w:pPr>
      <w:r>
        <w:t>Point Source Subtraction</w:t>
      </w:r>
    </w:p>
    <w:p w:rsidR="00B97E6E" w:rsidP="00B97E6E" w:rsidRDefault="00DA4A3D" w14:paraId="6D0F2040" w14:textId="77777777">
      <w:pPr>
        <w:widowControl/>
        <w:tabs>
          <w:tab w:val="left" w:pos="0"/>
        </w:tabs>
        <w:rPr>
          <w:szCs w:val="20"/>
        </w:rPr>
      </w:pPr>
      <w:r>
        <w:rPr>
          <w:szCs w:val="20"/>
        </w:rPr>
        <w:t xml:space="preserve">There </w:t>
      </w:r>
      <w:r w:rsidR="00A329DA">
        <w:rPr>
          <w:szCs w:val="20"/>
        </w:rPr>
        <w:t xml:space="preserve">are no point source-specific SCCs for </w:t>
      </w:r>
      <w:r>
        <w:rPr>
          <w:szCs w:val="20"/>
        </w:rPr>
        <w:t xml:space="preserve">residential construction; </w:t>
      </w:r>
      <w:r w:rsidR="00A329DA">
        <w:rPr>
          <w:szCs w:val="20"/>
        </w:rPr>
        <w:t>therefore p</w:t>
      </w:r>
      <w:r w:rsidR="00B97E6E">
        <w:rPr>
          <w:szCs w:val="20"/>
        </w:rPr>
        <w:t>oint source subtraction is not performed for this category.</w:t>
      </w:r>
    </w:p>
    <w:p w:rsidRPr="003E3AC3" w:rsidR="00B97E6E" w:rsidP="00052E59" w:rsidRDefault="00B97E6E" w14:paraId="37BBB01A" w14:textId="77777777">
      <w:pPr>
        <w:pStyle w:val="Heading1"/>
      </w:pPr>
      <w:r>
        <w:t>Sample</w:t>
      </w:r>
      <w:r w:rsidRPr="00036CF5">
        <w:t xml:space="preserve"> Calculations </w:t>
      </w:r>
    </w:p>
    <w:p w:rsidR="00035DC6" w:rsidP="00B97E6E" w:rsidRDefault="00135FC5" w14:paraId="182DD4CD" w14:textId="7BF91DDE">
      <w:pPr>
        <w:widowControl/>
        <w:tabs>
          <w:tab w:val="left" w:pos="0"/>
        </w:tabs>
        <w:rPr>
          <w:szCs w:val="20"/>
        </w:rPr>
      </w:pPr>
      <w:r>
        <w:rPr>
          <w:szCs w:val="20"/>
          <w:highlight w:val="yellow"/>
        </w:rPr>
        <w:fldChar w:fldCharType="begin"/>
      </w:r>
      <w:r>
        <w:rPr>
          <w:szCs w:val="20"/>
        </w:rPr>
        <w:instrText xml:space="preserve"> REF _Ref477187560 \h </w:instrText>
      </w:r>
      <w:r>
        <w:rPr>
          <w:szCs w:val="20"/>
          <w:highlight w:val="yellow"/>
        </w:rPr>
      </w:r>
      <w:r>
        <w:rPr>
          <w:szCs w:val="20"/>
          <w:highlight w:val="yellow"/>
        </w:rPr>
        <w:fldChar w:fldCharType="separate"/>
      </w:r>
      <w:r w:rsidR="007D5A4D">
        <w:t xml:space="preserve">Table </w:t>
      </w:r>
      <w:r w:rsidR="007D5A4D">
        <w:rPr>
          <w:noProof/>
        </w:rPr>
        <w:t>5</w:t>
      </w:r>
      <w:r>
        <w:rPr>
          <w:szCs w:val="20"/>
          <w:highlight w:val="yellow"/>
        </w:rPr>
        <w:fldChar w:fldCharType="end"/>
      </w:r>
      <w:r>
        <w:rPr>
          <w:szCs w:val="20"/>
        </w:rPr>
        <w:t xml:space="preserve"> shows sample calculations for PM10-PRI and PM25-PRI emissions from residential construction for a 2-unit structure in Suffolk County, Massachusetts. </w:t>
      </w:r>
      <w:r w:rsidR="00035DC6">
        <w:rPr>
          <w:szCs w:val="20"/>
        </w:rPr>
        <w:t>The first 3 eq</w:t>
      </w:r>
      <w:r w:rsidR="007924A3">
        <w:rPr>
          <w:szCs w:val="20"/>
        </w:rPr>
        <w:t xml:space="preserve">uations use </w:t>
      </w:r>
      <w:r w:rsidR="002F7651">
        <w:rPr>
          <w:szCs w:val="20"/>
        </w:rPr>
        <w:t xml:space="preserve">the first quarter (Q1) of 2014 </w:t>
      </w:r>
      <w:r w:rsidR="007924A3">
        <w:rPr>
          <w:szCs w:val="20"/>
        </w:rPr>
        <w:t>for 2-unit structures as an example</w:t>
      </w:r>
      <w:r w:rsidR="002F7651">
        <w:rPr>
          <w:szCs w:val="20"/>
        </w:rPr>
        <w:t>.</w:t>
      </w:r>
      <w:r w:rsidR="007924A3">
        <w:rPr>
          <w:szCs w:val="20"/>
        </w:rPr>
        <w:t xml:space="preserve"> </w:t>
      </w:r>
      <w:r w:rsidR="002F7651">
        <w:rPr>
          <w:szCs w:val="20"/>
        </w:rPr>
        <w:t>H</w:t>
      </w:r>
      <w:r w:rsidR="007924A3">
        <w:rPr>
          <w:szCs w:val="20"/>
        </w:rPr>
        <w:t>owever t</w:t>
      </w:r>
      <w:r w:rsidR="00035DC6">
        <w:rPr>
          <w:szCs w:val="20"/>
        </w:rPr>
        <w:t>he</w:t>
      </w:r>
      <w:r w:rsidR="002F7651">
        <w:rPr>
          <w:szCs w:val="20"/>
        </w:rPr>
        <w:t>se</w:t>
      </w:r>
      <w:r w:rsidR="00035DC6">
        <w:rPr>
          <w:szCs w:val="20"/>
        </w:rPr>
        <w:t xml:space="preserve"> </w:t>
      </w:r>
      <w:r w:rsidR="002F7651">
        <w:rPr>
          <w:szCs w:val="20"/>
        </w:rPr>
        <w:t>calculat</w:t>
      </w:r>
      <w:r w:rsidR="009D1FD8">
        <w:rPr>
          <w:szCs w:val="20"/>
        </w:rPr>
        <w:t>ions</w:t>
      </w:r>
      <w:r w:rsidR="002F7651">
        <w:rPr>
          <w:szCs w:val="20"/>
        </w:rPr>
        <w:t xml:space="preserve"> </w:t>
      </w:r>
      <w:r w:rsidR="00035DC6">
        <w:rPr>
          <w:szCs w:val="20"/>
        </w:rPr>
        <w:t xml:space="preserve">would need to be </w:t>
      </w:r>
      <w:r w:rsidR="002F7651">
        <w:rPr>
          <w:szCs w:val="20"/>
        </w:rPr>
        <w:t xml:space="preserve">repeated </w:t>
      </w:r>
      <w:r w:rsidR="00035DC6">
        <w:rPr>
          <w:szCs w:val="20"/>
        </w:rPr>
        <w:t xml:space="preserve">to calculate </w:t>
      </w:r>
      <w:r w:rsidR="002F7651">
        <w:rPr>
          <w:szCs w:val="20"/>
        </w:rPr>
        <w:t xml:space="preserve">values for </w:t>
      </w:r>
      <w:r w:rsidR="00035DC6">
        <w:rPr>
          <w:szCs w:val="20"/>
        </w:rPr>
        <w:t xml:space="preserve">all 4 quarters for </w:t>
      </w:r>
      <w:r w:rsidR="002F7651">
        <w:rPr>
          <w:szCs w:val="20"/>
        </w:rPr>
        <w:t xml:space="preserve">all 3 </w:t>
      </w:r>
      <w:r w:rsidR="00035DC6">
        <w:rPr>
          <w:szCs w:val="20"/>
        </w:rPr>
        <w:t xml:space="preserve">unit sizes. </w:t>
      </w:r>
      <w:r w:rsidR="007924A3">
        <w:rPr>
          <w:szCs w:val="20"/>
        </w:rPr>
        <w:t xml:space="preserve">Note that structures with 5 or more units and structures with 1 unit with or without a basement have additional steps not shown in the </w:t>
      </w:r>
      <w:r w:rsidR="002F7651">
        <w:rPr>
          <w:szCs w:val="20"/>
        </w:rPr>
        <w:t xml:space="preserve">sample </w:t>
      </w:r>
      <w:r w:rsidR="007924A3">
        <w:rPr>
          <w:szCs w:val="20"/>
        </w:rPr>
        <w:t>calculations here.</w:t>
      </w:r>
    </w:p>
    <w:p w:rsidR="0097139E" w:rsidP="0097139E" w:rsidRDefault="0097139E" w14:paraId="67455280" w14:textId="77777777">
      <w:pPr>
        <w:pStyle w:val="TableCaption"/>
      </w:pPr>
      <w:bookmarkStart w:name="_Ref477187560" w:id="19"/>
      <w:r>
        <w:t xml:space="preserve">Table </w:t>
      </w:r>
      <w:r w:rsidR="00A32BA3">
        <w:rPr>
          <w:noProof/>
        </w:rPr>
        <w:fldChar w:fldCharType="begin"/>
      </w:r>
      <w:r w:rsidR="00A32BA3">
        <w:rPr>
          <w:noProof/>
        </w:rPr>
        <w:instrText xml:space="preserve"> SEQ Table \* ARABIC </w:instrText>
      </w:r>
      <w:r w:rsidR="00A32BA3">
        <w:rPr>
          <w:noProof/>
        </w:rPr>
        <w:fldChar w:fldCharType="separate"/>
      </w:r>
      <w:r w:rsidR="007D5A4D">
        <w:rPr>
          <w:noProof/>
        </w:rPr>
        <w:t>5</w:t>
      </w:r>
      <w:r w:rsidR="00A32BA3">
        <w:rPr>
          <w:noProof/>
        </w:rPr>
        <w:fldChar w:fldCharType="end"/>
      </w:r>
      <w:bookmarkEnd w:id="19"/>
      <w:r>
        <w:t xml:space="preserve">. Sample calculations for </w:t>
      </w:r>
      <w:r w:rsidR="00035DC6">
        <w:t xml:space="preserve">PM-10 PRI and </w:t>
      </w:r>
      <w:r w:rsidR="00EC2305">
        <w:t>PM25-</w:t>
      </w:r>
      <w:r w:rsidR="00035DC6">
        <w:t>PRI</w:t>
      </w:r>
      <w:r w:rsidR="00135FC5">
        <w:t xml:space="preserve"> emissions from </w:t>
      </w:r>
      <w:r w:rsidR="00EC2305">
        <w:t>residential construction</w:t>
      </w:r>
      <w:r w:rsidR="007924A3">
        <w:t xml:space="preserve"> of</w:t>
      </w:r>
      <w:r w:rsidR="00135FC5">
        <w:t xml:space="preserve"> 2-unit </w:t>
      </w:r>
      <w:r w:rsidR="00135FC5">
        <w:lastRenderedPageBreak/>
        <w:t>structure</w:t>
      </w:r>
      <w:r w:rsidR="007924A3">
        <w:t>s</w:t>
      </w:r>
      <w:r w:rsidR="00EC2305">
        <w:t xml:space="preserve"> in Suffolk County, MA</w:t>
      </w:r>
      <w:r>
        <w:t>.</w:t>
      </w:r>
    </w:p>
    <w:tbl>
      <w:tblPr>
        <w:tblStyle w:val="TableGrid"/>
        <w:tblW w:w="9794" w:type="dxa"/>
        <w:tblLook w:val="04A0" w:firstRow="1" w:lastRow="0" w:firstColumn="1" w:lastColumn="0" w:noHBand="0" w:noVBand="1"/>
      </w:tblPr>
      <w:tblGrid>
        <w:gridCol w:w="552"/>
        <w:gridCol w:w="3083"/>
        <w:gridCol w:w="4211"/>
        <w:gridCol w:w="1948"/>
      </w:tblGrid>
      <w:tr w:rsidRPr="00DF0B38" w:rsidR="00FE02FD" w:rsidTr="004F6DF9" w14:paraId="537AECAC" w14:textId="77777777">
        <w:trPr>
          <w:cantSplit/>
          <w:tblHeader/>
        </w:trPr>
        <w:tc>
          <w:tcPr>
            <w:tcW w:w="552" w:type="dxa"/>
            <w:shd w:val="clear" w:color="auto" w:fill="BFBFBF" w:themeFill="background1" w:themeFillShade="BF"/>
            <w:vAlign w:val="center"/>
          </w:tcPr>
          <w:p w:rsidRPr="00DF0B38" w:rsidR="00DF0B38" w:rsidP="00FE7F5B" w:rsidRDefault="00DF0B38" w14:paraId="3E9D5F98" w14:textId="77777777">
            <w:pPr>
              <w:widowControl/>
              <w:tabs>
                <w:tab w:val="left" w:pos="0"/>
              </w:tabs>
              <w:jc w:val="center"/>
              <w:rPr>
                <w:b/>
                <w:szCs w:val="20"/>
              </w:rPr>
            </w:pPr>
            <w:r w:rsidRPr="00DF0B38">
              <w:rPr>
                <w:b/>
                <w:szCs w:val="20"/>
              </w:rPr>
              <w:t>Eq. #</w:t>
            </w:r>
          </w:p>
        </w:tc>
        <w:tc>
          <w:tcPr>
            <w:tcW w:w="3083" w:type="dxa"/>
            <w:shd w:val="clear" w:color="auto" w:fill="BFBFBF" w:themeFill="background1" w:themeFillShade="BF"/>
            <w:vAlign w:val="center"/>
          </w:tcPr>
          <w:p w:rsidRPr="00DF0B38" w:rsidR="00DF0B38" w:rsidP="00FE7F5B" w:rsidRDefault="00DF0B38" w14:paraId="6C08CD0B" w14:textId="77777777">
            <w:pPr>
              <w:widowControl/>
              <w:tabs>
                <w:tab w:val="left" w:pos="0"/>
              </w:tabs>
              <w:jc w:val="center"/>
              <w:rPr>
                <w:b/>
                <w:szCs w:val="20"/>
              </w:rPr>
            </w:pPr>
            <w:r w:rsidRPr="00DF0B38">
              <w:rPr>
                <w:b/>
                <w:szCs w:val="20"/>
              </w:rPr>
              <w:t>Equation</w:t>
            </w:r>
          </w:p>
        </w:tc>
        <w:tc>
          <w:tcPr>
            <w:tcW w:w="4211" w:type="dxa"/>
            <w:shd w:val="clear" w:color="auto" w:fill="BFBFBF" w:themeFill="background1" w:themeFillShade="BF"/>
            <w:vAlign w:val="center"/>
          </w:tcPr>
          <w:p w:rsidRPr="00DF0B38" w:rsidR="00DF0B38" w:rsidP="00EC2305" w:rsidRDefault="00DF0B38" w14:paraId="45BB9FD0" w14:textId="77777777">
            <w:pPr>
              <w:widowControl/>
              <w:tabs>
                <w:tab w:val="left" w:pos="0"/>
              </w:tabs>
              <w:jc w:val="center"/>
              <w:rPr>
                <w:b/>
                <w:szCs w:val="20"/>
              </w:rPr>
            </w:pPr>
            <w:r w:rsidRPr="00DF0B38">
              <w:rPr>
                <w:b/>
                <w:szCs w:val="20"/>
              </w:rPr>
              <w:t>Values</w:t>
            </w:r>
            <w:r w:rsidR="0097139E">
              <w:rPr>
                <w:b/>
                <w:szCs w:val="20"/>
              </w:rPr>
              <w:t xml:space="preserve"> for </w:t>
            </w:r>
            <w:r w:rsidR="00EC2305">
              <w:rPr>
                <w:b/>
                <w:szCs w:val="20"/>
              </w:rPr>
              <w:t>Suffolk County, MA</w:t>
            </w:r>
          </w:p>
        </w:tc>
        <w:tc>
          <w:tcPr>
            <w:tcW w:w="1948" w:type="dxa"/>
            <w:shd w:val="clear" w:color="auto" w:fill="BFBFBF" w:themeFill="background1" w:themeFillShade="BF"/>
            <w:vAlign w:val="center"/>
          </w:tcPr>
          <w:p w:rsidRPr="00DF0B38" w:rsidR="00DF0B38" w:rsidP="00FE7F5B" w:rsidRDefault="00DF0B38" w14:paraId="35E4746C" w14:textId="77777777">
            <w:pPr>
              <w:widowControl/>
              <w:tabs>
                <w:tab w:val="left" w:pos="0"/>
              </w:tabs>
              <w:jc w:val="center"/>
              <w:rPr>
                <w:b/>
                <w:szCs w:val="20"/>
              </w:rPr>
            </w:pPr>
            <w:r w:rsidRPr="00DF0B38">
              <w:rPr>
                <w:b/>
                <w:szCs w:val="20"/>
              </w:rPr>
              <w:t>Result</w:t>
            </w:r>
          </w:p>
        </w:tc>
      </w:tr>
      <w:tr w:rsidR="00FE02FD" w:rsidTr="004F6DF9" w14:paraId="5DF5339A" w14:textId="77777777">
        <w:trPr>
          <w:cantSplit/>
        </w:trPr>
        <w:tc>
          <w:tcPr>
            <w:tcW w:w="552" w:type="dxa"/>
            <w:vAlign w:val="center"/>
          </w:tcPr>
          <w:p w:rsidR="0003373D" w:rsidP="00FE7F5B" w:rsidRDefault="0056502F" w14:paraId="1994AF85" w14:textId="77777777">
            <w:pPr>
              <w:widowControl/>
              <w:tabs>
                <w:tab w:val="left" w:pos="0"/>
              </w:tabs>
              <w:spacing w:after="60"/>
              <w:jc w:val="center"/>
              <w:rPr>
                <w:szCs w:val="20"/>
              </w:rPr>
            </w:pPr>
            <w:r>
              <w:rPr>
                <w:szCs w:val="20"/>
              </w:rPr>
              <w:t>1</w:t>
            </w:r>
          </w:p>
        </w:tc>
        <w:tc>
          <w:tcPr>
            <w:tcW w:w="3083" w:type="dxa"/>
            <w:vAlign w:val="center"/>
          </w:tcPr>
          <w:p w:rsidR="0003373D" w:rsidP="00FE7F5B" w:rsidRDefault="00A32BA3" w14:paraId="6C592719"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Q,n</m:t>
                    </m:r>
                  </m:sub>
                </m:sSub>
                <m:r>
                  <w:rPr>
                    <w:rFonts w:ascii="Cambria Math" w:hAnsi="Cambria Math"/>
                    <w:szCs w:val="20"/>
                  </w:rPr>
                  <m:t>=</m:t>
                </m:r>
                <m:d>
                  <m:dPr>
                    <m:ctrlPr>
                      <w:rPr>
                        <w:rFonts w:ascii="Cambria Math" w:hAnsi="Cambria Math"/>
                        <w:i/>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U</m:t>
                            </m:r>
                          </m:e>
                          <m:sub>
                            <m:r>
                              <w:rPr>
                                <w:rFonts w:ascii="Cambria Math" w:hAnsi="Cambria Math"/>
                                <w:szCs w:val="20"/>
                              </w:rPr>
                              <m:t>n</m:t>
                            </m:r>
                          </m:sub>
                        </m:sSub>
                      </m:num>
                      <m:den>
                        <m:sSub>
                          <m:sSubPr>
                            <m:ctrlPr>
                              <w:rPr>
                                <w:rFonts w:ascii="Cambria Math" w:hAnsi="Cambria Math"/>
                                <w:i/>
                                <w:szCs w:val="20"/>
                              </w:rPr>
                            </m:ctrlPr>
                          </m:sSubPr>
                          <m:e>
                            <m:r>
                              <w:rPr>
                                <w:rFonts w:ascii="Cambria Math" w:hAnsi="Cambria Math"/>
                                <w:szCs w:val="20"/>
                              </w:rPr>
                              <m:t>U</m:t>
                            </m:r>
                          </m:e>
                          <m:sub>
                            <m:r>
                              <w:rPr>
                                <w:rFonts w:ascii="Cambria Math" w:hAnsi="Cambria Math"/>
                                <w:szCs w:val="20"/>
                              </w:rPr>
                              <m:t>t</m:t>
                            </m:r>
                          </m:sub>
                        </m:sSub>
                      </m:den>
                    </m:f>
                  </m:e>
                </m:d>
                <m:r>
                  <w:rPr>
                    <w:rFonts w:ascii="Cambria Math" w:hAnsi="Cambria Math"/>
                    <w:szCs w:val="20"/>
                  </w:rPr>
                  <m:t>×</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Q,2-4</m:t>
                    </m:r>
                  </m:sub>
                </m:sSub>
              </m:oMath>
            </m:oMathPara>
          </w:p>
        </w:tc>
        <w:tc>
          <w:tcPr>
            <w:tcW w:w="4211" w:type="dxa"/>
            <w:vAlign w:val="center"/>
          </w:tcPr>
          <w:p w:rsidRPr="00486228" w:rsidR="00486228" w:rsidP="00486228" w:rsidRDefault="00A32BA3" w14:paraId="36ADCD18" w14:textId="77777777">
            <w:pPr>
              <w:widowControl/>
              <w:tabs>
                <w:tab w:val="left" w:pos="0"/>
              </w:tabs>
              <w:spacing w:after="60"/>
              <w:jc w:val="center"/>
              <w:rPr>
                <w:szCs w:val="20"/>
              </w:rPr>
            </w:pPr>
            <m:oMathPara>
              <m:oMath>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14 two unit housing starts in 2002</m:t>
                        </m:r>
                      </m:num>
                      <m:den>
                        <m:r>
                          <w:rPr>
                            <w:rFonts w:ascii="Cambria Math" w:hAnsi="Cambria Math"/>
                            <w:szCs w:val="20"/>
                          </w:rPr>
                          <m:t>38 total housing starts in 2002</m:t>
                        </m:r>
                      </m:den>
                    </m:f>
                  </m:e>
                </m:d>
              </m:oMath>
            </m:oMathPara>
          </w:p>
          <w:p w:rsidR="0003373D" w:rsidP="00486228" w:rsidRDefault="00486228" w14:paraId="17151FD5" w14:textId="4D5BE017">
            <w:pPr>
              <w:widowControl/>
              <w:tabs>
                <w:tab w:val="left" w:pos="0"/>
              </w:tabs>
              <w:spacing w:after="60"/>
              <w:jc w:val="center"/>
              <w:rPr>
                <w:szCs w:val="20"/>
              </w:rPr>
            </w:pPr>
            <m:oMath>
              <m:r>
                <w:rPr>
                  <w:rFonts w:ascii="Cambria Math" w:hAnsi="Cambria Math"/>
                  <w:szCs w:val="20"/>
                </w:rPr>
                <m:t>×2 two to four unit housing starts in Q1 2017</m:t>
              </m:r>
            </m:oMath>
            <w:r>
              <w:rPr>
                <w:szCs w:val="20"/>
              </w:rPr>
              <w:t xml:space="preserve"> </w:t>
            </w:r>
          </w:p>
        </w:tc>
        <w:tc>
          <w:tcPr>
            <w:tcW w:w="1948" w:type="dxa"/>
          </w:tcPr>
          <w:p w:rsidR="0003373D" w:rsidP="00486228" w:rsidRDefault="00EC2305" w14:paraId="5127F40B" w14:textId="77777777">
            <w:pPr>
              <w:widowControl/>
              <w:tabs>
                <w:tab w:val="left" w:pos="0"/>
              </w:tabs>
              <w:spacing w:after="60"/>
              <w:rPr>
                <w:szCs w:val="20"/>
              </w:rPr>
            </w:pPr>
            <w:r>
              <w:rPr>
                <w:szCs w:val="20"/>
              </w:rPr>
              <w:t xml:space="preserve">0.74 </w:t>
            </w:r>
            <w:r w:rsidR="00486228">
              <w:rPr>
                <w:szCs w:val="20"/>
              </w:rPr>
              <w:t xml:space="preserve">thousand </w:t>
            </w:r>
            <w:r>
              <w:rPr>
                <w:szCs w:val="20"/>
              </w:rPr>
              <w:t>housing start</w:t>
            </w:r>
            <w:r w:rsidR="00486228">
              <w:rPr>
                <w:szCs w:val="20"/>
              </w:rPr>
              <w:t>s for 2-unit structures in Q1 2014, nationally</w:t>
            </w:r>
            <w:r>
              <w:rPr>
                <w:szCs w:val="20"/>
              </w:rPr>
              <w:t xml:space="preserve"> </w:t>
            </w:r>
          </w:p>
        </w:tc>
      </w:tr>
      <w:tr w:rsidR="00FE02FD" w:rsidTr="004F6DF9" w14:paraId="1ED147A7" w14:textId="77777777">
        <w:trPr>
          <w:cantSplit/>
        </w:trPr>
        <w:tc>
          <w:tcPr>
            <w:tcW w:w="552" w:type="dxa"/>
            <w:vAlign w:val="center"/>
          </w:tcPr>
          <w:p w:rsidR="00DF0B38" w:rsidP="00FE7F5B" w:rsidRDefault="0056502F" w14:paraId="2C0EF939" w14:textId="77777777">
            <w:pPr>
              <w:widowControl/>
              <w:tabs>
                <w:tab w:val="left" w:pos="0"/>
              </w:tabs>
              <w:spacing w:after="60"/>
              <w:jc w:val="center"/>
              <w:rPr>
                <w:szCs w:val="20"/>
              </w:rPr>
            </w:pPr>
            <w:r>
              <w:rPr>
                <w:szCs w:val="20"/>
              </w:rPr>
              <w:t>2</w:t>
            </w:r>
          </w:p>
        </w:tc>
        <w:tc>
          <w:tcPr>
            <w:tcW w:w="3083" w:type="dxa"/>
            <w:vAlign w:val="center"/>
          </w:tcPr>
          <w:p w:rsidR="00DF0B38" w:rsidP="00FE7F5B" w:rsidRDefault="00A32BA3" w14:paraId="63ACEE06"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Q,n</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S</m:t>
                        </m:r>
                      </m:e>
                      <m:sub>
                        <m:r>
                          <w:rPr>
                            <w:rFonts w:ascii="Cambria Math" w:hAnsi="Cambria Math"/>
                            <w:szCs w:val="20"/>
                          </w:rPr>
                          <m:t>Q,n</m:t>
                        </m:r>
                      </m:sub>
                    </m:sSub>
                  </m:num>
                  <m:den>
                    <m:sSub>
                      <m:sSubPr>
                        <m:ctrlPr>
                          <w:rPr>
                            <w:rFonts w:ascii="Cambria Math" w:hAnsi="Cambria Math"/>
                            <w:i/>
                            <w:szCs w:val="20"/>
                          </w:rPr>
                        </m:ctrlPr>
                      </m:sSubPr>
                      <m:e>
                        <m:r>
                          <w:rPr>
                            <w:rFonts w:ascii="Cambria Math" w:hAnsi="Cambria Math"/>
                            <w:szCs w:val="20"/>
                          </w:rPr>
                          <m:t>S</m:t>
                        </m:r>
                      </m:e>
                      <m:sub>
                        <m:r>
                          <w:rPr>
                            <w:rFonts w:ascii="Cambria Math" w:hAnsi="Cambria Math"/>
                            <w:szCs w:val="20"/>
                          </w:rPr>
                          <m:t>Q.t</m:t>
                        </m:r>
                      </m:sub>
                    </m:sSub>
                  </m:den>
                </m:f>
              </m:oMath>
            </m:oMathPara>
          </w:p>
        </w:tc>
        <w:tc>
          <w:tcPr>
            <w:tcW w:w="4211" w:type="dxa"/>
            <w:vAlign w:val="center"/>
          </w:tcPr>
          <w:p w:rsidR="00DF0B38" w:rsidP="00FE7F5B" w:rsidRDefault="00A32BA3" w14:paraId="5D4EA6BA"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0.74 two unit housing starts</m:t>
                    </m:r>
                  </m:num>
                  <m:den>
                    <m:r>
                      <w:rPr>
                        <w:rFonts w:ascii="Cambria Math" w:hAnsi="Cambria Math"/>
                        <w:szCs w:val="20"/>
                      </w:rPr>
                      <m:t>72 two or more unit housing starts</m:t>
                    </m:r>
                  </m:den>
                </m:f>
              </m:oMath>
            </m:oMathPara>
          </w:p>
        </w:tc>
        <w:tc>
          <w:tcPr>
            <w:tcW w:w="1948" w:type="dxa"/>
          </w:tcPr>
          <w:p w:rsidR="00DF0B38" w:rsidP="005E7FC5" w:rsidRDefault="00EC2305" w14:paraId="3485F9BC" w14:textId="3E1047FB">
            <w:pPr>
              <w:widowControl/>
              <w:tabs>
                <w:tab w:val="left" w:pos="0"/>
              </w:tabs>
              <w:spacing w:after="60"/>
              <w:rPr>
                <w:szCs w:val="20"/>
              </w:rPr>
            </w:pPr>
            <w:r>
              <w:rPr>
                <w:szCs w:val="20"/>
              </w:rPr>
              <w:t xml:space="preserve">0.01 ratio of buildings with 2 units to </w:t>
            </w:r>
            <w:r w:rsidR="002F7651">
              <w:rPr>
                <w:szCs w:val="20"/>
              </w:rPr>
              <w:t xml:space="preserve">all </w:t>
            </w:r>
            <w:r w:rsidR="005E7FC5">
              <w:rPr>
                <w:szCs w:val="20"/>
              </w:rPr>
              <w:t>2 or more unit housing starts</w:t>
            </w:r>
            <w:r w:rsidR="002F7651">
              <w:rPr>
                <w:szCs w:val="20"/>
              </w:rPr>
              <w:t xml:space="preserve"> for Q1 20</w:t>
            </w:r>
            <w:r>
              <w:rPr>
                <w:szCs w:val="20"/>
              </w:rPr>
              <w:t>14</w:t>
            </w:r>
            <w:r w:rsidR="002F7651">
              <w:rPr>
                <w:szCs w:val="20"/>
              </w:rPr>
              <w:t>, nationally</w:t>
            </w:r>
            <w:r>
              <w:rPr>
                <w:szCs w:val="20"/>
              </w:rPr>
              <w:t xml:space="preserve"> </w:t>
            </w:r>
          </w:p>
        </w:tc>
      </w:tr>
      <w:tr w:rsidR="00676FE8" w:rsidTr="004F6DF9" w14:paraId="7BB46AFD" w14:textId="77777777">
        <w:trPr>
          <w:cantSplit/>
        </w:trPr>
        <w:tc>
          <w:tcPr>
            <w:tcW w:w="552" w:type="dxa"/>
            <w:vAlign w:val="center"/>
          </w:tcPr>
          <w:p w:rsidR="00676FE8" w:rsidP="00BE0480" w:rsidRDefault="00676FE8" w14:paraId="70EBEE99" w14:textId="77777777">
            <w:pPr>
              <w:widowControl/>
              <w:tabs>
                <w:tab w:val="left" w:pos="0"/>
              </w:tabs>
              <w:spacing w:after="60"/>
              <w:jc w:val="center"/>
              <w:rPr>
                <w:szCs w:val="20"/>
              </w:rPr>
            </w:pPr>
            <w:r>
              <w:rPr>
                <w:szCs w:val="20"/>
              </w:rPr>
              <w:t>3</w:t>
            </w:r>
          </w:p>
        </w:tc>
        <w:tc>
          <w:tcPr>
            <w:tcW w:w="3083" w:type="dxa"/>
            <w:vAlign w:val="center"/>
          </w:tcPr>
          <w:p w:rsidR="00676FE8" w:rsidRDefault="00A32BA3" w14:paraId="2774A3C7"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Q,n,rgn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Q,n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RS</m:t>
                    </m:r>
                  </m:e>
                  <m:sub>
                    <m:r>
                      <w:rPr>
                        <w:rFonts w:ascii="Cambria Math" w:hAnsi="Cambria Math"/>
                        <w:szCs w:val="20"/>
                      </w:rPr>
                      <m:t>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RS</m:t>
                    </m:r>
                  </m:e>
                  <m:sub>
                    <m:r>
                      <w:rPr>
                        <w:rFonts w:ascii="Cambria Math" w:hAnsi="Cambria Math"/>
                        <w:szCs w:val="20"/>
                      </w:rPr>
                      <m:t>1</m:t>
                    </m:r>
                  </m:sub>
                </m:sSub>
                <m:r>
                  <w:rPr>
                    <w:rFonts w:ascii="Cambria Math" w:hAnsi="Cambria Math"/>
                    <w:szCs w:val="20"/>
                  </w:rPr>
                  <m:t>)</m:t>
                </m:r>
              </m:oMath>
            </m:oMathPara>
          </w:p>
        </w:tc>
        <w:tc>
          <w:tcPr>
            <w:tcW w:w="4211" w:type="dxa"/>
            <w:vAlign w:val="center"/>
          </w:tcPr>
          <w:p w:rsidR="00676FE8" w:rsidP="00BE0480" w:rsidRDefault="00EC2305" w14:paraId="666C4CA5" w14:textId="77777777">
            <w:pPr>
              <w:widowControl/>
              <w:tabs>
                <w:tab w:val="left" w:pos="0"/>
              </w:tabs>
              <w:spacing w:after="60"/>
              <w:jc w:val="center"/>
              <w:rPr>
                <w:szCs w:val="20"/>
              </w:rPr>
            </w:pPr>
            <m:oMathPara>
              <m:oMath>
                <m:r>
                  <w:rPr>
                    <w:rFonts w:ascii="Cambria Math" w:hAnsi="Cambria Math"/>
                    <w:szCs w:val="20"/>
                  </w:rPr>
                  <m:t xml:space="preserve">0.01×(23 total Q1 </m:t>
                </m:r>
                <m:r>
                  <w:rPr>
                    <w:rFonts w:ascii="Cambria Math" w:hAnsi="Cambria Math"/>
                    <w:szCs w:val="20"/>
                  </w:rPr>
                  <m:t>housing starts in Northeast-9 one unit housing starts in Northeast )</m:t>
                </m:r>
              </m:oMath>
            </m:oMathPara>
          </w:p>
        </w:tc>
        <w:tc>
          <w:tcPr>
            <w:tcW w:w="1948" w:type="dxa"/>
          </w:tcPr>
          <w:p w:rsidR="00676FE8" w:rsidP="002F7651" w:rsidRDefault="00EC2305" w14:paraId="4B7B1D4C" w14:textId="77777777">
            <w:pPr>
              <w:widowControl/>
              <w:tabs>
                <w:tab w:val="left" w:pos="0"/>
              </w:tabs>
              <w:spacing w:after="60"/>
              <w:rPr>
                <w:szCs w:val="20"/>
              </w:rPr>
            </w:pPr>
            <w:r>
              <w:rPr>
                <w:szCs w:val="20"/>
              </w:rPr>
              <w:t xml:space="preserve">0.14 </w:t>
            </w:r>
            <w:r w:rsidR="002F7651">
              <w:rPr>
                <w:szCs w:val="20"/>
              </w:rPr>
              <w:t xml:space="preserve">thousand </w:t>
            </w:r>
            <w:r>
              <w:rPr>
                <w:szCs w:val="20"/>
              </w:rPr>
              <w:t>housing star</w:t>
            </w:r>
            <w:r w:rsidR="002F7651">
              <w:rPr>
                <w:szCs w:val="20"/>
              </w:rPr>
              <w:t>ts for 2-unit structures for Q1 20</w:t>
            </w:r>
            <w:r>
              <w:rPr>
                <w:szCs w:val="20"/>
              </w:rPr>
              <w:t xml:space="preserve">14 in </w:t>
            </w:r>
            <w:r w:rsidR="002F7651">
              <w:rPr>
                <w:szCs w:val="20"/>
              </w:rPr>
              <w:t>the Northeast</w:t>
            </w:r>
          </w:p>
        </w:tc>
      </w:tr>
      <w:tr w:rsidR="00FE02FD" w:rsidTr="004F6DF9" w14:paraId="03DDADC9" w14:textId="77777777">
        <w:trPr>
          <w:cantSplit/>
        </w:trPr>
        <w:tc>
          <w:tcPr>
            <w:tcW w:w="552" w:type="dxa"/>
            <w:vAlign w:val="center"/>
          </w:tcPr>
          <w:p w:rsidRPr="002F7651" w:rsidR="00DF0B38" w:rsidP="00FE7F5B" w:rsidRDefault="00676FE8" w14:paraId="29E9B4F9" w14:textId="77777777">
            <w:pPr>
              <w:widowControl/>
              <w:tabs>
                <w:tab w:val="left" w:pos="0"/>
              </w:tabs>
              <w:spacing w:after="60"/>
              <w:jc w:val="center"/>
              <w:rPr>
                <w:szCs w:val="20"/>
              </w:rPr>
            </w:pPr>
            <w:r w:rsidRPr="002F7651">
              <w:rPr>
                <w:szCs w:val="20"/>
              </w:rPr>
              <w:t>4</w:t>
            </w:r>
          </w:p>
        </w:tc>
        <w:tc>
          <w:tcPr>
            <w:tcW w:w="3083" w:type="dxa"/>
            <w:vAlign w:val="center"/>
          </w:tcPr>
          <w:p w:rsidRPr="002F7651" w:rsidR="00DF0B38" w:rsidP="00FE7F5B" w:rsidRDefault="00A32BA3" w14:paraId="395016B8"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CF</m:t>
                    </m:r>
                  </m:e>
                  <m:sub>
                    <m:r>
                      <w:rPr>
                        <w:rFonts w:ascii="Cambria Math" w:hAnsi="Cambria Math"/>
                        <w:szCs w:val="20"/>
                      </w:rPr>
                      <m:t>5</m:t>
                    </m:r>
                  </m:sub>
                </m:sSub>
                <m:r>
                  <w:rPr>
                    <w:rFonts w:ascii="Cambria Math" w:hAnsi="Cambria Math"/>
                    <w:szCs w:val="20"/>
                  </w:rPr>
                  <m:t xml:space="preserve">= </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U</m:t>
                        </m:r>
                      </m:e>
                      <m:sub>
                        <m:r>
                          <w:rPr>
                            <w:rFonts w:ascii="Cambria Math" w:hAnsi="Cambria Math"/>
                            <w:szCs w:val="20"/>
                          </w:rPr>
                          <m:t>5,rgn</m:t>
                        </m:r>
                      </m:sub>
                    </m:sSub>
                  </m:num>
                  <m:den>
                    <m:sSub>
                      <m:sSubPr>
                        <m:ctrlPr>
                          <w:rPr>
                            <w:rFonts w:ascii="Cambria Math" w:hAnsi="Cambria Math"/>
                            <w:i/>
                            <w:szCs w:val="20"/>
                          </w:rPr>
                        </m:ctrlPr>
                      </m:sSubPr>
                      <m:e>
                        <m:r>
                          <w:rPr>
                            <w:rFonts w:ascii="Cambria Math" w:hAnsi="Cambria Math"/>
                            <w:szCs w:val="20"/>
                          </w:rPr>
                          <m:t>B</m:t>
                        </m:r>
                      </m:e>
                      <m:sub>
                        <m:r>
                          <w:rPr>
                            <w:rFonts w:ascii="Cambria Math" w:hAnsi="Cambria Math"/>
                            <w:szCs w:val="20"/>
                          </w:rPr>
                          <m:t>5,r</m:t>
                        </m:r>
                      </m:sub>
                    </m:sSub>
                  </m:den>
                </m:f>
              </m:oMath>
            </m:oMathPara>
          </w:p>
        </w:tc>
        <w:tc>
          <w:tcPr>
            <w:tcW w:w="4211" w:type="dxa"/>
            <w:vAlign w:val="center"/>
          </w:tcPr>
          <w:p w:rsidRPr="002F7651" w:rsidR="00DF0B38" w:rsidP="004F6DF9" w:rsidRDefault="004F6DF9" w14:paraId="61F29406" w14:textId="77777777">
            <w:pPr>
              <w:widowControl/>
              <w:tabs>
                <w:tab w:val="left" w:pos="0"/>
              </w:tabs>
              <w:spacing w:after="60"/>
              <w:rPr>
                <w:szCs w:val="20"/>
              </w:rPr>
            </w:pPr>
            <m:oMathPara>
              <m:oMath>
                <m:r>
                  <w:rPr>
                    <w:rFonts w:ascii="Cambria Math" w:hAnsi="Cambria Math"/>
                    <w:szCs w:val="20"/>
                  </w:rPr>
                  <m:t>N/A</m:t>
                </m:r>
              </m:oMath>
            </m:oMathPara>
          </w:p>
        </w:tc>
        <w:tc>
          <w:tcPr>
            <w:tcW w:w="1948" w:type="dxa"/>
          </w:tcPr>
          <w:p w:rsidRPr="002F7651" w:rsidR="00DF0B38" w:rsidP="002F7651" w:rsidRDefault="002F7651" w14:paraId="293A8540" w14:textId="77777777">
            <w:pPr>
              <w:widowControl/>
              <w:tabs>
                <w:tab w:val="left" w:pos="0"/>
              </w:tabs>
              <w:spacing w:after="60"/>
              <w:rPr>
                <w:szCs w:val="20"/>
              </w:rPr>
            </w:pPr>
            <w:r w:rsidRPr="002F7651">
              <w:rPr>
                <w:szCs w:val="20"/>
              </w:rPr>
              <w:t>Equation is for 5 or more unit buildings; example is for 2-unit buildings</w:t>
            </w:r>
          </w:p>
        </w:tc>
      </w:tr>
      <w:tr w:rsidR="00FE02FD" w:rsidTr="004F6DF9" w14:paraId="609CD8D5" w14:textId="77777777">
        <w:trPr>
          <w:cantSplit/>
        </w:trPr>
        <w:tc>
          <w:tcPr>
            <w:tcW w:w="552" w:type="dxa"/>
            <w:vAlign w:val="center"/>
          </w:tcPr>
          <w:p w:rsidR="00DF0B38" w:rsidP="00FE7F5B" w:rsidRDefault="00676FE8" w14:paraId="6CA6925B" w14:textId="77777777">
            <w:pPr>
              <w:widowControl/>
              <w:tabs>
                <w:tab w:val="left" w:pos="0"/>
              </w:tabs>
              <w:spacing w:after="60"/>
              <w:jc w:val="center"/>
              <w:rPr>
                <w:szCs w:val="20"/>
              </w:rPr>
            </w:pPr>
            <w:r>
              <w:rPr>
                <w:szCs w:val="20"/>
              </w:rPr>
              <w:t>5</w:t>
            </w:r>
          </w:p>
        </w:tc>
        <w:tc>
          <w:tcPr>
            <w:tcW w:w="3083" w:type="dxa"/>
            <w:vAlign w:val="center"/>
          </w:tcPr>
          <w:p w:rsidR="00DF0B38" w:rsidRDefault="00A32BA3" w14:paraId="1E1A8B70" w14:textId="77777777">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f>
                  <m:fPr>
                    <m:ctrlPr>
                      <w:rPr>
                        <w:rFonts w:ascii="Cambria Math" w:hAnsi="Cambria Math"/>
                        <w:i/>
                        <w:szCs w:val="20"/>
                      </w:rPr>
                    </m:ctrlPr>
                  </m:fPr>
                  <m:num>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Q1</m:t>
                        </m:r>
                      </m:sub>
                      <m:sup>
                        <m:r>
                          <w:rPr>
                            <w:rFonts w:ascii="Cambria Math" w:hAnsi="Cambria Math"/>
                            <w:szCs w:val="20"/>
                          </w:rPr>
                          <m:t>Q4</m:t>
                        </m:r>
                      </m:sup>
                      <m:e>
                        <m:sSub>
                          <m:sSubPr>
                            <m:ctrlPr>
                              <w:rPr>
                                <w:rFonts w:ascii="Cambria Math" w:hAnsi="Cambria Math"/>
                                <w:i/>
                                <w:szCs w:val="20"/>
                              </w:rPr>
                            </m:ctrlPr>
                          </m:sSubPr>
                          <m:e>
                            <m:r>
                              <w:rPr>
                                <w:rFonts w:ascii="Cambria Math" w:hAnsi="Cambria Math"/>
                                <w:szCs w:val="20"/>
                              </w:rPr>
                              <m:t>A</m:t>
                            </m:r>
                          </m:e>
                          <m:sub>
                            <m:r>
                              <w:rPr>
                                <w:rFonts w:ascii="Cambria Math" w:hAnsi="Cambria Math"/>
                                <w:szCs w:val="20"/>
                              </w:rPr>
                              <m:t>Q.n.rgn</m:t>
                            </m:r>
                          </m:sub>
                        </m:sSub>
                      </m:e>
                    </m:nary>
                    <m:r>
                      <w:rPr>
                        <w:rFonts w:ascii="Cambria Math" w:hAnsi="Cambria Math"/>
                        <w:szCs w:val="20"/>
                      </w:rPr>
                      <m:t>)×1,000</m:t>
                    </m:r>
                  </m:num>
                  <m:den>
                    <m:r>
                      <w:rPr>
                        <w:rFonts w:ascii="Cambria Math" w:hAnsi="Cambria Math"/>
                        <w:szCs w:val="20"/>
                      </w:rPr>
                      <m:t>n</m:t>
                    </m:r>
                  </m:den>
                </m:f>
              </m:oMath>
            </m:oMathPara>
          </w:p>
        </w:tc>
        <w:tc>
          <w:tcPr>
            <w:tcW w:w="4211" w:type="dxa"/>
            <w:vAlign w:val="center"/>
          </w:tcPr>
          <w:p w:rsidR="00DF0B38" w:rsidP="004F6DF9" w:rsidRDefault="00A32BA3" w14:paraId="210B4889"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0.772 two unit structures ×1,000</m:t>
                    </m:r>
                  </m:num>
                  <m:den>
                    <m:r>
                      <w:rPr>
                        <w:rFonts w:ascii="Cambria Math" w:hAnsi="Cambria Math"/>
                        <w:szCs w:val="20"/>
                      </w:rPr>
                      <m:t>2 units per building</m:t>
                    </m:r>
                  </m:den>
                </m:f>
              </m:oMath>
            </m:oMathPara>
          </w:p>
        </w:tc>
        <w:tc>
          <w:tcPr>
            <w:tcW w:w="1948" w:type="dxa"/>
          </w:tcPr>
          <w:p w:rsidR="00DF0B38" w:rsidP="00EC2305" w:rsidRDefault="00EC2305" w14:paraId="139069A9" w14:textId="77777777">
            <w:pPr>
              <w:widowControl/>
              <w:tabs>
                <w:tab w:val="left" w:pos="0"/>
              </w:tabs>
              <w:spacing w:after="60"/>
              <w:rPr>
                <w:szCs w:val="20"/>
              </w:rPr>
            </w:pPr>
            <w:r>
              <w:rPr>
                <w:szCs w:val="20"/>
              </w:rPr>
              <w:t xml:space="preserve">386 2-unit structures constructed in the Northeast </w:t>
            </w:r>
          </w:p>
        </w:tc>
      </w:tr>
      <w:tr w:rsidR="00FE02FD" w:rsidTr="004F6DF9" w14:paraId="018AEDD2" w14:textId="77777777">
        <w:trPr>
          <w:cantSplit/>
        </w:trPr>
        <w:tc>
          <w:tcPr>
            <w:tcW w:w="552" w:type="dxa"/>
            <w:vAlign w:val="center"/>
          </w:tcPr>
          <w:p w:rsidRPr="004F6DF9" w:rsidR="00DF0B38" w:rsidP="00FE7F5B" w:rsidRDefault="00676FE8" w14:paraId="306BACDE" w14:textId="77777777">
            <w:pPr>
              <w:widowControl/>
              <w:tabs>
                <w:tab w:val="left" w:pos="0"/>
              </w:tabs>
              <w:spacing w:after="60"/>
              <w:jc w:val="center"/>
              <w:rPr>
                <w:szCs w:val="20"/>
              </w:rPr>
            </w:pPr>
            <w:r w:rsidRPr="004F6DF9">
              <w:rPr>
                <w:szCs w:val="20"/>
              </w:rPr>
              <w:t>6</w:t>
            </w:r>
          </w:p>
        </w:tc>
        <w:tc>
          <w:tcPr>
            <w:tcW w:w="3083" w:type="dxa"/>
            <w:vAlign w:val="center"/>
          </w:tcPr>
          <w:p w:rsidRPr="004F6DF9" w:rsidR="00DF0B38" w:rsidP="00FE7F5B" w:rsidRDefault="00A32BA3" w14:paraId="5651D0FE"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f>
                  <m:fPr>
                    <m:ctrlPr>
                      <w:rPr>
                        <w:rFonts w:ascii="Cambria Math" w:hAnsi="Cambria Math"/>
                        <w:i/>
                        <w:szCs w:val="20"/>
                      </w:rPr>
                    </m:ctrlPr>
                  </m:fPr>
                  <m:num>
                    <m:r>
                      <w:rPr>
                        <w:rFonts w:ascii="Cambria Math" w:hAnsi="Cambria Math"/>
                        <w:szCs w:val="20"/>
                      </w:rPr>
                      <m:t>(</m:t>
                    </m:r>
                    <m:nary>
                      <m:naryPr>
                        <m:chr m:val="∑"/>
                        <m:limLoc m:val="undOvr"/>
                        <m:ctrlPr>
                          <w:rPr>
                            <w:rFonts w:ascii="Cambria Math" w:hAnsi="Cambria Math"/>
                            <w:i/>
                            <w:szCs w:val="20"/>
                          </w:rPr>
                        </m:ctrlPr>
                      </m:naryPr>
                      <m:sub>
                        <m:r>
                          <w:rPr>
                            <w:rFonts w:ascii="Cambria Math" w:hAnsi="Cambria Math"/>
                            <w:szCs w:val="20"/>
                          </w:rPr>
                          <m:t>Q1</m:t>
                        </m:r>
                      </m:sub>
                      <m:sup>
                        <m:r>
                          <w:rPr>
                            <w:rFonts w:ascii="Cambria Math" w:hAnsi="Cambria Math"/>
                            <w:szCs w:val="20"/>
                          </w:rPr>
                          <m:t>Q4</m:t>
                        </m:r>
                      </m:sup>
                      <m:e>
                        <m:sSub>
                          <m:sSubPr>
                            <m:ctrlPr>
                              <w:rPr>
                                <w:rFonts w:ascii="Cambria Math" w:hAnsi="Cambria Math"/>
                                <w:i/>
                                <w:szCs w:val="20"/>
                              </w:rPr>
                            </m:ctrlPr>
                          </m:sSubPr>
                          <m:e>
                            <m:r>
                              <w:rPr>
                                <w:rFonts w:ascii="Cambria Math" w:hAnsi="Cambria Math"/>
                                <w:szCs w:val="20"/>
                              </w:rPr>
                              <m:t>A</m:t>
                            </m:r>
                          </m:e>
                          <m:sub>
                            <m:r>
                              <w:rPr>
                                <w:rFonts w:ascii="Cambria Math" w:hAnsi="Cambria Math"/>
                                <w:szCs w:val="20"/>
                              </w:rPr>
                              <m:t>Q.n.rgn</m:t>
                            </m:r>
                          </m:sub>
                        </m:sSub>
                      </m:e>
                    </m:nary>
                    <m:r>
                      <w:rPr>
                        <w:rFonts w:ascii="Cambria Math" w:hAnsi="Cambria Math"/>
                        <w:szCs w:val="20"/>
                      </w:rPr>
                      <m:t>)×1,000</m:t>
                    </m:r>
                  </m:num>
                  <m:den>
                    <m:sSub>
                      <m:sSubPr>
                        <m:ctrlPr>
                          <w:rPr>
                            <w:rFonts w:ascii="Cambria Math" w:hAnsi="Cambria Math"/>
                            <w:i/>
                            <w:szCs w:val="20"/>
                          </w:rPr>
                        </m:ctrlPr>
                      </m:sSubPr>
                      <m:e>
                        <m:r>
                          <w:rPr>
                            <w:rFonts w:ascii="Cambria Math" w:hAnsi="Cambria Math"/>
                            <w:szCs w:val="20"/>
                          </w:rPr>
                          <m:t>CF</m:t>
                        </m:r>
                      </m:e>
                      <m:sub>
                        <m:r>
                          <w:rPr>
                            <w:rFonts w:ascii="Cambria Math" w:hAnsi="Cambria Math"/>
                            <w:szCs w:val="20"/>
                          </w:rPr>
                          <m:t>5</m:t>
                        </m:r>
                      </m:sub>
                    </m:sSub>
                  </m:den>
                </m:f>
              </m:oMath>
            </m:oMathPara>
          </w:p>
        </w:tc>
        <w:tc>
          <w:tcPr>
            <w:tcW w:w="4211" w:type="dxa"/>
            <w:vAlign w:val="center"/>
          </w:tcPr>
          <w:p w:rsidRPr="004F6DF9" w:rsidR="00DF0B38" w:rsidP="004F6DF9" w:rsidRDefault="004F6DF9" w14:paraId="4D78E7E7" w14:textId="77777777">
            <w:pPr>
              <w:widowControl/>
              <w:tabs>
                <w:tab w:val="left" w:pos="0"/>
              </w:tabs>
              <w:spacing w:after="60"/>
              <w:jc w:val="center"/>
              <w:rPr>
                <w:szCs w:val="20"/>
              </w:rPr>
            </w:pPr>
            <m:oMathPara>
              <m:oMath>
                <m:r>
                  <w:rPr>
                    <w:rFonts w:ascii="Cambria Math" w:hAnsi="Cambria Math"/>
                    <w:szCs w:val="20"/>
                  </w:rPr>
                  <m:t>N/A</m:t>
                </m:r>
              </m:oMath>
            </m:oMathPara>
          </w:p>
        </w:tc>
        <w:tc>
          <w:tcPr>
            <w:tcW w:w="1948" w:type="dxa"/>
          </w:tcPr>
          <w:p w:rsidRPr="004F6DF9" w:rsidR="00DF0B38" w:rsidP="00DF0B38" w:rsidRDefault="004F6DF9" w14:paraId="526A6F4C" w14:textId="77777777">
            <w:pPr>
              <w:widowControl/>
              <w:tabs>
                <w:tab w:val="left" w:pos="0"/>
              </w:tabs>
              <w:spacing w:after="60"/>
              <w:rPr>
                <w:szCs w:val="20"/>
              </w:rPr>
            </w:pPr>
            <w:r w:rsidRPr="002F7651">
              <w:rPr>
                <w:szCs w:val="20"/>
              </w:rPr>
              <w:t>Equation is for 5 or more unit buildings; example is for 2-unit buildings</w:t>
            </w:r>
          </w:p>
        </w:tc>
      </w:tr>
      <w:tr w:rsidR="006B7F82" w:rsidTr="004F6DF9" w14:paraId="6A9A1B8E" w14:textId="77777777">
        <w:trPr>
          <w:cantSplit/>
        </w:trPr>
        <w:tc>
          <w:tcPr>
            <w:tcW w:w="552" w:type="dxa"/>
            <w:vAlign w:val="center"/>
          </w:tcPr>
          <w:p w:rsidR="006B7F82" w:rsidP="00FE7F5B" w:rsidRDefault="006B7F82" w14:paraId="4D859158" w14:textId="77777777">
            <w:pPr>
              <w:widowControl/>
              <w:tabs>
                <w:tab w:val="left" w:pos="0"/>
              </w:tabs>
              <w:spacing w:after="60"/>
              <w:jc w:val="center"/>
              <w:rPr>
                <w:szCs w:val="20"/>
              </w:rPr>
            </w:pPr>
            <w:r>
              <w:rPr>
                <w:szCs w:val="20"/>
              </w:rPr>
              <w:t>7</w:t>
            </w:r>
          </w:p>
        </w:tc>
        <w:tc>
          <w:tcPr>
            <w:tcW w:w="3083" w:type="dxa"/>
            <w:vAlign w:val="center"/>
          </w:tcPr>
          <w:p w:rsidR="006B7F82" w:rsidP="00FE7F5B" w:rsidRDefault="00A32BA3" w14:paraId="38C9D1A6"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BP</m:t>
                    </m:r>
                  </m:e>
                  <m:sub>
                    <m:r>
                      <w:rPr>
                        <w:rFonts w:ascii="Cambria Math" w:hAnsi="Cambria Math"/>
                        <w:szCs w:val="20"/>
                      </w:rPr>
                      <m:t>n,rgn</m:t>
                    </m:r>
                  </m:sub>
                </m:sSub>
                <m:r>
                  <w:rPr>
                    <w:rFonts w:ascii="Cambria Math" w:hAnsi="Cambria Math"/>
                    <w:szCs w:val="20"/>
                  </w:rPr>
                  <m:t>=</m:t>
                </m:r>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BP</m:t>
                        </m:r>
                      </m:e>
                      <m:sub>
                        <m:r>
                          <w:rPr>
                            <w:rFonts w:ascii="Cambria Math" w:hAnsi="Cambria Math"/>
                            <w:szCs w:val="20"/>
                          </w:rPr>
                          <m:t>n,c</m:t>
                        </m:r>
                      </m:sub>
                    </m:sSub>
                  </m:e>
                </m:nary>
              </m:oMath>
            </m:oMathPara>
          </w:p>
        </w:tc>
        <w:tc>
          <w:tcPr>
            <w:tcW w:w="4211" w:type="dxa"/>
            <w:vAlign w:val="center"/>
          </w:tcPr>
          <w:p w:rsidR="006B7F82" w:rsidP="004F6DF9" w:rsidRDefault="00A32BA3" w14:paraId="161B98BD" w14:textId="77777777">
            <w:pPr>
              <w:widowControl/>
              <w:tabs>
                <w:tab w:val="left" w:pos="0"/>
              </w:tabs>
              <w:spacing w:after="60"/>
              <w:jc w:val="center"/>
              <w:rPr>
                <w:szCs w:val="20"/>
              </w:rPr>
            </w:pPr>
            <m:oMathPara>
              <m:oMath>
                <m:nary>
                  <m:naryPr>
                    <m:chr m:val="∑"/>
                    <m:limLoc m:val="undOvr"/>
                    <m:subHide m:val="1"/>
                    <m:supHide m:val="1"/>
                    <m:ctrlPr>
                      <w:rPr>
                        <w:rFonts w:ascii="Cambria Math" w:hAnsi="Cambria Math"/>
                        <w:i/>
                        <w:szCs w:val="20"/>
                      </w:rPr>
                    </m:ctrlPr>
                  </m:naryPr>
                  <m:sub/>
                  <m:sup/>
                  <m:e>
                    <m:r>
                      <w:rPr>
                        <w:rFonts w:ascii="Cambria Math" w:hAnsi="Cambria Math"/>
                        <w:szCs w:val="20"/>
                      </w:rPr>
                      <m:t>Northeast two unit building permits</m:t>
                    </m:r>
                  </m:e>
                </m:nary>
              </m:oMath>
            </m:oMathPara>
          </w:p>
        </w:tc>
        <w:tc>
          <w:tcPr>
            <w:tcW w:w="1948" w:type="dxa"/>
          </w:tcPr>
          <w:p w:rsidR="006B7F82" w:rsidP="00EC2305" w:rsidRDefault="00EC2305" w14:paraId="1CB6D8EF" w14:textId="77777777">
            <w:pPr>
              <w:widowControl/>
              <w:tabs>
                <w:tab w:val="left" w:pos="0"/>
              </w:tabs>
              <w:spacing w:after="60"/>
              <w:rPr>
                <w:szCs w:val="20"/>
              </w:rPr>
            </w:pPr>
            <w:r>
              <w:rPr>
                <w:szCs w:val="20"/>
              </w:rPr>
              <w:t>1,545 2-unit structure building permits in the Northeast</w:t>
            </w:r>
          </w:p>
        </w:tc>
      </w:tr>
      <w:tr w:rsidR="006B7F82" w:rsidTr="004F6DF9" w14:paraId="39739628" w14:textId="77777777">
        <w:trPr>
          <w:cantSplit/>
        </w:trPr>
        <w:tc>
          <w:tcPr>
            <w:tcW w:w="552" w:type="dxa"/>
            <w:vAlign w:val="center"/>
          </w:tcPr>
          <w:p w:rsidR="006B7F82" w:rsidP="00FE7F5B" w:rsidRDefault="006B7F82" w14:paraId="79EAE67B" w14:textId="77777777">
            <w:pPr>
              <w:widowControl/>
              <w:tabs>
                <w:tab w:val="left" w:pos="0"/>
              </w:tabs>
              <w:spacing w:after="60"/>
              <w:jc w:val="center"/>
              <w:rPr>
                <w:szCs w:val="20"/>
              </w:rPr>
            </w:pPr>
            <w:r>
              <w:rPr>
                <w:szCs w:val="20"/>
              </w:rPr>
              <w:t>8</w:t>
            </w:r>
          </w:p>
        </w:tc>
        <w:tc>
          <w:tcPr>
            <w:tcW w:w="3083" w:type="dxa"/>
            <w:vAlign w:val="center"/>
          </w:tcPr>
          <w:p w:rsidR="006B7F82" w:rsidP="00FE7F5B" w:rsidRDefault="00A32BA3" w14:paraId="419F3DAC"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BP,c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BP</m:t>
                        </m:r>
                      </m:e>
                      <m:sub>
                        <m:r>
                          <w:rPr>
                            <w:rFonts w:ascii="Cambria Math" w:hAnsi="Cambria Math"/>
                            <w:szCs w:val="20"/>
                          </w:rPr>
                          <m:t>n,c</m:t>
                        </m:r>
                      </m:sub>
                    </m:sSub>
                  </m:num>
                  <m:den>
                    <m:sSub>
                      <m:sSubPr>
                        <m:ctrlPr>
                          <w:rPr>
                            <w:rFonts w:ascii="Cambria Math" w:hAnsi="Cambria Math"/>
                            <w:i/>
                            <w:szCs w:val="20"/>
                          </w:rPr>
                        </m:ctrlPr>
                      </m:sSubPr>
                      <m:e>
                        <m:r>
                          <w:rPr>
                            <w:rFonts w:ascii="Cambria Math" w:hAnsi="Cambria Math"/>
                            <w:szCs w:val="20"/>
                          </w:rPr>
                          <m:t>BP</m:t>
                        </m:r>
                      </m:e>
                      <m:sub>
                        <m:r>
                          <w:rPr>
                            <w:rFonts w:ascii="Cambria Math" w:hAnsi="Cambria Math"/>
                            <w:szCs w:val="20"/>
                          </w:rPr>
                          <m:t>n,rgn</m:t>
                        </m:r>
                      </m:sub>
                    </m:sSub>
                  </m:den>
                </m:f>
              </m:oMath>
            </m:oMathPara>
          </w:p>
        </w:tc>
        <w:tc>
          <w:tcPr>
            <w:tcW w:w="4211" w:type="dxa"/>
            <w:vAlign w:val="center"/>
          </w:tcPr>
          <w:p w:rsidR="006B7F82" w:rsidP="00FE7F5B" w:rsidRDefault="00A32BA3" w14:paraId="72CF7512" w14:textId="77777777">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49 Suffolk county building permits</m:t>
                    </m:r>
                  </m:num>
                  <m:den>
                    <m:r>
                      <w:rPr>
                        <w:rFonts w:ascii="Cambria Math" w:hAnsi="Cambria Math"/>
                        <w:szCs w:val="20"/>
                      </w:rPr>
                      <m:t>1,545 Northeast building permits</m:t>
                    </m:r>
                  </m:den>
                </m:f>
              </m:oMath>
            </m:oMathPara>
          </w:p>
        </w:tc>
        <w:tc>
          <w:tcPr>
            <w:tcW w:w="1948" w:type="dxa"/>
          </w:tcPr>
          <w:p w:rsidR="006B7F82" w:rsidP="00DF0B38" w:rsidRDefault="00EC2305" w14:paraId="60EEF81D" w14:textId="77777777">
            <w:pPr>
              <w:widowControl/>
              <w:tabs>
                <w:tab w:val="left" w:pos="0"/>
              </w:tabs>
              <w:spacing w:after="60"/>
              <w:rPr>
                <w:szCs w:val="20"/>
              </w:rPr>
            </w:pPr>
            <w:r>
              <w:rPr>
                <w:szCs w:val="20"/>
              </w:rPr>
              <w:t>0.03172 ratio of county-level building permits to regional-level building permits in Suffolk County, MA</w:t>
            </w:r>
          </w:p>
        </w:tc>
      </w:tr>
      <w:tr w:rsidR="006B7F82" w:rsidTr="004F6DF9" w14:paraId="6FA07F38" w14:textId="77777777">
        <w:trPr>
          <w:cantSplit/>
        </w:trPr>
        <w:tc>
          <w:tcPr>
            <w:tcW w:w="552" w:type="dxa"/>
            <w:vAlign w:val="center"/>
          </w:tcPr>
          <w:p w:rsidR="006B7F82" w:rsidP="00FE7F5B" w:rsidRDefault="006B7F82" w14:paraId="53E12640" w14:textId="77777777">
            <w:pPr>
              <w:widowControl/>
              <w:tabs>
                <w:tab w:val="left" w:pos="0"/>
              </w:tabs>
              <w:spacing w:after="60"/>
              <w:jc w:val="center"/>
              <w:rPr>
                <w:szCs w:val="20"/>
              </w:rPr>
            </w:pPr>
            <w:r>
              <w:rPr>
                <w:szCs w:val="20"/>
              </w:rPr>
              <w:t>9</w:t>
            </w:r>
          </w:p>
        </w:tc>
        <w:tc>
          <w:tcPr>
            <w:tcW w:w="3083" w:type="dxa"/>
            <w:vAlign w:val="center"/>
          </w:tcPr>
          <w:p w:rsidR="006B7F82" w:rsidP="00FE7F5B" w:rsidRDefault="00A32BA3" w14:paraId="097F5F29"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n,rgn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BP,c</m:t>
                    </m:r>
                  </m:sub>
                </m:sSub>
              </m:oMath>
            </m:oMathPara>
          </w:p>
        </w:tc>
        <w:tc>
          <w:tcPr>
            <w:tcW w:w="4211" w:type="dxa"/>
            <w:vAlign w:val="center"/>
          </w:tcPr>
          <w:p w:rsidR="006B7F82" w:rsidP="00FE7F5B" w:rsidRDefault="00035DC6" w14:paraId="4D95E856" w14:textId="77777777">
            <w:pPr>
              <w:widowControl/>
              <w:tabs>
                <w:tab w:val="left" w:pos="0"/>
              </w:tabs>
              <w:spacing w:after="60"/>
              <w:jc w:val="center"/>
              <w:rPr>
                <w:szCs w:val="20"/>
              </w:rPr>
            </w:pPr>
            <m:oMathPara>
              <m:oMath>
                <m:r>
                  <w:rPr>
                    <w:rFonts w:ascii="Cambria Math" w:hAnsi="Cambria Math"/>
                    <w:szCs w:val="20"/>
                  </w:rPr>
                  <m:t>386×0.03172</m:t>
                </m:r>
              </m:oMath>
            </m:oMathPara>
          </w:p>
        </w:tc>
        <w:tc>
          <w:tcPr>
            <w:tcW w:w="1948" w:type="dxa"/>
          </w:tcPr>
          <w:p w:rsidR="006B7F82" w:rsidP="00DF0B38" w:rsidRDefault="00035DC6" w14:paraId="4F3B5563" w14:textId="77777777">
            <w:pPr>
              <w:widowControl/>
              <w:tabs>
                <w:tab w:val="left" w:pos="0"/>
              </w:tabs>
              <w:spacing w:after="60"/>
              <w:rPr>
                <w:szCs w:val="20"/>
              </w:rPr>
            </w:pPr>
            <w:r>
              <w:rPr>
                <w:szCs w:val="20"/>
              </w:rPr>
              <w:t>12.25 total 2-unit structure building starts for Suffolk County, MA</w:t>
            </w:r>
          </w:p>
        </w:tc>
      </w:tr>
      <w:tr w:rsidRPr="004F6DF9" w:rsidR="006B7F82" w:rsidTr="004F6DF9" w14:paraId="7C2331A6" w14:textId="77777777">
        <w:trPr>
          <w:cantSplit/>
        </w:trPr>
        <w:tc>
          <w:tcPr>
            <w:tcW w:w="552" w:type="dxa"/>
            <w:vAlign w:val="center"/>
          </w:tcPr>
          <w:p w:rsidRPr="004F6DF9" w:rsidR="006B7F82" w:rsidP="00FE7F5B" w:rsidRDefault="006B7F82" w14:paraId="10470C53" w14:textId="77777777">
            <w:pPr>
              <w:widowControl/>
              <w:tabs>
                <w:tab w:val="left" w:pos="0"/>
              </w:tabs>
              <w:spacing w:after="60"/>
              <w:jc w:val="center"/>
              <w:rPr>
                <w:szCs w:val="20"/>
              </w:rPr>
            </w:pPr>
            <w:r w:rsidRPr="004F6DF9">
              <w:rPr>
                <w:szCs w:val="20"/>
              </w:rPr>
              <w:t>10</w:t>
            </w:r>
          </w:p>
        </w:tc>
        <w:tc>
          <w:tcPr>
            <w:tcW w:w="3083" w:type="dxa"/>
            <w:vAlign w:val="center"/>
          </w:tcPr>
          <w:p w:rsidRPr="004F6DF9" w:rsidR="006B7F82" w:rsidP="00FE7F5B" w:rsidRDefault="00A32BA3" w14:paraId="31C18827"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BM</m:t>
                    </m:r>
                  </m:e>
                  <m:sub>
                    <m:r>
                      <w:rPr>
                        <w:rFonts w:ascii="Cambria Math" w:hAnsi="Cambria Math"/>
                        <w:szCs w:val="20"/>
                      </w:rPr>
                      <m:t>rgn</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BM</m:t>
                        </m:r>
                      </m:e>
                      <m:sub>
                        <m:r>
                          <w:rPr>
                            <w:rFonts w:ascii="Cambria Math" w:hAnsi="Cambria Math"/>
                            <w:szCs w:val="20"/>
                          </w:rPr>
                          <m:t>fp,rgn</m:t>
                        </m:r>
                      </m:sub>
                    </m:sSub>
                  </m:num>
                  <m:den>
                    <m:sSub>
                      <m:sSubPr>
                        <m:ctrlPr>
                          <w:rPr>
                            <w:rFonts w:ascii="Cambria Math" w:hAnsi="Cambria Math"/>
                            <w:i/>
                            <w:szCs w:val="20"/>
                          </w:rPr>
                        </m:ctrlPr>
                      </m:sSubPr>
                      <m:e>
                        <m:r>
                          <w:rPr>
                            <w:rFonts w:ascii="Cambria Math" w:hAnsi="Cambria Math"/>
                            <w:szCs w:val="20"/>
                          </w:rPr>
                          <m:t>BM</m:t>
                        </m:r>
                      </m:e>
                      <m:sub>
                        <m:r>
                          <w:rPr>
                            <w:rFonts w:ascii="Cambria Math" w:hAnsi="Cambria Math"/>
                            <w:szCs w:val="20"/>
                          </w:rPr>
                          <m:t>t,rgn</m:t>
                        </m:r>
                      </m:sub>
                    </m:sSub>
                  </m:den>
                </m:f>
              </m:oMath>
            </m:oMathPara>
          </w:p>
        </w:tc>
        <w:tc>
          <w:tcPr>
            <w:tcW w:w="4211" w:type="dxa"/>
            <w:vAlign w:val="center"/>
          </w:tcPr>
          <w:p w:rsidRPr="004F6DF9" w:rsidR="006B7F82" w:rsidP="00FE7F5B" w:rsidRDefault="004F6DF9" w14:paraId="1BCA3534" w14:textId="77777777">
            <w:pPr>
              <w:widowControl/>
              <w:tabs>
                <w:tab w:val="left" w:pos="0"/>
              </w:tabs>
              <w:spacing w:after="60"/>
              <w:jc w:val="center"/>
              <w:rPr>
                <w:szCs w:val="20"/>
              </w:rPr>
            </w:pPr>
            <m:oMathPara>
              <m:oMath>
                <m:r>
                  <w:rPr>
                    <w:rFonts w:ascii="Cambria Math" w:hAnsi="Cambria Math"/>
                    <w:szCs w:val="20"/>
                  </w:rPr>
                  <m:t>N/A</m:t>
                </m:r>
              </m:oMath>
            </m:oMathPara>
          </w:p>
        </w:tc>
        <w:tc>
          <w:tcPr>
            <w:tcW w:w="1948" w:type="dxa"/>
          </w:tcPr>
          <w:p w:rsidRPr="004F6DF9" w:rsidR="006B7F82" w:rsidP="00DF0B38" w:rsidRDefault="004F6DF9" w14:paraId="4F9D3EE3" w14:textId="77777777">
            <w:pPr>
              <w:widowControl/>
              <w:tabs>
                <w:tab w:val="left" w:pos="0"/>
              </w:tabs>
              <w:spacing w:after="60"/>
              <w:rPr>
                <w:szCs w:val="20"/>
              </w:rPr>
            </w:pPr>
            <w:r w:rsidRPr="004F6DF9">
              <w:rPr>
                <w:szCs w:val="20"/>
              </w:rPr>
              <w:t>Equation is for 1-unit buildings; example is for 2-unit buildings</w:t>
            </w:r>
          </w:p>
        </w:tc>
      </w:tr>
      <w:tr w:rsidR="006B7F82" w:rsidTr="004F6DF9" w14:paraId="14B3AA9F" w14:textId="77777777">
        <w:trPr>
          <w:cantSplit/>
        </w:trPr>
        <w:tc>
          <w:tcPr>
            <w:tcW w:w="552" w:type="dxa"/>
            <w:vAlign w:val="center"/>
          </w:tcPr>
          <w:p w:rsidRPr="004F6DF9" w:rsidR="006B7F82" w:rsidP="00FE7F5B" w:rsidRDefault="006B7F82" w14:paraId="32B8B653" w14:textId="77777777">
            <w:pPr>
              <w:widowControl/>
              <w:tabs>
                <w:tab w:val="left" w:pos="0"/>
              </w:tabs>
              <w:spacing w:after="60"/>
              <w:jc w:val="center"/>
              <w:rPr>
                <w:szCs w:val="20"/>
              </w:rPr>
            </w:pPr>
            <w:r w:rsidRPr="004F6DF9">
              <w:rPr>
                <w:szCs w:val="20"/>
              </w:rPr>
              <w:t>11</w:t>
            </w:r>
          </w:p>
        </w:tc>
        <w:tc>
          <w:tcPr>
            <w:tcW w:w="3083" w:type="dxa"/>
            <w:vAlign w:val="center"/>
          </w:tcPr>
          <w:p w:rsidRPr="004F6DF9" w:rsidR="006B7F82" w:rsidP="00FE7F5B" w:rsidRDefault="00A32BA3" w14:paraId="63C90BC9"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B</m:t>
                    </m:r>
                  </m:e>
                  <m:sub>
                    <m:r>
                      <w:rPr>
                        <w:rFonts w:ascii="Cambria Math" w:hAnsi="Cambria Math"/>
                        <w:szCs w:val="20"/>
                      </w:rPr>
                      <m:t>c,BM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m:t>
                    </m:r>
                  </m:e>
                  <m:sub>
                    <m:r>
                      <w:rPr>
                        <w:rFonts w:ascii="Cambria Math" w:hAnsi="Cambria Math"/>
                        <w:szCs w:val="20"/>
                      </w:rPr>
                      <m:t>rgn</m:t>
                    </m:r>
                  </m:sub>
                </m:sSub>
              </m:oMath>
            </m:oMathPara>
          </w:p>
        </w:tc>
        <w:tc>
          <w:tcPr>
            <w:tcW w:w="4211" w:type="dxa"/>
            <w:vAlign w:val="center"/>
          </w:tcPr>
          <w:p w:rsidRPr="004F6DF9" w:rsidR="006B7F82" w:rsidP="00FE7F5B" w:rsidRDefault="004F6DF9" w14:paraId="0CA9EF2C" w14:textId="77777777">
            <w:pPr>
              <w:widowControl/>
              <w:tabs>
                <w:tab w:val="left" w:pos="0"/>
              </w:tabs>
              <w:spacing w:after="60"/>
              <w:jc w:val="center"/>
              <w:rPr>
                <w:szCs w:val="20"/>
              </w:rPr>
            </w:pPr>
            <m:oMathPara>
              <m:oMath>
                <m:r>
                  <w:rPr>
                    <w:rFonts w:ascii="Cambria Math" w:hAnsi="Cambria Math"/>
                    <w:szCs w:val="20"/>
                  </w:rPr>
                  <m:t>N/A</m:t>
                </m:r>
              </m:oMath>
            </m:oMathPara>
          </w:p>
        </w:tc>
        <w:tc>
          <w:tcPr>
            <w:tcW w:w="1948" w:type="dxa"/>
          </w:tcPr>
          <w:p w:rsidRPr="004F6DF9" w:rsidR="006B7F82" w:rsidP="00DF0B38" w:rsidRDefault="004F6DF9" w14:paraId="7D585AC4" w14:textId="77777777">
            <w:pPr>
              <w:widowControl/>
              <w:tabs>
                <w:tab w:val="left" w:pos="0"/>
              </w:tabs>
              <w:spacing w:after="60"/>
              <w:rPr>
                <w:szCs w:val="20"/>
              </w:rPr>
            </w:pPr>
            <w:r w:rsidRPr="004F6DF9">
              <w:rPr>
                <w:szCs w:val="20"/>
              </w:rPr>
              <w:t>Equation is for 1-unit buildings; example is for 2-unit buildings</w:t>
            </w:r>
          </w:p>
        </w:tc>
      </w:tr>
      <w:tr w:rsidR="006B7F82" w:rsidTr="004F6DF9" w14:paraId="2CEE1D29" w14:textId="77777777">
        <w:trPr>
          <w:cantSplit/>
        </w:trPr>
        <w:tc>
          <w:tcPr>
            <w:tcW w:w="552" w:type="dxa"/>
            <w:vAlign w:val="center"/>
          </w:tcPr>
          <w:p w:rsidR="006B7F82" w:rsidP="00FE7F5B" w:rsidRDefault="006B7F82" w14:paraId="4E3E9BA9" w14:textId="77777777">
            <w:pPr>
              <w:widowControl/>
              <w:tabs>
                <w:tab w:val="left" w:pos="0"/>
              </w:tabs>
              <w:spacing w:after="60"/>
              <w:jc w:val="center"/>
              <w:rPr>
                <w:szCs w:val="20"/>
              </w:rPr>
            </w:pPr>
            <w:r>
              <w:rPr>
                <w:szCs w:val="20"/>
              </w:rPr>
              <w:t>12</w:t>
            </w:r>
          </w:p>
        </w:tc>
        <w:tc>
          <w:tcPr>
            <w:tcW w:w="3083" w:type="dxa"/>
            <w:vAlign w:val="center"/>
          </w:tcPr>
          <w:p w:rsidR="006B7F82" w:rsidP="00FE7F5B" w:rsidRDefault="00A32BA3" w14:paraId="15A2848F"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n</m:t>
                    </m:r>
                  </m:sub>
                </m:sSub>
              </m:oMath>
            </m:oMathPara>
          </w:p>
        </w:tc>
        <w:tc>
          <w:tcPr>
            <w:tcW w:w="4211" w:type="dxa"/>
            <w:vAlign w:val="center"/>
          </w:tcPr>
          <w:p w:rsidR="006B7F82" w:rsidP="00FE7F5B" w:rsidRDefault="00035DC6" w14:paraId="0384B62C" w14:textId="77777777">
            <w:pPr>
              <w:widowControl/>
              <w:tabs>
                <w:tab w:val="left" w:pos="0"/>
              </w:tabs>
              <w:spacing w:after="60"/>
              <w:jc w:val="center"/>
              <w:rPr>
                <w:szCs w:val="20"/>
              </w:rPr>
            </w:pPr>
            <m:oMathPara>
              <m:oMath>
                <m:r>
                  <w:rPr>
                    <w:rFonts w:ascii="Cambria Math" w:hAnsi="Cambria Math"/>
                    <w:szCs w:val="20"/>
                  </w:rPr>
                  <m:t>12.25 two unit structures ×0.33 acres per structure</m:t>
                </m:r>
              </m:oMath>
            </m:oMathPara>
          </w:p>
        </w:tc>
        <w:tc>
          <w:tcPr>
            <w:tcW w:w="1948" w:type="dxa"/>
          </w:tcPr>
          <w:p w:rsidR="006B7F82" w:rsidP="00DF0B38" w:rsidRDefault="00035DC6" w14:paraId="4F9D0639" w14:textId="77777777">
            <w:pPr>
              <w:widowControl/>
              <w:tabs>
                <w:tab w:val="left" w:pos="0"/>
              </w:tabs>
              <w:spacing w:after="60"/>
              <w:rPr>
                <w:szCs w:val="20"/>
              </w:rPr>
            </w:pPr>
            <w:r>
              <w:rPr>
                <w:szCs w:val="20"/>
              </w:rPr>
              <w:t>4.08 acres surface soil disturbed by 2-unit structures in Suffolk County, MA</w:t>
            </w:r>
          </w:p>
        </w:tc>
      </w:tr>
      <w:tr w:rsidR="004F6DF9" w:rsidTr="004F6DF9" w14:paraId="6E659AC8" w14:textId="77777777">
        <w:trPr>
          <w:cantSplit/>
        </w:trPr>
        <w:tc>
          <w:tcPr>
            <w:tcW w:w="552" w:type="dxa"/>
            <w:vAlign w:val="center"/>
          </w:tcPr>
          <w:p w:rsidRPr="004F6DF9" w:rsidR="004F6DF9" w:rsidP="00FE7F5B" w:rsidRDefault="004F6DF9" w14:paraId="55BD283A" w14:textId="77777777">
            <w:pPr>
              <w:widowControl/>
              <w:tabs>
                <w:tab w:val="left" w:pos="0"/>
              </w:tabs>
              <w:spacing w:after="60"/>
              <w:jc w:val="center"/>
              <w:rPr>
                <w:szCs w:val="20"/>
              </w:rPr>
            </w:pPr>
            <w:r w:rsidRPr="004F6DF9">
              <w:rPr>
                <w:szCs w:val="20"/>
              </w:rPr>
              <w:lastRenderedPageBreak/>
              <w:t>13</w:t>
            </w:r>
          </w:p>
        </w:tc>
        <w:tc>
          <w:tcPr>
            <w:tcW w:w="3083" w:type="dxa"/>
            <w:vAlign w:val="center"/>
          </w:tcPr>
          <w:p w:rsidRPr="004F6DF9" w:rsidR="004F6DF9" w:rsidP="00FE7F5B" w:rsidRDefault="00A32BA3" w14:paraId="1634061F"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n,c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m:t>
                    </m:r>
                  </m:e>
                  <m:sub>
                    <m:r>
                      <w:rPr>
                        <w:rFonts w:ascii="Cambria Math" w:hAnsi="Cambria Math"/>
                        <w:szCs w:val="20"/>
                      </w:rPr>
                      <m:t>c,BM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n</m:t>
                    </m:r>
                  </m:sub>
                </m:sSub>
              </m:oMath>
            </m:oMathPara>
          </w:p>
        </w:tc>
        <w:tc>
          <w:tcPr>
            <w:tcW w:w="4211" w:type="dxa"/>
            <w:vAlign w:val="center"/>
          </w:tcPr>
          <w:p w:rsidRPr="004F6DF9" w:rsidR="004F6DF9" w:rsidP="007E4E39" w:rsidRDefault="004F6DF9" w14:paraId="0AE4376E" w14:textId="77777777">
            <w:pPr>
              <w:widowControl/>
              <w:tabs>
                <w:tab w:val="left" w:pos="0"/>
              </w:tabs>
              <w:spacing w:after="60"/>
              <w:jc w:val="center"/>
              <w:rPr>
                <w:szCs w:val="20"/>
              </w:rPr>
            </w:pPr>
            <m:oMathPara>
              <m:oMath>
                <m:r>
                  <w:rPr>
                    <w:rFonts w:ascii="Cambria Math" w:hAnsi="Cambria Math"/>
                    <w:szCs w:val="20"/>
                  </w:rPr>
                  <m:t>N/A</m:t>
                </m:r>
              </m:oMath>
            </m:oMathPara>
          </w:p>
        </w:tc>
        <w:tc>
          <w:tcPr>
            <w:tcW w:w="1948" w:type="dxa"/>
          </w:tcPr>
          <w:p w:rsidRPr="004F6DF9" w:rsidR="004F6DF9" w:rsidP="007E4E39" w:rsidRDefault="004F6DF9" w14:paraId="49EBDE2D" w14:textId="77777777">
            <w:pPr>
              <w:widowControl/>
              <w:tabs>
                <w:tab w:val="left" w:pos="0"/>
              </w:tabs>
              <w:spacing w:after="60"/>
              <w:rPr>
                <w:szCs w:val="20"/>
              </w:rPr>
            </w:pPr>
            <w:r w:rsidRPr="004F6DF9">
              <w:rPr>
                <w:szCs w:val="20"/>
              </w:rPr>
              <w:t>Equation is for 1-unit buildings; example is for 2-unit buildings</w:t>
            </w:r>
          </w:p>
        </w:tc>
      </w:tr>
      <w:tr w:rsidR="006B7F82" w:rsidTr="004F6DF9" w14:paraId="2E2ED9A5" w14:textId="77777777">
        <w:trPr>
          <w:cantSplit/>
        </w:trPr>
        <w:tc>
          <w:tcPr>
            <w:tcW w:w="552" w:type="dxa"/>
            <w:vAlign w:val="center"/>
          </w:tcPr>
          <w:p w:rsidR="006B7F82" w:rsidP="00FE7F5B" w:rsidRDefault="006B7F82" w14:paraId="38221CF3" w14:textId="77777777">
            <w:pPr>
              <w:widowControl/>
              <w:tabs>
                <w:tab w:val="left" w:pos="0"/>
              </w:tabs>
              <w:spacing w:after="60"/>
              <w:jc w:val="center"/>
              <w:rPr>
                <w:szCs w:val="20"/>
              </w:rPr>
            </w:pPr>
            <w:r>
              <w:rPr>
                <w:szCs w:val="20"/>
              </w:rPr>
              <w:t>14</w:t>
            </w:r>
          </w:p>
        </w:tc>
        <w:tc>
          <w:tcPr>
            <w:tcW w:w="3083" w:type="dxa"/>
            <w:vAlign w:val="center"/>
          </w:tcPr>
          <w:p w:rsidR="006B7F82" w:rsidP="00FE7F5B" w:rsidRDefault="00A32BA3" w14:paraId="11590B0A"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AF</m:t>
                    </m:r>
                  </m:e>
                  <m:sub>
                    <m:r>
                      <w:rPr>
                        <w:rFonts w:ascii="Cambria Math" w:hAnsi="Cambria Math"/>
                        <w:szCs w:val="20"/>
                      </w:rPr>
                      <m:t>PM10</m:t>
                    </m:r>
                  </m:sub>
                </m:sSub>
                <m:r>
                  <w:rPr>
                    <w:rFonts w:ascii="Cambria Math" w:hAnsi="Cambria Math"/>
                    <w:szCs w:val="20"/>
                  </w:rPr>
                  <m:t>=</m:t>
                </m:r>
                <m:f>
                  <m:fPr>
                    <m:ctrlPr>
                      <w:rPr>
                        <w:rFonts w:ascii="Cambria Math" w:hAnsi="Cambria Math"/>
                        <w:i/>
                        <w:szCs w:val="20"/>
                      </w:rPr>
                    </m:ctrlPr>
                  </m:fPr>
                  <m:num>
                    <m:r>
                      <w:rPr>
                        <w:rFonts w:ascii="Cambria Math" w:hAnsi="Cambria Math"/>
                        <w:szCs w:val="20"/>
                      </w:rPr>
                      <m:t>24</m:t>
                    </m:r>
                  </m:num>
                  <m:den>
                    <m:r>
                      <w:rPr>
                        <w:rFonts w:ascii="Cambria Math" w:hAnsi="Cambria Math"/>
                        <w:szCs w:val="20"/>
                      </w:rPr>
                      <m:t>PE</m:t>
                    </m:r>
                  </m:den>
                </m:f>
                <m:r>
                  <w:rPr>
                    <w:rFonts w:ascii="Cambria Math" w:hAnsi="Cambria Math"/>
                    <w:szCs w:val="20"/>
                  </w:rPr>
                  <m:t>×</m:t>
                </m:r>
                <m:f>
                  <m:fPr>
                    <m:ctrlPr>
                      <w:rPr>
                        <w:rFonts w:ascii="Cambria Math" w:hAnsi="Cambria Math"/>
                        <w:i/>
                        <w:szCs w:val="20"/>
                      </w:rPr>
                    </m:ctrlPr>
                  </m:fPr>
                  <m:num>
                    <m:r>
                      <w:rPr>
                        <w:rFonts w:ascii="Cambria Math" w:hAnsi="Cambria Math"/>
                        <w:szCs w:val="20"/>
                      </w:rPr>
                      <m:t>s</m:t>
                    </m:r>
                  </m:num>
                  <m:den>
                    <m:r>
                      <w:rPr>
                        <w:rFonts w:ascii="Cambria Math" w:hAnsi="Cambria Math"/>
                        <w:szCs w:val="20"/>
                      </w:rPr>
                      <m:t>9%</m:t>
                    </m:r>
                  </m:den>
                </m:f>
              </m:oMath>
            </m:oMathPara>
          </w:p>
        </w:tc>
        <w:tc>
          <w:tcPr>
            <w:tcW w:w="4211" w:type="dxa"/>
            <w:vAlign w:val="center"/>
          </w:tcPr>
          <w:p w:rsidR="006B7F82" w:rsidP="004F6DF9" w:rsidRDefault="00A32BA3" w14:paraId="49B573B6" w14:textId="77777777">
            <w:pPr>
              <w:widowControl/>
              <w:tabs>
                <w:tab w:val="left" w:pos="0"/>
              </w:tabs>
              <w:spacing w:after="60"/>
              <w:jc w:val="center"/>
              <w:rPr>
                <w:szCs w:val="20"/>
              </w:rPr>
            </w:pPr>
            <m:oMathPara>
              <m:oMath>
                <m:f>
                  <m:fPr>
                    <m:ctrlPr>
                      <w:rPr>
                        <w:rFonts w:ascii="Cambria Math" w:hAnsi="Cambria Math" w:eastAsia="Calibri"/>
                        <w:i/>
                        <w:szCs w:val="20"/>
                      </w:rPr>
                    </m:ctrlPr>
                  </m:fPr>
                  <m:num>
                    <m:r>
                      <w:rPr>
                        <w:rFonts w:ascii="Cambria Math" w:hAnsi="Cambria Math" w:eastAsia="Calibri"/>
                        <w:szCs w:val="20"/>
                      </w:rPr>
                      <m:t>24</m:t>
                    </m:r>
                  </m:num>
                  <m:den>
                    <m:r>
                      <w:rPr>
                        <w:rFonts w:ascii="Cambria Math" w:hAnsi="Cambria Math" w:eastAsia="Calibri"/>
                        <w:szCs w:val="20"/>
                      </w:rPr>
                      <m:t>119.7 PE value for Massachusetts</m:t>
                    </m:r>
                  </m:den>
                </m:f>
                <m:r>
                  <w:rPr>
                    <w:rFonts w:ascii="Cambria Math" w:hAnsi="Cambria Math" w:eastAsia="Calibri"/>
                    <w:szCs w:val="20"/>
                  </w:rPr>
                  <m:t>×</m:t>
                </m:r>
                <m:f>
                  <m:fPr>
                    <m:ctrlPr>
                      <w:rPr>
                        <w:rFonts w:ascii="Cambria Math" w:hAnsi="Cambria Math" w:eastAsia="Calibri"/>
                        <w:i/>
                        <w:szCs w:val="20"/>
                      </w:rPr>
                    </m:ctrlPr>
                  </m:fPr>
                  <m:num>
                    <m:r>
                      <w:rPr>
                        <w:rFonts w:ascii="Cambria Math" w:hAnsi="Cambria Math" w:eastAsia="Calibri"/>
                        <w:szCs w:val="20"/>
                      </w:rPr>
                      <m:t>27.07% silt content</m:t>
                    </m:r>
                  </m:num>
                  <m:den>
                    <m:r>
                      <w:rPr>
                        <w:rFonts w:ascii="Cambria Math" w:hAnsi="Cambria Math" w:eastAsia="Calibri"/>
                        <w:szCs w:val="20"/>
                      </w:rPr>
                      <m:t>9%</m:t>
                    </m:r>
                  </m:den>
                </m:f>
              </m:oMath>
            </m:oMathPara>
          </w:p>
        </w:tc>
        <w:tc>
          <w:tcPr>
            <w:tcW w:w="1948" w:type="dxa"/>
          </w:tcPr>
          <w:p w:rsidR="006B7F82" w:rsidP="00035DC6" w:rsidRDefault="00035DC6" w14:paraId="12078724" w14:textId="77777777">
            <w:pPr>
              <w:widowControl/>
              <w:tabs>
                <w:tab w:val="left" w:pos="0"/>
              </w:tabs>
              <w:spacing w:after="60"/>
              <w:rPr>
                <w:szCs w:val="20"/>
              </w:rPr>
            </w:pPr>
            <w:r>
              <w:rPr>
                <w:szCs w:val="20"/>
              </w:rPr>
              <w:t>0.603 PM10-PRI adjustment factor for 2-unit structures in Suffolk County, MA</w:t>
            </w:r>
          </w:p>
        </w:tc>
      </w:tr>
      <w:tr w:rsidR="006B7F82" w:rsidTr="004F6DF9" w14:paraId="09F2C74D" w14:textId="77777777">
        <w:trPr>
          <w:cantSplit/>
        </w:trPr>
        <w:tc>
          <w:tcPr>
            <w:tcW w:w="552" w:type="dxa"/>
            <w:vAlign w:val="center"/>
          </w:tcPr>
          <w:p w:rsidR="006B7F82" w:rsidP="00FE7F5B" w:rsidRDefault="006B7F82" w14:paraId="684A774C" w14:textId="77777777">
            <w:pPr>
              <w:widowControl/>
              <w:tabs>
                <w:tab w:val="left" w:pos="0"/>
              </w:tabs>
              <w:spacing w:after="60"/>
              <w:jc w:val="center"/>
              <w:rPr>
                <w:szCs w:val="20"/>
              </w:rPr>
            </w:pPr>
            <w:r>
              <w:rPr>
                <w:szCs w:val="20"/>
              </w:rPr>
              <w:t>15</w:t>
            </w:r>
          </w:p>
        </w:tc>
        <w:tc>
          <w:tcPr>
            <w:tcW w:w="3083" w:type="dxa"/>
            <w:vAlign w:val="center"/>
          </w:tcPr>
          <w:p w:rsidR="006B7F82" w:rsidP="00FE7F5B" w:rsidRDefault="00A32BA3" w14:paraId="4680A1A5"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p,n,c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AF</m:t>
                    </m:r>
                  </m:e>
                  <m:sub>
                    <m:r>
                      <w:rPr>
                        <w:rFonts w:ascii="Cambria Math" w:hAnsi="Cambria Math"/>
                        <w:szCs w:val="20"/>
                      </w:rPr>
                      <m:t>PM10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m:t>
                    </m:r>
                  </m:e>
                  <m:sub>
                    <m:r>
                      <w:rPr>
                        <w:rFonts w:ascii="Cambria Math" w:hAnsi="Cambria Math"/>
                        <w:szCs w:val="20"/>
                      </w:rPr>
                      <m:t>m,n</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orig</m:t>
                    </m:r>
                  </m:sub>
                </m:sSub>
              </m:oMath>
            </m:oMathPara>
          </w:p>
        </w:tc>
        <w:tc>
          <w:tcPr>
            <w:tcW w:w="4211" w:type="dxa"/>
            <w:vAlign w:val="center"/>
          </w:tcPr>
          <w:p w:rsidR="006B7F82" w:rsidP="004F6DF9" w:rsidRDefault="00035DC6" w14:paraId="01039BE9" w14:textId="77777777">
            <w:pPr>
              <w:widowControl/>
              <w:tabs>
                <w:tab w:val="left" w:pos="0"/>
              </w:tabs>
              <w:spacing w:after="60"/>
              <w:jc w:val="center"/>
              <w:rPr>
                <w:szCs w:val="20"/>
              </w:rPr>
            </w:pPr>
            <m:oMathPara>
              <m:oMath>
                <m:r>
                  <w:rPr>
                    <w:rFonts w:ascii="Cambria Math" w:hAnsi="Cambria Math"/>
                    <w:szCs w:val="20"/>
                  </w:rPr>
                  <m:t>0.603×6 months×0.032 tons per acre</m:t>
                </m:r>
              </m:oMath>
            </m:oMathPara>
          </w:p>
        </w:tc>
        <w:tc>
          <w:tcPr>
            <w:tcW w:w="1948" w:type="dxa"/>
          </w:tcPr>
          <w:p w:rsidR="006B7F82" w:rsidP="00035DC6" w:rsidRDefault="00035DC6" w14:paraId="399A0607" w14:textId="77777777">
            <w:pPr>
              <w:widowControl/>
              <w:tabs>
                <w:tab w:val="left" w:pos="0"/>
              </w:tabs>
              <w:spacing w:after="60"/>
              <w:rPr>
                <w:szCs w:val="20"/>
              </w:rPr>
            </w:pPr>
            <w:r>
              <w:rPr>
                <w:szCs w:val="20"/>
              </w:rPr>
              <w:t>0.1158 tons/acre PM10-PRI emissions factor for 2-unit structures in Suffolk County, MA</w:t>
            </w:r>
          </w:p>
        </w:tc>
      </w:tr>
      <w:tr w:rsidR="006B7F82" w:rsidTr="004F6DF9" w14:paraId="0CBBB295" w14:textId="77777777">
        <w:trPr>
          <w:cantSplit/>
        </w:trPr>
        <w:tc>
          <w:tcPr>
            <w:tcW w:w="552" w:type="dxa"/>
            <w:vAlign w:val="center"/>
          </w:tcPr>
          <w:p w:rsidR="006B7F82" w:rsidP="00FE7F5B" w:rsidRDefault="006B7F82" w14:paraId="63273332" w14:textId="77777777">
            <w:pPr>
              <w:widowControl/>
              <w:tabs>
                <w:tab w:val="left" w:pos="0"/>
              </w:tabs>
              <w:spacing w:after="60"/>
              <w:jc w:val="center"/>
              <w:rPr>
                <w:szCs w:val="20"/>
              </w:rPr>
            </w:pPr>
            <w:r>
              <w:rPr>
                <w:szCs w:val="20"/>
              </w:rPr>
              <w:t>16</w:t>
            </w:r>
          </w:p>
        </w:tc>
        <w:tc>
          <w:tcPr>
            <w:tcW w:w="3083" w:type="dxa"/>
            <w:vAlign w:val="center"/>
          </w:tcPr>
          <w:p w:rsidR="006B7F82" w:rsidP="00FE7F5B" w:rsidRDefault="00A32BA3" w14:paraId="5084A319"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PM10,c</m:t>
                    </m:r>
                  </m:sub>
                </m:sSub>
                <m:r>
                  <w:rPr>
                    <w:rFonts w:ascii="Cambria Math" w:hAnsi="Cambria Math"/>
                    <w:szCs w:val="20"/>
                  </w:rPr>
                  <m:t xml:space="preserve">= </m:t>
                </m:r>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S</m:t>
                        </m:r>
                      </m:e>
                      <m:sub>
                        <m:r>
                          <w:rPr>
                            <w:rFonts w:ascii="Cambria Math" w:hAnsi="Cambria Math"/>
                            <w:szCs w:val="20"/>
                          </w:rPr>
                          <m:t>n,c</m:t>
                        </m:r>
                      </m:sub>
                    </m:sSub>
                    <m:r>
                      <w:rPr>
                        <w:rFonts w:ascii="Cambria Math" w:hAnsi="Cambria Math"/>
                        <w:szCs w:val="20"/>
                      </w:rPr>
                      <m:t>×</m:t>
                    </m:r>
                  </m:e>
                </m:nary>
                <m:sSub>
                  <m:sSubPr>
                    <m:ctrlPr>
                      <w:rPr>
                        <w:rFonts w:ascii="Cambria Math" w:hAnsi="Cambria Math"/>
                        <w:i/>
                        <w:szCs w:val="20"/>
                      </w:rPr>
                    </m:ctrlPr>
                  </m:sSubPr>
                  <m:e>
                    <m:r>
                      <w:rPr>
                        <w:rFonts w:ascii="Cambria Math" w:hAnsi="Cambria Math"/>
                        <w:szCs w:val="20"/>
                      </w:rPr>
                      <m:t>EF</m:t>
                    </m:r>
                  </m:e>
                  <m:sub>
                    <m:r>
                      <w:rPr>
                        <w:rFonts w:ascii="Cambria Math" w:hAnsi="Cambria Math"/>
                        <w:szCs w:val="20"/>
                      </w:rPr>
                      <m:t>p,n,c</m:t>
                    </m:r>
                  </m:sub>
                </m:sSub>
              </m:oMath>
            </m:oMathPara>
          </w:p>
        </w:tc>
        <w:tc>
          <w:tcPr>
            <w:tcW w:w="4211" w:type="dxa"/>
            <w:vAlign w:val="center"/>
          </w:tcPr>
          <w:p w:rsidR="006B7F82" w:rsidP="004F6DF9" w:rsidRDefault="00035DC6" w14:paraId="51CFF325" w14:textId="77777777">
            <w:pPr>
              <w:widowControl/>
              <w:tabs>
                <w:tab w:val="left" w:pos="0"/>
              </w:tabs>
              <w:spacing w:after="60"/>
              <w:jc w:val="center"/>
              <w:rPr>
                <w:szCs w:val="20"/>
              </w:rPr>
            </w:pPr>
            <m:oMathPara>
              <m:oMath>
                <m:r>
                  <w:rPr>
                    <w:rFonts w:ascii="Cambria Math" w:hAnsi="Cambria Math" w:eastAsia="Calibri"/>
                    <w:szCs w:val="20"/>
                  </w:rPr>
                  <m:t>4.08 acres×0.1158 tons per acre</m:t>
                </m:r>
              </m:oMath>
            </m:oMathPara>
          </w:p>
        </w:tc>
        <w:tc>
          <w:tcPr>
            <w:tcW w:w="1948" w:type="dxa"/>
          </w:tcPr>
          <w:p w:rsidR="006B7F82" w:rsidP="00035DC6" w:rsidRDefault="00035DC6" w14:paraId="176D3802" w14:textId="77777777">
            <w:pPr>
              <w:widowControl/>
              <w:tabs>
                <w:tab w:val="left" w:pos="0"/>
              </w:tabs>
              <w:spacing w:after="60"/>
              <w:rPr>
                <w:szCs w:val="20"/>
              </w:rPr>
            </w:pPr>
            <w:r>
              <w:rPr>
                <w:szCs w:val="20"/>
              </w:rPr>
              <w:t>0.47 tons PM10-PRI emissions for 2-unit structures in Suffolk County, MA</w:t>
            </w:r>
          </w:p>
        </w:tc>
      </w:tr>
      <w:tr w:rsidR="006B7F82" w:rsidTr="004F6DF9" w14:paraId="7143E17E" w14:textId="77777777">
        <w:trPr>
          <w:cantSplit/>
        </w:trPr>
        <w:tc>
          <w:tcPr>
            <w:tcW w:w="552" w:type="dxa"/>
            <w:vAlign w:val="center"/>
          </w:tcPr>
          <w:p w:rsidR="006B7F82" w:rsidP="00FE7F5B" w:rsidRDefault="006B7F82" w14:paraId="7EAA24B6" w14:textId="77777777">
            <w:pPr>
              <w:widowControl/>
              <w:tabs>
                <w:tab w:val="left" w:pos="0"/>
              </w:tabs>
              <w:spacing w:after="60"/>
              <w:jc w:val="center"/>
              <w:rPr>
                <w:szCs w:val="20"/>
              </w:rPr>
            </w:pPr>
            <w:r>
              <w:rPr>
                <w:szCs w:val="20"/>
              </w:rPr>
              <w:t>17</w:t>
            </w:r>
          </w:p>
        </w:tc>
        <w:tc>
          <w:tcPr>
            <w:tcW w:w="3083" w:type="dxa"/>
            <w:vAlign w:val="center"/>
          </w:tcPr>
          <w:p w:rsidR="006B7F82" w:rsidP="00FE7F5B" w:rsidRDefault="00A32BA3" w14:paraId="3A879BCA"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PM2.5,c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PM10,c</m:t>
                    </m:r>
                  </m:sub>
                </m:sSub>
                <m:r>
                  <w:rPr>
                    <w:rFonts w:ascii="Cambria Math" w:hAnsi="Cambria Math"/>
                    <w:szCs w:val="20"/>
                  </w:rPr>
                  <m:t>×0.1</m:t>
                </m:r>
              </m:oMath>
            </m:oMathPara>
          </w:p>
        </w:tc>
        <w:tc>
          <w:tcPr>
            <w:tcW w:w="4211" w:type="dxa"/>
            <w:vAlign w:val="center"/>
          </w:tcPr>
          <w:p w:rsidR="006B7F82" w:rsidP="00035DC6" w:rsidRDefault="00035DC6" w14:paraId="7DDBA903" w14:textId="77777777">
            <w:pPr>
              <w:widowControl/>
              <w:tabs>
                <w:tab w:val="left" w:pos="0"/>
              </w:tabs>
              <w:spacing w:after="60"/>
              <w:jc w:val="center"/>
              <w:rPr>
                <w:szCs w:val="20"/>
              </w:rPr>
            </w:pPr>
            <m:oMathPara>
              <m:oMath>
                <m:r>
                  <w:rPr>
                    <w:rFonts w:ascii="Cambria Math" w:hAnsi="Cambria Math"/>
                    <w:szCs w:val="20"/>
                  </w:rPr>
                  <m:t>0.47 tons ×0.1</m:t>
                </m:r>
              </m:oMath>
            </m:oMathPara>
          </w:p>
        </w:tc>
        <w:tc>
          <w:tcPr>
            <w:tcW w:w="1948" w:type="dxa"/>
          </w:tcPr>
          <w:p w:rsidR="006B7F82" w:rsidP="00035DC6" w:rsidRDefault="00035DC6" w14:paraId="3DB6C4AD" w14:textId="5995363A">
            <w:pPr>
              <w:widowControl/>
              <w:tabs>
                <w:tab w:val="left" w:pos="0"/>
              </w:tabs>
              <w:spacing w:after="60"/>
              <w:rPr>
                <w:szCs w:val="20"/>
              </w:rPr>
            </w:pPr>
            <w:r>
              <w:rPr>
                <w:szCs w:val="20"/>
              </w:rPr>
              <w:t xml:space="preserve">0.047 </w:t>
            </w:r>
            <w:r w:rsidR="00A76CE5">
              <w:rPr>
                <w:szCs w:val="20"/>
              </w:rPr>
              <w:t xml:space="preserve">tons </w:t>
            </w:r>
            <w:r>
              <w:rPr>
                <w:szCs w:val="20"/>
              </w:rPr>
              <w:t>PM25-PRI emissions for 2-unit structures in Suffolk County, MA</w:t>
            </w:r>
          </w:p>
        </w:tc>
      </w:tr>
    </w:tbl>
    <w:p w:rsidR="007E4E39" w:rsidP="007E4E39" w:rsidRDefault="007E4E39" w14:paraId="37E1653B" w14:textId="77777777"/>
    <w:p w:rsidR="00B97E6E" w:rsidP="00052E59" w:rsidRDefault="00B97E6E" w14:paraId="69BC858E" w14:textId="77777777">
      <w:pPr>
        <w:pStyle w:val="Heading1"/>
      </w:pPr>
      <w:r>
        <w:t>Changes from 2014 Methodology</w:t>
      </w:r>
    </w:p>
    <w:p w:rsidRPr="00676FE8" w:rsidR="00B97E6E" w:rsidP="00B97E6E" w:rsidRDefault="2505818B" w14:paraId="2C1FE27A" w14:textId="472AB7EB">
      <w:pPr>
        <w:widowControl/>
        <w:tabs>
          <w:tab w:val="left" w:pos="0"/>
        </w:tabs>
        <w:rPr>
          <w:szCs w:val="20"/>
        </w:rPr>
      </w:pPr>
      <w:r>
        <w:t>There are no significant changes from the methodology used to calculate the 2014 v2 NEI.</w:t>
      </w:r>
    </w:p>
    <w:p w:rsidRPr="00641127" w:rsidR="00B97E6E" w:rsidP="00052E59" w:rsidRDefault="00B97E6E" w14:paraId="18C33DF8" w14:textId="77777777">
      <w:pPr>
        <w:pStyle w:val="Heading1"/>
      </w:pPr>
      <w:r w:rsidRPr="00641127">
        <w:t>Puerto Rico and U</w:t>
      </w:r>
      <w:r w:rsidR="00A54167">
        <w:t>.</w:t>
      </w:r>
      <w:r w:rsidRPr="00641127">
        <w:t>S</w:t>
      </w:r>
      <w:r w:rsidR="00A54167">
        <w:t>.</w:t>
      </w:r>
      <w:r w:rsidRPr="00641127">
        <w:t xml:space="preserve"> Virgin Islands Emissions Calculations</w:t>
      </w:r>
    </w:p>
    <w:p w:rsidR="00B97E6E" w:rsidP="00B97E6E" w:rsidRDefault="00DA4A3D" w14:paraId="6FC8BB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0"/>
        </w:rPr>
        <w:t>Since insufficient data exist</w:t>
      </w:r>
      <w:r w:rsidRPr="004E7569">
        <w:rPr>
          <w:szCs w:val="20"/>
        </w:rPr>
        <w:t xml:space="preserve">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w:t>
      </w:r>
      <w:r w:rsidR="00975078">
        <w:rPr>
          <w:szCs w:val="20"/>
        </w:rPr>
        <w:t>s</w:t>
      </w:r>
      <w:r w:rsidRPr="004E7569">
        <w:rPr>
          <w:szCs w:val="20"/>
        </w:rPr>
        <w:t xml:space="preserve"> factor.</w:t>
      </w:r>
      <w:r w:rsidR="00907DAA">
        <w:rPr>
          <w:szCs w:val="20"/>
        </w:rPr>
        <w:t xml:space="preserve"> </w:t>
      </w:r>
      <w:r w:rsidRPr="004E7569">
        <w:rPr>
          <w:szCs w:val="20"/>
        </w:rPr>
        <w:t>For each Puerto Rico and US Virgin Island county, the tons per capita emission</w:t>
      </w:r>
      <w:r w:rsidR="00975078">
        <w:rPr>
          <w:szCs w:val="20"/>
        </w:rPr>
        <w:t>s</w:t>
      </w:r>
      <w:r w:rsidRPr="004E7569">
        <w:rPr>
          <w:szCs w:val="20"/>
        </w:rPr>
        <w:t xml:space="preserve"> factor is multiplied by the county population (from the same year as the inventory’s activity data) which served as the activity data. In these cases, the throughput (activity data) unit and the emissions denominator unit are “EACH”</w:t>
      </w:r>
      <w:r w:rsidR="00A40820">
        <w:t>.</w:t>
      </w:r>
    </w:p>
    <w:p w:rsidRPr="007C3960" w:rsidR="00A6061A" w:rsidP="001975A0" w:rsidRDefault="00BC47F1" w14:paraId="6B34FA7E" w14:textId="77777777">
      <w:pPr>
        <w:pStyle w:val="Heading1"/>
        <w:spacing w:after="0"/>
      </w:pPr>
      <w:r>
        <w:t>References</w:t>
      </w:r>
    </w:p>
    <w:sectPr w:rsidRPr="007C3960" w:rsidR="00A6061A" w:rsidSect="007D6365">
      <w:footerReference w:type="default" r:id="rId12"/>
      <w:footnotePr>
        <w:numFmt w:val="chicago"/>
      </w:footnotePr>
      <w:endnotePr>
        <w:numFmt w:val="decimal"/>
      </w:endnotePr>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Pr="005A2CA7" w:rsidR="004C27A9" w:rsidP="005A2CA7" w:rsidRDefault="004C27A9" w14:paraId="2737DD18" w14:textId="77777777">
      <w:pPr>
        <w:pStyle w:val="Footer"/>
      </w:pPr>
    </w:p>
  </w:endnote>
  <w:endnote w:type="continuationSeparator" w:id="0">
    <w:p w:rsidRPr="00D05698" w:rsidR="004C27A9" w:rsidP="00D05698" w:rsidRDefault="004C27A9" w14:paraId="4C32B873" w14:textId="77777777">
      <w:pPr>
        <w:pStyle w:val="Footer"/>
      </w:pPr>
    </w:p>
  </w:endnote>
  <w:endnote w:type="continuationNotice" w:id="1">
    <w:p w:rsidR="004C27A9" w:rsidRDefault="004C27A9" w14:paraId="7ABACDFB" w14:textId="77777777">
      <w:pPr>
        <w:spacing w:after="0"/>
      </w:pPr>
    </w:p>
  </w:endnote>
  <w:endnote w:id="2">
    <w:p w:rsidRPr="007924A3" w:rsidR="004C27A9" w:rsidP="004C27A9" w:rsidRDefault="004C27A9" w14:paraId="19E356FE" w14:textId="67B1BFA7">
      <w:pPr>
        <w:pStyle w:val="References"/>
      </w:pPr>
      <w:r>
        <w:rPr>
          <w:rStyle w:val="EndnoteReference"/>
        </w:rPr>
        <w:endnoteRef/>
      </w:r>
      <w:r>
        <w:t xml:space="preserve"> </w:t>
      </w:r>
      <w:r w:rsidRPr="004E7569">
        <w:t xml:space="preserve">U.S. Census Bureau, </w:t>
      </w:r>
      <w:r w:rsidR="00A32BA3">
        <w:t xml:space="preserve">2018. </w:t>
      </w:r>
      <w:bookmarkStart w:name="_GoBack" w:id="2"/>
      <w:bookmarkEnd w:id="2"/>
      <w:r w:rsidRPr="004E7569">
        <w:t xml:space="preserve">New Privately Owned Housing Units Started by Purpose and Design </w:t>
      </w:r>
      <w:bookmarkStart w:name="_Hlk36804223" w:id="3"/>
      <w:r>
        <w:fldChar w:fldCharType="begin"/>
      </w:r>
      <w:r>
        <w:instrText xml:space="preserve"> HYPERLINK "https://www.census.gov/construction/nrc/pdf/quarterly_starts_completions.pdf" </w:instrText>
      </w:r>
      <w:r>
        <w:fldChar w:fldCharType="separate"/>
      </w:r>
      <w:r>
        <w:rPr>
          <w:rStyle w:val="Hyperlink"/>
        </w:rPr>
        <w:t>https://www.census.gov/construction/nrc/pdf/quarterly_starts_completions.pdf</w:t>
      </w:r>
      <w:r>
        <w:rPr>
          <w:rStyle w:val="Hyperlink"/>
        </w:rPr>
        <w:fldChar w:fldCharType="end"/>
      </w:r>
      <w:bookmarkEnd w:id="3"/>
      <w:r w:rsidRPr="004E7569">
        <w:t>.</w:t>
      </w:r>
    </w:p>
  </w:endnote>
  <w:endnote w:id="3">
    <w:p w:rsidR="004C27A9" w:rsidP="007E4E39" w:rsidRDefault="004C27A9" w14:paraId="3DAD2021" w14:textId="77777777">
      <w:pPr>
        <w:pStyle w:val="References"/>
      </w:pPr>
      <w:r>
        <w:rPr>
          <w:rStyle w:val="EndnoteReference"/>
        </w:rPr>
        <w:endnoteRef/>
      </w:r>
      <w:r>
        <w:t xml:space="preserve"> U.S. Census Bureau. 2001. Housing Starts. Table 1. </w:t>
      </w:r>
      <w:hyperlink w:history="1" r:id="rId1">
        <w:r w:rsidRPr="000041BB">
          <w:rPr>
            <w:rStyle w:val="Hyperlink"/>
          </w:rPr>
          <w:t>https://www.census.gov/prod/2001pubs/c20-0103.pdf</w:t>
        </w:r>
      </w:hyperlink>
      <w:r>
        <w:t xml:space="preserve">. </w:t>
      </w:r>
    </w:p>
  </w:endnote>
  <w:endnote w:id="4">
    <w:p w:rsidR="004C27A9" w:rsidP="007E4E39" w:rsidRDefault="004C27A9" w14:paraId="7E9B27BA" w14:textId="1793D812">
      <w:pPr>
        <w:pStyle w:val="References"/>
      </w:pPr>
      <w:r>
        <w:rPr>
          <w:rStyle w:val="EndnoteReference"/>
        </w:rPr>
        <w:endnoteRef/>
      </w:r>
      <w:r>
        <w:t xml:space="preserve"> </w:t>
      </w:r>
      <w:r w:rsidRPr="00B35558">
        <w:t xml:space="preserve">U.S. Census Bureau, </w:t>
      </w:r>
      <w:bookmarkStart w:name="_Hlk36804246" w:id="8"/>
      <w:r w:rsidRPr="00B35558">
        <w:t>New Privately Owned Housing Units Authorized - Unadjusted Units for Regions, Divisions, and States, Annual 201</w:t>
      </w:r>
      <w:r>
        <w:t>7</w:t>
      </w:r>
      <w:r w:rsidRPr="00B35558">
        <w:t xml:space="preserve">, Table 2au. </w:t>
      </w:r>
      <w:hyperlink w:history="1" r:id="rId2">
        <w:r w:rsidRPr="00A14DBE">
          <w:rPr>
            <w:rStyle w:val="Hyperlink"/>
          </w:rPr>
          <w:t>https://www.census.gov/construction/bps/txt/tb2u2017.txt</w:t>
        </w:r>
      </w:hyperlink>
      <w:r w:rsidRPr="00B35558">
        <w:t>.</w:t>
      </w:r>
      <w:bookmarkEnd w:id="8"/>
    </w:p>
  </w:endnote>
  <w:endnote w:id="5">
    <w:p w:rsidR="004C27A9" w:rsidP="007E4E39" w:rsidRDefault="004C27A9" w14:paraId="03AA0A29" w14:textId="3B05C493">
      <w:pPr>
        <w:pStyle w:val="References"/>
      </w:pPr>
      <w:r>
        <w:rPr>
          <w:rStyle w:val="EndnoteReference"/>
        </w:rPr>
        <w:endnoteRef/>
      </w:r>
      <w:r>
        <w:t xml:space="preserve"> </w:t>
      </w:r>
      <w:bookmarkStart w:name="_Hlk36804277" w:id="10"/>
      <w:r w:rsidRPr="00FC4749">
        <w:t>U.S. Census Bureau, Annual Housing Units Authorized by Building Permits CO201</w:t>
      </w:r>
      <w:r>
        <w:t>7</w:t>
      </w:r>
      <w:r w:rsidRPr="00FC4749">
        <w:t>A</w:t>
      </w:r>
      <w:r>
        <w:t xml:space="preserve">, </w:t>
      </w:r>
      <w:hyperlink w:history="1" r:id="rId3">
        <w:r>
          <w:rPr>
            <w:rStyle w:val="Hyperlink"/>
          </w:rPr>
          <w:t>https://www2.census.gov/econ/bps/County/</w:t>
        </w:r>
      </w:hyperlink>
      <w:r>
        <w:t>.</w:t>
      </w:r>
      <w:bookmarkEnd w:id="10"/>
    </w:p>
  </w:endnote>
  <w:endnote w:id="6">
    <w:p w:rsidR="004C27A9" w:rsidP="0075597F" w:rsidRDefault="004C27A9" w14:paraId="3FC4A3B9" w14:textId="070ADB89">
      <w:pPr>
        <w:pStyle w:val="References"/>
      </w:pPr>
      <w:r>
        <w:rPr>
          <w:rStyle w:val="EndnoteReference"/>
        </w:rPr>
        <w:endnoteRef/>
      </w:r>
      <w:r>
        <w:t xml:space="preserve"> U.S. Census Bureau, Characteristics of New Single Family Houses Completed, Annual 2014,</w:t>
      </w:r>
      <w:r w:rsidRPr="0075597F">
        <w:t xml:space="preserve"> </w:t>
      </w:r>
      <w:r>
        <w:t xml:space="preserve">Foundation Table. </w:t>
      </w:r>
      <w:hyperlink w:history="1" r:id="rId4">
        <w:r>
          <w:rPr>
            <w:rStyle w:val="Hyperlink"/>
          </w:rPr>
          <w:t>https://www.census.gov/construction/chars/pdf/foundation.pdf</w:t>
        </w:r>
      </w:hyperlink>
      <w:r>
        <w:t xml:space="preserve"> </w:t>
      </w:r>
    </w:p>
  </w:endnote>
  <w:endnote w:id="7">
    <w:p w:rsidR="004C27A9" w:rsidP="0075597F" w:rsidRDefault="004C27A9" w14:paraId="706CE35B" w14:textId="54AB880A">
      <w:pPr>
        <w:pStyle w:val="References"/>
      </w:pPr>
      <w:r>
        <w:rPr>
          <w:rStyle w:val="EndnoteReference"/>
        </w:rPr>
        <w:endnoteRef/>
      </w:r>
      <w:r>
        <w:t xml:space="preserve"> Midwest Research Institute. 1996. Improvement of Specific Emission Factors (BACM Project No. 1). Prepared for South Coast Air Quality Management District.</w:t>
      </w:r>
    </w:p>
  </w:endnote>
  <w:endnote w:id="8">
    <w:p w:rsidR="004C27A9" w:rsidP="007E4E39" w:rsidRDefault="004C27A9" w14:paraId="440114B3" w14:textId="77777777">
      <w:pPr>
        <w:pStyle w:val="References"/>
      </w:pPr>
      <w:r>
        <w:rPr>
          <w:rStyle w:val="EndnoteReference"/>
        </w:rPr>
        <w:endnoteRef/>
      </w:r>
      <w:r>
        <w:t xml:space="preserve"> </w:t>
      </w:r>
      <w:r w:rsidRPr="00135FC5">
        <w:t xml:space="preserve">U.S. Department of Agriculture, National Cooperative Soil Survey, NCSS Microsoft Access Soil Characterization Database, from </w:t>
      </w:r>
      <w:hyperlink w:history="1" r:id="rId5">
        <w:r w:rsidRPr="000041BB">
          <w:rPr>
            <w:rStyle w:val="Hyperlink"/>
          </w:rPr>
          <w:t>http://ncsslabdatamart.sc.egov.usda.gov/</w:t>
        </w:r>
      </w:hyperlink>
      <w:r w:rsidRPr="00135FC5">
        <w:t>.</w:t>
      </w:r>
    </w:p>
  </w:endnote>
  <w:endnote w:id="9">
    <w:p w:rsidR="004C27A9" w:rsidP="007E4E39" w:rsidRDefault="004C27A9" w14:paraId="7EEE0148" w14:textId="77777777">
      <w:pPr>
        <w:pStyle w:val="References"/>
      </w:pPr>
      <w:r>
        <w:rPr>
          <w:rStyle w:val="EndnoteReference"/>
        </w:rPr>
        <w:endnoteRef/>
      </w:r>
      <w:r>
        <w:t xml:space="preserve"> Cowherd, C. J. Donaldson, R. Hegarty, and D. Ono. 2006. </w:t>
      </w:r>
      <w:r w:rsidRPr="00135FC5">
        <w:t>Proposed Revisions to Fine Fraction Ratios Used for AP-42 F</w:t>
      </w:r>
      <w:r>
        <w:t>ugitive Dust Emission Factors. 15</w:t>
      </w:r>
      <w:r w:rsidRPr="0003546C">
        <w:rPr>
          <w:vertAlign w:val="superscript"/>
        </w:rPr>
        <w:t>th</w:t>
      </w:r>
      <w:r>
        <w:t xml:space="preserve"> International Emission Inventory Conference, New Orleans, LA.  </w:t>
      </w:r>
      <w:hyperlink w:history="1" r:id="rId6">
        <w:r w:rsidRPr="000041BB">
          <w:rPr>
            <w:rStyle w:val="Hyperlink"/>
          </w:rPr>
          <w:t>http://www.epa.gov/ttn/chief/conference/ei15/session14/cowherd.pdf</w:t>
        </w:r>
      </w:hyperlink>
      <w:r w:rsidRPr="00135FC5">
        <w:t>.</w:t>
      </w:r>
    </w:p>
    <w:p w:rsidRPr="00912B9C" w:rsidR="004C27A9" w:rsidP="00912B9C" w:rsidRDefault="004C27A9" w14:paraId="524ABCDD" w14:textId="3C77A6C4">
      <w:pPr>
        <w:pStyle w:val="References"/>
      </w:pPr>
      <w:r w:rsidRPr="00912B9C">
        <w:rPr>
          <w:vertAlign w:val="superscript"/>
        </w:rPr>
        <w:t>8</w:t>
      </w:r>
      <w:r w:rsidRPr="00912B9C">
        <w:t xml:space="preserve"> Midwest Research Institute. 1999. Estimating Particulate Matter Emissions from Construction Operations. Prepared for Emission Factor and Inventory Group, Office of Air Quality Planning and Standards US EPA.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823897"/>
      <w:docPartObj>
        <w:docPartGallery w:val="Page Numbers (Bottom of Page)"/>
        <w:docPartUnique/>
      </w:docPartObj>
    </w:sdtPr>
    <w:sdtEndPr>
      <w:rPr>
        <w:noProof/>
      </w:rPr>
    </w:sdtEndPr>
    <w:sdtContent>
      <w:p w:rsidR="004C27A9" w:rsidRDefault="004C27A9" w14:paraId="45AA7796" w14:textId="415AA9B2">
        <w:pPr>
          <w:pStyle w:val="Footer"/>
          <w:jc w:val="right"/>
        </w:pPr>
        <w:r>
          <w:fldChar w:fldCharType="begin"/>
        </w:r>
        <w:r>
          <w:instrText xml:space="preserve"> PAGE   \* MERGEFORMAT </w:instrText>
        </w:r>
        <w:r>
          <w:fldChar w:fldCharType="separate"/>
        </w:r>
        <w:r w:rsidR="00A32BA3">
          <w:rPr>
            <w:noProof/>
          </w:rPr>
          <w:t>10</w:t>
        </w:r>
        <w:r>
          <w:rPr>
            <w:noProof/>
          </w:rPr>
          <w:fldChar w:fldCharType="end"/>
        </w:r>
      </w:p>
    </w:sdtContent>
  </w:sdt>
  <w:p w:rsidR="004C27A9" w:rsidRDefault="004C27A9" w14:paraId="2C693352"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A9" w:rsidP="005A2CA7" w:rsidRDefault="004C27A9" w14:paraId="14826B1E" w14:textId="77777777">
      <w:r>
        <w:separator/>
      </w:r>
    </w:p>
  </w:footnote>
  <w:footnote w:type="continuationSeparator" w:id="0">
    <w:p w:rsidR="004C27A9" w:rsidP="005A2CA7" w:rsidRDefault="004C27A9" w14:paraId="3A4D31F5" w14:textId="77777777">
      <w:r>
        <w:continuationSeparator/>
      </w:r>
    </w:p>
  </w:footnote>
  <w:footnote w:id="1">
    <w:p w:rsidR="004C27A9" w:rsidRDefault="004C27A9" w14:paraId="1D47D0F9" w14:textId="6195319A">
      <w:pPr>
        <w:pStyle w:val="FootnoteText"/>
      </w:pPr>
      <w:r>
        <w:rPr>
          <w:rStyle w:val="FootnoteReference"/>
        </w:rPr>
        <w:footnoteRef/>
      </w:r>
      <w:r>
        <w:t xml:space="preserve"> </w:t>
      </w:r>
      <w:r w:rsidRPr="00302C33">
        <w:t>Note that this definition is different than the U.S. Environmental Protection Agency’s definition that includes all particles (mass basis) of diameter smaller than 75 micrometers.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3369"/>
    <w:multiLevelType w:val="hybridMultilevel"/>
    <w:tmpl w:val="0B504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A24723"/>
    <w:multiLevelType w:val="hybridMultilevel"/>
    <w:tmpl w:val="6F8A73D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60B63"/>
    <w:multiLevelType w:val="hybridMultilevel"/>
    <w:tmpl w:val="D05E644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3539B2"/>
    <w:multiLevelType w:val="hybridMultilevel"/>
    <w:tmpl w:val="5AE2EBD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44DD1"/>
    <w:multiLevelType w:val="hybridMultilevel"/>
    <w:tmpl w:val="117899D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B3C42"/>
    <w:multiLevelType w:val="hybridMultilevel"/>
    <w:tmpl w:val="5AE2EBD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6284D"/>
    <w:multiLevelType w:val="hybridMultilevel"/>
    <w:tmpl w:val="B95A45B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956B8"/>
    <w:multiLevelType w:val="hybridMultilevel"/>
    <w:tmpl w:val="AB3491DC"/>
    <w:lvl w:ilvl="0" w:tplc="04090001">
      <w:numFmt w:val="bullet"/>
      <w:lvlText w:val=""/>
      <w:lvlJc w:val="left"/>
      <w:pPr>
        <w:ind w:left="720" w:hanging="360"/>
      </w:pPr>
      <w:rPr>
        <w:rFonts w:hint="default" w:ascii="Symbol" w:hAnsi="Symbol"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FAF06D1"/>
    <w:multiLevelType w:val="hybridMultilevel"/>
    <w:tmpl w:val="1E8E986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566680"/>
    <w:multiLevelType w:val="hybridMultilevel"/>
    <w:tmpl w:val="2C1EC8E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B5BD7"/>
    <w:multiLevelType w:val="hybridMultilevel"/>
    <w:tmpl w:val="4FAE46F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A6C77"/>
    <w:multiLevelType w:val="hybridMultilevel"/>
    <w:tmpl w:val="8D7A20A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86008"/>
    <w:multiLevelType w:val="hybridMultilevel"/>
    <w:tmpl w:val="8D4894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E7BDB"/>
    <w:multiLevelType w:val="hybridMultilevel"/>
    <w:tmpl w:val="C340EE4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E8709B"/>
    <w:multiLevelType w:val="hybridMultilevel"/>
    <w:tmpl w:val="D368D95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D2930"/>
    <w:multiLevelType w:val="hybridMultilevel"/>
    <w:tmpl w:val="46A2068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321916"/>
    <w:multiLevelType w:val="hybridMultilevel"/>
    <w:tmpl w:val="D4D479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26E8E"/>
    <w:multiLevelType w:val="hybridMultilevel"/>
    <w:tmpl w:val="36ACD48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52581C"/>
    <w:multiLevelType w:val="hybridMultilevel"/>
    <w:tmpl w:val="1E8E986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14F7B"/>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8A2748"/>
    <w:multiLevelType w:val="hybridMultilevel"/>
    <w:tmpl w:val="5D863FF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7"/>
  </w:num>
  <w:num w:numId="4">
    <w:abstractNumId w:val="18"/>
  </w:num>
  <w:num w:numId="5">
    <w:abstractNumId w:val="3"/>
  </w:num>
  <w:num w:numId="6">
    <w:abstractNumId w:val="23"/>
  </w:num>
  <w:num w:numId="7">
    <w:abstractNumId w:val="35"/>
  </w:num>
  <w:num w:numId="8">
    <w:abstractNumId w:val="33"/>
  </w:num>
  <w:num w:numId="9">
    <w:abstractNumId w:val="26"/>
  </w:num>
  <w:num w:numId="10">
    <w:abstractNumId w:val="29"/>
  </w:num>
  <w:num w:numId="11">
    <w:abstractNumId w:val="17"/>
  </w:num>
  <w:num w:numId="12">
    <w:abstractNumId w:val="9"/>
  </w:num>
  <w:num w:numId="13">
    <w:abstractNumId w:val="5"/>
  </w:num>
  <w:num w:numId="14">
    <w:abstractNumId w:val="2"/>
  </w:num>
  <w:num w:numId="15">
    <w:abstractNumId w:val="31"/>
  </w:num>
  <w:num w:numId="16">
    <w:abstractNumId w:val="19"/>
  </w:num>
  <w:num w:numId="17">
    <w:abstractNumId w:val="0"/>
  </w:num>
  <w:num w:numId="18">
    <w:abstractNumId w:val="13"/>
  </w:num>
  <w:num w:numId="19">
    <w:abstractNumId w:val="34"/>
  </w:num>
  <w:num w:numId="20">
    <w:abstractNumId w:val="36"/>
  </w:num>
  <w:num w:numId="21">
    <w:abstractNumId w:val="16"/>
  </w:num>
  <w:num w:numId="22">
    <w:abstractNumId w:val="25"/>
  </w:num>
  <w:num w:numId="23">
    <w:abstractNumId w:val="21"/>
  </w:num>
  <w:num w:numId="24">
    <w:abstractNumId w:val="22"/>
  </w:num>
  <w:num w:numId="25">
    <w:abstractNumId w:val="20"/>
  </w:num>
  <w:num w:numId="26">
    <w:abstractNumId w:val="12"/>
  </w:num>
  <w:num w:numId="27">
    <w:abstractNumId w:val="32"/>
  </w:num>
  <w:num w:numId="28">
    <w:abstractNumId w:val="14"/>
  </w:num>
  <w:num w:numId="29">
    <w:abstractNumId w:val="24"/>
  </w:num>
  <w:num w:numId="30">
    <w:abstractNumId w:val="8"/>
  </w:num>
  <w:num w:numId="31">
    <w:abstractNumId w:val="11"/>
  </w:num>
  <w:num w:numId="32">
    <w:abstractNumId w:val="30"/>
  </w:num>
  <w:num w:numId="33">
    <w:abstractNumId w:val="10"/>
  </w:num>
  <w:num w:numId="34">
    <w:abstractNumId w:val="27"/>
  </w:num>
  <w:num w:numId="35">
    <w:abstractNumId w:val="6"/>
  </w:num>
  <w:num w:numId="36">
    <w:abstractNumId w:val="4"/>
  </w:num>
  <w:num w:numId="3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numFmt w:val="chicago"/>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03"/>
    <w:rsid w:val="00010E6C"/>
    <w:rsid w:val="00016464"/>
    <w:rsid w:val="00024A94"/>
    <w:rsid w:val="0003373D"/>
    <w:rsid w:val="0003546C"/>
    <w:rsid w:val="00035DC6"/>
    <w:rsid w:val="00052E59"/>
    <w:rsid w:val="00060A69"/>
    <w:rsid w:val="00073181"/>
    <w:rsid w:val="00091662"/>
    <w:rsid w:val="000B309F"/>
    <w:rsid w:val="000C0667"/>
    <w:rsid w:val="000C364A"/>
    <w:rsid w:val="00116FAD"/>
    <w:rsid w:val="0012542B"/>
    <w:rsid w:val="00135FC5"/>
    <w:rsid w:val="00157738"/>
    <w:rsid w:val="00157B70"/>
    <w:rsid w:val="00186E1E"/>
    <w:rsid w:val="001975A0"/>
    <w:rsid w:val="001A09E7"/>
    <w:rsid w:val="001A19EB"/>
    <w:rsid w:val="001B05A8"/>
    <w:rsid w:val="001D6A38"/>
    <w:rsid w:val="002005B7"/>
    <w:rsid w:val="002375F1"/>
    <w:rsid w:val="00265770"/>
    <w:rsid w:val="00273F43"/>
    <w:rsid w:val="002958BB"/>
    <w:rsid w:val="002E5ADD"/>
    <w:rsid w:val="002F6DFD"/>
    <w:rsid w:val="002F7651"/>
    <w:rsid w:val="00304D9B"/>
    <w:rsid w:val="003165C3"/>
    <w:rsid w:val="0033702E"/>
    <w:rsid w:val="00340DAC"/>
    <w:rsid w:val="003478A9"/>
    <w:rsid w:val="003527BA"/>
    <w:rsid w:val="00372AFF"/>
    <w:rsid w:val="00387957"/>
    <w:rsid w:val="003931CF"/>
    <w:rsid w:val="003933F5"/>
    <w:rsid w:val="003D38C0"/>
    <w:rsid w:val="003D471D"/>
    <w:rsid w:val="003E35AF"/>
    <w:rsid w:val="003E7E6E"/>
    <w:rsid w:val="003F3D3C"/>
    <w:rsid w:val="003F7F0D"/>
    <w:rsid w:val="00402D36"/>
    <w:rsid w:val="004062A6"/>
    <w:rsid w:val="00433E3C"/>
    <w:rsid w:val="0044447B"/>
    <w:rsid w:val="00454AD5"/>
    <w:rsid w:val="00486228"/>
    <w:rsid w:val="004934C7"/>
    <w:rsid w:val="004A1B25"/>
    <w:rsid w:val="004B0DDF"/>
    <w:rsid w:val="004C27A9"/>
    <w:rsid w:val="004C7E55"/>
    <w:rsid w:val="004D19E4"/>
    <w:rsid w:val="004E1CBE"/>
    <w:rsid w:val="004E5DDA"/>
    <w:rsid w:val="004F547C"/>
    <w:rsid w:val="004F6DF9"/>
    <w:rsid w:val="00537635"/>
    <w:rsid w:val="00554CFA"/>
    <w:rsid w:val="0056502F"/>
    <w:rsid w:val="00576E8A"/>
    <w:rsid w:val="00592CB0"/>
    <w:rsid w:val="005954B9"/>
    <w:rsid w:val="005A1A1C"/>
    <w:rsid w:val="005A2CA7"/>
    <w:rsid w:val="005E7A3E"/>
    <w:rsid w:val="005E7FC5"/>
    <w:rsid w:val="00620E76"/>
    <w:rsid w:val="00630085"/>
    <w:rsid w:val="00641FAE"/>
    <w:rsid w:val="00646D28"/>
    <w:rsid w:val="00676FE8"/>
    <w:rsid w:val="00680037"/>
    <w:rsid w:val="00697D2A"/>
    <w:rsid w:val="006A45B0"/>
    <w:rsid w:val="006B3338"/>
    <w:rsid w:val="006B7F82"/>
    <w:rsid w:val="006C7720"/>
    <w:rsid w:val="006F5441"/>
    <w:rsid w:val="00705DD0"/>
    <w:rsid w:val="0071346C"/>
    <w:rsid w:val="0075019B"/>
    <w:rsid w:val="0075597F"/>
    <w:rsid w:val="007614AA"/>
    <w:rsid w:val="007660D8"/>
    <w:rsid w:val="00770E9B"/>
    <w:rsid w:val="00776EA2"/>
    <w:rsid w:val="00780F50"/>
    <w:rsid w:val="00787200"/>
    <w:rsid w:val="007924A3"/>
    <w:rsid w:val="007C3960"/>
    <w:rsid w:val="007D5A4D"/>
    <w:rsid w:val="007D6365"/>
    <w:rsid w:val="007E28CD"/>
    <w:rsid w:val="007E4E39"/>
    <w:rsid w:val="007F53C1"/>
    <w:rsid w:val="00801C17"/>
    <w:rsid w:val="00824E07"/>
    <w:rsid w:val="00837710"/>
    <w:rsid w:val="00846AFA"/>
    <w:rsid w:val="00851D7A"/>
    <w:rsid w:val="00873FFC"/>
    <w:rsid w:val="008810A9"/>
    <w:rsid w:val="008A5821"/>
    <w:rsid w:val="008E1A37"/>
    <w:rsid w:val="008E2445"/>
    <w:rsid w:val="00907DAA"/>
    <w:rsid w:val="00912B9C"/>
    <w:rsid w:val="00914855"/>
    <w:rsid w:val="00926F6D"/>
    <w:rsid w:val="009378ED"/>
    <w:rsid w:val="00944444"/>
    <w:rsid w:val="0097139E"/>
    <w:rsid w:val="00975078"/>
    <w:rsid w:val="0097551A"/>
    <w:rsid w:val="00986448"/>
    <w:rsid w:val="009B1521"/>
    <w:rsid w:val="009C0F97"/>
    <w:rsid w:val="009D1FD8"/>
    <w:rsid w:val="009D22C4"/>
    <w:rsid w:val="009F5C98"/>
    <w:rsid w:val="00A10CE9"/>
    <w:rsid w:val="00A254EC"/>
    <w:rsid w:val="00A25E2C"/>
    <w:rsid w:val="00A329DA"/>
    <w:rsid w:val="00A32BA3"/>
    <w:rsid w:val="00A40820"/>
    <w:rsid w:val="00A4319E"/>
    <w:rsid w:val="00A54167"/>
    <w:rsid w:val="00A57F0F"/>
    <w:rsid w:val="00A6061A"/>
    <w:rsid w:val="00A6797B"/>
    <w:rsid w:val="00A73B03"/>
    <w:rsid w:val="00A76CE5"/>
    <w:rsid w:val="00A84DAA"/>
    <w:rsid w:val="00AA771E"/>
    <w:rsid w:val="00AB23B5"/>
    <w:rsid w:val="00AD70B8"/>
    <w:rsid w:val="00AE30FA"/>
    <w:rsid w:val="00AE6CC9"/>
    <w:rsid w:val="00AF1787"/>
    <w:rsid w:val="00B24CB0"/>
    <w:rsid w:val="00B259AF"/>
    <w:rsid w:val="00B302A4"/>
    <w:rsid w:val="00B32469"/>
    <w:rsid w:val="00B35558"/>
    <w:rsid w:val="00B52846"/>
    <w:rsid w:val="00B97E6E"/>
    <w:rsid w:val="00BB33FE"/>
    <w:rsid w:val="00BC47F1"/>
    <w:rsid w:val="00BD21A4"/>
    <w:rsid w:val="00BD61EA"/>
    <w:rsid w:val="00BE0480"/>
    <w:rsid w:val="00C2093D"/>
    <w:rsid w:val="00C46567"/>
    <w:rsid w:val="00C53669"/>
    <w:rsid w:val="00C55020"/>
    <w:rsid w:val="00C835F7"/>
    <w:rsid w:val="00C900AF"/>
    <w:rsid w:val="00C916FF"/>
    <w:rsid w:val="00CA6FB5"/>
    <w:rsid w:val="00CA76F8"/>
    <w:rsid w:val="00CA7B18"/>
    <w:rsid w:val="00D05698"/>
    <w:rsid w:val="00D360C1"/>
    <w:rsid w:val="00D74764"/>
    <w:rsid w:val="00D842AC"/>
    <w:rsid w:val="00DA1272"/>
    <w:rsid w:val="00DA4A3D"/>
    <w:rsid w:val="00DE7325"/>
    <w:rsid w:val="00DF0B38"/>
    <w:rsid w:val="00E10956"/>
    <w:rsid w:val="00E12236"/>
    <w:rsid w:val="00E267BB"/>
    <w:rsid w:val="00E320C4"/>
    <w:rsid w:val="00E41E81"/>
    <w:rsid w:val="00E438D7"/>
    <w:rsid w:val="00E576D3"/>
    <w:rsid w:val="00E61A28"/>
    <w:rsid w:val="00E7492B"/>
    <w:rsid w:val="00E84363"/>
    <w:rsid w:val="00E900F8"/>
    <w:rsid w:val="00E91F7F"/>
    <w:rsid w:val="00E95198"/>
    <w:rsid w:val="00EC0C41"/>
    <w:rsid w:val="00EC2305"/>
    <w:rsid w:val="00EC232F"/>
    <w:rsid w:val="00ED0BEB"/>
    <w:rsid w:val="00ED598D"/>
    <w:rsid w:val="00EE0E08"/>
    <w:rsid w:val="00EE7CB6"/>
    <w:rsid w:val="00EF4865"/>
    <w:rsid w:val="00F1596A"/>
    <w:rsid w:val="00F33727"/>
    <w:rsid w:val="00F33E46"/>
    <w:rsid w:val="00F71199"/>
    <w:rsid w:val="00FA6A41"/>
    <w:rsid w:val="00FB02D3"/>
    <w:rsid w:val="00FC4749"/>
    <w:rsid w:val="00FE02FD"/>
    <w:rsid w:val="00FE1D0B"/>
    <w:rsid w:val="00FE7F5B"/>
    <w:rsid w:val="2505818B"/>
    <w:rsid w:val="5FE1AB41"/>
    <w:rsid w:val="72D8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1FBE757"/>
  <w15:docId w15:val="{49D8713C-CC63-4262-B2AB-ED99172E0B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1CBE"/>
    <w:pPr>
      <w:widowControl w:val="0"/>
      <w:autoSpaceDE w:val="0"/>
      <w:autoSpaceDN w:val="0"/>
      <w:adjustRightInd w:val="0"/>
      <w:spacing w:line="240" w:lineRule="auto"/>
    </w:pPr>
    <w:rPr>
      <w:rFonts w:ascii="Times New Roman" w:hAnsi="Times New Roman" w:eastAsia="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hAnsi="Arial" w:eastAsiaTheme="majorEastAsia" w:cstheme="majorBidi"/>
      <w:b/>
      <w:bCs/>
      <w:szCs w:val="28"/>
    </w:rPr>
  </w:style>
  <w:style w:type="paragraph" w:styleId="Heading3">
    <w:name w:val="heading 3"/>
    <w:basedOn w:val="Normal"/>
    <w:next w:val="Normal"/>
    <w:link w:val="Heading3Char"/>
    <w:uiPriority w:val="9"/>
    <w:unhideWhenUsed/>
    <w:qFormat/>
    <w:rsid w:val="00DA4A3D"/>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text" w:customStyle="1">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styleId="FootnoteTextChar" w:customStyle="1">
    <w:name w:val="Footnote Text Char"/>
    <w:basedOn w:val="DefaultParagraphFont"/>
    <w:link w:val="FootnoteText"/>
    <w:uiPriority w:val="99"/>
    <w:semiHidden/>
    <w:rsid w:val="00A4319E"/>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styleId="EndnoteTextChar" w:customStyle="1">
    <w:name w:val="Endnote Text Char"/>
    <w:basedOn w:val="DefaultParagraphFont"/>
    <w:link w:val="EndnoteText"/>
    <w:uiPriority w:val="99"/>
    <w:semiHidden/>
    <w:rsid w:val="00A4319E"/>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styleId="CommentTextChar" w:customStyle="1">
    <w:name w:val="Comment Text Char"/>
    <w:basedOn w:val="DefaultParagraphFont"/>
    <w:link w:val="CommentText"/>
    <w:uiPriority w:val="99"/>
    <w:semiHidden/>
    <w:rsid w:val="00A4319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styleId="CommentSubjectChar" w:customStyle="1">
    <w:name w:val="Comment Subject Char"/>
    <w:basedOn w:val="CommentTextChar"/>
    <w:link w:val="CommentSubject"/>
    <w:uiPriority w:val="99"/>
    <w:semiHidden/>
    <w:rsid w:val="00A4319E"/>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styleId="BalloonTextChar" w:customStyle="1">
    <w:name w:val="Balloon Text Char"/>
    <w:basedOn w:val="DefaultParagraphFont"/>
    <w:link w:val="BalloonText"/>
    <w:uiPriority w:val="99"/>
    <w:semiHidden/>
    <w:rsid w:val="00A4319E"/>
    <w:rPr>
      <w:rFonts w:ascii="Tahoma" w:hAnsi="Tahoma" w:eastAsia="Times New Roman"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hAnsi="Times New Roman" w:eastAsia="Times New Roman" w:cs="Times New Roman"/>
      <w:sz w:val="24"/>
      <w:szCs w:val="24"/>
    </w:rPr>
  </w:style>
  <w:style w:type="paragraph" w:styleId="Style1" w:customStyle="1">
    <w:name w:val="Style1"/>
    <w:basedOn w:val="Normal"/>
    <w:next w:val="Normal"/>
    <w:link w:val="Style1Char"/>
    <w:qFormat/>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styleId="Style1Char" w:customStyle="1">
    <w:name w:val="Style1 Char"/>
    <w:basedOn w:val="DefaultParagraphFont"/>
    <w:link w:val="Style1"/>
    <w:rsid w:val="00ED598D"/>
    <w:rPr>
      <w:rFonts w:ascii="Times New Roman" w:hAnsi="Times New Roman" w:eastAsia="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styleId="FooterChar" w:customStyle="1">
    <w:name w:val="Footer Char"/>
    <w:basedOn w:val="DefaultParagraphFont"/>
    <w:link w:val="Footer"/>
    <w:uiPriority w:val="99"/>
    <w:rsid w:val="005A2CA7"/>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186E1E"/>
    <w:rPr>
      <w:rFonts w:ascii="Arial" w:hAnsi="Arial" w:eastAsiaTheme="majorEastAsia" w:cstheme="majorBidi"/>
      <w:b/>
      <w:caps/>
      <w:kern w:val="28"/>
      <w:sz w:val="24"/>
      <w:szCs w:val="52"/>
    </w:rPr>
  </w:style>
  <w:style w:type="character" w:styleId="TitleChar" w:customStyle="1">
    <w:name w:val="Title Char"/>
    <w:basedOn w:val="DefaultParagraphFont"/>
    <w:link w:val="Title"/>
    <w:uiPriority w:val="10"/>
    <w:rsid w:val="00186E1E"/>
    <w:rPr>
      <w:rFonts w:ascii="Arial" w:hAnsi="Arial" w:eastAsiaTheme="majorEastAsia" w:cstheme="majorBidi"/>
      <w:b/>
      <w:caps/>
      <w:kern w:val="28"/>
      <w:sz w:val="24"/>
      <w:szCs w:val="52"/>
    </w:rPr>
  </w:style>
  <w:style w:type="character" w:styleId="Heading1Char" w:customStyle="1">
    <w:name w:val="Heading 1 Char"/>
    <w:basedOn w:val="DefaultParagraphFont"/>
    <w:link w:val="Heading1"/>
    <w:uiPriority w:val="9"/>
    <w:rsid w:val="00186E1E"/>
    <w:rPr>
      <w:rFonts w:ascii="Arial" w:hAnsi="Arial" w:eastAsiaTheme="majorEastAsia"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hAnsi="Times New Roman" w:eastAsia="Times New Roman" w:cs="Times New Roman"/>
      <w:sz w:val="20"/>
      <w:szCs w:val="24"/>
    </w:rPr>
  </w:style>
  <w:style w:type="paragraph" w:styleId="References" w:customStyle="1">
    <w:name w:val="References"/>
    <w:basedOn w:val="EndnoteText"/>
    <w:link w:val="ReferencesChar"/>
    <w:qFormat/>
    <w:rsid w:val="00052E59"/>
    <w:pPr>
      <w:spacing w:after="0"/>
      <w:ind w:left="540" w:hanging="540"/>
    </w:pPr>
  </w:style>
  <w:style w:type="paragraph" w:styleId="TableCaption" w:customStyle="1">
    <w:name w:val="TableCaption"/>
    <w:basedOn w:val="Caption"/>
    <w:link w:val="TableCaptionChar"/>
    <w:qFormat/>
    <w:rsid w:val="00024A94"/>
    <w:pPr>
      <w:keepNext/>
      <w:spacing w:after="120"/>
      <w:jc w:val="center"/>
    </w:pPr>
    <w:rPr>
      <w:color w:val="auto"/>
      <w:sz w:val="20"/>
    </w:rPr>
  </w:style>
  <w:style w:type="character" w:styleId="ReferencesChar" w:customStyle="1">
    <w:name w:val="References Char"/>
    <w:basedOn w:val="EndnoteTextChar"/>
    <w:link w:val="References"/>
    <w:rsid w:val="00052E59"/>
    <w:rPr>
      <w:rFonts w:ascii="Times New Roman" w:hAnsi="Times New Roman" w:eastAsia="Times New Roman" w:cs="Times New Roman"/>
      <w:sz w:val="20"/>
      <w:szCs w:val="20"/>
    </w:rPr>
  </w:style>
  <w:style w:type="table" w:styleId="TableGrid">
    <w:name w:val="Table Grid"/>
    <w:basedOn w:val="TableNormal"/>
    <w:uiPriority w:val="59"/>
    <w:rsid w:val="009864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ptionChar" w:customStyle="1">
    <w:name w:val="Caption Char"/>
    <w:basedOn w:val="DefaultParagraphFont"/>
    <w:link w:val="Caption"/>
    <w:uiPriority w:val="35"/>
    <w:rsid w:val="00052E59"/>
    <w:rPr>
      <w:rFonts w:ascii="Times New Roman" w:hAnsi="Times New Roman" w:eastAsia="Times New Roman" w:cs="Times New Roman"/>
      <w:b/>
      <w:bCs/>
      <w:color w:val="4F81BD" w:themeColor="accent1"/>
      <w:sz w:val="18"/>
      <w:szCs w:val="18"/>
    </w:rPr>
  </w:style>
  <w:style w:type="character" w:styleId="TableCaptionChar" w:customStyle="1">
    <w:name w:val="TableCaption Char"/>
    <w:basedOn w:val="CaptionChar"/>
    <w:link w:val="TableCaption"/>
    <w:rsid w:val="00024A94"/>
    <w:rPr>
      <w:rFonts w:ascii="Times New Roman" w:hAnsi="Times New Roman" w:eastAsia="Times New Roman" w:cs="Times New Roman"/>
      <w:b/>
      <w:bCs/>
      <w:color w:val="4F81BD" w:themeColor="accent1"/>
      <w:sz w:val="20"/>
      <w:szCs w:val="18"/>
    </w:rPr>
  </w:style>
  <w:style w:type="character" w:styleId="Heading3Char" w:customStyle="1">
    <w:name w:val="Heading 3 Char"/>
    <w:basedOn w:val="DefaultParagraphFont"/>
    <w:link w:val="Heading3"/>
    <w:uiPriority w:val="9"/>
    <w:rsid w:val="00DA4A3D"/>
    <w:rPr>
      <w:rFonts w:asciiTheme="majorHAnsi" w:hAnsiTheme="majorHAnsi" w:eastAsiaTheme="majorEastAsia" w:cstheme="majorBidi"/>
      <w:b/>
      <w:bCs/>
      <w:color w:val="4F81BD" w:themeColor="accent1"/>
      <w:sz w:val="20"/>
      <w:szCs w:val="24"/>
    </w:rPr>
  </w:style>
  <w:style w:type="character" w:styleId="Strong">
    <w:name w:val="Strong"/>
    <w:basedOn w:val="DefaultParagraphFont"/>
    <w:uiPriority w:val="22"/>
    <w:qFormat/>
    <w:rsid w:val="00DA4A3D"/>
    <w:rPr>
      <w:b/>
      <w:bCs/>
    </w:rPr>
  </w:style>
  <w:style w:type="paragraph" w:styleId="Header">
    <w:name w:val="header"/>
    <w:basedOn w:val="Normal"/>
    <w:link w:val="HeaderChar"/>
    <w:uiPriority w:val="99"/>
    <w:unhideWhenUsed/>
    <w:rsid w:val="006C7720"/>
    <w:pPr>
      <w:tabs>
        <w:tab w:val="center" w:pos="4680"/>
        <w:tab w:val="right" w:pos="9360"/>
      </w:tabs>
      <w:spacing w:after="0"/>
    </w:pPr>
  </w:style>
  <w:style w:type="character" w:styleId="HeaderChar" w:customStyle="1">
    <w:name w:val="Header Char"/>
    <w:basedOn w:val="DefaultParagraphFont"/>
    <w:link w:val="Header"/>
    <w:uiPriority w:val="99"/>
    <w:rsid w:val="006C7720"/>
    <w:rPr>
      <w:rFonts w:ascii="Times New Roman" w:hAnsi="Times New Roman" w:eastAsia="Times New Roman" w:cs="Times New Roman"/>
      <w:sz w:val="20"/>
      <w:szCs w:val="24"/>
    </w:rPr>
  </w:style>
  <w:style w:type="character" w:styleId="UnresolvedMention" w:customStyle="1">
    <w:name w:val="Unresolved Mention"/>
    <w:basedOn w:val="DefaultParagraphFont"/>
    <w:uiPriority w:val="99"/>
    <w:semiHidden/>
    <w:unhideWhenUsed/>
    <w:rsid w:val="00197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6319">
      <w:bodyDiv w:val="1"/>
      <w:marLeft w:val="0"/>
      <w:marRight w:val="0"/>
      <w:marTop w:val="0"/>
      <w:marBottom w:val="0"/>
      <w:divBdr>
        <w:top w:val="none" w:sz="0" w:space="0" w:color="auto"/>
        <w:left w:val="none" w:sz="0" w:space="0" w:color="auto"/>
        <w:bottom w:val="none" w:sz="0" w:space="0" w:color="auto"/>
        <w:right w:val="none" w:sz="0" w:space="0" w:color="auto"/>
      </w:divBdr>
    </w:div>
    <w:div w:id="157960930">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280643743">
      <w:bodyDiv w:val="1"/>
      <w:marLeft w:val="0"/>
      <w:marRight w:val="0"/>
      <w:marTop w:val="0"/>
      <w:marBottom w:val="0"/>
      <w:divBdr>
        <w:top w:val="none" w:sz="0" w:space="0" w:color="auto"/>
        <w:left w:val="none" w:sz="0" w:space="0" w:color="auto"/>
        <w:bottom w:val="none" w:sz="0" w:space="0" w:color="auto"/>
        <w:right w:val="none" w:sz="0" w:space="0" w:color="auto"/>
      </w:divBdr>
    </w:div>
    <w:div w:id="1719814807">
      <w:bodyDiv w:val="1"/>
      <w:marLeft w:val="0"/>
      <w:marRight w:val="0"/>
      <w:marTop w:val="0"/>
      <w:marBottom w:val="0"/>
      <w:divBdr>
        <w:top w:val="none" w:sz="0" w:space="0" w:color="auto"/>
        <w:left w:val="none" w:sz="0" w:space="0" w:color="auto"/>
        <w:bottom w:val="none" w:sz="0" w:space="0" w:color="auto"/>
        <w:right w:val="none" w:sz="0" w:space="0" w:color="auto"/>
      </w:divBdr>
    </w:div>
    <w:div w:id="180827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glossaryDocument" Target="/word/glossary/document.xml" Id="Rac6d4d3137c24265" /></Relationships>
</file>

<file path=word/_rels/endnotes.xml.rels><?xml version="1.0" encoding="UTF-8" standalone="yes"?>
<Relationships xmlns="http://schemas.openxmlformats.org/package/2006/relationships"><Relationship Id="rId3" Type="http://schemas.openxmlformats.org/officeDocument/2006/relationships/hyperlink" Target="https://www2.census.gov/econ/bps/County/" TargetMode="External"/><Relationship Id="rId2" Type="http://schemas.openxmlformats.org/officeDocument/2006/relationships/hyperlink" Target="https://www.census.gov/construction/bps/txt/tb2u2017.txt" TargetMode="External"/><Relationship Id="rId1" Type="http://schemas.openxmlformats.org/officeDocument/2006/relationships/hyperlink" Target="https://www.census.gov/prod/2001pubs/c20-0103.pdf" TargetMode="External"/><Relationship Id="rId6" Type="http://schemas.openxmlformats.org/officeDocument/2006/relationships/hyperlink" Target="http://www.epa.gov/ttn/chief/conference/ei15/session14/cowherd.pdf" TargetMode="External"/><Relationship Id="rId5" Type="http://schemas.openxmlformats.org/officeDocument/2006/relationships/hyperlink" Target="http://ncsslabdatamart.sc.egov.usda.gov/" TargetMode="External"/><Relationship Id="rId4" Type="http://schemas.openxmlformats.org/officeDocument/2006/relationships/hyperlink" Target="https://www.census.gov/construction/chars/pdf/foundation.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44f741f-e837-4823-a6c6-6e22b3d7645e}"/>
      </w:docPartPr>
      <w:docPartBody>
        <w:p w14:paraId="44EB189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2.xml><?xml version="1.0" encoding="utf-8"?>
<ds:datastoreItem xmlns:ds="http://schemas.openxmlformats.org/officeDocument/2006/customXml" ds:itemID="{7F426AED-777A-4CD7-8DBB-FB7F517B7BD7}"/>
</file>

<file path=customXml/itemProps3.xml><?xml version="1.0" encoding="utf-8"?>
<ds:datastoreItem xmlns:ds="http://schemas.openxmlformats.org/officeDocument/2006/customXml" ds:itemID="{8320840A-CB90-4B4C-BB34-4F22FEDE0888}">
  <ds:schemaRefs>
    <ds:schemaRef ds:uri="http://schemas.openxmlformats.org/package/2006/metadata/core-properties"/>
    <ds:schemaRef ds:uri="http://schemas.microsoft.com/sharepoint/v3"/>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microsoft.com/sharepoint/v3/fields"/>
    <ds:schemaRef ds:uri="7d8dd676-26ca-4e08-b90f-b4e0026a58ac"/>
    <ds:schemaRef ds:uri="eae1606c-bbef-499f-bb66-c2dbf02f8e2b"/>
    <ds:schemaRef ds:uri="http://schemas.microsoft.com/sharepoint.v3"/>
    <ds:schemaRef ds:uri="4ffa91fb-a0ff-4ac5-b2db-65c790d184a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5.xml><?xml version="1.0" encoding="utf-8"?>
<ds:datastoreItem xmlns:ds="http://schemas.openxmlformats.org/officeDocument/2006/customXml" ds:itemID="{95873A56-BA6A-4166-BF8F-1E8979AFE3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Abt Associates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Marissa Hoer</dc:creator>
  <lastModifiedBy>Hannah Derrick</lastModifiedBy>
  <revision>6</revision>
  <dcterms:created xsi:type="dcterms:W3CDTF">2020-04-03T01:46:00.0000000Z</dcterms:created>
  <dcterms:modified xsi:type="dcterms:W3CDTF">2020-04-06T00:05:08.0583735Z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