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0C1" w:rsidRPr="00A6061A" w:rsidRDefault="00822C7D" w:rsidP="00387957">
      <w:pPr>
        <w:pStyle w:val="Title"/>
      </w:pPr>
      <w:bookmarkStart w:id="0" w:name="_GoBack"/>
      <w:bookmarkEnd w:id="0"/>
      <w:r>
        <w:t>Residential Wood Combustion</w:t>
      </w:r>
    </w:p>
    <w:p w:rsidR="00D360C1" w:rsidRPr="00886F17" w:rsidRDefault="00D360C1" w:rsidP="00387957">
      <w:pPr>
        <w:pStyle w:val="Heading1"/>
      </w:pPr>
      <w:r w:rsidRPr="00886F17">
        <w:t>Source Category Description</w:t>
      </w:r>
    </w:p>
    <w:p w:rsidR="00D360C1" w:rsidRPr="00822C7D" w:rsidRDefault="00822C7D" w:rsidP="00822C7D">
      <w:r w:rsidRPr="007E0F46">
        <w:t>Residential wood combustion (RWC) appliances</w:t>
      </w:r>
      <w:r>
        <w:t>,</w:t>
      </w:r>
      <w:r w:rsidRPr="007E0F46">
        <w:t xml:space="preserve"> </w:t>
      </w:r>
      <w:r>
        <w:t xml:space="preserve">such as </w:t>
      </w:r>
      <w:r w:rsidRPr="007E0F46">
        <w:t>fireplaces, fireplace inserts, woodstoves, and hydronic heaters</w:t>
      </w:r>
      <w:r>
        <w:t>,</w:t>
      </w:r>
      <w:r w:rsidRPr="007E0F46">
        <w:t xml:space="preserve"> are significant sources of air</w:t>
      </w:r>
      <w:r>
        <w:t xml:space="preserve"> pollution in the United States—</w:t>
      </w:r>
      <w:r w:rsidRPr="007E0F46">
        <w:t>especially during winter months.</w:t>
      </w:r>
      <w:r>
        <w:t xml:space="preserve"> </w:t>
      </w:r>
      <w:r w:rsidRPr="007E0F46">
        <w:t>RWC emits large amounts of fine particulate matter</w:t>
      </w:r>
      <w:r>
        <w:t xml:space="preserve"> (PM25-PRI)</w:t>
      </w:r>
      <w:r w:rsidRPr="007E0F46">
        <w:t xml:space="preserve">, volatile organic compounds (VOCs), and hazardous air pollutants </w:t>
      </w:r>
      <w:r>
        <w:t xml:space="preserve">(HAPs) </w:t>
      </w:r>
      <w:r w:rsidRPr="007E0F46">
        <w:t xml:space="preserve">that </w:t>
      </w:r>
      <w:r>
        <w:t>are known</w:t>
      </w:r>
      <w:r w:rsidRPr="007E0F46">
        <w:t xml:space="preserve"> to contribute to poor human health, air quality, and visibility.</w:t>
      </w:r>
      <w:r>
        <w:t xml:space="preserve"> In 2017 RWC appliance are estimated to have emitted more than 300,000 tons of PM25-PRI.</w:t>
      </w:r>
      <w:r w:rsidR="00E2434E">
        <w:t xml:space="preserve"> To improve estimates in this sector, the EPA, along with the Commission on Environmental Cooperation (CEC), the Northeast States for Coordinated Air Use Management (NESCAUM), and Abt Associates, conducted a national survey of wood-burning activity in 2018. The results of this survey were used to estimate county-level burning activity, as discussed in more detail below. </w:t>
      </w:r>
    </w:p>
    <w:p w:rsidR="00D360C1" w:rsidRPr="003E3AC3" w:rsidRDefault="00D360C1" w:rsidP="00D360C1">
      <w:pPr>
        <w:widowControl/>
        <w:tabs>
          <w:tab w:val="left" w:pos="0"/>
        </w:tabs>
        <w:rPr>
          <w:szCs w:val="20"/>
        </w:rPr>
      </w:pPr>
      <w:r w:rsidRPr="003E3AC3">
        <w:rPr>
          <w:szCs w:val="20"/>
        </w:rPr>
        <w:t>For this source category, the following SCC</w:t>
      </w:r>
      <w:r w:rsidR="00822C7D">
        <w:rPr>
          <w:szCs w:val="20"/>
        </w:rPr>
        <w:t>s</w:t>
      </w:r>
      <w:r w:rsidRPr="003E3AC3">
        <w:rPr>
          <w:szCs w:val="20"/>
        </w:rPr>
        <w:t xml:space="preserve"> </w:t>
      </w:r>
      <w:r w:rsidR="00822C7D">
        <w:rPr>
          <w:szCs w:val="20"/>
        </w:rPr>
        <w:t xml:space="preserve">are </w:t>
      </w:r>
      <w:r w:rsidRPr="003E3AC3">
        <w:rPr>
          <w:szCs w:val="20"/>
        </w:rPr>
        <w:t>assigned:</w:t>
      </w:r>
    </w:p>
    <w:tbl>
      <w:tblPr>
        <w:tblW w:w="8710"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2160"/>
        <w:gridCol w:w="1296"/>
        <w:gridCol w:w="1296"/>
        <w:gridCol w:w="2736"/>
      </w:tblGrid>
      <w:tr w:rsidR="00D360C1" w:rsidRPr="008B5CC4" w:rsidTr="003249A8">
        <w:trPr>
          <w:trHeight w:val="265"/>
          <w:jc w:val="center"/>
        </w:trPr>
        <w:tc>
          <w:tcPr>
            <w:tcW w:w="1222" w:type="dxa"/>
            <w:shd w:val="clear" w:color="auto" w:fill="BFBFBF" w:themeFill="background1" w:themeFillShade="BF"/>
            <w:noWrap/>
            <w:vAlign w:val="center"/>
          </w:tcPr>
          <w:p w:rsidR="00D360C1" w:rsidRPr="008B5CC4" w:rsidRDefault="00D360C1" w:rsidP="003249A8">
            <w:pPr>
              <w:widowControl/>
              <w:tabs>
                <w:tab w:val="left" w:pos="0"/>
              </w:tabs>
              <w:spacing w:after="0"/>
              <w:rPr>
                <w:b/>
                <w:bCs/>
                <w:szCs w:val="20"/>
              </w:rPr>
            </w:pPr>
            <w:r w:rsidRPr="008B5CC4">
              <w:rPr>
                <w:b/>
                <w:bCs/>
                <w:szCs w:val="20"/>
              </w:rPr>
              <w:t>SCC</w:t>
            </w:r>
          </w:p>
        </w:tc>
        <w:tc>
          <w:tcPr>
            <w:tcW w:w="2160" w:type="dxa"/>
            <w:shd w:val="clear" w:color="auto" w:fill="BFBFBF" w:themeFill="background1" w:themeFillShade="BF"/>
            <w:noWrap/>
            <w:vAlign w:val="center"/>
          </w:tcPr>
          <w:p w:rsidR="00D360C1" w:rsidRPr="008B5CC4" w:rsidRDefault="00D360C1" w:rsidP="003249A8">
            <w:pPr>
              <w:widowControl/>
              <w:tabs>
                <w:tab w:val="left" w:pos="0"/>
              </w:tabs>
              <w:spacing w:after="0"/>
              <w:rPr>
                <w:b/>
                <w:bCs/>
                <w:szCs w:val="20"/>
              </w:rPr>
            </w:pPr>
            <w:r w:rsidRPr="008B5CC4">
              <w:rPr>
                <w:b/>
                <w:bCs/>
                <w:szCs w:val="20"/>
              </w:rPr>
              <w:t>SCC Level 1</w:t>
            </w:r>
          </w:p>
        </w:tc>
        <w:tc>
          <w:tcPr>
            <w:tcW w:w="1296" w:type="dxa"/>
            <w:shd w:val="clear" w:color="auto" w:fill="BFBFBF" w:themeFill="background1" w:themeFillShade="BF"/>
            <w:noWrap/>
            <w:vAlign w:val="center"/>
          </w:tcPr>
          <w:p w:rsidR="00D360C1" w:rsidRPr="008B5CC4" w:rsidRDefault="00D360C1" w:rsidP="003249A8">
            <w:pPr>
              <w:widowControl/>
              <w:tabs>
                <w:tab w:val="left" w:pos="0"/>
              </w:tabs>
              <w:spacing w:after="0"/>
              <w:rPr>
                <w:b/>
                <w:bCs/>
                <w:szCs w:val="20"/>
              </w:rPr>
            </w:pPr>
            <w:r w:rsidRPr="008B5CC4">
              <w:rPr>
                <w:b/>
                <w:bCs/>
                <w:szCs w:val="20"/>
              </w:rPr>
              <w:t>SCC Level 2</w:t>
            </w:r>
          </w:p>
        </w:tc>
        <w:tc>
          <w:tcPr>
            <w:tcW w:w="1296" w:type="dxa"/>
            <w:shd w:val="clear" w:color="auto" w:fill="BFBFBF" w:themeFill="background1" w:themeFillShade="BF"/>
            <w:noWrap/>
            <w:vAlign w:val="center"/>
          </w:tcPr>
          <w:p w:rsidR="00D360C1" w:rsidRPr="008B5CC4" w:rsidRDefault="00D360C1" w:rsidP="003249A8">
            <w:pPr>
              <w:widowControl/>
              <w:tabs>
                <w:tab w:val="left" w:pos="0"/>
              </w:tabs>
              <w:spacing w:after="0"/>
              <w:rPr>
                <w:b/>
                <w:bCs/>
                <w:szCs w:val="20"/>
              </w:rPr>
            </w:pPr>
            <w:r w:rsidRPr="008B5CC4">
              <w:rPr>
                <w:b/>
                <w:bCs/>
                <w:szCs w:val="20"/>
              </w:rPr>
              <w:t>SCC Level 3</w:t>
            </w:r>
          </w:p>
        </w:tc>
        <w:tc>
          <w:tcPr>
            <w:tcW w:w="2736" w:type="dxa"/>
            <w:shd w:val="clear" w:color="auto" w:fill="BFBFBF" w:themeFill="background1" w:themeFillShade="BF"/>
            <w:noWrap/>
            <w:vAlign w:val="center"/>
          </w:tcPr>
          <w:p w:rsidR="00D360C1" w:rsidRPr="008B5CC4" w:rsidRDefault="00D360C1" w:rsidP="003249A8">
            <w:pPr>
              <w:widowControl/>
              <w:tabs>
                <w:tab w:val="left" w:pos="0"/>
              </w:tabs>
              <w:spacing w:after="0"/>
              <w:rPr>
                <w:b/>
                <w:bCs/>
                <w:szCs w:val="20"/>
              </w:rPr>
            </w:pPr>
            <w:r w:rsidRPr="008B5CC4">
              <w:rPr>
                <w:b/>
                <w:bCs/>
                <w:szCs w:val="20"/>
              </w:rPr>
              <w:t>SCC Level 4</w:t>
            </w:r>
          </w:p>
        </w:tc>
      </w:tr>
      <w:tr w:rsidR="00D360C1" w:rsidRPr="008B5CC4" w:rsidTr="003249A8">
        <w:trPr>
          <w:trHeight w:val="567"/>
          <w:jc w:val="center"/>
        </w:trPr>
        <w:tc>
          <w:tcPr>
            <w:tcW w:w="1222" w:type="dxa"/>
            <w:vAlign w:val="center"/>
          </w:tcPr>
          <w:p w:rsidR="00D360C1" w:rsidRPr="008B5CC4" w:rsidRDefault="00822C7D" w:rsidP="003249A8">
            <w:pPr>
              <w:spacing w:after="0"/>
              <w:rPr>
                <w:szCs w:val="20"/>
              </w:rPr>
            </w:pPr>
            <w:r w:rsidRPr="008B5CC4">
              <w:rPr>
                <w:szCs w:val="20"/>
              </w:rPr>
              <w:t>2104008100</w:t>
            </w:r>
          </w:p>
        </w:tc>
        <w:tc>
          <w:tcPr>
            <w:tcW w:w="2160" w:type="dxa"/>
            <w:vAlign w:val="center"/>
          </w:tcPr>
          <w:p w:rsidR="00D360C1" w:rsidRPr="008B5CC4" w:rsidRDefault="00822C7D" w:rsidP="003249A8">
            <w:pPr>
              <w:spacing w:after="0"/>
              <w:rPr>
                <w:szCs w:val="20"/>
              </w:rPr>
            </w:pPr>
            <w:r w:rsidRPr="008B5CC4">
              <w:rPr>
                <w:szCs w:val="20"/>
              </w:rPr>
              <w:t>Stationary Source Fuel Combustion</w:t>
            </w:r>
          </w:p>
        </w:tc>
        <w:tc>
          <w:tcPr>
            <w:tcW w:w="1296" w:type="dxa"/>
            <w:vAlign w:val="center"/>
          </w:tcPr>
          <w:p w:rsidR="00D360C1" w:rsidRPr="008B5CC4" w:rsidRDefault="00822C7D" w:rsidP="003249A8">
            <w:pPr>
              <w:spacing w:after="0"/>
              <w:rPr>
                <w:szCs w:val="20"/>
              </w:rPr>
            </w:pPr>
            <w:r w:rsidRPr="008B5CC4">
              <w:rPr>
                <w:szCs w:val="20"/>
              </w:rPr>
              <w:t>Residential</w:t>
            </w:r>
          </w:p>
        </w:tc>
        <w:tc>
          <w:tcPr>
            <w:tcW w:w="1296" w:type="dxa"/>
            <w:vAlign w:val="center"/>
          </w:tcPr>
          <w:p w:rsidR="00D360C1" w:rsidRPr="008B5CC4" w:rsidRDefault="00822C7D" w:rsidP="003249A8">
            <w:pPr>
              <w:spacing w:after="0"/>
              <w:rPr>
                <w:color w:val="000000"/>
                <w:szCs w:val="20"/>
              </w:rPr>
            </w:pPr>
            <w:r w:rsidRPr="008B5CC4">
              <w:rPr>
                <w:color w:val="000000"/>
                <w:szCs w:val="20"/>
              </w:rPr>
              <w:t>Wood</w:t>
            </w:r>
          </w:p>
        </w:tc>
        <w:tc>
          <w:tcPr>
            <w:tcW w:w="2736" w:type="dxa"/>
            <w:vAlign w:val="center"/>
          </w:tcPr>
          <w:p w:rsidR="00D360C1" w:rsidRPr="008B5CC4" w:rsidRDefault="00822C7D" w:rsidP="003249A8">
            <w:pPr>
              <w:spacing w:after="0"/>
              <w:rPr>
                <w:color w:val="000000"/>
                <w:szCs w:val="20"/>
              </w:rPr>
            </w:pPr>
            <w:r w:rsidRPr="008B5CC4">
              <w:rPr>
                <w:color w:val="000000"/>
                <w:szCs w:val="20"/>
              </w:rPr>
              <w:t>Fireplace: general</w:t>
            </w:r>
          </w:p>
        </w:tc>
      </w:tr>
      <w:tr w:rsidR="00822C7D" w:rsidRPr="008B5CC4" w:rsidTr="003249A8">
        <w:trPr>
          <w:trHeight w:val="567"/>
          <w:jc w:val="center"/>
        </w:trPr>
        <w:tc>
          <w:tcPr>
            <w:tcW w:w="1222" w:type="dxa"/>
            <w:vAlign w:val="center"/>
          </w:tcPr>
          <w:p w:rsidR="00822C7D" w:rsidRPr="008B5CC4" w:rsidRDefault="00822C7D" w:rsidP="003249A8">
            <w:pPr>
              <w:spacing w:after="0"/>
              <w:rPr>
                <w:szCs w:val="20"/>
              </w:rPr>
            </w:pPr>
            <w:r w:rsidRPr="008B5CC4">
              <w:rPr>
                <w:szCs w:val="20"/>
              </w:rPr>
              <w:t>2104008210</w:t>
            </w:r>
          </w:p>
        </w:tc>
        <w:tc>
          <w:tcPr>
            <w:tcW w:w="2160" w:type="dxa"/>
            <w:vAlign w:val="center"/>
          </w:tcPr>
          <w:p w:rsidR="00822C7D" w:rsidRPr="008B5CC4" w:rsidRDefault="00822C7D" w:rsidP="003249A8">
            <w:pPr>
              <w:spacing w:after="0"/>
              <w:rPr>
                <w:szCs w:val="20"/>
              </w:rPr>
            </w:pPr>
            <w:r w:rsidRPr="008B5CC4">
              <w:rPr>
                <w:szCs w:val="20"/>
              </w:rPr>
              <w:t>Stationary Source Fuel Combustion</w:t>
            </w:r>
          </w:p>
        </w:tc>
        <w:tc>
          <w:tcPr>
            <w:tcW w:w="1296" w:type="dxa"/>
            <w:vAlign w:val="center"/>
          </w:tcPr>
          <w:p w:rsidR="00822C7D" w:rsidRPr="008B5CC4" w:rsidRDefault="00822C7D" w:rsidP="003249A8">
            <w:pPr>
              <w:spacing w:after="0"/>
              <w:rPr>
                <w:szCs w:val="20"/>
              </w:rPr>
            </w:pPr>
            <w:r w:rsidRPr="008B5CC4">
              <w:rPr>
                <w:szCs w:val="20"/>
              </w:rPr>
              <w:t>Residential</w:t>
            </w:r>
          </w:p>
        </w:tc>
        <w:tc>
          <w:tcPr>
            <w:tcW w:w="1296" w:type="dxa"/>
            <w:vAlign w:val="center"/>
          </w:tcPr>
          <w:p w:rsidR="00822C7D" w:rsidRPr="008B5CC4" w:rsidRDefault="00822C7D" w:rsidP="003249A8">
            <w:pPr>
              <w:spacing w:after="0"/>
              <w:rPr>
                <w:color w:val="000000"/>
                <w:szCs w:val="20"/>
              </w:rPr>
            </w:pPr>
            <w:r w:rsidRPr="008B5CC4">
              <w:rPr>
                <w:color w:val="000000"/>
                <w:szCs w:val="20"/>
              </w:rPr>
              <w:t>Wood</w:t>
            </w:r>
          </w:p>
        </w:tc>
        <w:tc>
          <w:tcPr>
            <w:tcW w:w="2736" w:type="dxa"/>
            <w:vAlign w:val="center"/>
          </w:tcPr>
          <w:p w:rsidR="00822C7D" w:rsidRPr="008B5CC4" w:rsidRDefault="00822C7D" w:rsidP="003249A8">
            <w:pPr>
              <w:spacing w:after="0"/>
              <w:rPr>
                <w:color w:val="000000"/>
                <w:szCs w:val="20"/>
              </w:rPr>
            </w:pPr>
            <w:r w:rsidRPr="008B5CC4">
              <w:rPr>
                <w:color w:val="000000"/>
                <w:szCs w:val="20"/>
              </w:rPr>
              <w:t>Woodstove: fireplace inserts; non-EPA certified</w:t>
            </w:r>
          </w:p>
        </w:tc>
      </w:tr>
      <w:tr w:rsidR="00822C7D" w:rsidRPr="008B5CC4" w:rsidTr="003249A8">
        <w:trPr>
          <w:trHeight w:val="567"/>
          <w:jc w:val="center"/>
        </w:trPr>
        <w:tc>
          <w:tcPr>
            <w:tcW w:w="1222" w:type="dxa"/>
            <w:vAlign w:val="center"/>
          </w:tcPr>
          <w:p w:rsidR="00822C7D" w:rsidRPr="008B5CC4" w:rsidRDefault="00822C7D" w:rsidP="003249A8">
            <w:pPr>
              <w:spacing w:after="0"/>
              <w:rPr>
                <w:szCs w:val="20"/>
              </w:rPr>
            </w:pPr>
            <w:r w:rsidRPr="008B5CC4">
              <w:rPr>
                <w:szCs w:val="20"/>
              </w:rPr>
              <w:t>2104008220</w:t>
            </w:r>
          </w:p>
        </w:tc>
        <w:tc>
          <w:tcPr>
            <w:tcW w:w="2160" w:type="dxa"/>
            <w:vAlign w:val="center"/>
          </w:tcPr>
          <w:p w:rsidR="00822C7D" w:rsidRPr="008B5CC4" w:rsidRDefault="00822C7D" w:rsidP="003249A8">
            <w:pPr>
              <w:spacing w:after="0"/>
              <w:rPr>
                <w:szCs w:val="20"/>
              </w:rPr>
            </w:pPr>
            <w:r w:rsidRPr="008B5CC4">
              <w:rPr>
                <w:szCs w:val="20"/>
              </w:rPr>
              <w:t>Stationary Source Fuel Combustion</w:t>
            </w:r>
          </w:p>
        </w:tc>
        <w:tc>
          <w:tcPr>
            <w:tcW w:w="1296" w:type="dxa"/>
            <w:vAlign w:val="center"/>
          </w:tcPr>
          <w:p w:rsidR="00822C7D" w:rsidRPr="008B5CC4" w:rsidRDefault="00822C7D" w:rsidP="003249A8">
            <w:pPr>
              <w:spacing w:after="0"/>
              <w:rPr>
                <w:szCs w:val="20"/>
              </w:rPr>
            </w:pPr>
            <w:r w:rsidRPr="008B5CC4">
              <w:rPr>
                <w:szCs w:val="20"/>
              </w:rPr>
              <w:t>Residential</w:t>
            </w:r>
          </w:p>
        </w:tc>
        <w:tc>
          <w:tcPr>
            <w:tcW w:w="1296" w:type="dxa"/>
            <w:vAlign w:val="center"/>
          </w:tcPr>
          <w:p w:rsidR="00822C7D" w:rsidRPr="008B5CC4" w:rsidRDefault="00822C7D" w:rsidP="003249A8">
            <w:pPr>
              <w:spacing w:after="0"/>
              <w:rPr>
                <w:color w:val="000000"/>
                <w:szCs w:val="20"/>
              </w:rPr>
            </w:pPr>
            <w:r w:rsidRPr="008B5CC4">
              <w:rPr>
                <w:color w:val="000000"/>
                <w:szCs w:val="20"/>
              </w:rPr>
              <w:t>Wood</w:t>
            </w:r>
          </w:p>
        </w:tc>
        <w:tc>
          <w:tcPr>
            <w:tcW w:w="2736" w:type="dxa"/>
            <w:vAlign w:val="center"/>
          </w:tcPr>
          <w:p w:rsidR="00822C7D" w:rsidRPr="008B5CC4" w:rsidRDefault="00822C7D" w:rsidP="003249A8">
            <w:pPr>
              <w:spacing w:after="0"/>
              <w:rPr>
                <w:color w:val="000000"/>
                <w:szCs w:val="20"/>
              </w:rPr>
            </w:pPr>
            <w:r w:rsidRPr="008B5CC4">
              <w:rPr>
                <w:color w:val="000000"/>
                <w:szCs w:val="20"/>
              </w:rPr>
              <w:t>Woodstove: fireplace inserts; EPA certified; non-catalytic</w:t>
            </w:r>
          </w:p>
        </w:tc>
      </w:tr>
      <w:tr w:rsidR="00822C7D" w:rsidRPr="008B5CC4" w:rsidTr="003249A8">
        <w:trPr>
          <w:trHeight w:val="567"/>
          <w:jc w:val="center"/>
        </w:trPr>
        <w:tc>
          <w:tcPr>
            <w:tcW w:w="1222" w:type="dxa"/>
            <w:vAlign w:val="center"/>
          </w:tcPr>
          <w:p w:rsidR="00822C7D" w:rsidRPr="008B5CC4" w:rsidRDefault="00822C7D" w:rsidP="003249A8">
            <w:pPr>
              <w:spacing w:after="0"/>
              <w:rPr>
                <w:szCs w:val="20"/>
              </w:rPr>
            </w:pPr>
            <w:r w:rsidRPr="008B5CC4">
              <w:rPr>
                <w:szCs w:val="20"/>
              </w:rPr>
              <w:t>2104008230</w:t>
            </w:r>
          </w:p>
        </w:tc>
        <w:tc>
          <w:tcPr>
            <w:tcW w:w="2160" w:type="dxa"/>
            <w:vAlign w:val="center"/>
          </w:tcPr>
          <w:p w:rsidR="00822C7D" w:rsidRPr="008B5CC4" w:rsidRDefault="00822C7D" w:rsidP="003249A8">
            <w:pPr>
              <w:spacing w:after="0"/>
              <w:rPr>
                <w:szCs w:val="20"/>
              </w:rPr>
            </w:pPr>
            <w:r w:rsidRPr="008B5CC4">
              <w:rPr>
                <w:szCs w:val="20"/>
              </w:rPr>
              <w:t>Stationary Source Fuel Combustion</w:t>
            </w:r>
          </w:p>
        </w:tc>
        <w:tc>
          <w:tcPr>
            <w:tcW w:w="1296" w:type="dxa"/>
            <w:vAlign w:val="center"/>
          </w:tcPr>
          <w:p w:rsidR="00822C7D" w:rsidRPr="008B5CC4" w:rsidRDefault="00822C7D" w:rsidP="003249A8">
            <w:pPr>
              <w:spacing w:after="0"/>
              <w:rPr>
                <w:szCs w:val="20"/>
              </w:rPr>
            </w:pPr>
            <w:r w:rsidRPr="008B5CC4">
              <w:rPr>
                <w:szCs w:val="20"/>
              </w:rPr>
              <w:t>Residential</w:t>
            </w:r>
          </w:p>
        </w:tc>
        <w:tc>
          <w:tcPr>
            <w:tcW w:w="1296" w:type="dxa"/>
            <w:vAlign w:val="center"/>
          </w:tcPr>
          <w:p w:rsidR="00822C7D" w:rsidRPr="008B5CC4" w:rsidRDefault="00822C7D" w:rsidP="003249A8">
            <w:pPr>
              <w:spacing w:after="0"/>
              <w:rPr>
                <w:color w:val="000000"/>
                <w:szCs w:val="20"/>
              </w:rPr>
            </w:pPr>
            <w:r w:rsidRPr="008B5CC4">
              <w:rPr>
                <w:color w:val="000000"/>
                <w:szCs w:val="20"/>
              </w:rPr>
              <w:t>Wood</w:t>
            </w:r>
          </w:p>
        </w:tc>
        <w:tc>
          <w:tcPr>
            <w:tcW w:w="2736" w:type="dxa"/>
            <w:vAlign w:val="center"/>
          </w:tcPr>
          <w:p w:rsidR="00822C7D" w:rsidRPr="008B5CC4" w:rsidRDefault="00822C7D" w:rsidP="003249A8">
            <w:pPr>
              <w:spacing w:after="0"/>
              <w:rPr>
                <w:color w:val="000000"/>
                <w:szCs w:val="20"/>
              </w:rPr>
            </w:pPr>
            <w:r w:rsidRPr="008B5CC4">
              <w:rPr>
                <w:color w:val="000000"/>
                <w:szCs w:val="20"/>
              </w:rPr>
              <w:t>Woodstove: fireplace inserts; EPA certified; catalytic</w:t>
            </w:r>
          </w:p>
        </w:tc>
      </w:tr>
      <w:tr w:rsidR="00822C7D" w:rsidRPr="008B5CC4" w:rsidTr="003249A8">
        <w:trPr>
          <w:trHeight w:val="567"/>
          <w:jc w:val="center"/>
        </w:trPr>
        <w:tc>
          <w:tcPr>
            <w:tcW w:w="1222" w:type="dxa"/>
            <w:vAlign w:val="center"/>
          </w:tcPr>
          <w:p w:rsidR="00822C7D" w:rsidRPr="008B5CC4" w:rsidRDefault="00822C7D" w:rsidP="003249A8">
            <w:pPr>
              <w:spacing w:after="0"/>
              <w:rPr>
                <w:szCs w:val="20"/>
              </w:rPr>
            </w:pPr>
            <w:r w:rsidRPr="008B5CC4">
              <w:rPr>
                <w:szCs w:val="20"/>
              </w:rPr>
              <w:t>2104008310</w:t>
            </w:r>
          </w:p>
        </w:tc>
        <w:tc>
          <w:tcPr>
            <w:tcW w:w="2160" w:type="dxa"/>
            <w:vAlign w:val="center"/>
          </w:tcPr>
          <w:p w:rsidR="00822C7D" w:rsidRPr="008B5CC4" w:rsidRDefault="00822C7D" w:rsidP="003249A8">
            <w:pPr>
              <w:spacing w:after="0"/>
              <w:rPr>
                <w:szCs w:val="20"/>
              </w:rPr>
            </w:pPr>
            <w:r w:rsidRPr="008B5CC4">
              <w:rPr>
                <w:szCs w:val="20"/>
              </w:rPr>
              <w:t>Stationary Source Fuel Combustion</w:t>
            </w:r>
          </w:p>
        </w:tc>
        <w:tc>
          <w:tcPr>
            <w:tcW w:w="1296" w:type="dxa"/>
            <w:vAlign w:val="center"/>
          </w:tcPr>
          <w:p w:rsidR="00822C7D" w:rsidRPr="008B5CC4" w:rsidRDefault="00822C7D" w:rsidP="003249A8">
            <w:pPr>
              <w:spacing w:after="0"/>
              <w:rPr>
                <w:szCs w:val="20"/>
              </w:rPr>
            </w:pPr>
            <w:r w:rsidRPr="008B5CC4">
              <w:rPr>
                <w:szCs w:val="20"/>
              </w:rPr>
              <w:t>Residential</w:t>
            </w:r>
          </w:p>
        </w:tc>
        <w:tc>
          <w:tcPr>
            <w:tcW w:w="1296" w:type="dxa"/>
            <w:vAlign w:val="center"/>
          </w:tcPr>
          <w:p w:rsidR="00822C7D" w:rsidRPr="008B5CC4" w:rsidRDefault="00822C7D" w:rsidP="003249A8">
            <w:pPr>
              <w:spacing w:after="0"/>
              <w:rPr>
                <w:color w:val="000000"/>
                <w:szCs w:val="20"/>
              </w:rPr>
            </w:pPr>
            <w:r w:rsidRPr="008B5CC4">
              <w:rPr>
                <w:color w:val="000000"/>
                <w:szCs w:val="20"/>
              </w:rPr>
              <w:t>Wood</w:t>
            </w:r>
          </w:p>
        </w:tc>
        <w:tc>
          <w:tcPr>
            <w:tcW w:w="2736" w:type="dxa"/>
            <w:vAlign w:val="center"/>
          </w:tcPr>
          <w:p w:rsidR="00822C7D" w:rsidRPr="008B5CC4" w:rsidRDefault="00822C7D" w:rsidP="003249A8">
            <w:pPr>
              <w:spacing w:after="0"/>
              <w:rPr>
                <w:color w:val="000000"/>
                <w:szCs w:val="20"/>
              </w:rPr>
            </w:pPr>
            <w:r w:rsidRPr="008B5CC4">
              <w:rPr>
                <w:color w:val="000000"/>
                <w:szCs w:val="20"/>
              </w:rPr>
              <w:t>Woodstove: freestanding, non-EPA certified</w:t>
            </w:r>
          </w:p>
        </w:tc>
      </w:tr>
      <w:tr w:rsidR="00822C7D" w:rsidRPr="008B5CC4" w:rsidTr="003249A8">
        <w:trPr>
          <w:trHeight w:val="567"/>
          <w:jc w:val="center"/>
        </w:trPr>
        <w:tc>
          <w:tcPr>
            <w:tcW w:w="1222" w:type="dxa"/>
            <w:vAlign w:val="center"/>
          </w:tcPr>
          <w:p w:rsidR="00822C7D" w:rsidRPr="008B5CC4" w:rsidRDefault="00822C7D" w:rsidP="003249A8">
            <w:pPr>
              <w:spacing w:after="0"/>
              <w:rPr>
                <w:szCs w:val="20"/>
              </w:rPr>
            </w:pPr>
            <w:r w:rsidRPr="008B5CC4">
              <w:rPr>
                <w:szCs w:val="20"/>
              </w:rPr>
              <w:t>2104008320</w:t>
            </w:r>
          </w:p>
        </w:tc>
        <w:tc>
          <w:tcPr>
            <w:tcW w:w="2160" w:type="dxa"/>
            <w:vAlign w:val="center"/>
          </w:tcPr>
          <w:p w:rsidR="00822C7D" w:rsidRPr="008B5CC4" w:rsidRDefault="00822C7D" w:rsidP="003249A8">
            <w:pPr>
              <w:spacing w:after="0"/>
              <w:rPr>
                <w:szCs w:val="20"/>
              </w:rPr>
            </w:pPr>
            <w:r w:rsidRPr="008B5CC4">
              <w:rPr>
                <w:szCs w:val="20"/>
              </w:rPr>
              <w:t>Stationary Source Fuel Combustion</w:t>
            </w:r>
          </w:p>
        </w:tc>
        <w:tc>
          <w:tcPr>
            <w:tcW w:w="1296" w:type="dxa"/>
            <w:vAlign w:val="center"/>
          </w:tcPr>
          <w:p w:rsidR="00822C7D" w:rsidRPr="008B5CC4" w:rsidRDefault="00822C7D" w:rsidP="003249A8">
            <w:pPr>
              <w:spacing w:after="0"/>
              <w:rPr>
                <w:szCs w:val="20"/>
              </w:rPr>
            </w:pPr>
            <w:r w:rsidRPr="008B5CC4">
              <w:rPr>
                <w:szCs w:val="20"/>
              </w:rPr>
              <w:t>Residential</w:t>
            </w:r>
          </w:p>
        </w:tc>
        <w:tc>
          <w:tcPr>
            <w:tcW w:w="1296" w:type="dxa"/>
            <w:vAlign w:val="center"/>
          </w:tcPr>
          <w:p w:rsidR="00822C7D" w:rsidRPr="008B5CC4" w:rsidRDefault="00822C7D" w:rsidP="003249A8">
            <w:pPr>
              <w:spacing w:after="0"/>
              <w:rPr>
                <w:color w:val="000000"/>
                <w:szCs w:val="20"/>
              </w:rPr>
            </w:pPr>
            <w:r w:rsidRPr="008B5CC4">
              <w:rPr>
                <w:color w:val="000000"/>
                <w:szCs w:val="20"/>
              </w:rPr>
              <w:t>Wood</w:t>
            </w:r>
          </w:p>
        </w:tc>
        <w:tc>
          <w:tcPr>
            <w:tcW w:w="2736" w:type="dxa"/>
            <w:vAlign w:val="center"/>
          </w:tcPr>
          <w:p w:rsidR="00822C7D" w:rsidRPr="008B5CC4" w:rsidRDefault="00822C7D" w:rsidP="003249A8">
            <w:pPr>
              <w:spacing w:after="0"/>
              <w:rPr>
                <w:color w:val="000000"/>
                <w:szCs w:val="20"/>
              </w:rPr>
            </w:pPr>
            <w:r w:rsidRPr="008B5CC4">
              <w:rPr>
                <w:color w:val="000000"/>
                <w:szCs w:val="20"/>
              </w:rPr>
              <w:t>Woodstove: freestanding, EPA certified, non-catalytic</w:t>
            </w:r>
          </w:p>
        </w:tc>
      </w:tr>
      <w:tr w:rsidR="00822C7D" w:rsidRPr="008B5CC4" w:rsidTr="003249A8">
        <w:trPr>
          <w:trHeight w:val="567"/>
          <w:jc w:val="center"/>
        </w:trPr>
        <w:tc>
          <w:tcPr>
            <w:tcW w:w="1222" w:type="dxa"/>
            <w:vAlign w:val="center"/>
          </w:tcPr>
          <w:p w:rsidR="00822C7D" w:rsidRPr="008B5CC4" w:rsidRDefault="00822C7D" w:rsidP="003249A8">
            <w:pPr>
              <w:spacing w:after="0"/>
              <w:rPr>
                <w:szCs w:val="20"/>
              </w:rPr>
            </w:pPr>
            <w:r w:rsidRPr="008B5CC4">
              <w:rPr>
                <w:szCs w:val="20"/>
              </w:rPr>
              <w:t>2104008330</w:t>
            </w:r>
          </w:p>
        </w:tc>
        <w:tc>
          <w:tcPr>
            <w:tcW w:w="2160" w:type="dxa"/>
            <w:vAlign w:val="center"/>
          </w:tcPr>
          <w:p w:rsidR="00822C7D" w:rsidRPr="008B5CC4" w:rsidRDefault="00822C7D" w:rsidP="003249A8">
            <w:pPr>
              <w:spacing w:after="0"/>
              <w:rPr>
                <w:szCs w:val="20"/>
              </w:rPr>
            </w:pPr>
            <w:r w:rsidRPr="008B5CC4">
              <w:rPr>
                <w:szCs w:val="20"/>
              </w:rPr>
              <w:t>Stationary Source Fuel Combustion</w:t>
            </w:r>
          </w:p>
        </w:tc>
        <w:tc>
          <w:tcPr>
            <w:tcW w:w="1296" w:type="dxa"/>
            <w:vAlign w:val="center"/>
          </w:tcPr>
          <w:p w:rsidR="00822C7D" w:rsidRPr="008B5CC4" w:rsidRDefault="00822C7D" w:rsidP="003249A8">
            <w:pPr>
              <w:spacing w:after="0"/>
              <w:rPr>
                <w:szCs w:val="20"/>
              </w:rPr>
            </w:pPr>
            <w:r w:rsidRPr="008B5CC4">
              <w:rPr>
                <w:szCs w:val="20"/>
              </w:rPr>
              <w:t>Residential</w:t>
            </w:r>
          </w:p>
        </w:tc>
        <w:tc>
          <w:tcPr>
            <w:tcW w:w="1296" w:type="dxa"/>
            <w:vAlign w:val="center"/>
          </w:tcPr>
          <w:p w:rsidR="00822C7D" w:rsidRPr="008B5CC4" w:rsidRDefault="00822C7D" w:rsidP="003249A8">
            <w:pPr>
              <w:spacing w:after="0"/>
              <w:rPr>
                <w:color w:val="000000"/>
                <w:szCs w:val="20"/>
              </w:rPr>
            </w:pPr>
            <w:r w:rsidRPr="008B5CC4">
              <w:rPr>
                <w:color w:val="000000"/>
                <w:szCs w:val="20"/>
              </w:rPr>
              <w:t>Wood</w:t>
            </w:r>
          </w:p>
        </w:tc>
        <w:tc>
          <w:tcPr>
            <w:tcW w:w="2736" w:type="dxa"/>
            <w:vAlign w:val="center"/>
          </w:tcPr>
          <w:p w:rsidR="00822C7D" w:rsidRPr="008B5CC4" w:rsidRDefault="00822C7D" w:rsidP="003249A8">
            <w:pPr>
              <w:spacing w:after="0"/>
              <w:rPr>
                <w:color w:val="000000"/>
                <w:szCs w:val="20"/>
              </w:rPr>
            </w:pPr>
            <w:r w:rsidRPr="008B5CC4">
              <w:rPr>
                <w:color w:val="000000"/>
                <w:szCs w:val="20"/>
              </w:rPr>
              <w:t>Woodstove: freestanding, EPA certified, catalytic</w:t>
            </w:r>
          </w:p>
        </w:tc>
      </w:tr>
      <w:tr w:rsidR="00822C7D" w:rsidRPr="008B5CC4" w:rsidTr="003249A8">
        <w:trPr>
          <w:trHeight w:val="567"/>
          <w:jc w:val="center"/>
        </w:trPr>
        <w:tc>
          <w:tcPr>
            <w:tcW w:w="1222" w:type="dxa"/>
            <w:vAlign w:val="center"/>
          </w:tcPr>
          <w:p w:rsidR="00822C7D" w:rsidRPr="008B5CC4" w:rsidRDefault="003249A8" w:rsidP="003249A8">
            <w:pPr>
              <w:spacing w:after="0"/>
              <w:rPr>
                <w:szCs w:val="20"/>
              </w:rPr>
            </w:pPr>
            <w:r w:rsidRPr="008B5CC4">
              <w:rPr>
                <w:szCs w:val="20"/>
              </w:rPr>
              <w:t>2104008400</w:t>
            </w:r>
          </w:p>
        </w:tc>
        <w:tc>
          <w:tcPr>
            <w:tcW w:w="2160" w:type="dxa"/>
            <w:vAlign w:val="center"/>
          </w:tcPr>
          <w:p w:rsidR="00822C7D" w:rsidRPr="008B5CC4" w:rsidRDefault="00822C7D" w:rsidP="003249A8">
            <w:pPr>
              <w:spacing w:after="0"/>
              <w:rPr>
                <w:szCs w:val="20"/>
              </w:rPr>
            </w:pPr>
            <w:r w:rsidRPr="008B5CC4">
              <w:rPr>
                <w:szCs w:val="20"/>
              </w:rPr>
              <w:t>Stationary Source Fuel Combustion</w:t>
            </w:r>
          </w:p>
        </w:tc>
        <w:tc>
          <w:tcPr>
            <w:tcW w:w="1296" w:type="dxa"/>
            <w:vAlign w:val="center"/>
          </w:tcPr>
          <w:p w:rsidR="00822C7D" w:rsidRPr="008B5CC4" w:rsidRDefault="00822C7D" w:rsidP="003249A8">
            <w:pPr>
              <w:spacing w:after="0"/>
              <w:rPr>
                <w:szCs w:val="20"/>
              </w:rPr>
            </w:pPr>
            <w:r w:rsidRPr="008B5CC4">
              <w:rPr>
                <w:szCs w:val="20"/>
              </w:rPr>
              <w:t>Residential</w:t>
            </w:r>
          </w:p>
        </w:tc>
        <w:tc>
          <w:tcPr>
            <w:tcW w:w="1296" w:type="dxa"/>
            <w:vAlign w:val="center"/>
          </w:tcPr>
          <w:p w:rsidR="00822C7D" w:rsidRPr="008B5CC4" w:rsidRDefault="00822C7D" w:rsidP="003249A8">
            <w:pPr>
              <w:spacing w:after="0"/>
              <w:rPr>
                <w:color w:val="000000"/>
                <w:szCs w:val="20"/>
              </w:rPr>
            </w:pPr>
            <w:r w:rsidRPr="008B5CC4">
              <w:rPr>
                <w:color w:val="000000"/>
                <w:szCs w:val="20"/>
              </w:rPr>
              <w:t>Wood</w:t>
            </w:r>
          </w:p>
        </w:tc>
        <w:tc>
          <w:tcPr>
            <w:tcW w:w="2736" w:type="dxa"/>
            <w:vAlign w:val="center"/>
          </w:tcPr>
          <w:p w:rsidR="00822C7D" w:rsidRPr="008B5CC4" w:rsidRDefault="003249A8" w:rsidP="003249A8">
            <w:pPr>
              <w:spacing w:after="0"/>
              <w:rPr>
                <w:color w:val="000000"/>
                <w:szCs w:val="20"/>
              </w:rPr>
            </w:pPr>
            <w:r w:rsidRPr="008B5CC4">
              <w:rPr>
                <w:color w:val="000000"/>
                <w:szCs w:val="20"/>
              </w:rPr>
              <w:t>Woodstove: pellet-fired, general</w:t>
            </w:r>
          </w:p>
        </w:tc>
      </w:tr>
      <w:tr w:rsidR="00822C7D" w:rsidRPr="008B5CC4" w:rsidTr="003249A8">
        <w:trPr>
          <w:trHeight w:val="567"/>
          <w:jc w:val="center"/>
        </w:trPr>
        <w:tc>
          <w:tcPr>
            <w:tcW w:w="1222" w:type="dxa"/>
            <w:vAlign w:val="center"/>
          </w:tcPr>
          <w:p w:rsidR="00822C7D" w:rsidRPr="008B5CC4" w:rsidRDefault="003249A8" w:rsidP="003249A8">
            <w:pPr>
              <w:spacing w:after="0"/>
              <w:rPr>
                <w:szCs w:val="20"/>
              </w:rPr>
            </w:pPr>
            <w:r w:rsidRPr="008B5CC4">
              <w:rPr>
                <w:szCs w:val="20"/>
              </w:rPr>
              <w:t>2104008510</w:t>
            </w:r>
          </w:p>
        </w:tc>
        <w:tc>
          <w:tcPr>
            <w:tcW w:w="2160" w:type="dxa"/>
            <w:vAlign w:val="center"/>
          </w:tcPr>
          <w:p w:rsidR="00822C7D" w:rsidRPr="008B5CC4" w:rsidRDefault="00822C7D" w:rsidP="003249A8">
            <w:pPr>
              <w:spacing w:after="0"/>
              <w:rPr>
                <w:szCs w:val="20"/>
              </w:rPr>
            </w:pPr>
            <w:r w:rsidRPr="008B5CC4">
              <w:rPr>
                <w:szCs w:val="20"/>
              </w:rPr>
              <w:t>Stationary Source Fuel Combustion</w:t>
            </w:r>
          </w:p>
        </w:tc>
        <w:tc>
          <w:tcPr>
            <w:tcW w:w="1296" w:type="dxa"/>
            <w:vAlign w:val="center"/>
          </w:tcPr>
          <w:p w:rsidR="00822C7D" w:rsidRPr="008B5CC4" w:rsidRDefault="00822C7D" w:rsidP="003249A8">
            <w:pPr>
              <w:spacing w:after="0"/>
              <w:rPr>
                <w:szCs w:val="20"/>
              </w:rPr>
            </w:pPr>
            <w:r w:rsidRPr="008B5CC4">
              <w:rPr>
                <w:szCs w:val="20"/>
              </w:rPr>
              <w:t>Residential</w:t>
            </w:r>
          </w:p>
        </w:tc>
        <w:tc>
          <w:tcPr>
            <w:tcW w:w="1296" w:type="dxa"/>
            <w:vAlign w:val="center"/>
          </w:tcPr>
          <w:p w:rsidR="00822C7D" w:rsidRPr="008B5CC4" w:rsidRDefault="00822C7D" w:rsidP="003249A8">
            <w:pPr>
              <w:spacing w:after="0"/>
              <w:rPr>
                <w:color w:val="000000"/>
                <w:szCs w:val="20"/>
              </w:rPr>
            </w:pPr>
            <w:r w:rsidRPr="008B5CC4">
              <w:rPr>
                <w:color w:val="000000"/>
                <w:szCs w:val="20"/>
              </w:rPr>
              <w:t>Wood</w:t>
            </w:r>
          </w:p>
        </w:tc>
        <w:tc>
          <w:tcPr>
            <w:tcW w:w="2736" w:type="dxa"/>
            <w:vAlign w:val="center"/>
          </w:tcPr>
          <w:p w:rsidR="00822C7D" w:rsidRPr="008B5CC4" w:rsidRDefault="003249A8" w:rsidP="003249A8">
            <w:pPr>
              <w:spacing w:after="0"/>
              <w:rPr>
                <w:color w:val="000000"/>
                <w:szCs w:val="20"/>
              </w:rPr>
            </w:pPr>
            <w:r w:rsidRPr="008B5CC4">
              <w:rPr>
                <w:color w:val="000000"/>
                <w:szCs w:val="20"/>
              </w:rPr>
              <w:t>Furnace: Indoor, cordwood-fired, non-EPA certified</w:t>
            </w:r>
          </w:p>
        </w:tc>
      </w:tr>
      <w:tr w:rsidR="003249A8" w:rsidRPr="008B5CC4" w:rsidTr="003249A8">
        <w:trPr>
          <w:trHeight w:val="567"/>
          <w:jc w:val="center"/>
        </w:trPr>
        <w:tc>
          <w:tcPr>
            <w:tcW w:w="1222" w:type="dxa"/>
            <w:vAlign w:val="center"/>
          </w:tcPr>
          <w:p w:rsidR="003249A8" w:rsidRPr="008B5CC4" w:rsidRDefault="003249A8" w:rsidP="003249A8">
            <w:pPr>
              <w:spacing w:after="0"/>
              <w:rPr>
                <w:szCs w:val="20"/>
              </w:rPr>
            </w:pPr>
            <w:r w:rsidRPr="008B5CC4">
              <w:rPr>
                <w:szCs w:val="20"/>
              </w:rPr>
              <w:t>2104008530</w:t>
            </w:r>
          </w:p>
        </w:tc>
        <w:tc>
          <w:tcPr>
            <w:tcW w:w="2160" w:type="dxa"/>
            <w:vAlign w:val="center"/>
          </w:tcPr>
          <w:p w:rsidR="003249A8" w:rsidRPr="008B5CC4" w:rsidRDefault="003249A8" w:rsidP="003249A8">
            <w:pPr>
              <w:spacing w:after="0"/>
              <w:rPr>
                <w:szCs w:val="20"/>
              </w:rPr>
            </w:pPr>
            <w:r w:rsidRPr="008B5CC4">
              <w:rPr>
                <w:szCs w:val="20"/>
              </w:rPr>
              <w:t>Stationary Source Fuel Combustion</w:t>
            </w:r>
          </w:p>
        </w:tc>
        <w:tc>
          <w:tcPr>
            <w:tcW w:w="1296" w:type="dxa"/>
            <w:vAlign w:val="center"/>
          </w:tcPr>
          <w:p w:rsidR="003249A8" w:rsidRPr="008B5CC4" w:rsidRDefault="003249A8" w:rsidP="003249A8">
            <w:pPr>
              <w:spacing w:after="0"/>
              <w:rPr>
                <w:szCs w:val="20"/>
              </w:rPr>
            </w:pPr>
            <w:r w:rsidRPr="008B5CC4">
              <w:rPr>
                <w:szCs w:val="20"/>
              </w:rPr>
              <w:t>Residential</w:t>
            </w:r>
          </w:p>
        </w:tc>
        <w:tc>
          <w:tcPr>
            <w:tcW w:w="1296" w:type="dxa"/>
            <w:vAlign w:val="center"/>
          </w:tcPr>
          <w:p w:rsidR="003249A8" w:rsidRPr="008B5CC4" w:rsidRDefault="003249A8" w:rsidP="003249A8">
            <w:pPr>
              <w:spacing w:after="0"/>
              <w:rPr>
                <w:color w:val="000000"/>
                <w:szCs w:val="20"/>
              </w:rPr>
            </w:pPr>
            <w:r w:rsidRPr="008B5CC4">
              <w:rPr>
                <w:color w:val="000000"/>
                <w:szCs w:val="20"/>
              </w:rPr>
              <w:t>Wood</w:t>
            </w:r>
          </w:p>
        </w:tc>
        <w:tc>
          <w:tcPr>
            <w:tcW w:w="2736" w:type="dxa"/>
            <w:vAlign w:val="center"/>
          </w:tcPr>
          <w:p w:rsidR="003249A8" w:rsidRPr="008B5CC4" w:rsidRDefault="003249A8" w:rsidP="003249A8">
            <w:pPr>
              <w:spacing w:after="0"/>
              <w:rPr>
                <w:color w:val="000000"/>
                <w:szCs w:val="20"/>
              </w:rPr>
            </w:pPr>
            <w:r w:rsidRPr="008B5CC4">
              <w:rPr>
                <w:color w:val="000000"/>
                <w:szCs w:val="20"/>
              </w:rPr>
              <w:t>Furnace: Indoor, pellet-fired, general</w:t>
            </w:r>
          </w:p>
        </w:tc>
      </w:tr>
      <w:tr w:rsidR="003249A8" w:rsidRPr="008B5CC4" w:rsidTr="003249A8">
        <w:trPr>
          <w:trHeight w:val="567"/>
          <w:jc w:val="center"/>
        </w:trPr>
        <w:tc>
          <w:tcPr>
            <w:tcW w:w="1222" w:type="dxa"/>
            <w:vAlign w:val="center"/>
          </w:tcPr>
          <w:p w:rsidR="003249A8" w:rsidRPr="008B5CC4" w:rsidRDefault="003249A8" w:rsidP="003249A8">
            <w:pPr>
              <w:spacing w:after="0"/>
              <w:rPr>
                <w:szCs w:val="20"/>
              </w:rPr>
            </w:pPr>
            <w:r w:rsidRPr="008B5CC4">
              <w:rPr>
                <w:szCs w:val="20"/>
              </w:rPr>
              <w:t>2104008610</w:t>
            </w:r>
          </w:p>
        </w:tc>
        <w:tc>
          <w:tcPr>
            <w:tcW w:w="2160" w:type="dxa"/>
            <w:vAlign w:val="center"/>
          </w:tcPr>
          <w:p w:rsidR="003249A8" w:rsidRPr="008B5CC4" w:rsidRDefault="003249A8" w:rsidP="003249A8">
            <w:pPr>
              <w:spacing w:after="0"/>
              <w:rPr>
                <w:szCs w:val="20"/>
              </w:rPr>
            </w:pPr>
            <w:r w:rsidRPr="008B5CC4">
              <w:rPr>
                <w:szCs w:val="20"/>
              </w:rPr>
              <w:t>Stationary Source Fuel Combustion</w:t>
            </w:r>
          </w:p>
        </w:tc>
        <w:tc>
          <w:tcPr>
            <w:tcW w:w="1296" w:type="dxa"/>
            <w:vAlign w:val="center"/>
          </w:tcPr>
          <w:p w:rsidR="003249A8" w:rsidRPr="008B5CC4" w:rsidRDefault="003249A8" w:rsidP="003249A8">
            <w:pPr>
              <w:spacing w:after="0"/>
              <w:rPr>
                <w:szCs w:val="20"/>
              </w:rPr>
            </w:pPr>
            <w:r w:rsidRPr="008B5CC4">
              <w:rPr>
                <w:szCs w:val="20"/>
              </w:rPr>
              <w:t>Residential</w:t>
            </w:r>
          </w:p>
        </w:tc>
        <w:tc>
          <w:tcPr>
            <w:tcW w:w="1296" w:type="dxa"/>
            <w:vAlign w:val="center"/>
          </w:tcPr>
          <w:p w:rsidR="003249A8" w:rsidRPr="008B5CC4" w:rsidRDefault="003249A8" w:rsidP="003249A8">
            <w:pPr>
              <w:spacing w:after="0"/>
              <w:rPr>
                <w:color w:val="000000"/>
                <w:szCs w:val="20"/>
              </w:rPr>
            </w:pPr>
            <w:r w:rsidRPr="008B5CC4">
              <w:rPr>
                <w:color w:val="000000"/>
                <w:szCs w:val="20"/>
              </w:rPr>
              <w:t>Wood</w:t>
            </w:r>
          </w:p>
        </w:tc>
        <w:tc>
          <w:tcPr>
            <w:tcW w:w="2736" w:type="dxa"/>
            <w:vAlign w:val="center"/>
          </w:tcPr>
          <w:p w:rsidR="003249A8" w:rsidRPr="008B5CC4" w:rsidRDefault="003249A8" w:rsidP="003249A8">
            <w:pPr>
              <w:spacing w:after="0"/>
              <w:rPr>
                <w:color w:val="000000"/>
                <w:szCs w:val="20"/>
              </w:rPr>
            </w:pPr>
            <w:r w:rsidRPr="008B5CC4">
              <w:rPr>
                <w:color w:val="000000"/>
                <w:szCs w:val="20"/>
              </w:rPr>
              <w:t>Hydronic heater: outdoor</w:t>
            </w:r>
          </w:p>
        </w:tc>
      </w:tr>
      <w:tr w:rsidR="003249A8" w:rsidRPr="008B5CC4" w:rsidTr="003249A8">
        <w:trPr>
          <w:trHeight w:val="567"/>
          <w:jc w:val="center"/>
        </w:trPr>
        <w:tc>
          <w:tcPr>
            <w:tcW w:w="1222" w:type="dxa"/>
            <w:vAlign w:val="center"/>
          </w:tcPr>
          <w:p w:rsidR="003249A8" w:rsidRPr="008B5CC4" w:rsidRDefault="003249A8" w:rsidP="003249A8">
            <w:pPr>
              <w:spacing w:after="0"/>
              <w:rPr>
                <w:szCs w:val="20"/>
              </w:rPr>
            </w:pPr>
            <w:r w:rsidRPr="008B5CC4">
              <w:rPr>
                <w:szCs w:val="20"/>
              </w:rPr>
              <w:t>2104008620</w:t>
            </w:r>
          </w:p>
        </w:tc>
        <w:tc>
          <w:tcPr>
            <w:tcW w:w="2160" w:type="dxa"/>
            <w:vAlign w:val="center"/>
          </w:tcPr>
          <w:p w:rsidR="003249A8" w:rsidRPr="008B5CC4" w:rsidRDefault="003249A8" w:rsidP="003249A8">
            <w:pPr>
              <w:spacing w:after="0"/>
              <w:rPr>
                <w:szCs w:val="20"/>
              </w:rPr>
            </w:pPr>
            <w:r w:rsidRPr="008B5CC4">
              <w:rPr>
                <w:szCs w:val="20"/>
              </w:rPr>
              <w:t>Stationary Source Fuel Combustion</w:t>
            </w:r>
          </w:p>
        </w:tc>
        <w:tc>
          <w:tcPr>
            <w:tcW w:w="1296" w:type="dxa"/>
            <w:vAlign w:val="center"/>
          </w:tcPr>
          <w:p w:rsidR="003249A8" w:rsidRPr="008B5CC4" w:rsidRDefault="003249A8" w:rsidP="003249A8">
            <w:pPr>
              <w:spacing w:after="0"/>
              <w:rPr>
                <w:szCs w:val="20"/>
              </w:rPr>
            </w:pPr>
            <w:r w:rsidRPr="008B5CC4">
              <w:rPr>
                <w:szCs w:val="20"/>
              </w:rPr>
              <w:t>Residential</w:t>
            </w:r>
          </w:p>
        </w:tc>
        <w:tc>
          <w:tcPr>
            <w:tcW w:w="1296" w:type="dxa"/>
            <w:vAlign w:val="center"/>
          </w:tcPr>
          <w:p w:rsidR="003249A8" w:rsidRPr="008B5CC4" w:rsidRDefault="003249A8" w:rsidP="003249A8">
            <w:pPr>
              <w:spacing w:after="0"/>
              <w:rPr>
                <w:color w:val="000000"/>
                <w:szCs w:val="20"/>
              </w:rPr>
            </w:pPr>
            <w:r w:rsidRPr="008B5CC4">
              <w:rPr>
                <w:color w:val="000000"/>
                <w:szCs w:val="20"/>
              </w:rPr>
              <w:t>Wood</w:t>
            </w:r>
          </w:p>
        </w:tc>
        <w:tc>
          <w:tcPr>
            <w:tcW w:w="2736" w:type="dxa"/>
            <w:vAlign w:val="center"/>
          </w:tcPr>
          <w:p w:rsidR="003249A8" w:rsidRPr="008B5CC4" w:rsidRDefault="003249A8" w:rsidP="003249A8">
            <w:pPr>
              <w:spacing w:after="0"/>
              <w:rPr>
                <w:color w:val="000000"/>
                <w:szCs w:val="20"/>
              </w:rPr>
            </w:pPr>
            <w:r w:rsidRPr="008B5CC4">
              <w:rPr>
                <w:color w:val="000000"/>
                <w:szCs w:val="20"/>
              </w:rPr>
              <w:t>Hydronic heater: indoor</w:t>
            </w:r>
          </w:p>
        </w:tc>
      </w:tr>
      <w:tr w:rsidR="003249A8" w:rsidRPr="008B5CC4" w:rsidTr="003249A8">
        <w:trPr>
          <w:trHeight w:val="567"/>
          <w:jc w:val="center"/>
        </w:trPr>
        <w:tc>
          <w:tcPr>
            <w:tcW w:w="1222" w:type="dxa"/>
            <w:vAlign w:val="center"/>
          </w:tcPr>
          <w:p w:rsidR="003249A8" w:rsidRPr="008B5CC4" w:rsidRDefault="003249A8" w:rsidP="003249A8">
            <w:pPr>
              <w:spacing w:after="0"/>
              <w:rPr>
                <w:szCs w:val="20"/>
              </w:rPr>
            </w:pPr>
            <w:r w:rsidRPr="008B5CC4">
              <w:rPr>
                <w:szCs w:val="20"/>
              </w:rPr>
              <w:t>2104008630</w:t>
            </w:r>
          </w:p>
        </w:tc>
        <w:tc>
          <w:tcPr>
            <w:tcW w:w="2160" w:type="dxa"/>
            <w:vAlign w:val="center"/>
          </w:tcPr>
          <w:p w:rsidR="003249A8" w:rsidRPr="008B5CC4" w:rsidRDefault="003249A8" w:rsidP="003249A8">
            <w:pPr>
              <w:spacing w:after="0"/>
              <w:rPr>
                <w:szCs w:val="20"/>
              </w:rPr>
            </w:pPr>
            <w:r w:rsidRPr="008B5CC4">
              <w:rPr>
                <w:szCs w:val="20"/>
              </w:rPr>
              <w:t>Stationary Source Fuel Combustion</w:t>
            </w:r>
          </w:p>
        </w:tc>
        <w:tc>
          <w:tcPr>
            <w:tcW w:w="1296" w:type="dxa"/>
            <w:vAlign w:val="center"/>
          </w:tcPr>
          <w:p w:rsidR="003249A8" w:rsidRPr="008B5CC4" w:rsidRDefault="003249A8" w:rsidP="003249A8">
            <w:pPr>
              <w:spacing w:after="0"/>
              <w:rPr>
                <w:szCs w:val="20"/>
              </w:rPr>
            </w:pPr>
            <w:r w:rsidRPr="008B5CC4">
              <w:rPr>
                <w:szCs w:val="20"/>
              </w:rPr>
              <w:t>Residential</w:t>
            </w:r>
          </w:p>
        </w:tc>
        <w:tc>
          <w:tcPr>
            <w:tcW w:w="1296" w:type="dxa"/>
            <w:vAlign w:val="center"/>
          </w:tcPr>
          <w:p w:rsidR="003249A8" w:rsidRPr="008B5CC4" w:rsidRDefault="003249A8" w:rsidP="003249A8">
            <w:pPr>
              <w:spacing w:after="0"/>
              <w:rPr>
                <w:color w:val="000000"/>
                <w:szCs w:val="20"/>
              </w:rPr>
            </w:pPr>
            <w:r w:rsidRPr="008B5CC4">
              <w:rPr>
                <w:color w:val="000000"/>
                <w:szCs w:val="20"/>
              </w:rPr>
              <w:t>Wood</w:t>
            </w:r>
          </w:p>
        </w:tc>
        <w:tc>
          <w:tcPr>
            <w:tcW w:w="2736" w:type="dxa"/>
            <w:vAlign w:val="center"/>
          </w:tcPr>
          <w:p w:rsidR="003249A8" w:rsidRPr="008B5CC4" w:rsidRDefault="003249A8" w:rsidP="003249A8">
            <w:pPr>
              <w:spacing w:after="0"/>
              <w:rPr>
                <w:color w:val="000000"/>
                <w:szCs w:val="20"/>
              </w:rPr>
            </w:pPr>
            <w:r w:rsidRPr="008B5CC4">
              <w:rPr>
                <w:color w:val="000000"/>
                <w:szCs w:val="20"/>
              </w:rPr>
              <w:t>Hydronic heater: pellet-fired</w:t>
            </w:r>
          </w:p>
        </w:tc>
      </w:tr>
      <w:tr w:rsidR="003249A8" w:rsidRPr="008B5CC4" w:rsidTr="003249A8">
        <w:trPr>
          <w:trHeight w:val="567"/>
          <w:jc w:val="center"/>
        </w:trPr>
        <w:tc>
          <w:tcPr>
            <w:tcW w:w="1222" w:type="dxa"/>
            <w:vAlign w:val="center"/>
          </w:tcPr>
          <w:p w:rsidR="003249A8" w:rsidRPr="008B5CC4" w:rsidRDefault="003249A8" w:rsidP="003249A8">
            <w:pPr>
              <w:spacing w:after="0"/>
              <w:rPr>
                <w:szCs w:val="20"/>
              </w:rPr>
            </w:pPr>
            <w:r w:rsidRPr="008B5CC4">
              <w:rPr>
                <w:szCs w:val="20"/>
              </w:rPr>
              <w:t>2104008700</w:t>
            </w:r>
          </w:p>
        </w:tc>
        <w:tc>
          <w:tcPr>
            <w:tcW w:w="2160" w:type="dxa"/>
            <w:vAlign w:val="center"/>
          </w:tcPr>
          <w:p w:rsidR="003249A8" w:rsidRPr="008B5CC4" w:rsidRDefault="003249A8" w:rsidP="003249A8">
            <w:pPr>
              <w:spacing w:after="0"/>
              <w:rPr>
                <w:szCs w:val="20"/>
              </w:rPr>
            </w:pPr>
            <w:r w:rsidRPr="008B5CC4">
              <w:rPr>
                <w:szCs w:val="20"/>
              </w:rPr>
              <w:t>Stationary Source Fuel Combustion</w:t>
            </w:r>
          </w:p>
        </w:tc>
        <w:tc>
          <w:tcPr>
            <w:tcW w:w="1296" w:type="dxa"/>
            <w:vAlign w:val="center"/>
          </w:tcPr>
          <w:p w:rsidR="003249A8" w:rsidRPr="008B5CC4" w:rsidRDefault="003249A8" w:rsidP="003249A8">
            <w:pPr>
              <w:spacing w:after="0"/>
              <w:rPr>
                <w:szCs w:val="20"/>
              </w:rPr>
            </w:pPr>
            <w:r w:rsidRPr="008B5CC4">
              <w:rPr>
                <w:szCs w:val="20"/>
              </w:rPr>
              <w:t>Residential</w:t>
            </w:r>
          </w:p>
        </w:tc>
        <w:tc>
          <w:tcPr>
            <w:tcW w:w="1296" w:type="dxa"/>
            <w:vAlign w:val="center"/>
          </w:tcPr>
          <w:p w:rsidR="003249A8" w:rsidRPr="008B5CC4" w:rsidRDefault="003249A8" w:rsidP="003249A8">
            <w:pPr>
              <w:spacing w:after="0"/>
              <w:rPr>
                <w:color w:val="000000"/>
                <w:szCs w:val="20"/>
              </w:rPr>
            </w:pPr>
            <w:r w:rsidRPr="008B5CC4">
              <w:rPr>
                <w:color w:val="000000"/>
                <w:szCs w:val="20"/>
              </w:rPr>
              <w:t>Wood</w:t>
            </w:r>
          </w:p>
        </w:tc>
        <w:tc>
          <w:tcPr>
            <w:tcW w:w="2736" w:type="dxa"/>
            <w:vAlign w:val="center"/>
          </w:tcPr>
          <w:p w:rsidR="003249A8" w:rsidRPr="008B5CC4" w:rsidRDefault="003249A8" w:rsidP="003249A8">
            <w:pPr>
              <w:spacing w:after="0"/>
              <w:rPr>
                <w:color w:val="000000"/>
                <w:szCs w:val="20"/>
              </w:rPr>
            </w:pPr>
            <w:r w:rsidRPr="008B5CC4">
              <w:rPr>
                <w:color w:val="000000"/>
                <w:szCs w:val="20"/>
              </w:rPr>
              <w:t xml:space="preserve">Outdoor wood burning device, NEC (fire-pits, </w:t>
            </w:r>
            <w:proofErr w:type="spellStart"/>
            <w:r w:rsidRPr="008B5CC4">
              <w:rPr>
                <w:color w:val="000000"/>
                <w:szCs w:val="20"/>
              </w:rPr>
              <w:t>chimeas</w:t>
            </w:r>
            <w:proofErr w:type="spellEnd"/>
            <w:r w:rsidRPr="008B5CC4">
              <w:rPr>
                <w:color w:val="000000"/>
                <w:szCs w:val="20"/>
              </w:rPr>
              <w:t xml:space="preserve">, </w:t>
            </w:r>
            <w:proofErr w:type="spellStart"/>
            <w:r w:rsidRPr="008B5CC4">
              <w:rPr>
                <w:color w:val="000000"/>
                <w:szCs w:val="20"/>
              </w:rPr>
              <w:t>etc</w:t>
            </w:r>
            <w:proofErr w:type="spellEnd"/>
            <w:r w:rsidRPr="008B5CC4">
              <w:rPr>
                <w:color w:val="000000"/>
                <w:szCs w:val="20"/>
              </w:rPr>
              <w:t>)</w:t>
            </w:r>
          </w:p>
        </w:tc>
      </w:tr>
      <w:tr w:rsidR="003249A8" w:rsidRPr="008B5CC4" w:rsidTr="003249A8">
        <w:trPr>
          <w:trHeight w:val="567"/>
          <w:jc w:val="center"/>
        </w:trPr>
        <w:tc>
          <w:tcPr>
            <w:tcW w:w="1222" w:type="dxa"/>
            <w:vAlign w:val="center"/>
          </w:tcPr>
          <w:p w:rsidR="003249A8" w:rsidRPr="008B5CC4" w:rsidRDefault="003249A8" w:rsidP="003249A8">
            <w:pPr>
              <w:spacing w:after="0"/>
              <w:rPr>
                <w:szCs w:val="20"/>
              </w:rPr>
            </w:pPr>
            <w:r w:rsidRPr="008B5CC4">
              <w:rPr>
                <w:szCs w:val="20"/>
              </w:rPr>
              <w:t>2104009000</w:t>
            </w:r>
          </w:p>
        </w:tc>
        <w:tc>
          <w:tcPr>
            <w:tcW w:w="2160" w:type="dxa"/>
            <w:vAlign w:val="center"/>
          </w:tcPr>
          <w:p w:rsidR="003249A8" w:rsidRPr="008B5CC4" w:rsidRDefault="003249A8" w:rsidP="003249A8">
            <w:pPr>
              <w:spacing w:after="0"/>
              <w:rPr>
                <w:szCs w:val="20"/>
              </w:rPr>
            </w:pPr>
            <w:r w:rsidRPr="008B5CC4">
              <w:rPr>
                <w:szCs w:val="20"/>
              </w:rPr>
              <w:t>Stationary Source Fuel Combustion</w:t>
            </w:r>
          </w:p>
        </w:tc>
        <w:tc>
          <w:tcPr>
            <w:tcW w:w="1296" w:type="dxa"/>
            <w:vAlign w:val="center"/>
          </w:tcPr>
          <w:p w:rsidR="003249A8" w:rsidRPr="008B5CC4" w:rsidRDefault="003249A8" w:rsidP="003249A8">
            <w:pPr>
              <w:spacing w:after="0"/>
              <w:rPr>
                <w:szCs w:val="20"/>
              </w:rPr>
            </w:pPr>
            <w:r w:rsidRPr="008B5CC4">
              <w:rPr>
                <w:szCs w:val="20"/>
              </w:rPr>
              <w:t>Residential</w:t>
            </w:r>
          </w:p>
        </w:tc>
        <w:tc>
          <w:tcPr>
            <w:tcW w:w="1296" w:type="dxa"/>
            <w:vAlign w:val="center"/>
          </w:tcPr>
          <w:p w:rsidR="003249A8" w:rsidRPr="008B5CC4" w:rsidRDefault="003249A8" w:rsidP="003249A8">
            <w:pPr>
              <w:spacing w:after="0"/>
              <w:rPr>
                <w:color w:val="000000"/>
                <w:szCs w:val="20"/>
              </w:rPr>
            </w:pPr>
            <w:proofErr w:type="spellStart"/>
            <w:r w:rsidRPr="008B5CC4">
              <w:rPr>
                <w:color w:val="000000"/>
                <w:szCs w:val="20"/>
              </w:rPr>
              <w:t>Firelog</w:t>
            </w:r>
            <w:proofErr w:type="spellEnd"/>
          </w:p>
        </w:tc>
        <w:tc>
          <w:tcPr>
            <w:tcW w:w="2736" w:type="dxa"/>
            <w:vAlign w:val="center"/>
          </w:tcPr>
          <w:p w:rsidR="003249A8" w:rsidRPr="008B5CC4" w:rsidRDefault="003249A8" w:rsidP="003249A8">
            <w:pPr>
              <w:spacing w:after="0"/>
              <w:rPr>
                <w:color w:val="000000"/>
                <w:szCs w:val="20"/>
              </w:rPr>
            </w:pPr>
            <w:r w:rsidRPr="008B5CC4">
              <w:rPr>
                <w:color w:val="000000"/>
                <w:szCs w:val="20"/>
              </w:rPr>
              <w:t>Total: All Combustor Types</w:t>
            </w:r>
          </w:p>
        </w:tc>
      </w:tr>
    </w:tbl>
    <w:p w:rsidR="00D360C1" w:rsidRDefault="00D360C1" w:rsidP="00052E59"/>
    <w:p w:rsidR="00D360C1" w:rsidRDefault="00D360C1" w:rsidP="00052E59">
      <w:pPr>
        <w:pStyle w:val="Heading1"/>
      </w:pPr>
      <w:r w:rsidRPr="00052E59">
        <w:lastRenderedPageBreak/>
        <w:t>Overview</w:t>
      </w:r>
      <w:r>
        <w:t xml:space="preserve"> of Calculations</w:t>
      </w:r>
    </w:p>
    <w:p w:rsidR="002958BB" w:rsidRPr="002958BB" w:rsidRDefault="00E2434E" w:rsidP="00D360C1">
      <w:pPr>
        <w:widowControl/>
        <w:tabs>
          <w:tab w:val="left" w:pos="0"/>
        </w:tabs>
        <w:rPr>
          <w:szCs w:val="20"/>
        </w:rPr>
      </w:pPr>
      <w:r>
        <w:rPr>
          <w:szCs w:val="20"/>
        </w:rPr>
        <w:t xml:space="preserve">The activity data for this category is the amount of wood burned in each county, which is based on </w:t>
      </w:r>
      <w:r w:rsidR="00EF2C9A">
        <w:rPr>
          <w:szCs w:val="20"/>
        </w:rPr>
        <w:t xml:space="preserve">data </w:t>
      </w:r>
      <w:r>
        <w:rPr>
          <w:szCs w:val="20"/>
        </w:rPr>
        <w:t>from the CEC survey on the fraction of homes in each county that use each wood-burning appliance and the average amount of wood burned in each appliance.</w:t>
      </w:r>
      <w:r>
        <w:rPr>
          <w:rStyle w:val="EndnoteReference"/>
          <w:szCs w:val="20"/>
        </w:rPr>
        <w:endnoteReference w:id="2"/>
      </w:r>
      <w:r>
        <w:rPr>
          <w:szCs w:val="20"/>
        </w:rPr>
        <w:t xml:space="preserve"> These assumptions are used with the number of </w:t>
      </w:r>
      <w:r w:rsidR="00205436">
        <w:rPr>
          <w:szCs w:val="20"/>
        </w:rPr>
        <w:t xml:space="preserve">occupied </w:t>
      </w:r>
      <w:r>
        <w:rPr>
          <w:szCs w:val="20"/>
        </w:rPr>
        <w:t>homes in each county to estimate the total amount of wood burned in each county, in cords for cordwood appliances and tons for pellet appliances. Cords of wood are converted to tons using county-level density factors from the U.S. Forest Service.</w:t>
      </w:r>
      <w:bookmarkStart w:id="1" w:name="_Ref11247221"/>
      <w:r>
        <w:rPr>
          <w:rStyle w:val="EndnoteReference"/>
          <w:szCs w:val="20"/>
        </w:rPr>
        <w:endnoteReference w:id="3"/>
      </w:r>
      <w:bookmarkEnd w:id="1"/>
      <w:r>
        <w:rPr>
          <w:szCs w:val="20"/>
        </w:rPr>
        <w:t xml:space="preserve"> Emissions are calculated by multiplying the tons of wood burned by emissions factors. </w:t>
      </w:r>
      <w:r w:rsidR="002958BB">
        <w:rPr>
          <w:szCs w:val="20"/>
        </w:rPr>
        <w:t xml:space="preserve">Sources of data and calculations for the </w:t>
      </w:r>
      <w:r>
        <w:rPr>
          <w:szCs w:val="20"/>
        </w:rPr>
        <w:t xml:space="preserve">amount of wood burned </w:t>
      </w:r>
      <w:r w:rsidR="00052E59">
        <w:rPr>
          <w:szCs w:val="20"/>
        </w:rPr>
        <w:t xml:space="preserve">are discussed in section </w:t>
      </w:r>
      <w:r w:rsidR="00052E59">
        <w:rPr>
          <w:szCs w:val="20"/>
        </w:rPr>
        <w:fldChar w:fldCharType="begin"/>
      </w:r>
      <w:r w:rsidR="00052E59">
        <w:rPr>
          <w:szCs w:val="20"/>
        </w:rPr>
        <w:instrText xml:space="preserve"> REF _Ref477177316 \r \h </w:instrText>
      </w:r>
      <w:r w:rsidR="00052E59">
        <w:rPr>
          <w:szCs w:val="20"/>
        </w:rPr>
      </w:r>
      <w:r w:rsidR="00052E59">
        <w:rPr>
          <w:szCs w:val="20"/>
        </w:rPr>
        <w:fldChar w:fldCharType="separate"/>
      </w:r>
      <w:r w:rsidR="00822C7D">
        <w:rPr>
          <w:szCs w:val="20"/>
        </w:rPr>
        <w:t>C</w:t>
      </w:r>
      <w:r w:rsidR="00052E59">
        <w:rPr>
          <w:szCs w:val="20"/>
        </w:rPr>
        <w:fldChar w:fldCharType="end"/>
      </w:r>
      <w:r w:rsidR="002958BB">
        <w:rPr>
          <w:szCs w:val="20"/>
        </w:rPr>
        <w:t>.</w:t>
      </w:r>
      <w:r w:rsidR="00052E59">
        <w:rPr>
          <w:szCs w:val="20"/>
        </w:rPr>
        <w:t xml:space="preserve"> Emission</w:t>
      </w:r>
      <w:r w:rsidR="00680037">
        <w:rPr>
          <w:szCs w:val="20"/>
        </w:rPr>
        <w:t>s</w:t>
      </w:r>
      <w:r w:rsidR="00052E59">
        <w:rPr>
          <w:szCs w:val="20"/>
        </w:rPr>
        <w:t xml:space="preserve"> factors are discussed in section</w:t>
      </w:r>
      <w:r w:rsidR="00B259AF">
        <w:rPr>
          <w:szCs w:val="20"/>
        </w:rPr>
        <w:t xml:space="preserve"> </w:t>
      </w:r>
      <w:r w:rsidR="00B259AF">
        <w:rPr>
          <w:szCs w:val="20"/>
        </w:rPr>
        <w:fldChar w:fldCharType="begin"/>
      </w:r>
      <w:r w:rsidR="00B259AF">
        <w:rPr>
          <w:szCs w:val="20"/>
        </w:rPr>
        <w:instrText xml:space="preserve"> REF _Ref477187901 \r \h </w:instrText>
      </w:r>
      <w:r w:rsidR="00B259AF">
        <w:rPr>
          <w:szCs w:val="20"/>
        </w:rPr>
      </w:r>
      <w:r w:rsidR="00B259AF">
        <w:rPr>
          <w:szCs w:val="20"/>
        </w:rPr>
        <w:fldChar w:fldCharType="separate"/>
      </w:r>
      <w:r w:rsidR="00822C7D">
        <w:rPr>
          <w:szCs w:val="20"/>
        </w:rPr>
        <w:t>E</w:t>
      </w:r>
      <w:r w:rsidR="00B259AF">
        <w:rPr>
          <w:szCs w:val="20"/>
        </w:rPr>
        <w:fldChar w:fldCharType="end"/>
      </w:r>
      <w:r w:rsidR="00052E59">
        <w:rPr>
          <w:szCs w:val="20"/>
        </w:rPr>
        <w:t xml:space="preserve">. </w:t>
      </w:r>
      <w:r w:rsidR="008E2445">
        <w:rPr>
          <w:szCs w:val="20"/>
        </w:rPr>
        <w:t xml:space="preserve">The estimation of emissions from </w:t>
      </w:r>
      <w:r w:rsidR="00667D18">
        <w:rPr>
          <w:szCs w:val="20"/>
        </w:rPr>
        <w:t xml:space="preserve">RWC </w:t>
      </w:r>
      <w:r w:rsidR="008E2445">
        <w:rPr>
          <w:szCs w:val="20"/>
        </w:rPr>
        <w:t xml:space="preserve">is discussed in section </w:t>
      </w:r>
      <w:r w:rsidR="008E2445">
        <w:rPr>
          <w:szCs w:val="20"/>
        </w:rPr>
        <w:fldChar w:fldCharType="begin"/>
      </w:r>
      <w:r w:rsidR="008E2445">
        <w:rPr>
          <w:szCs w:val="20"/>
        </w:rPr>
        <w:instrText xml:space="preserve"> REF _Ref477177564 \r \h </w:instrText>
      </w:r>
      <w:r w:rsidR="008E2445">
        <w:rPr>
          <w:szCs w:val="20"/>
        </w:rPr>
      </w:r>
      <w:r w:rsidR="008E2445">
        <w:rPr>
          <w:szCs w:val="20"/>
        </w:rPr>
        <w:fldChar w:fldCharType="separate"/>
      </w:r>
      <w:r w:rsidR="00822C7D">
        <w:rPr>
          <w:szCs w:val="20"/>
        </w:rPr>
        <w:t>G</w:t>
      </w:r>
      <w:r w:rsidR="008E2445">
        <w:rPr>
          <w:szCs w:val="20"/>
        </w:rPr>
        <w:fldChar w:fldCharType="end"/>
      </w:r>
      <w:r w:rsidR="008E2445">
        <w:rPr>
          <w:szCs w:val="20"/>
        </w:rPr>
        <w:t>.</w:t>
      </w:r>
    </w:p>
    <w:p w:rsidR="00B97E6E" w:rsidRDefault="00B97E6E" w:rsidP="00052E59">
      <w:pPr>
        <w:pStyle w:val="Heading1"/>
      </w:pPr>
      <w:bookmarkStart w:id="2" w:name="_Ref477177316"/>
      <w:r w:rsidRPr="00886F17">
        <w:t>Activity Data</w:t>
      </w:r>
      <w:bookmarkEnd w:id="2"/>
    </w:p>
    <w:p w:rsidR="00667D18" w:rsidRDefault="00667D18" w:rsidP="003D471D">
      <w:pPr>
        <w:widowControl/>
        <w:autoSpaceDE/>
        <w:autoSpaceDN/>
        <w:adjustRightInd/>
      </w:pPr>
      <w:r>
        <w:t>The activity data for RWC relies on assumptions developed from the CEC survey. The survey received 2,984 responses, and it asked questions about whether and how often the respondent used the different wood burning appliances</w:t>
      </w:r>
      <w:r w:rsidR="00B16251">
        <w:t xml:space="preserve"> and</w:t>
      </w:r>
      <w:r>
        <w:t xml:space="preserve"> </w:t>
      </w:r>
      <w:r w:rsidR="00B16251">
        <w:t>how much wood they burned annually. It also asked demographic questions about the respondents. EPA used statistical regression approaches to develop appliance fractions and burn rates for each county, based on predictor variables from the survey responses. These predictor variables include:</w:t>
      </w:r>
    </w:p>
    <w:p w:rsidR="00B1049C" w:rsidRDefault="00B16251" w:rsidP="00B16251">
      <w:pPr>
        <w:pStyle w:val="ListParagraph"/>
        <w:widowControl/>
        <w:numPr>
          <w:ilvl w:val="0"/>
          <w:numId w:val="19"/>
        </w:numPr>
        <w:autoSpaceDE/>
        <w:autoSpaceDN/>
        <w:adjustRightInd/>
      </w:pPr>
      <w:r>
        <w:t>The number of heating degree days</w:t>
      </w:r>
      <w:r w:rsidR="00B1049C">
        <w:t xml:space="preserve"> in 2017 </w:t>
      </w:r>
      <w:r>
        <w:t xml:space="preserve">associated with the climate zone where the respondent lives, from </w:t>
      </w:r>
      <w:r w:rsidR="00B1049C">
        <w:t>NOAA.</w:t>
      </w:r>
      <w:r w:rsidR="00B1049C">
        <w:rPr>
          <w:rStyle w:val="EndnoteReference"/>
        </w:rPr>
        <w:endnoteReference w:id="4"/>
      </w:r>
    </w:p>
    <w:p w:rsidR="00B16251" w:rsidRDefault="00B1049C" w:rsidP="00B16251">
      <w:pPr>
        <w:pStyle w:val="ListParagraph"/>
        <w:widowControl/>
        <w:numPr>
          <w:ilvl w:val="0"/>
          <w:numId w:val="19"/>
        </w:numPr>
        <w:autoSpaceDE/>
        <w:autoSpaceDN/>
        <w:adjustRightInd/>
      </w:pPr>
      <w:r>
        <w:t>The population density in 2017 of the county the respondent lives in, from the Census Bureau.</w:t>
      </w:r>
      <w:r>
        <w:rPr>
          <w:rStyle w:val="EndnoteReference"/>
        </w:rPr>
        <w:endnoteReference w:id="5"/>
      </w:r>
      <w:r w:rsidR="00B16251">
        <w:t xml:space="preserve"> </w:t>
      </w:r>
    </w:p>
    <w:p w:rsidR="00B1049C" w:rsidRDefault="00B1049C" w:rsidP="00B16251">
      <w:pPr>
        <w:pStyle w:val="ListParagraph"/>
        <w:widowControl/>
        <w:numPr>
          <w:ilvl w:val="0"/>
          <w:numId w:val="19"/>
        </w:numPr>
        <w:autoSpaceDE/>
        <w:autoSpaceDN/>
        <w:adjustRightInd/>
      </w:pPr>
      <w:r>
        <w:t>Whether the zip code where the respondent lives is considered urban or rural, according to data from the Census Bureau.</w:t>
      </w:r>
      <w:r>
        <w:rPr>
          <w:rStyle w:val="EndnoteReference"/>
        </w:rPr>
        <w:endnoteReference w:id="6"/>
      </w:r>
    </w:p>
    <w:p w:rsidR="00B1049C" w:rsidRDefault="00B1049C" w:rsidP="00B16251">
      <w:pPr>
        <w:pStyle w:val="ListParagraph"/>
        <w:widowControl/>
        <w:numPr>
          <w:ilvl w:val="0"/>
          <w:numId w:val="19"/>
        </w:numPr>
        <w:autoSpaceDE/>
        <w:autoSpaceDN/>
        <w:adjustRightInd/>
      </w:pPr>
      <w:r>
        <w:t xml:space="preserve">The percentage of forest cover in the county whether the respondent lives, according to the Biogenic Emissions </w:t>
      </w:r>
      <w:proofErr w:type="spellStart"/>
      <w:r>
        <w:t>Landuse</w:t>
      </w:r>
      <w:proofErr w:type="spellEnd"/>
      <w:r>
        <w:t xml:space="preserve"> Database (BELD, v4.1).</w:t>
      </w:r>
      <w:r>
        <w:rPr>
          <w:rStyle w:val="EndnoteReference"/>
        </w:rPr>
        <w:endnoteReference w:id="7"/>
      </w:r>
    </w:p>
    <w:p w:rsidR="00B1049C" w:rsidRDefault="00B1049C" w:rsidP="00B16251">
      <w:pPr>
        <w:pStyle w:val="ListParagraph"/>
        <w:widowControl/>
        <w:numPr>
          <w:ilvl w:val="0"/>
          <w:numId w:val="19"/>
        </w:numPr>
        <w:autoSpaceDE/>
        <w:autoSpaceDN/>
        <w:adjustRightInd/>
      </w:pPr>
      <w:r>
        <w:t>The fraction of homes that use natural gas as a primary heat source in 2017 in the county where the respondent lives, according to data from the American Community Survey.</w:t>
      </w:r>
      <w:bookmarkStart w:id="3" w:name="_Ref11247081"/>
      <w:r>
        <w:rPr>
          <w:rStyle w:val="EndnoteReference"/>
        </w:rPr>
        <w:endnoteReference w:id="8"/>
      </w:r>
      <w:bookmarkEnd w:id="3"/>
    </w:p>
    <w:p w:rsidR="00B1049C" w:rsidRDefault="00B1049C" w:rsidP="00B16251">
      <w:pPr>
        <w:pStyle w:val="ListParagraph"/>
        <w:widowControl/>
        <w:numPr>
          <w:ilvl w:val="0"/>
          <w:numId w:val="19"/>
        </w:numPr>
        <w:autoSpaceDE/>
        <w:autoSpaceDN/>
        <w:adjustRightInd/>
      </w:pPr>
      <w:r>
        <w:t xml:space="preserve">The type of </w:t>
      </w:r>
      <w:r w:rsidR="00205436">
        <w:t>home</w:t>
      </w:r>
      <w:r>
        <w:t xml:space="preserve"> the respondent lives in (single family detached, single family attached, multifamily, </w:t>
      </w:r>
      <w:r w:rsidR="00BD74B5">
        <w:t>mobile)</w:t>
      </w:r>
      <w:r w:rsidR="00EB6F3D">
        <w:t>, based on responses in the CEC survey</w:t>
      </w:r>
      <w:r w:rsidR="00BD74B5">
        <w:t>.</w:t>
      </w:r>
    </w:p>
    <w:p w:rsidR="00EB6F3D" w:rsidRDefault="00BD74B5" w:rsidP="00EB6F3D">
      <w:pPr>
        <w:widowControl/>
        <w:autoSpaceDE/>
        <w:autoSpaceDN/>
        <w:adjustRightInd/>
      </w:pPr>
      <w:r>
        <w:t xml:space="preserve">The regression analysis compared all respondents who said they used a given appliance, such as a woodstove, to develop an equation based on each of these predictor variables. For example, </w:t>
      </w:r>
      <w:r w:rsidR="00EB6F3D">
        <w:t xml:space="preserve">survey respondents who lived in areas with more heating degree days (i.e. colder climates) or areas where few homes used natural gas as a primary heat sources (i.e. they might not have much natural gas service) tended to be more likely to say that they used a given wood-burning appliance. </w:t>
      </w:r>
    </w:p>
    <w:p w:rsidR="00B16251" w:rsidRDefault="00EB6F3D" w:rsidP="00EB6F3D">
      <w:pPr>
        <w:widowControl/>
        <w:autoSpaceDE/>
        <w:autoSpaceDN/>
        <w:adjustRightInd/>
      </w:pPr>
      <w:r>
        <w:t xml:space="preserve">The regression </w:t>
      </w:r>
      <w:r w:rsidR="00EF2C9A">
        <w:t>equation</w:t>
      </w:r>
      <w:r w:rsidR="00602AE8">
        <w:t xml:space="preserve"> estimates the probability that a home in a given county, with a given set of predictor variables, will use each wood-burning appliance. Therefore </w:t>
      </w:r>
      <w:r>
        <w:t xml:space="preserve">when values </w:t>
      </w:r>
      <w:r w:rsidR="00EF2C9A">
        <w:t xml:space="preserve">of the predictor variables </w:t>
      </w:r>
      <w:r>
        <w:t xml:space="preserve">from </w:t>
      </w:r>
      <w:r w:rsidR="00602AE8">
        <w:t xml:space="preserve">each county </w:t>
      </w:r>
      <w:r>
        <w:t xml:space="preserve">are plugged into the equation, the result is a county-specific appliance fraction, which </w:t>
      </w:r>
      <w:r w:rsidR="00B16251">
        <w:t>represent</w:t>
      </w:r>
      <w:r>
        <w:t>s</w:t>
      </w:r>
      <w:r w:rsidR="00B16251">
        <w:t xml:space="preserve"> the fraction of homes in </w:t>
      </w:r>
      <w:r w:rsidR="00602AE8">
        <w:t xml:space="preserve">that </w:t>
      </w:r>
      <w:r w:rsidR="00B16251">
        <w:t xml:space="preserve">county that use </w:t>
      </w:r>
      <w:r w:rsidR="00602AE8">
        <w:t xml:space="preserve">each </w:t>
      </w:r>
      <w:r w:rsidR="00B16251">
        <w:t xml:space="preserve">wood-burning appliance. </w:t>
      </w:r>
      <w:r>
        <w:t xml:space="preserve">For example, urban counties with a low number of heating degree days, high population density, low forest cover, and many homes using natural gas </w:t>
      </w:r>
      <w:r w:rsidR="00602AE8">
        <w:t xml:space="preserve">tend to </w:t>
      </w:r>
      <w:r>
        <w:t xml:space="preserve">have a low appliance fraction for most appliances. County-specific appliance fractions are calculated </w:t>
      </w:r>
      <w:r w:rsidR="006B610C">
        <w:t xml:space="preserve">separately </w:t>
      </w:r>
      <w:r w:rsidR="003958CD">
        <w:t>for six</w:t>
      </w:r>
      <w:r w:rsidR="006B610C">
        <w:t xml:space="preserve"> appliance types: fireplaces, fireplace inserts</w:t>
      </w:r>
      <w:r w:rsidR="003958CD">
        <w:t>,</w:t>
      </w:r>
      <w:r w:rsidR="006B610C">
        <w:t xml:space="preserve"> woodstoves, pellet stoves, central heaters (e.g. wood boilers or furnaces), and outdoor recreational equipment (such as fire pits)</w:t>
      </w:r>
      <w:r>
        <w:t xml:space="preserve">. </w:t>
      </w:r>
      <w:r w:rsidR="003958CD">
        <w:t>The process for splitting these appliance types into each of the 15 SCCs is discussed below.</w:t>
      </w:r>
    </w:p>
    <w:p w:rsidR="001A09E7" w:rsidRDefault="00EB6F3D" w:rsidP="003D471D">
      <w:pPr>
        <w:widowControl/>
        <w:autoSpaceDE/>
        <w:autoSpaceDN/>
        <w:adjustRightInd/>
        <w:rPr>
          <w:szCs w:val="20"/>
        </w:rPr>
      </w:pPr>
      <w:r>
        <w:rPr>
          <w:szCs w:val="20"/>
        </w:rPr>
        <w:t xml:space="preserve">Burn rates, which represent the average amount of wood burned in each appliance, are also calculated using regression analysis and the same predictor variables listed above. When county-level values </w:t>
      </w:r>
      <w:r w:rsidR="00205436">
        <w:rPr>
          <w:szCs w:val="20"/>
        </w:rPr>
        <w:t xml:space="preserve">of the predictor variables </w:t>
      </w:r>
      <w:r w:rsidR="00602AE8">
        <w:rPr>
          <w:szCs w:val="20"/>
        </w:rPr>
        <w:t>are plugged into the burn rate</w:t>
      </w:r>
      <w:r>
        <w:rPr>
          <w:szCs w:val="20"/>
        </w:rPr>
        <w:t xml:space="preserve"> regression equation, the r</w:t>
      </w:r>
      <w:r w:rsidR="00205436">
        <w:rPr>
          <w:szCs w:val="20"/>
        </w:rPr>
        <w:t xml:space="preserve">esult is county-specific burn rates for each appliance type. </w:t>
      </w:r>
      <w:r w:rsidR="003958CD">
        <w:rPr>
          <w:szCs w:val="20"/>
        </w:rPr>
        <w:t xml:space="preserve">The burn rates include the same appliance types as the appliance fractions. </w:t>
      </w:r>
    </w:p>
    <w:p w:rsidR="00205436" w:rsidRPr="00205436" w:rsidRDefault="00205436" w:rsidP="003D471D">
      <w:pPr>
        <w:widowControl/>
        <w:autoSpaceDE/>
        <w:autoSpaceDN/>
        <w:adjustRightInd/>
        <w:rPr>
          <w:szCs w:val="20"/>
        </w:rPr>
      </w:pPr>
      <w:r>
        <w:rPr>
          <w:szCs w:val="20"/>
        </w:rPr>
        <w:t>The appliance fractions and burn rates are multiplied by the number of occupied homes in each county from the American Community Survey</w:t>
      </w:r>
      <w:r w:rsidRPr="00205436">
        <w:rPr>
          <w:szCs w:val="20"/>
          <w:vertAlign w:val="superscript"/>
        </w:rPr>
        <w:fldChar w:fldCharType="begin"/>
      </w:r>
      <w:r w:rsidRPr="00205436">
        <w:rPr>
          <w:szCs w:val="20"/>
          <w:vertAlign w:val="superscript"/>
        </w:rPr>
        <w:instrText xml:space="preserve"> NOTEREF _Ref11247081 \h </w:instrText>
      </w:r>
      <w:r>
        <w:rPr>
          <w:szCs w:val="20"/>
          <w:vertAlign w:val="superscript"/>
        </w:rPr>
        <w:instrText xml:space="preserve"> \* MERGEFORMAT </w:instrText>
      </w:r>
      <w:r w:rsidRPr="00205436">
        <w:rPr>
          <w:szCs w:val="20"/>
          <w:vertAlign w:val="superscript"/>
        </w:rPr>
      </w:r>
      <w:r w:rsidRPr="00205436">
        <w:rPr>
          <w:szCs w:val="20"/>
          <w:vertAlign w:val="superscript"/>
        </w:rPr>
        <w:fldChar w:fldCharType="separate"/>
      </w:r>
      <w:r w:rsidRPr="00205436">
        <w:rPr>
          <w:szCs w:val="20"/>
          <w:vertAlign w:val="superscript"/>
        </w:rPr>
        <w:t>7</w:t>
      </w:r>
      <w:r w:rsidRPr="00205436">
        <w:rPr>
          <w:szCs w:val="20"/>
          <w:vertAlign w:val="superscript"/>
        </w:rPr>
        <w:fldChar w:fldCharType="end"/>
      </w:r>
      <w:r>
        <w:rPr>
          <w:szCs w:val="20"/>
          <w:vertAlign w:val="superscript"/>
        </w:rPr>
        <w:t xml:space="preserve"> </w:t>
      </w:r>
      <w:r>
        <w:rPr>
          <w:szCs w:val="20"/>
        </w:rPr>
        <w:t>to estimate the amount of wood burned in each county, in cords or tons, depending on whether the appliance burns cordwood or pellets. For devices that burn cordwood, the estimated number of cords burned in each county is multiplied by a county-level wood density factor from the U.S. Forest Service.</w:t>
      </w:r>
      <w:r w:rsidRPr="00205436">
        <w:rPr>
          <w:szCs w:val="20"/>
          <w:vertAlign w:val="superscript"/>
        </w:rPr>
        <w:fldChar w:fldCharType="begin"/>
      </w:r>
      <w:r w:rsidRPr="00205436">
        <w:rPr>
          <w:szCs w:val="20"/>
          <w:vertAlign w:val="superscript"/>
        </w:rPr>
        <w:instrText xml:space="preserve"> NOTEREF _Ref11247221 \h </w:instrText>
      </w:r>
      <w:r>
        <w:rPr>
          <w:szCs w:val="20"/>
          <w:vertAlign w:val="superscript"/>
        </w:rPr>
        <w:instrText xml:space="preserve"> \* MERGEFORMAT </w:instrText>
      </w:r>
      <w:r w:rsidRPr="00205436">
        <w:rPr>
          <w:szCs w:val="20"/>
          <w:vertAlign w:val="superscript"/>
        </w:rPr>
      </w:r>
      <w:r w:rsidRPr="00205436">
        <w:rPr>
          <w:szCs w:val="20"/>
          <w:vertAlign w:val="superscript"/>
        </w:rPr>
        <w:fldChar w:fldCharType="separate"/>
      </w:r>
      <w:r w:rsidRPr="00205436">
        <w:rPr>
          <w:szCs w:val="20"/>
          <w:vertAlign w:val="superscript"/>
        </w:rPr>
        <w:t>2</w:t>
      </w:r>
      <w:r w:rsidRPr="00205436">
        <w:rPr>
          <w:szCs w:val="20"/>
          <w:vertAlign w:val="superscript"/>
        </w:rPr>
        <w:fldChar w:fldCharType="end"/>
      </w:r>
    </w:p>
    <w:p w:rsidR="00EB6F3D" w:rsidRPr="001A09E7" w:rsidRDefault="00EB6F3D" w:rsidP="003D471D">
      <w:pPr>
        <w:widowControl/>
        <w:autoSpaceDE/>
        <w:autoSpaceDN/>
        <w:adjustRightInd/>
        <w:rPr>
          <w:sz w:val="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770E9B" w:rsidTr="00F33727">
        <w:trPr>
          <w:trHeight w:val="585"/>
        </w:trPr>
        <w:tc>
          <w:tcPr>
            <w:tcW w:w="8748" w:type="dxa"/>
          </w:tcPr>
          <w:p w:rsidR="00770E9B" w:rsidRPr="00770E9B" w:rsidRDefault="0055624A" w:rsidP="00205436">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BR</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m:t>
                    </m:r>
                  </m:e>
                  <m:sub>
                    <m:r>
                      <w:rPr>
                        <w:rFonts w:ascii="Cambria Math" w:hAnsi="Cambria Math"/>
                        <w:szCs w:val="20"/>
                      </w:rPr>
                      <m:t>c</m:t>
                    </m:r>
                  </m:sub>
                </m:sSub>
              </m:oMath>
            </m:oMathPara>
          </w:p>
        </w:tc>
        <w:tc>
          <w:tcPr>
            <w:tcW w:w="828" w:type="dxa"/>
          </w:tcPr>
          <w:p w:rsidR="00770E9B" w:rsidRPr="003D471D" w:rsidRDefault="00770E9B" w:rsidP="003D471D">
            <w:pPr>
              <w:pStyle w:val="ListParagraph"/>
              <w:widowControl/>
              <w:numPr>
                <w:ilvl w:val="0"/>
                <w:numId w:val="10"/>
              </w:numPr>
              <w:autoSpaceDE/>
              <w:autoSpaceDN/>
              <w:adjustRightInd/>
              <w:jc w:val="right"/>
              <w:rPr>
                <w:szCs w:val="20"/>
              </w:rPr>
            </w:pPr>
          </w:p>
        </w:tc>
      </w:tr>
    </w:tbl>
    <w:p w:rsidR="00986448" w:rsidRPr="0006347C" w:rsidRDefault="00986448" w:rsidP="00986448">
      <w:pPr>
        <w:widowControl/>
        <w:tabs>
          <w:tab w:val="left" w:pos="0"/>
        </w:tabs>
        <w:rPr>
          <w:szCs w:val="20"/>
        </w:rPr>
      </w:pPr>
      <w:r w:rsidRPr="0006347C">
        <w:rPr>
          <w:szCs w:val="20"/>
        </w:rPr>
        <w:t>Where:</w:t>
      </w:r>
    </w:p>
    <w:p w:rsidR="00986448" w:rsidRPr="00205436" w:rsidRDefault="00986448" w:rsidP="00A54167">
      <w:pPr>
        <w:pStyle w:val="NoSpacing"/>
        <w:tabs>
          <w:tab w:val="clear" w:pos="1584"/>
          <w:tab w:val="left" w:pos="1620"/>
          <w:tab w:val="left" w:pos="1800"/>
        </w:tabs>
        <w:ind w:left="1620"/>
      </w:pPr>
      <w:r>
        <w:rPr>
          <w:i/>
        </w:rPr>
        <w:tab/>
      </w:r>
      <w:proofErr w:type="spellStart"/>
      <w:r w:rsidR="00205436">
        <w:rPr>
          <w:i/>
        </w:rPr>
        <w:t>W</w:t>
      </w:r>
      <w:r w:rsidR="00205436">
        <w:rPr>
          <w:i/>
          <w:vertAlign w:val="subscript"/>
        </w:rPr>
        <w:t>c</w:t>
      </w:r>
      <w:proofErr w:type="gramStart"/>
      <w:r w:rsidR="00205436">
        <w:rPr>
          <w:i/>
          <w:vertAlign w:val="subscript"/>
        </w:rPr>
        <w:t>,a</w:t>
      </w:r>
      <w:proofErr w:type="spellEnd"/>
      <w:proofErr w:type="gramEnd"/>
      <w:r>
        <w:rPr>
          <w:i/>
          <w:vertAlign w:val="subscript"/>
        </w:rPr>
        <w:tab/>
      </w:r>
      <w:r>
        <w:rPr>
          <w:i/>
        </w:rPr>
        <w:t xml:space="preserve">= </w:t>
      </w:r>
      <w:r>
        <w:rPr>
          <w:i/>
        </w:rPr>
        <w:tab/>
      </w:r>
      <w:r w:rsidR="00205436">
        <w:t xml:space="preserve">Amount of wood burned in appliance type </w:t>
      </w:r>
      <w:r w:rsidR="00205436">
        <w:rPr>
          <w:i/>
        </w:rPr>
        <w:t>a</w:t>
      </w:r>
      <w:r w:rsidR="00205436">
        <w:t xml:space="preserve"> in county </w:t>
      </w:r>
      <w:r w:rsidR="00205436">
        <w:rPr>
          <w:i/>
        </w:rPr>
        <w:t>c</w:t>
      </w:r>
      <w:r w:rsidR="00205436">
        <w:t>, in tons per year</w:t>
      </w:r>
    </w:p>
    <w:p w:rsidR="00986448" w:rsidRPr="00273030" w:rsidRDefault="00986448" w:rsidP="00A54167">
      <w:pPr>
        <w:pStyle w:val="NoSpacing"/>
        <w:tabs>
          <w:tab w:val="clear" w:pos="1584"/>
          <w:tab w:val="left" w:pos="1620"/>
          <w:tab w:val="left" w:pos="1800"/>
        </w:tabs>
        <w:ind w:left="1620"/>
        <w:rPr>
          <w:i/>
        </w:rPr>
      </w:pPr>
      <w:r>
        <w:rPr>
          <w:i/>
        </w:rPr>
        <w:tab/>
      </w:r>
      <w:proofErr w:type="spellStart"/>
      <w:r w:rsidR="00205436">
        <w:rPr>
          <w:i/>
        </w:rPr>
        <w:t>H</w:t>
      </w:r>
      <w:r w:rsidR="00205436">
        <w:rPr>
          <w:i/>
          <w:vertAlign w:val="subscript"/>
        </w:rPr>
        <w:t>c</w:t>
      </w:r>
      <w:proofErr w:type="spellEnd"/>
      <w:r>
        <w:rPr>
          <w:i/>
          <w:vertAlign w:val="subscript"/>
        </w:rPr>
        <w:tab/>
      </w:r>
      <w:r>
        <w:rPr>
          <w:i/>
        </w:rPr>
        <w:t xml:space="preserve">= </w:t>
      </w:r>
      <w:r>
        <w:rPr>
          <w:i/>
        </w:rPr>
        <w:tab/>
      </w:r>
      <w:r w:rsidR="00205436">
        <w:t xml:space="preserve">Number of occupied homes </w:t>
      </w:r>
      <w:r w:rsidR="00273030">
        <w:t xml:space="preserve">in county </w:t>
      </w:r>
      <w:r w:rsidR="00273030">
        <w:rPr>
          <w:i/>
        </w:rPr>
        <w:t>c</w:t>
      </w:r>
    </w:p>
    <w:p w:rsidR="00273030" w:rsidRDefault="00986448" w:rsidP="00A54167">
      <w:pPr>
        <w:pStyle w:val="NoSpacing"/>
        <w:tabs>
          <w:tab w:val="clear" w:pos="1584"/>
          <w:tab w:val="left" w:pos="1620"/>
          <w:tab w:val="left" w:pos="1800"/>
        </w:tabs>
        <w:ind w:left="1620"/>
      </w:pPr>
      <w:r>
        <w:rPr>
          <w:i/>
        </w:rPr>
        <w:tab/>
      </w:r>
      <w:proofErr w:type="spellStart"/>
      <w:r w:rsidR="00273030">
        <w:rPr>
          <w:i/>
        </w:rPr>
        <w:t>AF</w:t>
      </w:r>
      <w:r w:rsidR="00273030">
        <w:rPr>
          <w:i/>
          <w:vertAlign w:val="subscript"/>
        </w:rPr>
        <w:t>c</w:t>
      </w:r>
      <w:proofErr w:type="gramStart"/>
      <w:r w:rsidR="00273030">
        <w:rPr>
          <w:i/>
          <w:vertAlign w:val="subscript"/>
        </w:rPr>
        <w:t>,a</w:t>
      </w:r>
      <w:proofErr w:type="spellEnd"/>
      <w:proofErr w:type="gramEnd"/>
      <w:r w:rsidR="00273030">
        <w:tab/>
      </w:r>
      <w:r>
        <w:rPr>
          <w:i/>
        </w:rPr>
        <w:t xml:space="preserve">= </w:t>
      </w:r>
      <w:r>
        <w:rPr>
          <w:i/>
        </w:rPr>
        <w:tab/>
      </w:r>
      <w:r w:rsidR="00273030">
        <w:t xml:space="preserve">Appliance fraction for appliance type </w:t>
      </w:r>
      <w:r w:rsidR="00273030">
        <w:rPr>
          <w:i/>
        </w:rPr>
        <w:t>a</w:t>
      </w:r>
      <w:r w:rsidR="00273030">
        <w:t xml:space="preserve"> in county </w:t>
      </w:r>
      <w:r w:rsidR="00273030">
        <w:rPr>
          <w:i/>
        </w:rPr>
        <w:t>c</w:t>
      </w:r>
      <w:r w:rsidR="00273030">
        <w:t xml:space="preserve">, determined from the CEC survey </w:t>
      </w:r>
    </w:p>
    <w:p w:rsidR="00273030" w:rsidRDefault="00986448" w:rsidP="00273030">
      <w:pPr>
        <w:pStyle w:val="NoSpacing"/>
        <w:tabs>
          <w:tab w:val="clear" w:pos="1584"/>
          <w:tab w:val="left" w:pos="1620"/>
          <w:tab w:val="left" w:pos="1800"/>
        </w:tabs>
        <w:ind w:left="1620"/>
      </w:pPr>
      <w:r w:rsidRPr="00575857">
        <w:t xml:space="preserve"> </w:t>
      </w:r>
      <w:r w:rsidR="00273030">
        <w:rPr>
          <w:i/>
        </w:rPr>
        <w:tab/>
      </w:r>
      <w:proofErr w:type="spellStart"/>
      <w:r w:rsidR="00273030">
        <w:rPr>
          <w:i/>
        </w:rPr>
        <w:t>BR</w:t>
      </w:r>
      <w:r w:rsidR="00273030">
        <w:rPr>
          <w:i/>
          <w:vertAlign w:val="subscript"/>
        </w:rPr>
        <w:t>c,a</w:t>
      </w:r>
      <w:proofErr w:type="spellEnd"/>
      <w:r w:rsidR="00273030">
        <w:tab/>
      </w:r>
      <w:r w:rsidR="00273030">
        <w:rPr>
          <w:i/>
        </w:rPr>
        <w:t xml:space="preserve">= </w:t>
      </w:r>
      <w:r w:rsidR="00273030">
        <w:rPr>
          <w:i/>
        </w:rPr>
        <w:tab/>
      </w:r>
      <w:r w:rsidR="00273030">
        <w:t xml:space="preserve">Burn rate for appliance type </w:t>
      </w:r>
      <w:r w:rsidR="00273030">
        <w:rPr>
          <w:i/>
        </w:rPr>
        <w:t>a</w:t>
      </w:r>
      <w:r w:rsidR="00273030">
        <w:t xml:space="preserve"> in county </w:t>
      </w:r>
      <w:r w:rsidR="00273030">
        <w:rPr>
          <w:i/>
        </w:rPr>
        <w:t>c</w:t>
      </w:r>
      <w:r w:rsidR="00273030">
        <w:t>, determined from the CEC survey, in cords or tons burned per appliance</w:t>
      </w:r>
    </w:p>
    <w:p w:rsidR="00273030" w:rsidRPr="00273030" w:rsidRDefault="00273030" w:rsidP="00273030">
      <w:pPr>
        <w:pStyle w:val="NoSpacing"/>
        <w:tabs>
          <w:tab w:val="clear" w:pos="1584"/>
          <w:tab w:val="left" w:pos="1620"/>
          <w:tab w:val="left" w:pos="1800"/>
        </w:tabs>
        <w:ind w:left="1620"/>
      </w:pPr>
      <w:r>
        <w:rPr>
          <w:i/>
        </w:rPr>
        <w:tab/>
        <w:t>D</w:t>
      </w:r>
      <w:r>
        <w:rPr>
          <w:i/>
          <w:vertAlign w:val="subscript"/>
        </w:rPr>
        <w:t>c</w:t>
      </w:r>
      <w:r>
        <w:rPr>
          <w:i/>
        </w:rPr>
        <w:tab/>
      </w:r>
      <w:r w:rsidRPr="00273030">
        <w:rPr>
          <w:i/>
        </w:rPr>
        <w:t>=</w:t>
      </w:r>
      <w:r>
        <w:tab/>
        <w:t xml:space="preserve">Wood density factor for county </w:t>
      </w:r>
      <w:r>
        <w:rPr>
          <w:i/>
        </w:rPr>
        <w:t>c</w:t>
      </w:r>
      <w:r>
        <w:t xml:space="preserve">, in tons per cord of wood (used </w:t>
      </w:r>
      <w:r w:rsidR="00441172">
        <w:t xml:space="preserve">only </w:t>
      </w:r>
      <w:r>
        <w:t>for cordwood appliance types)</w:t>
      </w:r>
    </w:p>
    <w:p w:rsidR="00986448" w:rsidRDefault="00986448" w:rsidP="00A54167">
      <w:pPr>
        <w:pStyle w:val="NoSpacing"/>
        <w:tabs>
          <w:tab w:val="clear" w:pos="1584"/>
          <w:tab w:val="left" w:pos="1620"/>
          <w:tab w:val="left" w:pos="1800"/>
        </w:tabs>
        <w:ind w:left="1620"/>
      </w:pPr>
    </w:p>
    <w:p w:rsidR="004B6C45" w:rsidRDefault="003958CD" w:rsidP="003958CD">
      <w:r>
        <w:t xml:space="preserve">As discussed above, the appliance fractions and burn rates are used to estimate wood-burning activity at the appliance level in each county. This activity </w:t>
      </w:r>
      <w:r w:rsidR="0019455E">
        <w:t xml:space="preserve">for certain appliance types </w:t>
      </w:r>
      <w:r>
        <w:t xml:space="preserve">must be distributed from the appliance level to the specific SCC level. For example, wood burned in “woodstoves” must be apportioned to three SCCs: non-EPA certified stoves, EPA certified non-catalytic stoves, and EPA certified catalytic stoves. </w:t>
      </w:r>
      <w:r w:rsidR="0019455E">
        <w:t>F</w:t>
      </w:r>
      <w:r w:rsidR="004B6C45">
        <w:t xml:space="preserve">or woodstoves and fireplace inserts, EPA used distribution profiles based on a combination of data from the </w:t>
      </w:r>
      <w:r w:rsidR="004606B0">
        <w:t xml:space="preserve">2015 </w:t>
      </w:r>
      <w:r w:rsidR="004B6C45">
        <w:t xml:space="preserve">EIA Residential Energy Consumption Survey (RECS) and the state of Minnesota’s 2014/2015 residential wood survey. </w:t>
      </w:r>
    </w:p>
    <w:p w:rsidR="004B6C45" w:rsidRPr="004B6C45" w:rsidRDefault="00CE3714" w:rsidP="004B6C45">
      <w:pPr>
        <w:pStyle w:val="BodyText"/>
        <w:spacing w:line="240" w:lineRule="auto"/>
        <w:rPr>
          <w:sz w:val="20"/>
        </w:rPr>
      </w:pPr>
      <w:r>
        <w:rPr>
          <w:sz w:val="20"/>
        </w:rPr>
        <w:t xml:space="preserve">Data from RECS is used to determine whether woodstoves </w:t>
      </w:r>
      <w:r w:rsidR="006F78D8">
        <w:rPr>
          <w:sz w:val="20"/>
        </w:rPr>
        <w:t xml:space="preserve">or fireplace inserts </w:t>
      </w:r>
      <w:r>
        <w:rPr>
          <w:sz w:val="20"/>
        </w:rPr>
        <w:t xml:space="preserve">are EPA certified. </w:t>
      </w:r>
      <w:r w:rsidR="004B6C45" w:rsidRPr="004B6C45">
        <w:rPr>
          <w:sz w:val="20"/>
        </w:rPr>
        <w:t xml:space="preserve">Although RECS does not specifically ask whether the woodstove is EPA certified, </w:t>
      </w:r>
      <w:r w:rsidR="004B6C45">
        <w:rPr>
          <w:sz w:val="20"/>
        </w:rPr>
        <w:t xml:space="preserve">it </w:t>
      </w:r>
      <w:r w:rsidR="004B6C45" w:rsidRPr="004B6C45">
        <w:rPr>
          <w:sz w:val="20"/>
        </w:rPr>
        <w:t xml:space="preserve">does ask the age of the appliance. It is assumed that any appliance </w:t>
      </w:r>
      <w:r w:rsidR="004606B0">
        <w:rPr>
          <w:sz w:val="20"/>
        </w:rPr>
        <w:t>in the oldest age bin in RECS (</w:t>
      </w:r>
      <w:r w:rsidR="004B6C45" w:rsidRPr="004B6C45">
        <w:rPr>
          <w:sz w:val="20"/>
        </w:rPr>
        <w:t xml:space="preserve">20 years </w:t>
      </w:r>
      <w:r w:rsidR="004606B0">
        <w:rPr>
          <w:sz w:val="20"/>
        </w:rPr>
        <w:t xml:space="preserve">or </w:t>
      </w:r>
      <w:r w:rsidR="004B6C45" w:rsidRPr="004B6C45">
        <w:rPr>
          <w:sz w:val="20"/>
        </w:rPr>
        <w:t>old</w:t>
      </w:r>
      <w:r w:rsidR="004606B0">
        <w:rPr>
          <w:sz w:val="20"/>
        </w:rPr>
        <w:t>er)</w:t>
      </w:r>
      <w:r w:rsidR="004B6C45" w:rsidRPr="004B6C45">
        <w:rPr>
          <w:sz w:val="20"/>
        </w:rPr>
        <w:t xml:space="preserve"> is uncertified</w:t>
      </w:r>
      <w:r w:rsidR="004606B0">
        <w:rPr>
          <w:sz w:val="20"/>
        </w:rPr>
        <w:t>.</w:t>
      </w:r>
      <w:r w:rsidR="004606B0">
        <w:rPr>
          <w:rStyle w:val="FootnoteReference"/>
          <w:sz w:val="20"/>
        </w:rPr>
        <w:footnoteReference w:id="1"/>
      </w:r>
      <w:r w:rsidR="004606B0">
        <w:rPr>
          <w:sz w:val="20"/>
        </w:rPr>
        <w:t xml:space="preserve"> </w:t>
      </w:r>
      <w:r w:rsidR="004B6C45" w:rsidRPr="004B6C45">
        <w:rPr>
          <w:sz w:val="20"/>
        </w:rPr>
        <w:t>All appliances less than 20 years old are assumed to be EPA certified. The split between EPA certified non-catalytic and catalytic stoves is based on data provided by Minnesota from their 20</w:t>
      </w:r>
      <w:r w:rsidR="004606B0">
        <w:rPr>
          <w:sz w:val="20"/>
        </w:rPr>
        <w:t>14/2015 residential wood survey, which suggests that certified stoves are 60 percent non-catalytic and 40 percent catalytic.</w:t>
      </w:r>
      <w:r w:rsidR="00292A0E">
        <w:rPr>
          <w:sz w:val="20"/>
        </w:rPr>
        <w:t xml:space="preserve"> The distribution profiles for woodstoves and fireplace inserts are shown in </w:t>
      </w:r>
      <w:r w:rsidR="00292A0E">
        <w:rPr>
          <w:sz w:val="20"/>
        </w:rPr>
        <w:fldChar w:fldCharType="begin"/>
      </w:r>
      <w:r w:rsidR="00292A0E">
        <w:rPr>
          <w:sz w:val="20"/>
        </w:rPr>
        <w:instrText xml:space="preserve"> REF _Ref11339986 \h </w:instrText>
      </w:r>
      <w:r w:rsidR="00292A0E">
        <w:rPr>
          <w:sz w:val="20"/>
        </w:rPr>
      </w:r>
      <w:r w:rsidR="00292A0E">
        <w:rPr>
          <w:sz w:val="20"/>
        </w:rPr>
        <w:fldChar w:fldCharType="separate"/>
      </w:r>
      <w:r w:rsidR="00292A0E">
        <w:t xml:space="preserve">Table </w:t>
      </w:r>
      <w:r w:rsidR="00292A0E">
        <w:rPr>
          <w:noProof/>
        </w:rPr>
        <w:t>1</w:t>
      </w:r>
      <w:r w:rsidR="00292A0E">
        <w:rPr>
          <w:sz w:val="20"/>
        </w:rPr>
        <w:fldChar w:fldCharType="end"/>
      </w:r>
      <w:r w:rsidR="00292A0E">
        <w:rPr>
          <w:sz w:val="20"/>
        </w:rPr>
        <w:t>.</w:t>
      </w:r>
      <w:r w:rsidR="004606B0">
        <w:rPr>
          <w:sz w:val="20"/>
        </w:rPr>
        <w:t xml:space="preserve"> </w:t>
      </w:r>
    </w:p>
    <w:p w:rsidR="004B6C45" w:rsidRDefault="00705E1F" w:rsidP="004B6C45">
      <w:pPr>
        <w:pStyle w:val="BodyText"/>
        <w:spacing w:line="240" w:lineRule="auto"/>
        <w:rPr>
          <w:sz w:val="20"/>
        </w:rPr>
      </w:pPr>
      <w:r>
        <w:rPr>
          <w:sz w:val="20"/>
        </w:rPr>
        <w:t>T</w:t>
      </w:r>
      <w:r w:rsidR="004B6C45">
        <w:rPr>
          <w:sz w:val="20"/>
        </w:rPr>
        <w:t>he CEC survey data were seen to be more reliable</w:t>
      </w:r>
      <w:r>
        <w:rPr>
          <w:sz w:val="20"/>
        </w:rPr>
        <w:t xml:space="preserve"> for developing distribution profiles for central heaters, including wood boilers and furnaces</w:t>
      </w:r>
      <w:r w:rsidR="004B6C45">
        <w:rPr>
          <w:sz w:val="20"/>
        </w:rPr>
        <w:t xml:space="preserve">. </w:t>
      </w:r>
      <w:r w:rsidR="00292A0E">
        <w:rPr>
          <w:sz w:val="20"/>
        </w:rPr>
        <w:t>Survey r</w:t>
      </w:r>
      <w:r w:rsidR="004B6C45">
        <w:rPr>
          <w:sz w:val="20"/>
        </w:rPr>
        <w:t xml:space="preserve">espondents listed whether they owned a furnace or a boiler, whether it was located inside or outside the home, and whether it burned cordwood or pellets. These responses were used to develop distribution profiles for the central heaters. </w:t>
      </w:r>
      <w:r w:rsidR="00292A0E">
        <w:rPr>
          <w:sz w:val="20"/>
        </w:rPr>
        <w:t xml:space="preserve">The distribution profiles for central heaters are shown in </w:t>
      </w:r>
      <w:r w:rsidR="00292A0E">
        <w:rPr>
          <w:sz w:val="20"/>
        </w:rPr>
        <w:fldChar w:fldCharType="begin"/>
      </w:r>
      <w:r w:rsidR="00292A0E">
        <w:rPr>
          <w:sz w:val="20"/>
        </w:rPr>
        <w:instrText xml:space="preserve"> REF _Ref11339987 \h </w:instrText>
      </w:r>
      <w:r w:rsidR="00292A0E">
        <w:rPr>
          <w:sz w:val="20"/>
        </w:rPr>
      </w:r>
      <w:r w:rsidR="00292A0E">
        <w:rPr>
          <w:sz w:val="20"/>
        </w:rPr>
        <w:fldChar w:fldCharType="separate"/>
      </w:r>
      <w:r w:rsidR="00292A0E">
        <w:t xml:space="preserve">Table </w:t>
      </w:r>
      <w:r w:rsidR="00292A0E">
        <w:rPr>
          <w:noProof/>
        </w:rPr>
        <w:t>2</w:t>
      </w:r>
      <w:r w:rsidR="00292A0E">
        <w:rPr>
          <w:sz w:val="20"/>
        </w:rPr>
        <w:fldChar w:fldCharType="end"/>
      </w:r>
      <w:r w:rsidR="00292A0E">
        <w:rPr>
          <w:sz w:val="20"/>
        </w:rPr>
        <w:t>.</w:t>
      </w:r>
    </w:p>
    <w:p w:rsidR="0019455E" w:rsidRDefault="004B6C45" w:rsidP="0009348C">
      <w:pPr>
        <w:pStyle w:val="BodyText"/>
        <w:spacing w:line="240" w:lineRule="auto"/>
        <w:rPr>
          <w:sz w:val="20"/>
        </w:rPr>
      </w:pPr>
      <w:r w:rsidRPr="004B6C45">
        <w:rPr>
          <w:sz w:val="20"/>
        </w:rPr>
        <w:t xml:space="preserve">The default </w:t>
      </w:r>
      <w:r>
        <w:rPr>
          <w:sz w:val="20"/>
        </w:rPr>
        <w:t>distribution</w:t>
      </w:r>
      <w:r w:rsidRPr="004B6C45">
        <w:rPr>
          <w:sz w:val="20"/>
        </w:rPr>
        <w:t xml:space="preserve"> profiles are estimated at the Census Region level</w:t>
      </w:r>
      <w:r>
        <w:rPr>
          <w:sz w:val="20"/>
        </w:rPr>
        <w:t xml:space="preserve"> </w:t>
      </w:r>
      <w:r w:rsidR="00CE3714">
        <w:rPr>
          <w:sz w:val="20"/>
        </w:rPr>
        <w:t xml:space="preserve">for </w:t>
      </w:r>
      <w:r w:rsidR="00253B4A">
        <w:rPr>
          <w:sz w:val="20"/>
        </w:rPr>
        <w:t xml:space="preserve">woodstoves and </w:t>
      </w:r>
      <w:r>
        <w:rPr>
          <w:sz w:val="20"/>
        </w:rPr>
        <w:t>fireplace inserts</w:t>
      </w:r>
      <w:r w:rsidR="00253B4A">
        <w:rPr>
          <w:sz w:val="20"/>
        </w:rPr>
        <w:t xml:space="preserve"> and nationally for central heaters</w:t>
      </w:r>
      <w:r w:rsidRPr="004B6C45">
        <w:rPr>
          <w:sz w:val="20"/>
        </w:rPr>
        <w:t xml:space="preserve">, but the </w:t>
      </w:r>
      <w:r>
        <w:rPr>
          <w:sz w:val="20"/>
        </w:rPr>
        <w:t xml:space="preserve">RWC </w:t>
      </w:r>
      <w:r w:rsidRPr="004B6C45">
        <w:rPr>
          <w:sz w:val="20"/>
        </w:rPr>
        <w:t xml:space="preserve">tool allows the profiles </w:t>
      </w:r>
      <w:r>
        <w:rPr>
          <w:sz w:val="20"/>
        </w:rPr>
        <w:t>to be adjusted for each county.</w:t>
      </w:r>
      <w:r w:rsidR="0019455E">
        <w:rPr>
          <w:sz w:val="20"/>
        </w:rPr>
        <w:t xml:space="preserve"> Not all appliance types need to be distributed. Appliance populations of fireplaces, pellet stoves, and outdoor recreational equipment are estimated directly from the regression equations and are not multiplied distribution fractions. </w:t>
      </w:r>
    </w:p>
    <w:p w:rsidR="0009348C" w:rsidRDefault="0009348C" w:rsidP="0009348C">
      <w:pPr>
        <w:pStyle w:val="BodyText"/>
        <w:spacing w:line="240" w:lineRule="auto"/>
        <w:rPr>
          <w:sz w:val="20"/>
        </w:rPr>
      </w:pPr>
      <w:r>
        <w:rPr>
          <w:sz w:val="20"/>
        </w:rPr>
        <w:t xml:space="preserve">The amount of wood-burning activity in each SCC in each county is determined by multiplying the </w:t>
      </w:r>
      <w:r w:rsidR="00292A0E">
        <w:rPr>
          <w:sz w:val="20"/>
        </w:rPr>
        <w:t xml:space="preserve">county-level </w:t>
      </w:r>
      <w:r>
        <w:rPr>
          <w:sz w:val="20"/>
        </w:rPr>
        <w:t xml:space="preserve">wood-burning activity by appliance type by the </w:t>
      </w:r>
      <w:r w:rsidR="00441172">
        <w:rPr>
          <w:sz w:val="20"/>
        </w:rPr>
        <w:t xml:space="preserve">distribution profile for each SCC.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09348C" w:rsidTr="00001778">
        <w:trPr>
          <w:trHeight w:val="585"/>
        </w:trPr>
        <w:tc>
          <w:tcPr>
            <w:tcW w:w="8748" w:type="dxa"/>
          </w:tcPr>
          <w:p w:rsidR="0009348C" w:rsidRPr="00770E9B" w:rsidRDefault="0055624A" w:rsidP="0009348C">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c,SCC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DP</m:t>
                    </m:r>
                  </m:e>
                  <m:sub>
                    <m:r>
                      <w:rPr>
                        <w:rFonts w:ascii="Cambria Math" w:hAnsi="Cambria Math"/>
                        <w:szCs w:val="20"/>
                      </w:rPr>
                      <m:t>SCC</m:t>
                    </m:r>
                  </m:sub>
                </m:sSub>
              </m:oMath>
            </m:oMathPara>
          </w:p>
        </w:tc>
        <w:tc>
          <w:tcPr>
            <w:tcW w:w="828" w:type="dxa"/>
          </w:tcPr>
          <w:p w:rsidR="0009348C" w:rsidRPr="003D471D" w:rsidRDefault="0009348C" w:rsidP="0009348C">
            <w:pPr>
              <w:pStyle w:val="ListParagraph"/>
              <w:widowControl/>
              <w:numPr>
                <w:ilvl w:val="0"/>
                <w:numId w:val="10"/>
              </w:numPr>
              <w:autoSpaceDE/>
              <w:autoSpaceDN/>
              <w:adjustRightInd/>
              <w:jc w:val="right"/>
              <w:rPr>
                <w:szCs w:val="20"/>
              </w:rPr>
            </w:pPr>
          </w:p>
        </w:tc>
      </w:tr>
    </w:tbl>
    <w:p w:rsidR="0009348C" w:rsidRDefault="00441172" w:rsidP="0009348C">
      <w:pPr>
        <w:pStyle w:val="BodyText"/>
        <w:spacing w:line="240" w:lineRule="auto"/>
        <w:rPr>
          <w:sz w:val="20"/>
        </w:rPr>
      </w:pPr>
      <w:r>
        <w:rPr>
          <w:sz w:val="20"/>
        </w:rPr>
        <w:t>Where:</w:t>
      </w:r>
    </w:p>
    <w:p w:rsidR="00441172" w:rsidRDefault="00441172" w:rsidP="00441172">
      <w:pPr>
        <w:pStyle w:val="NoSpacing"/>
        <w:tabs>
          <w:tab w:val="clear" w:pos="1584"/>
          <w:tab w:val="left" w:pos="1620"/>
          <w:tab w:val="left" w:pos="1800"/>
        </w:tabs>
        <w:ind w:left="1620"/>
      </w:pPr>
      <w:r>
        <w:tab/>
      </w:r>
      <w:proofErr w:type="spellStart"/>
      <w:r>
        <w:rPr>
          <w:i/>
        </w:rPr>
        <w:t>W</w:t>
      </w:r>
      <w:r w:rsidR="00536553">
        <w:rPr>
          <w:i/>
          <w:vertAlign w:val="subscript"/>
        </w:rPr>
        <w:t>c</w:t>
      </w:r>
      <w:proofErr w:type="gramStart"/>
      <w:r w:rsidR="00536553">
        <w:rPr>
          <w:i/>
          <w:vertAlign w:val="subscript"/>
        </w:rPr>
        <w:t>,SCC</w:t>
      </w:r>
      <w:proofErr w:type="spellEnd"/>
      <w:proofErr w:type="gramEnd"/>
      <w:r>
        <w:rPr>
          <w:i/>
          <w:vertAlign w:val="subscript"/>
        </w:rPr>
        <w:tab/>
      </w:r>
      <w:r>
        <w:rPr>
          <w:i/>
        </w:rPr>
        <w:t xml:space="preserve">= </w:t>
      </w:r>
      <w:r>
        <w:rPr>
          <w:i/>
        </w:rPr>
        <w:tab/>
      </w:r>
      <w:r>
        <w:t xml:space="preserve">Amount of wood burned in each SCC in county </w:t>
      </w:r>
      <w:r>
        <w:rPr>
          <w:i/>
        </w:rPr>
        <w:t>c</w:t>
      </w:r>
      <w:r>
        <w:t>, in tons per year</w:t>
      </w:r>
    </w:p>
    <w:p w:rsidR="00441172" w:rsidRDefault="00441172" w:rsidP="00441172">
      <w:pPr>
        <w:pStyle w:val="NoSpacing"/>
        <w:tabs>
          <w:tab w:val="clear" w:pos="1584"/>
          <w:tab w:val="left" w:pos="1620"/>
          <w:tab w:val="left" w:pos="1800"/>
        </w:tabs>
        <w:ind w:left="1620"/>
      </w:pPr>
      <w:r>
        <w:rPr>
          <w:i/>
        </w:rPr>
        <w:tab/>
      </w:r>
      <w:proofErr w:type="spellStart"/>
      <w:r>
        <w:rPr>
          <w:i/>
        </w:rPr>
        <w:t>W</w:t>
      </w:r>
      <w:r>
        <w:rPr>
          <w:i/>
          <w:vertAlign w:val="subscript"/>
        </w:rPr>
        <w:t>c</w:t>
      </w:r>
      <w:proofErr w:type="gramStart"/>
      <w:r>
        <w:rPr>
          <w:i/>
          <w:vertAlign w:val="subscript"/>
        </w:rPr>
        <w:t>,a</w:t>
      </w:r>
      <w:proofErr w:type="spellEnd"/>
      <w:proofErr w:type="gramEnd"/>
      <w:r>
        <w:rPr>
          <w:i/>
          <w:vertAlign w:val="subscript"/>
        </w:rPr>
        <w:tab/>
      </w:r>
      <w:r>
        <w:rPr>
          <w:i/>
        </w:rPr>
        <w:t xml:space="preserve">= </w:t>
      </w:r>
      <w:r>
        <w:rPr>
          <w:i/>
        </w:rPr>
        <w:tab/>
      </w:r>
      <w:r>
        <w:t xml:space="preserve">Amount of wood burned in appliance type </w:t>
      </w:r>
      <w:r>
        <w:rPr>
          <w:i/>
        </w:rPr>
        <w:t>a</w:t>
      </w:r>
      <w:r>
        <w:t xml:space="preserve"> in county </w:t>
      </w:r>
      <w:r>
        <w:rPr>
          <w:i/>
        </w:rPr>
        <w:t>c</w:t>
      </w:r>
      <w:r>
        <w:t>, in cords or tons per year, from equation 1</w:t>
      </w:r>
    </w:p>
    <w:p w:rsidR="00441172" w:rsidRPr="00441172" w:rsidRDefault="00441172" w:rsidP="00441172">
      <w:pPr>
        <w:pStyle w:val="NoSpacing"/>
        <w:tabs>
          <w:tab w:val="clear" w:pos="1584"/>
          <w:tab w:val="left" w:pos="1620"/>
          <w:tab w:val="left" w:pos="1800"/>
        </w:tabs>
        <w:ind w:left="1620"/>
      </w:pPr>
      <w:r>
        <w:rPr>
          <w:i/>
        </w:rPr>
        <w:tab/>
        <w:t>DP</w:t>
      </w:r>
      <w:r>
        <w:rPr>
          <w:i/>
          <w:vertAlign w:val="subscript"/>
        </w:rPr>
        <w:t>SCC</w:t>
      </w:r>
      <w:r>
        <w:tab/>
        <w:t>=</w:t>
      </w:r>
      <w:r>
        <w:tab/>
        <w:t xml:space="preserve">Distribution profile for each SCC from </w:t>
      </w:r>
      <w:r w:rsidR="0019455E">
        <w:fldChar w:fldCharType="begin"/>
      </w:r>
      <w:r w:rsidR="0019455E">
        <w:instrText xml:space="preserve"> REF _Ref11339986 \h </w:instrText>
      </w:r>
      <w:r w:rsidR="0019455E">
        <w:fldChar w:fldCharType="separate"/>
      </w:r>
      <w:r w:rsidR="0019455E">
        <w:t xml:space="preserve">Table </w:t>
      </w:r>
      <w:r w:rsidR="0019455E">
        <w:rPr>
          <w:noProof/>
        </w:rPr>
        <w:t>1</w:t>
      </w:r>
      <w:r w:rsidR="0019455E">
        <w:fldChar w:fldCharType="end"/>
      </w:r>
      <w:r w:rsidR="0019455E">
        <w:t xml:space="preserve"> or </w:t>
      </w:r>
      <w:r w:rsidR="0019455E">
        <w:fldChar w:fldCharType="begin"/>
      </w:r>
      <w:r w:rsidR="0019455E">
        <w:instrText xml:space="preserve"> REF _Ref11339987 \h </w:instrText>
      </w:r>
      <w:r w:rsidR="0019455E">
        <w:fldChar w:fldCharType="separate"/>
      </w:r>
      <w:r w:rsidR="0019455E">
        <w:t xml:space="preserve">Table </w:t>
      </w:r>
      <w:r w:rsidR="0019455E">
        <w:rPr>
          <w:noProof/>
        </w:rPr>
        <w:t>2</w:t>
      </w:r>
      <w:r w:rsidR="0019455E">
        <w:fldChar w:fldCharType="end"/>
      </w:r>
      <w:r w:rsidR="0019455E">
        <w:t>, depending on the appliance type</w:t>
      </w:r>
    </w:p>
    <w:p w:rsidR="004606B0" w:rsidRDefault="004606B0" w:rsidP="004606B0">
      <w:pPr>
        <w:pStyle w:val="TableCaption"/>
      </w:pPr>
      <w:bookmarkStart w:id="4" w:name="_Ref11339986"/>
      <w:r>
        <w:lastRenderedPageBreak/>
        <w:t xml:space="preserve">Table </w:t>
      </w:r>
      <w:r w:rsidR="008B5CC4">
        <w:rPr>
          <w:noProof/>
        </w:rPr>
        <w:fldChar w:fldCharType="begin"/>
      </w:r>
      <w:r w:rsidR="008B5CC4">
        <w:rPr>
          <w:noProof/>
        </w:rPr>
        <w:instrText xml:space="preserve"> SEQ Table \* ARABIC </w:instrText>
      </w:r>
      <w:r w:rsidR="008B5CC4">
        <w:rPr>
          <w:noProof/>
        </w:rPr>
        <w:fldChar w:fldCharType="separate"/>
      </w:r>
      <w:r w:rsidR="00253B4A">
        <w:rPr>
          <w:noProof/>
        </w:rPr>
        <w:t>1</w:t>
      </w:r>
      <w:r w:rsidR="008B5CC4">
        <w:rPr>
          <w:noProof/>
        </w:rPr>
        <w:fldChar w:fldCharType="end"/>
      </w:r>
      <w:bookmarkEnd w:id="4"/>
      <w:r>
        <w:t>. Distribution profiles for woodstoves and fireplace inserts by Census Region.</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960"/>
        <w:gridCol w:w="960"/>
        <w:gridCol w:w="960"/>
        <w:gridCol w:w="960"/>
      </w:tblGrid>
      <w:tr w:rsidR="004606B0" w:rsidRPr="004606B0" w:rsidTr="00292A0E">
        <w:trPr>
          <w:trHeight w:val="300"/>
          <w:jc w:val="center"/>
        </w:trPr>
        <w:tc>
          <w:tcPr>
            <w:tcW w:w="2160" w:type="dxa"/>
            <w:vMerge w:val="restart"/>
            <w:shd w:val="clear" w:color="auto" w:fill="A6A6A6" w:themeFill="background1" w:themeFillShade="A6"/>
            <w:noWrap/>
            <w:vAlign w:val="bottom"/>
          </w:tcPr>
          <w:p w:rsidR="004606B0" w:rsidRPr="004606B0" w:rsidRDefault="004606B0" w:rsidP="004606B0">
            <w:pPr>
              <w:spacing w:after="0"/>
              <w:jc w:val="center"/>
              <w:rPr>
                <w:b/>
                <w:color w:val="000000"/>
                <w:szCs w:val="22"/>
              </w:rPr>
            </w:pPr>
            <w:r w:rsidRPr="004606B0">
              <w:rPr>
                <w:b/>
                <w:color w:val="000000"/>
                <w:szCs w:val="22"/>
              </w:rPr>
              <w:t>Woodstove or Fireplace Insert Type</w:t>
            </w:r>
          </w:p>
        </w:tc>
        <w:tc>
          <w:tcPr>
            <w:tcW w:w="3840" w:type="dxa"/>
            <w:gridSpan w:val="4"/>
            <w:shd w:val="clear" w:color="auto" w:fill="A6A6A6" w:themeFill="background1" w:themeFillShade="A6"/>
            <w:noWrap/>
            <w:vAlign w:val="bottom"/>
          </w:tcPr>
          <w:p w:rsidR="004606B0" w:rsidRPr="004606B0" w:rsidRDefault="004606B0" w:rsidP="004606B0">
            <w:pPr>
              <w:widowControl/>
              <w:autoSpaceDE/>
              <w:autoSpaceDN/>
              <w:adjustRightInd/>
              <w:spacing w:after="0"/>
              <w:jc w:val="center"/>
              <w:rPr>
                <w:b/>
                <w:color w:val="000000"/>
                <w:szCs w:val="22"/>
              </w:rPr>
            </w:pPr>
            <w:r>
              <w:rPr>
                <w:b/>
                <w:color w:val="000000"/>
                <w:szCs w:val="22"/>
              </w:rPr>
              <w:t>Census Region</w:t>
            </w:r>
          </w:p>
        </w:tc>
      </w:tr>
      <w:tr w:rsidR="004606B0" w:rsidRPr="004606B0" w:rsidTr="00292A0E">
        <w:trPr>
          <w:trHeight w:val="300"/>
          <w:jc w:val="center"/>
        </w:trPr>
        <w:tc>
          <w:tcPr>
            <w:tcW w:w="2160" w:type="dxa"/>
            <w:vMerge/>
            <w:shd w:val="clear" w:color="auto" w:fill="A6A6A6" w:themeFill="background1" w:themeFillShade="A6"/>
            <w:noWrap/>
            <w:vAlign w:val="bottom"/>
            <w:hideMark/>
          </w:tcPr>
          <w:p w:rsidR="004606B0" w:rsidRPr="004606B0" w:rsidRDefault="004606B0" w:rsidP="004606B0">
            <w:pPr>
              <w:widowControl/>
              <w:autoSpaceDE/>
              <w:autoSpaceDN/>
              <w:adjustRightInd/>
              <w:spacing w:after="0"/>
              <w:rPr>
                <w:b/>
                <w:color w:val="000000"/>
                <w:szCs w:val="22"/>
              </w:rPr>
            </w:pPr>
          </w:p>
        </w:tc>
        <w:tc>
          <w:tcPr>
            <w:tcW w:w="960" w:type="dxa"/>
            <w:shd w:val="clear" w:color="auto" w:fill="A6A6A6" w:themeFill="background1" w:themeFillShade="A6"/>
            <w:noWrap/>
            <w:vAlign w:val="bottom"/>
            <w:hideMark/>
          </w:tcPr>
          <w:p w:rsidR="004606B0" w:rsidRPr="004606B0" w:rsidRDefault="004606B0" w:rsidP="004606B0">
            <w:pPr>
              <w:widowControl/>
              <w:autoSpaceDE/>
              <w:autoSpaceDN/>
              <w:adjustRightInd/>
              <w:spacing w:after="0"/>
              <w:jc w:val="center"/>
              <w:rPr>
                <w:b/>
                <w:color w:val="000000"/>
                <w:szCs w:val="22"/>
              </w:rPr>
            </w:pPr>
            <w:r w:rsidRPr="004606B0">
              <w:rPr>
                <w:b/>
                <w:color w:val="000000"/>
                <w:szCs w:val="22"/>
              </w:rPr>
              <w:t>NE</w:t>
            </w:r>
          </w:p>
        </w:tc>
        <w:tc>
          <w:tcPr>
            <w:tcW w:w="960" w:type="dxa"/>
            <w:shd w:val="clear" w:color="auto" w:fill="A6A6A6" w:themeFill="background1" w:themeFillShade="A6"/>
            <w:noWrap/>
            <w:vAlign w:val="bottom"/>
            <w:hideMark/>
          </w:tcPr>
          <w:p w:rsidR="004606B0" w:rsidRPr="004606B0" w:rsidRDefault="004606B0" w:rsidP="004606B0">
            <w:pPr>
              <w:widowControl/>
              <w:autoSpaceDE/>
              <w:autoSpaceDN/>
              <w:adjustRightInd/>
              <w:spacing w:after="0"/>
              <w:jc w:val="center"/>
              <w:rPr>
                <w:b/>
                <w:color w:val="000000"/>
                <w:szCs w:val="22"/>
              </w:rPr>
            </w:pPr>
            <w:r w:rsidRPr="004606B0">
              <w:rPr>
                <w:b/>
                <w:color w:val="000000"/>
                <w:szCs w:val="22"/>
              </w:rPr>
              <w:t>MW</w:t>
            </w:r>
          </w:p>
        </w:tc>
        <w:tc>
          <w:tcPr>
            <w:tcW w:w="960" w:type="dxa"/>
            <w:shd w:val="clear" w:color="auto" w:fill="A6A6A6" w:themeFill="background1" w:themeFillShade="A6"/>
            <w:noWrap/>
            <w:vAlign w:val="bottom"/>
            <w:hideMark/>
          </w:tcPr>
          <w:p w:rsidR="004606B0" w:rsidRPr="004606B0" w:rsidRDefault="004606B0" w:rsidP="004606B0">
            <w:pPr>
              <w:widowControl/>
              <w:autoSpaceDE/>
              <w:autoSpaceDN/>
              <w:adjustRightInd/>
              <w:spacing w:after="0"/>
              <w:jc w:val="center"/>
              <w:rPr>
                <w:b/>
                <w:color w:val="000000"/>
                <w:szCs w:val="22"/>
              </w:rPr>
            </w:pPr>
            <w:r w:rsidRPr="004606B0">
              <w:rPr>
                <w:b/>
                <w:color w:val="000000"/>
                <w:szCs w:val="22"/>
              </w:rPr>
              <w:t>S</w:t>
            </w:r>
          </w:p>
        </w:tc>
        <w:tc>
          <w:tcPr>
            <w:tcW w:w="960" w:type="dxa"/>
            <w:shd w:val="clear" w:color="auto" w:fill="A6A6A6" w:themeFill="background1" w:themeFillShade="A6"/>
            <w:noWrap/>
            <w:vAlign w:val="bottom"/>
            <w:hideMark/>
          </w:tcPr>
          <w:p w:rsidR="004606B0" w:rsidRPr="004606B0" w:rsidRDefault="004606B0" w:rsidP="004606B0">
            <w:pPr>
              <w:widowControl/>
              <w:autoSpaceDE/>
              <w:autoSpaceDN/>
              <w:adjustRightInd/>
              <w:spacing w:after="0"/>
              <w:jc w:val="center"/>
              <w:rPr>
                <w:b/>
                <w:color w:val="000000"/>
                <w:szCs w:val="22"/>
              </w:rPr>
            </w:pPr>
            <w:r w:rsidRPr="004606B0">
              <w:rPr>
                <w:b/>
                <w:color w:val="000000"/>
                <w:szCs w:val="22"/>
              </w:rPr>
              <w:t>W</w:t>
            </w:r>
          </w:p>
        </w:tc>
      </w:tr>
      <w:tr w:rsidR="004606B0" w:rsidRPr="004606B0" w:rsidTr="00292A0E">
        <w:trPr>
          <w:trHeight w:val="300"/>
          <w:jc w:val="center"/>
        </w:trPr>
        <w:tc>
          <w:tcPr>
            <w:tcW w:w="2160" w:type="dxa"/>
            <w:shd w:val="clear" w:color="auto" w:fill="auto"/>
            <w:noWrap/>
            <w:vAlign w:val="bottom"/>
            <w:hideMark/>
          </w:tcPr>
          <w:p w:rsidR="004606B0" w:rsidRPr="004606B0" w:rsidRDefault="004606B0" w:rsidP="004606B0">
            <w:pPr>
              <w:widowControl/>
              <w:autoSpaceDE/>
              <w:autoSpaceDN/>
              <w:adjustRightInd/>
              <w:spacing w:after="0"/>
              <w:rPr>
                <w:color w:val="000000"/>
                <w:szCs w:val="22"/>
              </w:rPr>
            </w:pPr>
            <w:r w:rsidRPr="004606B0">
              <w:rPr>
                <w:color w:val="000000"/>
                <w:szCs w:val="22"/>
              </w:rPr>
              <w:t>Uncertified</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0.16</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0.12</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0.31</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0.31</w:t>
            </w:r>
          </w:p>
        </w:tc>
      </w:tr>
      <w:tr w:rsidR="004606B0" w:rsidRPr="004606B0" w:rsidTr="00292A0E">
        <w:trPr>
          <w:trHeight w:val="300"/>
          <w:jc w:val="center"/>
        </w:trPr>
        <w:tc>
          <w:tcPr>
            <w:tcW w:w="2160" w:type="dxa"/>
            <w:shd w:val="clear" w:color="auto" w:fill="auto"/>
            <w:noWrap/>
            <w:vAlign w:val="bottom"/>
            <w:hideMark/>
          </w:tcPr>
          <w:p w:rsidR="004606B0" w:rsidRPr="004606B0" w:rsidRDefault="004606B0" w:rsidP="004606B0">
            <w:pPr>
              <w:widowControl/>
              <w:autoSpaceDE/>
              <w:autoSpaceDN/>
              <w:adjustRightInd/>
              <w:spacing w:after="0"/>
              <w:rPr>
                <w:color w:val="000000"/>
                <w:szCs w:val="22"/>
              </w:rPr>
            </w:pPr>
            <w:r w:rsidRPr="004606B0">
              <w:rPr>
                <w:color w:val="000000"/>
                <w:szCs w:val="22"/>
              </w:rPr>
              <w:t>Certified Catalytic</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0.34</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0.35</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0.28</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0.28</w:t>
            </w:r>
          </w:p>
        </w:tc>
      </w:tr>
      <w:tr w:rsidR="004606B0" w:rsidRPr="004606B0" w:rsidTr="00292A0E">
        <w:trPr>
          <w:trHeight w:val="300"/>
          <w:jc w:val="center"/>
        </w:trPr>
        <w:tc>
          <w:tcPr>
            <w:tcW w:w="2160" w:type="dxa"/>
            <w:shd w:val="clear" w:color="auto" w:fill="auto"/>
            <w:noWrap/>
            <w:vAlign w:val="bottom"/>
            <w:hideMark/>
          </w:tcPr>
          <w:p w:rsidR="004606B0" w:rsidRPr="004606B0" w:rsidRDefault="004606B0" w:rsidP="004606B0">
            <w:pPr>
              <w:widowControl/>
              <w:autoSpaceDE/>
              <w:autoSpaceDN/>
              <w:adjustRightInd/>
              <w:spacing w:after="0"/>
              <w:rPr>
                <w:color w:val="000000"/>
                <w:szCs w:val="22"/>
              </w:rPr>
            </w:pPr>
            <w:r w:rsidRPr="004606B0">
              <w:rPr>
                <w:color w:val="000000"/>
                <w:szCs w:val="22"/>
              </w:rPr>
              <w:t>Certified Non</w:t>
            </w:r>
            <w:r>
              <w:rPr>
                <w:color w:val="000000"/>
                <w:szCs w:val="22"/>
              </w:rPr>
              <w:t>-</w:t>
            </w:r>
            <w:r w:rsidRPr="004606B0">
              <w:rPr>
                <w:color w:val="000000"/>
                <w:szCs w:val="22"/>
              </w:rPr>
              <w:t>catalytic</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0.50</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0.53</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0.41</w:t>
            </w:r>
          </w:p>
        </w:tc>
        <w:tc>
          <w:tcPr>
            <w:tcW w:w="960" w:type="dxa"/>
            <w:shd w:val="clear" w:color="auto" w:fill="auto"/>
            <w:noWrap/>
            <w:vAlign w:val="bottom"/>
            <w:hideMark/>
          </w:tcPr>
          <w:p w:rsidR="004606B0" w:rsidRPr="004606B0" w:rsidRDefault="004606B0" w:rsidP="00292A0E">
            <w:pPr>
              <w:widowControl/>
              <w:autoSpaceDE/>
              <w:autoSpaceDN/>
              <w:adjustRightInd/>
              <w:spacing w:after="0"/>
              <w:jc w:val="center"/>
              <w:rPr>
                <w:color w:val="000000"/>
                <w:szCs w:val="22"/>
              </w:rPr>
            </w:pPr>
            <w:r w:rsidRPr="004606B0">
              <w:rPr>
                <w:color w:val="000000"/>
                <w:szCs w:val="22"/>
              </w:rPr>
              <w:t>0.41</w:t>
            </w:r>
          </w:p>
        </w:tc>
      </w:tr>
    </w:tbl>
    <w:p w:rsidR="00624C7F" w:rsidRDefault="00624C7F" w:rsidP="0009348C">
      <w:pPr>
        <w:pStyle w:val="BodyText"/>
        <w:spacing w:line="240" w:lineRule="auto"/>
        <w:rPr>
          <w:sz w:val="20"/>
          <w:highlight w:val="yellow"/>
        </w:rPr>
      </w:pPr>
    </w:p>
    <w:p w:rsidR="00253B4A" w:rsidRDefault="00253B4A" w:rsidP="00253B4A">
      <w:pPr>
        <w:pStyle w:val="TableCaption"/>
      </w:pPr>
      <w:bookmarkStart w:id="5" w:name="_Ref11339987"/>
      <w:r>
        <w:t xml:space="preserve">Table </w:t>
      </w:r>
      <w:r w:rsidR="008B5CC4">
        <w:rPr>
          <w:noProof/>
        </w:rPr>
        <w:fldChar w:fldCharType="begin"/>
      </w:r>
      <w:r w:rsidR="008B5CC4">
        <w:rPr>
          <w:noProof/>
        </w:rPr>
        <w:instrText xml:space="preserve"> SEQ Table \* ARABIC </w:instrText>
      </w:r>
      <w:r w:rsidR="008B5CC4">
        <w:rPr>
          <w:noProof/>
        </w:rPr>
        <w:fldChar w:fldCharType="separate"/>
      </w:r>
      <w:r>
        <w:rPr>
          <w:noProof/>
        </w:rPr>
        <w:t>2</w:t>
      </w:r>
      <w:r w:rsidR="008B5CC4">
        <w:rPr>
          <w:noProof/>
        </w:rPr>
        <w:fldChar w:fldCharType="end"/>
      </w:r>
      <w:bookmarkEnd w:id="5"/>
      <w:r>
        <w:t>. Distribution profiles for central heaters.</w:t>
      </w:r>
    </w:p>
    <w:tbl>
      <w:tblPr>
        <w:tblStyle w:val="TableGrid"/>
        <w:tblW w:w="0" w:type="auto"/>
        <w:jc w:val="center"/>
        <w:tblLook w:val="04A0" w:firstRow="1" w:lastRow="0" w:firstColumn="1" w:lastColumn="0" w:noHBand="0" w:noVBand="1"/>
      </w:tblPr>
      <w:tblGrid>
        <w:gridCol w:w="2592"/>
        <w:gridCol w:w="2448"/>
        <w:gridCol w:w="2448"/>
      </w:tblGrid>
      <w:tr w:rsidR="008B5CC4" w:rsidRPr="008B5CC4" w:rsidTr="008B5CC4">
        <w:trPr>
          <w:jc w:val="center"/>
        </w:trPr>
        <w:tc>
          <w:tcPr>
            <w:tcW w:w="2592" w:type="dxa"/>
            <w:shd w:val="clear" w:color="auto" w:fill="A6A6A6" w:themeFill="background1" w:themeFillShade="A6"/>
          </w:tcPr>
          <w:p w:rsidR="008B5CC4" w:rsidRPr="008B5CC4" w:rsidRDefault="008B5CC4" w:rsidP="00253B4A">
            <w:pPr>
              <w:pStyle w:val="BodyText"/>
              <w:spacing w:line="240" w:lineRule="auto"/>
              <w:jc w:val="center"/>
              <w:rPr>
                <w:b/>
                <w:sz w:val="20"/>
                <w:szCs w:val="20"/>
              </w:rPr>
            </w:pPr>
            <w:r w:rsidRPr="008B5CC4">
              <w:rPr>
                <w:b/>
                <w:sz w:val="20"/>
                <w:szCs w:val="20"/>
              </w:rPr>
              <w:t>Type of Central Heater</w:t>
            </w:r>
          </w:p>
        </w:tc>
        <w:tc>
          <w:tcPr>
            <w:tcW w:w="2448" w:type="dxa"/>
            <w:shd w:val="clear" w:color="auto" w:fill="A6A6A6" w:themeFill="background1" w:themeFillShade="A6"/>
          </w:tcPr>
          <w:p w:rsidR="008B5CC4" w:rsidRPr="008B5CC4" w:rsidRDefault="008B5CC4" w:rsidP="00253B4A">
            <w:pPr>
              <w:pStyle w:val="BodyText"/>
              <w:spacing w:line="240" w:lineRule="auto"/>
              <w:jc w:val="center"/>
              <w:rPr>
                <w:b/>
                <w:sz w:val="20"/>
                <w:szCs w:val="20"/>
              </w:rPr>
            </w:pPr>
            <w:r w:rsidRPr="008B5CC4">
              <w:rPr>
                <w:b/>
                <w:sz w:val="20"/>
                <w:szCs w:val="20"/>
              </w:rPr>
              <w:t>SCC</w:t>
            </w:r>
          </w:p>
        </w:tc>
        <w:tc>
          <w:tcPr>
            <w:tcW w:w="2448" w:type="dxa"/>
            <w:shd w:val="clear" w:color="auto" w:fill="A6A6A6" w:themeFill="background1" w:themeFillShade="A6"/>
          </w:tcPr>
          <w:p w:rsidR="008B5CC4" w:rsidRPr="008B5CC4" w:rsidRDefault="008B5CC4" w:rsidP="00253B4A">
            <w:pPr>
              <w:pStyle w:val="BodyText"/>
              <w:spacing w:line="240" w:lineRule="auto"/>
              <w:jc w:val="center"/>
              <w:rPr>
                <w:b/>
                <w:sz w:val="20"/>
                <w:szCs w:val="20"/>
              </w:rPr>
            </w:pPr>
            <w:r w:rsidRPr="008B5CC4">
              <w:rPr>
                <w:b/>
                <w:sz w:val="20"/>
                <w:szCs w:val="20"/>
              </w:rPr>
              <w:t>Distribution Profile</w:t>
            </w:r>
          </w:p>
        </w:tc>
      </w:tr>
      <w:tr w:rsidR="008B5CC4" w:rsidRPr="008B5CC4" w:rsidTr="008B5CC4">
        <w:trPr>
          <w:jc w:val="center"/>
        </w:trPr>
        <w:tc>
          <w:tcPr>
            <w:tcW w:w="2592" w:type="dxa"/>
          </w:tcPr>
          <w:p w:rsidR="008B5CC4" w:rsidRPr="008B5CC4" w:rsidRDefault="008B5CC4" w:rsidP="0009348C">
            <w:pPr>
              <w:pStyle w:val="BodyText"/>
              <w:spacing w:line="240" w:lineRule="auto"/>
              <w:rPr>
                <w:sz w:val="20"/>
                <w:szCs w:val="20"/>
              </w:rPr>
            </w:pPr>
            <w:r w:rsidRPr="008B5CC4">
              <w:rPr>
                <w:sz w:val="20"/>
                <w:szCs w:val="20"/>
              </w:rPr>
              <w:t>Indoor pellet boiler</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2104008630</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0.01</w:t>
            </w:r>
          </w:p>
        </w:tc>
      </w:tr>
      <w:tr w:rsidR="008B5CC4" w:rsidRPr="008B5CC4" w:rsidTr="008B5CC4">
        <w:trPr>
          <w:jc w:val="center"/>
        </w:trPr>
        <w:tc>
          <w:tcPr>
            <w:tcW w:w="2592" w:type="dxa"/>
          </w:tcPr>
          <w:p w:rsidR="008B5CC4" w:rsidRPr="008B5CC4" w:rsidRDefault="008B5CC4" w:rsidP="0009348C">
            <w:pPr>
              <w:pStyle w:val="BodyText"/>
              <w:spacing w:line="240" w:lineRule="auto"/>
              <w:rPr>
                <w:sz w:val="20"/>
                <w:szCs w:val="20"/>
              </w:rPr>
            </w:pPr>
            <w:r w:rsidRPr="008B5CC4">
              <w:rPr>
                <w:sz w:val="20"/>
                <w:szCs w:val="20"/>
              </w:rPr>
              <w:t>Indoor pellet furnace</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2104008530</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0.03</w:t>
            </w:r>
          </w:p>
        </w:tc>
      </w:tr>
      <w:tr w:rsidR="008B5CC4" w:rsidRPr="008B5CC4" w:rsidTr="008B5CC4">
        <w:trPr>
          <w:jc w:val="center"/>
        </w:trPr>
        <w:tc>
          <w:tcPr>
            <w:tcW w:w="2592" w:type="dxa"/>
          </w:tcPr>
          <w:p w:rsidR="008B5CC4" w:rsidRPr="008B5CC4" w:rsidRDefault="008B5CC4" w:rsidP="0009348C">
            <w:pPr>
              <w:pStyle w:val="BodyText"/>
              <w:spacing w:line="240" w:lineRule="auto"/>
              <w:rPr>
                <w:sz w:val="20"/>
                <w:szCs w:val="20"/>
              </w:rPr>
            </w:pPr>
            <w:r w:rsidRPr="008B5CC4">
              <w:rPr>
                <w:sz w:val="20"/>
                <w:szCs w:val="20"/>
              </w:rPr>
              <w:t>Indoor cordwood boiler</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2104008620</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0.23</w:t>
            </w:r>
          </w:p>
        </w:tc>
      </w:tr>
      <w:tr w:rsidR="008B5CC4" w:rsidRPr="008B5CC4" w:rsidTr="008B5CC4">
        <w:trPr>
          <w:jc w:val="center"/>
        </w:trPr>
        <w:tc>
          <w:tcPr>
            <w:tcW w:w="2592" w:type="dxa"/>
          </w:tcPr>
          <w:p w:rsidR="008B5CC4" w:rsidRPr="008B5CC4" w:rsidRDefault="008B5CC4" w:rsidP="0009348C">
            <w:pPr>
              <w:pStyle w:val="BodyText"/>
              <w:spacing w:line="240" w:lineRule="auto"/>
              <w:rPr>
                <w:sz w:val="20"/>
                <w:szCs w:val="20"/>
              </w:rPr>
            </w:pPr>
            <w:r w:rsidRPr="008B5CC4">
              <w:rPr>
                <w:sz w:val="20"/>
                <w:szCs w:val="20"/>
              </w:rPr>
              <w:t>Indoor cordwood furnace</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2104008510</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0.37</w:t>
            </w:r>
          </w:p>
        </w:tc>
      </w:tr>
      <w:tr w:rsidR="008B5CC4" w:rsidRPr="008B5CC4" w:rsidTr="008B5CC4">
        <w:trPr>
          <w:jc w:val="center"/>
        </w:trPr>
        <w:tc>
          <w:tcPr>
            <w:tcW w:w="2592" w:type="dxa"/>
          </w:tcPr>
          <w:p w:rsidR="008B5CC4" w:rsidRPr="008B5CC4" w:rsidRDefault="008B5CC4" w:rsidP="00253B4A">
            <w:pPr>
              <w:pStyle w:val="BodyText"/>
              <w:spacing w:line="240" w:lineRule="auto"/>
              <w:rPr>
                <w:sz w:val="20"/>
                <w:szCs w:val="20"/>
              </w:rPr>
            </w:pPr>
            <w:r w:rsidRPr="008B5CC4">
              <w:rPr>
                <w:sz w:val="20"/>
                <w:szCs w:val="20"/>
              </w:rPr>
              <w:t>Outdoor cordwood boiler</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2104008610</w:t>
            </w:r>
          </w:p>
        </w:tc>
        <w:tc>
          <w:tcPr>
            <w:tcW w:w="2448" w:type="dxa"/>
          </w:tcPr>
          <w:p w:rsidR="008B5CC4" w:rsidRPr="008B5CC4" w:rsidRDefault="008B5CC4" w:rsidP="00253B4A">
            <w:pPr>
              <w:pStyle w:val="BodyText"/>
              <w:spacing w:line="240" w:lineRule="auto"/>
              <w:jc w:val="center"/>
              <w:rPr>
                <w:sz w:val="20"/>
                <w:szCs w:val="20"/>
              </w:rPr>
            </w:pPr>
            <w:r w:rsidRPr="008B5CC4">
              <w:rPr>
                <w:sz w:val="20"/>
                <w:szCs w:val="20"/>
              </w:rPr>
              <w:t>0.36</w:t>
            </w:r>
          </w:p>
        </w:tc>
      </w:tr>
    </w:tbl>
    <w:p w:rsidR="00253B4A" w:rsidRDefault="00253B4A" w:rsidP="0009348C">
      <w:pPr>
        <w:pStyle w:val="BodyText"/>
        <w:spacing w:line="240" w:lineRule="auto"/>
        <w:rPr>
          <w:sz w:val="20"/>
          <w:highlight w:val="yellow"/>
        </w:rPr>
      </w:pPr>
    </w:p>
    <w:p w:rsidR="00536553" w:rsidRPr="00536553" w:rsidRDefault="0009348C" w:rsidP="0055624A">
      <w:pPr>
        <w:rPr>
          <w:szCs w:val="20"/>
        </w:rPr>
      </w:pPr>
      <w:r>
        <w:t>After an initial review of the wood-burning activity predicted by the appliance fractions and burn rates develop from the CEC survey data, EPA decided to make two adjustments</w:t>
      </w:r>
      <w:r w:rsidR="00292A0E">
        <w:t xml:space="preserve"> to the estimates</w:t>
      </w:r>
      <w:r>
        <w:t xml:space="preserve">. </w:t>
      </w:r>
      <w:r w:rsidR="00292A0E">
        <w:t xml:space="preserve">The first adjustment corrects the total wood-burning activity in each state. </w:t>
      </w:r>
      <w:r>
        <w:t xml:space="preserve">The amount of residential wood-burning activity </w:t>
      </w:r>
      <w:r w:rsidR="00292A0E">
        <w:t xml:space="preserve">initially </w:t>
      </w:r>
      <w:r>
        <w:t>predicted by the appliance fractions and burn rates was significantly higher than the state-level totals reported by EIA’s State Energy Data System (SEDS)</w:t>
      </w:r>
      <w:r>
        <w:rPr>
          <w:rStyle w:val="EndnoteReference"/>
        </w:rPr>
        <w:endnoteReference w:id="9"/>
      </w:r>
      <w:r>
        <w:t xml:space="preserve"> for most states. As a result, EPA developed an adjustment factor to normalize the state-level residential wood-burning activity predicted by the tool to the amount predicted by SEDS.</w:t>
      </w:r>
      <w:r w:rsidR="00441172">
        <w:t xml:space="preserve"> The SEDS adjustment factor is developed by summing the predicted amount of wood-burning activity (in cords) to the state level in each state and dividing it by the state-level amount of residential wood consumption reported by SEDS. SEDS reports wood consumption in Btu, rather than cords; therefore the wood-burning activity predicted by the RWC tool is converted from cords to Btu using a conversion factor of 20 million Btu per cord, from the SEDS documentation. In addition, SEDS only includes wood consumption for residential heating; therefore </w:t>
      </w:r>
      <w:r w:rsidR="00536553">
        <w:t xml:space="preserve">predicted wood consumption from </w:t>
      </w:r>
      <w:r w:rsidR="00441172">
        <w:t>outdoor recreational wood-burning (</w:t>
      </w:r>
      <w:r w:rsidR="00536553" w:rsidRPr="003249A8">
        <w:rPr>
          <w:szCs w:val="20"/>
        </w:rPr>
        <w:t>2104008700</w:t>
      </w:r>
      <w:r w:rsidR="00536553">
        <w:rPr>
          <w:szCs w:val="20"/>
        </w:rPr>
        <w:t xml:space="preserve">) and wax </w:t>
      </w:r>
      <w:proofErr w:type="spellStart"/>
      <w:r w:rsidR="00536553">
        <w:rPr>
          <w:szCs w:val="20"/>
        </w:rPr>
        <w:t>firelogs</w:t>
      </w:r>
      <w:proofErr w:type="spellEnd"/>
      <w:r w:rsidR="00536553">
        <w:rPr>
          <w:szCs w:val="20"/>
        </w:rPr>
        <w:t xml:space="preserve"> (</w:t>
      </w:r>
      <w:r w:rsidR="00536553" w:rsidRPr="003249A8">
        <w:rPr>
          <w:szCs w:val="20"/>
        </w:rPr>
        <w:t>2104009000</w:t>
      </w:r>
      <w:r w:rsidR="00536553">
        <w:rPr>
          <w:szCs w:val="20"/>
        </w:rPr>
        <w:t xml:space="preserve">) are not summed to calculate the SEDS adjustment.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09348C" w:rsidTr="00001778">
        <w:trPr>
          <w:trHeight w:val="585"/>
        </w:trPr>
        <w:tc>
          <w:tcPr>
            <w:tcW w:w="8748" w:type="dxa"/>
          </w:tcPr>
          <w:p w:rsidR="0009348C" w:rsidRPr="00770E9B" w:rsidRDefault="0055624A" w:rsidP="00350E60">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SAF</m:t>
                    </m:r>
                  </m:e>
                  <m:sub>
                    <m:r>
                      <w:rPr>
                        <w:rFonts w:ascii="Cambria Math" w:hAnsi="Cambria Math"/>
                        <w:szCs w:val="20"/>
                      </w:rPr>
                      <m:t>s</m:t>
                    </m:r>
                  </m:sub>
                </m:sSub>
                <m:r>
                  <w:rPr>
                    <w:rFonts w:ascii="Cambria Math" w:hAnsi="Cambria Math"/>
                    <w:szCs w:val="20"/>
                  </w:rPr>
                  <m:t>=</m:t>
                </m:r>
                <m:f>
                  <m:fPr>
                    <m:ctrlPr>
                      <w:rPr>
                        <w:rFonts w:ascii="Cambria Math" w:hAnsi="Cambria Math"/>
                        <w:i/>
                        <w:szCs w:val="20"/>
                      </w:rPr>
                    </m:ctrlPr>
                  </m:fPr>
                  <m:num>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w:rPr>
                                <w:rFonts w:ascii="Cambria Math" w:hAnsi="Cambria Math"/>
                                <w:szCs w:val="20"/>
                              </w:rPr>
                              <m:t>W</m:t>
                            </m:r>
                          </m:e>
                          <m:sub>
                            <m:r>
                              <w:rPr>
                                <w:rFonts w:ascii="Cambria Math" w:hAnsi="Cambria Math"/>
                                <w:szCs w:val="20"/>
                              </w:rPr>
                              <m:t>c,SCC</m:t>
                            </m:r>
                          </m:sub>
                        </m:sSub>
                      </m:e>
                    </m:nary>
                  </m:num>
                  <m:den>
                    <m:sSub>
                      <m:sSubPr>
                        <m:ctrlPr>
                          <w:rPr>
                            <w:rFonts w:ascii="Cambria Math" w:hAnsi="Cambria Math"/>
                            <w:i/>
                            <w:szCs w:val="20"/>
                          </w:rPr>
                        </m:ctrlPr>
                      </m:sSubPr>
                      <m:e>
                        <m:r>
                          <w:rPr>
                            <w:rFonts w:ascii="Cambria Math" w:hAnsi="Cambria Math"/>
                            <w:szCs w:val="20"/>
                          </w:rPr>
                          <m:t>W</m:t>
                        </m:r>
                      </m:e>
                      <m:sub>
                        <m:r>
                          <w:rPr>
                            <w:rFonts w:ascii="Cambria Math" w:hAnsi="Cambria Math"/>
                            <w:szCs w:val="20"/>
                          </w:rPr>
                          <m:t>s,SEDS</m:t>
                        </m:r>
                      </m:sub>
                    </m:sSub>
                  </m:den>
                </m:f>
              </m:oMath>
            </m:oMathPara>
          </w:p>
        </w:tc>
        <w:tc>
          <w:tcPr>
            <w:tcW w:w="828" w:type="dxa"/>
          </w:tcPr>
          <w:p w:rsidR="0009348C" w:rsidRPr="003D471D" w:rsidRDefault="0009348C" w:rsidP="0009348C">
            <w:pPr>
              <w:pStyle w:val="ListParagraph"/>
              <w:widowControl/>
              <w:numPr>
                <w:ilvl w:val="0"/>
                <w:numId w:val="10"/>
              </w:numPr>
              <w:autoSpaceDE/>
              <w:autoSpaceDN/>
              <w:adjustRightInd/>
              <w:jc w:val="right"/>
              <w:rPr>
                <w:szCs w:val="20"/>
              </w:rPr>
            </w:pPr>
          </w:p>
        </w:tc>
      </w:tr>
    </w:tbl>
    <w:p w:rsidR="0009348C" w:rsidRDefault="00536553" w:rsidP="004B6C45">
      <w:pPr>
        <w:pStyle w:val="BodyText"/>
        <w:spacing w:line="240" w:lineRule="auto"/>
        <w:rPr>
          <w:sz w:val="20"/>
        </w:rPr>
      </w:pPr>
      <w:r>
        <w:rPr>
          <w:sz w:val="20"/>
        </w:rPr>
        <w:t>Where:</w:t>
      </w:r>
    </w:p>
    <w:p w:rsidR="00536553" w:rsidRPr="00350E60" w:rsidRDefault="00536553" w:rsidP="00536553">
      <w:pPr>
        <w:pStyle w:val="NoSpacing"/>
        <w:tabs>
          <w:tab w:val="clear" w:pos="1584"/>
          <w:tab w:val="left" w:pos="1620"/>
          <w:tab w:val="left" w:pos="1800"/>
        </w:tabs>
        <w:ind w:left="1620"/>
      </w:pPr>
      <w:r>
        <w:tab/>
      </w:r>
      <w:r w:rsidR="00350E60" w:rsidRPr="00350E60">
        <w:rPr>
          <w:i/>
        </w:rPr>
        <w:t>SAF</w:t>
      </w:r>
      <w:r w:rsidR="00350E60" w:rsidRPr="00350E60">
        <w:rPr>
          <w:i/>
          <w:vertAlign w:val="subscript"/>
        </w:rPr>
        <w:t>s</w:t>
      </w:r>
      <w:r>
        <w:rPr>
          <w:i/>
          <w:vertAlign w:val="subscript"/>
        </w:rPr>
        <w:tab/>
      </w:r>
      <w:r>
        <w:rPr>
          <w:i/>
        </w:rPr>
        <w:t xml:space="preserve">= </w:t>
      </w:r>
      <w:r>
        <w:rPr>
          <w:i/>
        </w:rPr>
        <w:tab/>
      </w:r>
      <w:r w:rsidR="00350E60">
        <w:t xml:space="preserve">SEDS adjustment factor for state </w:t>
      </w:r>
      <w:r w:rsidR="00350E60">
        <w:rPr>
          <w:i/>
        </w:rPr>
        <w:t>s</w:t>
      </w:r>
    </w:p>
    <w:p w:rsidR="00536553" w:rsidRDefault="00536553" w:rsidP="00536553">
      <w:pPr>
        <w:pStyle w:val="NoSpacing"/>
        <w:tabs>
          <w:tab w:val="clear" w:pos="1584"/>
          <w:tab w:val="left" w:pos="1620"/>
          <w:tab w:val="left" w:pos="1800"/>
        </w:tabs>
        <w:ind w:left="1620"/>
      </w:pPr>
      <w:r>
        <w:tab/>
      </w:r>
      <w:proofErr w:type="spellStart"/>
      <w:r>
        <w:rPr>
          <w:i/>
        </w:rPr>
        <w:t>W</w:t>
      </w:r>
      <w:r>
        <w:rPr>
          <w:i/>
          <w:vertAlign w:val="subscript"/>
        </w:rPr>
        <w:t>c</w:t>
      </w:r>
      <w:proofErr w:type="gramStart"/>
      <w:r>
        <w:rPr>
          <w:i/>
          <w:vertAlign w:val="subscript"/>
        </w:rPr>
        <w:t>,SCC</w:t>
      </w:r>
      <w:proofErr w:type="spellEnd"/>
      <w:proofErr w:type="gramEnd"/>
      <w:r>
        <w:rPr>
          <w:i/>
          <w:vertAlign w:val="subscript"/>
        </w:rPr>
        <w:tab/>
      </w:r>
      <w:r>
        <w:rPr>
          <w:i/>
        </w:rPr>
        <w:t xml:space="preserve">= </w:t>
      </w:r>
      <w:r>
        <w:rPr>
          <w:i/>
        </w:rPr>
        <w:tab/>
      </w:r>
      <w:r>
        <w:t xml:space="preserve">Amount of wood burned in each SCC in county </w:t>
      </w:r>
      <w:r>
        <w:rPr>
          <w:i/>
        </w:rPr>
        <w:t>c</w:t>
      </w:r>
      <w:r>
        <w:t>, in tons per year</w:t>
      </w:r>
    </w:p>
    <w:p w:rsidR="00536553" w:rsidRDefault="00536553" w:rsidP="00536553">
      <w:pPr>
        <w:pStyle w:val="NoSpacing"/>
        <w:tabs>
          <w:tab w:val="clear" w:pos="1584"/>
          <w:tab w:val="left" w:pos="1620"/>
          <w:tab w:val="left" w:pos="1800"/>
        </w:tabs>
        <w:ind w:left="1620"/>
      </w:pPr>
      <w:r>
        <w:tab/>
      </w:r>
      <w:proofErr w:type="spellStart"/>
      <w:r>
        <w:rPr>
          <w:i/>
        </w:rPr>
        <w:t>W</w:t>
      </w:r>
      <w:r>
        <w:rPr>
          <w:i/>
          <w:vertAlign w:val="subscript"/>
        </w:rPr>
        <w:t>s</w:t>
      </w:r>
      <w:proofErr w:type="gramStart"/>
      <w:r>
        <w:rPr>
          <w:i/>
          <w:vertAlign w:val="subscript"/>
        </w:rPr>
        <w:t>,SEDS</w:t>
      </w:r>
      <w:proofErr w:type="spellEnd"/>
      <w:proofErr w:type="gramEnd"/>
      <w:r>
        <w:rPr>
          <w:i/>
          <w:vertAlign w:val="subscript"/>
        </w:rPr>
        <w:tab/>
      </w:r>
      <w:r>
        <w:rPr>
          <w:i/>
        </w:rPr>
        <w:t xml:space="preserve">= </w:t>
      </w:r>
      <w:r>
        <w:rPr>
          <w:i/>
        </w:rPr>
        <w:tab/>
      </w:r>
      <w:r>
        <w:t xml:space="preserve">Amount of wood consumption in </w:t>
      </w:r>
      <w:proofErr w:type="spellStart"/>
      <w:r>
        <w:t xml:space="preserve">state </w:t>
      </w:r>
      <w:r>
        <w:rPr>
          <w:i/>
        </w:rPr>
        <w:t>s</w:t>
      </w:r>
      <w:proofErr w:type="spellEnd"/>
      <w:r>
        <w:t xml:space="preserve"> reported by SEDS</w:t>
      </w:r>
      <w:r>
        <w:rPr>
          <w:i/>
        </w:rPr>
        <w:t xml:space="preserve"> </w:t>
      </w:r>
    </w:p>
    <w:p w:rsidR="00536553" w:rsidRDefault="00536553" w:rsidP="00536553">
      <w:pPr>
        <w:pStyle w:val="NoSpacing"/>
        <w:rPr>
          <w:b/>
        </w:rPr>
      </w:pPr>
    </w:p>
    <w:p w:rsidR="00350E60" w:rsidRPr="00350E60" w:rsidRDefault="00536553" w:rsidP="00536553">
      <w:r>
        <w:t>The second adjustment EPA made to the predicted wood consumption relates to central heaters and outdoor recreational equipment. After an initial review of predicted wood-burning activity, EPA felt that the estimated amount of wood burned in these appliances in dense urban areas was unreasonably high.</w:t>
      </w:r>
      <w:r w:rsidR="00350E60">
        <w:t xml:space="preserve"> Therefore, EPA developed a second adjustment factor based on the housing density (homes/mi</w:t>
      </w:r>
      <w:r w:rsidR="00350E60" w:rsidRPr="00350E60">
        <w:rPr>
          <w:vertAlign w:val="superscript"/>
        </w:rPr>
        <w:t>2</w:t>
      </w:r>
      <w:r w:rsidR="00350E60">
        <w:t>) in each county, based on the equation for a sigmoid curve. The housing density adjustment factor is calibrated such that it approaches 0 when county-level housing density approaches 1,000 homes/mi</w:t>
      </w:r>
      <w:r w:rsidR="00350E60" w:rsidRPr="00350E60">
        <w:rPr>
          <w:vertAlign w:val="superscript"/>
        </w:rPr>
        <w:t>2</w:t>
      </w:r>
      <w:r w:rsidR="00350E60">
        <w:t xml:space="preserve">. The housing density adjustment factor is multiplied by the predicted wood-burning activity only for </w:t>
      </w:r>
      <w:r w:rsidR="00FD18D9">
        <w:t xml:space="preserve">central heating appliances (wood boilers and furnaces) and outdoor recreational wood-burning appliances.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810"/>
      </w:tblGrid>
      <w:tr w:rsidR="00350E60" w:rsidTr="00FD18D9">
        <w:trPr>
          <w:trHeight w:val="585"/>
        </w:trPr>
        <w:tc>
          <w:tcPr>
            <w:tcW w:w="8550" w:type="dxa"/>
          </w:tcPr>
          <w:p w:rsidR="00350E60" w:rsidRPr="00770E9B" w:rsidRDefault="0055624A" w:rsidP="00350E60">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HAF</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r>
                      <w:rPr>
                        <w:rFonts w:ascii="Cambria Math" w:hAnsi="Cambria Math"/>
                        <w:szCs w:val="20"/>
                      </w:rPr>
                      <m:t>1</m:t>
                    </m:r>
                  </m:num>
                  <m:den>
                    <m:sSup>
                      <m:sSupPr>
                        <m:ctrlPr>
                          <w:rPr>
                            <w:rFonts w:ascii="Cambria Math" w:hAnsi="Cambria Math"/>
                            <w:i/>
                            <w:szCs w:val="20"/>
                          </w:rPr>
                        </m:ctrlPr>
                      </m:sSupPr>
                      <m:e>
                        <m:r>
                          <w:rPr>
                            <w:rFonts w:ascii="Cambria Math" w:hAnsi="Cambria Math"/>
                            <w:szCs w:val="20"/>
                          </w:rPr>
                          <m:t>1+e</m:t>
                        </m:r>
                      </m:e>
                      <m:sup>
                        <m:r>
                          <w:rPr>
                            <w:rFonts w:ascii="Cambria Math" w:hAnsi="Cambria Math"/>
                            <w:szCs w:val="20"/>
                          </w:rPr>
                          <m:t xml:space="preserve">-0.01 </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HD</m:t>
                                </m:r>
                              </m:e>
                              <m:sub>
                                <m:r>
                                  <w:rPr>
                                    <w:rFonts w:ascii="Cambria Math" w:hAnsi="Cambria Math"/>
                                    <w:szCs w:val="20"/>
                                  </w:rPr>
                                  <m:t>c</m:t>
                                </m:r>
                              </m:sub>
                            </m:sSub>
                            <m:r>
                              <w:rPr>
                                <w:rFonts w:ascii="Cambria Math" w:hAnsi="Cambria Math"/>
                                <w:szCs w:val="20"/>
                              </w:rPr>
                              <m:t>-500</m:t>
                            </m:r>
                          </m:e>
                        </m:d>
                      </m:sup>
                    </m:sSup>
                  </m:den>
                </m:f>
                <m:r>
                  <w:rPr>
                    <w:rFonts w:ascii="Cambria Math" w:hAnsi="Cambria Math"/>
                    <w:szCs w:val="20"/>
                  </w:rPr>
                  <m:t>+1</m:t>
                </m:r>
              </m:oMath>
            </m:oMathPara>
          </w:p>
        </w:tc>
        <w:tc>
          <w:tcPr>
            <w:tcW w:w="810" w:type="dxa"/>
          </w:tcPr>
          <w:p w:rsidR="00350E60" w:rsidRPr="003D471D" w:rsidRDefault="00350E60" w:rsidP="00350E60">
            <w:pPr>
              <w:pStyle w:val="ListParagraph"/>
              <w:widowControl/>
              <w:numPr>
                <w:ilvl w:val="0"/>
                <w:numId w:val="10"/>
              </w:numPr>
              <w:autoSpaceDE/>
              <w:autoSpaceDN/>
              <w:adjustRightInd/>
              <w:jc w:val="right"/>
              <w:rPr>
                <w:szCs w:val="20"/>
              </w:rPr>
            </w:pPr>
          </w:p>
        </w:tc>
      </w:tr>
    </w:tbl>
    <w:p w:rsidR="00FD18D9" w:rsidRDefault="00FD18D9" w:rsidP="00FD18D9">
      <w:pPr>
        <w:pStyle w:val="BodyText"/>
        <w:spacing w:line="240" w:lineRule="auto"/>
        <w:rPr>
          <w:sz w:val="20"/>
        </w:rPr>
      </w:pPr>
      <w:r>
        <w:rPr>
          <w:sz w:val="20"/>
        </w:rPr>
        <w:lastRenderedPageBreak/>
        <w:t>Where:</w:t>
      </w:r>
    </w:p>
    <w:p w:rsidR="00FD18D9" w:rsidRDefault="00FD18D9" w:rsidP="00FD18D9">
      <w:pPr>
        <w:pStyle w:val="NoSpacing"/>
        <w:tabs>
          <w:tab w:val="clear" w:pos="1584"/>
          <w:tab w:val="left" w:pos="1620"/>
          <w:tab w:val="left" w:pos="1800"/>
        </w:tabs>
        <w:ind w:left="1620"/>
        <w:rPr>
          <w:i/>
        </w:rPr>
      </w:pPr>
      <w:r>
        <w:tab/>
      </w:r>
      <w:r>
        <w:rPr>
          <w:i/>
        </w:rPr>
        <w:t>H</w:t>
      </w:r>
      <w:r w:rsidRPr="00350E60">
        <w:rPr>
          <w:i/>
        </w:rPr>
        <w:t>AF</w:t>
      </w:r>
      <w:r w:rsidRPr="00350E60">
        <w:rPr>
          <w:i/>
          <w:vertAlign w:val="subscript"/>
        </w:rPr>
        <w:t>s</w:t>
      </w:r>
      <w:r>
        <w:rPr>
          <w:i/>
          <w:vertAlign w:val="subscript"/>
        </w:rPr>
        <w:tab/>
      </w:r>
      <w:r>
        <w:rPr>
          <w:i/>
        </w:rPr>
        <w:t xml:space="preserve">= </w:t>
      </w:r>
      <w:r>
        <w:rPr>
          <w:i/>
        </w:rPr>
        <w:tab/>
      </w:r>
      <w:r>
        <w:t xml:space="preserve">Housing density adjustment factor for county </w:t>
      </w:r>
      <w:r>
        <w:rPr>
          <w:i/>
        </w:rPr>
        <w:t>c</w:t>
      </w:r>
    </w:p>
    <w:p w:rsidR="00FD18D9" w:rsidRPr="00FD18D9" w:rsidRDefault="00FD18D9" w:rsidP="00FD18D9">
      <w:pPr>
        <w:pStyle w:val="NoSpacing"/>
        <w:tabs>
          <w:tab w:val="clear" w:pos="1584"/>
          <w:tab w:val="left" w:pos="1620"/>
          <w:tab w:val="left" w:pos="1800"/>
        </w:tabs>
        <w:ind w:left="1620"/>
      </w:pPr>
      <w:r>
        <w:rPr>
          <w:i/>
        </w:rPr>
        <w:tab/>
      </w:r>
      <w:proofErr w:type="spellStart"/>
      <w:r>
        <w:rPr>
          <w:i/>
        </w:rPr>
        <w:t>HD</w:t>
      </w:r>
      <w:r>
        <w:rPr>
          <w:i/>
          <w:vertAlign w:val="subscript"/>
        </w:rPr>
        <w:t>c</w:t>
      </w:r>
      <w:proofErr w:type="spellEnd"/>
      <w:r>
        <w:rPr>
          <w:i/>
        </w:rPr>
        <w:tab/>
        <w:t>=</w:t>
      </w:r>
      <w:r>
        <w:rPr>
          <w:i/>
        </w:rPr>
        <w:tab/>
      </w:r>
      <w:r>
        <w:t xml:space="preserve">Housing density in county </w:t>
      </w:r>
      <w:r>
        <w:rPr>
          <w:i/>
        </w:rPr>
        <w:t xml:space="preserve">c, </w:t>
      </w:r>
      <w:r>
        <w:t>in homes/mi</w:t>
      </w:r>
      <w:r w:rsidRPr="00FD18D9">
        <w:rPr>
          <w:vertAlign w:val="superscript"/>
        </w:rPr>
        <w:t>2</w:t>
      </w:r>
      <w:r>
        <w:t xml:space="preserve"> </w:t>
      </w:r>
    </w:p>
    <w:p w:rsidR="00292A0E" w:rsidRDefault="00292A0E" w:rsidP="00536553"/>
    <w:p w:rsidR="00FD18D9" w:rsidRDefault="00FD18D9" w:rsidP="00536553">
      <w:r>
        <w:t>The SEDS and housing density adjustment factors are multiplied by the county-level predicted wood-burning activity to develop the adjusted wood-burning activity in each county.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810"/>
      </w:tblGrid>
      <w:tr w:rsidR="00FD18D9" w:rsidTr="00001778">
        <w:trPr>
          <w:trHeight w:val="585"/>
        </w:trPr>
        <w:tc>
          <w:tcPr>
            <w:tcW w:w="8550" w:type="dxa"/>
          </w:tcPr>
          <w:p w:rsidR="00FD18D9" w:rsidRPr="00770E9B" w:rsidRDefault="0055624A" w:rsidP="00FD18D9">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AW</m:t>
                    </m:r>
                  </m:e>
                  <m:sub>
                    <m:r>
                      <w:rPr>
                        <w:rFonts w:ascii="Cambria Math" w:hAnsi="Cambria Math"/>
                        <w:szCs w:val="20"/>
                      </w:rPr>
                      <m:t>c,SCC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c,SCC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SAF</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HAF</m:t>
                    </m:r>
                  </m:e>
                  <m:sub>
                    <m:r>
                      <w:rPr>
                        <w:rFonts w:ascii="Cambria Math" w:hAnsi="Cambria Math"/>
                        <w:szCs w:val="20"/>
                      </w:rPr>
                      <m:t>c</m:t>
                    </m:r>
                  </m:sub>
                </m:sSub>
              </m:oMath>
            </m:oMathPara>
          </w:p>
        </w:tc>
        <w:tc>
          <w:tcPr>
            <w:tcW w:w="810" w:type="dxa"/>
          </w:tcPr>
          <w:p w:rsidR="00FD18D9" w:rsidRPr="003D471D" w:rsidRDefault="00FD18D9" w:rsidP="00001778">
            <w:pPr>
              <w:pStyle w:val="ListParagraph"/>
              <w:widowControl/>
              <w:numPr>
                <w:ilvl w:val="0"/>
                <w:numId w:val="10"/>
              </w:numPr>
              <w:autoSpaceDE/>
              <w:autoSpaceDN/>
              <w:adjustRightInd/>
              <w:jc w:val="right"/>
              <w:rPr>
                <w:szCs w:val="20"/>
              </w:rPr>
            </w:pPr>
          </w:p>
        </w:tc>
      </w:tr>
    </w:tbl>
    <w:p w:rsidR="00FD18D9" w:rsidRDefault="00FD18D9" w:rsidP="00FD18D9">
      <w:pPr>
        <w:pStyle w:val="BodyText"/>
        <w:spacing w:line="240" w:lineRule="auto"/>
        <w:rPr>
          <w:sz w:val="20"/>
        </w:rPr>
      </w:pPr>
      <w:r>
        <w:rPr>
          <w:sz w:val="20"/>
        </w:rPr>
        <w:t>Where:</w:t>
      </w:r>
    </w:p>
    <w:p w:rsidR="00FD18D9" w:rsidRDefault="00FD18D9" w:rsidP="00FD18D9">
      <w:pPr>
        <w:pStyle w:val="NoSpacing"/>
        <w:tabs>
          <w:tab w:val="clear" w:pos="1584"/>
          <w:tab w:val="left" w:pos="1620"/>
          <w:tab w:val="left" w:pos="1800"/>
        </w:tabs>
        <w:ind w:left="1620"/>
      </w:pPr>
      <w:r>
        <w:tab/>
      </w:r>
      <w:proofErr w:type="spellStart"/>
      <w:r w:rsidRPr="00FD18D9">
        <w:rPr>
          <w:i/>
        </w:rPr>
        <w:t>A</w:t>
      </w:r>
      <w:r>
        <w:rPr>
          <w:i/>
        </w:rPr>
        <w:t>W</w:t>
      </w:r>
      <w:r>
        <w:rPr>
          <w:i/>
          <w:vertAlign w:val="subscript"/>
        </w:rPr>
        <w:t>c</w:t>
      </w:r>
      <w:proofErr w:type="gramStart"/>
      <w:r>
        <w:rPr>
          <w:i/>
          <w:vertAlign w:val="subscript"/>
        </w:rPr>
        <w:t>,SCC</w:t>
      </w:r>
      <w:proofErr w:type="spellEnd"/>
      <w:proofErr w:type="gramEnd"/>
      <w:r>
        <w:rPr>
          <w:i/>
          <w:vertAlign w:val="subscript"/>
        </w:rPr>
        <w:tab/>
      </w:r>
      <w:r>
        <w:rPr>
          <w:i/>
        </w:rPr>
        <w:t xml:space="preserve">= </w:t>
      </w:r>
      <w:r>
        <w:rPr>
          <w:i/>
        </w:rPr>
        <w:tab/>
      </w:r>
      <w:r>
        <w:t xml:space="preserve">Adjusted amount of wood burned in each SCC in county </w:t>
      </w:r>
      <w:r>
        <w:rPr>
          <w:i/>
        </w:rPr>
        <w:t>c</w:t>
      </w:r>
      <w:r>
        <w:t>, in tons per year</w:t>
      </w:r>
    </w:p>
    <w:p w:rsidR="00FD18D9" w:rsidRDefault="00FD18D9" w:rsidP="00FD18D9">
      <w:pPr>
        <w:pStyle w:val="NoSpacing"/>
        <w:tabs>
          <w:tab w:val="clear" w:pos="1584"/>
          <w:tab w:val="left" w:pos="1620"/>
          <w:tab w:val="left" w:pos="1800"/>
        </w:tabs>
        <w:ind w:left="1620"/>
        <w:rPr>
          <w:i/>
        </w:rPr>
      </w:pPr>
      <w:r>
        <w:tab/>
      </w:r>
      <w:r w:rsidRPr="00350E60">
        <w:rPr>
          <w:i/>
        </w:rPr>
        <w:t>SAF</w:t>
      </w:r>
      <w:r w:rsidRPr="00350E60">
        <w:rPr>
          <w:i/>
          <w:vertAlign w:val="subscript"/>
        </w:rPr>
        <w:t>s</w:t>
      </w:r>
      <w:r>
        <w:rPr>
          <w:i/>
          <w:vertAlign w:val="subscript"/>
        </w:rPr>
        <w:tab/>
      </w:r>
      <w:r>
        <w:rPr>
          <w:i/>
        </w:rPr>
        <w:t xml:space="preserve">= </w:t>
      </w:r>
      <w:r>
        <w:rPr>
          <w:i/>
        </w:rPr>
        <w:tab/>
      </w:r>
      <w:r>
        <w:t xml:space="preserve">SEDS adjustment factor for state </w:t>
      </w:r>
      <w:r>
        <w:rPr>
          <w:i/>
        </w:rPr>
        <w:t>s</w:t>
      </w:r>
    </w:p>
    <w:p w:rsidR="00FD18D9" w:rsidRPr="00FD18D9" w:rsidRDefault="00FD18D9" w:rsidP="00FD18D9">
      <w:pPr>
        <w:pStyle w:val="NoSpacing"/>
        <w:tabs>
          <w:tab w:val="clear" w:pos="1584"/>
          <w:tab w:val="left" w:pos="1620"/>
          <w:tab w:val="left" w:pos="1800"/>
        </w:tabs>
        <w:ind w:left="1620"/>
      </w:pPr>
      <w:r>
        <w:rPr>
          <w:i/>
        </w:rPr>
        <w:tab/>
        <w:t>H</w:t>
      </w:r>
      <w:r w:rsidRPr="00350E60">
        <w:rPr>
          <w:i/>
        </w:rPr>
        <w:t>AF</w:t>
      </w:r>
      <w:r w:rsidRPr="00350E60">
        <w:rPr>
          <w:i/>
          <w:vertAlign w:val="subscript"/>
        </w:rPr>
        <w:t>s</w:t>
      </w:r>
      <w:r>
        <w:rPr>
          <w:i/>
          <w:vertAlign w:val="subscript"/>
        </w:rPr>
        <w:tab/>
      </w:r>
      <w:r>
        <w:rPr>
          <w:i/>
        </w:rPr>
        <w:t xml:space="preserve">= </w:t>
      </w:r>
      <w:r>
        <w:rPr>
          <w:i/>
        </w:rPr>
        <w:tab/>
      </w:r>
      <w:r>
        <w:t xml:space="preserve">Housing density adjustment factor for county </w:t>
      </w:r>
      <w:r>
        <w:rPr>
          <w:i/>
        </w:rPr>
        <w:t>c</w:t>
      </w:r>
    </w:p>
    <w:p w:rsidR="00BA2DD8" w:rsidRDefault="00BA2DD8" w:rsidP="004B6C45">
      <w:pPr>
        <w:pStyle w:val="BodyText"/>
        <w:spacing w:line="240" w:lineRule="auto"/>
        <w:rPr>
          <w:sz w:val="20"/>
          <w:highlight w:val="yellow"/>
        </w:rPr>
      </w:pPr>
    </w:p>
    <w:p w:rsidR="00715C4E" w:rsidRPr="00292A0E" w:rsidRDefault="00715C4E" w:rsidP="004B6C45">
      <w:pPr>
        <w:pStyle w:val="BodyText"/>
        <w:spacing w:line="240" w:lineRule="auto"/>
        <w:rPr>
          <w:sz w:val="20"/>
        </w:rPr>
      </w:pPr>
      <w:r w:rsidRPr="00715C4E">
        <w:rPr>
          <w:sz w:val="20"/>
        </w:rPr>
        <w:t xml:space="preserve">Note </w:t>
      </w:r>
      <w:r>
        <w:rPr>
          <w:sz w:val="20"/>
        </w:rPr>
        <w:t xml:space="preserve">that the appliance fractions and burn rates provided in the input templates already take into account the housing density and SEDS adjustments. Therefore the </w:t>
      </w:r>
      <w:r w:rsidR="00292A0E">
        <w:rPr>
          <w:sz w:val="20"/>
        </w:rPr>
        <w:t xml:space="preserve">input </w:t>
      </w:r>
      <w:r>
        <w:rPr>
          <w:sz w:val="20"/>
        </w:rPr>
        <w:t xml:space="preserve">templates </w:t>
      </w:r>
      <w:r w:rsidR="00292A0E">
        <w:rPr>
          <w:sz w:val="20"/>
        </w:rPr>
        <w:t xml:space="preserve">for RWC </w:t>
      </w:r>
      <w:r>
        <w:rPr>
          <w:sz w:val="20"/>
        </w:rPr>
        <w:t xml:space="preserve">do not ask SLT agencies to submit values for the housing density or SEDS adjustments. Rather, SLT agencies need only to submit revisions to the appliance fractions and burn rates themselves. </w:t>
      </w:r>
      <w:r w:rsidR="00752E68">
        <w:rPr>
          <w:sz w:val="20"/>
        </w:rPr>
        <w:t xml:space="preserve">Equations 4 and 5 are included here only to provide more information about how the appliance fractions and burn rates were adjusted. </w:t>
      </w:r>
    </w:p>
    <w:p w:rsidR="00B97E6E" w:rsidRDefault="007D6365" w:rsidP="00052E59">
      <w:pPr>
        <w:pStyle w:val="Heading1"/>
      </w:pPr>
      <w:bookmarkStart w:id="6" w:name="_Ref477177506"/>
      <w:r>
        <w:t>A</w:t>
      </w:r>
      <w:r w:rsidR="00B97E6E" w:rsidRPr="00203DFF">
        <w:t>llocation Procedure</w:t>
      </w:r>
      <w:bookmarkEnd w:id="6"/>
      <w:r w:rsidR="00B97E6E" w:rsidRPr="009820A2">
        <w:t xml:space="preserve"> </w:t>
      </w:r>
    </w:p>
    <w:p w:rsidR="00273030" w:rsidRPr="003D38C0" w:rsidRDefault="00273030" w:rsidP="00292A0E">
      <w:bookmarkStart w:id="7" w:name="_Ref477177456"/>
      <w:r>
        <w:t>Appliance fractions and burn rates are calculated at the county-level. There is no need to allocate data to the county level for this category.</w:t>
      </w:r>
    </w:p>
    <w:p w:rsidR="00B97E6E" w:rsidRPr="00886F17" w:rsidRDefault="00B97E6E" w:rsidP="003D38C0">
      <w:pPr>
        <w:pStyle w:val="Heading1"/>
      </w:pPr>
      <w:bookmarkStart w:id="8" w:name="_Ref477187901"/>
      <w:r w:rsidRPr="00886F17">
        <w:t>Emission</w:t>
      </w:r>
      <w:r w:rsidR="00680037">
        <w:t>s</w:t>
      </w:r>
      <w:r w:rsidRPr="00886F17">
        <w:t xml:space="preserve"> Factors</w:t>
      </w:r>
      <w:bookmarkEnd w:id="7"/>
      <w:bookmarkEnd w:id="8"/>
    </w:p>
    <w:p w:rsidR="00B97E6E" w:rsidRDefault="00D22D32" w:rsidP="000017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Emissions factors for RWC come </w:t>
      </w:r>
      <w:r w:rsidR="009C54F9">
        <w:rPr>
          <w:szCs w:val="20"/>
        </w:rPr>
        <w:t>primarily from AP-42</w:t>
      </w:r>
      <w:r>
        <w:rPr>
          <w:rStyle w:val="EndnoteReference"/>
          <w:szCs w:val="20"/>
        </w:rPr>
        <w:endnoteReference w:id="10"/>
      </w:r>
      <w:r w:rsidR="009C54F9">
        <w:rPr>
          <w:szCs w:val="20"/>
        </w:rPr>
        <w:t xml:space="preserve"> and Houck and Eagle (2006)</w:t>
      </w:r>
      <w:r w:rsidR="00001778">
        <w:rPr>
          <w:szCs w:val="20"/>
        </w:rPr>
        <w:t>,</w:t>
      </w:r>
      <w:bookmarkStart w:id="9" w:name="_Ref11346072"/>
      <w:r w:rsidR="009C54F9">
        <w:rPr>
          <w:rStyle w:val="EndnoteReference"/>
          <w:szCs w:val="20"/>
        </w:rPr>
        <w:endnoteReference w:id="11"/>
      </w:r>
      <w:bookmarkEnd w:id="9"/>
      <w:r w:rsidR="00001778">
        <w:rPr>
          <w:szCs w:val="20"/>
        </w:rPr>
        <w:t xml:space="preserve"> but also from Houck et al. (2001)</w:t>
      </w:r>
      <w:r w:rsidR="00104C31">
        <w:rPr>
          <w:szCs w:val="20"/>
        </w:rPr>
        <w:t>.</w:t>
      </w:r>
      <w:r w:rsidR="009C54F9">
        <w:rPr>
          <w:szCs w:val="20"/>
        </w:rPr>
        <w:t xml:space="preserve"> Many of the HAP emissions factors are from Hays et al. (2003).</w:t>
      </w:r>
      <w:r w:rsidR="009C54F9">
        <w:rPr>
          <w:rStyle w:val="EndnoteReference"/>
          <w:szCs w:val="20"/>
        </w:rPr>
        <w:endnoteReference w:id="12"/>
      </w:r>
      <w:r w:rsidR="009C54F9">
        <w:rPr>
          <w:szCs w:val="20"/>
        </w:rPr>
        <w:t xml:space="preserve"> Emissions factors for wax </w:t>
      </w:r>
      <w:proofErr w:type="spellStart"/>
      <w:r w:rsidR="009C54F9">
        <w:rPr>
          <w:szCs w:val="20"/>
        </w:rPr>
        <w:t>firelogs</w:t>
      </w:r>
      <w:proofErr w:type="spellEnd"/>
      <w:r w:rsidR="009C54F9">
        <w:rPr>
          <w:szCs w:val="20"/>
        </w:rPr>
        <w:t xml:space="preserve"> are from Li and Rosenthal (2006).</w:t>
      </w:r>
      <w:r w:rsidR="009C54F9">
        <w:rPr>
          <w:rStyle w:val="EndnoteReference"/>
          <w:szCs w:val="20"/>
        </w:rPr>
        <w:endnoteReference w:id="13"/>
      </w:r>
      <w:r w:rsidR="00001778">
        <w:rPr>
          <w:szCs w:val="20"/>
        </w:rPr>
        <w:t xml:space="preserve"> Additional emission factors are taken from Houck et al. (2001)</w:t>
      </w:r>
      <w:r w:rsidR="00001778">
        <w:rPr>
          <w:rStyle w:val="EndnoteReference"/>
          <w:szCs w:val="20"/>
        </w:rPr>
        <w:endnoteReference w:id="14"/>
      </w:r>
      <w:r w:rsidR="00001778">
        <w:rPr>
          <w:szCs w:val="20"/>
        </w:rPr>
        <w:t xml:space="preserve"> and </w:t>
      </w:r>
      <w:proofErr w:type="spellStart"/>
      <w:r w:rsidR="00001778">
        <w:rPr>
          <w:szCs w:val="20"/>
        </w:rPr>
        <w:t>Aurell</w:t>
      </w:r>
      <w:proofErr w:type="spellEnd"/>
      <w:r w:rsidR="00001778">
        <w:rPr>
          <w:szCs w:val="20"/>
        </w:rPr>
        <w:t xml:space="preserve"> et al. (2012).</w:t>
      </w:r>
      <w:r w:rsidR="00001778">
        <w:rPr>
          <w:rStyle w:val="EndnoteReference"/>
          <w:szCs w:val="20"/>
        </w:rPr>
        <w:endnoteReference w:id="15"/>
      </w:r>
      <w:r w:rsidR="00001778">
        <w:rPr>
          <w:szCs w:val="20"/>
        </w:rPr>
        <w:t xml:space="preserve"> </w:t>
      </w:r>
      <w:r w:rsidR="00001778">
        <w:rPr>
          <w:szCs w:val="20"/>
        </w:rPr>
        <w:fldChar w:fldCharType="begin"/>
      </w:r>
      <w:r w:rsidR="00001778">
        <w:rPr>
          <w:szCs w:val="20"/>
        </w:rPr>
        <w:instrText xml:space="preserve"> REF _Ref11268551 \h </w:instrText>
      </w:r>
      <w:r w:rsidR="00001778">
        <w:rPr>
          <w:szCs w:val="20"/>
        </w:rPr>
      </w:r>
      <w:r w:rsidR="00001778">
        <w:rPr>
          <w:szCs w:val="20"/>
        </w:rPr>
        <w:fldChar w:fldCharType="separate"/>
      </w:r>
      <w:r w:rsidR="00001778">
        <w:t xml:space="preserve">Table </w:t>
      </w:r>
      <w:r w:rsidR="00001778">
        <w:rPr>
          <w:noProof/>
        </w:rPr>
        <w:t>3</w:t>
      </w:r>
      <w:r w:rsidR="00001778">
        <w:rPr>
          <w:szCs w:val="20"/>
        </w:rPr>
        <w:fldChar w:fldCharType="end"/>
      </w:r>
      <w:r w:rsidR="00001778">
        <w:rPr>
          <w:szCs w:val="20"/>
        </w:rPr>
        <w:t>, in the appendix, lists the emissions factors for each SCC.</w:t>
      </w:r>
    </w:p>
    <w:p w:rsidR="00955CCF" w:rsidRDefault="00955CCF" w:rsidP="000017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For certified woodstoves and fireplace inserts, EPA is using the </w:t>
      </w:r>
      <w:r w:rsidR="007F2357">
        <w:rPr>
          <w:szCs w:val="20"/>
        </w:rPr>
        <w:t>emissions factors from the Regulatory Impact Analysis (RIA) for the 2015 New Source Performance Standards (NSPS),</w:t>
      </w:r>
      <w:bookmarkStart w:id="10" w:name="_Ref11410577"/>
      <w:r w:rsidR="00270A32">
        <w:rPr>
          <w:rStyle w:val="EndnoteReference"/>
          <w:szCs w:val="20"/>
        </w:rPr>
        <w:endnoteReference w:id="16"/>
      </w:r>
      <w:bookmarkEnd w:id="10"/>
      <w:r w:rsidR="007F2357">
        <w:rPr>
          <w:szCs w:val="20"/>
        </w:rPr>
        <w:t xml:space="preserve"> which is based on the woodstove emissions standards from the state of Washington in 1995. The RIA notes that the emissions factors for woodstove, fireplace inserts, and pellet stoves will not decrease from that level until the Step 2 standards become effective in 2020. Therefore, EPA used the Washington state emissions factors to estimate 2017 emissions for these categories. </w:t>
      </w:r>
    </w:p>
    <w:p w:rsidR="007F2357" w:rsidRDefault="007F2357" w:rsidP="000017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While the NSPS was expected to decrease emissions for hydronic heaters </w:t>
      </w:r>
      <w:r w:rsidR="00270A32">
        <w:rPr>
          <w:szCs w:val="20"/>
        </w:rPr>
        <w:t>and furnaces in 2015, EPA lacks</w:t>
      </w:r>
      <w:r>
        <w:rPr>
          <w:szCs w:val="20"/>
        </w:rPr>
        <w:t xml:space="preserve"> data on the fraction of these appliances in use that were manufactured after the 2015 NSPS went into effect. </w:t>
      </w:r>
      <w:r w:rsidR="00270A32">
        <w:rPr>
          <w:szCs w:val="20"/>
        </w:rPr>
        <w:t xml:space="preserve">Therefore, EPA made no changes to the emissions factors for hydronic heaters or furnaces. </w:t>
      </w:r>
    </w:p>
    <w:p w:rsidR="00B97E6E" w:rsidRPr="00886F17" w:rsidRDefault="00B97E6E" w:rsidP="00052E59">
      <w:pPr>
        <w:pStyle w:val="Heading1"/>
      </w:pPr>
      <w:r w:rsidRPr="00886F17">
        <w:t>Controls</w:t>
      </w:r>
    </w:p>
    <w:p w:rsidR="00B97E6E" w:rsidRDefault="00B97E6E"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r w:rsidRPr="003733A0">
        <w:rPr>
          <w:szCs w:val="20"/>
        </w:rPr>
        <w:t xml:space="preserve"> </w:t>
      </w:r>
      <w:r w:rsidR="00BA2DD8">
        <w:rPr>
          <w:szCs w:val="20"/>
        </w:rPr>
        <w:t xml:space="preserve">However, SLT agencies may submit state- or county-level control factors that will adjust the emissions by SCC. </w:t>
      </w:r>
    </w:p>
    <w:p w:rsidR="00B97E6E" w:rsidRDefault="00B97E6E" w:rsidP="00052E59">
      <w:pPr>
        <w:pStyle w:val="Heading1"/>
      </w:pPr>
      <w:bookmarkStart w:id="11" w:name="_Ref477177564"/>
      <w:r w:rsidRPr="00886F17">
        <w:t>Emissions</w:t>
      </w:r>
      <w:bookmarkEnd w:id="11"/>
    </w:p>
    <w:p w:rsidR="00646D28" w:rsidRDefault="00001778"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Emissions from RWC are calculated by multiplying the adjusted amount of wood burned in each SCC in each county by SCC- and pollutant-specific emissions factors from </w:t>
      </w:r>
      <w:r>
        <w:rPr>
          <w:szCs w:val="20"/>
        </w:rPr>
        <w:fldChar w:fldCharType="begin"/>
      </w:r>
      <w:r>
        <w:rPr>
          <w:szCs w:val="20"/>
        </w:rPr>
        <w:instrText xml:space="preserve"> REF _Ref11268551 \h </w:instrText>
      </w:r>
      <w:r>
        <w:rPr>
          <w:szCs w:val="20"/>
        </w:rPr>
      </w:r>
      <w:r>
        <w:rPr>
          <w:szCs w:val="20"/>
        </w:rPr>
        <w:fldChar w:fldCharType="separate"/>
      </w:r>
      <w:r>
        <w:t xml:space="preserve">Table </w:t>
      </w:r>
      <w:r>
        <w:rPr>
          <w:noProof/>
        </w:rPr>
        <w:t>3</w:t>
      </w:r>
      <w:r>
        <w:rPr>
          <w:szCs w:val="20"/>
        </w:rPr>
        <w:fldChar w:fldCharType="end"/>
      </w:r>
      <w:r>
        <w:rPr>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810"/>
      </w:tblGrid>
      <w:tr w:rsidR="00001778" w:rsidTr="00001778">
        <w:trPr>
          <w:trHeight w:val="585"/>
        </w:trPr>
        <w:tc>
          <w:tcPr>
            <w:tcW w:w="8550" w:type="dxa"/>
          </w:tcPr>
          <w:p w:rsidR="00001778" w:rsidRPr="00770E9B" w:rsidRDefault="0055624A" w:rsidP="00001778">
            <w:pPr>
              <w:widowControl/>
              <w:autoSpaceDE/>
              <w:autoSpaceDN/>
              <w:adjustRightInd/>
              <w:rPr>
                <w:szCs w:val="20"/>
              </w:rPr>
            </w:pPr>
            <m:oMathPara>
              <m:oMathParaPr>
                <m:jc m:val="center"/>
              </m:oMathParaPr>
              <m:oMath>
                <m:sSub>
                  <m:sSubPr>
                    <m:ctrlPr>
                      <w:rPr>
                        <w:rFonts w:ascii="Cambria Math" w:hAnsi="Cambria Math"/>
                        <w:i/>
                        <w:szCs w:val="20"/>
                      </w:rPr>
                    </m:ctrlPr>
                  </m:sSubPr>
                  <m:e>
                    <m:sSub>
                      <m:sSubPr>
                        <m:ctrlPr>
                          <w:rPr>
                            <w:rFonts w:ascii="Cambria Math" w:hAnsi="Cambria Math"/>
                            <w:i/>
                            <w:szCs w:val="20"/>
                          </w:rPr>
                        </m:ctrlPr>
                      </m:sSubPr>
                      <m:e>
                        <m:r>
                          <w:rPr>
                            <w:rFonts w:ascii="Cambria Math" w:hAnsi="Cambria Math"/>
                            <w:szCs w:val="20"/>
                          </w:rPr>
                          <m:t>E</m:t>
                        </m:r>
                      </m:e>
                      <m:sub>
                        <m:r>
                          <w:rPr>
                            <w:rFonts w:ascii="Cambria Math" w:hAnsi="Cambria Math"/>
                            <w:szCs w:val="20"/>
                          </w:rPr>
                          <m:t>c,SCC,p</m:t>
                        </m:r>
                      </m:sub>
                    </m:sSub>
                    <m:r>
                      <w:rPr>
                        <w:rFonts w:ascii="Cambria Math" w:hAnsi="Cambria Math"/>
                        <w:szCs w:val="20"/>
                      </w:rPr>
                      <m:t>=AW</m:t>
                    </m:r>
                  </m:e>
                  <m:sub>
                    <m:r>
                      <w:rPr>
                        <w:rFonts w:ascii="Cambria Math" w:hAnsi="Cambria Math"/>
                        <w:szCs w:val="20"/>
                      </w:rPr>
                      <m:t>c,SCC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SCC,p</m:t>
                    </m:r>
                  </m:sub>
                </m:sSub>
              </m:oMath>
            </m:oMathPara>
          </w:p>
        </w:tc>
        <w:tc>
          <w:tcPr>
            <w:tcW w:w="810" w:type="dxa"/>
          </w:tcPr>
          <w:p w:rsidR="00001778" w:rsidRPr="003D471D" w:rsidRDefault="00001778" w:rsidP="00001778">
            <w:pPr>
              <w:pStyle w:val="ListParagraph"/>
              <w:widowControl/>
              <w:numPr>
                <w:ilvl w:val="0"/>
                <w:numId w:val="10"/>
              </w:numPr>
              <w:autoSpaceDE/>
              <w:autoSpaceDN/>
              <w:adjustRightInd/>
              <w:jc w:val="right"/>
              <w:rPr>
                <w:szCs w:val="20"/>
              </w:rPr>
            </w:pPr>
          </w:p>
        </w:tc>
      </w:tr>
    </w:tbl>
    <w:p w:rsidR="00001778" w:rsidRDefault="00001778" w:rsidP="00001778">
      <w:pPr>
        <w:pStyle w:val="BodyText"/>
        <w:spacing w:line="240" w:lineRule="auto"/>
        <w:rPr>
          <w:sz w:val="20"/>
        </w:rPr>
      </w:pPr>
      <w:r>
        <w:rPr>
          <w:sz w:val="20"/>
        </w:rPr>
        <w:lastRenderedPageBreak/>
        <w:t>Where:</w:t>
      </w:r>
    </w:p>
    <w:p w:rsidR="00001778" w:rsidRPr="00001778" w:rsidRDefault="00001778" w:rsidP="00001778">
      <w:pPr>
        <w:pStyle w:val="NoSpacing"/>
        <w:tabs>
          <w:tab w:val="clear" w:pos="1584"/>
          <w:tab w:val="left" w:pos="1620"/>
          <w:tab w:val="left" w:pos="1800"/>
        </w:tabs>
        <w:ind w:left="1620"/>
      </w:pPr>
      <w:r>
        <w:tab/>
      </w:r>
      <w:proofErr w:type="spellStart"/>
      <w:r>
        <w:rPr>
          <w:i/>
        </w:rPr>
        <w:t>E</w:t>
      </w:r>
      <w:r>
        <w:rPr>
          <w:i/>
          <w:vertAlign w:val="subscript"/>
        </w:rPr>
        <w:t>c</w:t>
      </w:r>
      <w:proofErr w:type="gramStart"/>
      <w:r>
        <w:rPr>
          <w:i/>
          <w:vertAlign w:val="subscript"/>
        </w:rPr>
        <w:t>,SCC,p</w:t>
      </w:r>
      <w:proofErr w:type="spellEnd"/>
      <w:proofErr w:type="gramEnd"/>
      <w:r>
        <w:rPr>
          <w:vertAlign w:val="subscript"/>
        </w:rPr>
        <w:tab/>
      </w:r>
      <w:r w:rsidRPr="00001778">
        <w:t>=</w:t>
      </w:r>
      <w:r>
        <w:tab/>
        <w:t xml:space="preserve">Emissions of pollutant </w:t>
      </w:r>
      <w:r>
        <w:rPr>
          <w:i/>
        </w:rPr>
        <w:t>p</w:t>
      </w:r>
      <w:r>
        <w:t xml:space="preserve"> from each SCC in county </w:t>
      </w:r>
      <w:r>
        <w:rPr>
          <w:i/>
        </w:rPr>
        <w:t>c</w:t>
      </w:r>
    </w:p>
    <w:p w:rsidR="00001778" w:rsidRDefault="00001778" w:rsidP="00001778">
      <w:pPr>
        <w:pStyle w:val="NoSpacing"/>
        <w:tabs>
          <w:tab w:val="clear" w:pos="1584"/>
          <w:tab w:val="left" w:pos="1620"/>
          <w:tab w:val="left" w:pos="1800"/>
        </w:tabs>
        <w:ind w:left="1620"/>
      </w:pPr>
      <w:r>
        <w:tab/>
      </w:r>
      <w:proofErr w:type="spellStart"/>
      <w:r w:rsidRPr="00FD18D9">
        <w:rPr>
          <w:i/>
        </w:rPr>
        <w:t>A</w:t>
      </w:r>
      <w:r>
        <w:rPr>
          <w:i/>
        </w:rPr>
        <w:t>W</w:t>
      </w:r>
      <w:r>
        <w:rPr>
          <w:i/>
          <w:vertAlign w:val="subscript"/>
        </w:rPr>
        <w:t>c</w:t>
      </w:r>
      <w:proofErr w:type="gramStart"/>
      <w:r>
        <w:rPr>
          <w:i/>
          <w:vertAlign w:val="subscript"/>
        </w:rPr>
        <w:t>,SCC</w:t>
      </w:r>
      <w:proofErr w:type="spellEnd"/>
      <w:proofErr w:type="gramEnd"/>
      <w:r>
        <w:rPr>
          <w:i/>
          <w:vertAlign w:val="subscript"/>
        </w:rPr>
        <w:tab/>
      </w:r>
      <w:r w:rsidRPr="00001778">
        <w:t>=</w:t>
      </w:r>
      <w:r>
        <w:rPr>
          <w:i/>
        </w:rPr>
        <w:t xml:space="preserve"> </w:t>
      </w:r>
      <w:r>
        <w:rPr>
          <w:i/>
        </w:rPr>
        <w:tab/>
      </w:r>
      <w:r>
        <w:t xml:space="preserve">Adjusted amount of wood burned in each SCC in county </w:t>
      </w:r>
      <w:r>
        <w:rPr>
          <w:i/>
        </w:rPr>
        <w:t>c</w:t>
      </w:r>
      <w:r>
        <w:t>, in tons per year</w:t>
      </w:r>
    </w:p>
    <w:p w:rsidR="00001778" w:rsidRPr="00001778" w:rsidRDefault="00001778" w:rsidP="00001778">
      <w:pPr>
        <w:pStyle w:val="NoSpacing"/>
        <w:tabs>
          <w:tab w:val="clear" w:pos="1584"/>
          <w:tab w:val="left" w:pos="1620"/>
          <w:tab w:val="left" w:pos="1800"/>
        </w:tabs>
        <w:ind w:left="1620"/>
      </w:pPr>
      <w:r>
        <w:rPr>
          <w:i/>
        </w:rPr>
        <w:tab/>
      </w:r>
      <w:proofErr w:type="spellStart"/>
      <w:r>
        <w:rPr>
          <w:i/>
        </w:rPr>
        <w:t>EF</w:t>
      </w:r>
      <w:r>
        <w:rPr>
          <w:i/>
          <w:vertAlign w:val="subscript"/>
        </w:rPr>
        <w:t>SCC</w:t>
      </w:r>
      <w:proofErr w:type="gramStart"/>
      <w:r>
        <w:rPr>
          <w:i/>
          <w:vertAlign w:val="subscript"/>
        </w:rPr>
        <w:t>,p</w:t>
      </w:r>
      <w:proofErr w:type="spellEnd"/>
      <w:proofErr w:type="gramEnd"/>
      <w:r>
        <w:tab/>
        <w:t>=</w:t>
      </w:r>
      <w:r>
        <w:tab/>
        <w:t xml:space="preserve">Emissions factor for pollutant </w:t>
      </w:r>
      <w:r>
        <w:rPr>
          <w:i/>
        </w:rPr>
        <w:t>p</w:t>
      </w:r>
      <w:r>
        <w:t xml:space="preserve"> for each SCC, from </w:t>
      </w:r>
      <w:r>
        <w:fldChar w:fldCharType="begin"/>
      </w:r>
      <w:r>
        <w:instrText xml:space="preserve"> REF _Ref11268551 \h </w:instrText>
      </w:r>
      <w:r>
        <w:fldChar w:fldCharType="separate"/>
      </w:r>
      <w:r>
        <w:t xml:space="preserve">Table </w:t>
      </w:r>
      <w:r>
        <w:rPr>
          <w:noProof/>
        </w:rPr>
        <w:t>3</w:t>
      </w:r>
      <w:r>
        <w:fldChar w:fldCharType="end"/>
      </w:r>
      <w:r>
        <w:tab/>
      </w:r>
    </w:p>
    <w:p w:rsidR="00001778" w:rsidRPr="003733A0" w:rsidRDefault="00001778"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B97E6E" w:rsidRDefault="00B97E6E" w:rsidP="00052E59">
      <w:pPr>
        <w:pStyle w:val="Heading1"/>
      </w:pPr>
      <w:r>
        <w:t>Point Source Subtraction</w:t>
      </w:r>
    </w:p>
    <w:p w:rsidR="00B97E6E" w:rsidRDefault="00A329DA" w:rsidP="00B97E6E">
      <w:pPr>
        <w:widowControl/>
        <w:tabs>
          <w:tab w:val="left" w:pos="0"/>
        </w:tabs>
        <w:rPr>
          <w:szCs w:val="20"/>
        </w:rPr>
      </w:pPr>
      <w:r>
        <w:rPr>
          <w:szCs w:val="20"/>
        </w:rPr>
        <w:t xml:space="preserve">There are no point source-specific SCCs for </w:t>
      </w:r>
      <w:r w:rsidR="008C6B85">
        <w:rPr>
          <w:szCs w:val="20"/>
        </w:rPr>
        <w:t>RWC</w:t>
      </w:r>
      <w:r w:rsidR="0056502F">
        <w:rPr>
          <w:szCs w:val="20"/>
        </w:rPr>
        <w:t>;</w:t>
      </w:r>
      <w:r>
        <w:rPr>
          <w:szCs w:val="20"/>
        </w:rPr>
        <w:t xml:space="preserve"> therefore p</w:t>
      </w:r>
      <w:r w:rsidR="00B97E6E">
        <w:rPr>
          <w:szCs w:val="20"/>
        </w:rPr>
        <w:t>oint source subtraction is not performed for this category.</w:t>
      </w:r>
    </w:p>
    <w:p w:rsidR="00B97E6E" w:rsidRDefault="00B97E6E" w:rsidP="00052E59">
      <w:pPr>
        <w:pStyle w:val="Heading1"/>
      </w:pPr>
      <w:r>
        <w:t>Sample</w:t>
      </w:r>
      <w:r w:rsidRPr="00036CF5">
        <w:t xml:space="preserve"> Calculations </w:t>
      </w:r>
    </w:p>
    <w:p w:rsidR="00237836" w:rsidRDefault="00237836" w:rsidP="00237836">
      <w:r>
        <w:fldChar w:fldCharType="begin"/>
      </w:r>
      <w:r>
        <w:instrText xml:space="preserve"> REF _Ref477187560 \h </w:instrText>
      </w:r>
      <w:r>
        <w:fldChar w:fldCharType="separate"/>
      </w:r>
      <w:r>
        <w:t xml:space="preserve">Table </w:t>
      </w:r>
      <w:r>
        <w:rPr>
          <w:noProof/>
        </w:rPr>
        <w:t>3</w:t>
      </w:r>
      <w:r>
        <w:fldChar w:fldCharType="end"/>
      </w:r>
      <w:r>
        <w:t xml:space="preserve"> lists sample calculations for the estimation of emissions of PM25-PRI from non-EPA certified wood stoves in Delaware County, OH.</w:t>
      </w:r>
      <w:r w:rsidR="00752E68">
        <w:t xml:space="preserve"> </w:t>
      </w:r>
    </w:p>
    <w:p w:rsidR="00292A0E" w:rsidRPr="00237836" w:rsidRDefault="00292A0E" w:rsidP="00237836">
      <w:r w:rsidRPr="00715C4E">
        <w:t xml:space="preserve">Note </w:t>
      </w:r>
      <w:r>
        <w:t>that the appliance fractions and burn rates provided in the input templates already take into account the housing density and SEDS adjustments. Therefore the input templates for RWC do not ask SLT agencies to submit values for the housing density or SEDS adjustments. Rather, SLT agencies need only to submit revisions to the appliance fractions and burn rates themselves. Equations 4 and 5 are included here only to provide more information about how the appliance fractions and burn rates were adjusted.</w:t>
      </w:r>
    </w:p>
    <w:p w:rsidR="0097139E" w:rsidRDefault="0097139E" w:rsidP="0097139E">
      <w:pPr>
        <w:pStyle w:val="TableCaption"/>
      </w:pPr>
      <w:bookmarkStart w:id="12" w:name="_Ref477187560"/>
      <w:r>
        <w:t xml:space="preserve">Table </w:t>
      </w:r>
      <w:r w:rsidR="00822C7D">
        <w:rPr>
          <w:noProof/>
        </w:rPr>
        <w:fldChar w:fldCharType="begin"/>
      </w:r>
      <w:r w:rsidR="00822C7D">
        <w:rPr>
          <w:noProof/>
        </w:rPr>
        <w:instrText xml:space="preserve"> SEQ Table \* ARABIC </w:instrText>
      </w:r>
      <w:r w:rsidR="00822C7D">
        <w:rPr>
          <w:noProof/>
        </w:rPr>
        <w:fldChar w:fldCharType="separate"/>
      </w:r>
      <w:r w:rsidR="00253B4A">
        <w:rPr>
          <w:noProof/>
        </w:rPr>
        <w:t>3</w:t>
      </w:r>
      <w:r w:rsidR="00822C7D">
        <w:rPr>
          <w:noProof/>
        </w:rPr>
        <w:fldChar w:fldCharType="end"/>
      </w:r>
      <w:bookmarkEnd w:id="12"/>
      <w:r>
        <w:t xml:space="preserve">. Sample calculations for </w:t>
      </w:r>
      <w:r w:rsidR="00001778">
        <w:t>PM25-PRI</w:t>
      </w:r>
      <w:r>
        <w:t xml:space="preserve"> emissions from </w:t>
      </w:r>
      <w:r w:rsidR="00237836">
        <w:t xml:space="preserve">non EPA certified woodstoves </w:t>
      </w:r>
      <w:r>
        <w:t xml:space="preserve">in </w:t>
      </w:r>
      <w:r w:rsidR="00001778">
        <w:t>Delaware County, OH</w:t>
      </w:r>
      <w:r>
        <w:t>.</w:t>
      </w:r>
    </w:p>
    <w:tbl>
      <w:tblPr>
        <w:tblStyle w:val="TableGrid"/>
        <w:tblW w:w="9581" w:type="dxa"/>
        <w:tblLook w:val="04A0" w:firstRow="1" w:lastRow="0" w:firstColumn="1" w:lastColumn="0" w:noHBand="0" w:noVBand="1"/>
      </w:tblPr>
      <w:tblGrid>
        <w:gridCol w:w="561"/>
        <w:gridCol w:w="3024"/>
        <w:gridCol w:w="3888"/>
        <w:gridCol w:w="2108"/>
      </w:tblGrid>
      <w:tr w:rsidR="00FE02FD" w:rsidRPr="00DF0B38" w:rsidTr="00C81E2C">
        <w:trPr>
          <w:cantSplit/>
          <w:tblHeader/>
        </w:trPr>
        <w:tc>
          <w:tcPr>
            <w:tcW w:w="561" w:type="dxa"/>
            <w:shd w:val="clear" w:color="auto" w:fill="BFBFBF" w:themeFill="background1" w:themeFillShade="BF"/>
            <w:vAlign w:val="center"/>
          </w:tcPr>
          <w:p w:rsidR="00DF0B38" w:rsidRPr="00DF0B38" w:rsidRDefault="00DF0B38" w:rsidP="00FE7F5B">
            <w:pPr>
              <w:widowControl/>
              <w:tabs>
                <w:tab w:val="left" w:pos="0"/>
              </w:tabs>
              <w:jc w:val="center"/>
              <w:rPr>
                <w:b/>
                <w:szCs w:val="20"/>
              </w:rPr>
            </w:pPr>
            <w:r w:rsidRPr="00DF0B38">
              <w:rPr>
                <w:b/>
                <w:szCs w:val="20"/>
              </w:rPr>
              <w:t>Eq. #</w:t>
            </w:r>
          </w:p>
        </w:tc>
        <w:tc>
          <w:tcPr>
            <w:tcW w:w="3024" w:type="dxa"/>
            <w:shd w:val="clear" w:color="auto" w:fill="BFBFBF" w:themeFill="background1" w:themeFillShade="BF"/>
            <w:vAlign w:val="center"/>
          </w:tcPr>
          <w:p w:rsidR="00DF0B38" w:rsidRPr="00DF0B38" w:rsidRDefault="00DF0B38" w:rsidP="00C81E2C">
            <w:pPr>
              <w:widowControl/>
              <w:tabs>
                <w:tab w:val="left" w:pos="0"/>
              </w:tabs>
              <w:jc w:val="center"/>
              <w:rPr>
                <w:b/>
                <w:szCs w:val="20"/>
              </w:rPr>
            </w:pPr>
            <w:r w:rsidRPr="00DF0B38">
              <w:rPr>
                <w:b/>
                <w:szCs w:val="20"/>
              </w:rPr>
              <w:t>Equation</w:t>
            </w:r>
          </w:p>
        </w:tc>
        <w:tc>
          <w:tcPr>
            <w:tcW w:w="3888" w:type="dxa"/>
            <w:shd w:val="clear" w:color="auto" w:fill="BFBFBF" w:themeFill="background1" w:themeFillShade="BF"/>
            <w:vAlign w:val="center"/>
          </w:tcPr>
          <w:p w:rsidR="00DF0B38" w:rsidRPr="00DF0B38" w:rsidRDefault="00DF0B38" w:rsidP="00237836">
            <w:pPr>
              <w:widowControl/>
              <w:tabs>
                <w:tab w:val="left" w:pos="0"/>
              </w:tabs>
              <w:jc w:val="center"/>
              <w:rPr>
                <w:b/>
                <w:szCs w:val="20"/>
              </w:rPr>
            </w:pPr>
            <w:r w:rsidRPr="00DF0B38">
              <w:rPr>
                <w:b/>
                <w:szCs w:val="20"/>
              </w:rPr>
              <w:t>Values</w:t>
            </w:r>
            <w:r w:rsidR="0097139E">
              <w:rPr>
                <w:b/>
                <w:szCs w:val="20"/>
              </w:rPr>
              <w:t xml:space="preserve"> for </w:t>
            </w:r>
            <w:r w:rsidR="00237836">
              <w:rPr>
                <w:b/>
                <w:szCs w:val="20"/>
              </w:rPr>
              <w:t xml:space="preserve">Delaware </w:t>
            </w:r>
            <w:r w:rsidR="0097139E">
              <w:rPr>
                <w:b/>
                <w:szCs w:val="20"/>
              </w:rPr>
              <w:t xml:space="preserve">County, </w:t>
            </w:r>
            <w:r w:rsidR="00237836">
              <w:rPr>
                <w:b/>
                <w:szCs w:val="20"/>
              </w:rPr>
              <w:t>OH</w:t>
            </w:r>
          </w:p>
        </w:tc>
        <w:tc>
          <w:tcPr>
            <w:tcW w:w="2108" w:type="dxa"/>
            <w:shd w:val="clear" w:color="auto" w:fill="BFBFBF" w:themeFill="background1" w:themeFillShade="BF"/>
            <w:vAlign w:val="center"/>
          </w:tcPr>
          <w:p w:rsidR="00DF0B38" w:rsidRPr="00DF0B38" w:rsidRDefault="00DF0B38" w:rsidP="00FE7F5B">
            <w:pPr>
              <w:widowControl/>
              <w:tabs>
                <w:tab w:val="left" w:pos="0"/>
              </w:tabs>
              <w:jc w:val="center"/>
              <w:rPr>
                <w:b/>
                <w:szCs w:val="20"/>
              </w:rPr>
            </w:pPr>
            <w:r w:rsidRPr="00DF0B38">
              <w:rPr>
                <w:b/>
                <w:szCs w:val="20"/>
              </w:rPr>
              <w:t>Result</w:t>
            </w:r>
          </w:p>
        </w:tc>
      </w:tr>
      <w:tr w:rsidR="00FE02FD" w:rsidTr="00C81E2C">
        <w:trPr>
          <w:cantSplit/>
        </w:trPr>
        <w:tc>
          <w:tcPr>
            <w:tcW w:w="561" w:type="dxa"/>
            <w:vAlign w:val="center"/>
          </w:tcPr>
          <w:p w:rsidR="0003373D" w:rsidRDefault="0056502F" w:rsidP="00FE7F5B">
            <w:pPr>
              <w:widowControl/>
              <w:tabs>
                <w:tab w:val="left" w:pos="0"/>
              </w:tabs>
              <w:spacing w:after="60"/>
              <w:jc w:val="center"/>
              <w:rPr>
                <w:szCs w:val="20"/>
              </w:rPr>
            </w:pPr>
            <w:r>
              <w:rPr>
                <w:szCs w:val="20"/>
              </w:rPr>
              <w:t>1</w:t>
            </w:r>
          </w:p>
        </w:tc>
        <w:tc>
          <w:tcPr>
            <w:tcW w:w="3024" w:type="dxa"/>
            <w:vAlign w:val="center"/>
          </w:tcPr>
          <w:p w:rsidR="0003373D" w:rsidRDefault="0055624A" w:rsidP="00C81E2C">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BR</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m:t>
                    </m:r>
                  </m:e>
                  <m:sub>
                    <m:r>
                      <w:rPr>
                        <w:rFonts w:ascii="Cambria Math" w:hAnsi="Cambria Math"/>
                        <w:szCs w:val="20"/>
                      </w:rPr>
                      <m:t>c</m:t>
                    </m:r>
                  </m:sub>
                </m:sSub>
              </m:oMath>
            </m:oMathPara>
          </w:p>
        </w:tc>
        <w:tc>
          <w:tcPr>
            <w:tcW w:w="3888" w:type="dxa"/>
            <w:vAlign w:val="center"/>
          </w:tcPr>
          <w:p w:rsidR="0003373D" w:rsidRPr="00582256" w:rsidRDefault="00752E68" w:rsidP="00752E68">
            <w:pPr>
              <w:widowControl/>
              <w:autoSpaceDE/>
              <w:autoSpaceDN/>
              <w:adjustRightInd/>
              <w:jc w:val="center"/>
              <w:rPr>
                <w:rFonts w:asciiTheme="majorHAnsi" w:hAnsiTheme="majorHAnsi" w:cs="Calibri"/>
                <w:color w:val="000000"/>
                <w:sz w:val="22"/>
                <w:szCs w:val="22"/>
              </w:rPr>
            </w:pPr>
            <w:r w:rsidRPr="00582256">
              <w:rPr>
                <w:rFonts w:asciiTheme="majorHAnsi" w:hAnsiTheme="majorHAnsi" w:cs="Calibri"/>
                <w:color w:val="000000"/>
                <w:sz w:val="22"/>
                <w:szCs w:val="22"/>
              </w:rPr>
              <w:t>67,701 homes × 0.0751 × 1.9304 × 1.3341 tons/cord</w:t>
            </w:r>
          </w:p>
        </w:tc>
        <w:tc>
          <w:tcPr>
            <w:tcW w:w="2108" w:type="dxa"/>
          </w:tcPr>
          <w:p w:rsidR="0003373D" w:rsidRDefault="00752E68" w:rsidP="00DF0B38">
            <w:pPr>
              <w:widowControl/>
              <w:tabs>
                <w:tab w:val="left" w:pos="0"/>
              </w:tabs>
              <w:spacing w:after="60"/>
              <w:rPr>
                <w:szCs w:val="20"/>
              </w:rPr>
            </w:pPr>
            <w:r>
              <w:rPr>
                <w:szCs w:val="20"/>
              </w:rPr>
              <w:t>13,094 tons of wood burned in woodstoves</w:t>
            </w:r>
          </w:p>
        </w:tc>
      </w:tr>
      <w:tr w:rsidR="00237836" w:rsidTr="00C81E2C">
        <w:trPr>
          <w:cantSplit/>
        </w:trPr>
        <w:tc>
          <w:tcPr>
            <w:tcW w:w="561" w:type="dxa"/>
            <w:vAlign w:val="center"/>
          </w:tcPr>
          <w:p w:rsidR="00237836" w:rsidRDefault="00237836" w:rsidP="00237836">
            <w:pPr>
              <w:widowControl/>
              <w:tabs>
                <w:tab w:val="left" w:pos="0"/>
              </w:tabs>
              <w:spacing w:after="60"/>
              <w:jc w:val="center"/>
              <w:rPr>
                <w:szCs w:val="20"/>
              </w:rPr>
            </w:pPr>
            <w:r>
              <w:rPr>
                <w:szCs w:val="20"/>
              </w:rPr>
              <w:t>2</w:t>
            </w:r>
          </w:p>
        </w:tc>
        <w:tc>
          <w:tcPr>
            <w:tcW w:w="3024" w:type="dxa"/>
            <w:vAlign w:val="center"/>
          </w:tcPr>
          <w:p w:rsidR="00237836" w:rsidRPr="00770E9B" w:rsidRDefault="0055624A" w:rsidP="00C81E2C">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c,SCC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DP</m:t>
                    </m:r>
                  </m:e>
                  <m:sub>
                    <m:r>
                      <w:rPr>
                        <w:rFonts w:ascii="Cambria Math" w:hAnsi="Cambria Math"/>
                        <w:szCs w:val="20"/>
                      </w:rPr>
                      <m:t>SCC</m:t>
                    </m:r>
                  </m:sub>
                </m:sSub>
              </m:oMath>
            </m:oMathPara>
          </w:p>
        </w:tc>
        <w:tc>
          <w:tcPr>
            <w:tcW w:w="3888" w:type="dxa"/>
            <w:vAlign w:val="center"/>
          </w:tcPr>
          <w:p w:rsidR="00237836" w:rsidRPr="00582256" w:rsidRDefault="00752E68" w:rsidP="00237836">
            <w:pPr>
              <w:widowControl/>
              <w:tabs>
                <w:tab w:val="left" w:pos="0"/>
              </w:tabs>
              <w:spacing w:after="60"/>
              <w:jc w:val="center"/>
              <w:rPr>
                <w:rFonts w:asciiTheme="majorHAnsi" w:hAnsiTheme="majorHAnsi"/>
                <w:szCs w:val="20"/>
              </w:rPr>
            </w:pPr>
            <w:r w:rsidRPr="00582256">
              <w:rPr>
                <w:rFonts w:asciiTheme="majorHAnsi" w:hAnsiTheme="majorHAnsi"/>
                <w:szCs w:val="20"/>
              </w:rPr>
              <w:t>13,094 × 0.12</w:t>
            </w:r>
          </w:p>
        </w:tc>
        <w:tc>
          <w:tcPr>
            <w:tcW w:w="2108" w:type="dxa"/>
          </w:tcPr>
          <w:p w:rsidR="00237836" w:rsidRDefault="00752E68" w:rsidP="00237836">
            <w:pPr>
              <w:widowControl/>
              <w:tabs>
                <w:tab w:val="left" w:pos="0"/>
              </w:tabs>
              <w:spacing w:after="60"/>
              <w:rPr>
                <w:szCs w:val="20"/>
              </w:rPr>
            </w:pPr>
            <w:r>
              <w:rPr>
                <w:szCs w:val="20"/>
              </w:rPr>
              <w:t>1,571 tons of wood burned in non-EPA certified woodstoves</w:t>
            </w:r>
          </w:p>
        </w:tc>
      </w:tr>
      <w:tr w:rsidR="00237836" w:rsidTr="00C81E2C">
        <w:trPr>
          <w:cantSplit/>
        </w:trPr>
        <w:tc>
          <w:tcPr>
            <w:tcW w:w="561" w:type="dxa"/>
            <w:vAlign w:val="center"/>
          </w:tcPr>
          <w:p w:rsidR="00237836" w:rsidRDefault="00237836" w:rsidP="00237836">
            <w:pPr>
              <w:widowControl/>
              <w:tabs>
                <w:tab w:val="left" w:pos="0"/>
              </w:tabs>
              <w:spacing w:after="60"/>
              <w:jc w:val="center"/>
              <w:rPr>
                <w:szCs w:val="20"/>
              </w:rPr>
            </w:pPr>
            <w:r>
              <w:rPr>
                <w:szCs w:val="20"/>
              </w:rPr>
              <w:t>3</w:t>
            </w:r>
          </w:p>
        </w:tc>
        <w:tc>
          <w:tcPr>
            <w:tcW w:w="3024" w:type="dxa"/>
            <w:vAlign w:val="center"/>
          </w:tcPr>
          <w:p w:rsidR="00237836" w:rsidRDefault="0055624A" w:rsidP="00C81E2C">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SAF</m:t>
                    </m:r>
                  </m:e>
                  <m:sub>
                    <m:r>
                      <w:rPr>
                        <w:rFonts w:ascii="Cambria Math" w:hAnsi="Cambria Math"/>
                        <w:szCs w:val="20"/>
                      </w:rPr>
                      <m:t>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W</m:t>
                        </m:r>
                      </m:e>
                      <m:sub>
                        <m:r>
                          <w:rPr>
                            <w:rFonts w:ascii="Cambria Math" w:hAnsi="Cambria Math"/>
                            <w:szCs w:val="20"/>
                          </w:rPr>
                          <m:t>s,SEDS</m:t>
                        </m:r>
                      </m:sub>
                    </m:sSub>
                  </m:num>
                  <m:den>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w:rPr>
                                <w:rFonts w:ascii="Cambria Math" w:hAnsi="Cambria Math"/>
                                <w:szCs w:val="20"/>
                              </w:rPr>
                              <m:t>W</m:t>
                            </m:r>
                          </m:e>
                          <m:sub>
                            <m:r>
                              <w:rPr>
                                <w:rFonts w:ascii="Cambria Math" w:hAnsi="Cambria Math"/>
                                <w:szCs w:val="20"/>
                              </w:rPr>
                              <m:t>c,SCC</m:t>
                            </m:r>
                          </m:sub>
                        </m:sSub>
                      </m:e>
                    </m:nary>
                  </m:den>
                </m:f>
              </m:oMath>
            </m:oMathPara>
          </w:p>
        </w:tc>
        <w:tc>
          <w:tcPr>
            <w:tcW w:w="3888" w:type="dxa"/>
            <w:vAlign w:val="center"/>
          </w:tcPr>
          <w:p w:rsidR="00237836" w:rsidRPr="00582256" w:rsidRDefault="0055624A" w:rsidP="004E30F3">
            <w:pPr>
              <w:widowControl/>
              <w:tabs>
                <w:tab w:val="left" w:pos="0"/>
              </w:tabs>
              <w:spacing w:after="60"/>
              <w:jc w:val="center"/>
              <w:rPr>
                <w:rFonts w:asciiTheme="majorHAnsi" w:hAnsiTheme="majorHAnsi"/>
                <w:szCs w:val="20"/>
              </w:rPr>
            </w:pPr>
            <m:oMathPara>
              <m:oMath>
                <m:f>
                  <m:fPr>
                    <m:ctrlPr>
                      <w:rPr>
                        <w:rFonts w:ascii="Cambria Math" w:hAnsi="Cambria Math"/>
                        <w:i/>
                        <w:szCs w:val="20"/>
                      </w:rPr>
                    </m:ctrlPr>
                  </m:fPr>
                  <m:num>
                    <m:r>
                      <w:rPr>
                        <w:rFonts w:ascii="Cambria Math" w:hAnsi="Cambria Math"/>
                        <w:szCs w:val="20"/>
                      </w:rPr>
                      <m:t>14,714 BBtu</m:t>
                    </m:r>
                  </m:num>
                  <m:den>
                    <m:r>
                      <w:rPr>
                        <w:rFonts w:ascii="Cambria Math" w:hAnsi="Cambria Math"/>
                        <w:szCs w:val="20"/>
                      </w:rPr>
                      <m:t>28,369 BBtu</m:t>
                    </m:r>
                  </m:den>
                </m:f>
              </m:oMath>
            </m:oMathPara>
          </w:p>
        </w:tc>
        <w:tc>
          <w:tcPr>
            <w:tcW w:w="2108" w:type="dxa"/>
          </w:tcPr>
          <w:p w:rsidR="00237836" w:rsidRDefault="004E30F3" w:rsidP="00237836">
            <w:pPr>
              <w:widowControl/>
              <w:tabs>
                <w:tab w:val="left" w:pos="0"/>
              </w:tabs>
              <w:spacing w:after="60"/>
              <w:rPr>
                <w:szCs w:val="20"/>
              </w:rPr>
            </w:pPr>
            <w:r>
              <w:rPr>
                <w:szCs w:val="20"/>
              </w:rPr>
              <w:t>0.52 SEDS adjustment factor</w:t>
            </w:r>
          </w:p>
        </w:tc>
      </w:tr>
      <w:tr w:rsidR="00237836" w:rsidTr="00C81E2C">
        <w:trPr>
          <w:cantSplit/>
        </w:trPr>
        <w:tc>
          <w:tcPr>
            <w:tcW w:w="561" w:type="dxa"/>
            <w:vAlign w:val="center"/>
          </w:tcPr>
          <w:p w:rsidR="00237836" w:rsidRDefault="00237836" w:rsidP="00237836">
            <w:pPr>
              <w:widowControl/>
              <w:tabs>
                <w:tab w:val="left" w:pos="0"/>
              </w:tabs>
              <w:spacing w:after="60"/>
              <w:jc w:val="center"/>
              <w:rPr>
                <w:szCs w:val="20"/>
              </w:rPr>
            </w:pPr>
            <w:r>
              <w:rPr>
                <w:szCs w:val="20"/>
              </w:rPr>
              <w:t>4</w:t>
            </w:r>
          </w:p>
        </w:tc>
        <w:tc>
          <w:tcPr>
            <w:tcW w:w="3024" w:type="dxa"/>
            <w:vAlign w:val="center"/>
          </w:tcPr>
          <w:p w:rsidR="00237836" w:rsidRDefault="0055624A" w:rsidP="00C81E2C">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HAF</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r>
                      <w:rPr>
                        <w:rFonts w:ascii="Cambria Math" w:hAnsi="Cambria Math"/>
                        <w:szCs w:val="20"/>
                      </w:rPr>
                      <m:t>1</m:t>
                    </m:r>
                  </m:num>
                  <m:den>
                    <m:sSup>
                      <m:sSupPr>
                        <m:ctrlPr>
                          <w:rPr>
                            <w:rFonts w:ascii="Cambria Math" w:hAnsi="Cambria Math"/>
                            <w:i/>
                            <w:szCs w:val="20"/>
                          </w:rPr>
                        </m:ctrlPr>
                      </m:sSupPr>
                      <m:e>
                        <m:r>
                          <w:rPr>
                            <w:rFonts w:ascii="Cambria Math" w:hAnsi="Cambria Math"/>
                            <w:szCs w:val="20"/>
                          </w:rPr>
                          <m:t>1+e</m:t>
                        </m:r>
                      </m:e>
                      <m:sup>
                        <m:r>
                          <w:rPr>
                            <w:rFonts w:ascii="Cambria Math" w:hAnsi="Cambria Math"/>
                            <w:szCs w:val="20"/>
                          </w:rPr>
                          <m:t xml:space="preserve">-0.01 </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HD</m:t>
                                </m:r>
                              </m:e>
                              <m:sub>
                                <m:r>
                                  <w:rPr>
                                    <w:rFonts w:ascii="Cambria Math" w:hAnsi="Cambria Math"/>
                                    <w:szCs w:val="20"/>
                                  </w:rPr>
                                  <m:t>c</m:t>
                                </m:r>
                              </m:sub>
                            </m:sSub>
                            <m:r>
                              <w:rPr>
                                <w:rFonts w:ascii="Cambria Math" w:hAnsi="Cambria Math"/>
                                <w:szCs w:val="20"/>
                              </w:rPr>
                              <m:t>-500</m:t>
                            </m:r>
                          </m:e>
                        </m:d>
                      </m:sup>
                    </m:sSup>
                  </m:den>
                </m:f>
                <m:r>
                  <w:rPr>
                    <w:rFonts w:ascii="Cambria Math" w:hAnsi="Cambria Math"/>
                    <w:szCs w:val="20"/>
                  </w:rPr>
                  <m:t>+1</m:t>
                </m:r>
              </m:oMath>
            </m:oMathPara>
          </w:p>
        </w:tc>
        <w:tc>
          <w:tcPr>
            <w:tcW w:w="3888" w:type="dxa"/>
            <w:vAlign w:val="center"/>
          </w:tcPr>
          <w:p w:rsidR="00237836" w:rsidRPr="00582256" w:rsidRDefault="004E30F3" w:rsidP="004E30F3">
            <w:pPr>
              <w:widowControl/>
              <w:tabs>
                <w:tab w:val="left" w:pos="0"/>
              </w:tabs>
              <w:spacing w:after="60"/>
              <w:jc w:val="center"/>
              <w:rPr>
                <w:rFonts w:asciiTheme="majorHAnsi" w:hAnsiTheme="majorHAnsi"/>
                <w:szCs w:val="20"/>
              </w:rPr>
            </w:pPr>
            <m:oMathPara>
              <m:oMath>
                <m:r>
                  <w:rPr>
                    <w:rFonts w:ascii="Cambria Math" w:hAnsi="Cambria Math"/>
                    <w:szCs w:val="20"/>
                  </w:rPr>
                  <m:t>-</m:t>
                </m:r>
                <m:f>
                  <m:fPr>
                    <m:ctrlPr>
                      <w:rPr>
                        <w:rFonts w:ascii="Cambria Math" w:hAnsi="Cambria Math"/>
                        <w:i/>
                        <w:szCs w:val="20"/>
                      </w:rPr>
                    </m:ctrlPr>
                  </m:fPr>
                  <m:num>
                    <m:r>
                      <w:rPr>
                        <w:rFonts w:ascii="Cambria Math" w:hAnsi="Cambria Math"/>
                        <w:szCs w:val="20"/>
                      </w:rPr>
                      <m:t>1</m:t>
                    </m:r>
                  </m:num>
                  <m:den>
                    <m:sSup>
                      <m:sSupPr>
                        <m:ctrlPr>
                          <w:rPr>
                            <w:rFonts w:ascii="Cambria Math" w:hAnsi="Cambria Math"/>
                            <w:i/>
                            <w:szCs w:val="20"/>
                          </w:rPr>
                        </m:ctrlPr>
                      </m:sSupPr>
                      <m:e>
                        <m:r>
                          <w:rPr>
                            <w:rFonts w:ascii="Cambria Math" w:hAnsi="Cambria Math"/>
                            <w:szCs w:val="20"/>
                          </w:rPr>
                          <m:t>1+e</m:t>
                        </m:r>
                      </m:e>
                      <m:sup>
                        <m:r>
                          <w:rPr>
                            <w:rFonts w:ascii="Cambria Math" w:hAnsi="Cambria Math"/>
                            <w:szCs w:val="20"/>
                          </w:rPr>
                          <m:t xml:space="preserve">-0.01 </m:t>
                        </m:r>
                        <m:d>
                          <m:dPr>
                            <m:ctrlPr>
                              <w:rPr>
                                <w:rFonts w:ascii="Cambria Math" w:hAnsi="Cambria Math"/>
                                <w:i/>
                                <w:szCs w:val="20"/>
                              </w:rPr>
                            </m:ctrlPr>
                          </m:dPr>
                          <m:e>
                            <m:r>
                              <w:rPr>
                                <w:rFonts w:ascii="Cambria Math" w:hAnsi="Cambria Math"/>
                                <w:szCs w:val="20"/>
                              </w:rPr>
                              <m:t>153 -500</m:t>
                            </m:r>
                          </m:e>
                        </m:d>
                      </m:sup>
                    </m:sSup>
                  </m:den>
                </m:f>
                <m:r>
                  <w:rPr>
                    <w:rFonts w:ascii="Cambria Math" w:hAnsi="Cambria Math"/>
                    <w:szCs w:val="20"/>
                  </w:rPr>
                  <m:t>+1</m:t>
                </m:r>
              </m:oMath>
            </m:oMathPara>
          </w:p>
        </w:tc>
        <w:tc>
          <w:tcPr>
            <w:tcW w:w="2108" w:type="dxa"/>
          </w:tcPr>
          <w:p w:rsidR="00237836" w:rsidRDefault="004E30F3" w:rsidP="00237836">
            <w:pPr>
              <w:widowControl/>
              <w:tabs>
                <w:tab w:val="left" w:pos="0"/>
              </w:tabs>
              <w:spacing w:after="60"/>
              <w:rPr>
                <w:szCs w:val="20"/>
              </w:rPr>
            </w:pPr>
            <w:r>
              <w:rPr>
                <w:szCs w:val="20"/>
              </w:rPr>
              <w:t>0.97 housing adjustment factor</w:t>
            </w:r>
          </w:p>
        </w:tc>
      </w:tr>
      <w:tr w:rsidR="00237836" w:rsidTr="00C81E2C">
        <w:trPr>
          <w:cantSplit/>
        </w:trPr>
        <w:tc>
          <w:tcPr>
            <w:tcW w:w="561" w:type="dxa"/>
            <w:vAlign w:val="center"/>
          </w:tcPr>
          <w:p w:rsidR="00237836" w:rsidRDefault="00237836" w:rsidP="00237836">
            <w:pPr>
              <w:widowControl/>
              <w:tabs>
                <w:tab w:val="left" w:pos="0"/>
              </w:tabs>
              <w:spacing w:after="60"/>
              <w:jc w:val="center"/>
              <w:rPr>
                <w:szCs w:val="20"/>
              </w:rPr>
            </w:pPr>
            <w:r>
              <w:rPr>
                <w:szCs w:val="20"/>
              </w:rPr>
              <w:t>5</w:t>
            </w:r>
          </w:p>
        </w:tc>
        <w:tc>
          <w:tcPr>
            <w:tcW w:w="3024" w:type="dxa"/>
            <w:vAlign w:val="center"/>
          </w:tcPr>
          <w:p w:rsidR="00237836" w:rsidRPr="00770E9B" w:rsidRDefault="0055624A" w:rsidP="00C81E2C">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AW</m:t>
                    </m:r>
                  </m:e>
                  <m:sub>
                    <m:r>
                      <w:rPr>
                        <w:rFonts w:ascii="Cambria Math" w:hAnsi="Cambria Math"/>
                        <w:szCs w:val="20"/>
                      </w:rPr>
                      <m:t>c,SCC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c,SCC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SAF</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HAF</m:t>
                    </m:r>
                  </m:e>
                  <m:sub>
                    <m:r>
                      <w:rPr>
                        <w:rFonts w:ascii="Cambria Math" w:hAnsi="Cambria Math"/>
                        <w:szCs w:val="20"/>
                      </w:rPr>
                      <m:t>c</m:t>
                    </m:r>
                  </m:sub>
                </m:sSub>
              </m:oMath>
            </m:oMathPara>
          </w:p>
        </w:tc>
        <w:tc>
          <w:tcPr>
            <w:tcW w:w="3888" w:type="dxa"/>
            <w:vAlign w:val="center"/>
          </w:tcPr>
          <w:p w:rsidR="00237836" w:rsidRPr="00582256" w:rsidRDefault="004E30F3" w:rsidP="00237836">
            <w:pPr>
              <w:widowControl/>
              <w:tabs>
                <w:tab w:val="left" w:pos="0"/>
              </w:tabs>
              <w:spacing w:after="60"/>
              <w:jc w:val="center"/>
              <w:rPr>
                <w:rFonts w:asciiTheme="majorHAnsi" w:hAnsiTheme="majorHAnsi"/>
                <w:szCs w:val="20"/>
              </w:rPr>
            </w:pPr>
            <w:r w:rsidRPr="00582256">
              <w:rPr>
                <w:rFonts w:asciiTheme="majorHAnsi" w:hAnsiTheme="majorHAnsi"/>
                <w:szCs w:val="20"/>
              </w:rPr>
              <w:t>1,571 × 0.52 × 0.97</w:t>
            </w:r>
          </w:p>
        </w:tc>
        <w:tc>
          <w:tcPr>
            <w:tcW w:w="2108" w:type="dxa"/>
          </w:tcPr>
          <w:p w:rsidR="00237836" w:rsidRDefault="004E30F3" w:rsidP="00237836">
            <w:pPr>
              <w:widowControl/>
              <w:tabs>
                <w:tab w:val="left" w:pos="0"/>
              </w:tabs>
              <w:spacing w:after="60"/>
              <w:rPr>
                <w:szCs w:val="20"/>
              </w:rPr>
            </w:pPr>
            <w:r>
              <w:rPr>
                <w:szCs w:val="20"/>
              </w:rPr>
              <w:t>792 adjusted tons of wood burned in non-EPA certified woodstoves</w:t>
            </w:r>
          </w:p>
        </w:tc>
      </w:tr>
      <w:tr w:rsidR="00237836" w:rsidTr="00C81E2C">
        <w:trPr>
          <w:cantSplit/>
        </w:trPr>
        <w:tc>
          <w:tcPr>
            <w:tcW w:w="561" w:type="dxa"/>
            <w:vAlign w:val="center"/>
          </w:tcPr>
          <w:p w:rsidR="00237836" w:rsidRDefault="00237836" w:rsidP="00237836">
            <w:pPr>
              <w:widowControl/>
              <w:tabs>
                <w:tab w:val="left" w:pos="0"/>
              </w:tabs>
              <w:spacing w:after="60"/>
              <w:jc w:val="center"/>
              <w:rPr>
                <w:szCs w:val="20"/>
              </w:rPr>
            </w:pPr>
            <w:r>
              <w:rPr>
                <w:szCs w:val="20"/>
              </w:rPr>
              <w:t>6</w:t>
            </w:r>
          </w:p>
        </w:tc>
        <w:tc>
          <w:tcPr>
            <w:tcW w:w="3024" w:type="dxa"/>
            <w:vAlign w:val="center"/>
          </w:tcPr>
          <w:p w:rsidR="00237836" w:rsidRPr="00770E9B" w:rsidRDefault="0055624A" w:rsidP="00C81E2C">
            <w:pPr>
              <w:widowControl/>
              <w:autoSpaceDE/>
              <w:autoSpaceDN/>
              <w:adjustRightInd/>
              <w:jc w:val="center"/>
              <w:rPr>
                <w:szCs w:val="20"/>
              </w:rPr>
            </w:pPr>
            <m:oMathPara>
              <m:oMathParaPr>
                <m:jc m:val="center"/>
              </m:oMathParaPr>
              <m:oMath>
                <m:sSub>
                  <m:sSubPr>
                    <m:ctrlPr>
                      <w:rPr>
                        <w:rFonts w:ascii="Cambria Math" w:hAnsi="Cambria Math"/>
                        <w:i/>
                        <w:szCs w:val="20"/>
                      </w:rPr>
                    </m:ctrlPr>
                  </m:sSubPr>
                  <m:e>
                    <m:sSub>
                      <m:sSubPr>
                        <m:ctrlPr>
                          <w:rPr>
                            <w:rFonts w:ascii="Cambria Math" w:hAnsi="Cambria Math"/>
                            <w:i/>
                            <w:szCs w:val="20"/>
                          </w:rPr>
                        </m:ctrlPr>
                      </m:sSubPr>
                      <m:e>
                        <m:r>
                          <w:rPr>
                            <w:rFonts w:ascii="Cambria Math" w:hAnsi="Cambria Math"/>
                            <w:szCs w:val="20"/>
                          </w:rPr>
                          <m:t>E</m:t>
                        </m:r>
                      </m:e>
                      <m:sub>
                        <m:r>
                          <w:rPr>
                            <w:rFonts w:ascii="Cambria Math" w:hAnsi="Cambria Math"/>
                            <w:szCs w:val="20"/>
                          </w:rPr>
                          <m:t>c,SCC,p</m:t>
                        </m:r>
                      </m:sub>
                    </m:sSub>
                    <m:r>
                      <w:rPr>
                        <w:rFonts w:ascii="Cambria Math" w:hAnsi="Cambria Math"/>
                        <w:szCs w:val="20"/>
                      </w:rPr>
                      <m:t>=AW</m:t>
                    </m:r>
                  </m:e>
                  <m:sub>
                    <m:r>
                      <w:rPr>
                        <w:rFonts w:ascii="Cambria Math" w:hAnsi="Cambria Math"/>
                        <w:szCs w:val="20"/>
                      </w:rPr>
                      <m:t>c,SCC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SCC,p</m:t>
                    </m:r>
                  </m:sub>
                </m:sSub>
              </m:oMath>
            </m:oMathPara>
          </w:p>
        </w:tc>
        <w:tc>
          <w:tcPr>
            <w:tcW w:w="3888" w:type="dxa"/>
            <w:vAlign w:val="center"/>
          </w:tcPr>
          <w:p w:rsidR="00237836" w:rsidRPr="00582256" w:rsidRDefault="00C81E2C" w:rsidP="00237836">
            <w:pPr>
              <w:widowControl/>
              <w:tabs>
                <w:tab w:val="left" w:pos="0"/>
              </w:tabs>
              <w:spacing w:after="60"/>
              <w:jc w:val="center"/>
              <w:rPr>
                <w:rFonts w:asciiTheme="majorHAnsi" w:hAnsiTheme="majorHAnsi"/>
                <w:szCs w:val="20"/>
              </w:rPr>
            </w:pPr>
            <w:r w:rsidRPr="00582256">
              <w:rPr>
                <w:rFonts w:asciiTheme="majorHAnsi" w:hAnsiTheme="majorHAnsi"/>
                <w:szCs w:val="20"/>
              </w:rPr>
              <w:t xml:space="preserve">792 × 30.6 </w:t>
            </w:r>
            <w:proofErr w:type="spellStart"/>
            <w:r w:rsidRPr="00582256">
              <w:rPr>
                <w:rFonts w:asciiTheme="majorHAnsi" w:hAnsiTheme="majorHAnsi"/>
                <w:szCs w:val="20"/>
              </w:rPr>
              <w:t>lb</w:t>
            </w:r>
            <w:proofErr w:type="spellEnd"/>
            <w:r w:rsidRPr="00582256">
              <w:rPr>
                <w:rFonts w:asciiTheme="majorHAnsi" w:hAnsiTheme="majorHAnsi"/>
                <w:szCs w:val="20"/>
              </w:rPr>
              <w:t>/ton</w:t>
            </w:r>
          </w:p>
        </w:tc>
        <w:tc>
          <w:tcPr>
            <w:tcW w:w="2108" w:type="dxa"/>
          </w:tcPr>
          <w:p w:rsidR="00237836" w:rsidRDefault="00C81E2C" w:rsidP="00C81E2C">
            <w:pPr>
              <w:widowControl/>
              <w:tabs>
                <w:tab w:val="left" w:pos="0"/>
              </w:tabs>
              <w:spacing w:after="60"/>
              <w:rPr>
                <w:szCs w:val="20"/>
              </w:rPr>
            </w:pPr>
            <w:r>
              <w:rPr>
                <w:szCs w:val="20"/>
              </w:rPr>
              <w:t>24,235 lbs. (12.12 tons) PM25-PRI from non-EPA certified woodstoves in Delaware County, OH</w:t>
            </w:r>
          </w:p>
        </w:tc>
      </w:tr>
    </w:tbl>
    <w:p w:rsidR="00B97E6E" w:rsidRPr="004008E6" w:rsidRDefault="00B97E6E" w:rsidP="00B97E6E">
      <w:pPr>
        <w:widowControl/>
        <w:tabs>
          <w:tab w:val="left" w:pos="0"/>
        </w:tabs>
        <w:ind w:firstLine="720"/>
        <w:rPr>
          <w:szCs w:val="20"/>
        </w:rPr>
      </w:pPr>
    </w:p>
    <w:p w:rsidR="00B97E6E" w:rsidRDefault="00B97E6E" w:rsidP="00052E59">
      <w:pPr>
        <w:pStyle w:val="Heading1"/>
      </w:pPr>
      <w:r>
        <w:t>Changes from 2014 Methodology</w:t>
      </w:r>
    </w:p>
    <w:p w:rsidR="008B5CC4" w:rsidRDefault="008B5CC4" w:rsidP="00B97E6E">
      <w:pPr>
        <w:widowControl/>
        <w:tabs>
          <w:tab w:val="left" w:pos="0"/>
        </w:tabs>
        <w:rPr>
          <w:szCs w:val="20"/>
        </w:rPr>
      </w:pPr>
      <w:r>
        <w:rPr>
          <w:szCs w:val="20"/>
        </w:rPr>
        <w:t xml:space="preserve">The largest changes from the 2014 methodology are the source of the data used to develop the appliance fractions and burn rates. In 2014, the appliance fractions and burn rates were calculated based on survey data from the 2009 EIA RECS, while in 2017 the appliance fractions and burn rates are calculated based on the CEC survey data. In addition, while EPA lacked data in 2014 to estimate county-level appliance fractions and burn rates for outdoor </w:t>
      </w:r>
      <w:r>
        <w:rPr>
          <w:szCs w:val="20"/>
        </w:rPr>
        <w:lastRenderedPageBreak/>
        <w:t xml:space="preserve">recreational wood-burning equipment and wax </w:t>
      </w:r>
      <w:proofErr w:type="spellStart"/>
      <w:r>
        <w:rPr>
          <w:szCs w:val="20"/>
        </w:rPr>
        <w:t>firelogs</w:t>
      </w:r>
      <w:proofErr w:type="spellEnd"/>
      <w:r>
        <w:rPr>
          <w:szCs w:val="20"/>
        </w:rPr>
        <w:t xml:space="preserve">, EPA was able to estimate appliance fractions and burn rates for these categories for 2017 using data from the CEC survey. The general approach for using regression analysis to develop county level appliance fractions and burn rates is unchanged from 2014. </w:t>
      </w:r>
    </w:p>
    <w:p w:rsidR="00B97E6E" w:rsidRPr="00676FE8" w:rsidRDefault="008B5CC4" w:rsidP="00B97E6E">
      <w:pPr>
        <w:widowControl/>
        <w:tabs>
          <w:tab w:val="left" w:pos="0"/>
        </w:tabs>
        <w:rPr>
          <w:szCs w:val="20"/>
        </w:rPr>
      </w:pPr>
      <w:r>
        <w:rPr>
          <w:szCs w:val="20"/>
        </w:rPr>
        <w:t xml:space="preserve">Another change involves the estimation of emissions for three additional SCCs: indoor pellet boilers, indoor pellet furnaces, and indoor hydronic heaters. </w:t>
      </w:r>
    </w:p>
    <w:p w:rsidR="00B97E6E" w:rsidRPr="00641127" w:rsidRDefault="00B97E6E" w:rsidP="00052E59">
      <w:pPr>
        <w:pStyle w:val="Heading1"/>
      </w:pPr>
      <w:r w:rsidRPr="00641127">
        <w:t>Puerto Rico and U</w:t>
      </w:r>
      <w:r w:rsidR="00A54167">
        <w:t>.</w:t>
      </w:r>
      <w:r w:rsidRPr="00641127">
        <w:t>S</w:t>
      </w:r>
      <w:r w:rsidR="00A54167">
        <w:t>.</w:t>
      </w:r>
      <w:r w:rsidRPr="00641127">
        <w:t xml:space="preserve"> Virgin Islands Emissions Calculations</w:t>
      </w:r>
    </w:p>
    <w:p w:rsidR="0019455E" w:rsidRPr="00C81E2C" w:rsidRDefault="008B5CC4" w:rsidP="00C81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0"/>
        </w:rPr>
      </w:pPr>
      <w:r>
        <w:rPr>
          <w:szCs w:val="20"/>
        </w:rPr>
        <w:t>I</w:t>
      </w:r>
      <w:r w:rsidRPr="00370293">
        <w:rPr>
          <w:szCs w:val="20"/>
        </w:rPr>
        <w:t>nsufficient data exists to calculate emissions for the counties in Puerto Rico and the US Virgin Islands,</w:t>
      </w:r>
      <w:r>
        <w:rPr>
          <w:szCs w:val="20"/>
        </w:rPr>
        <w:t xml:space="preserve"> so</w:t>
      </w:r>
      <w:r w:rsidRPr="00370293">
        <w:rPr>
          <w:szCs w:val="20"/>
        </w:rPr>
        <w:t xml:space="preserve"> emissions are based on two proxy counties in Florida: 12011, Broward County for Puerto Rico and 12087, Monroe County for the US Virgin Islands. The total emissions in tons for these two Florida counties are divided by their respective populations creating a tons per capita emission factor.  For each Puerto Rico and US Virgin Island County, the tons per capita emission factor is multiplied by the county population (from the same year as the inventory’s activity data) which served as the activity data. In these cases, the throughput (activity data) unit and the emissions denominator unit are “EACH”.</w:t>
      </w:r>
    </w:p>
    <w:p w:rsidR="00001778" w:rsidRPr="007C3960" w:rsidRDefault="00001778" w:rsidP="00001778">
      <w:pPr>
        <w:pStyle w:val="Heading1"/>
        <w:spacing w:after="0"/>
      </w:pPr>
      <w:r>
        <w:t>References</w:t>
      </w:r>
    </w:p>
    <w:p w:rsidR="00001778" w:rsidRDefault="00001778">
      <w:pPr>
        <w:widowControl/>
        <w:autoSpaceDE/>
        <w:autoSpaceDN/>
        <w:adjustRightInd/>
        <w:spacing w:line="276" w:lineRule="auto"/>
        <w:sectPr w:rsidR="00001778" w:rsidSect="007D6365">
          <w:footerReference w:type="default" r:id="rId12"/>
          <w:footnotePr>
            <w:numFmt w:val="chicago"/>
          </w:footnotePr>
          <w:endnotePr>
            <w:numFmt w:val="decimal"/>
          </w:endnotePr>
          <w:pgSz w:w="12240" w:h="15840"/>
          <w:pgMar w:top="1440" w:right="1440" w:bottom="1440" w:left="1440" w:header="720" w:footer="720" w:gutter="0"/>
          <w:cols w:space="720"/>
          <w:docGrid w:linePitch="360"/>
        </w:sectPr>
      </w:pPr>
    </w:p>
    <w:p w:rsidR="00001778" w:rsidRDefault="00001778" w:rsidP="00001778">
      <w:pPr>
        <w:pStyle w:val="TableCaption"/>
      </w:pPr>
      <w:bookmarkStart w:id="13" w:name="_Ref11268551"/>
      <w:bookmarkStart w:id="14" w:name="_Ref11268705"/>
      <w:r>
        <w:lastRenderedPageBreak/>
        <w:t xml:space="preserve">Table </w:t>
      </w:r>
      <w:r w:rsidR="008B5CC4">
        <w:rPr>
          <w:noProof/>
        </w:rPr>
        <w:fldChar w:fldCharType="begin"/>
      </w:r>
      <w:r w:rsidR="008B5CC4">
        <w:rPr>
          <w:noProof/>
        </w:rPr>
        <w:instrText xml:space="preserve"> SEQ Table \* ARABIC </w:instrText>
      </w:r>
      <w:r w:rsidR="008B5CC4">
        <w:rPr>
          <w:noProof/>
        </w:rPr>
        <w:fldChar w:fldCharType="separate"/>
      </w:r>
      <w:r w:rsidR="00253B4A">
        <w:rPr>
          <w:noProof/>
        </w:rPr>
        <w:t>4</w:t>
      </w:r>
      <w:r w:rsidR="008B5CC4">
        <w:rPr>
          <w:noProof/>
        </w:rPr>
        <w:fldChar w:fldCharType="end"/>
      </w:r>
      <w:bookmarkEnd w:id="13"/>
      <w:r>
        <w:t>. Emissions factors for residential wood combustion.</w:t>
      </w:r>
      <w:bookmarkEnd w:id="14"/>
    </w:p>
    <w:tbl>
      <w:tblPr>
        <w:tblW w:w="13562" w:type="dxa"/>
        <w:tblLook w:val="04A0" w:firstRow="1" w:lastRow="0" w:firstColumn="1" w:lastColumn="0" w:noHBand="0" w:noVBand="1"/>
      </w:tblPr>
      <w:tblGrid>
        <w:gridCol w:w="1332"/>
        <w:gridCol w:w="5540"/>
        <w:gridCol w:w="4640"/>
        <w:gridCol w:w="1090"/>
        <w:gridCol w:w="960"/>
      </w:tblGrid>
      <w:tr w:rsidR="00001778" w:rsidRPr="00001778" w:rsidTr="00001778">
        <w:trPr>
          <w:trHeight w:val="300"/>
          <w:tblHeader/>
        </w:trPr>
        <w:tc>
          <w:tcPr>
            <w:tcW w:w="1332"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001778" w:rsidRPr="00001778" w:rsidRDefault="00001778" w:rsidP="00001778">
            <w:pPr>
              <w:widowControl/>
              <w:autoSpaceDE/>
              <w:autoSpaceDN/>
              <w:adjustRightInd/>
              <w:spacing w:after="0"/>
              <w:jc w:val="center"/>
              <w:rPr>
                <w:rFonts w:cs="Calibri"/>
                <w:b/>
                <w:color w:val="000000"/>
                <w:szCs w:val="22"/>
              </w:rPr>
            </w:pPr>
            <w:r w:rsidRPr="00001778">
              <w:rPr>
                <w:rFonts w:cs="Calibri"/>
                <w:b/>
                <w:color w:val="000000"/>
                <w:szCs w:val="22"/>
              </w:rPr>
              <w:t>SCC</w:t>
            </w:r>
          </w:p>
        </w:tc>
        <w:tc>
          <w:tcPr>
            <w:tcW w:w="5540" w:type="dxa"/>
            <w:tcBorders>
              <w:top w:val="single" w:sz="4" w:space="0" w:color="000000"/>
              <w:left w:val="nil"/>
              <w:bottom w:val="single" w:sz="4" w:space="0" w:color="000000"/>
              <w:right w:val="single" w:sz="4" w:space="0" w:color="000000"/>
            </w:tcBorders>
            <w:shd w:val="clear" w:color="000000" w:fill="C0C0C0"/>
            <w:noWrap/>
            <w:vAlign w:val="bottom"/>
            <w:hideMark/>
          </w:tcPr>
          <w:p w:rsidR="00001778" w:rsidRPr="00001778" w:rsidRDefault="00001778" w:rsidP="00001778">
            <w:pPr>
              <w:widowControl/>
              <w:autoSpaceDE/>
              <w:autoSpaceDN/>
              <w:adjustRightInd/>
              <w:spacing w:after="0"/>
              <w:jc w:val="center"/>
              <w:rPr>
                <w:rFonts w:cs="Calibri"/>
                <w:b/>
                <w:color w:val="000000"/>
                <w:szCs w:val="22"/>
              </w:rPr>
            </w:pPr>
            <w:r w:rsidRPr="00001778">
              <w:rPr>
                <w:rFonts w:cs="Calibri"/>
                <w:b/>
                <w:color w:val="000000"/>
                <w:szCs w:val="22"/>
              </w:rPr>
              <w:t>SCC Description</w:t>
            </w:r>
          </w:p>
        </w:tc>
        <w:tc>
          <w:tcPr>
            <w:tcW w:w="4640" w:type="dxa"/>
            <w:tcBorders>
              <w:top w:val="single" w:sz="4" w:space="0" w:color="000000"/>
              <w:left w:val="nil"/>
              <w:bottom w:val="single" w:sz="4" w:space="0" w:color="000000"/>
              <w:right w:val="single" w:sz="4" w:space="0" w:color="000000"/>
            </w:tcBorders>
            <w:shd w:val="clear" w:color="000000" w:fill="C0C0C0"/>
            <w:noWrap/>
            <w:vAlign w:val="bottom"/>
            <w:hideMark/>
          </w:tcPr>
          <w:p w:rsidR="00001778" w:rsidRPr="00001778" w:rsidRDefault="00001778" w:rsidP="00001778">
            <w:pPr>
              <w:widowControl/>
              <w:autoSpaceDE/>
              <w:autoSpaceDN/>
              <w:adjustRightInd/>
              <w:spacing w:after="0"/>
              <w:jc w:val="center"/>
              <w:rPr>
                <w:rFonts w:cs="Calibri"/>
                <w:b/>
                <w:color w:val="000000"/>
                <w:szCs w:val="22"/>
              </w:rPr>
            </w:pPr>
            <w:r w:rsidRPr="00001778">
              <w:rPr>
                <w:rFonts w:cs="Calibri"/>
                <w:b/>
                <w:color w:val="000000"/>
                <w:szCs w:val="22"/>
              </w:rPr>
              <w:t>Pollutant</w:t>
            </w:r>
          </w:p>
        </w:tc>
        <w:tc>
          <w:tcPr>
            <w:tcW w:w="1090" w:type="dxa"/>
            <w:tcBorders>
              <w:top w:val="single" w:sz="4" w:space="0" w:color="000000"/>
              <w:left w:val="nil"/>
              <w:bottom w:val="single" w:sz="4" w:space="0" w:color="000000"/>
              <w:right w:val="single" w:sz="4" w:space="0" w:color="000000"/>
            </w:tcBorders>
            <w:shd w:val="clear" w:color="000000" w:fill="C0C0C0"/>
            <w:noWrap/>
            <w:vAlign w:val="bottom"/>
            <w:hideMark/>
          </w:tcPr>
          <w:p w:rsidR="00001778" w:rsidRPr="00001778" w:rsidRDefault="00001778" w:rsidP="00001778">
            <w:pPr>
              <w:widowControl/>
              <w:autoSpaceDE/>
              <w:autoSpaceDN/>
              <w:adjustRightInd/>
              <w:spacing w:after="0"/>
              <w:jc w:val="center"/>
              <w:rPr>
                <w:rFonts w:cs="Calibri"/>
                <w:b/>
                <w:color w:val="000000"/>
                <w:szCs w:val="22"/>
              </w:rPr>
            </w:pPr>
            <w:r w:rsidRPr="00001778">
              <w:rPr>
                <w:rFonts w:cs="Calibri"/>
                <w:b/>
                <w:color w:val="000000"/>
                <w:szCs w:val="22"/>
              </w:rPr>
              <w:t>Emissions Factor (</w:t>
            </w:r>
            <w:proofErr w:type="spellStart"/>
            <w:r w:rsidRPr="00001778">
              <w:rPr>
                <w:rFonts w:cs="Calibri"/>
                <w:b/>
                <w:color w:val="000000"/>
                <w:szCs w:val="22"/>
              </w:rPr>
              <w:t>lb</w:t>
            </w:r>
            <w:proofErr w:type="spellEnd"/>
            <w:r w:rsidRPr="00001778">
              <w:rPr>
                <w:rFonts w:cs="Calibri"/>
                <w:b/>
                <w:color w:val="000000"/>
                <w:szCs w:val="22"/>
              </w:rPr>
              <w:t>/ton)</w:t>
            </w:r>
          </w:p>
        </w:tc>
        <w:tc>
          <w:tcPr>
            <w:tcW w:w="960" w:type="dxa"/>
            <w:tcBorders>
              <w:top w:val="single" w:sz="4" w:space="0" w:color="000000"/>
              <w:left w:val="nil"/>
              <w:bottom w:val="single" w:sz="4" w:space="0" w:color="000000"/>
              <w:right w:val="single" w:sz="4" w:space="0" w:color="000000"/>
            </w:tcBorders>
            <w:shd w:val="clear" w:color="000000" w:fill="C0C0C0"/>
            <w:noWrap/>
            <w:vAlign w:val="bottom"/>
            <w:hideMark/>
          </w:tcPr>
          <w:p w:rsidR="00001778" w:rsidRPr="00001778" w:rsidRDefault="00001778" w:rsidP="00715C4E">
            <w:pPr>
              <w:widowControl/>
              <w:autoSpaceDE/>
              <w:autoSpaceDN/>
              <w:adjustRightInd/>
              <w:spacing w:after="0"/>
              <w:jc w:val="right"/>
              <w:rPr>
                <w:rFonts w:cs="Calibri"/>
                <w:b/>
                <w:color w:val="000000"/>
                <w:szCs w:val="22"/>
              </w:rPr>
            </w:pPr>
            <w:r w:rsidRPr="00001778">
              <w:rPr>
                <w:rFonts w:cs="Calibri"/>
                <w:b/>
                <w:color w:val="000000"/>
                <w:szCs w:val="22"/>
              </w:rPr>
              <w:t>Source</w:t>
            </w:r>
          </w:p>
        </w:tc>
      </w:tr>
      <w:tr w:rsidR="00001778" w:rsidRPr="00001778" w:rsidTr="00001778">
        <w:trPr>
          <w:trHeight w:val="300"/>
        </w:trPr>
        <w:tc>
          <w:tcPr>
            <w:tcW w:w="133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single" w:sz="4" w:space="0" w:color="C0C0C0"/>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single" w:sz="4" w:space="0" w:color="C0C0C0"/>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single" w:sz="4" w:space="0" w:color="C0C0C0"/>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1.8</w:t>
            </w:r>
          </w:p>
        </w:tc>
        <w:tc>
          <w:tcPr>
            <w:tcW w:w="960" w:type="dxa"/>
            <w:tcBorders>
              <w:top w:val="single" w:sz="4" w:space="0" w:color="C0C0C0"/>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149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23.6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13</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23.6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13</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18.9</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D208D">
              <w:rPr>
                <w:rFonts w:cs="Calibri"/>
                <w:color w:val="000000"/>
                <w:szCs w:val="22"/>
              </w:rPr>
              <w:fldChar w:fldCharType="begin"/>
            </w:r>
            <w:r w:rsidRPr="007D208D">
              <w:rPr>
                <w:rFonts w:cs="Calibri"/>
                <w:color w:val="000000"/>
                <w:szCs w:val="22"/>
              </w:rPr>
              <w:instrText xml:space="preserve"> NOTEREF _Ref11346072 \h </w:instrText>
            </w:r>
            <w:r>
              <w:rPr>
                <w:rFonts w:cs="Calibri"/>
                <w:color w:val="000000"/>
                <w:szCs w:val="22"/>
              </w:rPr>
              <w:instrText xml:space="preserve"> \* MERGEFORMAT </w:instrText>
            </w:r>
            <w:r w:rsidRPr="007D208D">
              <w:rPr>
                <w:rFonts w:cs="Calibri"/>
                <w:color w:val="000000"/>
                <w:szCs w:val="22"/>
              </w:rPr>
            </w:r>
            <w:r w:rsidRPr="007D208D">
              <w:rPr>
                <w:rFonts w:cs="Calibri"/>
                <w:color w:val="000000"/>
                <w:szCs w:val="22"/>
              </w:rPr>
              <w:fldChar w:fldCharType="separate"/>
            </w:r>
            <w:r w:rsidRPr="007D208D">
              <w:rPr>
                <w:rFonts w:cs="Calibri"/>
                <w:color w:val="000000"/>
                <w:szCs w:val="22"/>
              </w:rPr>
              <w:t>10</w:t>
            </w:r>
            <w:r w:rsidRPr="007D208D">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0.157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D208D">
              <w:rPr>
                <w:rFonts w:cs="Calibri"/>
                <w:color w:val="000000"/>
                <w:szCs w:val="22"/>
              </w:rPr>
              <w:fldChar w:fldCharType="begin"/>
            </w:r>
            <w:r w:rsidRPr="007D208D">
              <w:rPr>
                <w:rFonts w:cs="Calibri"/>
                <w:color w:val="000000"/>
                <w:szCs w:val="22"/>
              </w:rPr>
              <w:instrText xml:space="preserve"> NOTEREF _Ref11346072 \h </w:instrText>
            </w:r>
            <w:r>
              <w:rPr>
                <w:rFonts w:cs="Calibri"/>
                <w:color w:val="000000"/>
                <w:szCs w:val="22"/>
              </w:rPr>
              <w:instrText xml:space="preserve"> \* MERGEFORMAT </w:instrText>
            </w:r>
            <w:r w:rsidRPr="007D208D">
              <w:rPr>
                <w:rFonts w:cs="Calibri"/>
                <w:color w:val="000000"/>
                <w:szCs w:val="22"/>
              </w:rPr>
            </w:r>
            <w:r w:rsidRPr="007D208D">
              <w:rPr>
                <w:rFonts w:cs="Calibri"/>
                <w:color w:val="000000"/>
                <w:szCs w:val="22"/>
              </w:rPr>
              <w:fldChar w:fldCharType="separate"/>
            </w:r>
            <w:r w:rsidRPr="007D208D">
              <w:rPr>
                <w:rFonts w:cs="Calibri"/>
                <w:color w:val="000000"/>
                <w:szCs w:val="22"/>
              </w:rPr>
              <w:t>10</w:t>
            </w:r>
            <w:r w:rsidRPr="007D208D">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1.07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D208D">
              <w:rPr>
                <w:rFonts w:cs="Calibri"/>
                <w:color w:val="000000"/>
                <w:szCs w:val="22"/>
              </w:rPr>
              <w:fldChar w:fldCharType="begin"/>
            </w:r>
            <w:r w:rsidRPr="007D208D">
              <w:rPr>
                <w:rFonts w:cs="Calibri"/>
                <w:color w:val="000000"/>
                <w:szCs w:val="22"/>
              </w:rPr>
              <w:instrText xml:space="preserve"> NOTEREF _Ref11346072 \h </w:instrText>
            </w:r>
            <w:r>
              <w:rPr>
                <w:rFonts w:cs="Calibri"/>
                <w:color w:val="000000"/>
                <w:szCs w:val="22"/>
              </w:rPr>
              <w:instrText xml:space="preserve"> \* MERGEFORMAT </w:instrText>
            </w:r>
            <w:r w:rsidRPr="007D208D">
              <w:rPr>
                <w:rFonts w:cs="Calibri"/>
                <w:color w:val="000000"/>
                <w:szCs w:val="22"/>
              </w:rPr>
            </w:r>
            <w:r w:rsidRPr="007D208D">
              <w:rPr>
                <w:rFonts w:cs="Calibri"/>
                <w:color w:val="000000"/>
                <w:szCs w:val="22"/>
              </w:rPr>
              <w:fldChar w:fldCharType="separate"/>
            </w:r>
            <w:r w:rsidRPr="007D208D">
              <w:rPr>
                <w:rFonts w:cs="Calibri"/>
                <w:color w:val="000000"/>
                <w:szCs w:val="22"/>
              </w:rPr>
              <w:t>10</w:t>
            </w:r>
            <w:r w:rsidRPr="007D208D">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0.123</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D208D">
              <w:rPr>
                <w:rFonts w:cs="Calibri"/>
                <w:color w:val="000000"/>
                <w:szCs w:val="22"/>
              </w:rPr>
              <w:fldChar w:fldCharType="begin"/>
            </w:r>
            <w:r w:rsidRPr="007D208D">
              <w:rPr>
                <w:rFonts w:cs="Calibri"/>
                <w:color w:val="000000"/>
                <w:szCs w:val="22"/>
              </w:rPr>
              <w:instrText xml:space="preserve"> NOTEREF _Ref11346072 \h </w:instrText>
            </w:r>
            <w:r>
              <w:rPr>
                <w:rFonts w:cs="Calibri"/>
                <w:color w:val="000000"/>
                <w:szCs w:val="22"/>
              </w:rPr>
              <w:instrText xml:space="preserve"> \* MERGEFORMAT </w:instrText>
            </w:r>
            <w:r w:rsidRPr="007D208D">
              <w:rPr>
                <w:rFonts w:cs="Calibri"/>
                <w:color w:val="000000"/>
                <w:szCs w:val="22"/>
              </w:rPr>
            </w:r>
            <w:r w:rsidRPr="007D208D">
              <w:rPr>
                <w:rFonts w:cs="Calibri"/>
                <w:color w:val="000000"/>
                <w:szCs w:val="22"/>
              </w:rPr>
              <w:fldChar w:fldCharType="separate"/>
            </w:r>
            <w:r w:rsidRPr="007D208D">
              <w:rPr>
                <w:rFonts w:cs="Calibri"/>
                <w:color w:val="000000"/>
                <w:szCs w:val="22"/>
              </w:rPr>
              <w:t>10</w:t>
            </w:r>
            <w:r w:rsidRPr="007D208D">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0.686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D208D">
              <w:rPr>
                <w:rFonts w:cs="Calibri"/>
                <w:color w:val="000000"/>
                <w:szCs w:val="22"/>
              </w:rPr>
              <w:fldChar w:fldCharType="begin"/>
            </w:r>
            <w:r w:rsidRPr="007D208D">
              <w:rPr>
                <w:rFonts w:cs="Calibri"/>
                <w:color w:val="000000"/>
                <w:szCs w:val="22"/>
              </w:rPr>
              <w:instrText xml:space="preserve"> NOTEREF _Ref11346072 \h </w:instrText>
            </w:r>
            <w:r>
              <w:rPr>
                <w:rFonts w:cs="Calibri"/>
                <w:color w:val="000000"/>
                <w:szCs w:val="22"/>
              </w:rPr>
              <w:instrText xml:space="preserve"> \* MERGEFORMAT </w:instrText>
            </w:r>
            <w:r w:rsidRPr="007D208D">
              <w:rPr>
                <w:rFonts w:cs="Calibri"/>
                <w:color w:val="000000"/>
                <w:szCs w:val="22"/>
              </w:rPr>
            </w:r>
            <w:r w:rsidRPr="007D208D">
              <w:rPr>
                <w:rFonts w:cs="Calibri"/>
                <w:color w:val="000000"/>
                <w:szCs w:val="22"/>
              </w:rPr>
              <w:fldChar w:fldCharType="separate"/>
            </w:r>
            <w:r w:rsidRPr="007D208D">
              <w:rPr>
                <w:rFonts w:cs="Calibri"/>
                <w:color w:val="000000"/>
                <w:szCs w:val="22"/>
              </w:rPr>
              <w:t>10</w:t>
            </w:r>
            <w:r w:rsidRPr="007D208D">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0.001</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D208D">
              <w:rPr>
                <w:rFonts w:cs="Calibri"/>
                <w:color w:val="000000"/>
                <w:szCs w:val="22"/>
              </w:rPr>
              <w:fldChar w:fldCharType="begin"/>
            </w:r>
            <w:r w:rsidRPr="007D208D">
              <w:rPr>
                <w:rFonts w:cs="Calibri"/>
                <w:color w:val="000000"/>
                <w:szCs w:val="22"/>
              </w:rPr>
              <w:instrText xml:space="preserve"> NOTEREF _Ref11346072 \h </w:instrText>
            </w:r>
            <w:r>
              <w:rPr>
                <w:rFonts w:cs="Calibri"/>
                <w:color w:val="000000"/>
                <w:szCs w:val="22"/>
              </w:rPr>
              <w:instrText xml:space="preserve"> \* MERGEFORMAT </w:instrText>
            </w:r>
            <w:r w:rsidRPr="007D208D">
              <w:rPr>
                <w:rFonts w:cs="Calibri"/>
                <w:color w:val="000000"/>
                <w:szCs w:val="22"/>
              </w:rPr>
            </w:r>
            <w:r w:rsidRPr="007D208D">
              <w:rPr>
                <w:rFonts w:cs="Calibri"/>
                <w:color w:val="000000"/>
                <w:szCs w:val="22"/>
              </w:rPr>
              <w:fldChar w:fldCharType="separate"/>
            </w:r>
            <w:r w:rsidRPr="007D208D">
              <w:rPr>
                <w:rFonts w:cs="Calibri"/>
                <w:color w:val="000000"/>
                <w:szCs w:val="22"/>
              </w:rPr>
              <w:t>10</w:t>
            </w:r>
            <w:r w:rsidRPr="007D208D">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0.357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D208D">
              <w:rPr>
                <w:rFonts w:cs="Calibri"/>
                <w:color w:val="000000"/>
                <w:szCs w:val="22"/>
              </w:rPr>
              <w:fldChar w:fldCharType="begin"/>
            </w:r>
            <w:r w:rsidRPr="007D208D">
              <w:rPr>
                <w:rFonts w:cs="Calibri"/>
                <w:color w:val="000000"/>
                <w:szCs w:val="22"/>
              </w:rPr>
              <w:instrText xml:space="preserve"> NOTEREF _Ref11346072 \h </w:instrText>
            </w:r>
            <w:r>
              <w:rPr>
                <w:rFonts w:cs="Calibri"/>
                <w:color w:val="000000"/>
                <w:szCs w:val="22"/>
              </w:rPr>
              <w:instrText xml:space="preserve"> \* MERGEFORMAT </w:instrText>
            </w:r>
            <w:r w:rsidRPr="007D208D">
              <w:rPr>
                <w:rFonts w:cs="Calibri"/>
                <w:color w:val="000000"/>
                <w:szCs w:val="22"/>
              </w:rPr>
            </w:r>
            <w:r w:rsidRPr="007D208D">
              <w:rPr>
                <w:rFonts w:cs="Calibri"/>
                <w:color w:val="000000"/>
                <w:szCs w:val="22"/>
              </w:rPr>
              <w:fldChar w:fldCharType="separate"/>
            </w:r>
            <w:r w:rsidRPr="007D208D">
              <w:rPr>
                <w:rFonts w:cs="Calibri"/>
                <w:color w:val="000000"/>
                <w:szCs w:val="22"/>
              </w:rPr>
              <w:t>10</w:t>
            </w:r>
            <w:r w:rsidRPr="007D208D">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1.79</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D208D">
              <w:rPr>
                <w:rFonts w:cs="Calibri"/>
                <w:color w:val="000000"/>
                <w:szCs w:val="22"/>
              </w:rPr>
              <w:fldChar w:fldCharType="begin"/>
            </w:r>
            <w:r w:rsidRPr="007D208D">
              <w:rPr>
                <w:rFonts w:cs="Calibri"/>
                <w:color w:val="000000"/>
                <w:szCs w:val="22"/>
              </w:rPr>
              <w:instrText xml:space="preserve"> NOTEREF _Ref11346072 \h </w:instrText>
            </w:r>
            <w:r>
              <w:rPr>
                <w:rFonts w:cs="Calibri"/>
                <w:color w:val="000000"/>
                <w:szCs w:val="22"/>
              </w:rPr>
              <w:instrText xml:space="preserve"> \* MERGEFORMAT </w:instrText>
            </w:r>
            <w:r w:rsidRPr="007D208D">
              <w:rPr>
                <w:rFonts w:cs="Calibri"/>
                <w:color w:val="000000"/>
                <w:szCs w:val="22"/>
              </w:rPr>
            </w:r>
            <w:r w:rsidRPr="007D208D">
              <w:rPr>
                <w:rFonts w:cs="Calibri"/>
                <w:color w:val="000000"/>
                <w:szCs w:val="22"/>
              </w:rPr>
              <w:fldChar w:fldCharType="separate"/>
            </w:r>
            <w:r w:rsidRPr="007D208D">
              <w:rPr>
                <w:rFonts w:cs="Calibri"/>
                <w:color w:val="000000"/>
                <w:szCs w:val="22"/>
              </w:rPr>
              <w:t>10</w:t>
            </w:r>
            <w:r w:rsidRPr="007D208D">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0.265</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43C82">
              <w:rPr>
                <w:rFonts w:cs="Calibri"/>
                <w:color w:val="000000"/>
                <w:szCs w:val="22"/>
              </w:rPr>
              <w:fldChar w:fldCharType="begin"/>
            </w:r>
            <w:r w:rsidRPr="00743C82">
              <w:rPr>
                <w:rFonts w:cs="Calibri"/>
                <w:color w:val="000000"/>
                <w:szCs w:val="22"/>
              </w:rPr>
              <w:instrText xml:space="preserve"> NOTEREF _Ref11346072 \h </w:instrText>
            </w:r>
            <w:r>
              <w:rPr>
                <w:rFonts w:cs="Calibri"/>
                <w:color w:val="000000"/>
                <w:szCs w:val="22"/>
              </w:rPr>
              <w:instrText xml:space="preserve"> \* MERGEFORMAT </w:instrText>
            </w:r>
            <w:r w:rsidRPr="00743C82">
              <w:rPr>
                <w:rFonts w:cs="Calibri"/>
                <w:color w:val="000000"/>
                <w:szCs w:val="22"/>
              </w:rPr>
            </w:r>
            <w:r w:rsidRPr="00743C82">
              <w:rPr>
                <w:rFonts w:cs="Calibri"/>
                <w:color w:val="000000"/>
                <w:szCs w:val="22"/>
              </w:rPr>
              <w:fldChar w:fldCharType="separate"/>
            </w:r>
            <w:r w:rsidRPr="00743C82">
              <w:rPr>
                <w:rFonts w:cs="Calibri"/>
                <w:color w:val="000000"/>
                <w:szCs w:val="22"/>
              </w:rPr>
              <w:t>10</w:t>
            </w:r>
            <w:r w:rsidRPr="00743C8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2104008100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Fireplace: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0.472</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43C82">
              <w:rPr>
                <w:rFonts w:cs="Calibri"/>
                <w:color w:val="000000"/>
                <w:szCs w:val="22"/>
              </w:rPr>
              <w:fldChar w:fldCharType="begin"/>
            </w:r>
            <w:r w:rsidRPr="00743C82">
              <w:rPr>
                <w:rFonts w:cs="Calibri"/>
                <w:color w:val="000000"/>
                <w:szCs w:val="22"/>
              </w:rPr>
              <w:instrText xml:space="preserve"> NOTEREF _Ref11346072 \h </w:instrText>
            </w:r>
            <w:r>
              <w:rPr>
                <w:rFonts w:cs="Calibri"/>
                <w:color w:val="000000"/>
                <w:szCs w:val="22"/>
              </w:rPr>
              <w:instrText xml:space="preserve"> \* MERGEFORMAT </w:instrText>
            </w:r>
            <w:r w:rsidRPr="00743C82">
              <w:rPr>
                <w:rFonts w:cs="Calibri"/>
                <w:color w:val="000000"/>
                <w:szCs w:val="22"/>
              </w:rPr>
            </w:r>
            <w:r w:rsidRPr="00743C82">
              <w:rPr>
                <w:rFonts w:cs="Calibri"/>
                <w:color w:val="000000"/>
                <w:szCs w:val="22"/>
              </w:rPr>
              <w:fldChar w:fldCharType="separate"/>
            </w:r>
            <w:r w:rsidRPr="00743C82">
              <w:rPr>
                <w:rFonts w:cs="Calibri"/>
                <w:color w:val="000000"/>
                <w:szCs w:val="22"/>
              </w:rPr>
              <w:t>10</w:t>
            </w:r>
            <w:r w:rsidRPr="00743C8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43C82">
              <w:rPr>
                <w:rFonts w:cs="Calibri"/>
                <w:color w:val="000000"/>
                <w:szCs w:val="22"/>
              </w:rPr>
              <w:fldChar w:fldCharType="begin"/>
            </w:r>
            <w:r w:rsidRPr="00743C82">
              <w:rPr>
                <w:rFonts w:cs="Calibri"/>
                <w:color w:val="000000"/>
                <w:szCs w:val="22"/>
              </w:rPr>
              <w:instrText xml:space="preserve"> NOTEREF _Ref11346072 \h </w:instrText>
            </w:r>
            <w:r>
              <w:rPr>
                <w:rFonts w:cs="Calibri"/>
                <w:color w:val="000000"/>
                <w:szCs w:val="22"/>
              </w:rPr>
              <w:instrText xml:space="preserve"> \* MERGEFORMAT </w:instrText>
            </w:r>
            <w:r w:rsidRPr="00743C82">
              <w:rPr>
                <w:rFonts w:cs="Calibri"/>
                <w:color w:val="000000"/>
                <w:szCs w:val="22"/>
              </w:rPr>
            </w:r>
            <w:r w:rsidRPr="00743C82">
              <w:rPr>
                <w:rFonts w:cs="Calibri"/>
                <w:color w:val="000000"/>
                <w:szCs w:val="22"/>
              </w:rPr>
              <w:fldChar w:fldCharType="separate"/>
            </w:r>
            <w:r w:rsidRPr="00743C82">
              <w:rPr>
                <w:rFonts w:cs="Calibri"/>
                <w:color w:val="000000"/>
                <w:szCs w:val="22"/>
              </w:rPr>
              <w:t>10</w:t>
            </w:r>
            <w:r w:rsidRPr="00743C82">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230.8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53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0.00621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0.132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0.616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92EDF">
              <w:rPr>
                <w:rFonts w:cs="Calibri"/>
                <w:color w:val="000000"/>
                <w:szCs w:val="22"/>
              </w:rPr>
              <w:fldChar w:fldCharType="begin"/>
            </w:r>
            <w:r w:rsidRPr="00D92EDF">
              <w:rPr>
                <w:rFonts w:cs="Calibri"/>
                <w:color w:val="000000"/>
                <w:szCs w:val="22"/>
              </w:rPr>
              <w:instrText xml:space="preserve"> NOTEREF _Ref11346072 \h </w:instrText>
            </w:r>
            <w:r>
              <w:rPr>
                <w:rFonts w:cs="Calibri"/>
                <w:color w:val="000000"/>
                <w:szCs w:val="22"/>
              </w:rPr>
              <w:instrText xml:space="preserve"> \* MERGEFORMAT </w:instrText>
            </w:r>
            <w:r w:rsidRPr="00D92EDF">
              <w:rPr>
                <w:rFonts w:cs="Calibri"/>
                <w:color w:val="000000"/>
                <w:szCs w:val="22"/>
              </w:rPr>
            </w:r>
            <w:r w:rsidRPr="00D92EDF">
              <w:rPr>
                <w:rFonts w:cs="Calibri"/>
                <w:color w:val="000000"/>
                <w:szCs w:val="22"/>
              </w:rPr>
              <w:fldChar w:fldCharType="separate"/>
            </w:r>
            <w:r w:rsidRPr="00D92EDF">
              <w:rPr>
                <w:rFonts w:cs="Calibri"/>
                <w:color w:val="000000"/>
                <w:szCs w:val="22"/>
              </w:rPr>
              <w:t>10</w:t>
            </w:r>
            <w:r w:rsidRPr="00D92EDF">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lastRenderedPageBreak/>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0.091</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92EDF">
              <w:rPr>
                <w:rFonts w:cs="Calibri"/>
                <w:color w:val="000000"/>
                <w:szCs w:val="22"/>
              </w:rPr>
              <w:fldChar w:fldCharType="begin"/>
            </w:r>
            <w:r w:rsidRPr="00D92EDF">
              <w:rPr>
                <w:rFonts w:cs="Calibri"/>
                <w:color w:val="000000"/>
                <w:szCs w:val="22"/>
              </w:rPr>
              <w:instrText xml:space="preserve"> NOTEREF _Ref11346072 \h </w:instrText>
            </w:r>
            <w:r>
              <w:rPr>
                <w:rFonts w:cs="Calibri"/>
                <w:color w:val="000000"/>
                <w:szCs w:val="22"/>
              </w:rPr>
              <w:instrText xml:space="preserve"> \* MERGEFORMAT </w:instrText>
            </w:r>
            <w:r w:rsidRPr="00D92EDF">
              <w:rPr>
                <w:rFonts w:cs="Calibri"/>
                <w:color w:val="000000"/>
                <w:szCs w:val="22"/>
              </w:rPr>
            </w:r>
            <w:r w:rsidRPr="00D92EDF">
              <w:rPr>
                <w:rFonts w:cs="Calibri"/>
                <w:color w:val="000000"/>
                <w:szCs w:val="22"/>
              </w:rPr>
              <w:fldChar w:fldCharType="separate"/>
            </w:r>
            <w:r w:rsidRPr="00D92EDF">
              <w:rPr>
                <w:rFonts w:cs="Calibri"/>
                <w:color w:val="000000"/>
                <w:szCs w:val="22"/>
              </w:rPr>
              <w:t>10</w:t>
            </w:r>
            <w:r w:rsidRPr="00D92EDF">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0.00869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1.938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0.000577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0.000321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0.000979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Benzo[b]</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0.000592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Benzo[e]Pyrene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0.000589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w:t>
            </w:r>
            <w:proofErr w:type="spellStart"/>
            <w:r w:rsidRPr="00001778">
              <w:rPr>
                <w:rFonts w:cs="Calibri"/>
                <w:color w:val="000000"/>
                <w:szCs w:val="22"/>
              </w:rPr>
              <w:t>g,h,i</w:t>
            </w:r>
            <w:proofErr w:type="spellEnd"/>
            <w:r w:rsidRPr="00001778">
              <w:rPr>
                <w:rFonts w:cs="Calibri"/>
                <w:color w:val="000000"/>
                <w:szCs w:val="22"/>
              </w:rPr>
              <w:t>,]</w:t>
            </w: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0.000201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Benzo[k]</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0.000509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Cadmium</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0.000022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0.000472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Dibenzo</w:t>
            </w:r>
            <w:proofErr w:type="spellEnd"/>
            <w:r w:rsidRPr="00001778">
              <w:rPr>
                <w:rFonts w:cs="Calibri"/>
                <w:color w:val="000000"/>
                <w:szCs w:val="22"/>
              </w:rPr>
              <w:t>[ah]anthracene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3.92E-05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0.000249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0.0149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1.45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Indeno</w:t>
            </w:r>
            <w:proofErr w:type="spellEnd"/>
            <w:r w:rsidRPr="00001778">
              <w:rPr>
                <w:rFonts w:cs="Calibri"/>
                <w:color w:val="000000"/>
                <w:szCs w:val="22"/>
              </w:rPr>
              <w:t>[1; 2; 3 . cd]pyrene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0.000408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Manganese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Methylchrysene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5.84E-05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0.179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Nickel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0.000014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o-Xylene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0.202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0.000155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0.0484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0.295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0.000217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Toluene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0.73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lastRenderedPageBreak/>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0.665816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122.6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1.686735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270A32" w:rsidP="00001778">
            <w:pPr>
              <w:widowControl/>
              <w:autoSpaceDE/>
              <w:autoSpaceDN/>
              <w:adjustRightInd/>
              <w:spacing w:after="0"/>
              <w:jc w:val="right"/>
              <w:rPr>
                <w:rFonts w:cs="Calibri"/>
                <w:color w:val="000000"/>
                <w:szCs w:val="22"/>
              </w:rPr>
            </w:pPr>
            <w:r>
              <w:rPr>
                <w:rFonts w:cs="Calibri"/>
                <w:color w:val="000000"/>
                <w:szCs w:val="22"/>
              </w:rPr>
              <w:t>8.76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270A32"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_Ref11410577 \h </w:instrText>
            </w:r>
            <w:r>
              <w:rPr>
                <w:rFonts w:cs="Calibri"/>
                <w:color w:val="000000"/>
                <w:szCs w:val="22"/>
              </w:rPr>
            </w:r>
            <w:r>
              <w:rPr>
                <w:rFonts w:cs="Calibri"/>
                <w:color w:val="000000"/>
                <w:szCs w:val="22"/>
              </w:rPr>
              <w:fldChar w:fldCharType="separate"/>
            </w:r>
            <w:r>
              <w:rPr>
                <w:rFonts w:cs="Calibri"/>
                <w:color w:val="000000"/>
                <w:szCs w:val="22"/>
              </w:rPr>
              <w:t>15</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270A32" w:rsidP="00001778">
            <w:pPr>
              <w:widowControl/>
              <w:autoSpaceDE/>
              <w:autoSpaceDN/>
              <w:adjustRightInd/>
              <w:spacing w:after="0"/>
              <w:jc w:val="right"/>
              <w:rPr>
                <w:rFonts w:cs="Calibri"/>
                <w:color w:val="000000"/>
                <w:szCs w:val="22"/>
              </w:rPr>
            </w:pPr>
            <w:r>
              <w:rPr>
                <w:rFonts w:cs="Calibri"/>
                <w:color w:val="000000"/>
                <w:szCs w:val="22"/>
              </w:rPr>
              <w:t>8.76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270A32"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_Ref11410577 \h </w:instrText>
            </w:r>
            <w:r>
              <w:rPr>
                <w:rFonts w:cs="Calibri"/>
                <w:color w:val="000000"/>
                <w:szCs w:val="22"/>
              </w:rPr>
            </w:r>
            <w:r>
              <w:rPr>
                <w:rFonts w:cs="Calibri"/>
                <w:color w:val="000000"/>
                <w:szCs w:val="22"/>
              </w:rPr>
              <w:fldChar w:fldCharType="separate"/>
            </w:r>
            <w:r>
              <w:rPr>
                <w:rFonts w:cs="Calibri"/>
                <w:color w:val="000000"/>
                <w:szCs w:val="22"/>
              </w:rPr>
              <w:t>15</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0.295918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8.877551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0.129464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0.002989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0.009543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0.467551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0.029888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0.002693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0.709464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0.000427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0.000237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0.000725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Benzo[b]</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0.000438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Benzo[e]Pyrene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0.000436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w:t>
            </w:r>
            <w:proofErr w:type="spellStart"/>
            <w:r w:rsidRPr="00001778">
              <w:rPr>
                <w:rFonts w:cs="Calibri"/>
                <w:color w:val="000000"/>
                <w:szCs w:val="22"/>
              </w:rPr>
              <w:t>g,h,i</w:t>
            </w:r>
            <w:proofErr w:type="spellEnd"/>
            <w:r w:rsidRPr="00001778">
              <w:rPr>
                <w:rFonts w:cs="Calibri"/>
                <w:color w:val="000000"/>
                <w:szCs w:val="22"/>
              </w:rPr>
              <w:t>,]</w:t>
            </w: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0.000149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Benzo[k]</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0.000377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Cadmium</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1.48E-05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0.000349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0.341786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Dibenzo</w:t>
            </w:r>
            <w:proofErr w:type="spellEnd"/>
            <w:r w:rsidRPr="00001778">
              <w:rPr>
                <w:rFonts w:cs="Calibri"/>
                <w:color w:val="000000"/>
                <w:szCs w:val="22"/>
              </w:rPr>
              <w:t>[ah]anthracene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2.9E-05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0.000184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0.004187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1.642347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Indeno</w:t>
            </w:r>
            <w:proofErr w:type="spellEnd"/>
            <w:r w:rsidRPr="00001778">
              <w:rPr>
                <w:rFonts w:cs="Calibri"/>
                <w:color w:val="000000"/>
                <w:szCs w:val="22"/>
              </w:rPr>
              <w:t>[1; 2; 3 . cd]pyrene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0.000302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lastRenderedPageBreak/>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Manganese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Methylchrysene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4.32E-05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0.043056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Nickel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1.48E-05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0.000115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0.035288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0.360281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0.000161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0.670588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92.3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1.490196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270A32">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001778">
            <w:pPr>
              <w:widowControl/>
              <w:autoSpaceDE/>
              <w:autoSpaceDN/>
              <w:adjustRightInd/>
              <w:spacing w:after="0"/>
              <w:jc w:val="right"/>
              <w:rPr>
                <w:rFonts w:cs="Calibri"/>
                <w:color w:val="000000"/>
                <w:szCs w:val="22"/>
              </w:rPr>
            </w:pPr>
            <w:r>
              <w:rPr>
                <w:rFonts w:cs="Calibri"/>
                <w:color w:val="000000"/>
                <w:szCs w:val="22"/>
              </w:rPr>
              <w:t>9.72</w:t>
            </w:r>
          </w:p>
        </w:tc>
        <w:tc>
          <w:tcPr>
            <w:tcW w:w="96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_Ref11410577 \h </w:instrText>
            </w:r>
            <w:r>
              <w:rPr>
                <w:rFonts w:cs="Calibri"/>
                <w:color w:val="000000"/>
                <w:szCs w:val="22"/>
              </w:rPr>
            </w:r>
            <w:r>
              <w:rPr>
                <w:rFonts w:cs="Calibri"/>
                <w:color w:val="000000"/>
                <w:szCs w:val="22"/>
              </w:rPr>
              <w:fldChar w:fldCharType="separate"/>
            </w:r>
            <w:r>
              <w:rPr>
                <w:rFonts w:cs="Calibri"/>
                <w:color w:val="000000"/>
                <w:szCs w:val="22"/>
              </w:rPr>
              <w:t>15</w:t>
            </w:r>
            <w:r>
              <w:rPr>
                <w:rFonts w:cs="Calibri"/>
                <w:color w:val="000000"/>
                <w:szCs w:val="22"/>
              </w:rPr>
              <w:fldChar w:fldCharType="end"/>
            </w:r>
          </w:p>
        </w:tc>
      </w:tr>
      <w:tr w:rsidR="00001778" w:rsidRPr="00001778" w:rsidTr="00270A32">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001778">
            <w:pPr>
              <w:widowControl/>
              <w:autoSpaceDE/>
              <w:autoSpaceDN/>
              <w:adjustRightInd/>
              <w:spacing w:after="0"/>
              <w:jc w:val="right"/>
              <w:rPr>
                <w:rFonts w:cs="Calibri"/>
                <w:color w:val="000000"/>
                <w:szCs w:val="22"/>
              </w:rPr>
            </w:pPr>
            <w:r>
              <w:rPr>
                <w:rFonts w:cs="Calibri"/>
                <w:color w:val="000000"/>
                <w:szCs w:val="22"/>
              </w:rPr>
              <w:t>9.72</w:t>
            </w:r>
          </w:p>
        </w:tc>
        <w:tc>
          <w:tcPr>
            <w:tcW w:w="96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_Ref11410577 \h </w:instrText>
            </w:r>
            <w:r>
              <w:rPr>
                <w:rFonts w:cs="Calibri"/>
                <w:color w:val="000000"/>
                <w:szCs w:val="22"/>
              </w:rPr>
            </w:r>
            <w:r>
              <w:rPr>
                <w:rFonts w:cs="Calibri"/>
                <w:color w:val="000000"/>
                <w:szCs w:val="22"/>
              </w:rPr>
              <w:fldChar w:fldCharType="separate"/>
            </w:r>
            <w:r>
              <w:rPr>
                <w:rFonts w:cs="Calibri"/>
                <w:color w:val="000000"/>
                <w:szCs w:val="22"/>
              </w:rPr>
              <w:t>15</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0.298039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11.17647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0.145294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0.002295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0.026004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0.395647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708F0">
              <w:rPr>
                <w:rFonts w:cs="Calibri"/>
                <w:color w:val="000000"/>
                <w:szCs w:val="22"/>
              </w:rPr>
              <w:fldChar w:fldCharType="begin"/>
            </w:r>
            <w:r w:rsidRPr="007708F0">
              <w:rPr>
                <w:rFonts w:cs="Calibri"/>
                <w:color w:val="000000"/>
                <w:szCs w:val="22"/>
              </w:rPr>
              <w:instrText xml:space="preserve"> NOTEREF _Ref11346072 \h </w:instrText>
            </w:r>
            <w:r>
              <w:rPr>
                <w:rFonts w:cs="Calibri"/>
                <w:color w:val="000000"/>
                <w:szCs w:val="22"/>
              </w:rPr>
              <w:instrText xml:space="preserve"> \* MERGEFORMAT </w:instrText>
            </w:r>
            <w:r w:rsidRPr="007708F0">
              <w:rPr>
                <w:rFonts w:cs="Calibri"/>
                <w:color w:val="000000"/>
                <w:szCs w:val="22"/>
              </w:rPr>
            </w:r>
            <w:r w:rsidRPr="007708F0">
              <w:rPr>
                <w:rFonts w:cs="Calibri"/>
                <w:color w:val="000000"/>
                <w:szCs w:val="22"/>
              </w:rPr>
              <w:fldChar w:fldCharType="separate"/>
            </w:r>
            <w:r w:rsidRPr="007708F0">
              <w:rPr>
                <w:rFonts w:cs="Calibri"/>
                <w:color w:val="000000"/>
                <w:szCs w:val="22"/>
              </w:rPr>
              <w:t>10</w:t>
            </w:r>
            <w:r w:rsidRPr="007708F0">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0.023396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7708F0">
              <w:rPr>
                <w:rFonts w:cs="Calibri"/>
                <w:color w:val="000000"/>
                <w:szCs w:val="22"/>
              </w:rPr>
              <w:fldChar w:fldCharType="begin"/>
            </w:r>
            <w:r w:rsidRPr="007708F0">
              <w:rPr>
                <w:rFonts w:cs="Calibri"/>
                <w:color w:val="000000"/>
                <w:szCs w:val="22"/>
              </w:rPr>
              <w:instrText xml:space="preserve"> NOTEREF _Ref11346072 \h </w:instrText>
            </w:r>
            <w:r>
              <w:rPr>
                <w:rFonts w:cs="Calibri"/>
                <w:color w:val="000000"/>
                <w:szCs w:val="22"/>
              </w:rPr>
              <w:instrText xml:space="preserve"> \* MERGEFORMAT </w:instrText>
            </w:r>
            <w:r w:rsidRPr="007708F0">
              <w:rPr>
                <w:rFonts w:cs="Calibri"/>
                <w:color w:val="000000"/>
                <w:szCs w:val="22"/>
              </w:rPr>
            </w:r>
            <w:r w:rsidRPr="007708F0">
              <w:rPr>
                <w:rFonts w:cs="Calibri"/>
                <w:color w:val="000000"/>
                <w:szCs w:val="22"/>
              </w:rPr>
              <w:fldChar w:fldCharType="separate"/>
            </w:r>
            <w:r w:rsidRPr="007708F0">
              <w:rPr>
                <w:rFonts w:cs="Calibri"/>
                <w:color w:val="000000"/>
                <w:szCs w:val="22"/>
              </w:rPr>
              <w:t>10</w:t>
            </w:r>
            <w:r w:rsidRPr="007708F0">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0.003055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1.090824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0.000239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0.00073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Benzo[b]</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0.000441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Benzo[e]Pyrene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0.000439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w:t>
            </w:r>
            <w:proofErr w:type="spellStart"/>
            <w:r w:rsidRPr="00001778">
              <w:rPr>
                <w:rFonts w:cs="Calibri"/>
                <w:color w:val="000000"/>
                <w:szCs w:val="22"/>
              </w:rPr>
              <w:t>g,h,i</w:t>
            </w:r>
            <w:proofErr w:type="spellEnd"/>
            <w:r w:rsidRPr="00001778">
              <w:rPr>
                <w:rFonts w:cs="Calibri"/>
                <w:color w:val="000000"/>
                <w:szCs w:val="22"/>
              </w:rPr>
              <w:t>,]</w:t>
            </w: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lastRenderedPageBreak/>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Benzo[k]</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0.000379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0.000351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0.395647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10</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Dibenzo</w:t>
            </w:r>
            <w:proofErr w:type="spellEnd"/>
            <w:r w:rsidRPr="00001778">
              <w:rPr>
                <w:rFonts w:cs="Calibri"/>
                <w:color w:val="000000"/>
                <w:szCs w:val="22"/>
              </w:rPr>
              <w:t>[ah]anthracene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2.92E-05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0.000185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0.00535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0.731686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Indeno</w:t>
            </w:r>
            <w:proofErr w:type="spellEnd"/>
            <w:r w:rsidRPr="00001778">
              <w:rPr>
                <w:rFonts w:cs="Calibri"/>
                <w:color w:val="000000"/>
                <w:szCs w:val="22"/>
              </w:rPr>
              <w:t>[1; 2; 3 . cd]pyrene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Methylchrysene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4.35E-05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0.071082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o-Xylene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0.138588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0.000116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0.018329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0.000162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2104008230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fireplace inserts;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Toluene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0.387451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230.8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53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0.00621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0.132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0.616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BA0F0D">
              <w:rPr>
                <w:rFonts w:cs="Calibri"/>
                <w:color w:val="000000"/>
                <w:szCs w:val="22"/>
              </w:rPr>
              <w:fldChar w:fldCharType="begin"/>
            </w:r>
            <w:r w:rsidRPr="00BA0F0D">
              <w:rPr>
                <w:rFonts w:cs="Calibri"/>
                <w:color w:val="000000"/>
                <w:szCs w:val="22"/>
              </w:rPr>
              <w:instrText xml:space="preserve"> NOTEREF _Ref11346072 \h </w:instrText>
            </w:r>
            <w:r>
              <w:rPr>
                <w:rFonts w:cs="Calibri"/>
                <w:color w:val="000000"/>
                <w:szCs w:val="22"/>
              </w:rPr>
              <w:instrText xml:space="preserve"> \* MERGEFORMAT </w:instrText>
            </w:r>
            <w:r w:rsidRPr="00BA0F0D">
              <w:rPr>
                <w:rFonts w:cs="Calibri"/>
                <w:color w:val="000000"/>
                <w:szCs w:val="22"/>
              </w:rPr>
            </w:r>
            <w:r w:rsidRPr="00BA0F0D">
              <w:rPr>
                <w:rFonts w:cs="Calibri"/>
                <w:color w:val="000000"/>
                <w:szCs w:val="22"/>
              </w:rPr>
              <w:fldChar w:fldCharType="separate"/>
            </w:r>
            <w:r w:rsidRPr="00BA0F0D">
              <w:rPr>
                <w:rFonts w:cs="Calibri"/>
                <w:color w:val="000000"/>
                <w:szCs w:val="22"/>
              </w:rPr>
              <w:t>10</w:t>
            </w:r>
            <w:r w:rsidRPr="00BA0F0D">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0.091</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BA0F0D">
              <w:rPr>
                <w:rFonts w:cs="Calibri"/>
                <w:color w:val="000000"/>
                <w:szCs w:val="22"/>
              </w:rPr>
              <w:fldChar w:fldCharType="begin"/>
            </w:r>
            <w:r w:rsidRPr="00BA0F0D">
              <w:rPr>
                <w:rFonts w:cs="Calibri"/>
                <w:color w:val="000000"/>
                <w:szCs w:val="22"/>
              </w:rPr>
              <w:instrText xml:space="preserve"> NOTEREF _Ref11346072 \h </w:instrText>
            </w:r>
            <w:r>
              <w:rPr>
                <w:rFonts w:cs="Calibri"/>
                <w:color w:val="000000"/>
                <w:szCs w:val="22"/>
              </w:rPr>
              <w:instrText xml:space="preserve"> \* MERGEFORMAT </w:instrText>
            </w:r>
            <w:r w:rsidRPr="00BA0F0D">
              <w:rPr>
                <w:rFonts w:cs="Calibri"/>
                <w:color w:val="000000"/>
                <w:szCs w:val="22"/>
              </w:rPr>
            </w:r>
            <w:r w:rsidRPr="00BA0F0D">
              <w:rPr>
                <w:rFonts w:cs="Calibri"/>
                <w:color w:val="000000"/>
                <w:szCs w:val="22"/>
              </w:rPr>
              <w:fldChar w:fldCharType="separate"/>
            </w:r>
            <w:r w:rsidRPr="00BA0F0D">
              <w:rPr>
                <w:rFonts w:cs="Calibri"/>
                <w:color w:val="000000"/>
                <w:szCs w:val="22"/>
              </w:rPr>
              <w:t>10</w:t>
            </w:r>
            <w:r w:rsidRPr="00BA0F0D">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lastRenderedPageBreak/>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0.00869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1.938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0.000577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0.000321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0.000979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Benzo[b]</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0.000592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Benzo[e]Pyrene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0.000589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w:t>
            </w:r>
            <w:proofErr w:type="spellStart"/>
            <w:r w:rsidRPr="00001778">
              <w:rPr>
                <w:rFonts w:cs="Calibri"/>
                <w:color w:val="000000"/>
                <w:szCs w:val="22"/>
              </w:rPr>
              <w:t>g,h,i</w:t>
            </w:r>
            <w:proofErr w:type="spellEnd"/>
            <w:r w:rsidRPr="00001778">
              <w:rPr>
                <w:rFonts w:cs="Calibri"/>
                <w:color w:val="000000"/>
                <w:szCs w:val="22"/>
              </w:rPr>
              <w:t>,]</w:t>
            </w: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0.000201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Benzo[k]</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0.000509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Cadmium</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0.000022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0.000472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Dibenzo</w:t>
            </w:r>
            <w:proofErr w:type="spellEnd"/>
            <w:r w:rsidRPr="00001778">
              <w:rPr>
                <w:rFonts w:cs="Calibri"/>
                <w:color w:val="000000"/>
                <w:szCs w:val="22"/>
              </w:rPr>
              <w:t>[ah]anthracene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3.92E-05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0.000249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0.0149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1.45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Indeno</w:t>
            </w:r>
            <w:proofErr w:type="spellEnd"/>
            <w:r w:rsidRPr="00001778">
              <w:rPr>
                <w:rFonts w:cs="Calibri"/>
                <w:color w:val="000000"/>
                <w:szCs w:val="22"/>
              </w:rPr>
              <w:t>[1; 2; 3 . cd]pyrene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0.000408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Manganese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Methylchrysene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5.84E-05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0.179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Nickel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0.000014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o-Xylene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0.202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0.000155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0.0484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0.295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0.000217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Toluene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0.73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0.665816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lastRenderedPageBreak/>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122.6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1.686735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270A32">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001778">
            <w:pPr>
              <w:widowControl/>
              <w:autoSpaceDE/>
              <w:autoSpaceDN/>
              <w:adjustRightInd/>
              <w:spacing w:after="0"/>
              <w:jc w:val="right"/>
              <w:rPr>
                <w:rFonts w:cs="Calibri"/>
                <w:color w:val="000000"/>
                <w:szCs w:val="22"/>
              </w:rPr>
            </w:pPr>
            <w:r>
              <w:rPr>
                <w:rFonts w:cs="Calibri"/>
                <w:color w:val="000000"/>
                <w:szCs w:val="22"/>
              </w:rPr>
              <w:t>8.76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270A32"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_Ref11410577 \h </w:instrText>
            </w:r>
            <w:r>
              <w:rPr>
                <w:rFonts w:cs="Calibri"/>
                <w:color w:val="000000"/>
                <w:szCs w:val="22"/>
              </w:rPr>
            </w:r>
            <w:r>
              <w:rPr>
                <w:rFonts w:cs="Calibri"/>
                <w:color w:val="000000"/>
                <w:szCs w:val="22"/>
              </w:rPr>
              <w:fldChar w:fldCharType="separate"/>
            </w:r>
            <w:r>
              <w:rPr>
                <w:rFonts w:cs="Calibri"/>
                <w:color w:val="000000"/>
                <w:szCs w:val="22"/>
              </w:rPr>
              <w:t>15</w:t>
            </w:r>
            <w:r>
              <w:rPr>
                <w:rFonts w:cs="Calibri"/>
                <w:color w:val="000000"/>
                <w:szCs w:val="22"/>
              </w:rPr>
              <w:fldChar w:fldCharType="end"/>
            </w:r>
          </w:p>
        </w:tc>
      </w:tr>
      <w:tr w:rsidR="00001778" w:rsidRPr="00001778" w:rsidTr="00270A32">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001778">
            <w:pPr>
              <w:widowControl/>
              <w:autoSpaceDE/>
              <w:autoSpaceDN/>
              <w:adjustRightInd/>
              <w:spacing w:after="0"/>
              <w:jc w:val="right"/>
              <w:rPr>
                <w:rFonts w:cs="Calibri"/>
                <w:color w:val="000000"/>
                <w:szCs w:val="22"/>
              </w:rPr>
            </w:pPr>
            <w:r>
              <w:rPr>
                <w:rFonts w:cs="Calibri"/>
                <w:color w:val="000000"/>
                <w:szCs w:val="22"/>
              </w:rPr>
              <w:t>8.76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270A32"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_Ref11410577 \h </w:instrText>
            </w:r>
            <w:r>
              <w:rPr>
                <w:rFonts w:cs="Calibri"/>
                <w:color w:val="000000"/>
                <w:szCs w:val="22"/>
              </w:rPr>
            </w:r>
            <w:r>
              <w:rPr>
                <w:rFonts w:cs="Calibri"/>
                <w:color w:val="000000"/>
                <w:szCs w:val="22"/>
              </w:rPr>
              <w:fldChar w:fldCharType="separate"/>
            </w:r>
            <w:r>
              <w:rPr>
                <w:rFonts w:cs="Calibri"/>
                <w:color w:val="000000"/>
                <w:szCs w:val="22"/>
              </w:rPr>
              <w:t>15</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0.295918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8.877551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0.129464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0.002989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0.009543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0.467551</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2075B6">
              <w:rPr>
                <w:rFonts w:cs="Calibri"/>
                <w:color w:val="000000"/>
                <w:szCs w:val="22"/>
              </w:rPr>
              <w:fldChar w:fldCharType="begin"/>
            </w:r>
            <w:r w:rsidRPr="002075B6">
              <w:rPr>
                <w:rFonts w:cs="Calibri"/>
                <w:color w:val="000000"/>
                <w:szCs w:val="22"/>
              </w:rPr>
              <w:instrText xml:space="preserve"> NOTEREF _Ref11346072 \h </w:instrText>
            </w:r>
            <w:r>
              <w:rPr>
                <w:rFonts w:cs="Calibri"/>
                <w:color w:val="000000"/>
                <w:szCs w:val="22"/>
              </w:rPr>
              <w:instrText xml:space="preserve"> \* MERGEFORMAT </w:instrText>
            </w:r>
            <w:r w:rsidRPr="002075B6">
              <w:rPr>
                <w:rFonts w:cs="Calibri"/>
                <w:color w:val="000000"/>
                <w:szCs w:val="22"/>
              </w:rPr>
            </w:r>
            <w:r w:rsidRPr="002075B6">
              <w:rPr>
                <w:rFonts w:cs="Calibri"/>
                <w:color w:val="000000"/>
                <w:szCs w:val="22"/>
              </w:rPr>
              <w:fldChar w:fldCharType="separate"/>
            </w:r>
            <w:r w:rsidRPr="002075B6">
              <w:rPr>
                <w:rFonts w:cs="Calibri"/>
                <w:color w:val="000000"/>
                <w:szCs w:val="22"/>
              </w:rPr>
              <w:t>10</w:t>
            </w:r>
            <w:r w:rsidRPr="002075B6">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0.029888</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2075B6">
              <w:rPr>
                <w:rFonts w:cs="Calibri"/>
                <w:color w:val="000000"/>
                <w:szCs w:val="22"/>
              </w:rPr>
              <w:fldChar w:fldCharType="begin"/>
            </w:r>
            <w:r w:rsidRPr="002075B6">
              <w:rPr>
                <w:rFonts w:cs="Calibri"/>
                <w:color w:val="000000"/>
                <w:szCs w:val="22"/>
              </w:rPr>
              <w:instrText xml:space="preserve"> NOTEREF _Ref11346072 \h </w:instrText>
            </w:r>
            <w:r>
              <w:rPr>
                <w:rFonts w:cs="Calibri"/>
                <w:color w:val="000000"/>
                <w:szCs w:val="22"/>
              </w:rPr>
              <w:instrText xml:space="preserve"> \* MERGEFORMAT </w:instrText>
            </w:r>
            <w:r w:rsidRPr="002075B6">
              <w:rPr>
                <w:rFonts w:cs="Calibri"/>
                <w:color w:val="000000"/>
                <w:szCs w:val="22"/>
              </w:rPr>
            </w:r>
            <w:r w:rsidRPr="002075B6">
              <w:rPr>
                <w:rFonts w:cs="Calibri"/>
                <w:color w:val="000000"/>
                <w:szCs w:val="22"/>
              </w:rPr>
              <w:fldChar w:fldCharType="separate"/>
            </w:r>
            <w:r w:rsidRPr="002075B6">
              <w:rPr>
                <w:rFonts w:cs="Calibri"/>
                <w:color w:val="000000"/>
                <w:szCs w:val="22"/>
              </w:rPr>
              <w:t>10</w:t>
            </w:r>
            <w:r w:rsidRPr="002075B6">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0.002693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0.709464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0.000427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0.000237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0.000725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Benzo[b]</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0.000438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Benzo[e]Pyrene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0.000436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w:t>
            </w:r>
            <w:proofErr w:type="spellStart"/>
            <w:r w:rsidRPr="00001778">
              <w:rPr>
                <w:rFonts w:cs="Calibri"/>
                <w:color w:val="000000"/>
                <w:szCs w:val="22"/>
              </w:rPr>
              <w:t>g,h,i</w:t>
            </w:r>
            <w:proofErr w:type="spellEnd"/>
            <w:r w:rsidRPr="00001778">
              <w:rPr>
                <w:rFonts w:cs="Calibri"/>
                <w:color w:val="000000"/>
                <w:szCs w:val="22"/>
              </w:rPr>
              <w:t>,]</w:t>
            </w: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0.000149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Benzo[k]</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0.000377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Cadmium</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1.48E-05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0.000349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0.341786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Dibenzo</w:t>
            </w:r>
            <w:proofErr w:type="spellEnd"/>
            <w:r w:rsidRPr="00001778">
              <w:rPr>
                <w:rFonts w:cs="Calibri"/>
                <w:color w:val="000000"/>
                <w:szCs w:val="22"/>
              </w:rPr>
              <w:t>[ah]anthracene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2.9E-05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0.000184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0.004187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1.642347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Indeno</w:t>
            </w:r>
            <w:proofErr w:type="spellEnd"/>
            <w:r w:rsidRPr="00001778">
              <w:rPr>
                <w:rFonts w:cs="Calibri"/>
                <w:color w:val="000000"/>
                <w:szCs w:val="22"/>
              </w:rPr>
              <w:t>[1; 2; 3 . cd]pyrene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0.000302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Manganese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lastRenderedPageBreak/>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Methylchrysene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4.32E-05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0.043056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Nickel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1.48E-05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0.000115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0.035288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0.360281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2104008320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non-catalytic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0.000161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0.670588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92.3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1.490196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270A32">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001778">
            <w:pPr>
              <w:widowControl/>
              <w:autoSpaceDE/>
              <w:autoSpaceDN/>
              <w:adjustRightInd/>
              <w:spacing w:after="0"/>
              <w:jc w:val="right"/>
              <w:rPr>
                <w:rFonts w:cs="Calibri"/>
                <w:color w:val="000000"/>
                <w:szCs w:val="22"/>
              </w:rPr>
            </w:pPr>
            <w:r>
              <w:rPr>
                <w:rFonts w:cs="Calibri"/>
                <w:color w:val="000000"/>
                <w:szCs w:val="22"/>
              </w:rPr>
              <w:t>9.72</w:t>
            </w:r>
          </w:p>
        </w:tc>
        <w:tc>
          <w:tcPr>
            <w:tcW w:w="96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_Ref11410577 \h </w:instrText>
            </w:r>
            <w:r>
              <w:rPr>
                <w:rFonts w:cs="Calibri"/>
                <w:color w:val="000000"/>
                <w:szCs w:val="22"/>
              </w:rPr>
            </w:r>
            <w:r>
              <w:rPr>
                <w:rFonts w:cs="Calibri"/>
                <w:color w:val="000000"/>
                <w:szCs w:val="22"/>
              </w:rPr>
              <w:fldChar w:fldCharType="separate"/>
            </w:r>
            <w:r>
              <w:rPr>
                <w:rFonts w:cs="Calibri"/>
                <w:color w:val="000000"/>
                <w:szCs w:val="22"/>
              </w:rPr>
              <w:t>15</w:t>
            </w:r>
            <w:r>
              <w:rPr>
                <w:rFonts w:cs="Calibri"/>
                <w:color w:val="000000"/>
                <w:szCs w:val="22"/>
              </w:rPr>
              <w:fldChar w:fldCharType="end"/>
            </w:r>
          </w:p>
        </w:tc>
      </w:tr>
      <w:tr w:rsidR="00001778" w:rsidRPr="00001778" w:rsidTr="00270A32">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001778">
            <w:pPr>
              <w:widowControl/>
              <w:autoSpaceDE/>
              <w:autoSpaceDN/>
              <w:adjustRightInd/>
              <w:spacing w:after="0"/>
              <w:jc w:val="right"/>
              <w:rPr>
                <w:rFonts w:cs="Calibri"/>
                <w:color w:val="000000"/>
                <w:szCs w:val="22"/>
              </w:rPr>
            </w:pPr>
            <w:r>
              <w:rPr>
                <w:rFonts w:cs="Calibri"/>
                <w:color w:val="000000"/>
                <w:szCs w:val="22"/>
              </w:rPr>
              <w:t>9.72</w:t>
            </w:r>
          </w:p>
        </w:tc>
        <w:tc>
          <w:tcPr>
            <w:tcW w:w="960" w:type="dxa"/>
            <w:tcBorders>
              <w:top w:val="nil"/>
              <w:left w:val="nil"/>
              <w:bottom w:val="single" w:sz="4" w:space="0" w:color="C0C0C0"/>
              <w:right w:val="single" w:sz="4" w:space="0" w:color="C0C0C0"/>
            </w:tcBorders>
            <w:shd w:val="clear" w:color="auto" w:fill="auto"/>
            <w:noWrap/>
            <w:vAlign w:val="bottom"/>
          </w:tcPr>
          <w:p w:rsidR="00001778" w:rsidRPr="00001778" w:rsidRDefault="00270A32"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_Ref11410577 \h </w:instrText>
            </w:r>
            <w:r>
              <w:rPr>
                <w:rFonts w:cs="Calibri"/>
                <w:color w:val="000000"/>
                <w:szCs w:val="22"/>
              </w:rPr>
            </w:r>
            <w:r>
              <w:rPr>
                <w:rFonts w:cs="Calibri"/>
                <w:color w:val="000000"/>
                <w:szCs w:val="22"/>
              </w:rPr>
              <w:fldChar w:fldCharType="separate"/>
            </w:r>
            <w:r>
              <w:rPr>
                <w:rFonts w:cs="Calibri"/>
                <w:color w:val="000000"/>
                <w:szCs w:val="22"/>
              </w:rPr>
              <w:t>15</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0.298039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11.17647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0.145294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0.002295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0.026004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0.395647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467FEE">
              <w:rPr>
                <w:rFonts w:cs="Calibri"/>
                <w:color w:val="000000"/>
                <w:szCs w:val="22"/>
              </w:rPr>
              <w:fldChar w:fldCharType="begin"/>
            </w:r>
            <w:r w:rsidRPr="00467FEE">
              <w:rPr>
                <w:rFonts w:cs="Calibri"/>
                <w:color w:val="000000"/>
                <w:szCs w:val="22"/>
              </w:rPr>
              <w:instrText xml:space="preserve"> NOTEREF _Ref11346072 \h </w:instrText>
            </w:r>
            <w:r>
              <w:rPr>
                <w:rFonts w:cs="Calibri"/>
                <w:color w:val="000000"/>
                <w:szCs w:val="22"/>
              </w:rPr>
              <w:instrText xml:space="preserve"> \* MERGEFORMAT </w:instrText>
            </w:r>
            <w:r w:rsidRPr="00467FEE">
              <w:rPr>
                <w:rFonts w:cs="Calibri"/>
                <w:color w:val="000000"/>
                <w:szCs w:val="22"/>
              </w:rPr>
            </w:r>
            <w:r w:rsidRPr="00467FEE">
              <w:rPr>
                <w:rFonts w:cs="Calibri"/>
                <w:color w:val="000000"/>
                <w:szCs w:val="22"/>
              </w:rPr>
              <w:fldChar w:fldCharType="separate"/>
            </w:r>
            <w:r w:rsidRPr="00467FEE">
              <w:rPr>
                <w:rFonts w:cs="Calibri"/>
                <w:color w:val="000000"/>
                <w:szCs w:val="22"/>
              </w:rPr>
              <w:t>10</w:t>
            </w:r>
            <w:r w:rsidRPr="00467FEE">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0.023396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467FEE">
              <w:rPr>
                <w:rFonts w:cs="Calibri"/>
                <w:color w:val="000000"/>
                <w:szCs w:val="22"/>
              </w:rPr>
              <w:fldChar w:fldCharType="begin"/>
            </w:r>
            <w:r w:rsidRPr="00467FEE">
              <w:rPr>
                <w:rFonts w:cs="Calibri"/>
                <w:color w:val="000000"/>
                <w:szCs w:val="22"/>
              </w:rPr>
              <w:instrText xml:space="preserve"> NOTEREF _Ref11346072 \h </w:instrText>
            </w:r>
            <w:r>
              <w:rPr>
                <w:rFonts w:cs="Calibri"/>
                <w:color w:val="000000"/>
                <w:szCs w:val="22"/>
              </w:rPr>
              <w:instrText xml:space="preserve"> \* MERGEFORMAT </w:instrText>
            </w:r>
            <w:r w:rsidRPr="00467FEE">
              <w:rPr>
                <w:rFonts w:cs="Calibri"/>
                <w:color w:val="000000"/>
                <w:szCs w:val="22"/>
              </w:rPr>
            </w:r>
            <w:r w:rsidRPr="00467FEE">
              <w:rPr>
                <w:rFonts w:cs="Calibri"/>
                <w:color w:val="000000"/>
                <w:szCs w:val="22"/>
              </w:rPr>
              <w:fldChar w:fldCharType="separate"/>
            </w:r>
            <w:r w:rsidRPr="00467FEE">
              <w:rPr>
                <w:rFonts w:cs="Calibri"/>
                <w:color w:val="000000"/>
                <w:szCs w:val="22"/>
              </w:rPr>
              <w:t>10</w:t>
            </w:r>
            <w:r w:rsidRPr="00467FEE">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0.003055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1.090824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0.000239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0.00073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Benzo[b]</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0.000441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Benzo[e]Pyrene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0.000439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w:t>
            </w:r>
            <w:proofErr w:type="spellStart"/>
            <w:r w:rsidRPr="00001778">
              <w:rPr>
                <w:rFonts w:cs="Calibri"/>
                <w:color w:val="000000"/>
                <w:szCs w:val="22"/>
              </w:rPr>
              <w:t>g,h,i</w:t>
            </w:r>
            <w:proofErr w:type="spellEnd"/>
            <w:r w:rsidRPr="00001778">
              <w:rPr>
                <w:rFonts w:cs="Calibri"/>
                <w:color w:val="000000"/>
                <w:szCs w:val="22"/>
              </w:rPr>
              <w:t>,]</w:t>
            </w: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Benzo[k]</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0.000379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lastRenderedPageBreak/>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0.000351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0.395647</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Dibenzo</w:t>
            </w:r>
            <w:proofErr w:type="spellEnd"/>
            <w:r w:rsidRPr="00001778">
              <w:rPr>
                <w:rFonts w:cs="Calibri"/>
                <w:color w:val="000000"/>
                <w:szCs w:val="22"/>
              </w:rPr>
              <w:t>[ah]anthracene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2.92E-05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0.000185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0.00535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0.731686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Indeno</w:t>
            </w:r>
            <w:proofErr w:type="spellEnd"/>
            <w:r w:rsidRPr="00001778">
              <w:rPr>
                <w:rFonts w:cs="Calibri"/>
                <w:color w:val="000000"/>
                <w:szCs w:val="22"/>
              </w:rPr>
              <w:t>[1; 2; 3 . cd]pyrene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0.000304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Methylchrysene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4.35E-05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0.071082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o-Xylene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0.138588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0.000116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0.018329</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0.000162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11</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2104008330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freestanding, EPA certified, catalytic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Toluene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0.387451</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15.9</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3.8</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0.32</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2.198</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0.00095</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0.094</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0.0101</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0.0289</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0.0067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7.52E-05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lastRenderedPageBreak/>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0.0155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5.48E-05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0.316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0.423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3.32E-05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0.025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2104008400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Woodstove: pellet-fired, general</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4.84E-05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1.8</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184</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1.8</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27.6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27.6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2.03</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11.7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0.029032</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0.682</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0.043792</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2.78</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0.002733</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0.131139</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CE48FA">
              <w:rPr>
                <w:rFonts w:cs="Calibri"/>
                <w:color w:val="000000"/>
                <w:szCs w:val="22"/>
              </w:rPr>
              <w:fldChar w:fldCharType="begin"/>
            </w:r>
            <w:r w:rsidRPr="00CE48FA">
              <w:rPr>
                <w:rFonts w:cs="Calibri"/>
                <w:color w:val="000000"/>
                <w:szCs w:val="22"/>
              </w:rPr>
              <w:instrText xml:space="preserve"> NOTEREF _Ref11346072 \h </w:instrText>
            </w:r>
            <w:r>
              <w:rPr>
                <w:rFonts w:cs="Calibri"/>
                <w:color w:val="000000"/>
                <w:szCs w:val="22"/>
              </w:rPr>
              <w:instrText xml:space="preserve"> \* MERGEFORMAT </w:instrText>
            </w:r>
            <w:r w:rsidRPr="00CE48FA">
              <w:rPr>
                <w:rFonts w:cs="Calibri"/>
                <w:color w:val="000000"/>
                <w:szCs w:val="22"/>
              </w:rPr>
            </w:r>
            <w:r w:rsidRPr="00CE48FA">
              <w:rPr>
                <w:rFonts w:cs="Calibri"/>
                <w:color w:val="000000"/>
                <w:szCs w:val="22"/>
              </w:rPr>
              <w:fldChar w:fldCharType="separate"/>
            </w:r>
            <w:r w:rsidRPr="00CE48FA">
              <w:rPr>
                <w:rFonts w:cs="Calibri"/>
                <w:color w:val="000000"/>
                <w:szCs w:val="22"/>
              </w:rPr>
              <w:t>10</w:t>
            </w:r>
            <w:r w:rsidRPr="00CE48FA">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0.148635</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EE5CB6">
              <w:rPr>
                <w:rFonts w:cs="Calibri"/>
                <w:color w:val="000000"/>
                <w:szCs w:val="22"/>
              </w:rPr>
              <w:fldChar w:fldCharType="begin"/>
            </w:r>
            <w:r w:rsidRPr="00EE5CB6">
              <w:rPr>
                <w:rFonts w:cs="Calibri"/>
                <w:color w:val="000000"/>
                <w:szCs w:val="22"/>
              </w:rPr>
              <w:instrText xml:space="preserve"> NOTEREF _Ref11346072 \h </w:instrText>
            </w:r>
            <w:r>
              <w:rPr>
                <w:rFonts w:cs="Calibri"/>
                <w:color w:val="000000"/>
                <w:szCs w:val="22"/>
              </w:rPr>
              <w:instrText xml:space="preserve"> \* MERGEFORMAT </w:instrText>
            </w:r>
            <w:r w:rsidRPr="00EE5CB6">
              <w:rPr>
                <w:rFonts w:cs="Calibri"/>
                <w:color w:val="000000"/>
                <w:szCs w:val="22"/>
              </w:rPr>
            </w:r>
            <w:r w:rsidRPr="00EE5CB6">
              <w:rPr>
                <w:rFonts w:cs="Calibri"/>
                <w:color w:val="000000"/>
                <w:szCs w:val="22"/>
              </w:rPr>
              <w:fldChar w:fldCharType="separate"/>
            </w:r>
            <w:r w:rsidRPr="00EE5CB6">
              <w:rPr>
                <w:rFonts w:cs="Calibri"/>
                <w:color w:val="000000"/>
                <w:szCs w:val="22"/>
              </w:rPr>
              <w:t>10</w:t>
            </w:r>
            <w:r w:rsidRPr="00EE5CB6">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2104008510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Furnace: Indoor, cordwood-fired, non-EPA certified</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0.241</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EE5CB6">
              <w:rPr>
                <w:rFonts w:cs="Calibri"/>
                <w:color w:val="000000"/>
                <w:szCs w:val="22"/>
              </w:rPr>
              <w:fldChar w:fldCharType="begin"/>
            </w:r>
            <w:r w:rsidRPr="00EE5CB6">
              <w:rPr>
                <w:rFonts w:cs="Calibri"/>
                <w:color w:val="000000"/>
                <w:szCs w:val="22"/>
              </w:rPr>
              <w:instrText xml:space="preserve"> NOTEREF _Ref11346072 \h </w:instrText>
            </w:r>
            <w:r>
              <w:rPr>
                <w:rFonts w:cs="Calibri"/>
                <w:color w:val="000000"/>
                <w:szCs w:val="22"/>
              </w:rPr>
              <w:instrText xml:space="preserve"> \* MERGEFORMAT </w:instrText>
            </w:r>
            <w:r w:rsidRPr="00EE5CB6">
              <w:rPr>
                <w:rFonts w:cs="Calibri"/>
                <w:color w:val="000000"/>
                <w:szCs w:val="22"/>
              </w:rPr>
            </w:r>
            <w:r w:rsidRPr="00EE5CB6">
              <w:rPr>
                <w:rFonts w:cs="Calibri"/>
                <w:color w:val="000000"/>
                <w:szCs w:val="22"/>
              </w:rPr>
              <w:fldChar w:fldCharType="separate"/>
            </w:r>
            <w:r w:rsidRPr="00EE5CB6">
              <w:rPr>
                <w:rFonts w:cs="Calibri"/>
                <w:color w:val="000000"/>
                <w:szCs w:val="22"/>
              </w:rPr>
              <w:t>10</w:t>
            </w:r>
            <w:r w:rsidRPr="00EE5CB6">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EE5CB6">
              <w:rPr>
                <w:rFonts w:cs="Calibri"/>
                <w:color w:val="000000"/>
                <w:szCs w:val="22"/>
              </w:rPr>
              <w:fldChar w:fldCharType="begin"/>
            </w:r>
            <w:r w:rsidRPr="00EE5CB6">
              <w:rPr>
                <w:rFonts w:cs="Calibri"/>
                <w:color w:val="000000"/>
                <w:szCs w:val="22"/>
              </w:rPr>
              <w:instrText xml:space="preserve"> NOTEREF _Ref11346072 \h </w:instrText>
            </w:r>
            <w:r>
              <w:rPr>
                <w:rFonts w:cs="Calibri"/>
                <w:color w:val="000000"/>
                <w:szCs w:val="22"/>
              </w:rPr>
              <w:instrText xml:space="preserve"> \* MERGEFORMAT </w:instrText>
            </w:r>
            <w:r w:rsidRPr="00EE5CB6">
              <w:rPr>
                <w:rFonts w:cs="Calibri"/>
                <w:color w:val="000000"/>
                <w:szCs w:val="22"/>
              </w:rPr>
            </w:r>
            <w:r w:rsidRPr="00EE5CB6">
              <w:rPr>
                <w:rFonts w:cs="Calibri"/>
                <w:color w:val="000000"/>
                <w:szCs w:val="22"/>
              </w:rPr>
              <w:fldChar w:fldCharType="separate"/>
            </w:r>
            <w:r w:rsidRPr="00EE5CB6">
              <w:rPr>
                <w:rFonts w:cs="Calibri"/>
                <w:color w:val="000000"/>
                <w:szCs w:val="22"/>
              </w:rPr>
              <w:t>10</w:t>
            </w:r>
            <w:r w:rsidRPr="00EE5CB6">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360</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14</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64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14</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lastRenderedPageBreak/>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64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14</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2.03</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67.4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14</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0.029032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715C4E" w:rsidP="00715C4E">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0.682</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0.043792</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2.78</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0.002733</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0.131139</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0.148635</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BA6935">
              <w:rPr>
                <w:rFonts w:cs="Calibri"/>
                <w:color w:val="000000"/>
                <w:szCs w:val="22"/>
              </w:rPr>
              <w:fldChar w:fldCharType="begin"/>
            </w:r>
            <w:r w:rsidRPr="00BA6935">
              <w:rPr>
                <w:rFonts w:cs="Calibri"/>
                <w:color w:val="000000"/>
                <w:szCs w:val="22"/>
              </w:rPr>
              <w:instrText xml:space="preserve"> NOTEREF _Ref11346072 \h </w:instrText>
            </w:r>
            <w:r>
              <w:rPr>
                <w:rFonts w:cs="Calibri"/>
                <w:color w:val="000000"/>
                <w:szCs w:val="22"/>
              </w:rPr>
              <w:instrText xml:space="preserve"> \* MERGEFORMAT </w:instrText>
            </w:r>
            <w:r w:rsidRPr="00BA6935">
              <w:rPr>
                <w:rFonts w:cs="Calibri"/>
                <w:color w:val="000000"/>
                <w:szCs w:val="22"/>
              </w:rPr>
            </w:r>
            <w:r w:rsidRPr="00BA6935">
              <w:rPr>
                <w:rFonts w:cs="Calibri"/>
                <w:color w:val="000000"/>
                <w:szCs w:val="22"/>
              </w:rPr>
              <w:fldChar w:fldCharType="separate"/>
            </w:r>
            <w:r w:rsidRPr="00BA6935">
              <w:rPr>
                <w:rFonts w:cs="Calibri"/>
                <w:color w:val="000000"/>
                <w:szCs w:val="22"/>
              </w:rPr>
              <w:t>10</w:t>
            </w:r>
            <w:r w:rsidRPr="00BA6935">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2104008610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Hydronic heater: outdoor</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0.241</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BA6935">
              <w:rPr>
                <w:rFonts w:cs="Calibri"/>
                <w:color w:val="000000"/>
                <w:szCs w:val="22"/>
              </w:rPr>
              <w:fldChar w:fldCharType="begin"/>
            </w:r>
            <w:r w:rsidRPr="00BA6935">
              <w:rPr>
                <w:rFonts w:cs="Calibri"/>
                <w:color w:val="000000"/>
                <w:szCs w:val="22"/>
              </w:rPr>
              <w:instrText xml:space="preserve"> NOTEREF _Ref11346072 \h </w:instrText>
            </w:r>
            <w:r>
              <w:rPr>
                <w:rFonts w:cs="Calibri"/>
                <w:color w:val="000000"/>
                <w:szCs w:val="22"/>
              </w:rPr>
              <w:instrText xml:space="preserve"> \* MERGEFORMAT </w:instrText>
            </w:r>
            <w:r w:rsidRPr="00BA6935">
              <w:rPr>
                <w:rFonts w:cs="Calibri"/>
                <w:color w:val="000000"/>
                <w:szCs w:val="22"/>
              </w:rPr>
            </w:r>
            <w:r w:rsidRPr="00BA6935">
              <w:rPr>
                <w:rFonts w:cs="Calibri"/>
                <w:color w:val="000000"/>
                <w:szCs w:val="22"/>
              </w:rPr>
              <w:fldChar w:fldCharType="separate"/>
            </w:r>
            <w:r w:rsidRPr="00BA6935">
              <w:rPr>
                <w:rFonts w:cs="Calibri"/>
                <w:color w:val="000000"/>
                <w:szCs w:val="22"/>
              </w:rPr>
              <w:t>10</w:t>
            </w:r>
            <w:r w:rsidRPr="00BA6935">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1.8</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BA6935">
              <w:rPr>
                <w:rFonts w:cs="Calibri"/>
                <w:color w:val="000000"/>
                <w:szCs w:val="22"/>
              </w:rPr>
              <w:fldChar w:fldCharType="begin"/>
            </w:r>
            <w:r w:rsidRPr="00BA6935">
              <w:rPr>
                <w:rFonts w:cs="Calibri"/>
                <w:color w:val="000000"/>
                <w:szCs w:val="22"/>
              </w:rPr>
              <w:instrText xml:space="preserve"> NOTEREF _Ref11346072 \h </w:instrText>
            </w:r>
            <w:r>
              <w:rPr>
                <w:rFonts w:cs="Calibri"/>
                <w:color w:val="000000"/>
                <w:szCs w:val="22"/>
              </w:rPr>
              <w:instrText xml:space="preserve"> \* MERGEFORMAT </w:instrText>
            </w:r>
            <w:r w:rsidRPr="00BA6935">
              <w:rPr>
                <w:rFonts w:cs="Calibri"/>
                <w:color w:val="000000"/>
                <w:szCs w:val="22"/>
              </w:rPr>
            </w:r>
            <w:r w:rsidRPr="00BA6935">
              <w:rPr>
                <w:rFonts w:cs="Calibri"/>
                <w:color w:val="000000"/>
                <w:szCs w:val="22"/>
              </w:rPr>
              <w:fldChar w:fldCharType="separate"/>
            </w:r>
            <w:r w:rsidRPr="00BA6935">
              <w:rPr>
                <w:rFonts w:cs="Calibri"/>
                <w:color w:val="000000"/>
                <w:szCs w:val="22"/>
              </w:rPr>
              <w:t>10</w:t>
            </w:r>
            <w:r w:rsidRPr="00BA6935">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149</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BA6935">
              <w:rPr>
                <w:rFonts w:cs="Calibri"/>
                <w:color w:val="000000"/>
                <w:szCs w:val="22"/>
              </w:rPr>
              <w:fldChar w:fldCharType="begin"/>
            </w:r>
            <w:r w:rsidRPr="00BA6935">
              <w:rPr>
                <w:rFonts w:cs="Calibri"/>
                <w:color w:val="000000"/>
                <w:szCs w:val="22"/>
              </w:rPr>
              <w:instrText xml:space="preserve"> NOTEREF _Ref11346072 \h </w:instrText>
            </w:r>
            <w:r>
              <w:rPr>
                <w:rFonts w:cs="Calibri"/>
                <w:color w:val="000000"/>
                <w:szCs w:val="22"/>
              </w:rPr>
              <w:instrText xml:space="preserve"> \* MERGEFORMAT </w:instrText>
            </w:r>
            <w:r w:rsidRPr="00BA6935">
              <w:rPr>
                <w:rFonts w:cs="Calibri"/>
                <w:color w:val="000000"/>
                <w:szCs w:val="22"/>
              </w:rPr>
            </w:r>
            <w:r w:rsidRPr="00BA6935">
              <w:rPr>
                <w:rFonts w:cs="Calibri"/>
                <w:color w:val="000000"/>
                <w:szCs w:val="22"/>
              </w:rPr>
              <w:fldChar w:fldCharType="separate"/>
            </w:r>
            <w:r w:rsidRPr="00BA6935">
              <w:rPr>
                <w:rFonts w:cs="Calibri"/>
                <w:color w:val="000000"/>
                <w:szCs w:val="22"/>
              </w:rPr>
              <w:t>10</w:t>
            </w:r>
            <w:r w:rsidRPr="00BA6935">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23.6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23.6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13</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18.9</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631342">
              <w:rPr>
                <w:rFonts w:cs="Calibri"/>
                <w:color w:val="000000"/>
                <w:szCs w:val="22"/>
              </w:rPr>
              <w:fldChar w:fldCharType="begin"/>
            </w:r>
            <w:r w:rsidRPr="00631342">
              <w:rPr>
                <w:rFonts w:cs="Calibri"/>
                <w:color w:val="000000"/>
                <w:szCs w:val="22"/>
              </w:rPr>
              <w:instrText xml:space="preserve"> NOTEREF _Ref11346072 \h </w:instrText>
            </w:r>
            <w:r>
              <w:rPr>
                <w:rFonts w:cs="Calibri"/>
                <w:color w:val="000000"/>
                <w:szCs w:val="22"/>
              </w:rPr>
              <w:instrText xml:space="preserve"> \* MERGEFORMAT </w:instrText>
            </w:r>
            <w:r w:rsidRPr="00631342">
              <w:rPr>
                <w:rFonts w:cs="Calibri"/>
                <w:color w:val="000000"/>
                <w:szCs w:val="22"/>
              </w:rPr>
            </w:r>
            <w:r w:rsidRPr="00631342">
              <w:rPr>
                <w:rFonts w:cs="Calibri"/>
                <w:color w:val="000000"/>
                <w:szCs w:val="22"/>
              </w:rPr>
              <w:fldChar w:fldCharType="separate"/>
            </w:r>
            <w:r w:rsidRPr="00631342">
              <w:rPr>
                <w:rFonts w:cs="Calibri"/>
                <w:color w:val="000000"/>
                <w:szCs w:val="22"/>
              </w:rPr>
              <w:t>10</w:t>
            </w:r>
            <w:r w:rsidRPr="0063134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0.157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631342">
              <w:rPr>
                <w:rFonts w:cs="Calibri"/>
                <w:color w:val="000000"/>
                <w:szCs w:val="22"/>
              </w:rPr>
              <w:fldChar w:fldCharType="begin"/>
            </w:r>
            <w:r w:rsidRPr="00631342">
              <w:rPr>
                <w:rFonts w:cs="Calibri"/>
                <w:color w:val="000000"/>
                <w:szCs w:val="22"/>
              </w:rPr>
              <w:instrText xml:space="preserve"> NOTEREF _Ref11346072 \h </w:instrText>
            </w:r>
            <w:r>
              <w:rPr>
                <w:rFonts w:cs="Calibri"/>
                <w:color w:val="000000"/>
                <w:szCs w:val="22"/>
              </w:rPr>
              <w:instrText xml:space="preserve"> \* MERGEFORMAT </w:instrText>
            </w:r>
            <w:r w:rsidRPr="00631342">
              <w:rPr>
                <w:rFonts w:cs="Calibri"/>
                <w:color w:val="000000"/>
                <w:szCs w:val="22"/>
              </w:rPr>
            </w:r>
            <w:r w:rsidRPr="00631342">
              <w:rPr>
                <w:rFonts w:cs="Calibri"/>
                <w:color w:val="000000"/>
                <w:szCs w:val="22"/>
              </w:rPr>
              <w:fldChar w:fldCharType="separate"/>
            </w:r>
            <w:r w:rsidRPr="00631342">
              <w:rPr>
                <w:rFonts w:cs="Calibri"/>
                <w:color w:val="000000"/>
                <w:szCs w:val="22"/>
              </w:rPr>
              <w:t>10</w:t>
            </w:r>
            <w:r w:rsidRPr="0063134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1.07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631342">
              <w:rPr>
                <w:rFonts w:cs="Calibri"/>
                <w:color w:val="000000"/>
                <w:szCs w:val="22"/>
              </w:rPr>
              <w:fldChar w:fldCharType="begin"/>
            </w:r>
            <w:r w:rsidRPr="00631342">
              <w:rPr>
                <w:rFonts w:cs="Calibri"/>
                <w:color w:val="000000"/>
                <w:szCs w:val="22"/>
              </w:rPr>
              <w:instrText xml:space="preserve"> NOTEREF _Ref11346072 \h </w:instrText>
            </w:r>
            <w:r>
              <w:rPr>
                <w:rFonts w:cs="Calibri"/>
                <w:color w:val="000000"/>
                <w:szCs w:val="22"/>
              </w:rPr>
              <w:instrText xml:space="preserve"> \* MERGEFORMAT </w:instrText>
            </w:r>
            <w:r w:rsidRPr="00631342">
              <w:rPr>
                <w:rFonts w:cs="Calibri"/>
                <w:color w:val="000000"/>
                <w:szCs w:val="22"/>
              </w:rPr>
            </w:r>
            <w:r w:rsidRPr="00631342">
              <w:rPr>
                <w:rFonts w:cs="Calibri"/>
                <w:color w:val="000000"/>
                <w:szCs w:val="22"/>
              </w:rPr>
              <w:fldChar w:fldCharType="separate"/>
            </w:r>
            <w:r w:rsidRPr="00631342">
              <w:rPr>
                <w:rFonts w:cs="Calibri"/>
                <w:color w:val="000000"/>
                <w:szCs w:val="22"/>
              </w:rPr>
              <w:t>10</w:t>
            </w:r>
            <w:r w:rsidRPr="0063134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0.123</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631342">
              <w:rPr>
                <w:rFonts w:cs="Calibri"/>
                <w:color w:val="000000"/>
                <w:szCs w:val="22"/>
              </w:rPr>
              <w:fldChar w:fldCharType="begin"/>
            </w:r>
            <w:r w:rsidRPr="00631342">
              <w:rPr>
                <w:rFonts w:cs="Calibri"/>
                <w:color w:val="000000"/>
                <w:szCs w:val="22"/>
              </w:rPr>
              <w:instrText xml:space="preserve"> NOTEREF _Ref11346072 \h </w:instrText>
            </w:r>
            <w:r>
              <w:rPr>
                <w:rFonts w:cs="Calibri"/>
                <w:color w:val="000000"/>
                <w:szCs w:val="22"/>
              </w:rPr>
              <w:instrText xml:space="preserve"> \* MERGEFORMAT </w:instrText>
            </w:r>
            <w:r w:rsidRPr="00631342">
              <w:rPr>
                <w:rFonts w:cs="Calibri"/>
                <w:color w:val="000000"/>
                <w:szCs w:val="22"/>
              </w:rPr>
            </w:r>
            <w:r w:rsidRPr="00631342">
              <w:rPr>
                <w:rFonts w:cs="Calibri"/>
                <w:color w:val="000000"/>
                <w:szCs w:val="22"/>
              </w:rPr>
              <w:fldChar w:fldCharType="separate"/>
            </w:r>
            <w:r w:rsidRPr="00631342">
              <w:rPr>
                <w:rFonts w:cs="Calibri"/>
                <w:color w:val="000000"/>
                <w:szCs w:val="22"/>
              </w:rPr>
              <w:t>10</w:t>
            </w:r>
            <w:r w:rsidRPr="0063134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0.686</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631342">
              <w:rPr>
                <w:rFonts w:cs="Calibri"/>
                <w:color w:val="000000"/>
                <w:szCs w:val="22"/>
              </w:rPr>
              <w:fldChar w:fldCharType="begin"/>
            </w:r>
            <w:r w:rsidRPr="00631342">
              <w:rPr>
                <w:rFonts w:cs="Calibri"/>
                <w:color w:val="000000"/>
                <w:szCs w:val="22"/>
              </w:rPr>
              <w:instrText xml:space="preserve"> NOTEREF _Ref11346072 \h </w:instrText>
            </w:r>
            <w:r>
              <w:rPr>
                <w:rFonts w:cs="Calibri"/>
                <w:color w:val="000000"/>
                <w:szCs w:val="22"/>
              </w:rPr>
              <w:instrText xml:space="preserve"> \* MERGEFORMAT </w:instrText>
            </w:r>
            <w:r w:rsidRPr="00631342">
              <w:rPr>
                <w:rFonts w:cs="Calibri"/>
                <w:color w:val="000000"/>
                <w:szCs w:val="22"/>
              </w:rPr>
            </w:r>
            <w:r w:rsidRPr="00631342">
              <w:rPr>
                <w:rFonts w:cs="Calibri"/>
                <w:color w:val="000000"/>
                <w:szCs w:val="22"/>
              </w:rPr>
              <w:fldChar w:fldCharType="separate"/>
            </w:r>
            <w:r w:rsidRPr="00631342">
              <w:rPr>
                <w:rFonts w:cs="Calibri"/>
                <w:color w:val="000000"/>
                <w:szCs w:val="22"/>
              </w:rPr>
              <w:t>10</w:t>
            </w:r>
            <w:r w:rsidRPr="0063134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0.001</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631342">
              <w:rPr>
                <w:rFonts w:cs="Calibri"/>
                <w:color w:val="000000"/>
                <w:szCs w:val="22"/>
              </w:rPr>
              <w:fldChar w:fldCharType="begin"/>
            </w:r>
            <w:r w:rsidRPr="00631342">
              <w:rPr>
                <w:rFonts w:cs="Calibri"/>
                <w:color w:val="000000"/>
                <w:szCs w:val="22"/>
              </w:rPr>
              <w:instrText xml:space="preserve"> NOTEREF _Ref11346072 \h </w:instrText>
            </w:r>
            <w:r>
              <w:rPr>
                <w:rFonts w:cs="Calibri"/>
                <w:color w:val="000000"/>
                <w:szCs w:val="22"/>
              </w:rPr>
              <w:instrText xml:space="preserve"> \* MERGEFORMAT </w:instrText>
            </w:r>
            <w:r w:rsidRPr="00631342">
              <w:rPr>
                <w:rFonts w:cs="Calibri"/>
                <w:color w:val="000000"/>
                <w:szCs w:val="22"/>
              </w:rPr>
            </w:r>
            <w:r w:rsidRPr="00631342">
              <w:rPr>
                <w:rFonts w:cs="Calibri"/>
                <w:color w:val="000000"/>
                <w:szCs w:val="22"/>
              </w:rPr>
              <w:fldChar w:fldCharType="separate"/>
            </w:r>
            <w:r w:rsidRPr="00631342">
              <w:rPr>
                <w:rFonts w:cs="Calibri"/>
                <w:color w:val="000000"/>
                <w:szCs w:val="22"/>
              </w:rPr>
              <w:t>10</w:t>
            </w:r>
            <w:r w:rsidRPr="0063134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0.357</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631342">
              <w:rPr>
                <w:rFonts w:cs="Calibri"/>
                <w:color w:val="000000"/>
                <w:szCs w:val="22"/>
              </w:rPr>
              <w:fldChar w:fldCharType="begin"/>
            </w:r>
            <w:r w:rsidRPr="00631342">
              <w:rPr>
                <w:rFonts w:cs="Calibri"/>
                <w:color w:val="000000"/>
                <w:szCs w:val="22"/>
              </w:rPr>
              <w:instrText xml:space="preserve"> NOTEREF _Ref11346072 \h </w:instrText>
            </w:r>
            <w:r>
              <w:rPr>
                <w:rFonts w:cs="Calibri"/>
                <w:color w:val="000000"/>
                <w:szCs w:val="22"/>
              </w:rPr>
              <w:instrText xml:space="preserve"> \* MERGEFORMAT </w:instrText>
            </w:r>
            <w:r w:rsidRPr="00631342">
              <w:rPr>
                <w:rFonts w:cs="Calibri"/>
                <w:color w:val="000000"/>
                <w:szCs w:val="22"/>
              </w:rPr>
            </w:r>
            <w:r w:rsidRPr="00631342">
              <w:rPr>
                <w:rFonts w:cs="Calibri"/>
                <w:color w:val="000000"/>
                <w:szCs w:val="22"/>
              </w:rPr>
              <w:fldChar w:fldCharType="separate"/>
            </w:r>
            <w:r w:rsidRPr="00631342">
              <w:rPr>
                <w:rFonts w:cs="Calibri"/>
                <w:color w:val="000000"/>
                <w:szCs w:val="22"/>
              </w:rPr>
              <w:t>10</w:t>
            </w:r>
            <w:r w:rsidRPr="00631342">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1.79</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631342">
              <w:rPr>
                <w:rFonts w:cs="Calibri"/>
                <w:color w:val="000000"/>
                <w:szCs w:val="22"/>
              </w:rPr>
              <w:fldChar w:fldCharType="begin"/>
            </w:r>
            <w:r w:rsidRPr="00631342">
              <w:rPr>
                <w:rFonts w:cs="Calibri"/>
                <w:color w:val="000000"/>
                <w:szCs w:val="22"/>
              </w:rPr>
              <w:instrText xml:space="preserve"> NOTEREF _Ref11346072 \h </w:instrText>
            </w:r>
            <w:r>
              <w:rPr>
                <w:rFonts w:cs="Calibri"/>
                <w:color w:val="000000"/>
                <w:szCs w:val="22"/>
              </w:rPr>
              <w:instrText xml:space="preserve"> \* MERGEFORMAT </w:instrText>
            </w:r>
            <w:r w:rsidRPr="00631342">
              <w:rPr>
                <w:rFonts w:cs="Calibri"/>
                <w:color w:val="000000"/>
                <w:szCs w:val="22"/>
              </w:rPr>
            </w:r>
            <w:r w:rsidRPr="00631342">
              <w:rPr>
                <w:rFonts w:cs="Calibri"/>
                <w:color w:val="000000"/>
                <w:szCs w:val="22"/>
              </w:rPr>
              <w:fldChar w:fldCharType="separate"/>
            </w:r>
            <w:r w:rsidRPr="00631342">
              <w:rPr>
                <w:rFonts w:cs="Calibri"/>
                <w:color w:val="000000"/>
                <w:szCs w:val="22"/>
              </w:rPr>
              <w:t>10</w:t>
            </w:r>
            <w:r w:rsidRPr="00631342">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9</w:t>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0.265</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504784">
              <w:rPr>
                <w:rFonts w:cs="Calibri"/>
                <w:color w:val="000000"/>
                <w:szCs w:val="22"/>
              </w:rPr>
              <w:fldChar w:fldCharType="begin"/>
            </w:r>
            <w:r w:rsidRPr="00504784">
              <w:rPr>
                <w:rFonts w:cs="Calibri"/>
                <w:color w:val="000000"/>
                <w:szCs w:val="22"/>
              </w:rPr>
              <w:instrText xml:space="preserve"> NOTEREF _Ref11346072 \h </w:instrText>
            </w:r>
            <w:r>
              <w:rPr>
                <w:rFonts w:cs="Calibri"/>
                <w:color w:val="000000"/>
                <w:szCs w:val="22"/>
              </w:rPr>
              <w:instrText xml:space="preserve"> \* MERGEFORMAT </w:instrText>
            </w:r>
            <w:r w:rsidRPr="00504784">
              <w:rPr>
                <w:rFonts w:cs="Calibri"/>
                <w:color w:val="000000"/>
                <w:szCs w:val="22"/>
              </w:rPr>
            </w:r>
            <w:r w:rsidRPr="00504784">
              <w:rPr>
                <w:rFonts w:cs="Calibri"/>
                <w:color w:val="000000"/>
                <w:szCs w:val="22"/>
              </w:rPr>
              <w:fldChar w:fldCharType="separate"/>
            </w:r>
            <w:r w:rsidRPr="00504784">
              <w:rPr>
                <w:rFonts w:cs="Calibri"/>
                <w:color w:val="000000"/>
                <w:szCs w:val="22"/>
              </w:rPr>
              <w:t>10</w:t>
            </w:r>
            <w:r w:rsidRPr="00504784">
              <w:rPr>
                <w:rFonts w:cs="Calibri"/>
                <w:color w:val="000000"/>
                <w:szCs w:val="22"/>
              </w:rPr>
              <w:fldChar w:fldCharType="end"/>
            </w:r>
          </w:p>
        </w:tc>
      </w:tr>
      <w:tr w:rsidR="00715C4E" w:rsidRPr="00001778" w:rsidTr="00715C4E">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lastRenderedPageBreak/>
              <w:t>2104008700</w:t>
            </w:r>
          </w:p>
        </w:tc>
        <w:tc>
          <w:tcPr>
            <w:tcW w:w="55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Outdoor wood burning device, NEC</w:t>
            </w:r>
          </w:p>
        </w:tc>
        <w:tc>
          <w:tcPr>
            <w:tcW w:w="464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715C4E" w:rsidRPr="00001778" w:rsidRDefault="00715C4E" w:rsidP="00715C4E">
            <w:pPr>
              <w:widowControl/>
              <w:autoSpaceDE/>
              <w:autoSpaceDN/>
              <w:adjustRightInd/>
              <w:spacing w:after="0"/>
              <w:jc w:val="right"/>
              <w:rPr>
                <w:rFonts w:cs="Calibri"/>
                <w:color w:val="000000"/>
                <w:szCs w:val="22"/>
              </w:rPr>
            </w:pPr>
            <w:r w:rsidRPr="00001778">
              <w:rPr>
                <w:rFonts w:cs="Calibri"/>
                <w:color w:val="000000"/>
                <w:szCs w:val="22"/>
              </w:rPr>
              <w:t>0.472</w:t>
            </w:r>
          </w:p>
        </w:tc>
        <w:tc>
          <w:tcPr>
            <w:tcW w:w="960" w:type="dxa"/>
            <w:tcBorders>
              <w:top w:val="nil"/>
              <w:left w:val="nil"/>
              <w:bottom w:val="single" w:sz="4" w:space="0" w:color="C0C0C0"/>
              <w:right w:val="single" w:sz="4" w:space="0" w:color="C0C0C0"/>
            </w:tcBorders>
            <w:shd w:val="clear" w:color="auto" w:fill="auto"/>
            <w:noWrap/>
            <w:hideMark/>
          </w:tcPr>
          <w:p w:rsidR="00715C4E" w:rsidRDefault="00715C4E" w:rsidP="00715C4E">
            <w:pPr>
              <w:spacing w:after="0"/>
              <w:jc w:val="right"/>
            </w:pPr>
            <w:r w:rsidRPr="00504784">
              <w:rPr>
                <w:rFonts w:cs="Calibri"/>
                <w:color w:val="000000"/>
                <w:szCs w:val="22"/>
              </w:rPr>
              <w:fldChar w:fldCharType="begin"/>
            </w:r>
            <w:r w:rsidRPr="00504784">
              <w:rPr>
                <w:rFonts w:cs="Calibri"/>
                <w:color w:val="000000"/>
                <w:szCs w:val="22"/>
              </w:rPr>
              <w:instrText xml:space="preserve"> NOTEREF _Ref11346072 \h </w:instrText>
            </w:r>
            <w:r>
              <w:rPr>
                <w:rFonts w:cs="Calibri"/>
                <w:color w:val="000000"/>
                <w:szCs w:val="22"/>
              </w:rPr>
              <w:instrText xml:space="preserve"> \* MERGEFORMAT </w:instrText>
            </w:r>
            <w:r w:rsidRPr="00504784">
              <w:rPr>
                <w:rFonts w:cs="Calibri"/>
                <w:color w:val="000000"/>
                <w:szCs w:val="22"/>
              </w:rPr>
            </w:r>
            <w:r w:rsidRPr="00504784">
              <w:rPr>
                <w:rFonts w:cs="Calibri"/>
                <w:color w:val="000000"/>
                <w:szCs w:val="22"/>
              </w:rPr>
              <w:fldChar w:fldCharType="separate"/>
            </w:r>
            <w:r w:rsidRPr="00504784">
              <w:rPr>
                <w:rFonts w:cs="Calibri"/>
                <w:color w:val="000000"/>
                <w:szCs w:val="22"/>
              </w:rPr>
              <w:t>10</w:t>
            </w:r>
            <w:r w:rsidRPr="00504784">
              <w:rPr>
                <w:rFonts w:cs="Calibri"/>
                <w:color w:val="000000"/>
                <w:szCs w:val="22"/>
              </w:rPr>
              <w:fldChar w:fldCharType="end"/>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125.08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7.684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29.32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28.4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39.56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0.00168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Acenaphthylene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0.00748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0.00232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1.068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0.0012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0.0012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Benzo[b]</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0.00112</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w:t>
            </w:r>
            <w:proofErr w:type="spellStart"/>
            <w:r w:rsidRPr="00001778">
              <w:rPr>
                <w:rFonts w:cs="Calibri"/>
                <w:color w:val="000000"/>
                <w:szCs w:val="22"/>
              </w:rPr>
              <w:t>g,h,i</w:t>
            </w:r>
            <w:proofErr w:type="spellEnd"/>
            <w:r w:rsidRPr="00001778">
              <w:rPr>
                <w:rFonts w:cs="Calibri"/>
                <w:color w:val="000000"/>
                <w:szCs w:val="22"/>
              </w:rPr>
              <w:t>,]</w:t>
            </w:r>
            <w:proofErr w:type="spellStart"/>
            <w:r w:rsidRPr="00001778">
              <w:rPr>
                <w:rFonts w:cs="Calibri"/>
                <w:color w:val="000000"/>
                <w:szCs w:val="22"/>
              </w:rPr>
              <w:t>Perylene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0.00068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Benzo[k]</w:t>
            </w: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0.00188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Dibenzo</w:t>
            </w:r>
            <w:proofErr w:type="spellEnd"/>
            <w:r w:rsidRPr="00001778">
              <w:rPr>
                <w:rFonts w:cs="Calibri"/>
                <w:color w:val="000000"/>
                <w:szCs w:val="22"/>
              </w:rPr>
              <w:t>[</w:t>
            </w:r>
            <w:proofErr w:type="spellStart"/>
            <w:r w:rsidRPr="00001778">
              <w:rPr>
                <w:rFonts w:cs="Calibri"/>
                <w:color w:val="000000"/>
                <w:szCs w:val="22"/>
              </w:rPr>
              <w:t>a,h</w:t>
            </w:r>
            <w:proofErr w:type="spellEnd"/>
            <w:r w:rsidRPr="00001778">
              <w:rPr>
                <w:rFonts w:cs="Calibri"/>
                <w:color w:val="000000"/>
                <w:szCs w:val="22"/>
              </w:rPr>
              <w:t>]Anthracene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0.00428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Fluorene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0.00548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Indeno</w:t>
            </w:r>
            <w:proofErr w:type="spellEnd"/>
            <w:r w:rsidRPr="00001778">
              <w:rPr>
                <w:rFonts w:cs="Calibri"/>
                <w:color w:val="000000"/>
                <w:szCs w:val="22"/>
              </w:rPr>
              <w:t>[1,2,3-c,d]Pyrene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0.00068</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0.09756</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001778">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0.01724</w:t>
            </w:r>
          </w:p>
        </w:tc>
        <w:tc>
          <w:tcPr>
            <w:tcW w:w="960" w:type="dxa"/>
            <w:tcBorders>
              <w:top w:val="nil"/>
              <w:left w:val="nil"/>
              <w:bottom w:val="single" w:sz="4" w:space="0" w:color="C0C0C0"/>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001778" w:rsidRPr="00001778" w:rsidTr="00237836">
        <w:trPr>
          <w:trHeight w:val="300"/>
        </w:trPr>
        <w:tc>
          <w:tcPr>
            <w:tcW w:w="1332" w:type="dxa"/>
            <w:tcBorders>
              <w:top w:val="nil"/>
              <w:left w:val="single" w:sz="4" w:space="0" w:color="C0C0C0"/>
              <w:bottom w:val="nil"/>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2104009000</w:t>
            </w:r>
          </w:p>
        </w:tc>
        <w:tc>
          <w:tcPr>
            <w:tcW w:w="5540" w:type="dxa"/>
            <w:tcBorders>
              <w:top w:val="nil"/>
              <w:left w:val="nil"/>
              <w:bottom w:val="nil"/>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 xml:space="preserve">Residential </w:t>
            </w:r>
            <w:proofErr w:type="spellStart"/>
            <w:r w:rsidRPr="00001778">
              <w:rPr>
                <w:rFonts w:cs="Calibri"/>
                <w:color w:val="000000"/>
                <w:szCs w:val="22"/>
              </w:rPr>
              <w:t>Firelog</w:t>
            </w:r>
            <w:proofErr w:type="spellEnd"/>
            <w:r w:rsidRPr="00001778">
              <w:rPr>
                <w:rFonts w:cs="Calibri"/>
                <w:color w:val="000000"/>
                <w:szCs w:val="22"/>
              </w:rPr>
              <w:t xml:space="preserve"> Total: All Combustor Types</w:t>
            </w:r>
          </w:p>
        </w:tc>
        <w:tc>
          <w:tcPr>
            <w:tcW w:w="4640" w:type="dxa"/>
            <w:tcBorders>
              <w:top w:val="nil"/>
              <w:left w:val="nil"/>
              <w:bottom w:val="nil"/>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nil"/>
              <w:right w:val="single" w:sz="4" w:space="0" w:color="C0C0C0"/>
            </w:tcBorders>
            <w:shd w:val="clear" w:color="auto" w:fill="auto"/>
            <w:noWrap/>
            <w:vAlign w:val="bottom"/>
            <w:hideMark/>
          </w:tcPr>
          <w:p w:rsidR="00001778" w:rsidRPr="00001778" w:rsidRDefault="00001778" w:rsidP="00001778">
            <w:pPr>
              <w:widowControl/>
              <w:autoSpaceDE/>
              <w:autoSpaceDN/>
              <w:adjustRightInd/>
              <w:spacing w:after="0"/>
              <w:jc w:val="right"/>
              <w:rPr>
                <w:rFonts w:cs="Calibri"/>
                <w:color w:val="000000"/>
                <w:szCs w:val="22"/>
              </w:rPr>
            </w:pPr>
            <w:r w:rsidRPr="00001778">
              <w:rPr>
                <w:rFonts w:cs="Calibri"/>
                <w:color w:val="000000"/>
                <w:szCs w:val="22"/>
              </w:rPr>
              <w:t>0.00424</w:t>
            </w:r>
          </w:p>
        </w:tc>
        <w:tc>
          <w:tcPr>
            <w:tcW w:w="960" w:type="dxa"/>
            <w:tcBorders>
              <w:top w:val="nil"/>
              <w:left w:val="nil"/>
              <w:bottom w:val="nil"/>
              <w:right w:val="single" w:sz="4" w:space="0" w:color="C0C0C0"/>
            </w:tcBorders>
            <w:shd w:val="clear" w:color="auto" w:fill="auto"/>
            <w:noWrap/>
            <w:vAlign w:val="bottom"/>
            <w:hideMark/>
          </w:tcPr>
          <w:p w:rsidR="00001778" w:rsidRPr="00001778" w:rsidRDefault="00001778" w:rsidP="00715C4E">
            <w:pPr>
              <w:widowControl/>
              <w:autoSpaceDE/>
              <w:autoSpaceDN/>
              <w:adjustRightInd/>
              <w:spacing w:after="0"/>
              <w:jc w:val="right"/>
              <w:rPr>
                <w:rFonts w:cs="Calibri"/>
                <w:color w:val="000000"/>
                <w:szCs w:val="22"/>
              </w:rPr>
            </w:pPr>
            <w:r w:rsidRPr="00001778">
              <w:rPr>
                <w:rFonts w:cs="Calibri"/>
                <w:color w:val="000000"/>
                <w:szCs w:val="22"/>
              </w:rPr>
              <w:t>12</w:t>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1.7</w:t>
            </w:r>
          </w:p>
        </w:tc>
        <w:tc>
          <w:tcPr>
            <w:tcW w:w="960" w:type="dxa"/>
            <w:tcBorders>
              <w:top w:val="nil"/>
              <w:left w:val="nil"/>
              <w:bottom w:val="single" w:sz="4" w:space="0" w:color="C0C0C0"/>
              <w:right w:val="single" w:sz="4" w:space="0" w:color="C0C0C0"/>
            </w:tcBorders>
            <w:shd w:val="clear" w:color="auto" w:fill="auto"/>
            <w:noWrap/>
            <w:hideMark/>
          </w:tcPr>
          <w:p w:rsidR="00237836" w:rsidRDefault="00237836" w:rsidP="00237836">
            <w:pPr>
              <w:spacing w:after="0"/>
              <w:jc w:val="right"/>
            </w:pPr>
            <w:r w:rsidRPr="00EE5CB6">
              <w:rPr>
                <w:rFonts w:cs="Calibri"/>
                <w:color w:val="000000"/>
                <w:szCs w:val="22"/>
              </w:rPr>
              <w:fldChar w:fldCharType="begin"/>
            </w:r>
            <w:r w:rsidRPr="00EE5CB6">
              <w:rPr>
                <w:rFonts w:cs="Calibri"/>
                <w:color w:val="000000"/>
                <w:szCs w:val="22"/>
              </w:rPr>
              <w:instrText xml:space="preserve"> NOTEREF _Ref11346072 \h </w:instrText>
            </w:r>
            <w:r>
              <w:rPr>
                <w:rFonts w:cs="Calibri"/>
                <w:color w:val="000000"/>
                <w:szCs w:val="22"/>
              </w:rPr>
              <w:instrText xml:space="preserve"> \* MERGEFORMAT </w:instrText>
            </w:r>
            <w:r w:rsidRPr="00EE5CB6">
              <w:rPr>
                <w:rFonts w:cs="Calibri"/>
                <w:color w:val="000000"/>
                <w:szCs w:val="22"/>
              </w:rPr>
            </w:r>
            <w:r w:rsidRPr="00EE5CB6">
              <w:rPr>
                <w:rFonts w:cs="Calibri"/>
                <w:color w:val="000000"/>
                <w:szCs w:val="22"/>
              </w:rPr>
              <w:fldChar w:fldCharType="separate"/>
            </w:r>
            <w:r w:rsidRPr="00EE5CB6">
              <w:rPr>
                <w:rFonts w:cs="Calibri"/>
                <w:color w:val="000000"/>
                <w:szCs w:val="22"/>
              </w:rPr>
              <w:t>10</w:t>
            </w:r>
            <w:r w:rsidRPr="00EE5CB6">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360</w:t>
            </w:r>
          </w:p>
        </w:tc>
        <w:tc>
          <w:tcPr>
            <w:tcW w:w="96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14</w:t>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EF2C9A">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EF2C9A">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EF2C9A">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EF2C9A">
            <w:pPr>
              <w:widowControl/>
              <w:autoSpaceDE/>
              <w:autoSpaceDN/>
              <w:adjustRightInd/>
              <w:spacing w:after="0"/>
              <w:jc w:val="right"/>
              <w:rPr>
                <w:rFonts w:cs="Calibri"/>
                <w:color w:val="000000"/>
                <w:szCs w:val="22"/>
              </w:rPr>
            </w:pPr>
            <w:r w:rsidRPr="00001778">
              <w:rPr>
                <w:rFonts w:cs="Calibri"/>
                <w:color w:val="000000"/>
                <w:szCs w:val="22"/>
              </w:rPr>
              <w:t>2</w:t>
            </w:r>
          </w:p>
        </w:tc>
        <w:tc>
          <w:tcPr>
            <w:tcW w:w="96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EF2C9A">
            <w:pPr>
              <w:widowControl/>
              <w:autoSpaceDE/>
              <w:autoSpaceDN/>
              <w:adjustRightInd/>
              <w:spacing w:after="0"/>
              <w:jc w:val="right"/>
              <w:rPr>
                <w:rFonts w:cs="Calibri"/>
                <w:color w:val="000000"/>
                <w:szCs w:val="22"/>
              </w:rPr>
            </w:pPr>
            <w:r w:rsidRPr="00001778">
              <w:rPr>
                <w:rFonts w:cs="Calibri"/>
                <w:color w:val="000000"/>
                <w:szCs w:val="22"/>
              </w:rPr>
              <w:t>9</w:t>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64</w:t>
            </w:r>
          </w:p>
        </w:tc>
        <w:tc>
          <w:tcPr>
            <w:tcW w:w="96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14</w:t>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64</w:t>
            </w:r>
          </w:p>
        </w:tc>
        <w:tc>
          <w:tcPr>
            <w:tcW w:w="96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14</w:t>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2.03</w:t>
            </w:r>
          </w:p>
        </w:tc>
        <w:tc>
          <w:tcPr>
            <w:tcW w:w="96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lastRenderedPageBreak/>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67.4</w:t>
            </w:r>
          </w:p>
        </w:tc>
        <w:tc>
          <w:tcPr>
            <w:tcW w:w="96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14</w:t>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0.029032</w:t>
            </w:r>
          </w:p>
        </w:tc>
        <w:tc>
          <w:tcPr>
            <w:tcW w:w="96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0.682</w:t>
            </w:r>
          </w:p>
        </w:tc>
        <w:tc>
          <w:tcPr>
            <w:tcW w:w="960" w:type="dxa"/>
            <w:tcBorders>
              <w:top w:val="nil"/>
              <w:left w:val="nil"/>
              <w:bottom w:val="single" w:sz="4" w:space="0" w:color="C0C0C0"/>
              <w:right w:val="single" w:sz="4" w:space="0" w:color="C0C0C0"/>
            </w:tcBorders>
            <w:shd w:val="clear" w:color="auto" w:fill="auto"/>
            <w:noWrap/>
            <w:hideMark/>
          </w:tcPr>
          <w:p w:rsidR="00237836" w:rsidRDefault="00237836" w:rsidP="00237836">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0.043792</w:t>
            </w:r>
          </w:p>
        </w:tc>
        <w:tc>
          <w:tcPr>
            <w:tcW w:w="960" w:type="dxa"/>
            <w:tcBorders>
              <w:top w:val="nil"/>
              <w:left w:val="nil"/>
              <w:bottom w:val="single" w:sz="4" w:space="0" w:color="C0C0C0"/>
              <w:right w:val="single" w:sz="4" w:space="0" w:color="C0C0C0"/>
            </w:tcBorders>
            <w:shd w:val="clear" w:color="auto" w:fill="auto"/>
            <w:noWrap/>
            <w:hideMark/>
          </w:tcPr>
          <w:p w:rsidR="00237836" w:rsidRDefault="00237836" w:rsidP="00237836">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2.78</w:t>
            </w:r>
          </w:p>
        </w:tc>
        <w:tc>
          <w:tcPr>
            <w:tcW w:w="960" w:type="dxa"/>
            <w:tcBorders>
              <w:top w:val="nil"/>
              <w:left w:val="nil"/>
              <w:bottom w:val="single" w:sz="4" w:space="0" w:color="C0C0C0"/>
              <w:right w:val="single" w:sz="4" w:space="0" w:color="C0C0C0"/>
            </w:tcBorders>
            <w:shd w:val="clear" w:color="auto" w:fill="auto"/>
            <w:noWrap/>
            <w:hideMark/>
          </w:tcPr>
          <w:p w:rsidR="00237836" w:rsidRDefault="00237836" w:rsidP="00237836">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0.002733</w:t>
            </w:r>
          </w:p>
        </w:tc>
        <w:tc>
          <w:tcPr>
            <w:tcW w:w="960" w:type="dxa"/>
            <w:tcBorders>
              <w:top w:val="nil"/>
              <w:left w:val="nil"/>
              <w:bottom w:val="single" w:sz="4" w:space="0" w:color="C0C0C0"/>
              <w:right w:val="single" w:sz="4" w:space="0" w:color="C0C0C0"/>
            </w:tcBorders>
            <w:shd w:val="clear" w:color="auto" w:fill="auto"/>
            <w:noWrap/>
            <w:hideMark/>
          </w:tcPr>
          <w:p w:rsidR="00237836" w:rsidRDefault="00237836" w:rsidP="00237836">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0.131139</w:t>
            </w:r>
          </w:p>
        </w:tc>
        <w:tc>
          <w:tcPr>
            <w:tcW w:w="960" w:type="dxa"/>
            <w:tcBorders>
              <w:top w:val="nil"/>
              <w:left w:val="nil"/>
              <w:bottom w:val="single" w:sz="4" w:space="0" w:color="C0C0C0"/>
              <w:right w:val="single" w:sz="4" w:space="0" w:color="C0C0C0"/>
            </w:tcBorders>
            <w:shd w:val="clear" w:color="auto" w:fill="auto"/>
            <w:noWrap/>
            <w:hideMark/>
          </w:tcPr>
          <w:p w:rsidR="00237836" w:rsidRDefault="00237836" w:rsidP="00237836">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0.7</w:t>
            </w:r>
          </w:p>
        </w:tc>
        <w:tc>
          <w:tcPr>
            <w:tcW w:w="960" w:type="dxa"/>
            <w:tcBorders>
              <w:top w:val="nil"/>
              <w:left w:val="nil"/>
              <w:bottom w:val="single" w:sz="4" w:space="0" w:color="C0C0C0"/>
              <w:right w:val="single" w:sz="4" w:space="0" w:color="C0C0C0"/>
            </w:tcBorders>
            <w:shd w:val="clear" w:color="auto" w:fill="auto"/>
            <w:noWrap/>
            <w:hideMark/>
          </w:tcPr>
          <w:p w:rsidR="00237836" w:rsidRDefault="00237836" w:rsidP="00237836">
            <w:pPr>
              <w:spacing w:after="0"/>
              <w:jc w:val="right"/>
            </w:pPr>
            <w:r w:rsidRPr="001773B4">
              <w:rPr>
                <w:rFonts w:cs="Calibri"/>
                <w:color w:val="000000"/>
                <w:szCs w:val="22"/>
              </w:rPr>
              <w:fldChar w:fldCharType="begin"/>
            </w:r>
            <w:r w:rsidRPr="001773B4">
              <w:rPr>
                <w:rFonts w:cs="Calibri"/>
                <w:color w:val="000000"/>
                <w:szCs w:val="22"/>
              </w:rPr>
              <w:instrText xml:space="preserve"> NOTEREF _Ref11346072 \h </w:instrText>
            </w:r>
            <w:r>
              <w:rPr>
                <w:rFonts w:cs="Calibri"/>
                <w:color w:val="000000"/>
                <w:szCs w:val="22"/>
              </w:rPr>
              <w:instrText xml:space="preserve"> \* MERGEFORMAT </w:instrText>
            </w:r>
            <w:r w:rsidRPr="001773B4">
              <w:rPr>
                <w:rFonts w:cs="Calibri"/>
                <w:color w:val="000000"/>
                <w:szCs w:val="22"/>
              </w:rPr>
            </w:r>
            <w:r w:rsidRPr="001773B4">
              <w:rPr>
                <w:rFonts w:cs="Calibri"/>
                <w:color w:val="000000"/>
                <w:szCs w:val="22"/>
              </w:rPr>
              <w:fldChar w:fldCharType="separate"/>
            </w:r>
            <w:r w:rsidRPr="001773B4">
              <w:rPr>
                <w:rFonts w:cs="Calibri"/>
                <w:color w:val="000000"/>
                <w:szCs w:val="22"/>
              </w:rPr>
              <w:t>10</w:t>
            </w:r>
            <w:r w:rsidRPr="001773B4">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9</w:t>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0.148635</w:t>
            </w:r>
          </w:p>
        </w:tc>
        <w:tc>
          <w:tcPr>
            <w:tcW w:w="960" w:type="dxa"/>
            <w:tcBorders>
              <w:top w:val="nil"/>
              <w:left w:val="nil"/>
              <w:bottom w:val="single" w:sz="4" w:space="0" w:color="C0C0C0"/>
              <w:right w:val="single" w:sz="4" w:space="0" w:color="C0C0C0"/>
            </w:tcBorders>
            <w:shd w:val="clear" w:color="auto" w:fill="auto"/>
            <w:noWrap/>
            <w:hideMark/>
          </w:tcPr>
          <w:p w:rsidR="00237836" w:rsidRDefault="00237836" w:rsidP="00237836">
            <w:pPr>
              <w:spacing w:after="0"/>
              <w:jc w:val="right"/>
            </w:pPr>
            <w:r w:rsidRPr="00BA6935">
              <w:rPr>
                <w:rFonts w:cs="Calibri"/>
                <w:color w:val="000000"/>
                <w:szCs w:val="22"/>
              </w:rPr>
              <w:fldChar w:fldCharType="begin"/>
            </w:r>
            <w:r w:rsidRPr="00BA6935">
              <w:rPr>
                <w:rFonts w:cs="Calibri"/>
                <w:color w:val="000000"/>
                <w:szCs w:val="22"/>
              </w:rPr>
              <w:instrText xml:space="preserve"> NOTEREF _Ref11346072 \h </w:instrText>
            </w:r>
            <w:r>
              <w:rPr>
                <w:rFonts w:cs="Calibri"/>
                <w:color w:val="000000"/>
                <w:szCs w:val="22"/>
              </w:rPr>
              <w:instrText xml:space="preserve"> \* MERGEFORMAT </w:instrText>
            </w:r>
            <w:r w:rsidRPr="00BA6935">
              <w:rPr>
                <w:rFonts w:cs="Calibri"/>
                <w:color w:val="000000"/>
                <w:szCs w:val="22"/>
              </w:rPr>
            </w:r>
            <w:r w:rsidRPr="00BA6935">
              <w:rPr>
                <w:rFonts w:cs="Calibri"/>
                <w:color w:val="000000"/>
                <w:szCs w:val="22"/>
              </w:rPr>
              <w:fldChar w:fldCharType="separate"/>
            </w:r>
            <w:r w:rsidRPr="00BA6935">
              <w:rPr>
                <w:rFonts w:cs="Calibri"/>
                <w:color w:val="000000"/>
                <w:szCs w:val="22"/>
              </w:rPr>
              <w:t>10</w:t>
            </w:r>
            <w:r w:rsidRPr="00BA6935">
              <w:rPr>
                <w:rFonts w:cs="Calibri"/>
                <w:color w:val="000000"/>
                <w:szCs w:val="22"/>
              </w:rPr>
              <w:fldChar w:fldCharType="end"/>
            </w:r>
          </w:p>
        </w:tc>
      </w:tr>
      <w:tr w:rsidR="00237836" w:rsidRPr="00001778" w:rsidTr="00237836">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8B5CC4">
              <w:rPr>
                <w:szCs w:val="20"/>
              </w:rPr>
              <w:t>2104008620</w:t>
            </w:r>
          </w:p>
        </w:tc>
        <w:tc>
          <w:tcPr>
            <w:tcW w:w="55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Pr>
                <w:rFonts w:cs="Calibri"/>
                <w:color w:val="000000"/>
                <w:szCs w:val="22"/>
              </w:rPr>
              <w:t>Hydronic heater: indoor</w:t>
            </w:r>
          </w:p>
        </w:tc>
        <w:tc>
          <w:tcPr>
            <w:tcW w:w="464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hideMark/>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0.241</w:t>
            </w:r>
          </w:p>
        </w:tc>
        <w:tc>
          <w:tcPr>
            <w:tcW w:w="960" w:type="dxa"/>
            <w:tcBorders>
              <w:top w:val="nil"/>
              <w:left w:val="nil"/>
              <w:bottom w:val="single" w:sz="4" w:space="0" w:color="C0C0C0"/>
              <w:right w:val="single" w:sz="4" w:space="0" w:color="C0C0C0"/>
            </w:tcBorders>
            <w:shd w:val="clear" w:color="auto" w:fill="auto"/>
            <w:noWrap/>
            <w:hideMark/>
          </w:tcPr>
          <w:p w:rsidR="00237836" w:rsidRDefault="00237836" w:rsidP="00237836">
            <w:pPr>
              <w:spacing w:after="0"/>
              <w:jc w:val="right"/>
            </w:pPr>
            <w:r w:rsidRPr="00BA6935">
              <w:rPr>
                <w:rFonts w:cs="Calibri"/>
                <w:color w:val="000000"/>
                <w:szCs w:val="22"/>
              </w:rPr>
              <w:fldChar w:fldCharType="begin"/>
            </w:r>
            <w:r w:rsidRPr="00BA6935">
              <w:rPr>
                <w:rFonts w:cs="Calibri"/>
                <w:color w:val="000000"/>
                <w:szCs w:val="22"/>
              </w:rPr>
              <w:instrText xml:space="preserve"> NOTEREF _Ref11346072 \h </w:instrText>
            </w:r>
            <w:r>
              <w:rPr>
                <w:rFonts w:cs="Calibri"/>
                <w:color w:val="000000"/>
                <w:szCs w:val="22"/>
              </w:rPr>
              <w:instrText xml:space="preserve"> \* MERGEFORMAT </w:instrText>
            </w:r>
            <w:r w:rsidRPr="00BA6935">
              <w:rPr>
                <w:rFonts w:cs="Calibri"/>
                <w:color w:val="000000"/>
                <w:szCs w:val="22"/>
              </w:rPr>
            </w:r>
            <w:r w:rsidRPr="00BA6935">
              <w:rPr>
                <w:rFonts w:cs="Calibri"/>
                <w:color w:val="000000"/>
                <w:szCs w:val="22"/>
              </w:rPr>
              <w:fldChar w:fldCharType="separate"/>
            </w:r>
            <w:r w:rsidRPr="00BA6935">
              <w:rPr>
                <w:rFonts w:cs="Calibri"/>
                <w:color w:val="000000"/>
                <w:szCs w:val="22"/>
              </w:rPr>
              <w:t>10</w:t>
            </w:r>
            <w:r w:rsidRPr="00BA6935">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nil"/>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nil"/>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nil"/>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nil"/>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0.3</w:t>
            </w:r>
          </w:p>
        </w:tc>
        <w:tc>
          <w:tcPr>
            <w:tcW w:w="960" w:type="dxa"/>
            <w:tcBorders>
              <w:top w:val="nil"/>
              <w:left w:val="nil"/>
              <w:bottom w:val="nil"/>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15.9</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3.8</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0.32</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2.198</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0.00095</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0.094</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0.0101</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0.0289</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0.0067</w:t>
            </w:r>
          </w:p>
        </w:tc>
        <w:tc>
          <w:tcPr>
            <w:tcW w:w="960" w:type="dxa"/>
            <w:tcBorders>
              <w:top w:val="nil"/>
              <w:left w:val="nil"/>
              <w:bottom w:val="single" w:sz="4" w:space="0" w:color="C0C0C0"/>
              <w:right w:val="single" w:sz="4" w:space="0" w:color="C0C0C0"/>
            </w:tcBorders>
            <w:shd w:val="clear" w:color="auto" w:fill="auto"/>
            <w:noWrap/>
          </w:tcPr>
          <w:p w:rsidR="00237836" w:rsidRDefault="00237836" w:rsidP="00237836">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7.52E-05</w:t>
            </w:r>
          </w:p>
        </w:tc>
        <w:tc>
          <w:tcPr>
            <w:tcW w:w="96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9</w:t>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0.0155</w:t>
            </w:r>
          </w:p>
        </w:tc>
        <w:tc>
          <w:tcPr>
            <w:tcW w:w="96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5.48E-05</w:t>
            </w:r>
          </w:p>
        </w:tc>
        <w:tc>
          <w:tcPr>
            <w:tcW w:w="96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9</w:t>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0.316</w:t>
            </w:r>
          </w:p>
        </w:tc>
        <w:tc>
          <w:tcPr>
            <w:tcW w:w="96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9</w:t>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0.423</w:t>
            </w:r>
          </w:p>
        </w:tc>
        <w:tc>
          <w:tcPr>
            <w:tcW w:w="96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lastRenderedPageBreak/>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3.32E-05</w:t>
            </w:r>
          </w:p>
        </w:tc>
        <w:tc>
          <w:tcPr>
            <w:tcW w:w="96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9</w:t>
            </w:r>
          </w:p>
        </w:tc>
      </w:tr>
      <w:tr w:rsidR="00237836"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single" w:sz="4" w:space="0" w:color="C0C0C0"/>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0.025</w:t>
            </w:r>
          </w:p>
        </w:tc>
        <w:tc>
          <w:tcPr>
            <w:tcW w:w="960" w:type="dxa"/>
            <w:tcBorders>
              <w:top w:val="nil"/>
              <w:left w:val="nil"/>
              <w:bottom w:val="single" w:sz="4" w:space="0" w:color="C0C0C0"/>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237836" w:rsidRPr="00001778" w:rsidTr="00EF2C9A">
        <w:trPr>
          <w:trHeight w:val="300"/>
        </w:trPr>
        <w:tc>
          <w:tcPr>
            <w:tcW w:w="1332" w:type="dxa"/>
            <w:tcBorders>
              <w:top w:val="nil"/>
              <w:left w:val="single" w:sz="4" w:space="0" w:color="C0C0C0"/>
              <w:bottom w:val="nil"/>
              <w:right w:val="single" w:sz="4" w:space="0" w:color="C0C0C0"/>
            </w:tcBorders>
            <w:shd w:val="clear" w:color="auto" w:fill="auto"/>
            <w:noWrap/>
            <w:vAlign w:val="center"/>
          </w:tcPr>
          <w:p w:rsidR="00237836" w:rsidRPr="008B5CC4" w:rsidRDefault="00237836" w:rsidP="00237836">
            <w:pPr>
              <w:spacing w:after="0"/>
              <w:rPr>
                <w:szCs w:val="20"/>
              </w:rPr>
            </w:pPr>
            <w:r w:rsidRPr="008B5CC4">
              <w:rPr>
                <w:szCs w:val="20"/>
              </w:rPr>
              <w:t>2104008630</w:t>
            </w:r>
          </w:p>
        </w:tc>
        <w:tc>
          <w:tcPr>
            <w:tcW w:w="5540" w:type="dxa"/>
            <w:tcBorders>
              <w:top w:val="nil"/>
              <w:left w:val="nil"/>
              <w:bottom w:val="nil"/>
              <w:right w:val="single" w:sz="4" w:space="0" w:color="C0C0C0"/>
            </w:tcBorders>
            <w:shd w:val="clear" w:color="auto" w:fill="auto"/>
            <w:noWrap/>
            <w:vAlign w:val="center"/>
          </w:tcPr>
          <w:p w:rsidR="00237836" w:rsidRPr="008B5CC4" w:rsidRDefault="00237836" w:rsidP="00237836">
            <w:pPr>
              <w:spacing w:after="0"/>
              <w:rPr>
                <w:szCs w:val="20"/>
              </w:rPr>
            </w:pPr>
            <w:r>
              <w:rPr>
                <w:rFonts w:cs="Calibri"/>
                <w:color w:val="000000"/>
                <w:szCs w:val="22"/>
              </w:rPr>
              <w:t>Hydronic heater: pellet fired</w:t>
            </w:r>
          </w:p>
        </w:tc>
        <w:tc>
          <w:tcPr>
            <w:tcW w:w="4640" w:type="dxa"/>
            <w:tcBorders>
              <w:top w:val="nil"/>
              <w:left w:val="nil"/>
              <w:bottom w:val="nil"/>
              <w:right w:val="single" w:sz="4" w:space="0" w:color="C0C0C0"/>
            </w:tcBorders>
            <w:shd w:val="clear" w:color="auto" w:fill="auto"/>
            <w:noWrap/>
            <w:vAlign w:val="bottom"/>
          </w:tcPr>
          <w:p w:rsidR="00237836" w:rsidRPr="00001778" w:rsidRDefault="00237836" w:rsidP="00237836">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nil"/>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4.84E-05</w:t>
            </w:r>
          </w:p>
        </w:tc>
        <w:tc>
          <w:tcPr>
            <w:tcW w:w="960" w:type="dxa"/>
            <w:tcBorders>
              <w:top w:val="nil"/>
              <w:left w:val="nil"/>
              <w:bottom w:val="nil"/>
              <w:right w:val="single" w:sz="4" w:space="0" w:color="C0C0C0"/>
            </w:tcBorders>
            <w:shd w:val="clear" w:color="auto" w:fill="auto"/>
            <w:noWrap/>
            <w:vAlign w:val="bottom"/>
          </w:tcPr>
          <w:p w:rsidR="00237836" w:rsidRPr="00001778" w:rsidRDefault="00237836" w:rsidP="00237836">
            <w:pPr>
              <w:widowControl/>
              <w:autoSpaceDE/>
              <w:autoSpaceDN/>
              <w:adjustRightInd/>
              <w:spacing w:after="0"/>
              <w:jc w:val="right"/>
              <w:rPr>
                <w:rFonts w:cs="Calibri"/>
                <w:color w:val="000000"/>
                <w:szCs w:val="22"/>
              </w:rPr>
            </w:pPr>
            <w:r w:rsidRPr="00001778">
              <w:rPr>
                <w:rFonts w:cs="Calibri"/>
                <w:color w:val="000000"/>
                <w:szCs w:val="22"/>
              </w:rPr>
              <w:t>9</w:t>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Ammonia</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0.3</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Carbon Monoxide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15.9</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Nitrogen Oxides</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3.8</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Primary PM10</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Primary PM2.5</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3.06</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Sulfur Dioxide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0.32</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Volatile Organic Compounds</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2.198</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1,3-Butadiene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0.00095</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Acetaldehyde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0.094</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proofErr w:type="spellStart"/>
            <w:r w:rsidRPr="00001778">
              <w:rPr>
                <w:rFonts w:cs="Calibri"/>
                <w:color w:val="000000"/>
                <w:szCs w:val="22"/>
              </w:rPr>
              <w:t>Acrolein</w:t>
            </w:r>
            <w:proofErr w:type="spellEnd"/>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0.0101</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Benzene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0.0289</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Benzo[a]Pyrene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0.0067</w:t>
            </w:r>
          </w:p>
        </w:tc>
        <w:tc>
          <w:tcPr>
            <w:tcW w:w="960" w:type="dxa"/>
            <w:tcBorders>
              <w:top w:val="nil"/>
              <w:left w:val="nil"/>
              <w:bottom w:val="single" w:sz="4" w:space="0" w:color="C0C0C0"/>
              <w:right w:val="single" w:sz="4" w:space="0" w:color="C0C0C0"/>
            </w:tcBorders>
            <w:shd w:val="clear" w:color="auto" w:fill="auto"/>
            <w:noWrap/>
          </w:tcPr>
          <w:p w:rsidR="00380A47" w:rsidRDefault="00380A47" w:rsidP="00380A47">
            <w:pPr>
              <w:spacing w:after="0"/>
              <w:jc w:val="right"/>
            </w:pPr>
            <w:r w:rsidRPr="00D66E72">
              <w:rPr>
                <w:rFonts w:cs="Calibri"/>
                <w:color w:val="000000"/>
                <w:szCs w:val="22"/>
              </w:rPr>
              <w:fldChar w:fldCharType="begin"/>
            </w:r>
            <w:r w:rsidRPr="00D66E72">
              <w:rPr>
                <w:rFonts w:cs="Calibri"/>
                <w:color w:val="000000"/>
                <w:szCs w:val="22"/>
              </w:rPr>
              <w:instrText xml:space="preserve"> NOTEREF _Ref11346072 \h </w:instrText>
            </w:r>
            <w:r>
              <w:rPr>
                <w:rFonts w:cs="Calibri"/>
                <w:color w:val="000000"/>
                <w:szCs w:val="22"/>
              </w:rPr>
              <w:instrText xml:space="preserve"> \* MERGEFORMAT </w:instrText>
            </w:r>
            <w:r w:rsidRPr="00D66E72">
              <w:rPr>
                <w:rFonts w:cs="Calibri"/>
                <w:color w:val="000000"/>
                <w:szCs w:val="22"/>
              </w:rPr>
            </w:r>
            <w:r w:rsidRPr="00D66E72">
              <w:rPr>
                <w:rFonts w:cs="Calibri"/>
                <w:color w:val="000000"/>
                <w:szCs w:val="22"/>
              </w:rPr>
              <w:fldChar w:fldCharType="separate"/>
            </w:r>
            <w:r w:rsidRPr="00D66E72">
              <w:rPr>
                <w:rFonts w:cs="Calibri"/>
                <w:color w:val="000000"/>
                <w:szCs w:val="22"/>
              </w:rPr>
              <w:t>10</w:t>
            </w:r>
            <w:r w:rsidRPr="00D66E72">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Chrysene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7.52E-05</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9</w:t>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Cresols (Includes o, m, &amp; p)/Cresylic Acids</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0.0155</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proofErr w:type="spellStart"/>
            <w:r w:rsidRPr="00001778">
              <w:rPr>
                <w:rFonts w:cs="Calibri"/>
                <w:color w:val="000000"/>
                <w:szCs w:val="22"/>
              </w:rPr>
              <w:t>Fluoranthene</w:t>
            </w:r>
            <w:proofErr w:type="spellEnd"/>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5.48E-05</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9</w:t>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Formaldehyde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0.316</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Mercury</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4.26E-05</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9</w:t>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Naphthalene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0.423</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proofErr w:type="spellStart"/>
            <w:r w:rsidRPr="00001778">
              <w:rPr>
                <w:rFonts w:cs="Calibri"/>
                <w:color w:val="000000"/>
                <w:szCs w:val="22"/>
              </w:rPr>
              <w:t>Phenanthrene</w:t>
            </w:r>
            <w:proofErr w:type="spellEnd"/>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3.32E-05</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9</w:t>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Phenol</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0.025</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Pr>
                <w:rFonts w:cs="Calibri"/>
                <w:color w:val="000000"/>
                <w:szCs w:val="22"/>
              </w:rPr>
              <w:fldChar w:fldCharType="begin"/>
            </w:r>
            <w:r>
              <w:rPr>
                <w:rFonts w:cs="Calibri"/>
                <w:color w:val="000000"/>
                <w:szCs w:val="22"/>
              </w:rPr>
              <w:instrText xml:space="preserve"> NOTEREF _Ref11346072 \h  \* MERGEFORMAT </w:instrText>
            </w:r>
            <w:r>
              <w:rPr>
                <w:rFonts w:cs="Calibri"/>
                <w:color w:val="000000"/>
                <w:szCs w:val="22"/>
              </w:rPr>
            </w:r>
            <w:r>
              <w:rPr>
                <w:rFonts w:cs="Calibri"/>
                <w:color w:val="000000"/>
                <w:szCs w:val="22"/>
              </w:rPr>
              <w:fldChar w:fldCharType="separate"/>
            </w:r>
            <w:r>
              <w:rPr>
                <w:rFonts w:cs="Calibri"/>
                <w:color w:val="000000"/>
                <w:szCs w:val="22"/>
              </w:rPr>
              <w:t>10</w:t>
            </w:r>
            <w:r>
              <w:rPr>
                <w:rFonts w:cs="Calibri"/>
                <w:color w:val="000000"/>
                <w:szCs w:val="22"/>
              </w:rPr>
              <w:fldChar w:fldCharType="end"/>
            </w:r>
          </w:p>
        </w:tc>
      </w:tr>
      <w:tr w:rsidR="00380A47" w:rsidRPr="00001778" w:rsidTr="00EF2C9A">
        <w:trPr>
          <w:trHeight w:val="300"/>
        </w:trPr>
        <w:tc>
          <w:tcPr>
            <w:tcW w:w="1332" w:type="dxa"/>
            <w:tcBorders>
              <w:top w:val="nil"/>
              <w:left w:val="single" w:sz="4" w:space="0" w:color="C0C0C0"/>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szCs w:val="20"/>
              </w:rPr>
              <w:t>2104008530</w:t>
            </w:r>
          </w:p>
        </w:tc>
        <w:tc>
          <w:tcPr>
            <w:tcW w:w="55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8B5CC4">
              <w:rPr>
                <w:color w:val="000000"/>
                <w:szCs w:val="20"/>
              </w:rPr>
              <w:t>Furnace: Indoor, pellet-fired, general</w:t>
            </w:r>
          </w:p>
        </w:tc>
        <w:tc>
          <w:tcPr>
            <w:tcW w:w="464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rPr>
                <w:rFonts w:cs="Calibri"/>
                <w:color w:val="000000"/>
                <w:szCs w:val="22"/>
              </w:rPr>
            </w:pPr>
            <w:r w:rsidRPr="00001778">
              <w:rPr>
                <w:rFonts w:cs="Calibri"/>
                <w:color w:val="000000"/>
                <w:szCs w:val="22"/>
              </w:rPr>
              <w:t>Pyrene</w:t>
            </w:r>
          </w:p>
        </w:tc>
        <w:tc>
          <w:tcPr>
            <w:tcW w:w="109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4.84E-05</w:t>
            </w:r>
          </w:p>
        </w:tc>
        <w:tc>
          <w:tcPr>
            <w:tcW w:w="960" w:type="dxa"/>
            <w:tcBorders>
              <w:top w:val="nil"/>
              <w:left w:val="nil"/>
              <w:bottom w:val="single" w:sz="4" w:space="0" w:color="C0C0C0"/>
              <w:right w:val="single" w:sz="4" w:space="0" w:color="C0C0C0"/>
            </w:tcBorders>
            <w:shd w:val="clear" w:color="auto" w:fill="auto"/>
            <w:noWrap/>
            <w:vAlign w:val="bottom"/>
          </w:tcPr>
          <w:p w:rsidR="00380A47" w:rsidRPr="00001778" w:rsidRDefault="00380A47" w:rsidP="00380A47">
            <w:pPr>
              <w:widowControl/>
              <w:autoSpaceDE/>
              <w:autoSpaceDN/>
              <w:adjustRightInd/>
              <w:spacing w:after="0"/>
              <w:jc w:val="right"/>
              <w:rPr>
                <w:rFonts w:cs="Calibri"/>
                <w:color w:val="000000"/>
                <w:szCs w:val="22"/>
              </w:rPr>
            </w:pPr>
            <w:r w:rsidRPr="00001778">
              <w:rPr>
                <w:rFonts w:cs="Calibri"/>
                <w:color w:val="000000"/>
                <w:szCs w:val="22"/>
              </w:rPr>
              <w:t>9</w:t>
            </w:r>
          </w:p>
        </w:tc>
      </w:tr>
    </w:tbl>
    <w:p w:rsidR="00A6061A" w:rsidRPr="007C3960" w:rsidRDefault="00A6061A" w:rsidP="00001778">
      <w:pPr>
        <w:widowControl/>
        <w:autoSpaceDE/>
        <w:autoSpaceDN/>
        <w:adjustRightInd/>
        <w:spacing w:line="276" w:lineRule="auto"/>
      </w:pPr>
    </w:p>
    <w:sectPr w:rsidR="00A6061A" w:rsidRPr="007C3960" w:rsidSect="00001778">
      <w:endnotePr>
        <w:numFmt w:val="decimal"/>
      </w:endnotePr>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24A" w:rsidRPr="005A2CA7" w:rsidRDefault="0055624A" w:rsidP="005A2CA7">
      <w:pPr>
        <w:pStyle w:val="Footer"/>
      </w:pPr>
    </w:p>
  </w:endnote>
  <w:endnote w:type="continuationSeparator" w:id="0">
    <w:p w:rsidR="0055624A" w:rsidRPr="00D05698" w:rsidRDefault="0055624A" w:rsidP="00D05698">
      <w:pPr>
        <w:pStyle w:val="Footer"/>
      </w:pPr>
    </w:p>
  </w:endnote>
  <w:endnote w:type="continuationNotice" w:id="1">
    <w:p w:rsidR="0055624A" w:rsidRDefault="0055624A">
      <w:pPr>
        <w:spacing w:after="0"/>
      </w:pPr>
    </w:p>
  </w:endnote>
  <w:endnote w:id="2">
    <w:p w:rsidR="0055624A" w:rsidRDefault="0055624A" w:rsidP="009C54F9">
      <w:pPr>
        <w:pStyle w:val="References"/>
      </w:pPr>
      <w:r>
        <w:rPr>
          <w:rStyle w:val="EndnoteReference"/>
        </w:rPr>
        <w:endnoteRef/>
      </w:r>
      <w:r>
        <w:t xml:space="preserve"> CEC. 2019. Residential Wood Use Survey to Improve Black Carbon Emissions Inventory Data for Small-Scale Biomass Combustion. Montreal, Canada: Commission for Environmental Cooperation. </w:t>
      </w:r>
    </w:p>
  </w:endnote>
  <w:endnote w:id="3">
    <w:p w:rsidR="0055624A" w:rsidRDefault="0055624A" w:rsidP="009C54F9">
      <w:pPr>
        <w:pStyle w:val="References"/>
      </w:pPr>
      <w:r>
        <w:rPr>
          <w:rStyle w:val="EndnoteReference"/>
        </w:rPr>
        <w:endnoteRef/>
      </w:r>
      <w:r>
        <w:t xml:space="preserve"> </w:t>
      </w:r>
      <w:r w:rsidRPr="00853479">
        <w:t>U.S. Department of Agriculture</w:t>
      </w:r>
      <w:r>
        <w:t xml:space="preserve"> (USDA). 2009. </w:t>
      </w:r>
      <w:r w:rsidRPr="00853479">
        <w:t xml:space="preserve"> “Timber Products Output Survey,” </w:t>
      </w:r>
      <w:r>
        <w:t>U.S. Forest</w:t>
      </w:r>
      <w:r w:rsidRPr="00853479">
        <w:t xml:space="preserve"> Service, retrieved via query from </w:t>
      </w:r>
      <w:hyperlink r:id="rId1" w:history="1">
        <w:r>
          <w:rPr>
            <w:rStyle w:val="Hyperlink"/>
          </w:rPr>
          <w:t>https://www.fs.usda.gov/srsfia/php/tpo_2009/tpo_rpa_int1.php</w:t>
        </w:r>
      </w:hyperlink>
      <w:r>
        <w:t xml:space="preserve"> </w:t>
      </w:r>
    </w:p>
  </w:endnote>
  <w:endnote w:id="4">
    <w:p w:rsidR="0055624A" w:rsidRDefault="0055624A" w:rsidP="009C54F9">
      <w:pPr>
        <w:pStyle w:val="References"/>
      </w:pPr>
      <w:r>
        <w:rPr>
          <w:rStyle w:val="EndnoteReference"/>
        </w:rPr>
        <w:endnoteRef/>
      </w:r>
      <w:r>
        <w:t xml:space="preserve"> NOAA. 2019. Degree Days Statistics. Washington, DC: National Weather Service, Climate Prediction Center. </w:t>
      </w:r>
      <w:hyperlink r:id="rId2" w:history="1">
        <w:r>
          <w:rPr>
            <w:rStyle w:val="Hyperlink"/>
          </w:rPr>
          <w:t>https://www.cpc.ncep.noaa.gov/products/analysis_monitoring/cdus/degree_days/</w:t>
        </w:r>
      </w:hyperlink>
    </w:p>
  </w:endnote>
  <w:endnote w:id="5">
    <w:p w:rsidR="0055624A" w:rsidRDefault="0055624A" w:rsidP="009C54F9">
      <w:pPr>
        <w:pStyle w:val="References"/>
      </w:pPr>
      <w:r>
        <w:rPr>
          <w:rStyle w:val="EndnoteReference"/>
        </w:rPr>
        <w:endnoteRef/>
      </w:r>
      <w:r>
        <w:t xml:space="preserve"> U.S. Census Bureau. 2019. County Population Totals and Components of Change: 2010-2018. Washington, DC. </w:t>
      </w:r>
      <w:hyperlink r:id="rId3" w:history="1">
        <w:r>
          <w:rPr>
            <w:rStyle w:val="Hyperlink"/>
          </w:rPr>
          <w:t>https://www.census.gov/programs-surveys/popest/data/data-sets.2017.html</w:t>
        </w:r>
      </w:hyperlink>
    </w:p>
  </w:endnote>
  <w:endnote w:id="6">
    <w:p w:rsidR="0055624A" w:rsidRDefault="0055624A" w:rsidP="009C54F9">
      <w:pPr>
        <w:pStyle w:val="References"/>
      </w:pPr>
      <w:r>
        <w:rPr>
          <w:rStyle w:val="EndnoteReference"/>
        </w:rPr>
        <w:endnoteRef/>
      </w:r>
      <w:r>
        <w:t xml:space="preserve"> U.S. Census Bureau. 2018. Urban and Rural. Washington, DC. </w:t>
      </w:r>
      <w:hyperlink r:id="rId4" w:history="1">
        <w:r>
          <w:rPr>
            <w:rStyle w:val="Hyperlink"/>
          </w:rPr>
          <w:t>https://www.census.gov/programs-surveys/geography/guidance/geo-areas/urban-rural.html</w:t>
        </w:r>
      </w:hyperlink>
    </w:p>
  </w:endnote>
  <w:endnote w:id="7">
    <w:p w:rsidR="0055624A" w:rsidRDefault="0055624A" w:rsidP="009C54F9">
      <w:pPr>
        <w:pStyle w:val="References"/>
      </w:pPr>
      <w:r>
        <w:rPr>
          <w:rStyle w:val="EndnoteReference"/>
        </w:rPr>
        <w:endnoteRef/>
      </w:r>
      <w:r>
        <w:t xml:space="preserve"> U.S. Environmental Protection Agency. 2018. Biogenic Emissions Sources. </w:t>
      </w:r>
      <w:hyperlink r:id="rId5" w:history="1">
        <w:r>
          <w:rPr>
            <w:rStyle w:val="Hyperlink"/>
          </w:rPr>
          <w:t>https://www.epa.gov/air-emissions-modeling/biogenic-emission-sources</w:t>
        </w:r>
      </w:hyperlink>
    </w:p>
  </w:endnote>
  <w:endnote w:id="8">
    <w:p w:rsidR="0055624A" w:rsidRDefault="0055624A" w:rsidP="009C54F9">
      <w:pPr>
        <w:pStyle w:val="References"/>
      </w:pPr>
      <w:r>
        <w:rPr>
          <w:rStyle w:val="EndnoteReference"/>
        </w:rPr>
        <w:endnoteRef/>
      </w:r>
      <w:r>
        <w:t xml:space="preserve"> U.S. Census Bureau. 2018. American Community Survey. Washington, DC. </w:t>
      </w:r>
      <w:hyperlink r:id="rId6" w:history="1">
        <w:r>
          <w:rPr>
            <w:rStyle w:val="Hyperlink"/>
          </w:rPr>
          <w:t>https://www.census.gov/programs-surveys/acs</w:t>
        </w:r>
      </w:hyperlink>
    </w:p>
  </w:endnote>
  <w:endnote w:id="9">
    <w:p w:rsidR="0055624A" w:rsidRDefault="0055624A" w:rsidP="009C54F9">
      <w:pPr>
        <w:pStyle w:val="References"/>
      </w:pPr>
      <w:r>
        <w:rPr>
          <w:rStyle w:val="EndnoteReference"/>
        </w:rPr>
        <w:endnoteRef/>
      </w:r>
      <w:r>
        <w:t xml:space="preserve"> Energy Information Administration. 2019. State Energy Data System. </w:t>
      </w:r>
      <w:hyperlink r:id="rId7" w:history="1">
        <w:r>
          <w:rPr>
            <w:rStyle w:val="Hyperlink"/>
          </w:rPr>
          <w:t>https://www.eia.gov/state/seds/</w:t>
        </w:r>
      </w:hyperlink>
      <w:r>
        <w:t xml:space="preserve"> </w:t>
      </w:r>
    </w:p>
  </w:endnote>
  <w:endnote w:id="10">
    <w:p w:rsidR="0055624A" w:rsidRDefault="0055624A" w:rsidP="009C54F9">
      <w:pPr>
        <w:pStyle w:val="References"/>
      </w:pPr>
      <w:r>
        <w:rPr>
          <w:rStyle w:val="EndnoteReference"/>
        </w:rPr>
        <w:endnoteRef/>
      </w:r>
      <w:r>
        <w:t xml:space="preserve"> </w:t>
      </w:r>
      <w:r w:rsidRPr="009C54F9">
        <w:t>U.S. Environmental Protection Agency. 1996. AP-42, Fifth Edition, Chapter 1 External Combustion Sources, Section</w:t>
      </w:r>
      <w:r>
        <w:t>s 1.9 Residential Fireplaces and</w:t>
      </w:r>
      <w:r w:rsidRPr="009C54F9">
        <w:t xml:space="preserve"> 1.10 Residential Wood Stove</w:t>
      </w:r>
      <w:r>
        <w:t xml:space="preserve">. </w:t>
      </w:r>
    </w:p>
  </w:endnote>
  <w:endnote w:id="11">
    <w:p w:rsidR="0055624A" w:rsidRDefault="0055624A" w:rsidP="009C54F9">
      <w:pPr>
        <w:pStyle w:val="References"/>
      </w:pPr>
      <w:r>
        <w:rPr>
          <w:rStyle w:val="EndnoteReference"/>
        </w:rPr>
        <w:endnoteRef/>
      </w:r>
      <w:r>
        <w:t xml:space="preserve"> </w:t>
      </w:r>
      <w:r w:rsidRPr="009C54F9">
        <w:t>Houck, J.E. and B.N. Eagle. 2006. Task 6 Technical Memorandum 4 (Final Report): Control Analysis and Documentation for Residential Wood Combustion in the MANE-VU Region. Prepared for MARAMA.</w:t>
      </w:r>
    </w:p>
  </w:endnote>
  <w:endnote w:id="12">
    <w:p w:rsidR="0055624A" w:rsidRPr="009C54F9" w:rsidRDefault="0055624A" w:rsidP="009C54F9">
      <w:pPr>
        <w:pStyle w:val="References"/>
        <w:rPr>
          <w:rFonts w:ascii="Calibri" w:hAnsi="Calibri" w:cs="Calibri"/>
          <w:color w:val="000000"/>
          <w:sz w:val="22"/>
          <w:szCs w:val="22"/>
        </w:rPr>
      </w:pPr>
      <w:r>
        <w:rPr>
          <w:rStyle w:val="EndnoteReference"/>
        </w:rPr>
        <w:endnoteRef/>
      </w:r>
      <w:r>
        <w:t xml:space="preserve"> </w:t>
      </w:r>
      <w:r w:rsidRPr="009C54F9">
        <w:rPr>
          <w:rStyle w:val="ReferencesChar"/>
        </w:rPr>
        <w:t>Hays, M.D., et al. 2003. Polycyclic aromatic hydrocarbon size distributions in aerosols from appliances of residential wood combustion as determined by direct thermal desorption—GC/MS. Journal of Aerosol Science, 34:1061-1084.</w:t>
      </w:r>
      <w:r w:rsidRPr="009C54F9">
        <w:rPr>
          <w:rFonts w:ascii="Calibri" w:hAnsi="Calibri" w:cs="Calibri"/>
          <w:color w:val="000000"/>
          <w:sz w:val="22"/>
          <w:szCs w:val="22"/>
        </w:rPr>
        <w:t xml:space="preserve"> </w:t>
      </w:r>
    </w:p>
  </w:endnote>
  <w:endnote w:id="13">
    <w:p w:rsidR="0055624A" w:rsidRPr="009C54F9" w:rsidRDefault="0055624A" w:rsidP="009C54F9">
      <w:pPr>
        <w:pStyle w:val="References"/>
      </w:pPr>
      <w:r>
        <w:rPr>
          <w:rStyle w:val="EndnoteReference"/>
        </w:rPr>
        <w:endnoteRef/>
      </w:r>
      <w:r>
        <w:t xml:space="preserve"> </w:t>
      </w:r>
      <w:r w:rsidRPr="009C54F9">
        <w:t xml:space="preserve">Li, V.S. and S.R. Rosenthal. 2006. Content and Emission Characteristics of Artificial Wax </w:t>
      </w:r>
      <w:proofErr w:type="spellStart"/>
      <w:r w:rsidRPr="009C54F9">
        <w:t>Firelogs</w:t>
      </w:r>
      <w:proofErr w:type="spellEnd"/>
      <w:r w:rsidRPr="009C54F9">
        <w:t>. Poster presentation at 15th International Emission Inventory Conference. New Orleans, Louisiana. May 15-18, 2006.</w:t>
      </w:r>
    </w:p>
  </w:endnote>
  <w:endnote w:id="14">
    <w:p w:rsidR="0055624A" w:rsidRDefault="0055624A" w:rsidP="00001778">
      <w:pPr>
        <w:pStyle w:val="References"/>
      </w:pPr>
      <w:r>
        <w:rPr>
          <w:rStyle w:val="EndnoteReference"/>
        </w:rPr>
        <w:endnoteRef/>
      </w:r>
      <w:r>
        <w:t xml:space="preserve"> </w:t>
      </w:r>
      <w:r w:rsidRPr="00001778">
        <w:t>Houck, J.E., J. Crouch, and R.H. Huntley. 2001. Review of Wood Heater and Fireplace Emission Factors. Technical presentation at the International Emission Inventory Conference</w:t>
      </w:r>
      <w:r>
        <w:t>.</w:t>
      </w:r>
      <w:r w:rsidRPr="00001778">
        <w:t xml:space="preserve"> Denver, CO</w:t>
      </w:r>
      <w:r>
        <w:t>.</w:t>
      </w:r>
    </w:p>
  </w:endnote>
  <w:endnote w:id="15">
    <w:p w:rsidR="0055624A" w:rsidRPr="00001778" w:rsidRDefault="0055624A" w:rsidP="00001778">
      <w:pPr>
        <w:pStyle w:val="References"/>
      </w:pPr>
      <w:r>
        <w:rPr>
          <w:rStyle w:val="EndnoteReference"/>
        </w:rPr>
        <w:endnoteRef/>
      </w:r>
      <w:r>
        <w:t xml:space="preserve"> </w:t>
      </w:r>
      <w:proofErr w:type="spellStart"/>
      <w:r w:rsidRPr="00001778">
        <w:t>Aurell</w:t>
      </w:r>
      <w:proofErr w:type="spellEnd"/>
      <w:r w:rsidRPr="00001778">
        <w:t xml:space="preserve">, J., B.K. </w:t>
      </w:r>
      <w:proofErr w:type="spellStart"/>
      <w:r w:rsidRPr="00001778">
        <w:t>Gullett</w:t>
      </w:r>
      <w:proofErr w:type="spellEnd"/>
      <w:r w:rsidRPr="00001778">
        <w:t xml:space="preserve">, D. Tabor, et al. 2012. </w:t>
      </w:r>
      <w:proofErr w:type="spellStart"/>
      <w:r w:rsidRPr="00001778">
        <w:t>Semivolatile</w:t>
      </w:r>
      <w:proofErr w:type="spellEnd"/>
      <w:r w:rsidRPr="00001778">
        <w:t xml:space="preserve"> and Volatile Organic Compound Emissions from Wood-Fired Hydronic Heaters. Environmental Science and Technology, 46: 7898-7904.</w:t>
      </w:r>
    </w:p>
  </w:endnote>
  <w:endnote w:id="16">
    <w:p w:rsidR="0055624A" w:rsidRDefault="0055624A" w:rsidP="00270A32">
      <w:pPr>
        <w:pStyle w:val="References"/>
      </w:pPr>
      <w:r>
        <w:rPr>
          <w:rStyle w:val="EndnoteReference"/>
        </w:rPr>
        <w:endnoteRef/>
      </w:r>
      <w:r>
        <w:t xml:space="preserve"> U.S. Environmental Protection Agency. 2015. Regulatory Impact Analysis (RIA) for Residential Wood Heaters NPSP Revision. Final Report. Research Triangle Park, NC. </w:t>
      </w:r>
      <w:hyperlink r:id="rId8" w:history="1">
        <w:r>
          <w:rPr>
            <w:rStyle w:val="Hyperlink"/>
          </w:rPr>
          <w:t>https://www.epa.gov/sites/production/files/2015-02/documents/20150204-residential-wood-heaters-ria.pdf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563916"/>
      <w:docPartObj>
        <w:docPartGallery w:val="Page Numbers (Bottom of Page)"/>
        <w:docPartUnique/>
      </w:docPartObj>
    </w:sdtPr>
    <w:sdtEndPr>
      <w:rPr>
        <w:noProof/>
      </w:rPr>
    </w:sdtEndPr>
    <w:sdtContent>
      <w:p w:rsidR="0055624A" w:rsidRDefault="0055624A">
        <w:pPr>
          <w:pStyle w:val="Footer"/>
          <w:jc w:val="right"/>
        </w:pPr>
        <w:r>
          <w:fldChar w:fldCharType="begin"/>
        </w:r>
        <w:r>
          <w:instrText xml:space="preserve"> PAGE   \* MERGEFORMAT </w:instrText>
        </w:r>
        <w:r>
          <w:fldChar w:fldCharType="separate"/>
        </w:r>
        <w:r w:rsidR="00713EDE">
          <w:rPr>
            <w:noProof/>
          </w:rPr>
          <w:t>1</w:t>
        </w:r>
        <w:r>
          <w:rPr>
            <w:noProof/>
          </w:rPr>
          <w:fldChar w:fldCharType="end"/>
        </w:r>
      </w:p>
    </w:sdtContent>
  </w:sdt>
  <w:p w:rsidR="0055624A" w:rsidRDefault="00556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24A" w:rsidRDefault="0055624A" w:rsidP="005A2CA7">
      <w:r>
        <w:separator/>
      </w:r>
    </w:p>
  </w:footnote>
  <w:footnote w:type="continuationSeparator" w:id="0">
    <w:p w:rsidR="0055624A" w:rsidRDefault="0055624A" w:rsidP="005A2CA7">
      <w:r>
        <w:continuationSeparator/>
      </w:r>
    </w:p>
  </w:footnote>
  <w:footnote w:id="1">
    <w:p w:rsidR="0055624A" w:rsidRDefault="0055624A">
      <w:pPr>
        <w:pStyle w:val="FootnoteText"/>
      </w:pPr>
      <w:r>
        <w:rPr>
          <w:rStyle w:val="FootnoteReference"/>
        </w:rPr>
        <w:footnoteRef/>
      </w:r>
      <w:r>
        <w:t xml:space="preserve"> A 20-year-old appliance in the 2015 RECS would have been manufactured in 1995, which is after the 1988 NSPS for wood stoves. However, this is the oldest age bin in RECS. EPA lacks data on the fraction of appliances in this age bin that were manufacturer before or after 1988. Therefore EPA assumed that all appliances in this age bin were uncertified.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7076E"/>
    <w:multiLevelType w:val="hybridMultilevel"/>
    <w:tmpl w:val="BF22FE6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111FD"/>
    <w:multiLevelType w:val="hybridMultilevel"/>
    <w:tmpl w:val="9F062EC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EB6A6D"/>
    <w:multiLevelType w:val="hybridMultilevel"/>
    <w:tmpl w:val="E236B29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E5A4F"/>
    <w:multiLevelType w:val="hybridMultilevel"/>
    <w:tmpl w:val="C53AEDD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956B8"/>
    <w:multiLevelType w:val="hybridMultilevel"/>
    <w:tmpl w:val="AB3491D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242F8"/>
    <w:multiLevelType w:val="hybridMultilevel"/>
    <w:tmpl w:val="18561BF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21916"/>
    <w:multiLevelType w:val="hybridMultilevel"/>
    <w:tmpl w:val="0D3C131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923160"/>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6"/>
  </w:num>
  <w:num w:numId="4">
    <w:abstractNumId w:val="13"/>
  </w:num>
  <w:num w:numId="5">
    <w:abstractNumId w:val="2"/>
  </w:num>
  <w:num w:numId="6">
    <w:abstractNumId w:val="15"/>
  </w:num>
  <w:num w:numId="7">
    <w:abstractNumId w:val="22"/>
  </w:num>
  <w:num w:numId="8">
    <w:abstractNumId w:val="21"/>
  </w:num>
  <w:num w:numId="9">
    <w:abstractNumId w:val="16"/>
  </w:num>
  <w:num w:numId="10">
    <w:abstractNumId w:val="19"/>
  </w:num>
  <w:num w:numId="11">
    <w:abstractNumId w:val="12"/>
  </w:num>
  <w:num w:numId="12">
    <w:abstractNumId w:val="9"/>
  </w:num>
  <w:num w:numId="13">
    <w:abstractNumId w:val="4"/>
  </w:num>
  <w:num w:numId="14">
    <w:abstractNumId w:val="1"/>
  </w:num>
  <w:num w:numId="15">
    <w:abstractNumId w:val="20"/>
  </w:num>
  <w:num w:numId="16">
    <w:abstractNumId w:val="14"/>
  </w:num>
  <w:num w:numId="17">
    <w:abstractNumId w:val="0"/>
  </w:num>
  <w:num w:numId="18">
    <w:abstractNumId w:val="10"/>
  </w:num>
  <w:num w:numId="19">
    <w:abstractNumId w:val="5"/>
  </w:num>
  <w:num w:numId="20">
    <w:abstractNumId w:val="23"/>
  </w:num>
  <w:num w:numId="21">
    <w:abstractNumId w:val="7"/>
  </w:num>
  <w:num w:numId="22">
    <w:abstractNumId w:val="17"/>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numFmt w:val="chicago"/>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C7D"/>
    <w:rsid w:val="00001778"/>
    <w:rsid w:val="00010E6C"/>
    <w:rsid w:val="00016464"/>
    <w:rsid w:val="00024A94"/>
    <w:rsid w:val="0003373D"/>
    <w:rsid w:val="00052E59"/>
    <w:rsid w:val="00060A69"/>
    <w:rsid w:val="00061E65"/>
    <w:rsid w:val="00073181"/>
    <w:rsid w:val="00091662"/>
    <w:rsid w:val="0009348C"/>
    <w:rsid w:val="000C0667"/>
    <w:rsid w:val="00104C31"/>
    <w:rsid w:val="00157738"/>
    <w:rsid w:val="00186E1E"/>
    <w:rsid w:val="0019455E"/>
    <w:rsid w:val="001A09E7"/>
    <w:rsid w:val="001A19EB"/>
    <w:rsid w:val="001D6A38"/>
    <w:rsid w:val="002005B7"/>
    <w:rsid w:val="00205436"/>
    <w:rsid w:val="002375F1"/>
    <w:rsid w:val="00237836"/>
    <w:rsid w:val="00253B4A"/>
    <w:rsid w:val="00270A32"/>
    <w:rsid w:val="00273030"/>
    <w:rsid w:val="00292A0E"/>
    <w:rsid w:val="002958BB"/>
    <w:rsid w:val="002E5ADD"/>
    <w:rsid w:val="003165C3"/>
    <w:rsid w:val="003249A8"/>
    <w:rsid w:val="0033702E"/>
    <w:rsid w:val="00340DAC"/>
    <w:rsid w:val="003478A9"/>
    <w:rsid w:val="00350E60"/>
    <w:rsid w:val="00380A47"/>
    <w:rsid w:val="00387957"/>
    <w:rsid w:val="003933F5"/>
    <w:rsid w:val="003958CD"/>
    <w:rsid w:val="003D38C0"/>
    <w:rsid w:val="003D471D"/>
    <w:rsid w:val="003E35AF"/>
    <w:rsid w:val="003F3D3C"/>
    <w:rsid w:val="00402D36"/>
    <w:rsid w:val="004062A6"/>
    <w:rsid w:val="00406BB3"/>
    <w:rsid w:val="00433E3C"/>
    <w:rsid w:val="00441172"/>
    <w:rsid w:val="0044447B"/>
    <w:rsid w:val="00454AD5"/>
    <w:rsid w:val="004606B0"/>
    <w:rsid w:val="004A1B25"/>
    <w:rsid w:val="004B0DDF"/>
    <w:rsid w:val="004B6C45"/>
    <w:rsid w:val="004C7E55"/>
    <w:rsid w:val="004E1CBE"/>
    <w:rsid w:val="004E30F3"/>
    <w:rsid w:val="004E5DDA"/>
    <w:rsid w:val="00536553"/>
    <w:rsid w:val="0055624A"/>
    <w:rsid w:val="0056502F"/>
    <w:rsid w:val="00576E8A"/>
    <w:rsid w:val="00582256"/>
    <w:rsid w:val="005A2CA7"/>
    <w:rsid w:val="00602AE8"/>
    <w:rsid w:val="00624C7F"/>
    <w:rsid w:val="00641FAE"/>
    <w:rsid w:val="00646D28"/>
    <w:rsid w:val="00667D18"/>
    <w:rsid w:val="00676FE8"/>
    <w:rsid w:val="00680037"/>
    <w:rsid w:val="00697D2A"/>
    <w:rsid w:val="006B3338"/>
    <w:rsid w:val="006B610C"/>
    <w:rsid w:val="006F5441"/>
    <w:rsid w:val="006F78D8"/>
    <w:rsid w:val="00705DD0"/>
    <w:rsid w:val="00705E1F"/>
    <w:rsid w:val="0071346C"/>
    <w:rsid w:val="00713EDE"/>
    <w:rsid w:val="00715C4E"/>
    <w:rsid w:val="0075019B"/>
    <w:rsid w:val="00752E68"/>
    <w:rsid w:val="007614AA"/>
    <w:rsid w:val="007660D8"/>
    <w:rsid w:val="00770E9B"/>
    <w:rsid w:val="00780F50"/>
    <w:rsid w:val="007C3960"/>
    <w:rsid w:val="007D6365"/>
    <w:rsid w:val="007E28CD"/>
    <w:rsid w:val="007F2357"/>
    <w:rsid w:val="007F53C1"/>
    <w:rsid w:val="00801C17"/>
    <w:rsid w:val="00822C7D"/>
    <w:rsid w:val="00824E07"/>
    <w:rsid w:val="00837710"/>
    <w:rsid w:val="00873FFC"/>
    <w:rsid w:val="008810A9"/>
    <w:rsid w:val="008A5821"/>
    <w:rsid w:val="008B5CC4"/>
    <w:rsid w:val="008C6B85"/>
    <w:rsid w:val="008E1A37"/>
    <w:rsid w:val="008E2445"/>
    <w:rsid w:val="00944444"/>
    <w:rsid w:val="00955CCF"/>
    <w:rsid w:val="0097139E"/>
    <w:rsid w:val="0097551A"/>
    <w:rsid w:val="00986448"/>
    <w:rsid w:val="009C0F97"/>
    <w:rsid w:val="009C54F9"/>
    <w:rsid w:val="009D22C4"/>
    <w:rsid w:val="009F5C98"/>
    <w:rsid w:val="00A254EC"/>
    <w:rsid w:val="00A329DA"/>
    <w:rsid w:val="00A40820"/>
    <w:rsid w:val="00A4319E"/>
    <w:rsid w:val="00A54167"/>
    <w:rsid w:val="00A6061A"/>
    <w:rsid w:val="00A82E16"/>
    <w:rsid w:val="00A84DAA"/>
    <w:rsid w:val="00AA771E"/>
    <w:rsid w:val="00AB23B5"/>
    <w:rsid w:val="00AD70B8"/>
    <w:rsid w:val="00AE30FA"/>
    <w:rsid w:val="00AE6CC9"/>
    <w:rsid w:val="00AF1787"/>
    <w:rsid w:val="00B1049C"/>
    <w:rsid w:val="00B16251"/>
    <w:rsid w:val="00B24CB0"/>
    <w:rsid w:val="00B259AF"/>
    <w:rsid w:val="00B302A4"/>
    <w:rsid w:val="00B32469"/>
    <w:rsid w:val="00B97E6E"/>
    <w:rsid w:val="00BA2DD8"/>
    <w:rsid w:val="00BB33FE"/>
    <w:rsid w:val="00BC47F1"/>
    <w:rsid w:val="00BD21A4"/>
    <w:rsid w:val="00BD61EA"/>
    <w:rsid w:val="00BD74B5"/>
    <w:rsid w:val="00BE0480"/>
    <w:rsid w:val="00C2093D"/>
    <w:rsid w:val="00C81E2C"/>
    <w:rsid w:val="00C900AF"/>
    <w:rsid w:val="00CA6FB5"/>
    <w:rsid w:val="00CA76F8"/>
    <w:rsid w:val="00CA7B18"/>
    <w:rsid w:val="00CE3714"/>
    <w:rsid w:val="00D05698"/>
    <w:rsid w:val="00D22D32"/>
    <w:rsid w:val="00D360C1"/>
    <w:rsid w:val="00D74764"/>
    <w:rsid w:val="00DA1272"/>
    <w:rsid w:val="00DD3546"/>
    <w:rsid w:val="00DF0B38"/>
    <w:rsid w:val="00E10956"/>
    <w:rsid w:val="00E12236"/>
    <w:rsid w:val="00E2434E"/>
    <w:rsid w:val="00E267BB"/>
    <w:rsid w:val="00E438D7"/>
    <w:rsid w:val="00E576D3"/>
    <w:rsid w:val="00E61A28"/>
    <w:rsid w:val="00E7492B"/>
    <w:rsid w:val="00E84363"/>
    <w:rsid w:val="00E900F8"/>
    <w:rsid w:val="00E91F7F"/>
    <w:rsid w:val="00E95198"/>
    <w:rsid w:val="00EB6F3D"/>
    <w:rsid w:val="00EC0C41"/>
    <w:rsid w:val="00ED0BEB"/>
    <w:rsid w:val="00ED598D"/>
    <w:rsid w:val="00EE0E08"/>
    <w:rsid w:val="00EE7CB6"/>
    <w:rsid w:val="00EF2C9A"/>
    <w:rsid w:val="00EF4865"/>
    <w:rsid w:val="00F03290"/>
    <w:rsid w:val="00F1596A"/>
    <w:rsid w:val="00F33727"/>
    <w:rsid w:val="00F33E46"/>
    <w:rsid w:val="00F71199"/>
    <w:rsid w:val="00FA6A41"/>
    <w:rsid w:val="00FB02D3"/>
    <w:rsid w:val="00FD18D9"/>
    <w:rsid w:val="00FE02FD"/>
    <w:rsid w:val="00FE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44355-F4B2-479A-AC3E-B4E993BF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BodyText">
    <w:name w:val="Body Text"/>
    <w:basedOn w:val="Normal"/>
    <w:link w:val="BodyTextChar"/>
    <w:uiPriority w:val="99"/>
    <w:unhideWhenUsed/>
    <w:rsid w:val="004B6C45"/>
    <w:pPr>
      <w:widowControl/>
      <w:autoSpaceDE/>
      <w:autoSpaceDN/>
      <w:adjustRightInd/>
      <w:spacing w:after="120" w:line="276" w:lineRule="auto"/>
    </w:pPr>
    <w:rPr>
      <w:sz w:val="22"/>
    </w:rPr>
  </w:style>
  <w:style w:type="character" w:customStyle="1" w:styleId="BodyTextChar">
    <w:name w:val="Body Text Char"/>
    <w:basedOn w:val="DefaultParagraphFont"/>
    <w:link w:val="BodyText"/>
    <w:uiPriority w:val="99"/>
    <w:rsid w:val="004B6C45"/>
    <w:rPr>
      <w:rFonts w:ascii="Times New Roman" w:eastAsia="Times New Roman" w:hAnsi="Times New Roman" w:cs="Times New Roman"/>
      <w:szCs w:val="24"/>
    </w:rPr>
  </w:style>
  <w:style w:type="paragraph" w:customStyle="1" w:styleId="xl66">
    <w:name w:val="xl66"/>
    <w:basedOn w:val="Normal"/>
    <w:rsid w:val="00001778"/>
    <w:pPr>
      <w:widowControl/>
      <w:pBdr>
        <w:top w:val="single" w:sz="4" w:space="0" w:color="000000"/>
        <w:left w:val="single" w:sz="4" w:space="0" w:color="000000"/>
        <w:bottom w:val="single" w:sz="4" w:space="0" w:color="000000"/>
        <w:right w:val="single" w:sz="4" w:space="0" w:color="000000"/>
      </w:pBdr>
      <w:shd w:val="clear" w:color="000000" w:fill="C0C0C0"/>
      <w:autoSpaceDE/>
      <w:autoSpaceDN/>
      <w:adjustRightInd/>
      <w:spacing w:before="100" w:beforeAutospacing="1" w:after="100" w:afterAutospacing="1"/>
      <w:jc w:val="center"/>
    </w:pPr>
    <w:rPr>
      <w:color w:val="000000"/>
      <w:sz w:val="24"/>
    </w:rPr>
  </w:style>
  <w:style w:type="paragraph" w:customStyle="1" w:styleId="xl67">
    <w:name w:val="xl67"/>
    <w:basedOn w:val="Normal"/>
    <w:rsid w:val="00001778"/>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pPr>
    <w:rPr>
      <w:color w:val="000000"/>
      <w:sz w:val="24"/>
    </w:rPr>
  </w:style>
  <w:style w:type="paragraph" w:customStyle="1" w:styleId="xl68">
    <w:name w:val="xl68"/>
    <w:basedOn w:val="Normal"/>
    <w:rsid w:val="00001778"/>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right"/>
    </w:pPr>
    <w:rPr>
      <w:color w:val="000000"/>
      <w:sz w:val="24"/>
    </w:rPr>
  </w:style>
  <w:style w:type="paragraph" w:styleId="Header">
    <w:name w:val="header"/>
    <w:basedOn w:val="Normal"/>
    <w:link w:val="HeaderChar"/>
    <w:uiPriority w:val="99"/>
    <w:unhideWhenUsed/>
    <w:rsid w:val="00F03290"/>
    <w:pPr>
      <w:tabs>
        <w:tab w:val="center" w:pos="4680"/>
        <w:tab w:val="right" w:pos="9360"/>
      </w:tabs>
      <w:spacing w:after="0"/>
    </w:pPr>
  </w:style>
  <w:style w:type="character" w:customStyle="1" w:styleId="HeaderChar">
    <w:name w:val="Header Char"/>
    <w:basedOn w:val="DefaultParagraphFont"/>
    <w:link w:val="Header"/>
    <w:uiPriority w:val="99"/>
    <w:rsid w:val="00F0329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3191">
      <w:bodyDiv w:val="1"/>
      <w:marLeft w:val="0"/>
      <w:marRight w:val="0"/>
      <w:marTop w:val="0"/>
      <w:marBottom w:val="0"/>
      <w:divBdr>
        <w:top w:val="none" w:sz="0" w:space="0" w:color="auto"/>
        <w:left w:val="none" w:sz="0" w:space="0" w:color="auto"/>
        <w:bottom w:val="none" w:sz="0" w:space="0" w:color="auto"/>
        <w:right w:val="none" w:sz="0" w:space="0" w:color="auto"/>
      </w:divBdr>
    </w:div>
    <w:div w:id="136411533">
      <w:bodyDiv w:val="1"/>
      <w:marLeft w:val="0"/>
      <w:marRight w:val="0"/>
      <w:marTop w:val="0"/>
      <w:marBottom w:val="0"/>
      <w:divBdr>
        <w:top w:val="none" w:sz="0" w:space="0" w:color="auto"/>
        <w:left w:val="none" w:sz="0" w:space="0" w:color="auto"/>
        <w:bottom w:val="none" w:sz="0" w:space="0" w:color="auto"/>
        <w:right w:val="none" w:sz="0" w:space="0" w:color="auto"/>
      </w:divBdr>
    </w:div>
    <w:div w:id="138769874">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67450355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783502542">
      <w:bodyDiv w:val="1"/>
      <w:marLeft w:val="0"/>
      <w:marRight w:val="0"/>
      <w:marTop w:val="0"/>
      <w:marBottom w:val="0"/>
      <w:divBdr>
        <w:top w:val="none" w:sz="0" w:space="0" w:color="auto"/>
        <w:left w:val="none" w:sz="0" w:space="0" w:color="auto"/>
        <w:bottom w:val="none" w:sz="0" w:space="0" w:color="auto"/>
        <w:right w:val="none" w:sz="0" w:space="0" w:color="auto"/>
      </w:divBdr>
    </w:div>
    <w:div w:id="857084914">
      <w:bodyDiv w:val="1"/>
      <w:marLeft w:val="0"/>
      <w:marRight w:val="0"/>
      <w:marTop w:val="0"/>
      <w:marBottom w:val="0"/>
      <w:divBdr>
        <w:top w:val="none" w:sz="0" w:space="0" w:color="auto"/>
        <w:left w:val="none" w:sz="0" w:space="0" w:color="auto"/>
        <w:bottom w:val="none" w:sz="0" w:space="0" w:color="auto"/>
        <w:right w:val="none" w:sz="0" w:space="0" w:color="auto"/>
      </w:divBdr>
    </w:div>
    <w:div w:id="1032923323">
      <w:bodyDiv w:val="1"/>
      <w:marLeft w:val="0"/>
      <w:marRight w:val="0"/>
      <w:marTop w:val="0"/>
      <w:marBottom w:val="0"/>
      <w:divBdr>
        <w:top w:val="none" w:sz="0" w:space="0" w:color="auto"/>
        <w:left w:val="none" w:sz="0" w:space="0" w:color="auto"/>
        <w:bottom w:val="none" w:sz="0" w:space="0" w:color="auto"/>
        <w:right w:val="none" w:sz="0" w:space="0" w:color="auto"/>
      </w:divBdr>
    </w:div>
    <w:div w:id="1089548016">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294411979">
      <w:bodyDiv w:val="1"/>
      <w:marLeft w:val="0"/>
      <w:marRight w:val="0"/>
      <w:marTop w:val="0"/>
      <w:marBottom w:val="0"/>
      <w:divBdr>
        <w:top w:val="none" w:sz="0" w:space="0" w:color="auto"/>
        <w:left w:val="none" w:sz="0" w:space="0" w:color="auto"/>
        <w:bottom w:val="none" w:sz="0" w:space="0" w:color="auto"/>
        <w:right w:val="none" w:sz="0" w:space="0" w:color="auto"/>
      </w:divBdr>
    </w:div>
    <w:div w:id="1388842499">
      <w:bodyDiv w:val="1"/>
      <w:marLeft w:val="0"/>
      <w:marRight w:val="0"/>
      <w:marTop w:val="0"/>
      <w:marBottom w:val="0"/>
      <w:divBdr>
        <w:top w:val="none" w:sz="0" w:space="0" w:color="auto"/>
        <w:left w:val="none" w:sz="0" w:space="0" w:color="auto"/>
        <w:bottom w:val="none" w:sz="0" w:space="0" w:color="auto"/>
        <w:right w:val="none" w:sz="0" w:space="0" w:color="auto"/>
      </w:divBdr>
    </w:div>
    <w:div w:id="1410232149">
      <w:bodyDiv w:val="1"/>
      <w:marLeft w:val="0"/>
      <w:marRight w:val="0"/>
      <w:marTop w:val="0"/>
      <w:marBottom w:val="0"/>
      <w:divBdr>
        <w:top w:val="none" w:sz="0" w:space="0" w:color="auto"/>
        <w:left w:val="none" w:sz="0" w:space="0" w:color="auto"/>
        <w:bottom w:val="none" w:sz="0" w:space="0" w:color="auto"/>
        <w:right w:val="none" w:sz="0" w:space="0" w:color="auto"/>
      </w:divBdr>
    </w:div>
    <w:div w:id="1436360976">
      <w:bodyDiv w:val="1"/>
      <w:marLeft w:val="0"/>
      <w:marRight w:val="0"/>
      <w:marTop w:val="0"/>
      <w:marBottom w:val="0"/>
      <w:divBdr>
        <w:top w:val="none" w:sz="0" w:space="0" w:color="auto"/>
        <w:left w:val="none" w:sz="0" w:space="0" w:color="auto"/>
        <w:bottom w:val="none" w:sz="0" w:space="0" w:color="auto"/>
        <w:right w:val="none" w:sz="0" w:space="0" w:color="auto"/>
      </w:divBdr>
    </w:div>
    <w:div w:id="20497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epa.gov/sites/production/files/2015-02/documents/20150204-residential-wood-heaters-ria.pdf" TargetMode="External"/><Relationship Id="rId3" Type="http://schemas.openxmlformats.org/officeDocument/2006/relationships/hyperlink" Target="https://www.census.gov/programs-surveys/popest/data/data-sets.2017.html" TargetMode="External"/><Relationship Id="rId7" Type="http://schemas.openxmlformats.org/officeDocument/2006/relationships/hyperlink" Target="https://www.eia.gov/state/seds/" TargetMode="External"/><Relationship Id="rId2" Type="http://schemas.openxmlformats.org/officeDocument/2006/relationships/hyperlink" Target="https://www.cpc.ncep.noaa.gov/products/analysis_monitoring/cdus/degree_days/" TargetMode="External"/><Relationship Id="rId1" Type="http://schemas.openxmlformats.org/officeDocument/2006/relationships/hyperlink" Target="https://www.fs.usda.gov/srsfia/php/tpo_2009/tpo_rpa_int1.php" TargetMode="External"/><Relationship Id="rId6" Type="http://schemas.openxmlformats.org/officeDocument/2006/relationships/hyperlink" Target="https://www.census.gov/programs-surveys/acs" TargetMode="External"/><Relationship Id="rId5" Type="http://schemas.openxmlformats.org/officeDocument/2006/relationships/hyperlink" Target="https://www.epa.gov/air-emissions-modeling/biogenic-emission-sources" TargetMode="External"/><Relationship Id="rId4" Type="http://schemas.openxmlformats.org/officeDocument/2006/relationships/hyperlink" Target="https://www.census.gov/programs-surveys/geography/guidance/geo-areas/urban-rur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rfile01\dur1-vol2\Common\ERD\NEI\2017\Documentation\Template%20NEMO%202017%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2.xml><?xml version="1.0" encoding="utf-8"?>
<ds:datastoreItem xmlns:ds="http://schemas.openxmlformats.org/officeDocument/2006/customXml" ds:itemID="{8320840A-CB90-4B4C-BB34-4F22FEDE088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B8EFECE9-230E-4E42-8B13-10CA44E97F78}"/>
</file>

<file path=customXml/itemProps4.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5.xml><?xml version="1.0" encoding="utf-8"?>
<ds:datastoreItem xmlns:ds="http://schemas.openxmlformats.org/officeDocument/2006/customXml" ds:itemID="{A7EAF4A2-0DF8-4B59-8F94-F1C39859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NEMO 2017 DRAFT</Template>
  <TotalTime>344</TotalTime>
  <Pages>21</Pages>
  <Words>8982</Words>
  <Characters>51202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Cooley</dc:creator>
  <cp:lastModifiedBy>David Cooley</cp:lastModifiedBy>
  <cp:revision>11</cp:revision>
  <dcterms:created xsi:type="dcterms:W3CDTF">2019-06-13T01:16:00Z</dcterms:created>
  <dcterms:modified xsi:type="dcterms:W3CDTF">2019-06-14T20:36:00Z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