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D0B01" w14:textId="2DF2DE99" w:rsidR="00D360C1" w:rsidRPr="00A6061A" w:rsidRDefault="00274DC7" w:rsidP="00387957">
      <w:pPr>
        <w:pStyle w:val="Title"/>
      </w:pPr>
      <w:r>
        <w:t xml:space="preserve">Construction Dust – </w:t>
      </w:r>
      <w:r w:rsidR="00D63432">
        <w:t>road construction</w:t>
      </w:r>
    </w:p>
    <w:p w14:paraId="7B5C1AD9" w14:textId="77777777" w:rsidR="00D360C1" w:rsidRPr="00886F17" w:rsidRDefault="00D360C1" w:rsidP="00387957">
      <w:pPr>
        <w:pStyle w:val="Heading1"/>
      </w:pPr>
      <w:r w:rsidRPr="00886F17">
        <w:t>Source Category Description</w:t>
      </w:r>
    </w:p>
    <w:p w14:paraId="177EEFD8" w14:textId="7C0D2BD5" w:rsidR="00D360C1" w:rsidRDefault="007028D8" w:rsidP="00D360C1">
      <w:pPr>
        <w:widowControl/>
        <w:tabs>
          <w:tab w:val="left" w:pos="0"/>
        </w:tabs>
        <w:rPr>
          <w:szCs w:val="20"/>
        </w:rPr>
      </w:pPr>
      <w:r>
        <w:rPr>
          <w:szCs w:val="20"/>
        </w:rPr>
        <w:t>Emissions from this source category include dust emissions from r</w:t>
      </w:r>
      <w:r w:rsidR="00D63432">
        <w:rPr>
          <w:szCs w:val="20"/>
        </w:rPr>
        <w:t>oad construction</w:t>
      </w:r>
      <w:r>
        <w:rPr>
          <w:szCs w:val="20"/>
        </w:rPr>
        <w:t>.</w:t>
      </w:r>
      <w:r w:rsidR="00D360C1">
        <w:rPr>
          <w:szCs w:val="20"/>
        </w:rPr>
        <w:t xml:space="preserve"> </w:t>
      </w:r>
      <w:r w:rsidR="002958BB">
        <w:rPr>
          <w:szCs w:val="20"/>
        </w:rPr>
        <w:t xml:space="preserve">Estimates of emissions of </w:t>
      </w:r>
      <w:r>
        <w:rPr>
          <w:szCs w:val="20"/>
        </w:rPr>
        <w:t xml:space="preserve">particulate matter less than 10 µm in diameter (PM10) and less than 2.5 µm in diameter (PM25) from road construction are based on the acreage disturbed for construction activities. </w:t>
      </w:r>
      <w:r w:rsidR="001A09E7">
        <w:rPr>
          <w:szCs w:val="20"/>
        </w:rPr>
        <w:t>I</w:t>
      </w:r>
      <w:r>
        <w:rPr>
          <w:szCs w:val="20"/>
        </w:rPr>
        <w:t>n 2014, road constructi</w:t>
      </w:r>
      <w:r w:rsidR="00805C15">
        <w:rPr>
          <w:szCs w:val="20"/>
        </w:rPr>
        <w:t>on</w:t>
      </w:r>
      <w:r w:rsidR="00706D0B">
        <w:rPr>
          <w:szCs w:val="20"/>
        </w:rPr>
        <w:t xml:space="preserve"> in the US, Puerto Rico and US Virgin Islands</w:t>
      </w:r>
      <w:r w:rsidR="00805C15">
        <w:rPr>
          <w:szCs w:val="20"/>
        </w:rPr>
        <w:t xml:space="preserve"> resulted in approximately </w:t>
      </w:r>
      <w:r w:rsidR="00193853">
        <w:rPr>
          <w:szCs w:val="20"/>
        </w:rPr>
        <w:t>112</w:t>
      </w:r>
      <w:r w:rsidR="00805C15">
        <w:rPr>
          <w:szCs w:val="20"/>
        </w:rPr>
        <w:t>,</w:t>
      </w:r>
      <w:r w:rsidR="00193853">
        <w:rPr>
          <w:szCs w:val="20"/>
        </w:rPr>
        <w:t>279</w:t>
      </w:r>
      <w:r w:rsidR="00805C15">
        <w:rPr>
          <w:szCs w:val="20"/>
        </w:rPr>
        <w:t xml:space="preserve"> </w:t>
      </w:r>
      <w:r w:rsidR="001A09E7">
        <w:rPr>
          <w:szCs w:val="20"/>
        </w:rPr>
        <w:t xml:space="preserve">tons of </w:t>
      </w:r>
      <w:r>
        <w:rPr>
          <w:szCs w:val="20"/>
        </w:rPr>
        <w:t>PM10</w:t>
      </w:r>
      <w:r w:rsidR="00805C15">
        <w:rPr>
          <w:szCs w:val="20"/>
        </w:rPr>
        <w:t xml:space="preserve">-PRI and </w:t>
      </w:r>
      <w:r w:rsidR="00193853">
        <w:rPr>
          <w:szCs w:val="20"/>
        </w:rPr>
        <w:t>11</w:t>
      </w:r>
      <w:r w:rsidR="00805C15">
        <w:rPr>
          <w:szCs w:val="20"/>
        </w:rPr>
        <w:t>,</w:t>
      </w:r>
      <w:r w:rsidR="00193853">
        <w:rPr>
          <w:szCs w:val="20"/>
        </w:rPr>
        <w:t>228</w:t>
      </w:r>
      <w:r w:rsidR="001A09E7">
        <w:rPr>
          <w:szCs w:val="20"/>
        </w:rPr>
        <w:t xml:space="preserve"> tons of </w:t>
      </w:r>
      <w:r>
        <w:rPr>
          <w:szCs w:val="20"/>
        </w:rPr>
        <w:t>PM25</w:t>
      </w:r>
      <w:r w:rsidR="00805C15">
        <w:rPr>
          <w:szCs w:val="20"/>
        </w:rPr>
        <w:t>-PRI</w:t>
      </w:r>
      <w:r w:rsidR="001A09E7">
        <w:rPr>
          <w:szCs w:val="20"/>
        </w:rPr>
        <w:t xml:space="preserve"> emissions.</w:t>
      </w:r>
    </w:p>
    <w:p w14:paraId="7BC3F26E" w14:textId="306B1138" w:rsidR="00D360C1" w:rsidRPr="003E3AC3" w:rsidRDefault="00D360C1" w:rsidP="00D360C1">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8566"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1872"/>
        <w:gridCol w:w="2304"/>
        <w:gridCol w:w="1872"/>
        <w:gridCol w:w="1296"/>
      </w:tblGrid>
      <w:tr w:rsidR="00D360C1" w:rsidRPr="003E3AC3" w14:paraId="4D8BCE6B" w14:textId="77777777" w:rsidTr="00274DC7">
        <w:trPr>
          <w:trHeight w:val="265"/>
          <w:jc w:val="center"/>
        </w:trPr>
        <w:tc>
          <w:tcPr>
            <w:tcW w:w="1222" w:type="dxa"/>
            <w:shd w:val="clear" w:color="auto" w:fill="D9D9D9"/>
            <w:noWrap/>
          </w:tcPr>
          <w:p w14:paraId="2738524F" w14:textId="77777777" w:rsidR="00D360C1" w:rsidRPr="003E3AC3" w:rsidRDefault="00D360C1" w:rsidP="00052E59">
            <w:pPr>
              <w:widowControl/>
              <w:tabs>
                <w:tab w:val="left" w:pos="0"/>
              </w:tabs>
              <w:spacing w:after="0"/>
              <w:rPr>
                <w:b/>
                <w:bCs/>
                <w:szCs w:val="20"/>
              </w:rPr>
            </w:pPr>
            <w:r w:rsidRPr="003E3AC3">
              <w:rPr>
                <w:b/>
                <w:bCs/>
                <w:szCs w:val="20"/>
              </w:rPr>
              <w:t>SCC</w:t>
            </w:r>
          </w:p>
        </w:tc>
        <w:tc>
          <w:tcPr>
            <w:tcW w:w="1872" w:type="dxa"/>
            <w:shd w:val="clear" w:color="auto" w:fill="D9D9D9"/>
            <w:noWrap/>
          </w:tcPr>
          <w:p w14:paraId="36BA6D5A" w14:textId="77777777" w:rsidR="00D360C1" w:rsidRPr="003E3AC3" w:rsidRDefault="00D360C1" w:rsidP="00052E59">
            <w:pPr>
              <w:widowControl/>
              <w:tabs>
                <w:tab w:val="left" w:pos="0"/>
              </w:tabs>
              <w:spacing w:after="0"/>
              <w:rPr>
                <w:b/>
                <w:bCs/>
                <w:szCs w:val="20"/>
              </w:rPr>
            </w:pPr>
            <w:r w:rsidRPr="003E3AC3">
              <w:rPr>
                <w:b/>
                <w:bCs/>
                <w:szCs w:val="20"/>
              </w:rPr>
              <w:t>SCC Level 1</w:t>
            </w:r>
          </w:p>
        </w:tc>
        <w:tc>
          <w:tcPr>
            <w:tcW w:w="2304" w:type="dxa"/>
            <w:shd w:val="clear" w:color="auto" w:fill="D9D9D9"/>
            <w:noWrap/>
          </w:tcPr>
          <w:p w14:paraId="2901E891" w14:textId="77777777" w:rsidR="00D360C1" w:rsidRPr="003E3AC3" w:rsidRDefault="00D360C1" w:rsidP="00052E59">
            <w:pPr>
              <w:widowControl/>
              <w:tabs>
                <w:tab w:val="left" w:pos="0"/>
              </w:tabs>
              <w:spacing w:after="0"/>
              <w:rPr>
                <w:b/>
                <w:bCs/>
                <w:szCs w:val="20"/>
              </w:rPr>
            </w:pPr>
            <w:r w:rsidRPr="003E3AC3">
              <w:rPr>
                <w:b/>
                <w:bCs/>
                <w:szCs w:val="20"/>
              </w:rPr>
              <w:t>SCC Level 2</w:t>
            </w:r>
          </w:p>
        </w:tc>
        <w:tc>
          <w:tcPr>
            <w:tcW w:w="1872" w:type="dxa"/>
            <w:shd w:val="clear" w:color="auto" w:fill="D9D9D9"/>
            <w:noWrap/>
          </w:tcPr>
          <w:p w14:paraId="4943D878" w14:textId="77777777" w:rsidR="00D360C1" w:rsidRPr="003E3AC3" w:rsidRDefault="00D360C1" w:rsidP="00052E59">
            <w:pPr>
              <w:widowControl/>
              <w:tabs>
                <w:tab w:val="left" w:pos="0"/>
              </w:tabs>
              <w:spacing w:after="0"/>
              <w:rPr>
                <w:b/>
                <w:bCs/>
                <w:szCs w:val="20"/>
              </w:rPr>
            </w:pPr>
            <w:r w:rsidRPr="003E3AC3">
              <w:rPr>
                <w:b/>
                <w:bCs/>
                <w:szCs w:val="20"/>
              </w:rPr>
              <w:t>SCC Level 3</w:t>
            </w:r>
          </w:p>
        </w:tc>
        <w:tc>
          <w:tcPr>
            <w:tcW w:w="1296" w:type="dxa"/>
            <w:shd w:val="clear" w:color="auto" w:fill="D9D9D9"/>
            <w:noWrap/>
          </w:tcPr>
          <w:p w14:paraId="4AD44C9C" w14:textId="77777777" w:rsidR="00D360C1" w:rsidRPr="003E3AC3" w:rsidRDefault="00D360C1" w:rsidP="00052E59">
            <w:pPr>
              <w:widowControl/>
              <w:tabs>
                <w:tab w:val="left" w:pos="0"/>
              </w:tabs>
              <w:spacing w:after="0"/>
              <w:rPr>
                <w:b/>
                <w:bCs/>
                <w:szCs w:val="20"/>
              </w:rPr>
            </w:pPr>
            <w:r w:rsidRPr="003E3AC3">
              <w:rPr>
                <w:b/>
                <w:bCs/>
                <w:szCs w:val="20"/>
              </w:rPr>
              <w:t>SCC Level 4</w:t>
            </w:r>
          </w:p>
        </w:tc>
      </w:tr>
      <w:tr w:rsidR="007028D8" w:rsidRPr="003E3AC3" w14:paraId="46135A5B" w14:textId="77777777" w:rsidTr="00274DC7">
        <w:trPr>
          <w:trHeight w:val="404"/>
          <w:jc w:val="center"/>
        </w:trPr>
        <w:tc>
          <w:tcPr>
            <w:tcW w:w="1222" w:type="dxa"/>
            <w:vAlign w:val="center"/>
          </w:tcPr>
          <w:p w14:paraId="077ABF3C" w14:textId="5B72444A" w:rsidR="007028D8" w:rsidRPr="003733A0" w:rsidRDefault="007028D8" w:rsidP="00052E59">
            <w:pPr>
              <w:spacing w:after="0"/>
              <w:rPr>
                <w:szCs w:val="20"/>
              </w:rPr>
            </w:pPr>
            <w:r w:rsidRPr="003C6C99">
              <w:rPr>
                <w:szCs w:val="20"/>
              </w:rPr>
              <w:t>2311030000</w:t>
            </w:r>
          </w:p>
        </w:tc>
        <w:tc>
          <w:tcPr>
            <w:tcW w:w="1872" w:type="dxa"/>
            <w:vAlign w:val="center"/>
          </w:tcPr>
          <w:p w14:paraId="0B07048B" w14:textId="6740698A" w:rsidR="007028D8" w:rsidRPr="003733A0" w:rsidRDefault="007028D8" w:rsidP="00052E59">
            <w:pPr>
              <w:spacing w:after="0"/>
              <w:rPr>
                <w:szCs w:val="20"/>
              </w:rPr>
            </w:pPr>
            <w:r w:rsidRPr="003C6C99">
              <w:rPr>
                <w:szCs w:val="20"/>
              </w:rPr>
              <w:t>Industrial Processes</w:t>
            </w:r>
          </w:p>
        </w:tc>
        <w:tc>
          <w:tcPr>
            <w:tcW w:w="2304" w:type="dxa"/>
            <w:vAlign w:val="center"/>
          </w:tcPr>
          <w:p w14:paraId="2745EE43" w14:textId="6805ACAB" w:rsidR="007028D8" w:rsidRPr="003733A0" w:rsidRDefault="007028D8" w:rsidP="00052E59">
            <w:pPr>
              <w:spacing w:after="0"/>
              <w:rPr>
                <w:szCs w:val="20"/>
              </w:rPr>
            </w:pPr>
            <w:r w:rsidRPr="003C6C99">
              <w:rPr>
                <w:szCs w:val="20"/>
              </w:rPr>
              <w:t>Construction: SIC 15 - 17</w:t>
            </w:r>
          </w:p>
        </w:tc>
        <w:tc>
          <w:tcPr>
            <w:tcW w:w="1872" w:type="dxa"/>
            <w:vAlign w:val="center"/>
          </w:tcPr>
          <w:p w14:paraId="40D248CC" w14:textId="615D6FD6" w:rsidR="007028D8" w:rsidRPr="003733A0" w:rsidRDefault="007028D8" w:rsidP="00052E59">
            <w:pPr>
              <w:spacing w:after="0"/>
              <w:rPr>
                <w:color w:val="000000"/>
                <w:szCs w:val="20"/>
              </w:rPr>
            </w:pPr>
            <w:r w:rsidRPr="003C6C99">
              <w:rPr>
                <w:szCs w:val="20"/>
              </w:rPr>
              <w:t>Road Construction</w:t>
            </w:r>
          </w:p>
        </w:tc>
        <w:tc>
          <w:tcPr>
            <w:tcW w:w="1296" w:type="dxa"/>
            <w:vAlign w:val="center"/>
          </w:tcPr>
          <w:p w14:paraId="5E3F8663" w14:textId="65073BE4" w:rsidR="007028D8" w:rsidRPr="003733A0" w:rsidRDefault="007028D8" w:rsidP="00052E59">
            <w:pPr>
              <w:spacing w:after="0"/>
              <w:rPr>
                <w:color w:val="000000"/>
                <w:szCs w:val="20"/>
              </w:rPr>
            </w:pPr>
            <w:r w:rsidRPr="003C6C99">
              <w:rPr>
                <w:szCs w:val="20"/>
              </w:rPr>
              <w:t>Total</w:t>
            </w:r>
          </w:p>
        </w:tc>
      </w:tr>
    </w:tbl>
    <w:p w14:paraId="6F7E3F74" w14:textId="77777777" w:rsidR="004E1CBE" w:rsidRDefault="004E1CBE" w:rsidP="00D360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36EA975F" w14:textId="77777777" w:rsidR="00D360C1" w:rsidRDefault="00D360C1" w:rsidP="00052E59">
      <w:pPr>
        <w:pStyle w:val="Heading1"/>
      </w:pPr>
      <w:r w:rsidRPr="00052E59">
        <w:t>Overview</w:t>
      </w:r>
      <w:r>
        <w:t xml:space="preserve"> of Calculations</w:t>
      </w:r>
    </w:p>
    <w:p w14:paraId="60BDF2C6" w14:textId="7E8A349C" w:rsidR="002958BB" w:rsidRPr="002958BB" w:rsidRDefault="00D360C1" w:rsidP="00D360C1">
      <w:pPr>
        <w:widowControl/>
        <w:tabs>
          <w:tab w:val="left" w:pos="0"/>
        </w:tabs>
        <w:rPr>
          <w:szCs w:val="20"/>
        </w:rPr>
      </w:pPr>
      <w:r>
        <w:rPr>
          <w:szCs w:val="20"/>
        </w:rPr>
        <w:t xml:space="preserve">The calculations for </w:t>
      </w:r>
      <w:r w:rsidR="00BE0480">
        <w:rPr>
          <w:szCs w:val="20"/>
        </w:rPr>
        <w:t xml:space="preserve">estimating </w:t>
      </w:r>
      <w:r>
        <w:rPr>
          <w:szCs w:val="20"/>
        </w:rPr>
        <w:t xml:space="preserve">the emissions from </w:t>
      </w:r>
      <w:r w:rsidR="007028D8">
        <w:rPr>
          <w:szCs w:val="20"/>
        </w:rPr>
        <w:t>road construction</w:t>
      </w:r>
      <w:r>
        <w:rPr>
          <w:szCs w:val="20"/>
        </w:rPr>
        <w:t xml:space="preserve"> involve </w:t>
      </w:r>
      <w:r w:rsidR="00BE0480">
        <w:rPr>
          <w:szCs w:val="20"/>
        </w:rPr>
        <w:t xml:space="preserve">first </w:t>
      </w:r>
      <w:r w:rsidR="00052E59">
        <w:rPr>
          <w:szCs w:val="20"/>
        </w:rPr>
        <w:t xml:space="preserve">estimating the </w:t>
      </w:r>
      <w:r w:rsidR="009F43D7">
        <w:rPr>
          <w:szCs w:val="20"/>
        </w:rPr>
        <w:t>acres disturbed from new road constructed in each c</w:t>
      </w:r>
      <w:r w:rsidR="00060A69">
        <w:rPr>
          <w:szCs w:val="20"/>
        </w:rPr>
        <w:t xml:space="preserve">ounty. </w:t>
      </w:r>
      <w:r w:rsidR="006B3338">
        <w:rPr>
          <w:szCs w:val="20"/>
        </w:rPr>
        <w:t>The amount of s</w:t>
      </w:r>
      <w:r w:rsidR="00060A69">
        <w:rPr>
          <w:szCs w:val="20"/>
        </w:rPr>
        <w:t xml:space="preserve">tate-level </w:t>
      </w:r>
      <w:r w:rsidR="009F43D7">
        <w:rPr>
          <w:szCs w:val="20"/>
        </w:rPr>
        <w:t>road construction spending</w:t>
      </w:r>
      <w:r w:rsidR="00E210F7">
        <w:rPr>
          <w:szCs w:val="20"/>
        </w:rPr>
        <w:t xml:space="preserve"> by road type</w:t>
      </w:r>
      <w:r w:rsidR="009F43D7">
        <w:rPr>
          <w:szCs w:val="20"/>
        </w:rPr>
        <w:t xml:space="preserve"> </w:t>
      </w:r>
      <w:r w:rsidR="00060A69">
        <w:rPr>
          <w:szCs w:val="20"/>
        </w:rPr>
        <w:t xml:space="preserve">is available from </w:t>
      </w:r>
      <w:r w:rsidR="009F43D7">
        <w:rPr>
          <w:szCs w:val="20"/>
        </w:rPr>
        <w:t>the Federal Highway Administration (FHWA)</w:t>
      </w:r>
      <w:r w:rsidR="00E210F7">
        <w:rPr>
          <w:szCs w:val="20"/>
        </w:rPr>
        <w:t xml:space="preserve"> and is converted to acreage disturbed using conversion factors from the Florida Department of Transportation (FLDOT)</w:t>
      </w:r>
      <w:r w:rsidR="00060A69">
        <w:rPr>
          <w:szCs w:val="20"/>
        </w:rPr>
        <w:t xml:space="preserve">. The state-level </w:t>
      </w:r>
      <w:r w:rsidR="00E210F7">
        <w:rPr>
          <w:szCs w:val="20"/>
        </w:rPr>
        <w:t>acreage disturbed by road type</w:t>
      </w:r>
      <w:r w:rsidR="00706D0B">
        <w:rPr>
          <w:szCs w:val="20"/>
        </w:rPr>
        <w:t xml:space="preserve"> is</w:t>
      </w:r>
      <w:r w:rsidR="00060A69">
        <w:rPr>
          <w:szCs w:val="20"/>
        </w:rPr>
        <w:t xml:space="preserve"> </w:t>
      </w:r>
      <w:r w:rsidR="006B3338">
        <w:rPr>
          <w:szCs w:val="20"/>
        </w:rPr>
        <w:t xml:space="preserve">summed together and </w:t>
      </w:r>
      <w:r w:rsidR="00340DAC">
        <w:rPr>
          <w:szCs w:val="20"/>
        </w:rPr>
        <w:t xml:space="preserve">distributed to the counties based on the proportion of </w:t>
      </w:r>
      <w:r w:rsidR="00E210F7">
        <w:rPr>
          <w:szCs w:val="20"/>
        </w:rPr>
        <w:t>building starts in each county</w:t>
      </w:r>
      <w:r w:rsidR="00340DAC">
        <w:rPr>
          <w:szCs w:val="20"/>
        </w:rPr>
        <w:t xml:space="preserve">. </w:t>
      </w:r>
      <w:r w:rsidR="00E210F7">
        <w:rPr>
          <w:szCs w:val="20"/>
        </w:rPr>
        <w:t xml:space="preserve">Emissions factors for PM10 and PM25 are calculated based on precipitation-evaporation values and dry silt content in each county. </w:t>
      </w:r>
      <w:r w:rsidR="00052E59">
        <w:rPr>
          <w:szCs w:val="20"/>
        </w:rPr>
        <w:t>Th</w:t>
      </w:r>
      <w:r w:rsidR="00AA771E">
        <w:rPr>
          <w:szCs w:val="20"/>
        </w:rPr>
        <w:t xml:space="preserve">e </w:t>
      </w:r>
      <w:r w:rsidR="006B3338">
        <w:rPr>
          <w:szCs w:val="20"/>
        </w:rPr>
        <w:t xml:space="preserve">total </w:t>
      </w:r>
      <w:r w:rsidR="00AA771E">
        <w:rPr>
          <w:szCs w:val="20"/>
        </w:rPr>
        <w:t>amount</w:t>
      </w:r>
      <w:r w:rsidR="006B3338">
        <w:rPr>
          <w:szCs w:val="20"/>
        </w:rPr>
        <w:t xml:space="preserve"> of </w:t>
      </w:r>
      <w:r w:rsidR="00E210F7">
        <w:rPr>
          <w:szCs w:val="20"/>
        </w:rPr>
        <w:t xml:space="preserve">acres disturbed </w:t>
      </w:r>
      <w:r w:rsidR="00052E59">
        <w:rPr>
          <w:szCs w:val="20"/>
        </w:rPr>
        <w:t xml:space="preserve">is multiplied </w:t>
      </w:r>
      <w:r w:rsidR="002958BB">
        <w:rPr>
          <w:szCs w:val="20"/>
        </w:rPr>
        <w:t xml:space="preserve">by </w:t>
      </w:r>
      <w:r w:rsidR="00E210F7">
        <w:rPr>
          <w:szCs w:val="20"/>
        </w:rPr>
        <w:t xml:space="preserve">these </w:t>
      </w:r>
      <w:r w:rsidR="002958BB">
        <w:rPr>
          <w:szCs w:val="20"/>
        </w:rPr>
        <w:t>emission</w:t>
      </w:r>
      <w:r w:rsidR="009944E8">
        <w:rPr>
          <w:szCs w:val="20"/>
        </w:rPr>
        <w:t>s</w:t>
      </w:r>
      <w:r w:rsidR="002958BB">
        <w:rPr>
          <w:szCs w:val="20"/>
        </w:rPr>
        <w:t xml:space="preserve"> factors </w:t>
      </w:r>
      <w:r w:rsidR="00052E59">
        <w:rPr>
          <w:szCs w:val="20"/>
        </w:rPr>
        <w:t>to estimate emissions</w:t>
      </w:r>
      <w:r w:rsidR="003F3D3C">
        <w:rPr>
          <w:szCs w:val="20"/>
        </w:rPr>
        <w:t xml:space="preserve"> </w:t>
      </w:r>
      <w:r w:rsidR="00B259AF">
        <w:rPr>
          <w:szCs w:val="20"/>
        </w:rPr>
        <w:t xml:space="preserve">of </w:t>
      </w:r>
      <w:r w:rsidR="00E210F7">
        <w:rPr>
          <w:szCs w:val="20"/>
        </w:rPr>
        <w:t>PM</w:t>
      </w:r>
      <w:r w:rsidR="00B259AF">
        <w:rPr>
          <w:szCs w:val="20"/>
        </w:rPr>
        <w:t xml:space="preserve"> </w:t>
      </w:r>
      <w:r w:rsidR="003F3D3C">
        <w:rPr>
          <w:szCs w:val="20"/>
        </w:rPr>
        <w:t xml:space="preserve">from </w:t>
      </w:r>
      <w:r w:rsidR="00E210F7">
        <w:rPr>
          <w:szCs w:val="20"/>
        </w:rPr>
        <w:t>road construction</w:t>
      </w:r>
      <w:r w:rsidR="00052E59">
        <w:rPr>
          <w:szCs w:val="20"/>
        </w:rPr>
        <w:t>.</w:t>
      </w:r>
      <w:r w:rsidR="002958BB">
        <w:rPr>
          <w:szCs w:val="20"/>
        </w:rPr>
        <w:t xml:space="preserve"> Sources of data and calculations for the amount of </w:t>
      </w:r>
      <w:r w:rsidR="00E210F7">
        <w:rPr>
          <w:szCs w:val="20"/>
        </w:rPr>
        <w:t xml:space="preserve">new road constructed </w:t>
      </w:r>
      <w:r w:rsidR="00052E59">
        <w:rPr>
          <w:szCs w:val="20"/>
        </w:rPr>
        <w:t xml:space="preserve">are discussed in section </w:t>
      </w:r>
      <w:r w:rsidR="00052E59">
        <w:rPr>
          <w:szCs w:val="20"/>
        </w:rPr>
        <w:fldChar w:fldCharType="begin"/>
      </w:r>
      <w:r w:rsidR="00052E59">
        <w:rPr>
          <w:szCs w:val="20"/>
        </w:rPr>
        <w:instrText xml:space="preserve"> REF _Ref477177316 \r \h </w:instrText>
      </w:r>
      <w:r w:rsidR="00052E59">
        <w:rPr>
          <w:szCs w:val="20"/>
        </w:rPr>
      </w:r>
      <w:r w:rsidR="00052E59">
        <w:rPr>
          <w:szCs w:val="20"/>
        </w:rPr>
        <w:fldChar w:fldCharType="separate"/>
      </w:r>
      <w:r w:rsidR="00073181">
        <w:rPr>
          <w:szCs w:val="20"/>
        </w:rPr>
        <w:t>C</w:t>
      </w:r>
      <w:r w:rsidR="00052E59">
        <w:rPr>
          <w:szCs w:val="20"/>
        </w:rPr>
        <w:fldChar w:fldCharType="end"/>
      </w:r>
      <w:r w:rsidR="002958BB">
        <w:rPr>
          <w:szCs w:val="20"/>
        </w:rPr>
        <w:t>.</w:t>
      </w:r>
      <w:r w:rsidR="00052E59">
        <w:rPr>
          <w:szCs w:val="20"/>
        </w:rPr>
        <w:t xml:space="preserve"> The process of allocating </w:t>
      </w:r>
      <w:r w:rsidR="00E210F7">
        <w:rPr>
          <w:szCs w:val="20"/>
        </w:rPr>
        <w:t xml:space="preserve">road construction </w:t>
      </w:r>
      <w:r w:rsidR="00052E59">
        <w:rPr>
          <w:szCs w:val="20"/>
        </w:rPr>
        <w:t xml:space="preserve">activity data to the county level is discussed in section </w:t>
      </w:r>
      <w:r w:rsidR="00052E59">
        <w:rPr>
          <w:szCs w:val="20"/>
        </w:rPr>
        <w:fldChar w:fldCharType="begin"/>
      </w:r>
      <w:r w:rsidR="00052E59">
        <w:rPr>
          <w:szCs w:val="20"/>
        </w:rPr>
        <w:instrText xml:space="preserve"> REF _Ref477177506 \r \h </w:instrText>
      </w:r>
      <w:r w:rsidR="00052E59">
        <w:rPr>
          <w:szCs w:val="20"/>
        </w:rPr>
      </w:r>
      <w:r w:rsidR="00052E59">
        <w:rPr>
          <w:szCs w:val="20"/>
        </w:rPr>
        <w:fldChar w:fldCharType="separate"/>
      </w:r>
      <w:r w:rsidR="00073181">
        <w:rPr>
          <w:szCs w:val="20"/>
        </w:rPr>
        <w:t>D</w:t>
      </w:r>
      <w:r w:rsidR="00052E59">
        <w:rPr>
          <w:szCs w:val="20"/>
        </w:rPr>
        <w:fldChar w:fldCharType="end"/>
      </w:r>
      <w:r w:rsidR="00052E59">
        <w:rPr>
          <w:szCs w:val="20"/>
        </w:rPr>
        <w:t>. Emission</w:t>
      </w:r>
      <w:r w:rsidR="009944E8">
        <w:rPr>
          <w:szCs w:val="20"/>
        </w:rPr>
        <w:t>s</w:t>
      </w:r>
      <w:r w:rsidR="00052E59">
        <w:rPr>
          <w:szCs w:val="20"/>
        </w:rPr>
        <w:t xml:space="preserve"> factors are discussed in section</w:t>
      </w:r>
      <w:r w:rsidR="00B259AF">
        <w:rPr>
          <w:szCs w:val="20"/>
        </w:rPr>
        <w:t xml:space="preserve"> </w:t>
      </w:r>
      <w:r w:rsidR="00B259AF">
        <w:rPr>
          <w:szCs w:val="20"/>
        </w:rPr>
        <w:fldChar w:fldCharType="begin"/>
      </w:r>
      <w:r w:rsidR="00B259AF">
        <w:rPr>
          <w:szCs w:val="20"/>
        </w:rPr>
        <w:instrText xml:space="preserve"> REF _Ref477187901 \r \h </w:instrText>
      </w:r>
      <w:r w:rsidR="00B259AF">
        <w:rPr>
          <w:szCs w:val="20"/>
        </w:rPr>
      </w:r>
      <w:r w:rsidR="00B259AF">
        <w:rPr>
          <w:szCs w:val="20"/>
        </w:rPr>
        <w:fldChar w:fldCharType="separate"/>
      </w:r>
      <w:r w:rsidR="00073181">
        <w:rPr>
          <w:szCs w:val="20"/>
        </w:rPr>
        <w:t>E</w:t>
      </w:r>
      <w:r w:rsidR="00B259AF">
        <w:rPr>
          <w:szCs w:val="20"/>
        </w:rPr>
        <w:fldChar w:fldCharType="end"/>
      </w:r>
      <w:r w:rsidR="00052E59">
        <w:rPr>
          <w:szCs w:val="20"/>
        </w:rPr>
        <w:t xml:space="preserve">. </w:t>
      </w:r>
      <w:r w:rsidR="008E2445">
        <w:rPr>
          <w:szCs w:val="20"/>
        </w:rPr>
        <w:t xml:space="preserve">The estimation of emissions from </w:t>
      </w:r>
      <w:r w:rsidR="00E210F7">
        <w:rPr>
          <w:szCs w:val="20"/>
        </w:rPr>
        <w:t xml:space="preserve">road construction </w:t>
      </w:r>
      <w:r w:rsidR="008E2445">
        <w:rPr>
          <w:szCs w:val="20"/>
        </w:rPr>
        <w:t xml:space="preserve">is discussed in section </w:t>
      </w:r>
      <w:r w:rsidR="008E2445">
        <w:rPr>
          <w:szCs w:val="20"/>
        </w:rPr>
        <w:fldChar w:fldCharType="begin"/>
      </w:r>
      <w:r w:rsidR="008E2445">
        <w:rPr>
          <w:szCs w:val="20"/>
        </w:rPr>
        <w:instrText xml:space="preserve"> REF _Ref477177564 \r \h </w:instrText>
      </w:r>
      <w:r w:rsidR="008E2445">
        <w:rPr>
          <w:szCs w:val="20"/>
        </w:rPr>
      </w:r>
      <w:r w:rsidR="008E2445">
        <w:rPr>
          <w:szCs w:val="20"/>
        </w:rPr>
        <w:fldChar w:fldCharType="separate"/>
      </w:r>
      <w:r w:rsidR="00073181">
        <w:rPr>
          <w:szCs w:val="20"/>
        </w:rPr>
        <w:t>G</w:t>
      </w:r>
      <w:r w:rsidR="008E2445">
        <w:rPr>
          <w:szCs w:val="20"/>
        </w:rPr>
        <w:fldChar w:fldCharType="end"/>
      </w:r>
      <w:r w:rsidR="008E2445">
        <w:rPr>
          <w:szCs w:val="20"/>
        </w:rPr>
        <w:t>.</w:t>
      </w:r>
    </w:p>
    <w:p w14:paraId="721778E8" w14:textId="77777777" w:rsidR="00B97E6E" w:rsidRDefault="00B97E6E" w:rsidP="00052E59">
      <w:pPr>
        <w:pStyle w:val="Heading1"/>
      </w:pPr>
      <w:bookmarkStart w:id="0" w:name="_Ref477177316"/>
      <w:r w:rsidRPr="00886F17">
        <w:t>Activity Data</w:t>
      </w:r>
      <w:bookmarkEnd w:id="0"/>
    </w:p>
    <w:p w14:paraId="2A005BDC" w14:textId="205795F9" w:rsidR="00FC5CC7" w:rsidRPr="003C6C99" w:rsidRDefault="00B97E6E" w:rsidP="00FC5CC7">
      <w:pPr>
        <w:spacing w:after="0"/>
        <w:rPr>
          <w:iCs/>
          <w:szCs w:val="20"/>
        </w:rPr>
      </w:pPr>
      <w:r w:rsidRPr="003733A0">
        <w:rPr>
          <w:szCs w:val="20"/>
        </w:rPr>
        <w:t xml:space="preserve">The </w:t>
      </w:r>
      <w:r w:rsidR="008E2445">
        <w:rPr>
          <w:szCs w:val="20"/>
        </w:rPr>
        <w:t xml:space="preserve">activity data for this source category is the </w:t>
      </w:r>
      <w:r w:rsidR="00E210F7">
        <w:rPr>
          <w:szCs w:val="20"/>
        </w:rPr>
        <w:t>acreage disturbed from new road construction</w:t>
      </w:r>
      <w:r w:rsidR="008E2445">
        <w:rPr>
          <w:szCs w:val="20"/>
        </w:rPr>
        <w:t>, which</w:t>
      </w:r>
      <w:r>
        <w:rPr>
          <w:szCs w:val="20"/>
        </w:rPr>
        <w:t xml:space="preserve"> </w:t>
      </w:r>
      <w:r w:rsidR="002E5ADD">
        <w:rPr>
          <w:szCs w:val="20"/>
        </w:rPr>
        <w:t>i</w:t>
      </w:r>
      <w:r w:rsidRPr="003733A0">
        <w:rPr>
          <w:szCs w:val="20"/>
        </w:rPr>
        <w:t xml:space="preserve">s estimated using data from </w:t>
      </w:r>
      <w:r w:rsidR="00E210F7">
        <w:rPr>
          <w:szCs w:val="20"/>
        </w:rPr>
        <w:t>FHWA</w:t>
      </w:r>
      <w:r w:rsidR="00BE7521">
        <w:rPr>
          <w:szCs w:val="20"/>
        </w:rPr>
        <w:t xml:space="preserve">’s </w:t>
      </w:r>
      <w:r w:rsidR="00BE7521" w:rsidRPr="003C6C99">
        <w:rPr>
          <w:i/>
          <w:iCs/>
          <w:szCs w:val="20"/>
        </w:rPr>
        <w:t xml:space="preserve">Highway Statistics, State Highway Agency Capital Outlay 2014, </w:t>
      </w:r>
      <w:r w:rsidR="00BE7521">
        <w:rPr>
          <w:i/>
          <w:iCs/>
          <w:szCs w:val="20"/>
        </w:rPr>
        <w:t>Table SF-12A</w:t>
      </w:r>
      <w:r w:rsidR="00BE7521">
        <w:rPr>
          <w:rStyle w:val="BalloonTextChar"/>
          <w:szCs w:val="20"/>
        </w:rPr>
        <w:t xml:space="preserve"> </w:t>
      </w:r>
      <w:r w:rsidR="00BE7521">
        <w:rPr>
          <w:rStyle w:val="EndnoteReference"/>
          <w:szCs w:val="20"/>
        </w:rPr>
        <w:endnoteReference w:id="2"/>
      </w:r>
      <w:r w:rsidR="00E210F7">
        <w:rPr>
          <w:szCs w:val="20"/>
        </w:rPr>
        <w:t xml:space="preserve"> and FLDOT</w:t>
      </w:r>
      <w:r w:rsidR="00BE7521">
        <w:rPr>
          <w:szCs w:val="20"/>
        </w:rPr>
        <w:t xml:space="preserve">’s </w:t>
      </w:r>
      <w:r w:rsidR="00BE7521">
        <w:rPr>
          <w:i/>
          <w:szCs w:val="20"/>
        </w:rPr>
        <w:t>Generic Cost p</w:t>
      </w:r>
      <w:r w:rsidR="00BE7521" w:rsidRPr="00BE7521">
        <w:rPr>
          <w:i/>
          <w:szCs w:val="20"/>
        </w:rPr>
        <w:t>er Mile Models</w:t>
      </w:r>
      <w:r w:rsidR="00BE7521">
        <w:rPr>
          <w:szCs w:val="20"/>
        </w:rPr>
        <w:t>.</w:t>
      </w:r>
      <w:bookmarkStart w:id="1" w:name="_Ref478672722"/>
      <w:r w:rsidR="00BE7521">
        <w:rPr>
          <w:rStyle w:val="EndnoteReference"/>
          <w:szCs w:val="20"/>
        </w:rPr>
        <w:endnoteReference w:id="3"/>
      </w:r>
      <w:bookmarkEnd w:id="1"/>
      <w:r w:rsidR="00BE7521">
        <w:rPr>
          <w:szCs w:val="20"/>
        </w:rPr>
        <w:t xml:space="preserve"> </w:t>
      </w:r>
      <w:r w:rsidR="00FC5CC7">
        <w:rPr>
          <w:szCs w:val="20"/>
        </w:rPr>
        <w:t>From the FH</w:t>
      </w:r>
      <w:r w:rsidR="00706D0B">
        <w:rPr>
          <w:szCs w:val="20"/>
        </w:rPr>
        <w:t>WA table, the following c</w:t>
      </w:r>
      <w:r w:rsidR="00FF1CBE">
        <w:rPr>
          <w:szCs w:val="20"/>
        </w:rPr>
        <w:t xml:space="preserve">onstruction types </w:t>
      </w:r>
      <w:r w:rsidR="00FC5CC7">
        <w:rPr>
          <w:szCs w:val="20"/>
        </w:rPr>
        <w:t xml:space="preserve">are used: </w:t>
      </w:r>
      <w:r w:rsidR="00FC5CC7" w:rsidRPr="003C6C99">
        <w:rPr>
          <w:iCs/>
          <w:szCs w:val="20"/>
        </w:rPr>
        <w:t>New Construction, Relocation, Added Capacity, Major Widening, and Minor W</w:t>
      </w:r>
      <w:r w:rsidR="00FC5CC7">
        <w:rPr>
          <w:iCs/>
          <w:szCs w:val="20"/>
        </w:rPr>
        <w:t xml:space="preserve">idening. </w:t>
      </w:r>
      <w:r w:rsidR="00706D0B">
        <w:rPr>
          <w:iCs/>
          <w:szCs w:val="20"/>
        </w:rPr>
        <w:t xml:space="preserve">Each of the </w:t>
      </w:r>
      <w:r w:rsidR="00F16C62">
        <w:rPr>
          <w:iCs/>
          <w:szCs w:val="20"/>
        </w:rPr>
        <w:t xml:space="preserve">following road types have spending broken out </w:t>
      </w:r>
      <w:r w:rsidR="00D170BD">
        <w:rPr>
          <w:iCs/>
          <w:szCs w:val="20"/>
        </w:rPr>
        <w:t xml:space="preserve">for each </w:t>
      </w:r>
      <w:r w:rsidR="00F16C62">
        <w:rPr>
          <w:iCs/>
          <w:szCs w:val="20"/>
        </w:rPr>
        <w:t>construction type</w:t>
      </w:r>
      <w:r w:rsidR="00FC5CC7" w:rsidRPr="003C6C99">
        <w:rPr>
          <w:szCs w:val="20"/>
        </w:rPr>
        <w:t>:</w:t>
      </w:r>
    </w:p>
    <w:p w14:paraId="6AD0CF00" w14:textId="77777777" w:rsidR="00FC5CC7" w:rsidRDefault="00FC5CC7" w:rsidP="00FC5CC7">
      <w:pPr>
        <w:pStyle w:val="ListParagraph"/>
        <w:spacing w:after="0"/>
        <w:rPr>
          <w:szCs w:val="20"/>
        </w:rPr>
      </w:pPr>
    </w:p>
    <w:p w14:paraId="67A22929" w14:textId="77777777" w:rsidR="00FC5CC7" w:rsidRDefault="00FC5CC7" w:rsidP="00FC5CC7">
      <w:pPr>
        <w:pStyle w:val="ListParagraph"/>
        <w:widowControl/>
        <w:numPr>
          <w:ilvl w:val="0"/>
          <w:numId w:val="19"/>
        </w:numPr>
        <w:autoSpaceDE/>
        <w:autoSpaceDN/>
        <w:adjustRightInd/>
        <w:spacing w:after="0" w:line="276" w:lineRule="auto"/>
        <w:rPr>
          <w:szCs w:val="20"/>
        </w:rPr>
      </w:pPr>
      <w:r w:rsidRPr="00074E99">
        <w:rPr>
          <w:szCs w:val="20"/>
        </w:rPr>
        <w:t>Interstate, urban</w:t>
      </w:r>
    </w:p>
    <w:p w14:paraId="5311F4F7" w14:textId="77777777" w:rsidR="00FC5CC7" w:rsidRDefault="00FC5CC7" w:rsidP="00FC5CC7">
      <w:pPr>
        <w:pStyle w:val="ListParagraph"/>
        <w:widowControl/>
        <w:numPr>
          <w:ilvl w:val="0"/>
          <w:numId w:val="19"/>
        </w:numPr>
        <w:autoSpaceDE/>
        <w:autoSpaceDN/>
        <w:adjustRightInd/>
        <w:spacing w:after="0" w:line="276" w:lineRule="auto"/>
        <w:rPr>
          <w:szCs w:val="20"/>
        </w:rPr>
      </w:pPr>
      <w:r w:rsidRPr="00074E99">
        <w:rPr>
          <w:szCs w:val="20"/>
        </w:rPr>
        <w:t>Interstate, rural</w:t>
      </w:r>
    </w:p>
    <w:p w14:paraId="72EF9739" w14:textId="77777777" w:rsidR="00FC5CC7" w:rsidRDefault="00FC5CC7" w:rsidP="00FC5CC7">
      <w:pPr>
        <w:pStyle w:val="ListParagraph"/>
        <w:widowControl/>
        <w:numPr>
          <w:ilvl w:val="0"/>
          <w:numId w:val="19"/>
        </w:numPr>
        <w:autoSpaceDE/>
        <w:autoSpaceDN/>
        <w:adjustRightInd/>
        <w:spacing w:after="0" w:line="276" w:lineRule="auto"/>
        <w:rPr>
          <w:szCs w:val="20"/>
        </w:rPr>
      </w:pPr>
      <w:r w:rsidRPr="00074E99">
        <w:rPr>
          <w:szCs w:val="20"/>
        </w:rPr>
        <w:t>Other arterial, urban</w:t>
      </w:r>
    </w:p>
    <w:p w14:paraId="6C894A55" w14:textId="77777777" w:rsidR="00FC5CC7" w:rsidRDefault="00FC5CC7" w:rsidP="00FC5CC7">
      <w:pPr>
        <w:pStyle w:val="ListParagraph"/>
        <w:widowControl/>
        <w:numPr>
          <w:ilvl w:val="0"/>
          <w:numId w:val="19"/>
        </w:numPr>
        <w:autoSpaceDE/>
        <w:autoSpaceDN/>
        <w:adjustRightInd/>
        <w:spacing w:after="0" w:line="276" w:lineRule="auto"/>
        <w:rPr>
          <w:szCs w:val="20"/>
        </w:rPr>
      </w:pPr>
      <w:r w:rsidRPr="00074E99">
        <w:rPr>
          <w:szCs w:val="20"/>
        </w:rPr>
        <w:t xml:space="preserve">Other arterial, rural </w:t>
      </w:r>
    </w:p>
    <w:p w14:paraId="69F59CFB" w14:textId="77777777" w:rsidR="00FC5CC7" w:rsidRDefault="00FC5CC7" w:rsidP="00FC5CC7">
      <w:pPr>
        <w:pStyle w:val="ListParagraph"/>
        <w:widowControl/>
        <w:numPr>
          <w:ilvl w:val="0"/>
          <w:numId w:val="19"/>
        </w:numPr>
        <w:autoSpaceDE/>
        <w:autoSpaceDN/>
        <w:adjustRightInd/>
        <w:spacing w:after="0" w:line="276" w:lineRule="auto"/>
        <w:rPr>
          <w:szCs w:val="20"/>
        </w:rPr>
      </w:pPr>
      <w:r w:rsidRPr="00074E99">
        <w:rPr>
          <w:szCs w:val="20"/>
        </w:rPr>
        <w:t>Collectors, urban</w:t>
      </w:r>
    </w:p>
    <w:p w14:paraId="4A1ADFE1" w14:textId="369A4F04" w:rsidR="00FC5CC7" w:rsidRDefault="00FC5CC7" w:rsidP="00B97E6E">
      <w:pPr>
        <w:pStyle w:val="ListParagraph"/>
        <w:widowControl/>
        <w:numPr>
          <w:ilvl w:val="0"/>
          <w:numId w:val="19"/>
        </w:numPr>
        <w:autoSpaceDE/>
        <w:autoSpaceDN/>
        <w:adjustRightInd/>
        <w:spacing w:after="0" w:line="276" w:lineRule="auto"/>
        <w:rPr>
          <w:szCs w:val="20"/>
        </w:rPr>
      </w:pPr>
      <w:r>
        <w:rPr>
          <w:szCs w:val="20"/>
        </w:rPr>
        <w:t>Collectors, rural</w:t>
      </w:r>
    </w:p>
    <w:p w14:paraId="35DE922B" w14:textId="77777777" w:rsidR="00FC5CC7" w:rsidRPr="00FC5CC7" w:rsidRDefault="00FC5CC7" w:rsidP="00FC5CC7">
      <w:pPr>
        <w:pStyle w:val="ListParagraph"/>
        <w:widowControl/>
        <w:autoSpaceDE/>
        <w:autoSpaceDN/>
        <w:adjustRightInd/>
        <w:spacing w:after="0" w:line="276" w:lineRule="auto"/>
        <w:rPr>
          <w:szCs w:val="20"/>
        </w:rPr>
      </w:pPr>
    </w:p>
    <w:p w14:paraId="00B348E2" w14:textId="0B925C81" w:rsidR="001A09E7" w:rsidRPr="00DF4A70" w:rsidRDefault="00DF4A70" w:rsidP="003D471D">
      <w:pPr>
        <w:widowControl/>
        <w:autoSpaceDE/>
        <w:autoSpaceDN/>
        <w:adjustRightInd/>
        <w:rPr>
          <w:szCs w:val="20"/>
        </w:rPr>
      </w:pPr>
      <w:r>
        <w:rPr>
          <w:szCs w:val="20"/>
        </w:rPr>
        <w:t>Construction spending for</w:t>
      </w:r>
      <w:r w:rsidR="00FC5CC7">
        <w:rPr>
          <w:szCs w:val="20"/>
        </w:rPr>
        <w:t xml:space="preserve"> </w:t>
      </w:r>
      <w:r>
        <w:rPr>
          <w:szCs w:val="20"/>
        </w:rPr>
        <w:t>each road type is summed</w:t>
      </w:r>
      <w:r w:rsidR="00274DC7">
        <w:rPr>
          <w:szCs w:val="20"/>
        </w:rPr>
        <w:t xml:space="preserve"> across all construction types to determine the total annual highway spending for each road type</w:t>
      </w:r>
      <w:r>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770E9B" w14:paraId="510F7B67" w14:textId="77777777" w:rsidTr="00DF4A70">
        <w:trPr>
          <w:trHeight w:val="585"/>
        </w:trPr>
        <w:tc>
          <w:tcPr>
            <w:tcW w:w="8748" w:type="dxa"/>
            <w:vAlign w:val="center"/>
          </w:tcPr>
          <w:p w14:paraId="25BC0F25" w14:textId="5B6C641B" w:rsidR="00770E9B" w:rsidRPr="00770E9B" w:rsidRDefault="00666C66" w:rsidP="00DF4A70">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ct</m:t>
                    </m:r>
                  </m:sub>
                  <m:sup/>
                  <m:e>
                    <m:sSub>
                      <m:sSubPr>
                        <m:ctrlPr>
                          <w:rPr>
                            <w:rFonts w:ascii="Cambria Math" w:hAnsi="Cambria Math"/>
                            <w:i/>
                            <w:szCs w:val="20"/>
                          </w:rPr>
                        </m:ctrlPr>
                      </m:sSubPr>
                      <m:e>
                        <m:r>
                          <w:rPr>
                            <w:rFonts w:ascii="Cambria Math" w:hAnsi="Cambria Math"/>
                            <w:szCs w:val="20"/>
                          </w:rPr>
                          <m:t>S</m:t>
                        </m:r>
                      </m:e>
                      <m:sub>
                        <m:r>
                          <w:rPr>
                            <w:rFonts w:ascii="Cambria Math" w:hAnsi="Cambria Math"/>
                            <w:szCs w:val="20"/>
                          </w:rPr>
                          <m:t>s,r</m:t>
                        </m:r>
                      </m:sub>
                    </m:sSub>
                  </m:e>
                </m:nary>
              </m:oMath>
            </m:oMathPara>
          </w:p>
        </w:tc>
        <w:tc>
          <w:tcPr>
            <w:tcW w:w="828" w:type="dxa"/>
            <w:vAlign w:val="center"/>
          </w:tcPr>
          <w:p w14:paraId="3A9DC15A" w14:textId="77777777" w:rsidR="00770E9B" w:rsidRPr="003D471D" w:rsidRDefault="00770E9B" w:rsidP="00DF4A70">
            <w:pPr>
              <w:pStyle w:val="ListParagraph"/>
              <w:widowControl/>
              <w:numPr>
                <w:ilvl w:val="0"/>
                <w:numId w:val="10"/>
              </w:numPr>
              <w:autoSpaceDE/>
              <w:autoSpaceDN/>
              <w:adjustRightInd/>
              <w:jc w:val="center"/>
              <w:rPr>
                <w:szCs w:val="20"/>
              </w:rPr>
            </w:pPr>
          </w:p>
        </w:tc>
      </w:tr>
    </w:tbl>
    <w:p w14:paraId="2655DEAA" w14:textId="77777777" w:rsidR="00986448" w:rsidRPr="0006347C" w:rsidRDefault="00986448" w:rsidP="00986448">
      <w:pPr>
        <w:widowControl/>
        <w:tabs>
          <w:tab w:val="left" w:pos="0"/>
        </w:tabs>
        <w:rPr>
          <w:szCs w:val="20"/>
        </w:rPr>
      </w:pPr>
      <w:r w:rsidRPr="0006347C">
        <w:rPr>
          <w:szCs w:val="20"/>
        </w:rPr>
        <w:t>Where:</w:t>
      </w:r>
    </w:p>
    <w:p w14:paraId="2489DC85" w14:textId="3CA6E743" w:rsidR="00DF4A70" w:rsidRPr="00274DC7" w:rsidRDefault="00DF4A70" w:rsidP="00DF4A70">
      <w:pPr>
        <w:pStyle w:val="NoSpacing"/>
      </w:pPr>
      <w:r>
        <w:tab/>
      </w:r>
      <w:r w:rsidRPr="00FE02F4">
        <w:rPr>
          <w:i/>
        </w:rPr>
        <w:t>HS</w:t>
      </w:r>
      <w:r w:rsidRPr="00FE02F4">
        <w:rPr>
          <w:i/>
          <w:vertAlign w:val="subscript"/>
        </w:rPr>
        <w:t>s,r</w:t>
      </w:r>
      <w:r>
        <w:rPr>
          <w:vertAlign w:val="subscript"/>
        </w:rPr>
        <w:tab/>
      </w:r>
      <w:r>
        <w:t>=</w:t>
      </w:r>
      <w:r>
        <w:tab/>
        <w:t xml:space="preserve">Annual highway spending for road type </w:t>
      </w:r>
      <w:r>
        <w:rPr>
          <w:i/>
        </w:rPr>
        <w:t xml:space="preserve">r </w:t>
      </w:r>
      <w:r>
        <w:t xml:space="preserve">in state </w:t>
      </w:r>
      <w:r>
        <w:rPr>
          <w:i/>
        </w:rPr>
        <w:t>s</w:t>
      </w:r>
      <w:r w:rsidR="00274DC7">
        <w:t>, in dollars</w:t>
      </w:r>
    </w:p>
    <w:p w14:paraId="57DD985B" w14:textId="2FD89B31" w:rsidR="00DF4A70" w:rsidRDefault="00274DC7" w:rsidP="00DF4A70">
      <w:pPr>
        <w:pStyle w:val="NoSpacing"/>
      </w:pPr>
      <w:r>
        <w:rPr>
          <w:i/>
        </w:rPr>
        <w:tab/>
      </w:r>
      <w:r w:rsidR="00DF4A70">
        <w:rPr>
          <w:i/>
        </w:rPr>
        <w:t>ct</w:t>
      </w:r>
      <w:r w:rsidR="00DF4A70">
        <w:rPr>
          <w:i/>
        </w:rPr>
        <w:tab/>
      </w:r>
      <w:r w:rsidR="00DF4A70">
        <w:t>=</w:t>
      </w:r>
      <w:r w:rsidR="00DF4A70">
        <w:tab/>
        <w:t xml:space="preserve">Construction type </w:t>
      </w:r>
    </w:p>
    <w:p w14:paraId="547F9710" w14:textId="0154460C" w:rsidR="00DF4A70" w:rsidRDefault="00DF4A70" w:rsidP="00DF4A70">
      <w:pPr>
        <w:pStyle w:val="NoSpacing"/>
      </w:pPr>
      <w:r>
        <w:lastRenderedPageBreak/>
        <w:tab/>
      </w:r>
      <w:r w:rsidRPr="00FE02F4">
        <w:rPr>
          <w:i/>
        </w:rPr>
        <w:t>S</w:t>
      </w:r>
      <w:r w:rsidRPr="00FE02F4">
        <w:rPr>
          <w:i/>
          <w:vertAlign w:val="subscript"/>
        </w:rPr>
        <w:t>s,r</w:t>
      </w:r>
      <w:r>
        <w:rPr>
          <w:vertAlign w:val="subscript"/>
        </w:rPr>
        <w:tab/>
      </w:r>
      <w:r>
        <w:t>=</w:t>
      </w:r>
      <w:r>
        <w:tab/>
        <w:t xml:space="preserve">Annual spending per construction type in state </w:t>
      </w:r>
      <w:r>
        <w:rPr>
          <w:i/>
        </w:rPr>
        <w:t xml:space="preserve">s </w:t>
      </w:r>
      <w:r>
        <w:t xml:space="preserve">for road type </w:t>
      </w:r>
      <w:r>
        <w:rPr>
          <w:i/>
        </w:rPr>
        <w:t>r</w:t>
      </w:r>
      <w:r w:rsidR="00274DC7">
        <w:t>, in dollars</w:t>
      </w:r>
      <w:r>
        <w:t xml:space="preserve"> </w:t>
      </w:r>
    </w:p>
    <w:p w14:paraId="109D02B8" w14:textId="77777777" w:rsidR="00330318" w:rsidRDefault="00330318" w:rsidP="00DF4A70">
      <w:pPr>
        <w:pStyle w:val="NoSpacing"/>
      </w:pPr>
    </w:p>
    <w:p w14:paraId="6E130B35" w14:textId="7226A2A3" w:rsidR="00DF4A70" w:rsidRDefault="00DF4A70" w:rsidP="00EE7076">
      <w:r>
        <w:t>State expenditure data are convert</w:t>
      </w:r>
      <w:r w:rsidR="00EE7076">
        <w:t xml:space="preserve">ed to miles of new road and </w:t>
      </w:r>
      <w:r>
        <w:t>acres disturbed per mile of new road</w:t>
      </w:r>
      <w:r w:rsidR="00D170BD">
        <w:t xml:space="preserve"> by applying conversions based on data</w:t>
      </w:r>
      <w:r w:rsidR="00EE7076">
        <w:t xml:space="preserve"> obtained from FLDOT. The conversions are shown in </w:t>
      </w:r>
      <w:r w:rsidR="00F51B57">
        <w:fldChar w:fldCharType="begin"/>
      </w:r>
      <w:r w:rsidR="00F51B57">
        <w:instrText xml:space="preserve"> REF _Ref478638920 \h </w:instrText>
      </w:r>
      <w:r w:rsidR="00F51B57">
        <w:fldChar w:fldCharType="separate"/>
      </w:r>
      <w:r w:rsidR="00F51B57">
        <w:t xml:space="preserve">Table </w:t>
      </w:r>
      <w:r w:rsidR="00F51B57">
        <w:rPr>
          <w:noProof/>
        </w:rPr>
        <w:t>1</w:t>
      </w:r>
      <w:r w:rsidR="00F51B57">
        <w:fldChar w:fldCharType="end"/>
      </w:r>
      <w:r w:rsidR="00EE7076">
        <w:t xml:space="preserve">, and the acres disturbed per mile conversions are calculated by multiplying the </w:t>
      </w:r>
      <w:r w:rsidR="00D170BD">
        <w:t xml:space="preserve">FLDOT’s </w:t>
      </w:r>
      <w:r w:rsidR="00EE7076">
        <w:t xml:space="preserve">total affected roadway width (including all lanes, shoulders, and areas affected beyond the road width) </w:t>
      </w:r>
      <w:r w:rsidR="00F16C62">
        <w:t xml:space="preserve">in feet </w:t>
      </w:r>
      <w:r w:rsidR="00330318">
        <w:t xml:space="preserve">by the number of feet in a mile </w:t>
      </w:r>
      <w:r w:rsidR="00EE7076">
        <w:t>and converting the resulting land area</w:t>
      </w:r>
      <w:r w:rsidR="00330318">
        <w:t xml:space="preserve"> from ft</w:t>
      </w:r>
      <w:r w:rsidR="00330318" w:rsidRPr="00330318">
        <w:rPr>
          <w:vertAlign w:val="superscript"/>
        </w:rPr>
        <w:t>2</w:t>
      </w:r>
      <w:r w:rsidR="00EE7076" w:rsidRPr="00330318">
        <w:rPr>
          <w:vertAlign w:val="superscript"/>
        </w:rPr>
        <w:t xml:space="preserve"> </w:t>
      </w:r>
      <w:r w:rsidR="00EE7076">
        <w:t>to acres.</w:t>
      </w:r>
      <w:r w:rsidR="00330318">
        <w:t xml:space="preserve"> There are 5</w:t>
      </w:r>
      <w:r w:rsidR="00193853">
        <w:t>,</w:t>
      </w:r>
      <w:r w:rsidR="00330318">
        <w:t>280 feet in a mile, and 43</w:t>
      </w:r>
      <w:r w:rsidR="00193853">
        <w:t>,</w:t>
      </w:r>
      <w:r w:rsidR="00330318">
        <w:t>560 ft</w:t>
      </w:r>
      <w:r w:rsidR="00330318">
        <w:rPr>
          <w:vertAlign w:val="superscript"/>
        </w:rPr>
        <w:t xml:space="preserve">2 </w:t>
      </w:r>
      <w:r w:rsidR="00330318">
        <w:t>in an acre.</w:t>
      </w:r>
      <w:r w:rsidR="00EE7076">
        <w:t xml:space="preserve">    </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EE7076" w14:paraId="2CC188D5" w14:textId="77777777" w:rsidTr="00EE7076">
        <w:trPr>
          <w:trHeight w:val="585"/>
        </w:trPr>
        <w:tc>
          <w:tcPr>
            <w:tcW w:w="8748" w:type="dxa"/>
            <w:vAlign w:val="center"/>
          </w:tcPr>
          <w:p w14:paraId="36F1F25A" w14:textId="782A4CBD" w:rsidR="00EE7076" w:rsidRPr="00770E9B" w:rsidRDefault="00666C66" w:rsidP="00EE7076">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num>
                  <m:den>
                    <m:r>
                      <w:rPr>
                        <w:rFonts w:ascii="Cambria Math" w:hAnsi="Cambria Math"/>
                        <w:szCs w:val="20"/>
                      </w:rPr>
                      <m:t>TDM</m:t>
                    </m:r>
                  </m:den>
                </m:f>
              </m:oMath>
            </m:oMathPara>
          </w:p>
        </w:tc>
        <w:tc>
          <w:tcPr>
            <w:tcW w:w="828" w:type="dxa"/>
            <w:vAlign w:val="center"/>
          </w:tcPr>
          <w:p w14:paraId="7AEB379D" w14:textId="77777777" w:rsidR="00EE7076" w:rsidRPr="003D471D" w:rsidRDefault="00EE7076" w:rsidP="00EE7076">
            <w:pPr>
              <w:pStyle w:val="ListParagraph"/>
              <w:widowControl/>
              <w:numPr>
                <w:ilvl w:val="0"/>
                <w:numId w:val="10"/>
              </w:numPr>
              <w:autoSpaceDE/>
              <w:autoSpaceDN/>
              <w:adjustRightInd/>
              <w:jc w:val="center"/>
              <w:rPr>
                <w:szCs w:val="20"/>
              </w:rPr>
            </w:pPr>
          </w:p>
        </w:tc>
      </w:tr>
      <w:tr w:rsidR="00EE7076" w14:paraId="54642A9D" w14:textId="77777777" w:rsidTr="00EE7076">
        <w:trPr>
          <w:trHeight w:val="585"/>
        </w:trPr>
        <w:tc>
          <w:tcPr>
            <w:tcW w:w="8748" w:type="dxa"/>
            <w:vAlign w:val="center"/>
          </w:tcPr>
          <w:p w14:paraId="287D6A87" w14:textId="179F9B76" w:rsidR="00EE7076" w:rsidRPr="00770E9B" w:rsidRDefault="00666C66" w:rsidP="00EE7076">
            <w:pPr>
              <w:widowControl/>
              <w:autoSpaceDE/>
              <w:autoSpaceDN/>
              <w:adjustRightInd/>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×ADM</m:t>
                </m:r>
              </m:oMath>
            </m:oMathPara>
          </w:p>
        </w:tc>
        <w:tc>
          <w:tcPr>
            <w:tcW w:w="828" w:type="dxa"/>
            <w:vAlign w:val="center"/>
          </w:tcPr>
          <w:p w14:paraId="6E6C862C" w14:textId="77777777" w:rsidR="00EE7076" w:rsidRPr="003D471D" w:rsidRDefault="00EE7076" w:rsidP="00EE7076">
            <w:pPr>
              <w:pStyle w:val="ListParagraph"/>
              <w:widowControl/>
              <w:numPr>
                <w:ilvl w:val="0"/>
                <w:numId w:val="10"/>
              </w:numPr>
              <w:autoSpaceDE/>
              <w:autoSpaceDN/>
              <w:adjustRightInd/>
              <w:jc w:val="center"/>
              <w:rPr>
                <w:szCs w:val="20"/>
              </w:rPr>
            </w:pPr>
          </w:p>
        </w:tc>
      </w:tr>
    </w:tbl>
    <w:p w14:paraId="120C74F2" w14:textId="77777777" w:rsidR="00EE7076" w:rsidRPr="0006347C" w:rsidRDefault="00DF4A70" w:rsidP="00EE7076">
      <w:pPr>
        <w:widowControl/>
        <w:tabs>
          <w:tab w:val="left" w:pos="0"/>
        </w:tabs>
        <w:rPr>
          <w:szCs w:val="20"/>
        </w:rPr>
      </w:pPr>
      <w:r>
        <w:t xml:space="preserve"> </w:t>
      </w:r>
      <w:r w:rsidR="00EE7076" w:rsidRPr="0006347C">
        <w:rPr>
          <w:szCs w:val="20"/>
        </w:rPr>
        <w:t>Where:</w:t>
      </w:r>
    </w:p>
    <w:p w14:paraId="146B16E6" w14:textId="77777777" w:rsidR="00742035" w:rsidRDefault="00742035" w:rsidP="00742035">
      <w:pPr>
        <w:pStyle w:val="NoSpacing"/>
      </w:pPr>
      <w:r>
        <w:tab/>
      </w:r>
      <w:r w:rsidRPr="00FE02F4">
        <w:rPr>
          <w:i/>
        </w:rPr>
        <w:t>RC</w:t>
      </w:r>
      <w:r w:rsidRPr="00FE02F4">
        <w:rPr>
          <w:i/>
          <w:vertAlign w:val="subscript"/>
        </w:rPr>
        <w:t>m,s</w:t>
      </w:r>
      <w:r>
        <w:rPr>
          <w:i/>
          <w:vertAlign w:val="subscript"/>
        </w:rPr>
        <w:t>,r</w:t>
      </w:r>
      <w:r>
        <w:rPr>
          <w:vertAlign w:val="subscript"/>
        </w:rPr>
        <w:tab/>
      </w:r>
      <w:r>
        <w:t>=</w:t>
      </w:r>
      <w:r>
        <w:tab/>
        <w:t xml:space="preserve">Miles of FHWA road type </w:t>
      </w:r>
      <w:r>
        <w:rPr>
          <w:i/>
        </w:rPr>
        <w:t xml:space="preserve">r </w:t>
      </w:r>
      <w:r>
        <w:t xml:space="preserve">constructed in state </w:t>
      </w:r>
      <w:r>
        <w:rPr>
          <w:i/>
        </w:rPr>
        <w:t>s</w:t>
      </w:r>
    </w:p>
    <w:p w14:paraId="03D6ACBF" w14:textId="40863159" w:rsidR="00742035" w:rsidRDefault="00742035" w:rsidP="00742035">
      <w:pPr>
        <w:pStyle w:val="NoSpacing"/>
      </w:pPr>
      <w:r>
        <w:tab/>
      </w:r>
      <w:r w:rsidRPr="00FE02F4">
        <w:rPr>
          <w:i/>
        </w:rPr>
        <w:t>RC</w:t>
      </w:r>
      <w:r w:rsidR="00274DC7">
        <w:rPr>
          <w:i/>
          <w:vertAlign w:val="subscript"/>
        </w:rPr>
        <w:t>a,s,r</w:t>
      </w:r>
      <w:r>
        <w:rPr>
          <w:vertAlign w:val="subscript"/>
        </w:rPr>
        <w:tab/>
      </w:r>
      <w:r>
        <w:t>=</w:t>
      </w:r>
      <w:r>
        <w:tab/>
        <w:t xml:space="preserve">Acres of land disturbed for construction of FHWA road type </w:t>
      </w:r>
      <w:r>
        <w:rPr>
          <w:i/>
        </w:rPr>
        <w:t xml:space="preserve">r </w:t>
      </w:r>
      <w:r>
        <w:t xml:space="preserve">in state </w:t>
      </w:r>
      <w:r>
        <w:rPr>
          <w:i/>
        </w:rPr>
        <w:t>s</w:t>
      </w:r>
      <w:r>
        <w:tab/>
      </w:r>
    </w:p>
    <w:p w14:paraId="02EF1913" w14:textId="3E772147" w:rsidR="00EE7076" w:rsidRDefault="00742035" w:rsidP="00742035">
      <w:pPr>
        <w:pStyle w:val="NoSpacing"/>
        <w:rPr>
          <w:i/>
        </w:rPr>
      </w:pPr>
      <w:r>
        <w:rPr>
          <w:i/>
        </w:rPr>
        <w:tab/>
      </w:r>
      <w:r w:rsidR="00EE7076" w:rsidRPr="00FE02F4">
        <w:rPr>
          <w:i/>
        </w:rPr>
        <w:t>HS</w:t>
      </w:r>
      <w:r w:rsidR="00EE7076" w:rsidRPr="00FE02F4">
        <w:rPr>
          <w:i/>
          <w:vertAlign w:val="subscript"/>
        </w:rPr>
        <w:t>s,r</w:t>
      </w:r>
      <w:r w:rsidR="00EE7076">
        <w:rPr>
          <w:vertAlign w:val="subscript"/>
        </w:rPr>
        <w:tab/>
      </w:r>
      <w:r w:rsidR="00EE7076">
        <w:t>=</w:t>
      </w:r>
      <w:r w:rsidR="00EE7076">
        <w:tab/>
        <w:t xml:space="preserve">Annual highway spending for road type </w:t>
      </w:r>
      <w:r w:rsidR="00EE7076">
        <w:rPr>
          <w:i/>
        </w:rPr>
        <w:t xml:space="preserve">r </w:t>
      </w:r>
      <w:r w:rsidR="00EE7076">
        <w:t xml:space="preserve">in state </w:t>
      </w:r>
      <w:r w:rsidR="00EE7076">
        <w:rPr>
          <w:i/>
        </w:rPr>
        <w:t>s</w:t>
      </w:r>
    </w:p>
    <w:p w14:paraId="71A6F8EF" w14:textId="7B447F0D" w:rsidR="00742035" w:rsidRDefault="00742035" w:rsidP="00742035">
      <w:pPr>
        <w:pStyle w:val="NoSpacing"/>
      </w:pPr>
      <w:r>
        <w:rPr>
          <w:i/>
        </w:rPr>
        <w:tab/>
      </w:r>
      <w:r w:rsidRPr="00FE02F4">
        <w:rPr>
          <w:i/>
        </w:rPr>
        <w:t>TDM</w:t>
      </w:r>
      <w:r>
        <w:tab/>
        <w:t>=</w:t>
      </w:r>
      <w:r>
        <w:tab/>
        <w:t>Conversion of dollars spent to road miles constructed, in thousand dollars per mile</w:t>
      </w:r>
    </w:p>
    <w:p w14:paraId="2889E162" w14:textId="77777777" w:rsidR="00742035" w:rsidRDefault="00742035" w:rsidP="00742035">
      <w:pPr>
        <w:pStyle w:val="NoSpacing"/>
      </w:pPr>
      <w:r>
        <w:tab/>
      </w:r>
      <w:r w:rsidRPr="00FE02F4">
        <w:rPr>
          <w:i/>
        </w:rPr>
        <w:t>ADM</w:t>
      </w:r>
      <w:r>
        <w:tab/>
        <w:t>=</w:t>
      </w:r>
      <w:r>
        <w:tab/>
        <w:t>Conversion of road miles constructed to acres disturbed, in acres per mile</w:t>
      </w:r>
    </w:p>
    <w:p w14:paraId="26C2FA3F" w14:textId="77777777" w:rsidR="00742035" w:rsidRPr="00742035" w:rsidRDefault="00742035" w:rsidP="00742035">
      <w:pPr>
        <w:pStyle w:val="NoSpacing"/>
      </w:pPr>
    </w:p>
    <w:p w14:paraId="7579D034" w14:textId="7F0FACC3" w:rsidR="00742035" w:rsidRDefault="00742035" w:rsidP="00742035">
      <w:pPr>
        <w:pStyle w:val="TableCaption"/>
      </w:pPr>
      <w:bookmarkStart w:id="3" w:name="_Ref478638920"/>
      <w:r>
        <w:t xml:space="preserve">Table </w:t>
      </w:r>
      <w:r w:rsidR="00666C66">
        <w:fldChar w:fldCharType="begin"/>
      </w:r>
      <w:r w:rsidR="00666C66">
        <w:instrText xml:space="preserve"> SEQ Table \* ARABIC </w:instrText>
      </w:r>
      <w:r w:rsidR="00666C66">
        <w:fldChar w:fldCharType="separate"/>
      </w:r>
      <w:r>
        <w:rPr>
          <w:noProof/>
        </w:rPr>
        <w:t>1</w:t>
      </w:r>
      <w:r w:rsidR="00666C66">
        <w:rPr>
          <w:noProof/>
        </w:rPr>
        <w:fldChar w:fldCharType="end"/>
      </w:r>
      <w:bookmarkEnd w:id="3"/>
      <w:r>
        <w:t>. Spending per Mile and Acres Disturbed per Mile by Highway Type</w:t>
      </w:r>
    </w:p>
    <w:tbl>
      <w:tblPr>
        <w:tblW w:w="7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480"/>
        <w:gridCol w:w="1700"/>
        <w:gridCol w:w="1700"/>
      </w:tblGrid>
      <w:tr w:rsidR="00742035" w:rsidRPr="003C6C99" w14:paraId="5A305E88" w14:textId="77777777" w:rsidTr="00742035">
        <w:trPr>
          <w:trHeight w:val="900"/>
          <w:jc w:val="center"/>
        </w:trPr>
        <w:tc>
          <w:tcPr>
            <w:tcW w:w="3080" w:type="dxa"/>
            <w:shd w:val="clear" w:color="auto" w:fill="BFBFBF" w:themeFill="background1" w:themeFillShade="BF"/>
            <w:vAlign w:val="center"/>
          </w:tcPr>
          <w:p w14:paraId="09544043" w14:textId="77777777" w:rsidR="00742035" w:rsidRPr="0075757E" w:rsidRDefault="00742035" w:rsidP="0058616C">
            <w:pPr>
              <w:spacing w:after="0"/>
              <w:jc w:val="center"/>
              <w:rPr>
                <w:b/>
                <w:color w:val="000000"/>
                <w:szCs w:val="20"/>
              </w:rPr>
            </w:pPr>
            <w:r w:rsidRPr="0075757E">
              <w:rPr>
                <w:b/>
                <w:color w:val="000000"/>
                <w:szCs w:val="20"/>
              </w:rPr>
              <w:t>Road Type</w:t>
            </w:r>
          </w:p>
        </w:tc>
        <w:tc>
          <w:tcPr>
            <w:tcW w:w="1480" w:type="dxa"/>
            <w:tcBorders>
              <w:bottom w:val="single" w:sz="4" w:space="0" w:color="auto"/>
            </w:tcBorders>
            <w:shd w:val="clear" w:color="auto" w:fill="BFBFBF" w:themeFill="background1" w:themeFillShade="BF"/>
            <w:vAlign w:val="center"/>
          </w:tcPr>
          <w:p w14:paraId="0031FAAC" w14:textId="77777777" w:rsidR="00742035" w:rsidRPr="0075757E" w:rsidRDefault="00742035" w:rsidP="0058616C">
            <w:pPr>
              <w:spacing w:after="0"/>
              <w:jc w:val="center"/>
              <w:rPr>
                <w:b/>
                <w:color w:val="000000"/>
                <w:szCs w:val="20"/>
              </w:rPr>
            </w:pPr>
            <w:r w:rsidRPr="0075757E">
              <w:rPr>
                <w:b/>
                <w:color w:val="000000"/>
                <w:szCs w:val="20"/>
              </w:rPr>
              <w:t>Thousand Dollars per mile</w:t>
            </w:r>
          </w:p>
        </w:tc>
        <w:tc>
          <w:tcPr>
            <w:tcW w:w="1700" w:type="dxa"/>
            <w:tcBorders>
              <w:bottom w:val="single" w:sz="4" w:space="0" w:color="auto"/>
            </w:tcBorders>
            <w:shd w:val="clear" w:color="auto" w:fill="BFBFBF" w:themeFill="background1" w:themeFillShade="BF"/>
            <w:vAlign w:val="center"/>
          </w:tcPr>
          <w:p w14:paraId="186A5208" w14:textId="0BEE2284" w:rsidR="00742035" w:rsidRPr="0075757E" w:rsidRDefault="00742035" w:rsidP="0058616C">
            <w:pPr>
              <w:spacing w:after="0"/>
              <w:jc w:val="center"/>
              <w:rPr>
                <w:b/>
                <w:color w:val="000000"/>
                <w:szCs w:val="20"/>
                <w:vertAlign w:val="superscript"/>
              </w:rPr>
            </w:pPr>
            <w:r w:rsidRPr="0075757E">
              <w:rPr>
                <w:b/>
                <w:color w:val="000000"/>
                <w:szCs w:val="20"/>
              </w:rPr>
              <w:t>Total Affected Roadway Width (ft)*</w:t>
            </w:r>
          </w:p>
        </w:tc>
        <w:tc>
          <w:tcPr>
            <w:tcW w:w="1700" w:type="dxa"/>
            <w:tcBorders>
              <w:bottom w:val="single" w:sz="4" w:space="0" w:color="auto"/>
            </w:tcBorders>
            <w:shd w:val="clear" w:color="auto" w:fill="BFBFBF" w:themeFill="background1" w:themeFillShade="BF"/>
            <w:vAlign w:val="center"/>
          </w:tcPr>
          <w:p w14:paraId="41D9C391" w14:textId="5D61CC79" w:rsidR="00742035" w:rsidRPr="0075757E" w:rsidRDefault="00742035" w:rsidP="0058616C">
            <w:pPr>
              <w:spacing w:after="0"/>
              <w:jc w:val="center"/>
              <w:rPr>
                <w:b/>
                <w:color w:val="000000"/>
                <w:szCs w:val="20"/>
                <w:vertAlign w:val="superscript"/>
              </w:rPr>
            </w:pPr>
            <w:r w:rsidRPr="0075757E">
              <w:rPr>
                <w:b/>
                <w:color w:val="000000"/>
                <w:szCs w:val="20"/>
              </w:rPr>
              <w:t>Acres Disturbed per mile</w:t>
            </w:r>
          </w:p>
        </w:tc>
      </w:tr>
      <w:tr w:rsidR="00742035" w:rsidRPr="003C6C99" w14:paraId="054FDC97" w14:textId="77777777" w:rsidTr="00742035">
        <w:trPr>
          <w:trHeight w:val="300"/>
          <w:jc w:val="center"/>
        </w:trPr>
        <w:tc>
          <w:tcPr>
            <w:tcW w:w="3080" w:type="dxa"/>
            <w:shd w:val="clear" w:color="auto" w:fill="auto"/>
            <w:vAlign w:val="bottom"/>
          </w:tcPr>
          <w:p w14:paraId="0CA7770E" w14:textId="77777777" w:rsidR="00742035" w:rsidRPr="003C6C99" w:rsidRDefault="00742035" w:rsidP="0058616C">
            <w:pPr>
              <w:spacing w:after="0"/>
              <w:rPr>
                <w:color w:val="000000"/>
                <w:szCs w:val="20"/>
              </w:rPr>
            </w:pPr>
            <w:r w:rsidRPr="003C6C99">
              <w:rPr>
                <w:color w:val="000000"/>
                <w:szCs w:val="20"/>
              </w:rPr>
              <w:t>Urban Areas, Interstate</w:t>
            </w:r>
          </w:p>
        </w:tc>
        <w:tc>
          <w:tcPr>
            <w:tcW w:w="1480" w:type="dxa"/>
            <w:shd w:val="clear" w:color="000000" w:fill="auto"/>
            <w:noWrap/>
          </w:tcPr>
          <w:p w14:paraId="0F8EF9EE" w14:textId="77777777" w:rsidR="00742035" w:rsidRPr="003C6C99" w:rsidRDefault="00742035" w:rsidP="00274DC7">
            <w:pPr>
              <w:spacing w:after="0"/>
              <w:ind w:right="382"/>
              <w:jc w:val="right"/>
              <w:rPr>
                <w:color w:val="000000"/>
                <w:szCs w:val="20"/>
              </w:rPr>
            </w:pPr>
            <w:r w:rsidRPr="003C6C99">
              <w:rPr>
                <w:szCs w:val="20"/>
              </w:rPr>
              <w:t>6,895</w:t>
            </w:r>
          </w:p>
        </w:tc>
        <w:tc>
          <w:tcPr>
            <w:tcW w:w="1700" w:type="dxa"/>
            <w:shd w:val="clear" w:color="000000" w:fill="auto"/>
          </w:tcPr>
          <w:p w14:paraId="7B16C885" w14:textId="77777777" w:rsidR="00742035" w:rsidRPr="003C6C99" w:rsidRDefault="00742035" w:rsidP="00274DC7">
            <w:pPr>
              <w:spacing w:after="0"/>
              <w:jc w:val="center"/>
              <w:rPr>
                <w:color w:val="000000"/>
                <w:szCs w:val="20"/>
              </w:rPr>
            </w:pPr>
            <w:r w:rsidRPr="003C6C99">
              <w:rPr>
                <w:szCs w:val="20"/>
              </w:rPr>
              <w:t>94</w:t>
            </w:r>
          </w:p>
        </w:tc>
        <w:tc>
          <w:tcPr>
            <w:tcW w:w="1700" w:type="dxa"/>
            <w:shd w:val="clear" w:color="000000" w:fill="auto"/>
            <w:noWrap/>
          </w:tcPr>
          <w:p w14:paraId="341784D6" w14:textId="77777777" w:rsidR="00742035" w:rsidRPr="003C6C99" w:rsidRDefault="00742035" w:rsidP="00274DC7">
            <w:pPr>
              <w:spacing w:after="0"/>
              <w:ind w:right="382"/>
              <w:jc w:val="right"/>
              <w:rPr>
                <w:color w:val="000000"/>
                <w:szCs w:val="20"/>
              </w:rPr>
            </w:pPr>
            <w:r w:rsidRPr="003C6C99">
              <w:rPr>
                <w:szCs w:val="20"/>
              </w:rPr>
              <w:t>11.4</w:t>
            </w:r>
          </w:p>
        </w:tc>
      </w:tr>
      <w:tr w:rsidR="00742035" w:rsidRPr="003C6C99" w14:paraId="6CCAE9B0" w14:textId="77777777" w:rsidTr="00742035">
        <w:trPr>
          <w:trHeight w:val="300"/>
          <w:jc w:val="center"/>
        </w:trPr>
        <w:tc>
          <w:tcPr>
            <w:tcW w:w="3080" w:type="dxa"/>
            <w:shd w:val="clear" w:color="auto" w:fill="auto"/>
            <w:vAlign w:val="bottom"/>
          </w:tcPr>
          <w:p w14:paraId="63CE2DF9" w14:textId="77777777" w:rsidR="00742035" w:rsidRPr="003C6C99" w:rsidRDefault="00742035" w:rsidP="0058616C">
            <w:pPr>
              <w:spacing w:after="0"/>
              <w:rPr>
                <w:color w:val="000000"/>
                <w:szCs w:val="20"/>
              </w:rPr>
            </w:pPr>
            <w:r w:rsidRPr="003C6C99">
              <w:rPr>
                <w:color w:val="000000"/>
                <w:szCs w:val="20"/>
              </w:rPr>
              <w:t>Rural Areas, Interstate</w:t>
            </w:r>
          </w:p>
        </w:tc>
        <w:tc>
          <w:tcPr>
            <w:tcW w:w="1480" w:type="dxa"/>
            <w:shd w:val="clear" w:color="000000" w:fill="auto"/>
            <w:noWrap/>
          </w:tcPr>
          <w:p w14:paraId="77C68E3C" w14:textId="77777777" w:rsidR="00742035" w:rsidRPr="003C6C99" w:rsidRDefault="00742035" w:rsidP="00274DC7">
            <w:pPr>
              <w:spacing w:after="0"/>
              <w:ind w:right="382"/>
              <w:jc w:val="right"/>
              <w:rPr>
                <w:color w:val="000000"/>
                <w:szCs w:val="20"/>
              </w:rPr>
            </w:pPr>
            <w:r w:rsidRPr="003C6C99">
              <w:rPr>
                <w:szCs w:val="20"/>
              </w:rPr>
              <w:t>3,810</w:t>
            </w:r>
          </w:p>
        </w:tc>
        <w:tc>
          <w:tcPr>
            <w:tcW w:w="1700" w:type="dxa"/>
            <w:shd w:val="clear" w:color="000000" w:fill="auto"/>
          </w:tcPr>
          <w:p w14:paraId="174B7967" w14:textId="77777777" w:rsidR="00742035" w:rsidRPr="003C6C99" w:rsidRDefault="00742035" w:rsidP="00274DC7">
            <w:pPr>
              <w:spacing w:after="0"/>
              <w:jc w:val="center"/>
              <w:rPr>
                <w:color w:val="000000"/>
                <w:szCs w:val="20"/>
              </w:rPr>
            </w:pPr>
            <w:r w:rsidRPr="003C6C99">
              <w:rPr>
                <w:szCs w:val="20"/>
              </w:rPr>
              <w:t>89</w:t>
            </w:r>
          </w:p>
        </w:tc>
        <w:tc>
          <w:tcPr>
            <w:tcW w:w="1700" w:type="dxa"/>
            <w:shd w:val="clear" w:color="000000" w:fill="auto"/>
            <w:noWrap/>
          </w:tcPr>
          <w:p w14:paraId="457D2395" w14:textId="77777777" w:rsidR="00742035" w:rsidRPr="003C6C99" w:rsidRDefault="00742035" w:rsidP="00274DC7">
            <w:pPr>
              <w:spacing w:after="0"/>
              <w:ind w:right="382"/>
              <w:jc w:val="right"/>
              <w:rPr>
                <w:color w:val="000000"/>
                <w:szCs w:val="20"/>
              </w:rPr>
            </w:pPr>
            <w:r w:rsidRPr="003C6C99">
              <w:rPr>
                <w:szCs w:val="20"/>
              </w:rPr>
              <w:t>10.8</w:t>
            </w:r>
          </w:p>
        </w:tc>
      </w:tr>
      <w:tr w:rsidR="00742035" w:rsidRPr="003C6C99" w14:paraId="025ED5E9" w14:textId="77777777" w:rsidTr="00742035">
        <w:trPr>
          <w:trHeight w:val="600"/>
          <w:jc w:val="center"/>
        </w:trPr>
        <w:tc>
          <w:tcPr>
            <w:tcW w:w="3080" w:type="dxa"/>
            <w:shd w:val="clear" w:color="auto" w:fill="auto"/>
            <w:vAlign w:val="bottom"/>
          </w:tcPr>
          <w:p w14:paraId="3F73E79E" w14:textId="77777777" w:rsidR="00742035" w:rsidRPr="003C6C99" w:rsidRDefault="00742035" w:rsidP="0058616C">
            <w:pPr>
              <w:spacing w:after="0"/>
              <w:rPr>
                <w:color w:val="000000"/>
                <w:szCs w:val="20"/>
              </w:rPr>
            </w:pPr>
            <w:r w:rsidRPr="003C6C99">
              <w:rPr>
                <w:color w:val="000000"/>
                <w:szCs w:val="20"/>
              </w:rPr>
              <w:t>Urban Areas, Other Arterials</w:t>
            </w:r>
          </w:p>
        </w:tc>
        <w:tc>
          <w:tcPr>
            <w:tcW w:w="1480" w:type="dxa"/>
            <w:shd w:val="clear" w:color="000000" w:fill="auto"/>
            <w:noWrap/>
          </w:tcPr>
          <w:p w14:paraId="5C897AC7" w14:textId="77777777" w:rsidR="00742035" w:rsidRPr="003C6C99" w:rsidRDefault="00742035" w:rsidP="00274DC7">
            <w:pPr>
              <w:spacing w:after="0"/>
              <w:ind w:right="382"/>
              <w:jc w:val="right"/>
              <w:rPr>
                <w:color w:val="000000"/>
                <w:szCs w:val="20"/>
              </w:rPr>
            </w:pPr>
            <w:r w:rsidRPr="003C6C99">
              <w:rPr>
                <w:szCs w:val="20"/>
              </w:rPr>
              <w:t>4,112</w:t>
            </w:r>
          </w:p>
        </w:tc>
        <w:tc>
          <w:tcPr>
            <w:tcW w:w="1700" w:type="dxa"/>
            <w:shd w:val="clear" w:color="000000" w:fill="auto"/>
          </w:tcPr>
          <w:p w14:paraId="21381117" w14:textId="77777777" w:rsidR="00742035" w:rsidRPr="003C6C99" w:rsidRDefault="00742035" w:rsidP="00274DC7">
            <w:pPr>
              <w:spacing w:after="0"/>
              <w:jc w:val="center"/>
              <w:rPr>
                <w:color w:val="000000"/>
                <w:szCs w:val="20"/>
              </w:rPr>
            </w:pPr>
            <w:r w:rsidRPr="003C6C99">
              <w:rPr>
                <w:szCs w:val="20"/>
              </w:rPr>
              <w:t>63</w:t>
            </w:r>
          </w:p>
        </w:tc>
        <w:tc>
          <w:tcPr>
            <w:tcW w:w="1700" w:type="dxa"/>
            <w:shd w:val="clear" w:color="000000" w:fill="auto"/>
            <w:noWrap/>
          </w:tcPr>
          <w:p w14:paraId="7EF46F4D" w14:textId="77777777" w:rsidR="00742035" w:rsidRPr="003C6C99" w:rsidRDefault="00742035" w:rsidP="00274DC7">
            <w:pPr>
              <w:spacing w:after="0"/>
              <w:ind w:right="382"/>
              <w:jc w:val="right"/>
              <w:rPr>
                <w:color w:val="000000"/>
                <w:szCs w:val="20"/>
              </w:rPr>
            </w:pPr>
            <w:r w:rsidRPr="003C6C99">
              <w:rPr>
                <w:szCs w:val="20"/>
              </w:rPr>
              <w:t>7.6</w:t>
            </w:r>
          </w:p>
        </w:tc>
      </w:tr>
      <w:tr w:rsidR="00742035" w:rsidRPr="003C6C99" w14:paraId="3D1984FC" w14:textId="77777777" w:rsidTr="00742035">
        <w:trPr>
          <w:trHeight w:val="600"/>
          <w:jc w:val="center"/>
        </w:trPr>
        <w:tc>
          <w:tcPr>
            <w:tcW w:w="3080" w:type="dxa"/>
            <w:shd w:val="clear" w:color="auto" w:fill="auto"/>
            <w:vAlign w:val="bottom"/>
          </w:tcPr>
          <w:p w14:paraId="0B410591" w14:textId="77777777" w:rsidR="00742035" w:rsidRPr="003C6C99" w:rsidRDefault="00742035" w:rsidP="0058616C">
            <w:pPr>
              <w:spacing w:after="0"/>
              <w:rPr>
                <w:color w:val="000000"/>
                <w:szCs w:val="20"/>
              </w:rPr>
            </w:pPr>
            <w:r w:rsidRPr="003C6C99">
              <w:rPr>
                <w:color w:val="000000"/>
                <w:szCs w:val="20"/>
              </w:rPr>
              <w:t>Rural Areas, Other Arterials</w:t>
            </w:r>
          </w:p>
        </w:tc>
        <w:tc>
          <w:tcPr>
            <w:tcW w:w="1480" w:type="dxa"/>
            <w:shd w:val="clear" w:color="000000" w:fill="auto"/>
            <w:noWrap/>
          </w:tcPr>
          <w:p w14:paraId="587F4ED0" w14:textId="77777777" w:rsidR="00742035" w:rsidRPr="003C6C99" w:rsidRDefault="00742035" w:rsidP="00274DC7">
            <w:pPr>
              <w:spacing w:after="0"/>
              <w:ind w:right="382"/>
              <w:jc w:val="right"/>
              <w:rPr>
                <w:color w:val="000000"/>
                <w:szCs w:val="20"/>
              </w:rPr>
            </w:pPr>
            <w:r w:rsidRPr="003C6C99">
              <w:rPr>
                <w:szCs w:val="20"/>
              </w:rPr>
              <w:t>2,076</w:t>
            </w:r>
          </w:p>
        </w:tc>
        <w:tc>
          <w:tcPr>
            <w:tcW w:w="1700" w:type="dxa"/>
            <w:shd w:val="clear" w:color="000000" w:fill="auto"/>
          </w:tcPr>
          <w:p w14:paraId="26FF68CE" w14:textId="77777777" w:rsidR="00742035" w:rsidRPr="003C6C99" w:rsidRDefault="00742035" w:rsidP="00274DC7">
            <w:pPr>
              <w:spacing w:after="0"/>
              <w:jc w:val="center"/>
              <w:rPr>
                <w:color w:val="000000"/>
                <w:szCs w:val="20"/>
              </w:rPr>
            </w:pPr>
            <w:r w:rsidRPr="003C6C99">
              <w:rPr>
                <w:szCs w:val="20"/>
              </w:rPr>
              <w:t>55</w:t>
            </w:r>
          </w:p>
        </w:tc>
        <w:tc>
          <w:tcPr>
            <w:tcW w:w="1700" w:type="dxa"/>
            <w:shd w:val="clear" w:color="000000" w:fill="auto"/>
            <w:noWrap/>
          </w:tcPr>
          <w:p w14:paraId="2F647CEE" w14:textId="77777777" w:rsidR="00742035" w:rsidRPr="003C6C99" w:rsidRDefault="00742035" w:rsidP="00274DC7">
            <w:pPr>
              <w:spacing w:after="0"/>
              <w:ind w:right="382"/>
              <w:jc w:val="right"/>
              <w:rPr>
                <w:color w:val="000000"/>
                <w:szCs w:val="20"/>
              </w:rPr>
            </w:pPr>
            <w:r w:rsidRPr="003C6C99">
              <w:rPr>
                <w:szCs w:val="20"/>
              </w:rPr>
              <w:t>6.6</w:t>
            </w:r>
          </w:p>
        </w:tc>
      </w:tr>
      <w:tr w:rsidR="00742035" w:rsidRPr="003C6C99" w14:paraId="2103A16B" w14:textId="77777777" w:rsidTr="00742035">
        <w:trPr>
          <w:trHeight w:val="300"/>
          <w:jc w:val="center"/>
        </w:trPr>
        <w:tc>
          <w:tcPr>
            <w:tcW w:w="3080" w:type="dxa"/>
            <w:shd w:val="clear" w:color="auto" w:fill="auto"/>
            <w:vAlign w:val="bottom"/>
          </w:tcPr>
          <w:p w14:paraId="170F9F2D" w14:textId="77777777" w:rsidR="00742035" w:rsidRPr="003C6C99" w:rsidRDefault="00742035" w:rsidP="0058616C">
            <w:pPr>
              <w:spacing w:after="0"/>
              <w:rPr>
                <w:color w:val="000000"/>
                <w:szCs w:val="20"/>
              </w:rPr>
            </w:pPr>
            <w:r w:rsidRPr="003C6C99">
              <w:rPr>
                <w:color w:val="000000"/>
                <w:szCs w:val="20"/>
              </w:rPr>
              <w:t>Urban Areas, Collectors</w:t>
            </w:r>
          </w:p>
        </w:tc>
        <w:tc>
          <w:tcPr>
            <w:tcW w:w="1480" w:type="dxa"/>
            <w:shd w:val="clear" w:color="000000" w:fill="auto"/>
            <w:noWrap/>
          </w:tcPr>
          <w:p w14:paraId="4D5A3CD7" w14:textId="77777777" w:rsidR="00742035" w:rsidRPr="003C6C99" w:rsidRDefault="00742035" w:rsidP="00274DC7">
            <w:pPr>
              <w:spacing w:after="0"/>
              <w:ind w:right="382"/>
              <w:jc w:val="right"/>
              <w:rPr>
                <w:color w:val="000000"/>
                <w:szCs w:val="20"/>
              </w:rPr>
            </w:pPr>
            <w:r w:rsidRPr="003C6C99">
              <w:rPr>
                <w:szCs w:val="20"/>
              </w:rPr>
              <w:t>4,112</w:t>
            </w:r>
          </w:p>
        </w:tc>
        <w:tc>
          <w:tcPr>
            <w:tcW w:w="1700" w:type="dxa"/>
            <w:shd w:val="clear" w:color="000000" w:fill="auto"/>
          </w:tcPr>
          <w:p w14:paraId="19DCE67D" w14:textId="77777777" w:rsidR="00742035" w:rsidRPr="003C6C99" w:rsidRDefault="00742035" w:rsidP="00274DC7">
            <w:pPr>
              <w:spacing w:after="0"/>
              <w:jc w:val="center"/>
              <w:rPr>
                <w:color w:val="000000"/>
                <w:szCs w:val="20"/>
              </w:rPr>
            </w:pPr>
            <w:r w:rsidRPr="003C6C99">
              <w:rPr>
                <w:szCs w:val="20"/>
              </w:rPr>
              <w:t>63</w:t>
            </w:r>
          </w:p>
        </w:tc>
        <w:tc>
          <w:tcPr>
            <w:tcW w:w="1700" w:type="dxa"/>
            <w:shd w:val="clear" w:color="000000" w:fill="auto"/>
            <w:noWrap/>
          </w:tcPr>
          <w:p w14:paraId="4A830FD8" w14:textId="77777777" w:rsidR="00742035" w:rsidRPr="003C6C99" w:rsidRDefault="00742035" w:rsidP="00274DC7">
            <w:pPr>
              <w:spacing w:after="0"/>
              <w:ind w:right="382"/>
              <w:jc w:val="right"/>
              <w:rPr>
                <w:color w:val="000000"/>
                <w:szCs w:val="20"/>
              </w:rPr>
            </w:pPr>
            <w:r w:rsidRPr="003C6C99">
              <w:rPr>
                <w:szCs w:val="20"/>
              </w:rPr>
              <w:t>7.6</w:t>
            </w:r>
          </w:p>
        </w:tc>
      </w:tr>
      <w:tr w:rsidR="00742035" w:rsidRPr="003C6C99" w14:paraId="4987117E" w14:textId="77777777" w:rsidTr="00742035">
        <w:trPr>
          <w:trHeight w:val="300"/>
          <w:jc w:val="center"/>
        </w:trPr>
        <w:tc>
          <w:tcPr>
            <w:tcW w:w="3080" w:type="dxa"/>
            <w:shd w:val="clear" w:color="auto" w:fill="auto"/>
            <w:vAlign w:val="bottom"/>
          </w:tcPr>
          <w:p w14:paraId="23545872" w14:textId="77777777" w:rsidR="00742035" w:rsidRPr="003C6C99" w:rsidRDefault="00742035" w:rsidP="0058616C">
            <w:pPr>
              <w:spacing w:after="0"/>
              <w:rPr>
                <w:color w:val="000000"/>
                <w:szCs w:val="20"/>
              </w:rPr>
            </w:pPr>
            <w:r w:rsidRPr="003C6C99">
              <w:rPr>
                <w:color w:val="000000"/>
                <w:szCs w:val="20"/>
              </w:rPr>
              <w:t>Rural Areas, Collectors</w:t>
            </w:r>
          </w:p>
        </w:tc>
        <w:tc>
          <w:tcPr>
            <w:tcW w:w="1480" w:type="dxa"/>
            <w:shd w:val="clear" w:color="000000" w:fill="auto"/>
            <w:noWrap/>
          </w:tcPr>
          <w:p w14:paraId="75D1C755" w14:textId="77777777" w:rsidR="00742035" w:rsidRPr="003C6C99" w:rsidRDefault="00742035" w:rsidP="00274DC7">
            <w:pPr>
              <w:spacing w:after="0"/>
              <w:ind w:right="382"/>
              <w:jc w:val="right"/>
              <w:rPr>
                <w:color w:val="000000"/>
                <w:szCs w:val="20"/>
              </w:rPr>
            </w:pPr>
            <w:r w:rsidRPr="003C6C99">
              <w:rPr>
                <w:szCs w:val="20"/>
              </w:rPr>
              <w:t>2,076</w:t>
            </w:r>
          </w:p>
        </w:tc>
        <w:tc>
          <w:tcPr>
            <w:tcW w:w="1700" w:type="dxa"/>
            <w:shd w:val="clear" w:color="000000" w:fill="auto"/>
          </w:tcPr>
          <w:p w14:paraId="0BD8F162" w14:textId="77777777" w:rsidR="00742035" w:rsidRPr="003C6C99" w:rsidRDefault="00742035" w:rsidP="00274DC7">
            <w:pPr>
              <w:spacing w:after="0"/>
              <w:jc w:val="center"/>
              <w:rPr>
                <w:color w:val="000000"/>
                <w:szCs w:val="20"/>
              </w:rPr>
            </w:pPr>
            <w:r w:rsidRPr="003C6C99">
              <w:rPr>
                <w:szCs w:val="20"/>
              </w:rPr>
              <w:t>55</w:t>
            </w:r>
          </w:p>
        </w:tc>
        <w:tc>
          <w:tcPr>
            <w:tcW w:w="1700" w:type="dxa"/>
            <w:shd w:val="clear" w:color="000000" w:fill="auto"/>
            <w:noWrap/>
          </w:tcPr>
          <w:p w14:paraId="1CB0E67D" w14:textId="77777777" w:rsidR="00742035" w:rsidRPr="003C6C99" w:rsidRDefault="00742035" w:rsidP="00274DC7">
            <w:pPr>
              <w:spacing w:after="0"/>
              <w:ind w:right="382"/>
              <w:jc w:val="right"/>
              <w:rPr>
                <w:color w:val="000000"/>
                <w:szCs w:val="20"/>
              </w:rPr>
            </w:pPr>
            <w:r w:rsidRPr="003C6C99">
              <w:rPr>
                <w:szCs w:val="20"/>
              </w:rPr>
              <w:t>6.6</w:t>
            </w:r>
          </w:p>
        </w:tc>
      </w:tr>
      <w:tr w:rsidR="00742035" w:rsidRPr="003C6C99" w14:paraId="4B857209" w14:textId="77777777" w:rsidTr="00742035">
        <w:trPr>
          <w:trHeight w:val="300"/>
          <w:jc w:val="center"/>
        </w:trPr>
        <w:tc>
          <w:tcPr>
            <w:tcW w:w="7960" w:type="dxa"/>
            <w:gridSpan w:val="4"/>
            <w:shd w:val="clear" w:color="auto" w:fill="auto"/>
            <w:vAlign w:val="bottom"/>
          </w:tcPr>
          <w:p w14:paraId="5DB6DE92" w14:textId="77777777" w:rsidR="00742035" w:rsidRPr="003C6C99" w:rsidRDefault="00742035" w:rsidP="0058616C">
            <w:pPr>
              <w:spacing w:after="0"/>
              <w:rPr>
                <w:color w:val="000000"/>
                <w:szCs w:val="20"/>
              </w:rPr>
            </w:pPr>
            <w:r w:rsidRPr="003C6C99">
              <w:rPr>
                <w:color w:val="000000"/>
                <w:szCs w:val="20"/>
              </w:rPr>
              <w:t>*Total Affected Roadway Width = (lane width (12 ft) * number of lanes) + (shoulder width * number of shoulders) + area affected beyond road width (25 ft)</w:t>
            </w:r>
          </w:p>
        </w:tc>
      </w:tr>
    </w:tbl>
    <w:p w14:paraId="0DCB02E6" w14:textId="63AE6535" w:rsidR="00742035" w:rsidRPr="00274DC7" w:rsidRDefault="00274DC7"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ab/>
      </w:r>
      <w:r>
        <w:rPr>
          <w:i/>
          <w:szCs w:val="20"/>
        </w:rPr>
        <w:t>Source</w:t>
      </w:r>
      <w:r>
        <w:rPr>
          <w:szCs w:val="20"/>
        </w:rPr>
        <w:t xml:space="preserve">: Reference </w:t>
      </w:r>
      <w:r>
        <w:rPr>
          <w:szCs w:val="20"/>
        </w:rPr>
        <w:fldChar w:fldCharType="begin"/>
      </w:r>
      <w:r>
        <w:rPr>
          <w:szCs w:val="20"/>
        </w:rPr>
        <w:instrText xml:space="preserve"> NOTEREF _Ref478672722 \h </w:instrText>
      </w:r>
      <w:r>
        <w:rPr>
          <w:szCs w:val="20"/>
        </w:rPr>
      </w:r>
      <w:r>
        <w:rPr>
          <w:szCs w:val="20"/>
        </w:rPr>
        <w:fldChar w:fldCharType="separate"/>
      </w:r>
      <w:r>
        <w:rPr>
          <w:szCs w:val="20"/>
        </w:rPr>
        <w:t>2</w:t>
      </w:r>
      <w:r>
        <w:rPr>
          <w:szCs w:val="20"/>
        </w:rPr>
        <w:fldChar w:fldCharType="end"/>
      </w:r>
      <w:r>
        <w:rPr>
          <w:szCs w:val="20"/>
        </w:rPr>
        <w:t xml:space="preserve">. </w:t>
      </w:r>
    </w:p>
    <w:p w14:paraId="4A5163E3" w14:textId="7C8D7F7D" w:rsidR="007F53C1" w:rsidRDefault="007F53C1" w:rsidP="007F53C1">
      <w:pPr>
        <w:widowControl/>
        <w:tabs>
          <w:tab w:val="left" w:pos="0"/>
        </w:tabs>
        <w:rPr>
          <w:szCs w:val="20"/>
        </w:rPr>
      </w:pPr>
      <w:r>
        <w:rPr>
          <w:szCs w:val="20"/>
        </w:rPr>
        <w:t xml:space="preserve">The </w:t>
      </w:r>
      <w:r w:rsidR="00742035">
        <w:rPr>
          <w:szCs w:val="20"/>
        </w:rPr>
        <w:t xml:space="preserve">acres of land disturbed by road type can then be summed across all road types in a state to calculate the total state-level acreage disturbed due to new road </w:t>
      </w:r>
      <w:r w:rsidR="00F51B57">
        <w:rPr>
          <w:szCs w:val="20"/>
        </w:rPr>
        <w:t>construction.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7F53C1" w14:paraId="6B0A8CC7" w14:textId="77777777" w:rsidTr="00F33727">
        <w:trPr>
          <w:trHeight w:val="297"/>
        </w:trPr>
        <w:tc>
          <w:tcPr>
            <w:tcW w:w="8748" w:type="dxa"/>
          </w:tcPr>
          <w:p w14:paraId="2F71E33E" w14:textId="1CEA024A" w:rsidR="007F53C1" w:rsidRDefault="00666C66" w:rsidP="00F33727">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s</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r</m:t>
                    </m:r>
                  </m:sub>
                  <m:sup/>
                  <m:e>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m:t>
                        </m:r>
                      </m:sub>
                    </m:sSub>
                  </m:e>
                </m:nary>
              </m:oMath>
            </m:oMathPara>
          </w:p>
        </w:tc>
        <w:tc>
          <w:tcPr>
            <w:tcW w:w="828" w:type="dxa"/>
          </w:tcPr>
          <w:p w14:paraId="3F278AF4" w14:textId="77777777" w:rsidR="007F53C1" w:rsidRPr="00986448" w:rsidRDefault="007F53C1" w:rsidP="00EE7076">
            <w:pPr>
              <w:pStyle w:val="ListParagraph"/>
              <w:widowControl/>
              <w:numPr>
                <w:ilvl w:val="0"/>
                <w:numId w:val="10"/>
              </w:numPr>
              <w:autoSpaceDE/>
              <w:autoSpaceDN/>
              <w:adjustRightInd/>
              <w:jc w:val="right"/>
              <w:rPr>
                <w:szCs w:val="20"/>
              </w:rPr>
            </w:pPr>
          </w:p>
        </w:tc>
      </w:tr>
    </w:tbl>
    <w:p w14:paraId="0EC79BD7" w14:textId="77777777" w:rsidR="007F53C1" w:rsidRDefault="007F53C1" w:rsidP="007F53C1">
      <w:pPr>
        <w:widowControl/>
        <w:tabs>
          <w:tab w:val="left" w:pos="0"/>
        </w:tabs>
        <w:rPr>
          <w:szCs w:val="20"/>
        </w:rPr>
      </w:pPr>
      <w:r>
        <w:rPr>
          <w:szCs w:val="20"/>
        </w:rPr>
        <w:t>Where:</w:t>
      </w:r>
    </w:p>
    <w:p w14:paraId="755E54D3" w14:textId="7F9F3FF5" w:rsidR="00742035" w:rsidRDefault="00742035" w:rsidP="00742035">
      <w:pPr>
        <w:pStyle w:val="References"/>
        <w:tabs>
          <w:tab w:val="left" w:pos="540"/>
          <w:tab w:val="left" w:pos="1260"/>
          <w:tab w:val="left" w:pos="1620"/>
        </w:tabs>
        <w:rPr>
          <w:i/>
        </w:rPr>
      </w:pPr>
      <w:r>
        <w:tab/>
      </w:r>
      <w:r>
        <w:rPr>
          <w:i/>
        </w:rPr>
        <w:t>A</w:t>
      </w:r>
      <w:r>
        <w:rPr>
          <w:i/>
          <w:vertAlign w:val="subscript"/>
        </w:rPr>
        <w:t>s</w:t>
      </w:r>
      <w:r>
        <w:rPr>
          <w:i/>
          <w:vertAlign w:val="subscript"/>
        </w:rPr>
        <w:tab/>
      </w:r>
      <w:r>
        <w:t>=</w:t>
      </w:r>
      <w:r>
        <w:tab/>
        <w:t xml:space="preserve">Acres of land disturbed for all road construction in state </w:t>
      </w:r>
      <w:r>
        <w:rPr>
          <w:i/>
        </w:rPr>
        <w:t>s</w:t>
      </w:r>
    </w:p>
    <w:p w14:paraId="23319C49" w14:textId="77777777" w:rsidR="00274DC7" w:rsidRDefault="00274DC7" w:rsidP="00274DC7">
      <w:pPr>
        <w:pStyle w:val="References"/>
        <w:tabs>
          <w:tab w:val="left" w:pos="540"/>
          <w:tab w:val="left" w:pos="1260"/>
          <w:tab w:val="left" w:pos="1620"/>
        </w:tabs>
      </w:pPr>
      <w:r>
        <w:tab/>
      </w:r>
      <w:r w:rsidRPr="00FE02F4">
        <w:rPr>
          <w:i/>
        </w:rPr>
        <w:t>RC</w:t>
      </w:r>
      <w:r w:rsidRPr="00FE02F4">
        <w:rPr>
          <w:i/>
          <w:vertAlign w:val="subscript"/>
        </w:rPr>
        <w:t>a,s</w:t>
      </w:r>
      <w:r>
        <w:rPr>
          <w:vertAlign w:val="subscript"/>
        </w:rPr>
        <w:tab/>
      </w:r>
      <w:r>
        <w:t>=</w:t>
      </w:r>
      <w:r>
        <w:tab/>
        <w:t xml:space="preserve">Acres of land disturbed for construction of FHWA road type </w:t>
      </w:r>
      <w:r>
        <w:rPr>
          <w:i/>
        </w:rPr>
        <w:t xml:space="preserve">r </w:t>
      </w:r>
      <w:r>
        <w:t xml:space="preserve">in state </w:t>
      </w:r>
      <w:r>
        <w:rPr>
          <w:i/>
        </w:rPr>
        <w:t>s</w:t>
      </w:r>
    </w:p>
    <w:p w14:paraId="0E785980" w14:textId="77777777" w:rsidR="00742035" w:rsidRPr="00742035" w:rsidRDefault="00742035" w:rsidP="00742035">
      <w:pPr>
        <w:pStyle w:val="References"/>
      </w:pPr>
    </w:p>
    <w:p w14:paraId="2B7A5F9D" w14:textId="5C9CAA50" w:rsidR="00ED0BEB" w:rsidRPr="00742035" w:rsidRDefault="00ED0BEB" w:rsidP="00742035">
      <w:pPr>
        <w:rPr>
          <w:i/>
        </w:rPr>
      </w:pPr>
      <w:r>
        <w:t xml:space="preserve">The process used to distribute the state-level amount of </w:t>
      </w:r>
      <w:r w:rsidR="00742035">
        <w:t>acreage disturbed t</w:t>
      </w:r>
      <w:r>
        <w:t xml:space="preserve">o the counties is discussed in section </w:t>
      </w:r>
      <w:r>
        <w:fldChar w:fldCharType="begin"/>
      </w:r>
      <w:r>
        <w:instrText xml:space="preserve"> REF _Ref477177506 \r \h </w:instrText>
      </w:r>
      <w:r w:rsidR="00742035">
        <w:instrText xml:space="preserve"> \* MERGEFORMAT </w:instrText>
      </w:r>
      <w:r>
        <w:fldChar w:fldCharType="separate"/>
      </w:r>
      <w:r w:rsidR="00073181">
        <w:t>D</w:t>
      </w:r>
      <w:r>
        <w:fldChar w:fldCharType="end"/>
      </w:r>
      <w:r>
        <w:t xml:space="preserve">. </w:t>
      </w:r>
    </w:p>
    <w:p w14:paraId="229D649F" w14:textId="3B49A132" w:rsidR="00B97E6E" w:rsidRDefault="007D6365" w:rsidP="00052E59">
      <w:pPr>
        <w:pStyle w:val="Heading1"/>
      </w:pPr>
      <w:bookmarkStart w:id="4" w:name="_Ref477177506"/>
      <w:r>
        <w:t>A</w:t>
      </w:r>
      <w:r w:rsidR="00B97E6E" w:rsidRPr="00203DFF">
        <w:t>llocation Procedure</w:t>
      </w:r>
      <w:bookmarkEnd w:id="4"/>
      <w:r w:rsidR="00B97E6E" w:rsidRPr="009820A2">
        <w:t xml:space="preserve"> </w:t>
      </w:r>
    </w:p>
    <w:p w14:paraId="304B878F" w14:textId="3197D3E2" w:rsidR="00F51B57" w:rsidRDefault="00F51B57" w:rsidP="00F51B57">
      <w:pPr>
        <w:spacing w:after="0"/>
        <w:rPr>
          <w:szCs w:val="20"/>
        </w:rPr>
      </w:pPr>
      <w:bookmarkStart w:id="5" w:name="_Ref477177456"/>
      <w:r w:rsidRPr="003C6C99">
        <w:rPr>
          <w:szCs w:val="20"/>
        </w:rPr>
        <w:t>Building permits</w:t>
      </w:r>
      <w:r w:rsidR="00C75EF7">
        <w:rPr>
          <w:iCs/>
          <w:szCs w:val="20"/>
        </w:rPr>
        <w:t xml:space="preserve"> </w:t>
      </w:r>
      <w:r>
        <w:rPr>
          <w:iCs/>
          <w:szCs w:val="20"/>
        </w:rPr>
        <w:t>data</w:t>
      </w:r>
      <w:r w:rsidR="00810D3D">
        <w:rPr>
          <w:szCs w:val="20"/>
        </w:rPr>
        <w:t xml:space="preserve">, </w:t>
      </w:r>
      <w:r w:rsidR="00C75EF7">
        <w:rPr>
          <w:szCs w:val="20"/>
        </w:rPr>
        <w:t>used as a surrogate for road construction activity,</w:t>
      </w:r>
      <w:r w:rsidR="00C75EF7">
        <w:rPr>
          <w:iCs/>
          <w:szCs w:val="20"/>
        </w:rPr>
        <w:t xml:space="preserve"> </w:t>
      </w:r>
      <w:r>
        <w:rPr>
          <w:iCs/>
          <w:szCs w:val="20"/>
        </w:rPr>
        <w:t xml:space="preserve">from the U.S. Census Bureau </w:t>
      </w:r>
      <w:r w:rsidRPr="003C6C99">
        <w:rPr>
          <w:szCs w:val="20"/>
        </w:rPr>
        <w:t xml:space="preserve">are used to </w:t>
      </w:r>
      <w:r w:rsidRPr="003C6C99">
        <w:rPr>
          <w:szCs w:val="20"/>
        </w:rPr>
        <w:lastRenderedPageBreak/>
        <w:t>allocate the state-level acres disturbed by road construction to the county</w:t>
      </w:r>
      <w:r>
        <w:rPr>
          <w:szCs w:val="20"/>
        </w:rPr>
        <w:t>-level</w:t>
      </w:r>
      <w:r w:rsidRPr="003C6C99">
        <w:rPr>
          <w:szCs w:val="20"/>
        </w:rPr>
        <w:t>.</w:t>
      </w:r>
      <w:r>
        <w:rPr>
          <w:rStyle w:val="EndnoteReference"/>
          <w:szCs w:val="20"/>
        </w:rPr>
        <w:endnoteReference w:id="4"/>
      </w:r>
      <w:r>
        <w:rPr>
          <w:szCs w:val="20"/>
        </w:rPr>
        <w:t xml:space="preserve"> Specifically, the</w:t>
      </w:r>
      <w:r w:rsidRPr="003C6C99">
        <w:rPr>
          <w:szCs w:val="20"/>
        </w:rPr>
        <w:t xml:space="preserve"> ratio of the </w:t>
      </w:r>
      <w:r>
        <w:rPr>
          <w:szCs w:val="20"/>
        </w:rPr>
        <w:t xml:space="preserve">county-to state-level </w:t>
      </w:r>
      <w:r w:rsidRPr="003C6C99">
        <w:rPr>
          <w:szCs w:val="20"/>
        </w:rPr>
        <w:t xml:space="preserve">number of building starts </w:t>
      </w:r>
      <w:r>
        <w:rPr>
          <w:szCs w:val="20"/>
        </w:rPr>
        <w:t>is calculated and multiplied by the state-level acreage</w:t>
      </w:r>
      <w:r w:rsidRPr="003C6C99">
        <w:rPr>
          <w:szCs w:val="20"/>
        </w:rPr>
        <w:t xml:space="preserve"> disturbed</w:t>
      </w:r>
      <w:r>
        <w:rPr>
          <w:szCs w:val="20"/>
        </w:rPr>
        <w:t xml:space="preserve"> (from equation 4)</w:t>
      </w:r>
      <w:r w:rsidRPr="003C6C99">
        <w:rPr>
          <w:szCs w:val="20"/>
        </w:rPr>
        <w:t xml:space="preserve"> to estimate the</w:t>
      </w:r>
      <w:r>
        <w:rPr>
          <w:szCs w:val="20"/>
        </w:rPr>
        <w:t xml:space="preserve"> county-level acreage</w:t>
      </w:r>
      <w:r w:rsidRPr="003C6C99">
        <w:rPr>
          <w:szCs w:val="20"/>
        </w:rPr>
        <w:t xml:space="preserve"> disturbed by road construction</w:t>
      </w:r>
      <w:r>
        <w:rPr>
          <w:szCs w:val="20"/>
        </w:rPr>
        <w:t>.</w:t>
      </w:r>
      <w:r w:rsidRPr="003C6C99">
        <w:rPr>
          <w:szCs w:val="20"/>
        </w:rPr>
        <w:t xml:space="preserve"> </w:t>
      </w:r>
    </w:p>
    <w:p w14:paraId="111A6924" w14:textId="77777777" w:rsidR="00433309" w:rsidRDefault="00433309" w:rsidP="00F51B57">
      <w:pPr>
        <w:spacing w:after="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F51B57" w14:paraId="49C08B3A" w14:textId="77777777" w:rsidTr="00F51B57">
        <w:trPr>
          <w:trHeight w:val="432"/>
        </w:trPr>
        <w:tc>
          <w:tcPr>
            <w:tcW w:w="8748" w:type="dxa"/>
            <w:vAlign w:val="center"/>
          </w:tcPr>
          <w:p w14:paraId="7F7F8EFE" w14:textId="000287A7" w:rsidR="00F51B57" w:rsidRDefault="00666C66" w:rsidP="00F51B57">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s</m:t>
                        </m:r>
                      </m:sub>
                    </m:sSub>
                  </m:den>
                </m:f>
              </m:oMath>
            </m:oMathPara>
          </w:p>
        </w:tc>
        <w:tc>
          <w:tcPr>
            <w:tcW w:w="828" w:type="dxa"/>
            <w:vAlign w:val="center"/>
          </w:tcPr>
          <w:p w14:paraId="5B9DA49A" w14:textId="77777777" w:rsidR="00F51B57" w:rsidRPr="00986448" w:rsidRDefault="00F51B57" w:rsidP="00F51B57">
            <w:pPr>
              <w:pStyle w:val="ListParagraph"/>
              <w:widowControl/>
              <w:numPr>
                <w:ilvl w:val="0"/>
                <w:numId w:val="10"/>
              </w:numPr>
              <w:autoSpaceDE/>
              <w:autoSpaceDN/>
              <w:adjustRightInd/>
              <w:jc w:val="center"/>
              <w:rPr>
                <w:szCs w:val="20"/>
              </w:rPr>
            </w:pPr>
          </w:p>
        </w:tc>
      </w:tr>
      <w:tr w:rsidR="00F51B57" w14:paraId="48A3D5AC" w14:textId="77777777" w:rsidTr="00F51B57">
        <w:trPr>
          <w:trHeight w:val="432"/>
        </w:trPr>
        <w:tc>
          <w:tcPr>
            <w:tcW w:w="8748" w:type="dxa"/>
            <w:vAlign w:val="center"/>
          </w:tcPr>
          <w:p w14:paraId="0C4CDB08" w14:textId="7CE0172F" w:rsidR="00F51B57" w:rsidRDefault="00666C66" w:rsidP="00F51B57">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oMath>
            </m:oMathPara>
          </w:p>
        </w:tc>
        <w:tc>
          <w:tcPr>
            <w:tcW w:w="828" w:type="dxa"/>
            <w:vAlign w:val="center"/>
          </w:tcPr>
          <w:p w14:paraId="7B7B6A24" w14:textId="77777777" w:rsidR="00F51B57" w:rsidRPr="00986448" w:rsidRDefault="00F51B57" w:rsidP="00F51B57">
            <w:pPr>
              <w:pStyle w:val="ListParagraph"/>
              <w:widowControl/>
              <w:numPr>
                <w:ilvl w:val="0"/>
                <w:numId w:val="10"/>
              </w:numPr>
              <w:autoSpaceDE/>
              <w:autoSpaceDN/>
              <w:adjustRightInd/>
              <w:jc w:val="center"/>
              <w:rPr>
                <w:szCs w:val="20"/>
              </w:rPr>
            </w:pPr>
          </w:p>
        </w:tc>
      </w:tr>
    </w:tbl>
    <w:p w14:paraId="6215F5B2" w14:textId="44BDA61E" w:rsidR="00F51B57" w:rsidRDefault="00F51B57" w:rsidP="00F51B57">
      <w:pPr>
        <w:spacing w:after="0"/>
        <w:rPr>
          <w:szCs w:val="20"/>
        </w:rPr>
      </w:pPr>
      <w:r>
        <w:rPr>
          <w:szCs w:val="20"/>
        </w:rPr>
        <w:t>Where:</w:t>
      </w:r>
    </w:p>
    <w:p w14:paraId="14B568F7" w14:textId="77777777" w:rsidR="00F51B57" w:rsidRPr="00FE02F4" w:rsidRDefault="00F51B57" w:rsidP="00F51B57">
      <w:pPr>
        <w:pStyle w:val="NoSpacing"/>
        <w:rPr>
          <w:i/>
        </w:rPr>
      </w:pPr>
      <w:r>
        <w:tab/>
      </w:r>
      <w:r>
        <w:rPr>
          <w:i/>
        </w:rPr>
        <w:t>B</w:t>
      </w:r>
      <w:r w:rsidRPr="00FE02F4">
        <w:rPr>
          <w:i/>
        </w:rPr>
        <w:t>Frac</w:t>
      </w:r>
      <w:r w:rsidRPr="00FE02F4">
        <w:rPr>
          <w:i/>
          <w:vertAlign w:val="subscript"/>
        </w:rPr>
        <w:t>c</w:t>
      </w:r>
      <w:r>
        <w:rPr>
          <w:vertAlign w:val="subscript"/>
        </w:rPr>
        <w:tab/>
      </w:r>
      <w:r>
        <w:t>=</w:t>
      </w:r>
      <w:r>
        <w:tab/>
        <w:t>The fraction of building starts in county</w:t>
      </w:r>
      <w:r>
        <w:rPr>
          <w:i/>
        </w:rPr>
        <w:t>c</w:t>
      </w:r>
    </w:p>
    <w:p w14:paraId="0E8886B4" w14:textId="77777777" w:rsidR="00F51B57" w:rsidRPr="00FE02F4" w:rsidRDefault="00F51B57" w:rsidP="00F51B57">
      <w:pPr>
        <w:pStyle w:val="NoSpacing"/>
        <w:rPr>
          <w:i/>
        </w:rPr>
      </w:pPr>
      <w:r>
        <w:tab/>
      </w:r>
      <w:r w:rsidRPr="00FE02F4">
        <w:rPr>
          <w:i/>
        </w:rPr>
        <w:t>Build</w:t>
      </w:r>
      <w:r w:rsidRPr="00FE02F4">
        <w:rPr>
          <w:i/>
          <w:vertAlign w:val="subscript"/>
        </w:rPr>
        <w:t>c</w:t>
      </w:r>
      <w:r>
        <w:rPr>
          <w:vertAlign w:val="subscript"/>
        </w:rPr>
        <w:tab/>
      </w:r>
      <w:r>
        <w:t>=</w:t>
      </w:r>
      <w:r>
        <w:tab/>
        <w:t xml:space="preserve">The number of building starts in county </w:t>
      </w:r>
      <w:r>
        <w:rPr>
          <w:i/>
        </w:rPr>
        <w:t>c</w:t>
      </w:r>
    </w:p>
    <w:p w14:paraId="26A458FF" w14:textId="77777777" w:rsidR="00F51B57" w:rsidRPr="00FE02F4" w:rsidRDefault="00F51B57" w:rsidP="00F51B57">
      <w:pPr>
        <w:pStyle w:val="NoSpacing"/>
        <w:rPr>
          <w:i/>
        </w:rPr>
      </w:pPr>
      <w:r>
        <w:tab/>
      </w:r>
      <w:r w:rsidRPr="00FE02F4">
        <w:rPr>
          <w:i/>
        </w:rPr>
        <w:t>Build</w:t>
      </w:r>
      <w:r w:rsidRPr="00FE02F4">
        <w:rPr>
          <w:i/>
          <w:vertAlign w:val="subscript"/>
        </w:rPr>
        <w:t>s</w:t>
      </w:r>
      <w:r>
        <w:rPr>
          <w:vertAlign w:val="subscript"/>
        </w:rPr>
        <w:tab/>
      </w:r>
      <w:r>
        <w:t>=</w:t>
      </w:r>
      <w:r>
        <w:tab/>
        <w:t xml:space="preserve">The number of building starts in state </w:t>
      </w:r>
      <w:r>
        <w:rPr>
          <w:i/>
        </w:rPr>
        <w:t>s</w:t>
      </w:r>
    </w:p>
    <w:p w14:paraId="60B773E9" w14:textId="77777777" w:rsidR="00F51B57" w:rsidRPr="00B02027" w:rsidRDefault="00F51B57" w:rsidP="00F51B57">
      <w:pPr>
        <w:pStyle w:val="NoSpacing"/>
        <w:rPr>
          <w:i/>
          <w:u w:val="single"/>
        </w:rPr>
      </w:pPr>
      <w:r>
        <w:tab/>
      </w:r>
      <w:r>
        <w:rPr>
          <w:i/>
        </w:rPr>
        <w:t>A</w:t>
      </w:r>
      <w:r w:rsidRPr="00B02027">
        <w:rPr>
          <w:i/>
          <w:vertAlign w:val="subscript"/>
        </w:rPr>
        <w:t>c</w:t>
      </w:r>
      <w:r>
        <w:rPr>
          <w:vertAlign w:val="subscript"/>
        </w:rPr>
        <w:tab/>
      </w:r>
      <w:r>
        <w:t>=</w:t>
      </w:r>
      <w:r>
        <w:tab/>
        <w:t xml:space="preserve">Acres of land disturbed for road construction in county </w:t>
      </w:r>
      <w:r>
        <w:rPr>
          <w:i/>
        </w:rPr>
        <w:t>c</w:t>
      </w:r>
    </w:p>
    <w:p w14:paraId="421CC7B7" w14:textId="77777777" w:rsidR="00F51B57" w:rsidRDefault="00F51B57" w:rsidP="00F51B57">
      <w:pPr>
        <w:pStyle w:val="NoSpacing"/>
        <w:rPr>
          <w:i/>
        </w:rPr>
      </w:pPr>
      <w:r>
        <w:tab/>
      </w:r>
      <w:r>
        <w:rPr>
          <w:i/>
        </w:rPr>
        <w:t>A</w:t>
      </w:r>
      <w:r>
        <w:rPr>
          <w:i/>
          <w:vertAlign w:val="subscript"/>
        </w:rPr>
        <w:t>s</w:t>
      </w:r>
      <w:r>
        <w:rPr>
          <w:i/>
          <w:vertAlign w:val="subscript"/>
        </w:rPr>
        <w:tab/>
      </w:r>
      <w:r>
        <w:t>=</w:t>
      </w:r>
      <w:r>
        <w:tab/>
        <w:t xml:space="preserve">Acres of land disturbed for all road construction in state </w:t>
      </w:r>
      <w:r>
        <w:rPr>
          <w:i/>
        </w:rPr>
        <w:t>s</w:t>
      </w:r>
    </w:p>
    <w:p w14:paraId="482CAC6D" w14:textId="77777777" w:rsidR="003D38C0" w:rsidRPr="003D38C0" w:rsidRDefault="003D38C0" w:rsidP="003D38C0">
      <w:pPr>
        <w:pStyle w:val="NoSpacing"/>
      </w:pPr>
    </w:p>
    <w:p w14:paraId="74DFA48A" w14:textId="78DFB3BB" w:rsidR="00B97E6E" w:rsidRPr="00886F17" w:rsidRDefault="00B97E6E" w:rsidP="003D38C0">
      <w:pPr>
        <w:pStyle w:val="Heading1"/>
      </w:pPr>
      <w:bookmarkStart w:id="6" w:name="_Ref477187901"/>
      <w:r w:rsidRPr="00886F17">
        <w:t>Emission</w:t>
      </w:r>
      <w:r w:rsidR="009944E8">
        <w:t>s</w:t>
      </w:r>
      <w:r w:rsidRPr="00886F17">
        <w:t xml:space="preserve"> Factors</w:t>
      </w:r>
      <w:bookmarkEnd w:id="5"/>
      <w:bookmarkEnd w:id="6"/>
    </w:p>
    <w:p w14:paraId="2F96E014" w14:textId="205B2D8E" w:rsidR="00F963A6" w:rsidRPr="00611D74" w:rsidRDefault="000C7CE8" w:rsidP="00F51B57">
      <w:pPr>
        <w:spacing w:after="0"/>
        <w:rPr>
          <w:szCs w:val="20"/>
        </w:rPr>
      </w:pPr>
      <w:r w:rsidRPr="00611D74">
        <w:rPr>
          <w:szCs w:val="20"/>
        </w:rPr>
        <w:t xml:space="preserve">Due to regional variances in soil moisture and silt content, </w:t>
      </w:r>
      <w:r w:rsidR="00D222BA" w:rsidRPr="00611D74">
        <w:rPr>
          <w:szCs w:val="20"/>
        </w:rPr>
        <w:t xml:space="preserve">uncontrolled </w:t>
      </w:r>
      <w:r w:rsidRPr="00611D74">
        <w:rPr>
          <w:szCs w:val="20"/>
        </w:rPr>
        <w:t xml:space="preserve">emissions factors for PM10 and PM25 are </w:t>
      </w:r>
      <w:r w:rsidR="00D170BD" w:rsidRPr="00611D74">
        <w:rPr>
          <w:szCs w:val="20"/>
        </w:rPr>
        <w:t>adjusted for</w:t>
      </w:r>
      <w:r w:rsidRPr="00611D74">
        <w:rPr>
          <w:szCs w:val="20"/>
        </w:rPr>
        <w:t xml:space="preserve"> each county</w:t>
      </w:r>
      <w:r w:rsidR="005D1A42" w:rsidRPr="00611D74">
        <w:rPr>
          <w:szCs w:val="20"/>
        </w:rPr>
        <w:t xml:space="preserve">. </w:t>
      </w:r>
      <w:r w:rsidR="00F963A6" w:rsidRPr="00611D74">
        <w:rPr>
          <w:szCs w:val="20"/>
        </w:rPr>
        <w:t>The i</w:t>
      </w:r>
      <w:r w:rsidR="00F51B57" w:rsidRPr="00611D74">
        <w:rPr>
          <w:szCs w:val="20"/>
        </w:rPr>
        <w:t xml:space="preserve">nitial </w:t>
      </w:r>
      <w:r w:rsidR="00D222BA" w:rsidRPr="00611D74">
        <w:rPr>
          <w:szCs w:val="20"/>
        </w:rPr>
        <w:t xml:space="preserve">uncontrolled </w:t>
      </w:r>
      <w:r w:rsidR="00F51B57" w:rsidRPr="00611D74">
        <w:rPr>
          <w:szCs w:val="20"/>
        </w:rPr>
        <w:t xml:space="preserve">PM10 emissions </w:t>
      </w:r>
      <w:r w:rsidR="00F963A6" w:rsidRPr="00611D74">
        <w:rPr>
          <w:szCs w:val="20"/>
        </w:rPr>
        <w:t xml:space="preserve">factor </w:t>
      </w:r>
      <w:r w:rsidR="00F51B57" w:rsidRPr="00611D74">
        <w:rPr>
          <w:szCs w:val="20"/>
        </w:rPr>
        <w:t>from construction of roads</w:t>
      </w:r>
      <w:r w:rsidR="00F963A6" w:rsidRPr="00611D74">
        <w:rPr>
          <w:szCs w:val="20"/>
        </w:rPr>
        <w:t xml:space="preserve"> is </w:t>
      </w:r>
      <w:r w:rsidR="00F51B57" w:rsidRPr="00611D74">
        <w:rPr>
          <w:szCs w:val="20"/>
        </w:rPr>
        <w:t>0.42 tons/acre-month.</w:t>
      </w:r>
      <w:bookmarkStart w:id="7" w:name="_Ref478646074"/>
      <w:r w:rsidRPr="00611D74">
        <w:rPr>
          <w:rStyle w:val="EndnoteReference"/>
          <w:szCs w:val="20"/>
        </w:rPr>
        <w:endnoteReference w:id="5"/>
      </w:r>
      <w:bookmarkEnd w:id="7"/>
      <w:r w:rsidR="00F51B57" w:rsidRPr="00611D74">
        <w:rPr>
          <w:szCs w:val="20"/>
        </w:rPr>
        <w:t xml:space="preserve"> This emission factor represents the large amount of dirt moved during the construction of roadways, reflecting the high level of cut and fill activity that occurs at road construction sites. </w:t>
      </w:r>
    </w:p>
    <w:p w14:paraId="280D12F1" w14:textId="77777777" w:rsidR="00F963A6" w:rsidRPr="00611D74" w:rsidRDefault="00F963A6" w:rsidP="00F51B57">
      <w:pPr>
        <w:spacing w:after="0"/>
        <w:rPr>
          <w:szCs w:val="20"/>
        </w:rPr>
      </w:pPr>
    </w:p>
    <w:p w14:paraId="31F1E1AB" w14:textId="3F5C772D" w:rsidR="00F963A6" w:rsidRPr="00611D74" w:rsidRDefault="00F963A6" w:rsidP="00F51B57">
      <w:pPr>
        <w:spacing w:after="0"/>
        <w:rPr>
          <w:iCs/>
          <w:szCs w:val="20"/>
        </w:rPr>
      </w:pPr>
      <w:r w:rsidRPr="00611D74">
        <w:rPr>
          <w:iCs/>
          <w:szCs w:val="20"/>
        </w:rPr>
        <w:t xml:space="preserve">To account for the soil moisture level, the </w:t>
      </w:r>
      <w:r w:rsidR="00D222BA" w:rsidRPr="00611D74">
        <w:rPr>
          <w:iCs/>
          <w:szCs w:val="20"/>
        </w:rPr>
        <w:t xml:space="preserve">uncontrolled </w:t>
      </w:r>
      <w:r w:rsidRPr="00611D74">
        <w:rPr>
          <w:iCs/>
          <w:szCs w:val="20"/>
        </w:rPr>
        <w:t>PM10 emissions are weighted using the 30-year average precipitation-evaporation (PE) values from Thornthwaite’s PE Index.  Average precipitation evapor</w:t>
      </w:r>
      <w:r w:rsidR="00AA11E1" w:rsidRPr="00611D74">
        <w:rPr>
          <w:iCs/>
          <w:szCs w:val="20"/>
        </w:rPr>
        <w:t xml:space="preserve">ation values for each </w:t>
      </w:r>
      <w:r w:rsidR="00C52E5D" w:rsidRPr="00611D74">
        <w:rPr>
          <w:iCs/>
          <w:szCs w:val="20"/>
        </w:rPr>
        <w:t>s</w:t>
      </w:r>
      <w:r w:rsidR="00AA11E1" w:rsidRPr="00611D74">
        <w:rPr>
          <w:iCs/>
          <w:szCs w:val="20"/>
        </w:rPr>
        <w:t xml:space="preserve">tate are </w:t>
      </w:r>
      <w:r w:rsidRPr="00611D74">
        <w:rPr>
          <w:iCs/>
          <w:szCs w:val="20"/>
        </w:rPr>
        <w:t xml:space="preserve">estimated based on PE values for specific climatic divisions within a </w:t>
      </w:r>
      <w:r w:rsidR="00C52E5D" w:rsidRPr="00611D74">
        <w:rPr>
          <w:iCs/>
          <w:szCs w:val="20"/>
        </w:rPr>
        <w:t>s</w:t>
      </w:r>
      <w:r w:rsidRPr="00611D74">
        <w:rPr>
          <w:iCs/>
          <w:szCs w:val="20"/>
        </w:rPr>
        <w:t>tate.</w:t>
      </w:r>
      <w:r w:rsidRPr="00611D74">
        <w:rPr>
          <w:iCs/>
          <w:szCs w:val="20"/>
          <w:vertAlign w:val="superscript"/>
        </w:rPr>
        <w:fldChar w:fldCharType="begin"/>
      </w:r>
      <w:r w:rsidRPr="00611D74">
        <w:rPr>
          <w:iCs/>
          <w:szCs w:val="20"/>
          <w:vertAlign w:val="superscript"/>
        </w:rPr>
        <w:instrText xml:space="preserve"> NOTEREF _Ref478646074 \h  \* MERGEFORMAT </w:instrText>
      </w:r>
      <w:r w:rsidRPr="00611D74">
        <w:rPr>
          <w:iCs/>
          <w:szCs w:val="20"/>
          <w:vertAlign w:val="superscript"/>
        </w:rPr>
      </w:r>
      <w:r w:rsidRPr="00611D74">
        <w:rPr>
          <w:iCs/>
          <w:szCs w:val="20"/>
          <w:vertAlign w:val="superscript"/>
        </w:rPr>
        <w:fldChar w:fldCharType="separate"/>
      </w:r>
      <w:r w:rsidRPr="00611D74">
        <w:rPr>
          <w:iCs/>
          <w:szCs w:val="20"/>
          <w:vertAlign w:val="superscript"/>
        </w:rPr>
        <w:t>4</w:t>
      </w:r>
      <w:r w:rsidRPr="00611D74">
        <w:rPr>
          <w:iCs/>
          <w:szCs w:val="20"/>
          <w:vertAlign w:val="superscript"/>
        </w:rPr>
        <w:fldChar w:fldCharType="end"/>
      </w:r>
      <w:r w:rsidR="00E83425" w:rsidRPr="00611D74">
        <w:rPr>
          <w:iCs/>
          <w:szCs w:val="20"/>
          <w:vertAlign w:val="superscript"/>
        </w:rPr>
        <w:t xml:space="preserve"> </w:t>
      </w:r>
      <w:r w:rsidR="00E83425" w:rsidRPr="00611D74">
        <w:rPr>
          <w:iCs/>
          <w:szCs w:val="20"/>
        </w:rPr>
        <w:t>The average PE value for the test sites from which the PM10 emissions factor was developed is 24</w:t>
      </w:r>
      <w:r w:rsidR="00E85A1E">
        <w:rPr>
          <w:iCs/>
          <w:szCs w:val="20"/>
        </w:rPr>
        <w:t>.</w:t>
      </w:r>
      <w:r w:rsidR="00E83425" w:rsidRPr="00611D74">
        <w:rPr>
          <w:iCs/>
          <w:szCs w:val="20"/>
        </w:rPr>
        <w:t xml:space="preserve"> </w:t>
      </w:r>
      <w:r w:rsidR="00E85A1E">
        <w:rPr>
          <w:iCs/>
          <w:szCs w:val="20"/>
        </w:rPr>
        <w:t>E</w:t>
      </w:r>
      <w:r w:rsidR="00E83425" w:rsidRPr="00611D74">
        <w:rPr>
          <w:iCs/>
          <w:szCs w:val="20"/>
        </w:rPr>
        <w:t xml:space="preserve">quation 7 adjusts the county-level </w:t>
      </w:r>
      <w:r w:rsidR="00810D3D">
        <w:rPr>
          <w:iCs/>
          <w:szCs w:val="20"/>
        </w:rPr>
        <w:t xml:space="preserve">uncontrolled </w:t>
      </w:r>
      <w:r w:rsidR="00E83425" w:rsidRPr="00611D74">
        <w:rPr>
          <w:iCs/>
          <w:szCs w:val="20"/>
        </w:rPr>
        <w:t xml:space="preserve">emissions factor based on this PE value.    </w:t>
      </w:r>
    </w:p>
    <w:p w14:paraId="0A62623B" w14:textId="77777777" w:rsidR="00F51B57" w:rsidRPr="00611D74" w:rsidRDefault="00F51B57" w:rsidP="00F51B57">
      <w:pPr>
        <w:spacing w:after="0"/>
        <w:rPr>
          <w:iCs/>
          <w:szCs w:val="20"/>
        </w:rPr>
      </w:pPr>
    </w:p>
    <w:p w14:paraId="7B5F262E" w14:textId="60BBC9FD" w:rsidR="00F51B57" w:rsidRPr="00611D74" w:rsidRDefault="00F51B57" w:rsidP="00F51B57">
      <w:pPr>
        <w:spacing w:after="0"/>
        <w:rPr>
          <w:iCs/>
          <w:szCs w:val="20"/>
        </w:rPr>
      </w:pPr>
      <w:r w:rsidRPr="00611D74">
        <w:rPr>
          <w:iCs/>
          <w:szCs w:val="20"/>
        </w:rPr>
        <w:t xml:space="preserve">To account for the silt content, the </w:t>
      </w:r>
      <w:r w:rsidR="00D222BA" w:rsidRPr="00611D74">
        <w:rPr>
          <w:iCs/>
          <w:szCs w:val="20"/>
        </w:rPr>
        <w:t xml:space="preserve">uncontrolled </w:t>
      </w:r>
      <w:r w:rsidRPr="00611D74">
        <w:rPr>
          <w:iCs/>
          <w:szCs w:val="20"/>
        </w:rPr>
        <w:t>PM</w:t>
      </w:r>
      <w:r w:rsidR="00F963A6" w:rsidRPr="00611D74">
        <w:rPr>
          <w:iCs/>
          <w:szCs w:val="20"/>
        </w:rPr>
        <w:t>10</w:t>
      </w:r>
      <w:r w:rsidRPr="00611D74">
        <w:rPr>
          <w:iCs/>
          <w:szCs w:val="20"/>
        </w:rPr>
        <w:t xml:space="preserve"> emissions are weighted using average silt co</w:t>
      </w:r>
      <w:r w:rsidR="00C52E5D" w:rsidRPr="00611D74">
        <w:rPr>
          <w:iCs/>
          <w:szCs w:val="20"/>
        </w:rPr>
        <w:t>ntent for each county.  EPA uses</w:t>
      </w:r>
      <w:r w:rsidRPr="00611D74">
        <w:rPr>
          <w:iCs/>
          <w:szCs w:val="20"/>
        </w:rPr>
        <w:t xml:space="preserve"> the National Cooperative Soil Survey Microsoft Access Soil Characterization Database to develop county-level, average silt content values for surface soil.</w:t>
      </w:r>
      <w:r w:rsidR="00F963A6" w:rsidRPr="00611D74">
        <w:rPr>
          <w:rStyle w:val="EndnoteReference"/>
          <w:iCs/>
          <w:szCs w:val="20"/>
        </w:rPr>
        <w:endnoteReference w:id="6"/>
      </w:r>
      <w:r w:rsidR="00F963A6" w:rsidRPr="00611D74">
        <w:rPr>
          <w:iCs/>
          <w:szCs w:val="20"/>
        </w:rPr>
        <w:t xml:space="preserve"> </w:t>
      </w:r>
      <w:r w:rsidR="001C5231" w:rsidRPr="00EE3A88">
        <w:rPr>
          <w:szCs w:val="20"/>
        </w:rPr>
        <w:t>The U.S. Department of Agriculture and the National Cooperative Soil Survey define silt content of surface soil as the percentage of particles (mass basis) of diameter smaller than 50 micrometers (µm) found in the surface soil.</w:t>
      </w:r>
      <w:r w:rsidR="001C5231">
        <w:rPr>
          <w:rStyle w:val="FootnoteReference"/>
          <w:szCs w:val="20"/>
        </w:rPr>
        <w:footnoteReference w:id="1"/>
      </w:r>
      <w:r w:rsidR="001C5231">
        <w:rPr>
          <w:szCs w:val="20"/>
        </w:rPr>
        <w:t xml:space="preserve"> </w:t>
      </w:r>
      <w:r w:rsidRPr="00611D74">
        <w:rPr>
          <w:iCs/>
          <w:szCs w:val="20"/>
        </w:rPr>
        <w:t>This database contains the most commonly requested data from the National Cooperative Soil Survey Laboratories including data from the Kellogg Soil Survey Laboratory and cooperating universities.</w:t>
      </w:r>
      <w:r w:rsidR="00E83425" w:rsidRPr="00611D74">
        <w:rPr>
          <w:iCs/>
          <w:szCs w:val="20"/>
        </w:rPr>
        <w:t xml:space="preserve"> The average silt content for the test sites from which the PM10 emissions factor was developed is 9%</w:t>
      </w:r>
      <w:r w:rsidR="00E85A1E">
        <w:rPr>
          <w:iCs/>
          <w:szCs w:val="20"/>
        </w:rPr>
        <w:t>.</w:t>
      </w:r>
      <w:r w:rsidR="00E83425" w:rsidRPr="00611D74">
        <w:rPr>
          <w:iCs/>
          <w:szCs w:val="20"/>
        </w:rPr>
        <w:t xml:space="preserve"> </w:t>
      </w:r>
      <w:r w:rsidR="00E85A1E">
        <w:rPr>
          <w:iCs/>
          <w:szCs w:val="20"/>
        </w:rPr>
        <w:t>E</w:t>
      </w:r>
      <w:r w:rsidR="00E83425" w:rsidRPr="00611D74">
        <w:rPr>
          <w:iCs/>
          <w:szCs w:val="20"/>
        </w:rPr>
        <w:t xml:space="preserve">quation 7 adjusts the county-level </w:t>
      </w:r>
      <w:r w:rsidR="00810D3D">
        <w:rPr>
          <w:iCs/>
          <w:szCs w:val="20"/>
        </w:rPr>
        <w:t xml:space="preserve">uncontrolled </w:t>
      </w:r>
      <w:r w:rsidR="00E83425" w:rsidRPr="00611D74">
        <w:rPr>
          <w:iCs/>
          <w:szCs w:val="20"/>
        </w:rPr>
        <w:t xml:space="preserve">emissions factor based on this silt content value.    </w:t>
      </w:r>
    </w:p>
    <w:p w14:paraId="5E454D6D" w14:textId="77777777" w:rsidR="00F963A6" w:rsidRPr="00611D74" w:rsidRDefault="00F963A6" w:rsidP="00F51B57">
      <w:pPr>
        <w:spacing w:after="0"/>
        <w:rPr>
          <w:i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611D74" w:rsidRPr="00611D74" w14:paraId="74EC711F" w14:textId="77777777" w:rsidTr="009B4212">
        <w:trPr>
          <w:trHeight w:val="576"/>
        </w:trPr>
        <w:tc>
          <w:tcPr>
            <w:tcW w:w="8748" w:type="dxa"/>
            <w:vAlign w:val="center"/>
          </w:tcPr>
          <w:p w14:paraId="4C8AEE96" w14:textId="4EF0581F" w:rsidR="00F963A6" w:rsidRPr="00611D74" w:rsidRDefault="00666C66" w:rsidP="00E85A1E">
            <w:pPr>
              <w:widowControl/>
              <w:autoSpaceDE/>
              <w:autoSpaceDN/>
              <w:adjustRightInd/>
              <w:jc w:val="center"/>
              <w:rPr>
                <w:szCs w:val="20"/>
                <w:vertAlign w:val="superscript"/>
              </w:rPr>
            </w:pPr>
            <m:oMathPara>
              <m:oMath>
                <m:sSub>
                  <m:sSubPr>
                    <m:ctrlPr>
                      <w:rPr>
                        <w:rFonts w:ascii="Cambria Math" w:hAnsi="Cambria Math"/>
                        <w:i/>
                      </w:rPr>
                    </m:ctrlPr>
                  </m:sSubPr>
                  <m:e>
                    <m:r>
                      <w:rPr>
                        <w:rFonts w:ascii="Cambria Math" w:hAnsi="Cambria Math"/>
                      </w:rPr>
                      <m:t>UEF</m:t>
                    </m:r>
                  </m:e>
                  <m:sub>
                    <m:r>
                      <w:rPr>
                        <w:rFonts w:ascii="Cambria Math" w:hAnsi="Cambria Math"/>
                      </w:rPr>
                      <m:t>PM10,c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PM10</m:t>
                    </m:r>
                  </m:sub>
                </m:sSub>
                <m:r>
                  <w:rPr>
                    <w:rFonts w:ascii="Cambria Math" w:hAnsi="Cambria Math"/>
                  </w:rPr>
                  <m:t>×</m:t>
                </m:r>
                <m:f>
                  <m:fPr>
                    <m:ctrlPr>
                      <w:rPr>
                        <w:rFonts w:ascii="Cambria Math" w:hAnsi="Cambria Math"/>
                        <w:i/>
                      </w:rPr>
                    </m:ctrlPr>
                  </m:fPr>
                  <m:num>
                    <m:r>
                      <w:rPr>
                        <w:rFonts w:ascii="Cambria Math" w:hAnsi="Cambria Math"/>
                      </w:rPr>
                      <m:t>24</m:t>
                    </m:r>
                  </m:num>
                  <m:den>
                    <m:sSub>
                      <m:sSubPr>
                        <m:ctrlPr>
                          <w:rPr>
                            <w:rFonts w:ascii="Cambria Math" w:hAnsi="Cambria Math"/>
                            <w:i/>
                          </w:rPr>
                        </m:ctrlPr>
                      </m:sSubPr>
                      <m:e>
                        <m:r>
                          <w:rPr>
                            <w:rFonts w:ascii="Cambria Math" w:hAnsi="Cambria Math"/>
                          </w:rPr>
                          <m:t>PE</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c</m:t>
                        </m:r>
                      </m:sub>
                    </m:sSub>
                  </m:num>
                  <m:den>
                    <m:r>
                      <w:rPr>
                        <w:rFonts w:ascii="Cambria Math" w:hAnsi="Cambria Math"/>
                      </w:rPr>
                      <m:t>9%</m:t>
                    </m:r>
                  </m:den>
                </m:f>
              </m:oMath>
            </m:oMathPara>
          </w:p>
        </w:tc>
        <w:tc>
          <w:tcPr>
            <w:tcW w:w="828" w:type="dxa"/>
            <w:vAlign w:val="center"/>
          </w:tcPr>
          <w:p w14:paraId="08EFDC8B" w14:textId="77777777" w:rsidR="00F963A6" w:rsidRPr="00611D74" w:rsidRDefault="00F963A6" w:rsidP="00F963A6">
            <w:pPr>
              <w:pStyle w:val="ListParagraph"/>
              <w:widowControl/>
              <w:numPr>
                <w:ilvl w:val="0"/>
                <w:numId w:val="10"/>
              </w:numPr>
              <w:autoSpaceDE/>
              <w:autoSpaceDN/>
              <w:adjustRightInd/>
              <w:jc w:val="center"/>
              <w:rPr>
                <w:szCs w:val="20"/>
              </w:rPr>
            </w:pPr>
          </w:p>
        </w:tc>
      </w:tr>
    </w:tbl>
    <w:p w14:paraId="17655005" w14:textId="77777777" w:rsidR="00F963A6" w:rsidRPr="00611D74" w:rsidRDefault="00F963A6" w:rsidP="00F963A6">
      <w:pPr>
        <w:spacing w:after="0"/>
        <w:rPr>
          <w:szCs w:val="20"/>
        </w:rPr>
      </w:pPr>
      <w:r w:rsidRPr="00611D74">
        <w:rPr>
          <w:szCs w:val="20"/>
        </w:rPr>
        <w:t>Where:</w:t>
      </w:r>
    </w:p>
    <w:p w14:paraId="65DF2C9B" w14:textId="1467E088" w:rsidR="00F963A6" w:rsidRPr="00611D74" w:rsidRDefault="00F963A6" w:rsidP="00F963A6">
      <w:pPr>
        <w:pStyle w:val="NoSpacing"/>
      </w:pPr>
      <w:r w:rsidRPr="00611D74">
        <w:rPr>
          <w:i/>
        </w:rPr>
        <w:tab/>
      </w:r>
      <w:r w:rsidR="00611D74" w:rsidRPr="00611D74">
        <w:rPr>
          <w:i/>
        </w:rPr>
        <w:t>U</w:t>
      </w:r>
      <w:r w:rsidRPr="00611D74">
        <w:rPr>
          <w:i/>
        </w:rPr>
        <w:t>EF</w:t>
      </w:r>
      <w:r w:rsidRPr="00611D74">
        <w:rPr>
          <w:i/>
          <w:vertAlign w:val="subscript"/>
        </w:rPr>
        <w:t>PM10,c</w:t>
      </w:r>
      <w:r w:rsidRPr="00611D74">
        <w:rPr>
          <w:i/>
          <w:vertAlign w:val="subscript"/>
        </w:rPr>
        <w:tab/>
      </w:r>
      <w:r w:rsidRPr="00611D74">
        <w:t>=</w:t>
      </w:r>
      <w:r w:rsidRPr="00611D74">
        <w:tab/>
      </w:r>
      <w:r w:rsidR="00611D74" w:rsidRPr="00611D74">
        <w:t xml:space="preserve"> Uncontrolled </w:t>
      </w:r>
      <w:r w:rsidRPr="00611D74">
        <w:t>PM</w:t>
      </w:r>
      <w:r w:rsidRPr="00611D74">
        <w:rPr>
          <w:vertAlign w:val="subscript"/>
        </w:rPr>
        <w:t xml:space="preserve">10 </w:t>
      </w:r>
      <w:r w:rsidRPr="00611D74">
        <w:t xml:space="preserve">emission factor corrected for soil moisture and silt content in state </w:t>
      </w:r>
      <w:r w:rsidRPr="00611D74">
        <w:rPr>
          <w:i/>
        </w:rPr>
        <w:t xml:space="preserve">s </w:t>
      </w:r>
      <w:r w:rsidRPr="00611D74">
        <w:t xml:space="preserve">and county </w:t>
      </w:r>
      <w:r w:rsidRPr="00611D74">
        <w:rPr>
          <w:i/>
        </w:rPr>
        <w:t xml:space="preserve">c, </w:t>
      </w:r>
      <w:r w:rsidRPr="00611D74">
        <w:t>in tons/acre-month</w:t>
      </w:r>
    </w:p>
    <w:p w14:paraId="66BB8963" w14:textId="1D7A0C0B" w:rsidR="00F963A6" w:rsidRPr="00611D74" w:rsidRDefault="00F963A6" w:rsidP="00F963A6">
      <w:pPr>
        <w:pStyle w:val="NoSpacing"/>
      </w:pPr>
      <w:r w:rsidRPr="00611D74">
        <w:rPr>
          <w:i/>
        </w:rPr>
        <w:tab/>
      </w:r>
      <w:r w:rsidR="00E85A1E">
        <w:rPr>
          <w:i/>
        </w:rPr>
        <w:t>EF</w:t>
      </w:r>
      <w:r w:rsidRPr="00611D74">
        <w:rPr>
          <w:i/>
          <w:vertAlign w:val="subscript"/>
        </w:rPr>
        <w:t>PM10</w:t>
      </w:r>
      <w:r w:rsidRPr="00611D74">
        <w:rPr>
          <w:i/>
          <w:vertAlign w:val="subscript"/>
        </w:rPr>
        <w:tab/>
      </w:r>
      <w:r w:rsidRPr="00611D74">
        <w:t>=</w:t>
      </w:r>
      <w:r w:rsidRPr="00611D74">
        <w:tab/>
        <w:t>Initial PM</w:t>
      </w:r>
      <w:r w:rsidRPr="00611D74">
        <w:rPr>
          <w:vertAlign w:val="subscript"/>
        </w:rPr>
        <w:t>10</w:t>
      </w:r>
      <w:r w:rsidRPr="00611D74">
        <w:t xml:space="preserve"> emissions for road construction,</w:t>
      </w:r>
      <w:r w:rsidR="00784A58" w:rsidRPr="00611D74">
        <w:t xml:space="preserve"> 0.42</w:t>
      </w:r>
      <w:r w:rsidRPr="00611D74">
        <w:t xml:space="preserve"> tons/acre-month</w:t>
      </w:r>
    </w:p>
    <w:p w14:paraId="43928C2E" w14:textId="77777777" w:rsidR="00F963A6" w:rsidRPr="00611D74" w:rsidRDefault="00F963A6" w:rsidP="00F963A6">
      <w:pPr>
        <w:pStyle w:val="NoSpacing"/>
        <w:rPr>
          <w:i/>
        </w:rPr>
      </w:pPr>
      <w:r w:rsidRPr="00611D74">
        <w:tab/>
      </w:r>
      <w:r w:rsidRPr="00611D74">
        <w:rPr>
          <w:i/>
        </w:rPr>
        <w:t>PE</w:t>
      </w:r>
      <w:r w:rsidRPr="00611D74">
        <w:rPr>
          <w:i/>
          <w:vertAlign w:val="subscript"/>
        </w:rPr>
        <w:t>s</w:t>
      </w:r>
      <w:r w:rsidRPr="00611D74">
        <w:tab/>
        <w:t>=</w:t>
      </w:r>
      <w:r w:rsidRPr="00611D74">
        <w:tab/>
        <w:t xml:space="preserve">Precipitation-evaporation value for state </w:t>
      </w:r>
      <w:r w:rsidRPr="00611D74">
        <w:rPr>
          <w:i/>
        </w:rPr>
        <w:t>s</w:t>
      </w:r>
    </w:p>
    <w:p w14:paraId="6818AC28" w14:textId="77777777" w:rsidR="00F963A6" w:rsidRPr="00611D74" w:rsidRDefault="00F963A6" w:rsidP="00F963A6">
      <w:pPr>
        <w:pStyle w:val="NoSpacing"/>
        <w:rPr>
          <w:i/>
        </w:rPr>
      </w:pPr>
      <w:r w:rsidRPr="00611D74">
        <w:rPr>
          <w:i/>
        </w:rPr>
        <w:tab/>
        <w:t>S</w:t>
      </w:r>
      <w:r w:rsidRPr="00611D74">
        <w:rPr>
          <w:i/>
          <w:vertAlign w:val="subscript"/>
        </w:rPr>
        <w:t>c</w:t>
      </w:r>
      <w:r w:rsidRPr="00611D74">
        <w:rPr>
          <w:i/>
          <w:vertAlign w:val="subscript"/>
        </w:rPr>
        <w:tab/>
      </w:r>
      <w:r w:rsidRPr="00611D74">
        <w:t>=</w:t>
      </w:r>
      <w:r w:rsidRPr="00611D74">
        <w:tab/>
        <w:t xml:space="preserve">Percent dry silt content in soil for county </w:t>
      </w:r>
      <w:r w:rsidRPr="00611D74">
        <w:rPr>
          <w:i/>
        </w:rPr>
        <w:t>c</w:t>
      </w:r>
    </w:p>
    <w:p w14:paraId="50F47E72" w14:textId="73159D68" w:rsidR="00E83425" w:rsidRPr="00611D74" w:rsidRDefault="00E83425" w:rsidP="00E83425">
      <w:pPr>
        <w:pStyle w:val="NoSpacing"/>
        <w:ind w:left="0" w:firstLine="0"/>
        <w:rPr>
          <w:i/>
        </w:rPr>
      </w:pPr>
    </w:p>
    <w:p w14:paraId="0CB85A1A" w14:textId="77777777" w:rsidR="00F963A6" w:rsidRPr="00611D74" w:rsidRDefault="00F963A6" w:rsidP="00F51B57">
      <w:pPr>
        <w:spacing w:after="0"/>
        <w:rPr>
          <w:iCs/>
          <w:szCs w:val="20"/>
        </w:rPr>
      </w:pPr>
    </w:p>
    <w:p w14:paraId="6CF8A11F" w14:textId="299349B4" w:rsidR="00F963A6" w:rsidRPr="00611D74" w:rsidRDefault="00F51B57" w:rsidP="00F51B57">
      <w:pPr>
        <w:spacing w:after="0"/>
        <w:rPr>
          <w:iCs/>
          <w:szCs w:val="20"/>
        </w:rPr>
      </w:pPr>
      <w:r w:rsidRPr="00611D74">
        <w:rPr>
          <w:iCs/>
          <w:szCs w:val="20"/>
        </w:rPr>
        <w:t xml:space="preserve">Once </w:t>
      </w:r>
      <w:r w:rsidR="006E4AE6" w:rsidRPr="00611D74">
        <w:rPr>
          <w:iCs/>
          <w:szCs w:val="20"/>
        </w:rPr>
        <w:t xml:space="preserve">uncontrolled </w:t>
      </w:r>
      <w:r w:rsidRPr="00611D74">
        <w:rPr>
          <w:iCs/>
          <w:szCs w:val="20"/>
        </w:rPr>
        <w:t>PM</w:t>
      </w:r>
      <w:r w:rsidRPr="00611D74">
        <w:rPr>
          <w:iCs/>
          <w:szCs w:val="20"/>
          <w:vertAlign w:val="subscript"/>
        </w:rPr>
        <w:t>10</w:t>
      </w:r>
      <w:r w:rsidRPr="00611D74">
        <w:rPr>
          <w:iCs/>
          <w:szCs w:val="20"/>
        </w:rPr>
        <w:t xml:space="preserve"> adjustments have been made, </w:t>
      </w:r>
      <w:r w:rsidR="006E4AE6" w:rsidRPr="00611D74">
        <w:rPr>
          <w:iCs/>
          <w:szCs w:val="20"/>
        </w:rPr>
        <w:t xml:space="preserve">uncontrolled </w:t>
      </w:r>
      <w:r w:rsidRPr="00611D74">
        <w:rPr>
          <w:iCs/>
          <w:szCs w:val="20"/>
        </w:rPr>
        <w:t>PM</w:t>
      </w:r>
      <w:r w:rsidRPr="00611D74">
        <w:rPr>
          <w:iCs/>
          <w:szCs w:val="20"/>
          <w:vertAlign w:val="subscript"/>
        </w:rPr>
        <w:t>2.5</w:t>
      </w:r>
      <w:r w:rsidRPr="00611D74">
        <w:rPr>
          <w:iCs/>
          <w:szCs w:val="20"/>
        </w:rPr>
        <w:t xml:space="preserve"> emissions are set to 10% of PM</w:t>
      </w:r>
      <w:r w:rsidRPr="00611D74">
        <w:rPr>
          <w:iCs/>
          <w:szCs w:val="20"/>
          <w:vertAlign w:val="subscript"/>
        </w:rPr>
        <w:t>10</w:t>
      </w:r>
      <w:r w:rsidRPr="00611D74">
        <w:rPr>
          <w:iCs/>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611D74" w:rsidRPr="00611D74" w14:paraId="06C0214A" w14:textId="77777777" w:rsidTr="009B4212">
        <w:trPr>
          <w:trHeight w:val="576"/>
        </w:trPr>
        <w:tc>
          <w:tcPr>
            <w:tcW w:w="8748" w:type="dxa"/>
            <w:vAlign w:val="center"/>
          </w:tcPr>
          <w:p w14:paraId="3CB6C653" w14:textId="2ED46631" w:rsidR="009B4212" w:rsidRPr="00611D74" w:rsidRDefault="00611D74" w:rsidP="0058616C">
            <w:pPr>
              <w:widowControl/>
              <w:autoSpaceDE/>
              <w:autoSpaceDN/>
              <w:adjustRightInd/>
              <w:jc w:val="center"/>
              <w:rPr>
                <w:szCs w:val="20"/>
              </w:rPr>
            </w:pPr>
            <m:oMathPara>
              <m:oMath>
                <m:r>
                  <w:rPr>
                    <w:rFonts w:ascii="Cambria Math" w:hAnsi="Cambria Math"/>
                  </w:rPr>
                  <w:lastRenderedPageBreak/>
                  <m:t>U</m:t>
                </m:r>
                <m:sSub>
                  <m:sSubPr>
                    <m:ctrlPr>
                      <w:rPr>
                        <w:rFonts w:ascii="Cambria Math" w:hAnsi="Cambria Math"/>
                        <w:i/>
                      </w:rPr>
                    </m:ctrlPr>
                  </m:sSubPr>
                  <m:e>
                    <m:r>
                      <w:rPr>
                        <w:rFonts w:ascii="Cambria Math" w:hAnsi="Cambria Math"/>
                      </w:rPr>
                      <m:t>EF</m:t>
                    </m:r>
                  </m:e>
                  <m:sub>
                    <m:r>
                      <w:rPr>
                        <w:rFonts w:ascii="Cambria Math" w:hAnsi="Cambria Math"/>
                      </w:rPr>
                      <m:t>PM25,c</m:t>
                    </m:r>
                  </m:sub>
                </m:sSub>
                <m:r>
                  <w:rPr>
                    <w:rFonts w:ascii="Cambria Math" w:hAnsi="Cambria Math"/>
                  </w:rPr>
                  <m:t>=0.10×</m:t>
                </m:r>
                <m:sSub>
                  <m:sSubPr>
                    <m:ctrlPr>
                      <w:rPr>
                        <w:rFonts w:ascii="Cambria Math" w:hAnsi="Cambria Math"/>
                        <w:i/>
                      </w:rPr>
                    </m:ctrlPr>
                  </m:sSubPr>
                  <m:e>
                    <m:r>
                      <w:rPr>
                        <w:rFonts w:ascii="Cambria Math" w:hAnsi="Cambria Math"/>
                      </w:rPr>
                      <m:t>UEF</m:t>
                    </m:r>
                  </m:e>
                  <m:sub>
                    <m:r>
                      <w:rPr>
                        <w:rFonts w:ascii="Cambria Math" w:hAnsi="Cambria Math"/>
                        <w:sz w:val="24"/>
                      </w:rPr>
                      <m:t>PM10</m:t>
                    </m:r>
                    <m:r>
                      <w:rPr>
                        <w:rFonts w:ascii="Cambria Math" w:hAnsi="Cambria Math"/>
                      </w:rPr>
                      <m:t>,c</m:t>
                    </m:r>
                  </m:sub>
                </m:sSub>
              </m:oMath>
            </m:oMathPara>
          </w:p>
        </w:tc>
        <w:tc>
          <w:tcPr>
            <w:tcW w:w="828" w:type="dxa"/>
            <w:vAlign w:val="center"/>
          </w:tcPr>
          <w:p w14:paraId="4AE322F0" w14:textId="77777777" w:rsidR="009B4212" w:rsidRPr="00611D74" w:rsidRDefault="009B4212" w:rsidP="009B4212">
            <w:pPr>
              <w:pStyle w:val="ListParagraph"/>
              <w:widowControl/>
              <w:numPr>
                <w:ilvl w:val="0"/>
                <w:numId w:val="10"/>
              </w:numPr>
              <w:autoSpaceDE/>
              <w:autoSpaceDN/>
              <w:adjustRightInd/>
              <w:jc w:val="center"/>
              <w:rPr>
                <w:szCs w:val="20"/>
              </w:rPr>
            </w:pPr>
          </w:p>
        </w:tc>
      </w:tr>
    </w:tbl>
    <w:p w14:paraId="19379EF9" w14:textId="77777777" w:rsidR="009B4212" w:rsidRPr="00611D74" w:rsidRDefault="009B4212" w:rsidP="009B4212">
      <w:pPr>
        <w:spacing w:after="0"/>
      </w:pPr>
      <w:r w:rsidRPr="00611D74">
        <w:t>Where:</w:t>
      </w:r>
    </w:p>
    <w:p w14:paraId="05DA880F" w14:textId="16CF6EA5" w:rsidR="009B4212" w:rsidRPr="00611D74" w:rsidRDefault="009B4212" w:rsidP="00611D74">
      <w:pPr>
        <w:pStyle w:val="NoSpacing"/>
      </w:pPr>
      <w:r w:rsidRPr="00611D74">
        <w:tab/>
      </w:r>
      <w:r w:rsidR="00611D74" w:rsidRPr="00611D74">
        <w:t>U</w:t>
      </w:r>
      <w:r w:rsidRPr="00611D74">
        <w:rPr>
          <w:i/>
        </w:rPr>
        <w:t>EF</w:t>
      </w:r>
      <w:r w:rsidRPr="00611D74">
        <w:rPr>
          <w:i/>
          <w:vertAlign w:val="subscript"/>
        </w:rPr>
        <w:t>PM10,c</w:t>
      </w:r>
      <w:r w:rsidRPr="00611D74">
        <w:rPr>
          <w:i/>
          <w:vertAlign w:val="subscript"/>
        </w:rPr>
        <w:tab/>
      </w:r>
      <w:r w:rsidRPr="00611D74">
        <w:t>=</w:t>
      </w:r>
      <w:r w:rsidRPr="00611D74">
        <w:tab/>
      </w:r>
      <w:r w:rsidR="00611D74" w:rsidRPr="00611D74">
        <w:t xml:space="preserve">Uncontrolled </w:t>
      </w:r>
      <w:r w:rsidRPr="00611D74">
        <w:t>PM</w:t>
      </w:r>
      <w:r w:rsidRPr="00611D74">
        <w:rPr>
          <w:vertAlign w:val="subscript"/>
        </w:rPr>
        <w:t xml:space="preserve">10 </w:t>
      </w:r>
      <w:r w:rsidRPr="00611D74">
        <w:t xml:space="preserve">emission factor corrected for soil moisture and silt content in state </w:t>
      </w:r>
      <w:r w:rsidRPr="00611D74">
        <w:rPr>
          <w:i/>
        </w:rPr>
        <w:t xml:space="preserve">s </w:t>
      </w:r>
      <w:r w:rsidRPr="00611D74">
        <w:t xml:space="preserve">and county </w:t>
      </w:r>
      <w:r w:rsidRPr="00611D74">
        <w:rPr>
          <w:i/>
        </w:rPr>
        <w:t xml:space="preserve">c, </w:t>
      </w:r>
      <w:r w:rsidRPr="00611D74">
        <w:t>in tons/acre-month</w:t>
      </w:r>
    </w:p>
    <w:p w14:paraId="2BA25382" w14:textId="1BFEE8D8" w:rsidR="009B4212" w:rsidRPr="00611D74" w:rsidRDefault="009B4212" w:rsidP="00611D74">
      <w:pPr>
        <w:pStyle w:val="NoSpacing"/>
      </w:pPr>
      <w:r w:rsidRPr="00611D74">
        <w:rPr>
          <w:i/>
        </w:rPr>
        <w:tab/>
      </w:r>
      <w:r w:rsidR="00611D74" w:rsidRPr="00611D74">
        <w:rPr>
          <w:i/>
        </w:rPr>
        <w:t>U</w:t>
      </w:r>
      <w:r w:rsidRPr="00611D74">
        <w:rPr>
          <w:i/>
        </w:rPr>
        <w:t>EF</w:t>
      </w:r>
      <w:r w:rsidRPr="00611D74">
        <w:rPr>
          <w:i/>
          <w:vertAlign w:val="subscript"/>
        </w:rPr>
        <w:t>PM25,c</w:t>
      </w:r>
      <w:r w:rsidRPr="00611D74">
        <w:rPr>
          <w:i/>
          <w:vertAlign w:val="subscript"/>
        </w:rPr>
        <w:tab/>
      </w:r>
      <w:r w:rsidRPr="00611D74">
        <w:t>=</w:t>
      </w:r>
      <w:r w:rsidRPr="00611D74">
        <w:tab/>
      </w:r>
      <w:r w:rsidR="00611D74" w:rsidRPr="00611D74">
        <w:t xml:space="preserve">Uncontrolled </w:t>
      </w:r>
      <w:r w:rsidRPr="00611D74">
        <w:t>PM</w:t>
      </w:r>
      <w:r w:rsidRPr="00611D74">
        <w:rPr>
          <w:vertAlign w:val="subscript"/>
        </w:rPr>
        <w:t>2.5</w:t>
      </w:r>
      <w:r w:rsidRPr="00611D74">
        <w:t xml:space="preserve"> emission factor corrected for soil moisture and silt content in county </w:t>
      </w:r>
      <w:r w:rsidRPr="00611D74">
        <w:rPr>
          <w:i/>
        </w:rPr>
        <w:t xml:space="preserve">c, </w:t>
      </w:r>
      <w:r w:rsidRPr="00611D74">
        <w:t>in tons/acre-month</w:t>
      </w:r>
    </w:p>
    <w:p w14:paraId="55947E1B" w14:textId="77777777" w:rsidR="009B4212" w:rsidRPr="00611D74" w:rsidRDefault="009B4212" w:rsidP="00F51B57">
      <w:pPr>
        <w:spacing w:after="0"/>
        <w:rPr>
          <w:iCs/>
          <w:szCs w:val="20"/>
        </w:rPr>
      </w:pPr>
    </w:p>
    <w:p w14:paraId="06978720" w14:textId="6C24BCC3" w:rsidR="00B97E6E" w:rsidRPr="00611D74" w:rsidRDefault="00F963A6" w:rsidP="00F963A6">
      <w:pPr>
        <w:spacing w:after="0"/>
        <w:rPr>
          <w:szCs w:val="20"/>
        </w:rPr>
      </w:pPr>
      <w:r w:rsidRPr="00611D74">
        <w:rPr>
          <w:szCs w:val="20"/>
        </w:rPr>
        <w:t>Primary PM emissions are equ</w:t>
      </w:r>
      <w:r w:rsidR="009B4212" w:rsidRPr="00611D74">
        <w:rPr>
          <w:szCs w:val="20"/>
        </w:rPr>
        <w:t>al to filterable emissions as there</w:t>
      </w:r>
      <w:r w:rsidRPr="00611D74">
        <w:rPr>
          <w:szCs w:val="20"/>
        </w:rPr>
        <w:t xml:space="preserve"> are no </w:t>
      </w:r>
      <w:r w:rsidR="00C52E5D" w:rsidRPr="00611D74">
        <w:rPr>
          <w:szCs w:val="20"/>
        </w:rPr>
        <w:t>condens</w:t>
      </w:r>
      <w:r w:rsidR="00AA4E47" w:rsidRPr="00611D74">
        <w:rPr>
          <w:szCs w:val="20"/>
        </w:rPr>
        <w:t>i</w:t>
      </w:r>
      <w:r w:rsidR="00C52E5D" w:rsidRPr="00611D74">
        <w:rPr>
          <w:szCs w:val="20"/>
        </w:rPr>
        <w:t>ble</w:t>
      </w:r>
      <w:r w:rsidRPr="00611D74">
        <w:rPr>
          <w:szCs w:val="20"/>
        </w:rPr>
        <w:t xml:space="preserve"> </w:t>
      </w:r>
      <w:r w:rsidR="00433309">
        <w:rPr>
          <w:szCs w:val="20"/>
        </w:rPr>
        <w:t xml:space="preserve">dust </w:t>
      </w:r>
      <w:r w:rsidRPr="00611D74">
        <w:rPr>
          <w:szCs w:val="20"/>
        </w:rPr>
        <w:t xml:space="preserve">emissions </w:t>
      </w:r>
      <w:r w:rsidR="00C52E5D" w:rsidRPr="00611D74">
        <w:rPr>
          <w:szCs w:val="20"/>
        </w:rPr>
        <w:t xml:space="preserve">from </w:t>
      </w:r>
      <w:r w:rsidRPr="00611D74">
        <w:rPr>
          <w:szCs w:val="20"/>
        </w:rPr>
        <w:t>road construction.</w:t>
      </w:r>
    </w:p>
    <w:p w14:paraId="0E70910B" w14:textId="77777777" w:rsidR="00F963A6" w:rsidRPr="00611D74" w:rsidRDefault="00F963A6" w:rsidP="00F963A6">
      <w:pPr>
        <w:spacing w:after="0"/>
        <w:rPr>
          <w:szCs w:val="20"/>
        </w:rPr>
      </w:pPr>
    </w:p>
    <w:p w14:paraId="7E277CE9" w14:textId="77777777" w:rsidR="00B97E6E" w:rsidRPr="00611D74" w:rsidRDefault="00B97E6E" w:rsidP="00052E59">
      <w:pPr>
        <w:pStyle w:val="Heading1"/>
      </w:pPr>
      <w:r w:rsidRPr="00611D74">
        <w:t>Controls</w:t>
      </w:r>
    </w:p>
    <w:p w14:paraId="4BEFEFE1" w14:textId="6D7C1C12" w:rsidR="00B97E6E" w:rsidRPr="00611D74" w:rsidRDefault="0003314F"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611D74">
        <w:rPr>
          <w:szCs w:val="20"/>
        </w:rPr>
        <w:t>D</w:t>
      </w:r>
      <w:r w:rsidR="00AE3691" w:rsidRPr="00611D74">
        <w:rPr>
          <w:szCs w:val="20"/>
        </w:rPr>
        <w:t>ust emissions from road construction</w:t>
      </w:r>
      <w:r w:rsidRPr="00611D74">
        <w:rPr>
          <w:szCs w:val="20"/>
        </w:rPr>
        <w:t xml:space="preserve"> are generally controlled by watering the construction site. The Midwest Research Institute recommends using a control efficiency of 50% for PM10 and PM25 emissions from road construction.</w:t>
      </w:r>
      <w:r w:rsidRPr="00611D74">
        <w:rPr>
          <w:szCs w:val="20"/>
          <w:vertAlign w:val="superscript"/>
        </w:rPr>
        <w:t>6</w:t>
      </w:r>
      <w:r w:rsidRPr="00611D74">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611D74" w:rsidRPr="00611D74" w14:paraId="335FCF17" w14:textId="77777777" w:rsidTr="00BB28AB">
        <w:trPr>
          <w:trHeight w:val="576"/>
        </w:trPr>
        <w:tc>
          <w:tcPr>
            <w:tcW w:w="8748" w:type="dxa"/>
            <w:vAlign w:val="center"/>
          </w:tcPr>
          <w:p w14:paraId="36C86C24" w14:textId="03EE737D" w:rsidR="00B56E90" w:rsidRPr="00611D74" w:rsidRDefault="00666C66" w:rsidP="00B56E90">
            <w:pPr>
              <w:widowControl/>
              <w:autoSpaceDE/>
              <w:autoSpaceDN/>
              <w:adjustRightInd/>
              <w:jc w:val="center"/>
              <w:rPr>
                <w:szCs w:val="20"/>
              </w:rPr>
            </w:pPr>
            <m:oMathPara>
              <m:oMath>
                <m:sSub>
                  <m:sSubPr>
                    <m:ctrlPr>
                      <w:rPr>
                        <w:rFonts w:ascii="Cambria Math" w:hAnsi="Cambria Math"/>
                        <w:i/>
                      </w:rPr>
                    </m:ctrlPr>
                  </m:sSubPr>
                  <m:e>
                    <m:r>
                      <w:rPr>
                        <w:rFonts w:ascii="Cambria Math" w:hAnsi="Cambria Math"/>
                      </w:rPr>
                      <m:t>EF</m:t>
                    </m:r>
                  </m:e>
                  <m:sub>
                    <m:r>
                      <w:rPr>
                        <w:rFonts w:ascii="Cambria Math" w:hAnsi="Cambria Math"/>
                      </w:rPr>
                      <m:t>P,c</m:t>
                    </m:r>
                  </m:sub>
                </m:sSub>
                <m:r>
                  <w:rPr>
                    <w:rFonts w:ascii="Cambria Math" w:hAnsi="Cambria Math"/>
                  </w:rPr>
                  <m:t>=0.50×</m:t>
                </m:r>
                <m:sSub>
                  <m:sSubPr>
                    <m:ctrlPr>
                      <w:rPr>
                        <w:rFonts w:ascii="Cambria Math" w:hAnsi="Cambria Math"/>
                        <w:i/>
                      </w:rPr>
                    </m:ctrlPr>
                  </m:sSubPr>
                  <m:e>
                    <m:r>
                      <w:rPr>
                        <w:rFonts w:ascii="Cambria Math" w:hAnsi="Cambria Math"/>
                      </w:rPr>
                      <m:t>UEF</m:t>
                    </m:r>
                  </m:e>
                  <m:sub>
                    <m:r>
                      <w:rPr>
                        <w:rFonts w:ascii="Cambria Math" w:hAnsi="Cambria Math"/>
                      </w:rPr>
                      <m:t>p,c</m:t>
                    </m:r>
                  </m:sub>
                </m:sSub>
              </m:oMath>
            </m:oMathPara>
          </w:p>
        </w:tc>
        <w:tc>
          <w:tcPr>
            <w:tcW w:w="828" w:type="dxa"/>
            <w:vAlign w:val="center"/>
          </w:tcPr>
          <w:p w14:paraId="41E96F4E" w14:textId="77777777" w:rsidR="00B56E90" w:rsidRPr="00611D74" w:rsidRDefault="00B56E90" w:rsidP="00B56E90">
            <w:pPr>
              <w:pStyle w:val="ListParagraph"/>
              <w:widowControl/>
              <w:numPr>
                <w:ilvl w:val="0"/>
                <w:numId w:val="10"/>
              </w:numPr>
              <w:autoSpaceDE/>
              <w:autoSpaceDN/>
              <w:adjustRightInd/>
              <w:jc w:val="center"/>
              <w:rPr>
                <w:szCs w:val="20"/>
              </w:rPr>
            </w:pPr>
          </w:p>
        </w:tc>
      </w:tr>
    </w:tbl>
    <w:p w14:paraId="785BCAD3" w14:textId="77777777" w:rsidR="00B56E90" w:rsidRPr="00611D74" w:rsidRDefault="00B56E90" w:rsidP="00B56E90">
      <w:pPr>
        <w:tabs>
          <w:tab w:val="left" w:pos="0"/>
          <w:tab w:val="center" w:pos="4320"/>
          <w:tab w:val="right" w:pos="8467"/>
        </w:tabs>
        <w:spacing w:after="0"/>
        <w:rPr>
          <w:rFonts w:eastAsiaTheme="minorEastAsia"/>
          <w:szCs w:val="20"/>
        </w:rPr>
      </w:pPr>
      <w:r w:rsidRPr="00611D74">
        <w:rPr>
          <w:rFonts w:eastAsiaTheme="minorEastAsia"/>
          <w:szCs w:val="20"/>
        </w:rPr>
        <w:t>Where:</w:t>
      </w:r>
    </w:p>
    <w:p w14:paraId="7480EF52" w14:textId="65803E99" w:rsidR="00B56E90" w:rsidRPr="00611D74" w:rsidRDefault="00B56E90" w:rsidP="00611D74">
      <w:pPr>
        <w:pStyle w:val="NoSpacing"/>
        <w:rPr>
          <w:rFonts w:eastAsiaTheme="minorEastAsia"/>
          <w:i/>
        </w:rPr>
      </w:pPr>
      <w:r w:rsidRPr="00611D74">
        <w:rPr>
          <w:rFonts w:eastAsiaTheme="minorEastAsia"/>
        </w:rPr>
        <w:tab/>
      </w:r>
      <w:r w:rsidRPr="00611D74">
        <w:rPr>
          <w:rFonts w:eastAsiaTheme="minorEastAsia"/>
          <w:i/>
        </w:rPr>
        <w:t>E</w:t>
      </w:r>
      <w:r w:rsidR="006E4AE6" w:rsidRPr="00611D74">
        <w:rPr>
          <w:rFonts w:eastAsiaTheme="minorEastAsia"/>
          <w:i/>
        </w:rPr>
        <w:t>F</w:t>
      </w:r>
      <w:r w:rsidRPr="00611D74">
        <w:rPr>
          <w:rFonts w:eastAsiaTheme="minorEastAsia"/>
          <w:i/>
          <w:vertAlign w:val="subscript"/>
        </w:rPr>
        <w:t>p,c</w:t>
      </w:r>
      <w:r w:rsidRPr="00611D74">
        <w:rPr>
          <w:rFonts w:eastAsiaTheme="minorEastAsia"/>
          <w:vertAlign w:val="subscript"/>
        </w:rPr>
        <w:tab/>
      </w:r>
      <w:r w:rsidR="006E4AE6" w:rsidRPr="00611D74">
        <w:rPr>
          <w:rFonts w:eastAsiaTheme="minorEastAsia"/>
        </w:rPr>
        <w:t xml:space="preserve">=  </w:t>
      </w:r>
      <w:r w:rsidR="00611D74" w:rsidRPr="00611D74">
        <w:rPr>
          <w:rFonts w:eastAsiaTheme="minorEastAsia"/>
        </w:rPr>
        <w:t>Controlled e</w:t>
      </w:r>
      <w:r w:rsidRPr="00611D74">
        <w:rPr>
          <w:rFonts w:eastAsiaTheme="minorEastAsia"/>
        </w:rPr>
        <w:t>missions</w:t>
      </w:r>
      <w:r w:rsidR="006E4AE6" w:rsidRPr="00611D74">
        <w:rPr>
          <w:rFonts w:eastAsiaTheme="minorEastAsia"/>
        </w:rPr>
        <w:t xml:space="preserve"> factor</w:t>
      </w:r>
      <w:r w:rsidRPr="00611D74">
        <w:rPr>
          <w:rFonts w:eastAsiaTheme="minorEastAsia"/>
        </w:rPr>
        <w:t xml:space="preserve"> of pollutant </w:t>
      </w:r>
      <w:r w:rsidRPr="00611D74">
        <w:rPr>
          <w:rFonts w:eastAsiaTheme="minorEastAsia"/>
          <w:i/>
        </w:rPr>
        <w:t xml:space="preserve">p </w:t>
      </w:r>
      <w:r w:rsidRPr="00611D74">
        <w:rPr>
          <w:rFonts w:eastAsiaTheme="minorEastAsia"/>
        </w:rPr>
        <w:t xml:space="preserve">in county </w:t>
      </w:r>
      <w:r w:rsidRPr="00611D74">
        <w:rPr>
          <w:rFonts w:eastAsiaTheme="minorEastAsia"/>
          <w:i/>
        </w:rPr>
        <w:t>c</w:t>
      </w:r>
    </w:p>
    <w:p w14:paraId="32F331C0" w14:textId="40C3BEB9" w:rsidR="00B56E90" w:rsidRPr="00611D74" w:rsidRDefault="00611D74" w:rsidP="00611D74">
      <w:pPr>
        <w:pStyle w:val="NoSpacing"/>
        <w:rPr>
          <w:rFonts w:eastAsiaTheme="minorEastAsia"/>
          <w:i/>
        </w:rPr>
      </w:pPr>
      <w:r w:rsidRPr="00611D74">
        <w:rPr>
          <w:rFonts w:eastAsiaTheme="minorEastAsia"/>
          <w:i/>
        </w:rPr>
        <w:tab/>
        <w:t>UEF</w:t>
      </w:r>
      <w:r w:rsidRPr="00611D74">
        <w:rPr>
          <w:rFonts w:eastAsiaTheme="minorEastAsia"/>
          <w:i/>
          <w:vertAlign w:val="subscript"/>
        </w:rPr>
        <w:t>p,c</w:t>
      </w:r>
      <w:r w:rsidRPr="00611D74">
        <w:rPr>
          <w:rFonts w:eastAsiaTheme="minorEastAsia"/>
          <w:vertAlign w:val="subscript"/>
        </w:rPr>
        <w:tab/>
      </w:r>
      <w:r w:rsidRPr="00611D74">
        <w:rPr>
          <w:rFonts w:eastAsiaTheme="minorEastAsia"/>
        </w:rPr>
        <w:t xml:space="preserve">=  Uncontrolled emissions factor of pollutant </w:t>
      </w:r>
      <w:r w:rsidRPr="00611D74">
        <w:rPr>
          <w:rFonts w:eastAsiaTheme="minorEastAsia"/>
          <w:i/>
        </w:rPr>
        <w:t xml:space="preserve">p </w:t>
      </w:r>
      <w:r w:rsidRPr="00611D74">
        <w:rPr>
          <w:rFonts w:eastAsiaTheme="minorEastAsia"/>
        </w:rPr>
        <w:t xml:space="preserve">in county </w:t>
      </w:r>
      <w:r w:rsidRPr="00611D74">
        <w:rPr>
          <w:rFonts w:eastAsiaTheme="minorEastAsia"/>
          <w:i/>
        </w:rPr>
        <w:t>c</w:t>
      </w:r>
    </w:p>
    <w:p w14:paraId="16292F8D" w14:textId="77777777" w:rsidR="00611D74" w:rsidRPr="006E4AE6" w:rsidRDefault="00611D74" w:rsidP="00611D74">
      <w:pPr>
        <w:pStyle w:val="References"/>
      </w:pPr>
    </w:p>
    <w:p w14:paraId="4ED260AE" w14:textId="77777777" w:rsidR="00B97E6E" w:rsidRPr="00611D74" w:rsidRDefault="00B97E6E" w:rsidP="00052E59">
      <w:pPr>
        <w:pStyle w:val="Heading1"/>
      </w:pPr>
      <w:bookmarkStart w:id="8" w:name="_Ref477177564"/>
      <w:r w:rsidRPr="00611D74">
        <w:t>Emissions</w:t>
      </w:r>
      <w:bookmarkEnd w:id="8"/>
    </w:p>
    <w:p w14:paraId="6F90CF59" w14:textId="4F01E375" w:rsidR="00B97E6E" w:rsidRPr="00611D74" w:rsidRDefault="00646D2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611D74">
        <w:rPr>
          <w:szCs w:val="20"/>
        </w:rPr>
        <w:t>The total annual</w:t>
      </w:r>
      <w:r w:rsidR="008F64E2" w:rsidRPr="00611D74">
        <w:rPr>
          <w:szCs w:val="20"/>
        </w:rPr>
        <w:t xml:space="preserve"> dust emissions from road construction in each county are</w:t>
      </w:r>
      <w:r w:rsidRPr="00611D74">
        <w:rPr>
          <w:szCs w:val="20"/>
        </w:rPr>
        <w:t xml:space="preserve"> multiplied </w:t>
      </w:r>
      <w:r w:rsidR="00B97E6E" w:rsidRPr="00611D74">
        <w:rPr>
          <w:szCs w:val="20"/>
        </w:rPr>
        <w:t xml:space="preserve">by </w:t>
      </w:r>
      <w:r w:rsidR="00837710" w:rsidRPr="00611D74">
        <w:rPr>
          <w:szCs w:val="20"/>
        </w:rPr>
        <w:t>the</w:t>
      </w:r>
      <w:r w:rsidR="00B97E6E" w:rsidRPr="00611D74">
        <w:rPr>
          <w:szCs w:val="20"/>
        </w:rPr>
        <w:t xml:space="preserve"> emission</w:t>
      </w:r>
      <w:r w:rsidR="009944E8" w:rsidRPr="00611D74">
        <w:rPr>
          <w:szCs w:val="20"/>
        </w:rPr>
        <w:t>s</w:t>
      </w:r>
      <w:r w:rsidR="00B97E6E" w:rsidRPr="00611D74">
        <w:rPr>
          <w:szCs w:val="20"/>
        </w:rPr>
        <w:t xml:space="preserve"> factor</w:t>
      </w:r>
      <w:r w:rsidR="00611D74" w:rsidRPr="00611D74">
        <w:rPr>
          <w:szCs w:val="20"/>
        </w:rPr>
        <w:t>s calculated in equation 9</w:t>
      </w:r>
      <w:r w:rsidR="008F64E2" w:rsidRPr="00611D74">
        <w:rPr>
          <w:szCs w:val="20"/>
        </w:rPr>
        <w:t xml:space="preserve">. </w:t>
      </w:r>
      <w:r w:rsidR="00D170BD" w:rsidRPr="00611D74">
        <w:rPr>
          <w:szCs w:val="20"/>
        </w:rPr>
        <w:t xml:space="preserve">The duration of construction activity for road construction is assumed to be 12 months. </w:t>
      </w:r>
      <w:r w:rsidRPr="00611D74">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611D74" w:rsidRPr="00611D74" w14:paraId="5C7EC50A" w14:textId="77777777" w:rsidTr="00186E1E">
        <w:trPr>
          <w:trHeight w:val="540"/>
        </w:trPr>
        <w:tc>
          <w:tcPr>
            <w:tcW w:w="8748" w:type="dxa"/>
          </w:tcPr>
          <w:p w14:paraId="216F7A41" w14:textId="62EE515B" w:rsidR="00646D28" w:rsidRPr="00611D74" w:rsidRDefault="00666C66" w:rsidP="00646D28">
            <w:pPr>
              <w:widowControl/>
              <w:autoSpaceDE/>
              <w:autoSpaceDN/>
              <w:adjustRightInd/>
              <w:spacing w:after="200"/>
              <w:rPr>
                <w:szCs w:val="20"/>
              </w:rP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p,c</m:t>
                    </m:r>
                  </m:sub>
                </m:sSub>
                <m:r>
                  <w:rPr>
                    <w:rFonts w:ascii="Cambria Math" w:hAnsi="Cambria Math"/>
                  </w:rPr>
                  <m:t>×M</m:t>
                </m:r>
              </m:oMath>
            </m:oMathPara>
          </w:p>
        </w:tc>
        <w:tc>
          <w:tcPr>
            <w:tcW w:w="828" w:type="dxa"/>
          </w:tcPr>
          <w:p w14:paraId="4CB1CFD4" w14:textId="77777777" w:rsidR="00646D28" w:rsidRPr="00611D74" w:rsidRDefault="00646D28" w:rsidP="00B56E90">
            <w:pPr>
              <w:pStyle w:val="ListParagraph"/>
              <w:widowControl/>
              <w:numPr>
                <w:ilvl w:val="0"/>
                <w:numId w:val="10"/>
              </w:numPr>
              <w:autoSpaceDE/>
              <w:autoSpaceDN/>
              <w:adjustRightInd/>
              <w:spacing w:after="200"/>
              <w:jc w:val="right"/>
              <w:rPr>
                <w:szCs w:val="20"/>
              </w:rPr>
            </w:pPr>
          </w:p>
        </w:tc>
      </w:tr>
    </w:tbl>
    <w:p w14:paraId="003273B7" w14:textId="77777777" w:rsidR="008F64E2" w:rsidRPr="00611D74" w:rsidRDefault="008F64E2" w:rsidP="008F64E2">
      <w:pPr>
        <w:tabs>
          <w:tab w:val="left" w:pos="0"/>
          <w:tab w:val="center" w:pos="4320"/>
          <w:tab w:val="right" w:pos="8467"/>
        </w:tabs>
        <w:spacing w:after="0"/>
        <w:rPr>
          <w:rFonts w:eastAsiaTheme="minorEastAsia"/>
          <w:szCs w:val="20"/>
        </w:rPr>
      </w:pPr>
      <w:r w:rsidRPr="00611D74">
        <w:rPr>
          <w:rFonts w:eastAsiaTheme="minorEastAsia"/>
          <w:szCs w:val="20"/>
        </w:rPr>
        <w:t>Where:</w:t>
      </w:r>
    </w:p>
    <w:p w14:paraId="2A8DE576" w14:textId="77777777" w:rsidR="008F64E2" w:rsidRPr="00611D74" w:rsidRDefault="008F64E2" w:rsidP="008F64E2">
      <w:pPr>
        <w:pStyle w:val="NoSpacing"/>
        <w:rPr>
          <w:rFonts w:eastAsiaTheme="minorEastAsia"/>
          <w:i/>
        </w:rPr>
      </w:pPr>
      <w:r w:rsidRPr="00611D74">
        <w:rPr>
          <w:rFonts w:eastAsiaTheme="minorEastAsia"/>
        </w:rPr>
        <w:tab/>
      </w:r>
      <w:r w:rsidRPr="00611D74">
        <w:rPr>
          <w:rFonts w:eastAsiaTheme="minorEastAsia"/>
          <w:i/>
        </w:rPr>
        <w:t>E</w:t>
      </w:r>
      <w:r w:rsidRPr="00611D74">
        <w:rPr>
          <w:rFonts w:eastAsiaTheme="minorEastAsia"/>
          <w:i/>
          <w:vertAlign w:val="subscript"/>
        </w:rPr>
        <w:t>p,c</w:t>
      </w:r>
      <w:r w:rsidRPr="00611D74">
        <w:rPr>
          <w:rFonts w:eastAsiaTheme="minorEastAsia"/>
          <w:vertAlign w:val="subscript"/>
        </w:rPr>
        <w:tab/>
      </w:r>
      <w:r w:rsidRPr="00611D74">
        <w:rPr>
          <w:rFonts w:eastAsiaTheme="minorEastAsia"/>
        </w:rPr>
        <w:t>=</w:t>
      </w:r>
      <w:r w:rsidRPr="00611D74">
        <w:rPr>
          <w:rFonts w:eastAsiaTheme="minorEastAsia"/>
        </w:rPr>
        <w:tab/>
        <w:t xml:space="preserve">Annual emissions of pollutant </w:t>
      </w:r>
      <w:r w:rsidRPr="00611D74">
        <w:rPr>
          <w:rFonts w:eastAsiaTheme="minorEastAsia"/>
          <w:i/>
        </w:rPr>
        <w:t xml:space="preserve">p </w:t>
      </w:r>
      <w:r w:rsidRPr="00611D74">
        <w:rPr>
          <w:rFonts w:eastAsiaTheme="minorEastAsia"/>
        </w:rPr>
        <w:t xml:space="preserve">in county </w:t>
      </w:r>
      <w:r w:rsidRPr="00611D74">
        <w:rPr>
          <w:rFonts w:eastAsiaTheme="minorEastAsia"/>
          <w:i/>
        </w:rPr>
        <w:t>c</w:t>
      </w:r>
    </w:p>
    <w:p w14:paraId="186E8192" w14:textId="77777777" w:rsidR="00C52E5D" w:rsidRPr="00611D74" w:rsidRDefault="00C52E5D" w:rsidP="00C52E5D">
      <w:pPr>
        <w:pStyle w:val="NoSpacing"/>
        <w:rPr>
          <w:i/>
          <w:u w:val="single"/>
        </w:rPr>
      </w:pPr>
      <w:r w:rsidRPr="00611D74">
        <w:tab/>
      </w:r>
      <w:r w:rsidRPr="00611D74">
        <w:rPr>
          <w:i/>
        </w:rPr>
        <w:t>A</w:t>
      </w:r>
      <w:r w:rsidRPr="00611D74">
        <w:rPr>
          <w:i/>
          <w:vertAlign w:val="subscript"/>
        </w:rPr>
        <w:t>c</w:t>
      </w:r>
      <w:r w:rsidRPr="00611D74">
        <w:rPr>
          <w:vertAlign w:val="subscript"/>
        </w:rPr>
        <w:tab/>
      </w:r>
      <w:r w:rsidRPr="00611D74">
        <w:t>=</w:t>
      </w:r>
      <w:r w:rsidRPr="00611D74">
        <w:tab/>
        <w:t xml:space="preserve">Acres of land disturbed for road construction in county </w:t>
      </w:r>
      <w:r w:rsidRPr="00611D74">
        <w:rPr>
          <w:i/>
        </w:rPr>
        <w:t>c</w:t>
      </w:r>
    </w:p>
    <w:p w14:paraId="791B9E9F" w14:textId="167FDB72" w:rsidR="008F64E2" w:rsidRPr="00611D74" w:rsidRDefault="008F64E2" w:rsidP="008F64E2">
      <w:pPr>
        <w:pStyle w:val="NoSpacing"/>
      </w:pPr>
      <w:r w:rsidRPr="00611D74">
        <w:tab/>
      </w:r>
      <w:r w:rsidRPr="00611D74">
        <w:rPr>
          <w:i/>
        </w:rPr>
        <w:t>EF</w:t>
      </w:r>
      <w:r w:rsidRPr="00611D74">
        <w:rPr>
          <w:i/>
          <w:vertAlign w:val="subscript"/>
        </w:rPr>
        <w:t>PM10,c</w:t>
      </w:r>
      <w:r w:rsidRPr="00611D74">
        <w:rPr>
          <w:i/>
          <w:vertAlign w:val="subscript"/>
        </w:rPr>
        <w:tab/>
      </w:r>
      <w:r w:rsidRPr="00611D74">
        <w:t>=</w:t>
      </w:r>
      <w:r w:rsidRPr="00611D74">
        <w:tab/>
      </w:r>
      <w:r w:rsidR="00611D74" w:rsidRPr="00611D74">
        <w:t xml:space="preserve">Controlled </w:t>
      </w:r>
      <w:r w:rsidRPr="00611D74">
        <w:t>PM</w:t>
      </w:r>
      <w:r w:rsidRPr="00611D74">
        <w:rPr>
          <w:vertAlign w:val="subscript"/>
        </w:rPr>
        <w:t xml:space="preserve">10 </w:t>
      </w:r>
      <w:r w:rsidRPr="00611D74">
        <w:t xml:space="preserve">emission factor corrected for soil moisture and silt content in state </w:t>
      </w:r>
      <w:r w:rsidRPr="00611D74">
        <w:rPr>
          <w:i/>
        </w:rPr>
        <w:t xml:space="preserve">s </w:t>
      </w:r>
      <w:r w:rsidRPr="00611D74">
        <w:t xml:space="preserve">and county </w:t>
      </w:r>
      <w:r w:rsidRPr="00611D74">
        <w:rPr>
          <w:i/>
        </w:rPr>
        <w:t xml:space="preserve">c, </w:t>
      </w:r>
      <w:r w:rsidRPr="00611D74">
        <w:t>in tons/acre-month</w:t>
      </w:r>
    </w:p>
    <w:p w14:paraId="77790757" w14:textId="42125305" w:rsidR="008F64E2" w:rsidRPr="00611D74" w:rsidRDefault="008F64E2" w:rsidP="008F64E2">
      <w:pPr>
        <w:pStyle w:val="NoSpacing"/>
      </w:pPr>
      <w:r w:rsidRPr="00611D74">
        <w:rPr>
          <w:i/>
        </w:rPr>
        <w:tab/>
        <w:t>EF</w:t>
      </w:r>
      <w:r w:rsidRPr="00611D74">
        <w:rPr>
          <w:i/>
          <w:vertAlign w:val="subscript"/>
        </w:rPr>
        <w:t>PM25,c</w:t>
      </w:r>
      <w:r w:rsidRPr="00611D74">
        <w:rPr>
          <w:i/>
          <w:vertAlign w:val="subscript"/>
        </w:rPr>
        <w:tab/>
      </w:r>
      <w:r w:rsidRPr="00611D74">
        <w:t>=</w:t>
      </w:r>
      <w:r w:rsidRPr="00611D74">
        <w:tab/>
      </w:r>
      <w:r w:rsidR="00611D74" w:rsidRPr="00611D74">
        <w:t xml:space="preserve">Controlled </w:t>
      </w:r>
      <w:r w:rsidRPr="00611D74">
        <w:t>PM</w:t>
      </w:r>
      <w:r w:rsidRPr="00611D74">
        <w:rPr>
          <w:vertAlign w:val="subscript"/>
        </w:rPr>
        <w:t>2.5</w:t>
      </w:r>
      <w:r w:rsidRPr="00611D74">
        <w:t xml:space="preserve"> emission factor corrected for soil moisture and silt content in county </w:t>
      </w:r>
      <w:r w:rsidRPr="00611D74">
        <w:rPr>
          <w:i/>
        </w:rPr>
        <w:t xml:space="preserve">c, </w:t>
      </w:r>
      <w:r w:rsidRPr="00611D74">
        <w:t>in tons/acre-month</w:t>
      </w:r>
    </w:p>
    <w:p w14:paraId="20A89944" w14:textId="77777777" w:rsidR="008F64E2" w:rsidRPr="00611D74" w:rsidRDefault="008F64E2" w:rsidP="008F64E2">
      <w:pPr>
        <w:pStyle w:val="NoSpacing"/>
      </w:pPr>
      <w:r w:rsidRPr="00611D74">
        <w:rPr>
          <w:rFonts w:eastAsiaTheme="minorEastAsia"/>
          <w:i/>
        </w:rPr>
        <w:tab/>
        <w:t>M</w:t>
      </w:r>
      <w:r w:rsidRPr="00611D74">
        <w:rPr>
          <w:rFonts w:eastAsiaTheme="minorEastAsia"/>
        </w:rPr>
        <w:tab/>
        <w:t>=</w:t>
      </w:r>
      <w:r w:rsidRPr="00611D74">
        <w:rPr>
          <w:rFonts w:eastAsiaTheme="minorEastAsia"/>
        </w:rPr>
        <w:tab/>
        <w:t>Duration of construction activity in months</w:t>
      </w:r>
    </w:p>
    <w:p w14:paraId="026C5FC1" w14:textId="77777777" w:rsidR="00646D28" w:rsidRPr="006E4AE6" w:rsidRDefault="00646D2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Cs w:val="20"/>
        </w:rPr>
      </w:pPr>
    </w:p>
    <w:p w14:paraId="12A21C4C" w14:textId="77777777" w:rsidR="00B97E6E" w:rsidRDefault="00B97E6E" w:rsidP="00052E59">
      <w:pPr>
        <w:pStyle w:val="Heading1"/>
      </w:pPr>
      <w:r>
        <w:t>Point Source Subtraction</w:t>
      </w:r>
    </w:p>
    <w:p w14:paraId="70245764" w14:textId="083FB707" w:rsidR="00B97E6E" w:rsidRDefault="00A329DA" w:rsidP="00B97E6E">
      <w:pPr>
        <w:widowControl/>
        <w:tabs>
          <w:tab w:val="left" w:pos="0"/>
        </w:tabs>
        <w:rPr>
          <w:szCs w:val="20"/>
        </w:rPr>
      </w:pPr>
      <w:r>
        <w:rPr>
          <w:szCs w:val="20"/>
        </w:rPr>
        <w:t xml:space="preserve">There are no point source-specific SCCs for </w:t>
      </w:r>
      <w:r w:rsidR="00433309">
        <w:rPr>
          <w:szCs w:val="20"/>
        </w:rPr>
        <w:t>road construction</w:t>
      </w:r>
      <w:r w:rsidR="0056502F">
        <w:rPr>
          <w:szCs w:val="20"/>
        </w:rPr>
        <w:t>;</w:t>
      </w:r>
      <w:r>
        <w:rPr>
          <w:szCs w:val="20"/>
        </w:rPr>
        <w:t xml:space="preserve"> therefore p</w:t>
      </w:r>
      <w:r w:rsidR="00B97E6E">
        <w:rPr>
          <w:szCs w:val="20"/>
        </w:rPr>
        <w:t>oint source subtraction is not performed for this category.</w:t>
      </w:r>
    </w:p>
    <w:p w14:paraId="3D39889F" w14:textId="77777777" w:rsidR="00B97E6E" w:rsidRPr="003E3AC3" w:rsidRDefault="00B97E6E" w:rsidP="00052E59">
      <w:pPr>
        <w:pStyle w:val="Heading1"/>
      </w:pPr>
      <w:r>
        <w:t>Sample</w:t>
      </w:r>
      <w:r w:rsidRPr="00036CF5">
        <w:t xml:space="preserve"> Calculations </w:t>
      </w:r>
    </w:p>
    <w:p w14:paraId="633B07D0" w14:textId="24A267B2" w:rsidR="00B97E6E" w:rsidRDefault="0097139E"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AA11E1">
        <w:t xml:space="preserve">Table </w:t>
      </w:r>
      <w:r w:rsidR="00AA11E1">
        <w:rPr>
          <w:noProof/>
        </w:rPr>
        <w:t>2</w:t>
      </w:r>
      <w:r>
        <w:rPr>
          <w:szCs w:val="20"/>
        </w:rPr>
        <w:fldChar w:fldCharType="end"/>
      </w:r>
      <w:r>
        <w:rPr>
          <w:szCs w:val="20"/>
        </w:rPr>
        <w:t xml:space="preserve"> lists sample calculations to determine the </w:t>
      </w:r>
      <w:r w:rsidR="0058616C">
        <w:rPr>
          <w:szCs w:val="20"/>
        </w:rPr>
        <w:t>dust</w:t>
      </w:r>
      <w:r w:rsidR="00B97E6E" w:rsidRPr="004008E6">
        <w:rPr>
          <w:szCs w:val="20"/>
        </w:rPr>
        <w:t xml:space="preserve"> emissions from </w:t>
      </w:r>
      <w:r w:rsidR="0058616C">
        <w:rPr>
          <w:szCs w:val="20"/>
        </w:rPr>
        <w:t xml:space="preserve">road construction </w:t>
      </w:r>
      <w:r w:rsidRPr="004008E6">
        <w:rPr>
          <w:szCs w:val="20"/>
        </w:rPr>
        <w:t xml:space="preserve">in </w:t>
      </w:r>
      <w:r w:rsidR="0058616C">
        <w:rPr>
          <w:szCs w:val="20"/>
        </w:rPr>
        <w:t>Newport County, Rhode Island</w:t>
      </w:r>
      <w:r>
        <w:rPr>
          <w:szCs w:val="20"/>
        </w:rPr>
        <w:t>.</w:t>
      </w:r>
    </w:p>
    <w:p w14:paraId="1649524D" w14:textId="0570E119" w:rsidR="0097139E" w:rsidRDefault="0097139E" w:rsidP="0097139E">
      <w:pPr>
        <w:pStyle w:val="TableCaption"/>
      </w:pPr>
      <w:bookmarkStart w:id="9" w:name="_Ref477187560"/>
      <w:r>
        <w:t xml:space="preserve">Table </w:t>
      </w:r>
      <w:r w:rsidR="00666C66">
        <w:fldChar w:fldCharType="begin"/>
      </w:r>
      <w:r w:rsidR="00666C66">
        <w:instrText xml:space="preserve"> SEQ Table \* ARABIC </w:instrText>
      </w:r>
      <w:r w:rsidR="00666C66">
        <w:fldChar w:fldCharType="separate"/>
      </w:r>
      <w:r w:rsidR="00AA11E1">
        <w:rPr>
          <w:noProof/>
        </w:rPr>
        <w:t>2</w:t>
      </w:r>
      <w:r w:rsidR="00666C66">
        <w:rPr>
          <w:noProof/>
        </w:rPr>
        <w:fldChar w:fldCharType="end"/>
      </w:r>
      <w:bookmarkEnd w:id="9"/>
      <w:r>
        <w:t xml:space="preserve">. Sample calculations for </w:t>
      </w:r>
      <w:r w:rsidR="008F64E2">
        <w:t>Urban Interstate, Urban</w:t>
      </w:r>
      <w:r w:rsidR="0058616C">
        <w:t xml:space="preserve"> Other</w:t>
      </w:r>
      <w:r w:rsidR="008F64E2">
        <w:t xml:space="preserve"> Arterial, and Urban Collector Road </w:t>
      </w:r>
      <w:r w:rsidR="008F64E2">
        <w:lastRenderedPageBreak/>
        <w:t xml:space="preserve">Construction in Newport County, RI </w:t>
      </w:r>
    </w:p>
    <w:tbl>
      <w:tblPr>
        <w:tblStyle w:val="TableGrid"/>
        <w:tblW w:w="9581" w:type="dxa"/>
        <w:tblLook w:val="04A0" w:firstRow="1" w:lastRow="0" w:firstColumn="1" w:lastColumn="0" w:noHBand="0" w:noVBand="1"/>
      </w:tblPr>
      <w:tblGrid>
        <w:gridCol w:w="561"/>
        <w:gridCol w:w="3024"/>
        <w:gridCol w:w="3888"/>
        <w:gridCol w:w="2108"/>
      </w:tblGrid>
      <w:tr w:rsidR="00FE02FD" w:rsidRPr="00DF0B38" w14:paraId="56321F79" w14:textId="77777777" w:rsidTr="00FE7F5B">
        <w:trPr>
          <w:cantSplit/>
          <w:tblHeader/>
        </w:trPr>
        <w:tc>
          <w:tcPr>
            <w:tcW w:w="561" w:type="dxa"/>
            <w:shd w:val="clear" w:color="auto" w:fill="D9D9D9" w:themeFill="background1" w:themeFillShade="D9"/>
            <w:vAlign w:val="center"/>
          </w:tcPr>
          <w:p w14:paraId="15E71B88" w14:textId="77777777" w:rsidR="00DF0B38" w:rsidRPr="00DF0B38" w:rsidRDefault="00DF0B38" w:rsidP="00FE7F5B">
            <w:pPr>
              <w:widowControl/>
              <w:tabs>
                <w:tab w:val="left" w:pos="0"/>
              </w:tabs>
              <w:jc w:val="center"/>
              <w:rPr>
                <w:b/>
                <w:szCs w:val="20"/>
              </w:rPr>
            </w:pPr>
            <w:r w:rsidRPr="00DF0B38">
              <w:rPr>
                <w:b/>
                <w:szCs w:val="20"/>
              </w:rPr>
              <w:t>Eq. #</w:t>
            </w:r>
          </w:p>
        </w:tc>
        <w:tc>
          <w:tcPr>
            <w:tcW w:w="3024" w:type="dxa"/>
            <w:shd w:val="clear" w:color="auto" w:fill="D9D9D9" w:themeFill="background1" w:themeFillShade="D9"/>
            <w:vAlign w:val="center"/>
          </w:tcPr>
          <w:p w14:paraId="5E17F5CA" w14:textId="77777777" w:rsidR="00DF0B38" w:rsidRPr="00DF0B38" w:rsidRDefault="00DF0B38" w:rsidP="00FE7F5B">
            <w:pPr>
              <w:widowControl/>
              <w:tabs>
                <w:tab w:val="left" w:pos="0"/>
              </w:tabs>
              <w:jc w:val="center"/>
              <w:rPr>
                <w:b/>
                <w:szCs w:val="20"/>
              </w:rPr>
            </w:pPr>
            <w:r w:rsidRPr="00DF0B38">
              <w:rPr>
                <w:b/>
                <w:szCs w:val="20"/>
              </w:rPr>
              <w:t>Equation</w:t>
            </w:r>
          </w:p>
        </w:tc>
        <w:tc>
          <w:tcPr>
            <w:tcW w:w="3888" w:type="dxa"/>
            <w:shd w:val="clear" w:color="auto" w:fill="D9D9D9" w:themeFill="background1" w:themeFillShade="D9"/>
            <w:vAlign w:val="center"/>
          </w:tcPr>
          <w:p w14:paraId="583D27DD" w14:textId="4F93687F" w:rsidR="00DF0B38" w:rsidRPr="00DF0B38" w:rsidRDefault="00DF0B38" w:rsidP="00C52E5D">
            <w:pPr>
              <w:widowControl/>
              <w:tabs>
                <w:tab w:val="left" w:pos="0"/>
              </w:tabs>
              <w:jc w:val="center"/>
              <w:rPr>
                <w:b/>
                <w:szCs w:val="20"/>
              </w:rPr>
            </w:pPr>
            <w:r w:rsidRPr="00DF0B38">
              <w:rPr>
                <w:b/>
                <w:szCs w:val="20"/>
              </w:rPr>
              <w:t>Values</w:t>
            </w:r>
            <w:r w:rsidR="0097139E">
              <w:rPr>
                <w:b/>
                <w:szCs w:val="20"/>
              </w:rPr>
              <w:t xml:space="preserve"> for </w:t>
            </w:r>
            <w:r w:rsidR="00C52E5D">
              <w:rPr>
                <w:b/>
                <w:szCs w:val="20"/>
              </w:rPr>
              <w:t>Newport County, RI</w:t>
            </w:r>
          </w:p>
        </w:tc>
        <w:tc>
          <w:tcPr>
            <w:tcW w:w="2108" w:type="dxa"/>
            <w:shd w:val="clear" w:color="auto" w:fill="D9D9D9" w:themeFill="background1" w:themeFillShade="D9"/>
            <w:vAlign w:val="center"/>
          </w:tcPr>
          <w:p w14:paraId="3D2F2F30" w14:textId="77777777" w:rsidR="00DF0B38" w:rsidRPr="00DF0B38" w:rsidRDefault="00DF0B38" w:rsidP="00FE7F5B">
            <w:pPr>
              <w:widowControl/>
              <w:tabs>
                <w:tab w:val="left" w:pos="0"/>
              </w:tabs>
              <w:jc w:val="center"/>
              <w:rPr>
                <w:b/>
                <w:szCs w:val="20"/>
              </w:rPr>
            </w:pPr>
            <w:r w:rsidRPr="00DF0B38">
              <w:rPr>
                <w:b/>
                <w:szCs w:val="20"/>
              </w:rPr>
              <w:t>Result</w:t>
            </w:r>
          </w:p>
        </w:tc>
      </w:tr>
      <w:tr w:rsidR="0058616C" w14:paraId="784CAB0E" w14:textId="77777777" w:rsidTr="00FE7F5B">
        <w:trPr>
          <w:cantSplit/>
        </w:trPr>
        <w:tc>
          <w:tcPr>
            <w:tcW w:w="561" w:type="dxa"/>
            <w:vMerge w:val="restart"/>
            <w:vAlign w:val="center"/>
          </w:tcPr>
          <w:p w14:paraId="4F80AFA6" w14:textId="1948AA87" w:rsidR="0058616C" w:rsidRDefault="0058616C" w:rsidP="00FE7F5B">
            <w:pPr>
              <w:widowControl/>
              <w:tabs>
                <w:tab w:val="left" w:pos="0"/>
              </w:tabs>
              <w:spacing w:after="60"/>
              <w:jc w:val="center"/>
              <w:rPr>
                <w:szCs w:val="20"/>
              </w:rPr>
            </w:pPr>
            <w:r>
              <w:rPr>
                <w:szCs w:val="20"/>
              </w:rPr>
              <w:t>1</w:t>
            </w:r>
          </w:p>
        </w:tc>
        <w:tc>
          <w:tcPr>
            <w:tcW w:w="3024" w:type="dxa"/>
            <w:vMerge w:val="restart"/>
            <w:vAlign w:val="center"/>
          </w:tcPr>
          <w:p w14:paraId="16DF6101" w14:textId="276D7A0C" w:rsidR="0058616C" w:rsidRDefault="00666C66"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ct</m:t>
                    </m:r>
                  </m:sub>
                  <m:sup/>
                  <m:e>
                    <m:sSub>
                      <m:sSubPr>
                        <m:ctrlPr>
                          <w:rPr>
                            <w:rFonts w:ascii="Cambria Math" w:hAnsi="Cambria Math"/>
                            <w:i/>
                            <w:szCs w:val="20"/>
                          </w:rPr>
                        </m:ctrlPr>
                      </m:sSubPr>
                      <m:e>
                        <m:r>
                          <w:rPr>
                            <w:rFonts w:ascii="Cambria Math" w:hAnsi="Cambria Math"/>
                            <w:szCs w:val="20"/>
                          </w:rPr>
                          <m:t>S</m:t>
                        </m:r>
                      </m:e>
                      <m:sub>
                        <m:r>
                          <w:rPr>
                            <w:rFonts w:ascii="Cambria Math" w:hAnsi="Cambria Math"/>
                            <w:szCs w:val="20"/>
                          </w:rPr>
                          <m:t>s,r</m:t>
                        </m:r>
                      </m:sub>
                    </m:sSub>
                  </m:e>
                </m:nary>
              </m:oMath>
            </m:oMathPara>
          </w:p>
        </w:tc>
        <w:tc>
          <w:tcPr>
            <w:tcW w:w="3888" w:type="dxa"/>
            <w:vAlign w:val="center"/>
          </w:tcPr>
          <w:p w14:paraId="129913D8" w14:textId="179DE5DC" w:rsidR="0058616C" w:rsidRDefault="0058616C" w:rsidP="0058616C">
            <w:pPr>
              <w:widowControl/>
              <w:tabs>
                <w:tab w:val="left" w:pos="0"/>
              </w:tabs>
              <w:spacing w:after="60"/>
              <w:jc w:val="center"/>
              <w:rPr>
                <w:szCs w:val="20"/>
              </w:rPr>
            </w:pPr>
            <m:oMathPara>
              <m:oMath>
                <m:r>
                  <w:rPr>
                    <w:rFonts w:ascii="Cambria Math" w:hAnsi="Cambria Math"/>
                    <w:szCs w:val="20"/>
                  </w:rPr>
                  <m:t>$1,000+$9,155,000</m:t>
                </m:r>
              </m:oMath>
            </m:oMathPara>
          </w:p>
        </w:tc>
        <w:tc>
          <w:tcPr>
            <w:tcW w:w="2108" w:type="dxa"/>
          </w:tcPr>
          <w:p w14:paraId="159B0CF4" w14:textId="68C5471A" w:rsidR="0058616C" w:rsidRDefault="0058616C" w:rsidP="0058616C">
            <w:pPr>
              <w:widowControl/>
              <w:tabs>
                <w:tab w:val="left" w:pos="0"/>
              </w:tabs>
              <w:spacing w:after="60"/>
              <w:rPr>
                <w:szCs w:val="20"/>
              </w:rPr>
            </w:pPr>
            <w:r>
              <w:rPr>
                <w:szCs w:val="20"/>
              </w:rPr>
              <w:t>$9,156,000 spent on urban interstate construction in RI</w:t>
            </w:r>
          </w:p>
        </w:tc>
      </w:tr>
      <w:tr w:rsidR="0058616C" w14:paraId="69B8A633" w14:textId="77777777" w:rsidTr="00FE7F5B">
        <w:trPr>
          <w:cantSplit/>
        </w:trPr>
        <w:tc>
          <w:tcPr>
            <w:tcW w:w="561" w:type="dxa"/>
            <w:vMerge/>
            <w:vAlign w:val="center"/>
          </w:tcPr>
          <w:p w14:paraId="115554FC" w14:textId="77777777" w:rsidR="0058616C" w:rsidRDefault="0058616C" w:rsidP="00FE7F5B">
            <w:pPr>
              <w:widowControl/>
              <w:tabs>
                <w:tab w:val="left" w:pos="0"/>
              </w:tabs>
              <w:spacing w:after="60"/>
              <w:jc w:val="center"/>
              <w:rPr>
                <w:szCs w:val="20"/>
              </w:rPr>
            </w:pPr>
          </w:p>
        </w:tc>
        <w:tc>
          <w:tcPr>
            <w:tcW w:w="3024" w:type="dxa"/>
            <w:vMerge/>
            <w:vAlign w:val="center"/>
          </w:tcPr>
          <w:p w14:paraId="11AA0823" w14:textId="77777777" w:rsidR="0058616C" w:rsidRDefault="0058616C" w:rsidP="00FE7F5B">
            <w:pPr>
              <w:widowControl/>
              <w:tabs>
                <w:tab w:val="left" w:pos="0"/>
              </w:tabs>
              <w:spacing w:after="60"/>
              <w:jc w:val="center"/>
              <w:rPr>
                <w:szCs w:val="20"/>
              </w:rPr>
            </w:pPr>
          </w:p>
        </w:tc>
        <w:tc>
          <w:tcPr>
            <w:tcW w:w="3888" w:type="dxa"/>
            <w:vAlign w:val="center"/>
          </w:tcPr>
          <w:p w14:paraId="4306F038" w14:textId="4AC8E249" w:rsidR="0058616C" w:rsidRDefault="0058616C" w:rsidP="0058616C">
            <w:pPr>
              <w:widowControl/>
              <w:tabs>
                <w:tab w:val="left" w:pos="0"/>
              </w:tabs>
              <w:spacing w:after="60"/>
              <w:jc w:val="center"/>
              <w:rPr>
                <w:szCs w:val="20"/>
              </w:rPr>
            </w:pPr>
            <m:oMathPara>
              <m:oMath>
                <m:r>
                  <w:rPr>
                    <w:rFonts w:ascii="Cambria Math" w:hAnsi="Cambria Math"/>
                    <w:szCs w:val="20"/>
                  </w:rPr>
                  <m:t>$1,276,000+$2,471,000</m:t>
                </m:r>
              </m:oMath>
            </m:oMathPara>
          </w:p>
        </w:tc>
        <w:tc>
          <w:tcPr>
            <w:tcW w:w="2108" w:type="dxa"/>
          </w:tcPr>
          <w:p w14:paraId="7C3A7573" w14:textId="1B328525" w:rsidR="0058616C" w:rsidRDefault="0058616C" w:rsidP="00C52E5D">
            <w:pPr>
              <w:widowControl/>
              <w:tabs>
                <w:tab w:val="left" w:pos="0"/>
              </w:tabs>
              <w:spacing w:after="60"/>
              <w:rPr>
                <w:szCs w:val="20"/>
              </w:rPr>
            </w:pPr>
            <w:r>
              <w:rPr>
                <w:szCs w:val="20"/>
              </w:rPr>
              <w:t>$3,747</w:t>
            </w:r>
            <w:r w:rsidR="00C52E5D">
              <w:rPr>
                <w:szCs w:val="20"/>
              </w:rPr>
              <w:t>,</w:t>
            </w:r>
            <w:r>
              <w:rPr>
                <w:szCs w:val="20"/>
              </w:rPr>
              <w:t>000 spent on urban other arterial construction in RI</w:t>
            </w:r>
          </w:p>
        </w:tc>
      </w:tr>
      <w:tr w:rsidR="0058616C" w14:paraId="3EEAB882" w14:textId="77777777" w:rsidTr="00FE7F5B">
        <w:trPr>
          <w:cantSplit/>
        </w:trPr>
        <w:tc>
          <w:tcPr>
            <w:tcW w:w="561" w:type="dxa"/>
            <w:vMerge/>
            <w:vAlign w:val="center"/>
          </w:tcPr>
          <w:p w14:paraId="22F6A130" w14:textId="77777777" w:rsidR="0058616C" w:rsidRDefault="0058616C" w:rsidP="00FE7F5B">
            <w:pPr>
              <w:widowControl/>
              <w:tabs>
                <w:tab w:val="left" w:pos="0"/>
              </w:tabs>
              <w:spacing w:after="60"/>
              <w:jc w:val="center"/>
              <w:rPr>
                <w:szCs w:val="20"/>
              </w:rPr>
            </w:pPr>
          </w:p>
        </w:tc>
        <w:tc>
          <w:tcPr>
            <w:tcW w:w="3024" w:type="dxa"/>
            <w:vMerge/>
            <w:vAlign w:val="center"/>
          </w:tcPr>
          <w:p w14:paraId="6A9280B5" w14:textId="77777777" w:rsidR="0058616C" w:rsidRDefault="0058616C" w:rsidP="00FE7F5B">
            <w:pPr>
              <w:widowControl/>
              <w:tabs>
                <w:tab w:val="left" w:pos="0"/>
              </w:tabs>
              <w:spacing w:after="60"/>
              <w:jc w:val="center"/>
              <w:rPr>
                <w:szCs w:val="20"/>
              </w:rPr>
            </w:pPr>
          </w:p>
        </w:tc>
        <w:tc>
          <w:tcPr>
            <w:tcW w:w="3888" w:type="dxa"/>
            <w:vAlign w:val="center"/>
          </w:tcPr>
          <w:p w14:paraId="11608A88" w14:textId="1ADDCDC7" w:rsidR="0058616C" w:rsidRDefault="0058616C" w:rsidP="002D5E9B">
            <w:pPr>
              <w:widowControl/>
              <w:tabs>
                <w:tab w:val="left" w:pos="0"/>
              </w:tabs>
              <w:spacing w:after="60"/>
              <w:jc w:val="center"/>
              <w:rPr>
                <w:szCs w:val="20"/>
              </w:rPr>
            </w:pPr>
            <m:oMathPara>
              <m:oMath>
                <m:r>
                  <w:rPr>
                    <w:rFonts w:ascii="Cambria Math" w:hAnsi="Cambria Math"/>
                    <w:szCs w:val="20"/>
                  </w:rPr>
                  <m:t>$2,583,000</m:t>
                </m:r>
              </m:oMath>
            </m:oMathPara>
          </w:p>
        </w:tc>
        <w:tc>
          <w:tcPr>
            <w:tcW w:w="2108" w:type="dxa"/>
          </w:tcPr>
          <w:p w14:paraId="3FAF30AA" w14:textId="506EE651" w:rsidR="0058616C" w:rsidRDefault="0058616C" w:rsidP="0058616C">
            <w:pPr>
              <w:widowControl/>
              <w:tabs>
                <w:tab w:val="left" w:pos="0"/>
              </w:tabs>
              <w:spacing w:after="60"/>
              <w:rPr>
                <w:szCs w:val="20"/>
              </w:rPr>
            </w:pPr>
            <w:r>
              <w:rPr>
                <w:szCs w:val="20"/>
              </w:rPr>
              <w:t>$2,583,000 spent on urban collector construction in RI</w:t>
            </w:r>
          </w:p>
        </w:tc>
      </w:tr>
      <w:tr w:rsidR="0058616C" w14:paraId="3E98611E" w14:textId="77777777" w:rsidTr="00FE7F5B">
        <w:trPr>
          <w:cantSplit/>
        </w:trPr>
        <w:tc>
          <w:tcPr>
            <w:tcW w:w="561" w:type="dxa"/>
            <w:vMerge w:val="restart"/>
            <w:vAlign w:val="center"/>
          </w:tcPr>
          <w:p w14:paraId="304B1DB1" w14:textId="13C2AE20" w:rsidR="0058616C" w:rsidRDefault="0058616C" w:rsidP="00FE7F5B">
            <w:pPr>
              <w:widowControl/>
              <w:tabs>
                <w:tab w:val="left" w:pos="0"/>
              </w:tabs>
              <w:spacing w:after="60"/>
              <w:jc w:val="center"/>
              <w:rPr>
                <w:szCs w:val="20"/>
              </w:rPr>
            </w:pPr>
            <w:r>
              <w:rPr>
                <w:szCs w:val="20"/>
              </w:rPr>
              <w:t>2</w:t>
            </w:r>
          </w:p>
        </w:tc>
        <w:tc>
          <w:tcPr>
            <w:tcW w:w="3024" w:type="dxa"/>
            <w:vMerge w:val="restart"/>
            <w:vAlign w:val="center"/>
          </w:tcPr>
          <w:p w14:paraId="4CBECE77" w14:textId="6DF19934" w:rsidR="0058616C" w:rsidRDefault="00666C66"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HS</m:t>
                        </m:r>
                      </m:e>
                      <m:sub>
                        <m:r>
                          <w:rPr>
                            <w:rFonts w:ascii="Cambria Math" w:hAnsi="Cambria Math"/>
                            <w:szCs w:val="20"/>
                          </w:rPr>
                          <m:t>s,r</m:t>
                        </m:r>
                      </m:sub>
                    </m:sSub>
                  </m:num>
                  <m:den>
                    <m:r>
                      <w:rPr>
                        <w:rFonts w:ascii="Cambria Math" w:hAnsi="Cambria Math"/>
                        <w:szCs w:val="20"/>
                      </w:rPr>
                      <m:t>TDM</m:t>
                    </m:r>
                  </m:den>
                </m:f>
              </m:oMath>
            </m:oMathPara>
          </w:p>
        </w:tc>
        <w:tc>
          <w:tcPr>
            <w:tcW w:w="3888" w:type="dxa"/>
            <w:vAlign w:val="center"/>
          </w:tcPr>
          <w:p w14:paraId="4F0389CA" w14:textId="3DD26385" w:rsidR="0058616C" w:rsidRDefault="00666C66" w:rsidP="00FE7F5B">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$9,156,000</m:t>
                    </m:r>
                  </m:num>
                  <m:den>
                    <m:r>
                      <w:rPr>
                        <w:rFonts w:ascii="Cambria Math" w:hAnsi="Cambria Math"/>
                        <w:szCs w:val="20"/>
                      </w:rPr>
                      <m:t>6,895,000 $ per mile</m:t>
                    </m:r>
                  </m:den>
                </m:f>
              </m:oMath>
            </m:oMathPara>
          </w:p>
        </w:tc>
        <w:tc>
          <w:tcPr>
            <w:tcW w:w="2108" w:type="dxa"/>
          </w:tcPr>
          <w:p w14:paraId="55C9ED10" w14:textId="49869202" w:rsidR="0058616C" w:rsidRDefault="0058616C" w:rsidP="0058616C">
            <w:pPr>
              <w:widowControl/>
              <w:tabs>
                <w:tab w:val="left" w:pos="0"/>
              </w:tabs>
              <w:spacing w:after="60"/>
              <w:rPr>
                <w:szCs w:val="20"/>
              </w:rPr>
            </w:pPr>
            <w:r>
              <w:rPr>
                <w:szCs w:val="20"/>
              </w:rPr>
              <w:t>1.328 miles of urban interstate constructed in RI</w:t>
            </w:r>
          </w:p>
        </w:tc>
      </w:tr>
      <w:tr w:rsidR="0058616C" w14:paraId="5A8E4679" w14:textId="77777777" w:rsidTr="00FE7F5B">
        <w:trPr>
          <w:cantSplit/>
        </w:trPr>
        <w:tc>
          <w:tcPr>
            <w:tcW w:w="561" w:type="dxa"/>
            <w:vMerge/>
            <w:vAlign w:val="center"/>
          </w:tcPr>
          <w:p w14:paraId="68C12861" w14:textId="77777777" w:rsidR="0058616C" w:rsidRDefault="0058616C" w:rsidP="00FE7F5B">
            <w:pPr>
              <w:widowControl/>
              <w:tabs>
                <w:tab w:val="left" w:pos="0"/>
              </w:tabs>
              <w:spacing w:after="60"/>
              <w:jc w:val="center"/>
              <w:rPr>
                <w:szCs w:val="20"/>
              </w:rPr>
            </w:pPr>
          </w:p>
        </w:tc>
        <w:tc>
          <w:tcPr>
            <w:tcW w:w="3024" w:type="dxa"/>
            <w:vMerge/>
            <w:vAlign w:val="center"/>
          </w:tcPr>
          <w:p w14:paraId="5536F830" w14:textId="77777777" w:rsidR="0058616C" w:rsidRDefault="0058616C" w:rsidP="00FE7F5B">
            <w:pPr>
              <w:widowControl/>
              <w:tabs>
                <w:tab w:val="left" w:pos="0"/>
              </w:tabs>
              <w:spacing w:after="60"/>
              <w:jc w:val="center"/>
              <w:rPr>
                <w:szCs w:val="20"/>
              </w:rPr>
            </w:pPr>
          </w:p>
        </w:tc>
        <w:tc>
          <w:tcPr>
            <w:tcW w:w="3888" w:type="dxa"/>
            <w:vAlign w:val="center"/>
          </w:tcPr>
          <w:p w14:paraId="38DC394E" w14:textId="124E66F7" w:rsidR="0058616C" w:rsidRDefault="00666C66" w:rsidP="0058616C">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$3,747,000</m:t>
                    </m:r>
                  </m:num>
                  <m:den>
                    <m:r>
                      <w:rPr>
                        <w:rFonts w:ascii="Cambria Math" w:hAnsi="Cambria Math"/>
                        <w:szCs w:val="20"/>
                      </w:rPr>
                      <m:t>4,112,000 $ per mile</m:t>
                    </m:r>
                  </m:den>
                </m:f>
              </m:oMath>
            </m:oMathPara>
          </w:p>
        </w:tc>
        <w:tc>
          <w:tcPr>
            <w:tcW w:w="2108" w:type="dxa"/>
          </w:tcPr>
          <w:p w14:paraId="738F4671" w14:textId="4A9C35BC" w:rsidR="0058616C" w:rsidRDefault="0058616C" w:rsidP="0058616C">
            <w:pPr>
              <w:widowControl/>
              <w:tabs>
                <w:tab w:val="left" w:pos="0"/>
              </w:tabs>
              <w:spacing w:after="60"/>
              <w:rPr>
                <w:szCs w:val="20"/>
              </w:rPr>
            </w:pPr>
            <w:r>
              <w:rPr>
                <w:szCs w:val="20"/>
              </w:rPr>
              <w:t>0.911 miles of urban other arterial constructed in RI</w:t>
            </w:r>
          </w:p>
        </w:tc>
      </w:tr>
      <w:tr w:rsidR="0058616C" w14:paraId="244BCD98" w14:textId="77777777" w:rsidTr="00FE7F5B">
        <w:trPr>
          <w:cantSplit/>
        </w:trPr>
        <w:tc>
          <w:tcPr>
            <w:tcW w:w="561" w:type="dxa"/>
            <w:vMerge/>
            <w:vAlign w:val="center"/>
          </w:tcPr>
          <w:p w14:paraId="300649DD" w14:textId="77777777" w:rsidR="0058616C" w:rsidRDefault="0058616C" w:rsidP="00FE7F5B">
            <w:pPr>
              <w:widowControl/>
              <w:tabs>
                <w:tab w:val="left" w:pos="0"/>
              </w:tabs>
              <w:spacing w:after="60"/>
              <w:jc w:val="center"/>
              <w:rPr>
                <w:szCs w:val="20"/>
              </w:rPr>
            </w:pPr>
          </w:p>
        </w:tc>
        <w:tc>
          <w:tcPr>
            <w:tcW w:w="3024" w:type="dxa"/>
            <w:vMerge/>
            <w:vAlign w:val="center"/>
          </w:tcPr>
          <w:p w14:paraId="7C4C716F" w14:textId="77777777" w:rsidR="0058616C" w:rsidRDefault="0058616C" w:rsidP="00FE7F5B">
            <w:pPr>
              <w:widowControl/>
              <w:tabs>
                <w:tab w:val="left" w:pos="0"/>
              </w:tabs>
              <w:spacing w:after="60"/>
              <w:jc w:val="center"/>
              <w:rPr>
                <w:szCs w:val="20"/>
              </w:rPr>
            </w:pPr>
          </w:p>
        </w:tc>
        <w:tc>
          <w:tcPr>
            <w:tcW w:w="3888" w:type="dxa"/>
            <w:vAlign w:val="center"/>
          </w:tcPr>
          <w:p w14:paraId="1BA89A79" w14:textId="6CFC649E" w:rsidR="0058616C" w:rsidRDefault="00666C66" w:rsidP="0058616C">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$2,683,000</m:t>
                    </m:r>
                  </m:num>
                  <m:den>
                    <m:r>
                      <w:rPr>
                        <w:rFonts w:ascii="Cambria Math" w:hAnsi="Cambria Math"/>
                        <w:szCs w:val="20"/>
                      </w:rPr>
                      <m:t>4,112,000 $ per mile</m:t>
                    </m:r>
                  </m:den>
                </m:f>
              </m:oMath>
            </m:oMathPara>
          </w:p>
        </w:tc>
        <w:tc>
          <w:tcPr>
            <w:tcW w:w="2108" w:type="dxa"/>
          </w:tcPr>
          <w:p w14:paraId="2E3AE40F" w14:textId="65C6536C" w:rsidR="0058616C" w:rsidRDefault="0058616C" w:rsidP="0058616C">
            <w:pPr>
              <w:widowControl/>
              <w:tabs>
                <w:tab w:val="left" w:pos="0"/>
              </w:tabs>
              <w:spacing w:after="60"/>
              <w:rPr>
                <w:szCs w:val="20"/>
              </w:rPr>
            </w:pPr>
            <w:r>
              <w:rPr>
                <w:szCs w:val="20"/>
              </w:rPr>
              <w:t>0.628 miles of urban collector constructed in RI</w:t>
            </w:r>
          </w:p>
        </w:tc>
      </w:tr>
      <w:tr w:rsidR="0058616C" w14:paraId="7D51B074" w14:textId="77777777" w:rsidTr="00BE0480">
        <w:trPr>
          <w:cantSplit/>
        </w:trPr>
        <w:tc>
          <w:tcPr>
            <w:tcW w:w="561" w:type="dxa"/>
            <w:vMerge w:val="restart"/>
            <w:vAlign w:val="center"/>
          </w:tcPr>
          <w:p w14:paraId="74D17854" w14:textId="2E9EB421" w:rsidR="0058616C" w:rsidRDefault="0058616C" w:rsidP="00BE0480">
            <w:pPr>
              <w:widowControl/>
              <w:tabs>
                <w:tab w:val="left" w:pos="0"/>
              </w:tabs>
              <w:spacing w:after="60"/>
              <w:jc w:val="center"/>
              <w:rPr>
                <w:szCs w:val="20"/>
              </w:rPr>
            </w:pPr>
            <w:r>
              <w:rPr>
                <w:szCs w:val="20"/>
              </w:rPr>
              <w:t>3</w:t>
            </w:r>
          </w:p>
        </w:tc>
        <w:tc>
          <w:tcPr>
            <w:tcW w:w="3024" w:type="dxa"/>
            <w:vMerge w:val="restart"/>
            <w:vAlign w:val="center"/>
          </w:tcPr>
          <w:p w14:paraId="23021552" w14:textId="595A64BB" w:rsidR="0058616C" w:rsidRDefault="00666C66">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RC</m:t>
                    </m:r>
                  </m:e>
                  <m:sub>
                    <m:r>
                      <w:rPr>
                        <w:rFonts w:ascii="Cambria Math" w:hAnsi="Cambria Math"/>
                        <w:szCs w:val="20"/>
                      </w:rPr>
                      <m:t>m,s,r</m:t>
                    </m:r>
                  </m:sub>
                </m:sSub>
                <m:r>
                  <w:rPr>
                    <w:rFonts w:ascii="Cambria Math" w:hAnsi="Cambria Math"/>
                    <w:szCs w:val="20"/>
                  </w:rPr>
                  <m:t>×ADM</m:t>
                </m:r>
              </m:oMath>
            </m:oMathPara>
          </w:p>
        </w:tc>
        <w:tc>
          <w:tcPr>
            <w:tcW w:w="3888" w:type="dxa"/>
            <w:vAlign w:val="center"/>
          </w:tcPr>
          <w:p w14:paraId="21F8A65C" w14:textId="3312D6FD" w:rsidR="0058616C" w:rsidRDefault="0058616C" w:rsidP="00C52E5D">
            <w:pPr>
              <w:widowControl/>
              <w:tabs>
                <w:tab w:val="left" w:pos="0"/>
              </w:tabs>
              <w:spacing w:after="60"/>
              <w:jc w:val="center"/>
              <w:rPr>
                <w:szCs w:val="20"/>
              </w:rPr>
            </w:pPr>
            <m:oMathPara>
              <m:oMath>
                <m:r>
                  <w:rPr>
                    <w:rFonts w:ascii="Cambria Math" w:hAnsi="Cambria Math"/>
                    <w:szCs w:val="20"/>
                  </w:rPr>
                  <m:t>1.328 miles×11.4 acres per mile=</m:t>
                </m:r>
              </m:oMath>
            </m:oMathPara>
          </w:p>
        </w:tc>
        <w:tc>
          <w:tcPr>
            <w:tcW w:w="2108" w:type="dxa"/>
          </w:tcPr>
          <w:p w14:paraId="5B12DA68" w14:textId="047B462E" w:rsidR="0058616C" w:rsidRDefault="0058616C" w:rsidP="0058616C">
            <w:pPr>
              <w:widowControl/>
              <w:tabs>
                <w:tab w:val="left" w:pos="0"/>
              </w:tabs>
              <w:spacing w:after="60"/>
              <w:rPr>
                <w:szCs w:val="20"/>
              </w:rPr>
            </w:pPr>
            <w:r>
              <w:rPr>
                <w:szCs w:val="20"/>
              </w:rPr>
              <w:t>15.1 acres disturbed from urban interstate construction in RI</w:t>
            </w:r>
          </w:p>
        </w:tc>
      </w:tr>
      <w:tr w:rsidR="0058616C" w14:paraId="1992D5EE" w14:textId="77777777" w:rsidTr="00BE0480">
        <w:trPr>
          <w:cantSplit/>
        </w:trPr>
        <w:tc>
          <w:tcPr>
            <w:tcW w:w="561" w:type="dxa"/>
            <w:vMerge/>
            <w:vAlign w:val="center"/>
          </w:tcPr>
          <w:p w14:paraId="55F8A2A4" w14:textId="77777777" w:rsidR="0058616C" w:rsidRDefault="0058616C" w:rsidP="00BE0480">
            <w:pPr>
              <w:widowControl/>
              <w:tabs>
                <w:tab w:val="left" w:pos="0"/>
              </w:tabs>
              <w:spacing w:after="60"/>
              <w:jc w:val="center"/>
              <w:rPr>
                <w:szCs w:val="20"/>
              </w:rPr>
            </w:pPr>
          </w:p>
        </w:tc>
        <w:tc>
          <w:tcPr>
            <w:tcW w:w="3024" w:type="dxa"/>
            <w:vMerge/>
            <w:vAlign w:val="center"/>
          </w:tcPr>
          <w:p w14:paraId="3E84465E" w14:textId="77777777" w:rsidR="0058616C" w:rsidRDefault="0058616C">
            <w:pPr>
              <w:widowControl/>
              <w:tabs>
                <w:tab w:val="left" w:pos="0"/>
              </w:tabs>
              <w:spacing w:after="60"/>
              <w:jc w:val="center"/>
              <w:rPr>
                <w:szCs w:val="20"/>
              </w:rPr>
            </w:pPr>
          </w:p>
        </w:tc>
        <w:tc>
          <w:tcPr>
            <w:tcW w:w="3888" w:type="dxa"/>
            <w:vAlign w:val="center"/>
          </w:tcPr>
          <w:p w14:paraId="738C675A" w14:textId="1A67180A" w:rsidR="0058616C" w:rsidRDefault="0058616C" w:rsidP="00C52E5D">
            <w:pPr>
              <w:widowControl/>
              <w:tabs>
                <w:tab w:val="left" w:pos="0"/>
              </w:tabs>
              <w:spacing w:after="60"/>
              <w:jc w:val="center"/>
              <w:rPr>
                <w:szCs w:val="20"/>
              </w:rPr>
            </w:pPr>
            <m:oMathPara>
              <m:oMath>
                <m:r>
                  <w:rPr>
                    <w:rFonts w:ascii="Cambria Math" w:hAnsi="Cambria Math"/>
                    <w:szCs w:val="20"/>
                  </w:rPr>
                  <m:t>0.911 miles×7.6 acres per mile</m:t>
                </m:r>
              </m:oMath>
            </m:oMathPara>
          </w:p>
        </w:tc>
        <w:tc>
          <w:tcPr>
            <w:tcW w:w="2108" w:type="dxa"/>
          </w:tcPr>
          <w:p w14:paraId="6C65D46A" w14:textId="0840146D" w:rsidR="0058616C" w:rsidRDefault="0058616C" w:rsidP="0058616C">
            <w:pPr>
              <w:widowControl/>
              <w:tabs>
                <w:tab w:val="left" w:pos="0"/>
              </w:tabs>
              <w:spacing w:after="60"/>
              <w:rPr>
                <w:szCs w:val="20"/>
              </w:rPr>
            </w:pPr>
            <w:r>
              <w:rPr>
                <w:szCs w:val="20"/>
              </w:rPr>
              <w:t>6.9 acres disturbed from urban other arterial construction in RI</w:t>
            </w:r>
          </w:p>
        </w:tc>
      </w:tr>
      <w:tr w:rsidR="0058616C" w14:paraId="1431125A" w14:textId="77777777" w:rsidTr="00BE0480">
        <w:trPr>
          <w:cantSplit/>
        </w:trPr>
        <w:tc>
          <w:tcPr>
            <w:tcW w:w="561" w:type="dxa"/>
            <w:vMerge/>
            <w:vAlign w:val="center"/>
          </w:tcPr>
          <w:p w14:paraId="1EA37FD3" w14:textId="77777777" w:rsidR="0058616C" w:rsidRDefault="0058616C" w:rsidP="00BE0480">
            <w:pPr>
              <w:widowControl/>
              <w:tabs>
                <w:tab w:val="left" w:pos="0"/>
              </w:tabs>
              <w:spacing w:after="60"/>
              <w:jc w:val="center"/>
              <w:rPr>
                <w:szCs w:val="20"/>
              </w:rPr>
            </w:pPr>
          </w:p>
        </w:tc>
        <w:tc>
          <w:tcPr>
            <w:tcW w:w="3024" w:type="dxa"/>
            <w:vMerge/>
            <w:vAlign w:val="center"/>
          </w:tcPr>
          <w:p w14:paraId="016B9055" w14:textId="77777777" w:rsidR="0058616C" w:rsidRDefault="0058616C">
            <w:pPr>
              <w:widowControl/>
              <w:tabs>
                <w:tab w:val="left" w:pos="0"/>
              </w:tabs>
              <w:spacing w:after="60"/>
              <w:jc w:val="center"/>
              <w:rPr>
                <w:szCs w:val="20"/>
              </w:rPr>
            </w:pPr>
          </w:p>
        </w:tc>
        <w:tc>
          <w:tcPr>
            <w:tcW w:w="3888" w:type="dxa"/>
            <w:vAlign w:val="center"/>
          </w:tcPr>
          <w:p w14:paraId="168CB5B8" w14:textId="788635E5" w:rsidR="0058616C" w:rsidRDefault="0058616C" w:rsidP="00C52E5D">
            <w:pPr>
              <w:widowControl/>
              <w:tabs>
                <w:tab w:val="left" w:pos="0"/>
              </w:tabs>
              <w:spacing w:after="60"/>
              <w:jc w:val="center"/>
              <w:rPr>
                <w:szCs w:val="20"/>
              </w:rPr>
            </w:pPr>
            <m:oMathPara>
              <m:oMath>
                <m:r>
                  <w:rPr>
                    <w:rFonts w:ascii="Cambria Math" w:hAnsi="Cambria Math"/>
                    <w:szCs w:val="20"/>
                  </w:rPr>
                  <m:t>0.628 miles×7.6 acres per mile</m:t>
                </m:r>
              </m:oMath>
            </m:oMathPara>
          </w:p>
        </w:tc>
        <w:tc>
          <w:tcPr>
            <w:tcW w:w="2108" w:type="dxa"/>
          </w:tcPr>
          <w:p w14:paraId="2F240719" w14:textId="1D5C588A" w:rsidR="0058616C" w:rsidRDefault="0058616C" w:rsidP="0058616C">
            <w:pPr>
              <w:widowControl/>
              <w:tabs>
                <w:tab w:val="left" w:pos="0"/>
              </w:tabs>
              <w:spacing w:after="60"/>
              <w:rPr>
                <w:szCs w:val="20"/>
              </w:rPr>
            </w:pPr>
            <w:r>
              <w:rPr>
                <w:szCs w:val="20"/>
              </w:rPr>
              <w:t>4.8 acres disturbed from urban collector construction in RI</w:t>
            </w:r>
          </w:p>
        </w:tc>
      </w:tr>
      <w:tr w:rsidR="00FE02FD" w14:paraId="2758093F" w14:textId="77777777" w:rsidTr="00FE7F5B">
        <w:trPr>
          <w:cantSplit/>
        </w:trPr>
        <w:tc>
          <w:tcPr>
            <w:tcW w:w="561" w:type="dxa"/>
            <w:vAlign w:val="center"/>
          </w:tcPr>
          <w:p w14:paraId="1E04D2F0" w14:textId="4177BB6C" w:rsidR="00DF0B38" w:rsidRDefault="00676FE8" w:rsidP="00FE7F5B">
            <w:pPr>
              <w:widowControl/>
              <w:tabs>
                <w:tab w:val="left" w:pos="0"/>
              </w:tabs>
              <w:spacing w:after="60"/>
              <w:jc w:val="center"/>
              <w:rPr>
                <w:szCs w:val="20"/>
              </w:rPr>
            </w:pPr>
            <w:r>
              <w:rPr>
                <w:szCs w:val="20"/>
              </w:rPr>
              <w:t>4</w:t>
            </w:r>
          </w:p>
        </w:tc>
        <w:tc>
          <w:tcPr>
            <w:tcW w:w="3024" w:type="dxa"/>
            <w:vAlign w:val="center"/>
          </w:tcPr>
          <w:p w14:paraId="3A1D02D3" w14:textId="7BEF1A02" w:rsidR="00DF0B38" w:rsidRDefault="00666C66"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s</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r</m:t>
                    </m:r>
                  </m:sub>
                  <m:sup/>
                  <m:e>
                    <m:sSub>
                      <m:sSubPr>
                        <m:ctrlPr>
                          <w:rPr>
                            <w:rFonts w:ascii="Cambria Math" w:hAnsi="Cambria Math"/>
                            <w:i/>
                            <w:szCs w:val="20"/>
                          </w:rPr>
                        </m:ctrlPr>
                      </m:sSubPr>
                      <m:e>
                        <m:r>
                          <w:rPr>
                            <w:rFonts w:ascii="Cambria Math" w:hAnsi="Cambria Math"/>
                            <w:szCs w:val="20"/>
                          </w:rPr>
                          <m:t>RC</m:t>
                        </m:r>
                      </m:e>
                      <m:sub>
                        <m:r>
                          <w:rPr>
                            <w:rFonts w:ascii="Cambria Math" w:hAnsi="Cambria Math"/>
                            <w:szCs w:val="20"/>
                          </w:rPr>
                          <m:t>a,s</m:t>
                        </m:r>
                      </m:sub>
                    </m:sSub>
                  </m:e>
                </m:nary>
              </m:oMath>
            </m:oMathPara>
          </w:p>
        </w:tc>
        <w:tc>
          <w:tcPr>
            <w:tcW w:w="3888" w:type="dxa"/>
            <w:vAlign w:val="center"/>
          </w:tcPr>
          <w:p w14:paraId="060236FE" w14:textId="1E3B5965" w:rsidR="00DF0B38" w:rsidRDefault="0058616C" w:rsidP="0058616C">
            <w:pPr>
              <w:widowControl/>
              <w:tabs>
                <w:tab w:val="left" w:pos="0"/>
              </w:tabs>
              <w:spacing w:after="60"/>
              <w:jc w:val="center"/>
              <w:rPr>
                <w:szCs w:val="20"/>
              </w:rPr>
            </w:pPr>
            <m:oMathPara>
              <m:oMath>
                <m:r>
                  <w:rPr>
                    <w:rFonts w:ascii="Cambria Math" w:hAnsi="Cambria Math"/>
                    <w:szCs w:val="20"/>
                  </w:rPr>
                  <m:t>15.1 acres+6.9 acres+4.8 acres</m:t>
                </m:r>
              </m:oMath>
            </m:oMathPara>
          </w:p>
        </w:tc>
        <w:tc>
          <w:tcPr>
            <w:tcW w:w="2108" w:type="dxa"/>
          </w:tcPr>
          <w:p w14:paraId="1E0455B0" w14:textId="7ABD6FC9" w:rsidR="00DF0B38" w:rsidRDefault="0058616C" w:rsidP="0058616C">
            <w:pPr>
              <w:widowControl/>
              <w:tabs>
                <w:tab w:val="left" w:pos="0"/>
              </w:tabs>
              <w:spacing w:after="60"/>
              <w:rPr>
                <w:szCs w:val="20"/>
              </w:rPr>
            </w:pPr>
            <w:r>
              <w:rPr>
                <w:szCs w:val="20"/>
              </w:rPr>
              <w:t>26.78 acres disturbed from urban road construction in RI</w:t>
            </w:r>
          </w:p>
        </w:tc>
      </w:tr>
      <w:tr w:rsidR="00FE02FD" w14:paraId="78A62504" w14:textId="77777777" w:rsidTr="00FE7F5B">
        <w:trPr>
          <w:cantSplit/>
        </w:trPr>
        <w:tc>
          <w:tcPr>
            <w:tcW w:w="561" w:type="dxa"/>
            <w:vAlign w:val="center"/>
          </w:tcPr>
          <w:p w14:paraId="77677439" w14:textId="295DECFC" w:rsidR="00DF0B38" w:rsidRDefault="00676FE8" w:rsidP="00FE7F5B">
            <w:pPr>
              <w:widowControl/>
              <w:tabs>
                <w:tab w:val="left" w:pos="0"/>
              </w:tabs>
              <w:spacing w:after="60"/>
              <w:jc w:val="center"/>
              <w:rPr>
                <w:szCs w:val="20"/>
              </w:rPr>
            </w:pPr>
            <w:r>
              <w:rPr>
                <w:szCs w:val="20"/>
              </w:rPr>
              <w:t>5</w:t>
            </w:r>
          </w:p>
        </w:tc>
        <w:tc>
          <w:tcPr>
            <w:tcW w:w="3024" w:type="dxa"/>
            <w:vAlign w:val="center"/>
          </w:tcPr>
          <w:p w14:paraId="56E2B3B4" w14:textId="178CE3FA" w:rsidR="00DF0B38" w:rsidRDefault="00666C66">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Build</m:t>
                        </m:r>
                      </m:e>
                      <m:sub>
                        <m:r>
                          <w:rPr>
                            <w:rFonts w:ascii="Cambria Math" w:hAnsi="Cambria Math"/>
                            <w:szCs w:val="20"/>
                          </w:rPr>
                          <m:t>s</m:t>
                        </m:r>
                      </m:sub>
                    </m:sSub>
                  </m:den>
                </m:f>
              </m:oMath>
            </m:oMathPara>
          </w:p>
        </w:tc>
        <w:tc>
          <w:tcPr>
            <w:tcW w:w="3888" w:type="dxa"/>
            <w:vAlign w:val="center"/>
          </w:tcPr>
          <w:p w14:paraId="5214EA1D" w14:textId="6996DE38" w:rsidR="00DF0B38" w:rsidRDefault="00666C66" w:rsidP="0058616C">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185 building starts in Newport County</m:t>
                    </m:r>
                  </m:num>
                  <m:den>
                    <m:r>
                      <w:rPr>
                        <w:rFonts w:ascii="Cambria Math" w:hAnsi="Cambria Math"/>
                        <w:szCs w:val="20"/>
                      </w:rPr>
                      <m:t>952 building starts in RI</m:t>
                    </m:r>
                  </m:den>
                </m:f>
              </m:oMath>
            </m:oMathPara>
          </w:p>
        </w:tc>
        <w:tc>
          <w:tcPr>
            <w:tcW w:w="2108" w:type="dxa"/>
          </w:tcPr>
          <w:p w14:paraId="07663FB1" w14:textId="442DFE7F" w:rsidR="00DF0B38" w:rsidRDefault="0058616C" w:rsidP="00F33727">
            <w:pPr>
              <w:widowControl/>
              <w:tabs>
                <w:tab w:val="left" w:pos="0"/>
              </w:tabs>
              <w:spacing w:after="60"/>
              <w:rPr>
                <w:szCs w:val="20"/>
              </w:rPr>
            </w:pPr>
            <w:r>
              <w:rPr>
                <w:szCs w:val="20"/>
              </w:rPr>
              <w:t>0.194 fraction of building starts in Newport County, RI</w:t>
            </w:r>
          </w:p>
        </w:tc>
      </w:tr>
      <w:tr w:rsidR="00FE02FD" w14:paraId="7A81B696" w14:textId="77777777" w:rsidTr="00FE7F5B">
        <w:trPr>
          <w:cantSplit/>
        </w:trPr>
        <w:tc>
          <w:tcPr>
            <w:tcW w:w="561" w:type="dxa"/>
            <w:vAlign w:val="center"/>
          </w:tcPr>
          <w:p w14:paraId="324ACC66" w14:textId="33BEF899" w:rsidR="00DF0B38" w:rsidRDefault="00676FE8" w:rsidP="00FE7F5B">
            <w:pPr>
              <w:widowControl/>
              <w:tabs>
                <w:tab w:val="left" w:pos="0"/>
              </w:tabs>
              <w:spacing w:after="60"/>
              <w:jc w:val="center"/>
              <w:rPr>
                <w:szCs w:val="20"/>
              </w:rPr>
            </w:pPr>
            <w:r>
              <w:rPr>
                <w:szCs w:val="20"/>
              </w:rPr>
              <w:t>6</w:t>
            </w:r>
          </w:p>
        </w:tc>
        <w:tc>
          <w:tcPr>
            <w:tcW w:w="3024" w:type="dxa"/>
            <w:vAlign w:val="center"/>
          </w:tcPr>
          <w:p w14:paraId="7A902A6F" w14:textId="12E99B3B" w:rsidR="00DF0B38" w:rsidRDefault="00666C66"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BFrac</m:t>
                    </m:r>
                  </m:e>
                  <m:sub>
                    <m:r>
                      <w:rPr>
                        <w:rFonts w:ascii="Cambria Math" w:hAnsi="Cambria Math"/>
                        <w:szCs w:val="20"/>
                      </w:rPr>
                      <m:t>c</m:t>
                    </m:r>
                  </m:sub>
                </m:sSub>
              </m:oMath>
            </m:oMathPara>
          </w:p>
        </w:tc>
        <w:tc>
          <w:tcPr>
            <w:tcW w:w="3888" w:type="dxa"/>
            <w:vAlign w:val="center"/>
          </w:tcPr>
          <w:p w14:paraId="07B8EC2C" w14:textId="2574C9B2" w:rsidR="00DF0B38" w:rsidRDefault="0058616C" w:rsidP="0058616C">
            <w:pPr>
              <w:widowControl/>
              <w:tabs>
                <w:tab w:val="left" w:pos="0"/>
              </w:tabs>
              <w:spacing w:after="60"/>
              <w:jc w:val="center"/>
              <w:rPr>
                <w:szCs w:val="20"/>
              </w:rPr>
            </w:pPr>
            <m:oMathPara>
              <m:oMath>
                <m:r>
                  <w:rPr>
                    <w:rFonts w:ascii="Cambria Math" w:hAnsi="Cambria Math"/>
                    <w:szCs w:val="20"/>
                  </w:rPr>
                  <m:t xml:space="preserve">26.78 acres×0.194 </m:t>
                </m:r>
              </m:oMath>
            </m:oMathPara>
          </w:p>
        </w:tc>
        <w:tc>
          <w:tcPr>
            <w:tcW w:w="2108" w:type="dxa"/>
          </w:tcPr>
          <w:p w14:paraId="5C491399" w14:textId="6E3F9C70" w:rsidR="00DF0B38" w:rsidRDefault="0058616C" w:rsidP="00DF0B38">
            <w:pPr>
              <w:widowControl/>
              <w:tabs>
                <w:tab w:val="left" w:pos="0"/>
              </w:tabs>
              <w:spacing w:after="60"/>
              <w:rPr>
                <w:szCs w:val="20"/>
              </w:rPr>
            </w:pPr>
            <w:r>
              <w:rPr>
                <w:szCs w:val="20"/>
              </w:rPr>
              <w:t>5.20 acres disturbed from urban road construction in Newport County, RI</w:t>
            </w:r>
          </w:p>
        </w:tc>
      </w:tr>
      <w:tr w:rsidR="008F64E2" w14:paraId="36609103" w14:textId="77777777" w:rsidTr="00FE7F5B">
        <w:trPr>
          <w:cantSplit/>
        </w:trPr>
        <w:tc>
          <w:tcPr>
            <w:tcW w:w="561" w:type="dxa"/>
            <w:vAlign w:val="center"/>
          </w:tcPr>
          <w:p w14:paraId="2498BB5D" w14:textId="1974622A" w:rsidR="008F64E2" w:rsidRDefault="008F64E2" w:rsidP="008F64E2">
            <w:pPr>
              <w:widowControl/>
              <w:tabs>
                <w:tab w:val="left" w:pos="0"/>
              </w:tabs>
              <w:spacing w:after="60"/>
              <w:jc w:val="center"/>
              <w:rPr>
                <w:szCs w:val="20"/>
              </w:rPr>
            </w:pPr>
            <w:r>
              <w:rPr>
                <w:szCs w:val="20"/>
              </w:rPr>
              <w:t>7</w:t>
            </w:r>
          </w:p>
        </w:tc>
        <w:tc>
          <w:tcPr>
            <w:tcW w:w="3024" w:type="dxa"/>
            <w:vAlign w:val="center"/>
          </w:tcPr>
          <w:p w14:paraId="12589303" w14:textId="43E47882" w:rsidR="008F64E2" w:rsidRDefault="00666C66" w:rsidP="00E85A1E">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rPr>
                      <m:t>UEF</m:t>
                    </m:r>
                  </m:e>
                  <m:sub>
                    <m:r>
                      <w:rPr>
                        <w:rFonts w:ascii="Cambria Math" w:hAnsi="Cambria Math"/>
                      </w:rPr>
                      <m:t>PM10,c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PM10</m:t>
                    </m:r>
                  </m:sub>
                </m:sSub>
                <m:r>
                  <w:rPr>
                    <w:rFonts w:ascii="Cambria Math" w:hAnsi="Cambria Math"/>
                  </w:rPr>
                  <m:t>×</m:t>
                </m:r>
                <m:f>
                  <m:fPr>
                    <m:ctrlPr>
                      <w:rPr>
                        <w:rFonts w:ascii="Cambria Math" w:hAnsi="Cambria Math"/>
                        <w:i/>
                      </w:rPr>
                    </m:ctrlPr>
                  </m:fPr>
                  <m:num>
                    <m:r>
                      <w:rPr>
                        <w:rFonts w:ascii="Cambria Math" w:hAnsi="Cambria Math"/>
                      </w:rPr>
                      <m:t>24</m:t>
                    </m:r>
                  </m:num>
                  <m:den>
                    <m:sSub>
                      <m:sSubPr>
                        <m:ctrlPr>
                          <w:rPr>
                            <w:rFonts w:ascii="Cambria Math" w:hAnsi="Cambria Math"/>
                            <w:i/>
                          </w:rPr>
                        </m:ctrlPr>
                      </m:sSubPr>
                      <m:e>
                        <m:r>
                          <w:rPr>
                            <w:rFonts w:ascii="Cambria Math" w:hAnsi="Cambria Math"/>
                          </w:rPr>
                          <m:t>PE</m:t>
                        </m:r>
                      </m:e>
                      <m:sub>
                        <m:r>
                          <w:rPr>
                            <w:rFonts w:ascii="Cambria Math" w:hAnsi="Cambria Math"/>
                          </w:rPr>
                          <m:t>s</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c</m:t>
                        </m:r>
                      </m:sub>
                    </m:sSub>
                  </m:num>
                  <m:den>
                    <m:r>
                      <w:rPr>
                        <w:rFonts w:ascii="Cambria Math" w:hAnsi="Cambria Math"/>
                      </w:rPr>
                      <m:t>9%</m:t>
                    </m:r>
                  </m:den>
                </m:f>
              </m:oMath>
            </m:oMathPara>
          </w:p>
        </w:tc>
        <w:tc>
          <w:tcPr>
            <w:tcW w:w="3888" w:type="dxa"/>
            <w:vAlign w:val="center"/>
          </w:tcPr>
          <w:p w14:paraId="6B0CA4B7" w14:textId="1AB528EB" w:rsidR="008F64E2" w:rsidRDefault="0058616C" w:rsidP="00C52E5D">
            <w:pPr>
              <w:widowControl/>
              <w:tabs>
                <w:tab w:val="left" w:pos="0"/>
              </w:tabs>
              <w:spacing w:after="60"/>
              <w:jc w:val="center"/>
              <w:rPr>
                <w:szCs w:val="20"/>
              </w:rPr>
            </w:pPr>
            <m:oMathPara>
              <m:oMath>
                <m:r>
                  <w:rPr>
                    <w:rFonts w:ascii="Cambria Math" w:hAnsi="Cambria Math"/>
                  </w:rPr>
                  <m:t>0.42 tons/acre-month×</m:t>
                </m:r>
                <m:f>
                  <m:fPr>
                    <m:ctrlPr>
                      <w:rPr>
                        <w:rFonts w:ascii="Cambria Math" w:hAnsi="Cambria Math"/>
                        <w:i/>
                      </w:rPr>
                    </m:ctrlPr>
                  </m:fPr>
                  <m:num>
                    <m:r>
                      <w:rPr>
                        <w:rFonts w:ascii="Cambria Math" w:hAnsi="Cambria Math"/>
                      </w:rPr>
                      <m:t>24</m:t>
                    </m:r>
                  </m:num>
                  <m:den>
                    <m:r>
                      <w:rPr>
                        <w:rFonts w:ascii="Cambria Math" w:hAnsi="Cambria Math"/>
                      </w:rPr>
                      <m:t>132</m:t>
                    </m:r>
                  </m:den>
                </m:f>
                <m:r>
                  <w:rPr>
                    <w:rFonts w:ascii="Cambria Math" w:hAnsi="Cambria Math"/>
                  </w:rPr>
                  <m:t>×</m:t>
                </m:r>
                <m:f>
                  <m:fPr>
                    <m:ctrlPr>
                      <w:rPr>
                        <w:rFonts w:ascii="Cambria Math" w:hAnsi="Cambria Math"/>
                        <w:i/>
                      </w:rPr>
                    </m:ctrlPr>
                  </m:fPr>
                  <m:num>
                    <m:r>
                      <w:rPr>
                        <w:rFonts w:ascii="Cambria Math" w:hAnsi="Cambria Math"/>
                      </w:rPr>
                      <m:t>41,45%</m:t>
                    </m:r>
                  </m:num>
                  <m:den>
                    <m:r>
                      <w:rPr>
                        <w:rFonts w:ascii="Cambria Math" w:hAnsi="Cambria Math"/>
                      </w:rPr>
                      <m:t>9%</m:t>
                    </m:r>
                  </m:den>
                </m:f>
              </m:oMath>
            </m:oMathPara>
          </w:p>
        </w:tc>
        <w:tc>
          <w:tcPr>
            <w:tcW w:w="2108" w:type="dxa"/>
          </w:tcPr>
          <w:p w14:paraId="5F17FD62" w14:textId="561B30C3" w:rsidR="008F64E2" w:rsidRDefault="0058616C" w:rsidP="00DF0B38">
            <w:pPr>
              <w:widowControl/>
              <w:tabs>
                <w:tab w:val="left" w:pos="0"/>
              </w:tabs>
              <w:spacing w:after="60"/>
              <w:rPr>
                <w:szCs w:val="20"/>
              </w:rPr>
            </w:pPr>
            <w:r>
              <w:rPr>
                <w:szCs w:val="20"/>
              </w:rPr>
              <w:t xml:space="preserve">0.3517 tons per acre-month </w:t>
            </w:r>
            <w:r w:rsidR="006E4AE6">
              <w:rPr>
                <w:szCs w:val="20"/>
              </w:rPr>
              <w:t xml:space="preserve">uncontrolled </w:t>
            </w:r>
            <w:r>
              <w:rPr>
                <w:szCs w:val="20"/>
              </w:rPr>
              <w:t>PM10 emissions from road construction in Newport County, RI</w:t>
            </w:r>
          </w:p>
        </w:tc>
      </w:tr>
      <w:tr w:rsidR="008F64E2" w14:paraId="4C834340" w14:textId="77777777" w:rsidTr="00FE7F5B">
        <w:trPr>
          <w:cantSplit/>
        </w:trPr>
        <w:tc>
          <w:tcPr>
            <w:tcW w:w="561" w:type="dxa"/>
            <w:vAlign w:val="center"/>
          </w:tcPr>
          <w:p w14:paraId="65798572" w14:textId="20E695AA" w:rsidR="008F64E2" w:rsidRDefault="008F64E2" w:rsidP="00FE7F5B">
            <w:pPr>
              <w:widowControl/>
              <w:tabs>
                <w:tab w:val="left" w:pos="0"/>
              </w:tabs>
              <w:spacing w:after="60"/>
              <w:jc w:val="center"/>
              <w:rPr>
                <w:szCs w:val="20"/>
              </w:rPr>
            </w:pPr>
            <w:r>
              <w:rPr>
                <w:szCs w:val="20"/>
              </w:rPr>
              <w:t>8</w:t>
            </w:r>
          </w:p>
        </w:tc>
        <w:tc>
          <w:tcPr>
            <w:tcW w:w="3024" w:type="dxa"/>
            <w:vAlign w:val="center"/>
          </w:tcPr>
          <w:p w14:paraId="0201444E" w14:textId="3FBEB5E0" w:rsidR="008F64E2" w:rsidRDefault="00666C66" w:rsidP="00FE7F5B">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rPr>
                      <m:t>UEF</m:t>
                    </m:r>
                  </m:e>
                  <m:sub>
                    <m:r>
                      <w:rPr>
                        <w:rFonts w:ascii="Cambria Math" w:hAnsi="Cambria Math"/>
                      </w:rPr>
                      <m:t>PM25,c</m:t>
                    </m:r>
                  </m:sub>
                </m:sSub>
                <m:r>
                  <w:rPr>
                    <w:rFonts w:ascii="Cambria Math" w:hAnsi="Cambria Math"/>
                  </w:rPr>
                  <m:t>=0.10×U</m:t>
                </m:r>
                <m:sSub>
                  <m:sSubPr>
                    <m:ctrlPr>
                      <w:rPr>
                        <w:rFonts w:ascii="Cambria Math" w:hAnsi="Cambria Math"/>
                        <w:i/>
                      </w:rPr>
                    </m:ctrlPr>
                  </m:sSubPr>
                  <m:e>
                    <m:r>
                      <w:rPr>
                        <w:rFonts w:ascii="Cambria Math" w:hAnsi="Cambria Math"/>
                      </w:rPr>
                      <m:t>EF</m:t>
                    </m:r>
                  </m:e>
                  <m:sub>
                    <m:r>
                      <w:rPr>
                        <w:rFonts w:ascii="Cambria Math" w:hAnsi="Cambria Math"/>
                        <w:sz w:val="24"/>
                      </w:rPr>
                      <m:t>PM10</m:t>
                    </m:r>
                    <m:r>
                      <w:rPr>
                        <w:rFonts w:ascii="Cambria Math" w:hAnsi="Cambria Math"/>
                      </w:rPr>
                      <m:t>,c</m:t>
                    </m:r>
                  </m:sub>
                </m:sSub>
              </m:oMath>
            </m:oMathPara>
          </w:p>
        </w:tc>
        <w:tc>
          <w:tcPr>
            <w:tcW w:w="3888" w:type="dxa"/>
            <w:vAlign w:val="center"/>
          </w:tcPr>
          <w:p w14:paraId="05A61F4F" w14:textId="474DB35A" w:rsidR="008F64E2" w:rsidRDefault="0058616C" w:rsidP="00C52E5D">
            <w:pPr>
              <w:widowControl/>
              <w:tabs>
                <w:tab w:val="left" w:pos="0"/>
              </w:tabs>
              <w:spacing w:after="60"/>
              <w:jc w:val="center"/>
              <w:rPr>
                <w:szCs w:val="20"/>
              </w:rPr>
            </w:pPr>
            <m:oMathPara>
              <m:oMath>
                <m:r>
                  <w:rPr>
                    <w:rFonts w:ascii="Cambria Math" w:hAnsi="Cambria Math"/>
                  </w:rPr>
                  <m:t>0.10×0.3517 tons/acre-month</m:t>
                </m:r>
              </m:oMath>
            </m:oMathPara>
          </w:p>
        </w:tc>
        <w:tc>
          <w:tcPr>
            <w:tcW w:w="2108" w:type="dxa"/>
          </w:tcPr>
          <w:p w14:paraId="510BCB4E" w14:textId="5694FF33" w:rsidR="008F64E2" w:rsidRDefault="00AA11E1" w:rsidP="00DF0B38">
            <w:pPr>
              <w:widowControl/>
              <w:tabs>
                <w:tab w:val="left" w:pos="0"/>
              </w:tabs>
              <w:spacing w:after="60"/>
              <w:rPr>
                <w:szCs w:val="20"/>
              </w:rPr>
            </w:pPr>
            <w:r>
              <w:rPr>
                <w:szCs w:val="20"/>
              </w:rPr>
              <w:t>0.0352 tons per acre-month PM25</w:t>
            </w:r>
            <w:r w:rsidR="0058616C">
              <w:rPr>
                <w:szCs w:val="20"/>
              </w:rPr>
              <w:t xml:space="preserve"> emissions from road construction in Newport County, RI</w:t>
            </w:r>
          </w:p>
        </w:tc>
      </w:tr>
      <w:tr w:rsidR="00B56E90" w14:paraId="3A3CEB62" w14:textId="77777777" w:rsidTr="00FE7F5B">
        <w:trPr>
          <w:cantSplit/>
        </w:trPr>
        <w:tc>
          <w:tcPr>
            <w:tcW w:w="561" w:type="dxa"/>
            <w:vMerge w:val="restart"/>
            <w:vAlign w:val="center"/>
          </w:tcPr>
          <w:p w14:paraId="01B89338" w14:textId="3F4DDFC3" w:rsidR="00B56E90" w:rsidRDefault="00B56E90" w:rsidP="00FE7F5B">
            <w:pPr>
              <w:widowControl/>
              <w:tabs>
                <w:tab w:val="left" w:pos="0"/>
              </w:tabs>
              <w:spacing w:after="60"/>
              <w:jc w:val="center"/>
              <w:rPr>
                <w:szCs w:val="20"/>
              </w:rPr>
            </w:pPr>
            <w:r>
              <w:rPr>
                <w:szCs w:val="20"/>
              </w:rPr>
              <w:lastRenderedPageBreak/>
              <w:t>9</w:t>
            </w:r>
          </w:p>
        </w:tc>
        <w:tc>
          <w:tcPr>
            <w:tcW w:w="3024" w:type="dxa"/>
            <w:vMerge w:val="restart"/>
            <w:vAlign w:val="center"/>
          </w:tcPr>
          <w:p w14:paraId="20F483C4" w14:textId="12541CDB" w:rsidR="00B56E90" w:rsidRDefault="00666C66" w:rsidP="00FE7F5B">
            <w:pPr>
              <w:widowControl/>
              <w:tabs>
                <w:tab w:val="left" w:pos="0"/>
              </w:tabs>
              <w:spacing w:after="60"/>
              <w:jc w:val="center"/>
            </w:pPr>
            <m:oMathPara>
              <m:oMath>
                <m:sSub>
                  <m:sSubPr>
                    <m:ctrlPr>
                      <w:rPr>
                        <w:rFonts w:ascii="Cambria Math" w:hAnsi="Cambria Math"/>
                        <w:i/>
                      </w:rPr>
                    </m:ctrlPr>
                  </m:sSubPr>
                  <m:e>
                    <m:r>
                      <w:rPr>
                        <w:rFonts w:ascii="Cambria Math" w:hAnsi="Cambria Math"/>
                      </w:rPr>
                      <m:t>EF</m:t>
                    </m:r>
                  </m:e>
                  <m:sub>
                    <m:r>
                      <w:rPr>
                        <w:rFonts w:ascii="Cambria Math" w:hAnsi="Cambria Math"/>
                      </w:rPr>
                      <m:t>P,c</m:t>
                    </m:r>
                  </m:sub>
                </m:sSub>
                <m:r>
                  <w:rPr>
                    <w:rFonts w:ascii="Cambria Math" w:hAnsi="Cambria Math"/>
                  </w:rPr>
                  <m:t>=0.50×</m:t>
                </m:r>
                <m:sSub>
                  <m:sSubPr>
                    <m:ctrlPr>
                      <w:rPr>
                        <w:rFonts w:ascii="Cambria Math" w:hAnsi="Cambria Math"/>
                        <w:i/>
                      </w:rPr>
                    </m:ctrlPr>
                  </m:sSubPr>
                  <m:e>
                    <m:r>
                      <w:rPr>
                        <w:rFonts w:ascii="Cambria Math" w:hAnsi="Cambria Math"/>
                      </w:rPr>
                      <m:t>UEF</m:t>
                    </m:r>
                  </m:e>
                  <m:sub>
                    <m:r>
                      <w:rPr>
                        <w:rFonts w:ascii="Cambria Math" w:hAnsi="Cambria Math"/>
                      </w:rPr>
                      <m:t>p,c</m:t>
                    </m:r>
                  </m:sub>
                </m:sSub>
              </m:oMath>
            </m:oMathPara>
          </w:p>
        </w:tc>
        <w:tc>
          <w:tcPr>
            <w:tcW w:w="3888" w:type="dxa"/>
            <w:vAlign w:val="center"/>
          </w:tcPr>
          <w:p w14:paraId="5F6FC76D" w14:textId="7830394D" w:rsidR="00B56E90" w:rsidRDefault="006E4AE6" w:rsidP="006E4AE6">
            <w:pPr>
              <w:widowControl/>
              <w:tabs>
                <w:tab w:val="left" w:pos="0"/>
              </w:tabs>
              <w:spacing w:after="60"/>
              <w:jc w:val="center"/>
            </w:pPr>
            <m:oMathPara>
              <m:oMath>
                <m:r>
                  <w:rPr>
                    <w:rFonts w:ascii="Cambria Math" w:hAnsi="Cambria Math"/>
                  </w:rPr>
                  <m:t>0.50×0.3514 tons per acre-month</m:t>
                </m:r>
              </m:oMath>
            </m:oMathPara>
          </w:p>
        </w:tc>
        <w:tc>
          <w:tcPr>
            <w:tcW w:w="2108" w:type="dxa"/>
          </w:tcPr>
          <w:p w14:paraId="5E428D8B" w14:textId="11A79783" w:rsidR="00B56E90" w:rsidRDefault="006E4AE6" w:rsidP="00DF0B38">
            <w:pPr>
              <w:widowControl/>
              <w:tabs>
                <w:tab w:val="left" w:pos="0"/>
              </w:tabs>
              <w:spacing w:after="60"/>
              <w:rPr>
                <w:szCs w:val="20"/>
              </w:rPr>
            </w:pPr>
            <w:r>
              <w:rPr>
                <w:szCs w:val="20"/>
              </w:rPr>
              <w:t>0.1758 tons per care-month controlled PM10 emissions from new road construction in Newport County, RI</w:t>
            </w:r>
          </w:p>
        </w:tc>
      </w:tr>
      <w:tr w:rsidR="00B56E90" w14:paraId="756652B5" w14:textId="77777777" w:rsidTr="00FE7F5B">
        <w:trPr>
          <w:cantSplit/>
        </w:trPr>
        <w:tc>
          <w:tcPr>
            <w:tcW w:w="561" w:type="dxa"/>
            <w:vMerge/>
            <w:vAlign w:val="center"/>
          </w:tcPr>
          <w:p w14:paraId="59A764A5" w14:textId="77777777" w:rsidR="00B56E90" w:rsidRDefault="00B56E90" w:rsidP="00FE7F5B">
            <w:pPr>
              <w:widowControl/>
              <w:tabs>
                <w:tab w:val="left" w:pos="0"/>
              </w:tabs>
              <w:spacing w:after="60"/>
              <w:jc w:val="center"/>
              <w:rPr>
                <w:szCs w:val="20"/>
              </w:rPr>
            </w:pPr>
          </w:p>
        </w:tc>
        <w:tc>
          <w:tcPr>
            <w:tcW w:w="3024" w:type="dxa"/>
            <w:vMerge/>
            <w:vAlign w:val="center"/>
          </w:tcPr>
          <w:p w14:paraId="05CCE7DC" w14:textId="77777777" w:rsidR="00B56E90" w:rsidRDefault="00B56E90" w:rsidP="00FE7F5B">
            <w:pPr>
              <w:widowControl/>
              <w:tabs>
                <w:tab w:val="left" w:pos="0"/>
              </w:tabs>
              <w:spacing w:after="60"/>
              <w:jc w:val="center"/>
            </w:pPr>
          </w:p>
        </w:tc>
        <w:tc>
          <w:tcPr>
            <w:tcW w:w="3888" w:type="dxa"/>
            <w:vAlign w:val="center"/>
          </w:tcPr>
          <w:p w14:paraId="20E79533" w14:textId="378623BE" w:rsidR="00B56E90" w:rsidRDefault="006E4AE6" w:rsidP="006E4AE6">
            <w:pPr>
              <w:widowControl/>
              <w:tabs>
                <w:tab w:val="left" w:pos="0"/>
              </w:tabs>
              <w:spacing w:after="60"/>
              <w:jc w:val="center"/>
            </w:pPr>
            <m:oMathPara>
              <m:oMath>
                <m:r>
                  <w:rPr>
                    <w:rFonts w:ascii="Cambria Math" w:hAnsi="Cambria Math"/>
                  </w:rPr>
                  <m:t>0.50×0.0352 tons per acre-month</m:t>
                </m:r>
              </m:oMath>
            </m:oMathPara>
          </w:p>
        </w:tc>
        <w:tc>
          <w:tcPr>
            <w:tcW w:w="2108" w:type="dxa"/>
          </w:tcPr>
          <w:p w14:paraId="6F539ACB" w14:textId="39DF3745" w:rsidR="00B56E90" w:rsidRDefault="006E4AE6" w:rsidP="00DF0B38">
            <w:pPr>
              <w:widowControl/>
              <w:tabs>
                <w:tab w:val="left" w:pos="0"/>
              </w:tabs>
              <w:spacing w:after="60"/>
              <w:rPr>
                <w:szCs w:val="20"/>
              </w:rPr>
            </w:pPr>
            <w:r>
              <w:rPr>
                <w:szCs w:val="20"/>
              </w:rPr>
              <w:t>0.0176 tons per care-month controlled PM25 emissions from new road construction in Newport County, RI</w:t>
            </w:r>
          </w:p>
        </w:tc>
      </w:tr>
      <w:tr w:rsidR="0058616C" w14:paraId="09B7863A" w14:textId="77777777" w:rsidTr="00FE7F5B">
        <w:trPr>
          <w:cantSplit/>
        </w:trPr>
        <w:tc>
          <w:tcPr>
            <w:tcW w:w="561" w:type="dxa"/>
            <w:vMerge w:val="restart"/>
            <w:vAlign w:val="center"/>
          </w:tcPr>
          <w:p w14:paraId="08E68D7F" w14:textId="4C3B81D4" w:rsidR="0058616C" w:rsidRDefault="00B56E90" w:rsidP="00FE7F5B">
            <w:pPr>
              <w:widowControl/>
              <w:tabs>
                <w:tab w:val="left" w:pos="0"/>
              </w:tabs>
              <w:spacing w:after="60"/>
              <w:jc w:val="center"/>
              <w:rPr>
                <w:szCs w:val="20"/>
              </w:rPr>
            </w:pPr>
            <w:r>
              <w:rPr>
                <w:szCs w:val="20"/>
              </w:rPr>
              <w:t>10</w:t>
            </w:r>
          </w:p>
        </w:tc>
        <w:tc>
          <w:tcPr>
            <w:tcW w:w="3024" w:type="dxa"/>
            <w:vMerge w:val="restart"/>
            <w:vAlign w:val="center"/>
          </w:tcPr>
          <w:p w14:paraId="0FCEF8E3" w14:textId="4DBC3EF5" w:rsidR="0058616C" w:rsidRDefault="00666C66" w:rsidP="00FE7F5B">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p,c</m:t>
                    </m:r>
                  </m:sub>
                </m:sSub>
                <m:r>
                  <w:rPr>
                    <w:rFonts w:ascii="Cambria Math" w:hAnsi="Cambria Math"/>
                  </w:rPr>
                  <m:t>×M</m:t>
                </m:r>
              </m:oMath>
            </m:oMathPara>
          </w:p>
        </w:tc>
        <w:tc>
          <w:tcPr>
            <w:tcW w:w="3888" w:type="dxa"/>
            <w:vAlign w:val="center"/>
          </w:tcPr>
          <w:p w14:paraId="122ED557" w14:textId="7FE0C518" w:rsidR="0058616C" w:rsidRDefault="0058616C" w:rsidP="00C52E5D">
            <w:pPr>
              <w:widowControl/>
              <w:tabs>
                <w:tab w:val="left" w:pos="0"/>
              </w:tabs>
              <w:spacing w:after="60"/>
              <w:jc w:val="center"/>
              <w:rPr>
                <w:szCs w:val="20"/>
              </w:rPr>
            </w:pPr>
            <m:oMathPara>
              <m:oMath>
                <m:r>
                  <w:rPr>
                    <w:rFonts w:ascii="Cambria Math" w:hAnsi="Cambria Math"/>
                  </w:rPr>
                  <m:t>5.2 acres×0.1758 tons/acre-month×</m:t>
                </m:r>
                <m:r>
                  <w:rPr>
                    <w:rFonts w:ascii="Cambria Math" w:hAnsi="Cambria Math"/>
                  </w:rPr>
                  <m:t>12</m:t>
                </m:r>
              </m:oMath>
            </m:oMathPara>
          </w:p>
        </w:tc>
        <w:tc>
          <w:tcPr>
            <w:tcW w:w="2108" w:type="dxa"/>
          </w:tcPr>
          <w:p w14:paraId="29BB18EA" w14:textId="5BC3A1C7" w:rsidR="0058616C" w:rsidRDefault="006E4AE6" w:rsidP="00DF0B38">
            <w:pPr>
              <w:widowControl/>
              <w:tabs>
                <w:tab w:val="left" w:pos="0"/>
              </w:tabs>
              <w:spacing w:after="60"/>
              <w:rPr>
                <w:szCs w:val="20"/>
              </w:rPr>
            </w:pPr>
            <w:r>
              <w:rPr>
                <w:szCs w:val="20"/>
              </w:rPr>
              <w:t>10.98</w:t>
            </w:r>
            <w:r w:rsidR="00AA11E1">
              <w:rPr>
                <w:szCs w:val="20"/>
              </w:rPr>
              <w:t xml:space="preserve"> tons PM10 from urban road construction in Newport County, RI</w:t>
            </w:r>
          </w:p>
        </w:tc>
      </w:tr>
      <w:tr w:rsidR="0058616C" w14:paraId="49CC926E" w14:textId="77777777" w:rsidTr="00FE7F5B">
        <w:trPr>
          <w:cantSplit/>
        </w:trPr>
        <w:tc>
          <w:tcPr>
            <w:tcW w:w="561" w:type="dxa"/>
            <w:vMerge/>
            <w:vAlign w:val="center"/>
          </w:tcPr>
          <w:p w14:paraId="7CF7CC2F" w14:textId="77777777" w:rsidR="0058616C" w:rsidRDefault="0058616C" w:rsidP="00FE7F5B">
            <w:pPr>
              <w:widowControl/>
              <w:tabs>
                <w:tab w:val="left" w:pos="0"/>
              </w:tabs>
              <w:spacing w:after="60"/>
              <w:jc w:val="center"/>
              <w:rPr>
                <w:szCs w:val="20"/>
              </w:rPr>
            </w:pPr>
          </w:p>
        </w:tc>
        <w:tc>
          <w:tcPr>
            <w:tcW w:w="3024" w:type="dxa"/>
            <w:vMerge/>
            <w:vAlign w:val="center"/>
          </w:tcPr>
          <w:p w14:paraId="496115BE" w14:textId="77777777" w:rsidR="0058616C" w:rsidRDefault="0058616C" w:rsidP="00FE7F5B">
            <w:pPr>
              <w:widowControl/>
              <w:tabs>
                <w:tab w:val="left" w:pos="0"/>
              </w:tabs>
              <w:spacing w:after="60"/>
              <w:jc w:val="center"/>
            </w:pPr>
          </w:p>
        </w:tc>
        <w:tc>
          <w:tcPr>
            <w:tcW w:w="3888" w:type="dxa"/>
            <w:vAlign w:val="center"/>
          </w:tcPr>
          <w:p w14:paraId="2C8BFECE" w14:textId="511A77C9" w:rsidR="0058616C" w:rsidRDefault="0058616C" w:rsidP="00C52E5D">
            <w:pPr>
              <w:widowControl/>
              <w:tabs>
                <w:tab w:val="left" w:pos="0"/>
              </w:tabs>
              <w:spacing w:after="60"/>
              <w:jc w:val="center"/>
              <w:rPr>
                <w:szCs w:val="20"/>
              </w:rPr>
            </w:pPr>
            <m:oMathPara>
              <m:oMath>
                <m:r>
                  <w:rPr>
                    <w:rFonts w:ascii="Cambria Math" w:hAnsi="Cambria Math"/>
                  </w:rPr>
                  <m:t>5.2 acres×0.0176 tons/acre-month×</m:t>
                </m:r>
                <m:r>
                  <w:rPr>
                    <w:rFonts w:ascii="Cambria Math" w:hAnsi="Cambria Math"/>
                  </w:rPr>
                  <m:t>12</m:t>
                </m:r>
              </m:oMath>
            </m:oMathPara>
          </w:p>
        </w:tc>
        <w:tc>
          <w:tcPr>
            <w:tcW w:w="2108" w:type="dxa"/>
          </w:tcPr>
          <w:p w14:paraId="11BAE414" w14:textId="1B4D9420" w:rsidR="0058616C" w:rsidRDefault="006E4AE6" w:rsidP="00DF0B38">
            <w:pPr>
              <w:widowControl/>
              <w:tabs>
                <w:tab w:val="left" w:pos="0"/>
              </w:tabs>
              <w:spacing w:after="60"/>
              <w:rPr>
                <w:szCs w:val="20"/>
              </w:rPr>
            </w:pPr>
            <w:r>
              <w:rPr>
                <w:szCs w:val="20"/>
              </w:rPr>
              <w:t>1.98</w:t>
            </w:r>
            <w:r w:rsidR="00AA11E1">
              <w:rPr>
                <w:szCs w:val="20"/>
              </w:rPr>
              <w:t xml:space="preserve"> tons PM25 from urban road construction in Newport County, RI</w:t>
            </w:r>
          </w:p>
        </w:tc>
      </w:tr>
    </w:tbl>
    <w:p w14:paraId="5D4688CF" w14:textId="77777777" w:rsidR="00B97E6E" w:rsidRPr="004008E6" w:rsidRDefault="00B97E6E" w:rsidP="00B97E6E">
      <w:pPr>
        <w:widowControl/>
        <w:tabs>
          <w:tab w:val="left" w:pos="0"/>
        </w:tabs>
        <w:ind w:firstLine="720"/>
        <w:rPr>
          <w:szCs w:val="20"/>
        </w:rPr>
      </w:pPr>
    </w:p>
    <w:p w14:paraId="75FB51D3" w14:textId="77777777" w:rsidR="00B97E6E" w:rsidRDefault="00B97E6E" w:rsidP="00052E59">
      <w:pPr>
        <w:pStyle w:val="Heading1"/>
      </w:pPr>
      <w:r>
        <w:t>Changes from 2014 Methodology</w:t>
      </w:r>
    </w:p>
    <w:p w14:paraId="2A351B92" w14:textId="77777777" w:rsidR="00810D3D" w:rsidRPr="00676FE8" w:rsidRDefault="00810D3D" w:rsidP="00810D3D">
      <w:pPr>
        <w:widowControl/>
        <w:tabs>
          <w:tab w:val="left" w:pos="0"/>
        </w:tabs>
        <w:rPr>
          <w:szCs w:val="20"/>
        </w:rPr>
      </w:pPr>
      <w:r>
        <w:rPr>
          <w:szCs w:val="20"/>
        </w:rPr>
        <w:t xml:space="preserve">The only change from the methodology used to calculate the 2014 v2 NEI emissions is the addition of a 50% control due to watering of construction sites.  </w:t>
      </w:r>
    </w:p>
    <w:p w14:paraId="35A34622" w14:textId="526F824F" w:rsidR="00B97E6E" w:rsidRPr="00641127" w:rsidRDefault="00810D3D" w:rsidP="00810D3D">
      <w:pPr>
        <w:pStyle w:val="Heading1"/>
      </w:pPr>
      <w:r w:rsidRPr="00641127">
        <w:t xml:space="preserve"> </w:t>
      </w:r>
      <w:r w:rsidR="00B97E6E" w:rsidRPr="00641127">
        <w:t>Puerto Rico and U</w:t>
      </w:r>
      <w:r w:rsidR="00A54167">
        <w:t>.</w:t>
      </w:r>
      <w:r w:rsidR="00B97E6E" w:rsidRPr="00641127">
        <w:t>S</w:t>
      </w:r>
      <w:r w:rsidR="00A54167">
        <w:t>.</w:t>
      </w:r>
      <w:r w:rsidR="00B97E6E" w:rsidRPr="00641127">
        <w:t xml:space="preserve"> Virgin Islands Emissions Calculations</w:t>
      </w:r>
    </w:p>
    <w:p w14:paraId="696FE715" w14:textId="77777777" w:rsidR="00F51B57" w:rsidRDefault="00F51B57" w:rsidP="00F51B57">
      <w:pPr>
        <w:spacing w:after="0"/>
        <w:rPr>
          <w:szCs w:val="20"/>
        </w:rPr>
      </w:pPr>
      <w:r w:rsidRPr="003C6C99">
        <w:rPr>
          <w:szCs w:val="20"/>
        </w:rPr>
        <w:t>Since insufficient data exists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 factor.  For each Puerto Rico and US Virgin Island county, the tons per capita emission factor is multiplied by the county population (from the same year as the inventory’s activity data) which served as the activity data. In these cases, the throughput (activity data) unit and the emissions denominator unit are “EACH”.</w:t>
      </w:r>
    </w:p>
    <w:p w14:paraId="063A83F8" w14:textId="77777777" w:rsidR="00C52E5D" w:rsidRDefault="00C52E5D" w:rsidP="00F51B57">
      <w:pPr>
        <w:spacing w:after="0"/>
        <w:rPr>
          <w:szCs w:val="20"/>
        </w:rPr>
      </w:pPr>
    </w:p>
    <w:p w14:paraId="23E2AD5B" w14:textId="51C550D5" w:rsidR="00A6061A" w:rsidRDefault="00BC47F1" w:rsidP="00F51B57">
      <w:pPr>
        <w:pStyle w:val="Heading1"/>
        <w:spacing w:after="0"/>
      </w:pPr>
      <w:r w:rsidRPr="00F51B57">
        <w:t>References</w:t>
      </w:r>
    </w:p>
    <w:sectPr w:rsidR="00A6061A" w:rsidSect="007D6365">
      <w:footerReference w:type="default" r:id="rId12"/>
      <w:footnotePr>
        <w:numFmt w:val="chicago"/>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C70C4" w14:textId="77777777" w:rsidR="00093671" w:rsidRPr="005A2CA7" w:rsidRDefault="00093671" w:rsidP="005A2CA7">
      <w:pPr>
        <w:pStyle w:val="Footer"/>
      </w:pPr>
    </w:p>
  </w:endnote>
  <w:endnote w:type="continuationSeparator" w:id="0">
    <w:p w14:paraId="1F39EE1D" w14:textId="77777777" w:rsidR="00093671" w:rsidRPr="00D05698" w:rsidRDefault="00093671" w:rsidP="00D05698">
      <w:pPr>
        <w:pStyle w:val="Footer"/>
      </w:pPr>
    </w:p>
  </w:endnote>
  <w:endnote w:type="continuationNotice" w:id="1">
    <w:p w14:paraId="550A29CF" w14:textId="77777777" w:rsidR="00093671" w:rsidRDefault="00093671">
      <w:pPr>
        <w:spacing w:after="0"/>
      </w:pPr>
    </w:p>
  </w:endnote>
  <w:endnote w:id="2">
    <w:p w14:paraId="3B919658" w14:textId="357926EB" w:rsidR="0058616C" w:rsidRPr="0003314F" w:rsidRDefault="0058616C" w:rsidP="0003314F">
      <w:pPr>
        <w:pStyle w:val="References"/>
      </w:pPr>
      <w:r w:rsidRPr="0003314F">
        <w:rPr>
          <w:rStyle w:val="EndnoteReference"/>
          <w:vertAlign w:val="baseline"/>
        </w:rPr>
        <w:endnoteRef/>
      </w:r>
      <w:r w:rsidRPr="0003314F">
        <w:t xml:space="preserve"> Federal Highway Administration. 2014 Highway Spending, from </w:t>
      </w:r>
      <w:hyperlink r:id="rId1" w:history="1">
        <w:r w:rsidR="00E85A1E" w:rsidRPr="00E959D5">
          <w:rPr>
            <w:rStyle w:val="Hyperlink"/>
          </w:rPr>
          <w:t>http://www.fhwa.dot.gov/policyinformation/statistics/2014/sf12a.cfm</w:t>
        </w:r>
      </w:hyperlink>
      <w:r w:rsidRPr="0003314F">
        <w:rPr>
          <w:rStyle w:val="Hyperlink"/>
          <w:color w:val="auto"/>
          <w:u w:val="none"/>
        </w:rPr>
        <w:t>.</w:t>
      </w:r>
    </w:p>
  </w:endnote>
  <w:endnote w:id="3">
    <w:p w14:paraId="3525284B" w14:textId="31C8F957" w:rsidR="0058616C" w:rsidRPr="0003314F" w:rsidRDefault="0058616C" w:rsidP="0003314F">
      <w:pPr>
        <w:pStyle w:val="References"/>
      </w:pPr>
      <w:r w:rsidRPr="0003314F">
        <w:rPr>
          <w:rStyle w:val="EndnoteReference"/>
          <w:vertAlign w:val="baseline"/>
        </w:rPr>
        <w:endnoteRef/>
      </w:r>
      <w:r w:rsidRPr="0003314F">
        <w:t xml:space="preserve"> Florida Department of Transportation. </w:t>
      </w:r>
      <w:r w:rsidR="00666C66" w:rsidRPr="00666C66">
        <w:t>Cost Per Mile Models</w:t>
      </w:r>
      <w:bookmarkStart w:id="2" w:name="_GoBack"/>
      <w:bookmarkEnd w:id="2"/>
      <w:r w:rsidR="008F12D8" w:rsidRPr="0003314F">
        <w:t xml:space="preserve">. </w:t>
      </w:r>
      <w:hyperlink r:id="rId2" w:history="1">
        <w:r w:rsidR="00666C66">
          <w:rPr>
            <w:rStyle w:val="Hyperlink"/>
          </w:rPr>
          <w:t>https://www.fdot.gov/programmanagement/estimates/lre/costpermilemodels/cpmsummary.shtm</w:t>
        </w:r>
      </w:hyperlink>
    </w:p>
  </w:endnote>
  <w:endnote w:id="4">
    <w:p w14:paraId="762D4CA4" w14:textId="38A2776A" w:rsidR="0058616C" w:rsidRPr="0003314F" w:rsidRDefault="0058616C" w:rsidP="0003314F">
      <w:pPr>
        <w:pStyle w:val="References"/>
      </w:pPr>
      <w:r w:rsidRPr="0003314F">
        <w:rPr>
          <w:rStyle w:val="EndnoteReference"/>
          <w:vertAlign w:val="baseline"/>
        </w:rPr>
        <w:endnoteRef/>
      </w:r>
      <w:r w:rsidRPr="0003314F">
        <w:t xml:space="preserve"> </w:t>
      </w:r>
      <w:r w:rsidR="008F12D8" w:rsidRPr="0003314F">
        <w:t>U.S. Census Bureau. 201</w:t>
      </w:r>
      <w:r w:rsidR="00CE0585">
        <w:t>7</w:t>
      </w:r>
      <w:r w:rsidR="008F12D8" w:rsidRPr="0003314F">
        <w:t xml:space="preserve">. </w:t>
      </w:r>
      <w:r w:rsidRPr="0003314F">
        <w:t>Annual Housing Units Authorized by Building Permits CO201</w:t>
      </w:r>
      <w:r w:rsidR="00CE0585">
        <w:t>7</w:t>
      </w:r>
      <w:r w:rsidRPr="0003314F">
        <w:t>A.</w:t>
      </w:r>
      <w:r w:rsidR="00CE0585">
        <w:t xml:space="preserve"> </w:t>
      </w:r>
      <w:hyperlink r:id="rId3" w:history="1">
        <w:r w:rsidR="00CE0585">
          <w:rPr>
            <w:rStyle w:val="Hyperlink"/>
          </w:rPr>
          <w:t>https://www2.census.gov/econ/bps/County/</w:t>
        </w:r>
      </w:hyperlink>
    </w:p>
  </w:endnote>
  <w:endnote w:id="5">
    <w:p w14:paraId="1F2149B8" w14:textId="276CB3CB" w:rsidR="0058616C" w:rsidRPr="0003314F" w:rsidRDefault="0058616C" w:rsidP="0003314F">
      <w:pPr>
        <w:pStyle w:val="References"/>
      </w:pPr>
      <w:r w:rsidRPr="0003314F">
        <w:rPr>
          <w:rStyle w:val="EndnoteReference"/>
          <w:vertAlign w:val="baseline"/>
        </w:rPr>
        <w:endnoteRef/>
      </w:r>
      <w:r w:rsidRPr="0003314F">
        <w:t xml:space="preserve"> Midwest Research Institute.</w:t>
      </w:r>
      <w:r w:rsidR="008F12D8" w:rsidRPr="0003314F">
        <w:t xml:space="preserve"> 1996.</w:t>
      </w:r>
      <w:r w:rsidRPr="0003314F">
        <w:t xml:space="preserve"> Improvement of Specific Emission Factors (BACM Project No. 1).</w:t>
      </w:r>
      <w:r w:rsidR="002A3A07" w:rsidRPr="0003314F">
        <w:t xml:space="preserve"> Prepared for </w:t>
      </w:r>
      <w:r w:rsidRPr="0003314F">
        <w:t>South Coast Air Quality Management District.</w:t>
      </w:r>
    </w:p>
  </w:endnote>
  <w:endnote w:id="6">
    <w:p w14:paraId="661CD579" w14:textId="4AD6E83A" w:rsidR="0058616C" w:rsidRPr="0003314F" w:rsidRDefault="0058616C" w:rsidP="0003314F">
      <w:pPr>
        <w:pStyle w:val="References"/>
      </w:pPr>
      <w:r w:rsidRPr="0003314F">
        <w:rPr>
          <w:rStyle w:val="EndnoteReference"/>
          <w:vertAlign w:val="baseline"/>
        </w:rPr>
        <w:endnoteRef/>
      </w:r>
      <w:r w:rsidRPr="0003314F">
        <w:t xml:space="preserve"> U.S. Department of Agriculture, National Cooperative Soil Survey, NCSS Microsoft Access Soil Characterization Database, from </w:t>
      </w:r>
      <w:hyperlink r:id="rId4" w:history="1">
        <w:r w:rsidR="00E85A1E" w:rsidRPr="00E959D5">
          <w:rPr>
            <w:rStyle w:val="Hyperlink"/>
          </w:rPr>
          <w:t>http://ncsslabdatamart.sc.egov.usda.gov/</w:t>
        </w:r>
      </w:hyperlink>
      <w:r w:rsidR="00E85A1E">
        <w:t xml:space="preserve"> </w:t>
      </w:r>
      <w:r w:rsidRPr="0003314F">
        <w:t xml:space="preserve">(accessed </w:t>
      </w:r>
      <w:r w:rsidR="00E85A1E">
        <w:t>May</w:t>
      </w:r>
      <w:r w:rsidRPr="0003314F">
        <w:t xml:space="preserve"> 201</w:t>
      </w:r>
      <w:r w:rsidR="00E85A1E">
        <w:t>8</w:t>
      </w:r>
      <w:r w:rsidRPr="0003314F">
        <w:t>).</w:t>
      </w:r>
    </w:p>
    <w:p w14:paraId="3D4D68E1" w14:textId="4ED0AE61" w:rsidR="0003314F" w:rsidRPr="0003314F" w:rsidRDefault="0003314F" w:rsidP="0003314F">
      <w:pPr>
        <w:pStyle w:val="References"/>
      </w:pPr>
      <w:r w:rsidRPr="0003314F">
        <w:t>6 Midwest Research Institute</w:t>
      </w:r>
      <w:r>
        <w:t xml:space="preserve">. </w:t>
      </w:r>
      <w:r w:rsidR="0007200F">
        <w:t xml:space="preserve">Kansas City, Missouri, </w:t>
      </w:r>
      <w:r>
        <w:t xml:space="preserve">1999. Estimating Particulate Matter Emissions </w:t>
      </w:r>
      <w:r w:rsidR="0007200F">
        <w:t>from</w:t>
      </w:r>
      <w:r>
        <w:t xml:space="preserve"> Construction Operations</w:t>
      </w:r>
      <w:r w:rsidR="0007200F">
        <w:t xml:space="preserve">. Prepared for Emissions Factor and Inventory Group, Office of Air Quality Planning and Standards.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894486"/>
      <w:docPartObj>
        <w:docPartGallery w:val="Page Numbers (Bottom of Page)"/>
        <w:docPartUnique/>
      </w:docPartObj>
    </w:sdtPr>
    <w:sdtEndPr>
      <w:rPr>
        <w:noProof/>
      </w:rPr>
    </w:sdtEndPr>
    <w:sdtContent>
      <w:p w14:paraId="6B5739DB" w14:textId="54F4E91D" w:rsidR="00B0001A" w:rsidRDefault="00B0001A">
        <w:pPr>
          <w:pStyle w:val="Footer"/>
          <w:jc w:val="right"/>
        </w:pPr>
        <w:r>
          <w:fldChar w:fldCharType="begin"/>
        </w:r>
        <w:r>
          <w:instrText xml:space="preserve"> PAGE   \* MERGEFORMAT </w:instrText>
        </w:r>
        <w:r>
          <w:fldChar w:fldCharType="separate"/>
        </w:r>
        <w:r w:rsidR="001C5231">
          <w:rPr>
            <w:noProof/>
          </w:rPr>
          <w:t>2</w:t>
        </w:r>
        <w:r>
          <w:rPr>
            <w:noProof/>
          </w:rPr>
          <w:fldChar w:fldCharType="end"/>
        </w:r>
      </w:p>
    </w:sdtContent>
  </w:sdt>
  <w:p w14:paraId="65B6C078" w14:textId="77777777" w:rsidR="00B0001A" w:rsidRDefault="00B00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7EAC" w14:textId="77777777" w:rsidR="00093671" w:rsidRDefault="00093671" w:rsidP="005A2CA7">
      <w:r>
        <w:separator/>
      </w:r>
    </w:p>
  </w:footnote>
  <w:footnote w:type="continuationSeparator" w:id="0">
    <w:p w14:paraId="1F828D0A" w14:textId="77777777" w:rsidR="00093671" w:rsidRDefault="00093671" w:rsidP="005A2CA7">
      <w:r>
        <w:continuationSeparator/>
      </w:r>
    </w:p>
  </w:footnote>
  <w:footnote w:id="1">
    <w:p w14:paraId="1F40C66E" w14:textId="4DE0B4A8" w:rsidR="001C5231" w:rsidRDefault="001C5231">
      <w:pPr>
        <w:pStyle w:val="FootnoteText"/>
      </w:pPr>
      <w:r>
        <w:rPr>
          <w:rStyle w:val="FootnoteReference"/>
        </w:rPr>
        <w:footnoteRef/>
      </w:r>
      <w:r>
        <w:t xml:space="preserve"> </w:t>
      </w:r>
      <w:r w:rsidRPr="00302C33">
        <w:t>Note that this definition is different than the U.S. Environmental Protection Agency’s definition that includes all particles (mass basis) of diameter smaller than 75 micrometers.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80E7E"/>
    <w:multiLevelType w:val="hybridMultilevel"/>
    <w:tmpl w:val="3402B50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93FF1"/>
    <w:multiLevelType w:val="hybridMultilevel"/>
    <w:tmpl w:val="7682D70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AA1BA4"/>
    <w:multiLevelType w:val="hybridMultilevel"/>
    <w:tmpl w:val="B2C0091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368FA"/>
    <w:multiLevelType w:val="hybridMultilevel"/>
    <w:tmpl w:val="B2C0091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C77F3"/>
    <w:multiLevelType w:val="hybridMultilevel"/>
    <w:tmpl w:val="17264D02"/>
    <w:lvl w:ilvl="0" w:tplc="DCF4199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E33999"/>
    <w:multiLevelType w:val="hybridMultilevel"/>
    <w:tmpl w:val="730880F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E3933"/>
    <w:multiLevelType w:val="hybridMultilevel"/>
    <w:tmpl w:val="34A2B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1C59"/>
    <w:multiLevelType w:val="hybridMultilevel"/>
    <w:tmpl w:val="28BC311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064E6"/>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321916"/>
    <w:multiLevelType w:val="hybridMultilevel"/>
    <w:tmpl w:val="F1A637E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A9666A"/>
    <w:multiLevelType w:val="hybridMultilevel"/>
    <w:tmpl w:val="77CA1B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6"/>
  </w:num>
  <w:num w:numId="4">
    <w:abstractNumId w:val="14"/>
  </w:num>
  <w:num w:numId="5">
    <w:abstractNumId w:val="2"/>
  </w:num>
  <w:num w:numId="6">
    <w:abstractNumId w:val="17"/>
  </w:num>
  <w:num w:numId="7">
    <w:abstractNumId w:val="25"/>
  </w:num>
  <w:num w:numId="8">
    <w:abstractNumId w:val="24"/>
  </w:num>
  <w:num w:numId="9">
    <w:abstractNumId w:val="20"/>
  </w:num>
  <w:num w:numId="10">
    <w:abstractNumId w:val="22"/>
  </w:num>
  <w:num w:numId="11">
    <w:abstractNumId w:val="13"/>
  </w:num>
  <w:num w:numId="12">
    <w:abstractNumId w:val="9"/>
  </w:num>
  <w:num w:numId="13">
    <w:abstractNumId w:val="4"/>
  </w:num>
  <w:num w:numId="14">
    <w:abstractNumId w:val="1"/>
  </w:num>
  <w:num w:numId="15">
    <w:abstractNumId w:val="23"/>
  </w:num>
  <w:num w:numId="16">
    <w:abstractNumId w:val="15"/>
  </w:num>
  <w:num w:numId="17">
    <w:abstractNumId w:val="0"/>
  </w:num>
  <w:num w:numId="18">
    <w:abstractNumId w:val="10"/>
  </w:num>
  <w:num w:numId="19">
    <w:abstractNumId w:val="16"/>
  </w:num>
  <w:num w:numId="20">
    <w:abstractNumId w:val="19"/>
  </w:num>
  <w:num w:numId="21">
    <w:abstractNumId w:val="7"/>
  </w:num>
  <w:num w:numId="22">
    <w:abstractNumId w:val="8"/>
  </w:num>
  <w:num w:numId="23">
    <w:abstractNumId w:val="26"/>
  </w:num>
  <w:num w:numId="24">
    <w:abstractNumId w:val="18"/>
  </w:num>
  <w:num w:numId="25">
    <w:abstractNumId w:val="3"/>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Fmt w:val="chicago"/>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9E"/>
    <w:rsid w:val="00010E6C"/>
    <w:rsid w:val="00016464"/>
    <w:rsid w:val="00024A94"/>
    <w:rsid w:val="0003314F"/>
    <w:rsid w:val="0003373D"/>
    <w:rsid w:val="00052E59"/>
    <w:rsid w:val="00060A69"/>
    <w:rsid w:val="0007200F"/>
    <w:rsid w:val="00073181"/>
    <w:rsid w:val="00091662"/>
    <w:rsid w:val="00093671"/>
    <w:rsid w:val="000C0667"/>
    <w:rsid w:val="000C7CE8"/>
    <w:rsid w:val="00157738"/>
    <w:rsid w:val="00186E1E"/>
    <w:rsid w:val="00193853"/>
    <w:rsid w:val="001A09E7"/>
    <w:rsid w:val="001A19EB"/>
    <w:rsid w:val="001C474D"/>
    <w:rsid w:val="001C5231"/>
    <w:rsid w:val="001D6A38"/>
    <w:rsid w:val="002005B7"/>
    <w:rsid w:val="002375F1"/>
    <w:rsid w:val="00274DC7"/>
    <w:rsid w:val="002958BB"/>
    <w:rsid w:val="002A3A07"/>
    <w:rsid w:val="002D0E4F"/>
    <w:rsid w:val="002D5E9B"/>
    <w:rsid w:val="002E5ADD"/>
    <w:rsid w:val="003165C3"/>
    <w:rsid w:val="00330318"/>
    <w:rsid w:val="003341FF"/>
    <w:rsid w:val="0033702E"/>
    <w:rsid w:val="00340DAC"/>
    <w:rsid w:val="003478A9"/>
    <w:rsid w:val="00387957"/>
    <w:rsid w:val="003933F5"/>
    <w:rsid w:val="003D38C0"/>
    <w:rsid w:val="003D471D"/>
    <w:rsid w:val="003D474E"/>
    <w:rsid w:val="003E35AF"/>
    <w:rsid w:val="003F3D3C"/>
    <w:rsid w:val="00402D36"/>
    <w:rsid w:val="00433309"/>
    <w:rsid w:val="00433E3C"/>
    <w:rsid w:val="0044447B"/>
    <w:rsid w:val="00454AD5"/>
    <w:rsid w:val="004A1B25"/>
    <w:rsid w:val="004B0DDF"/>
    <w:rsid w:val="004E1CBE"/>
    <w:rsid w:val="004E5DDA"/>
    <w:rsid w:val="0056502F"/>
    <w:rsid w:val="00576E8A"/>
    <w:rsid w:val="0058616C"/>
    <w:rsid w:val="005A2CA7"/>
    <w:rsid w:val="005D1A42"/>
    <w:rsid w:val="00611D74"/>
    <w:rsid w:val="00641FAE"/>
    <w:rsid w:val="00646D28"/>
    <w:rsid w:val="00666C66"/>
    <w:rsid w:val="00672A9B"/>
    <w:rsid w:val="00676FE8"/>
    <w:rsid w:val="00697D2A"/>
    <w:rsid w:val="006B3338"/>
    <w:rsid w:val="006E4AE6"/>
    <w:rsid w:val="006F5441"/>
    <w:rsid w:val="007028D8"/>
    <w:rsid w:val="00705DD0"/>
    <w:rsid w:val="00706D0B"/>
    <w:rsid w:val="0071346C"/>
    <w:rsid w:val="00742035"/>
    <w:rsid w:val="0075019B"/>
    <w:rsid w:val="007614AA"/>
    <w:rsid w:val="007660D8"/>
    <w:rsid w:val="00770E9B"/>
    <w:rsid w:val="00780F50"/>
    <w:rsid w:val="007818A7"/>
    <w:rsid w:val="00784A58"/>
    <w:rsid w:val="007C3960"/>
    <w:rsid w:val="007D6365"/>
    <w:rsid w:val="007E28CD"/>
    <w:rsid w:val="007F53C1"/>
    <w:rsid w:val="00805C15"/>
    <w:rsid w:val="00810D3D"/>
    <w:rsid w:val="00824E07"/>
    <w:rsid w:val="00837710"/>
    <w:rsid w:val="00873FFC"/>
    <w:rsid w:val="008810A9"/>
    <w:rsid w:val="008E1A37"/>
    <w:rsid w:val="008E2445"/>
    <w:rsid w:val="008F12D8"/>
    <w:rsid w:val="008F64E2"/>
    <w:rsid w:val="00905B76"/>
    <w:rsid w:val="00944444"/>
    <w:rsid w:val="00957069"/>
    <w:rsid w:val="0097139E"/>
    <w:rsid w:val="0097551A"/>
    <w:rsid w:val="00986448"/>
    <w:rsid w:val="009944E8"/>
    <w:rsid w:val="009A3FCC"/>
    <w:rsid w:val="009B4212"/>
    <w:rsid w:val="009C0F97"/>
    <w:rsid w:val="009D22C4"/>
    <w:rsid w:val="009F43D7"/>
    <w:rsid w:val="009F5C98"/>
    <w:rsid w:val="00A254EC"/>
    <w:rsid w:val="00A329DA"/>
    <w:rsid w:val="00A4319E"/>
    <w:rsid w:val="00A54167"/>
    <w:rsid w:val="00A6061A"/>
    <w:rsid w:val="00A84DAA"/>
    <w:rsid w:val="00AA11E1"/>
    <w:rsid w:val="00AA49B8"/>
    <w:rsid w:val="00AA4E47"/>
    <w:rsid w:val="00AA771E"/>
    <w:rsid w:val="00AB23B5"/>
    <w:rsid w:val="00AD70B8"/>
    <w:rsid w:val="00AE30FA"/>
    <w:rsid w:val="00AE3691"/>
    <w:rsid w:val="00AE6CC9"/>
    <w:rsid w:val="00AF1787"/>
    <w:rsid w:val="00B0001A"/>
    <w:rsid w:val="00B24CB0"/>
    <w:rsid w:val="00B259AF"/>
    <w:rsid w:val="00B302A4"/>
    <w:rsid w:val="00B32469"/>
    <w:rsid w:val="00B56E90"/>
    <w:rsid w:val="00B97E6E"/>
    <w:rsid w:val="00BC47F1"/>
    <w:rsid w:val="00BD21A4"/>
    <w:rsid w:val="00BD61EA"/>
    <w:rsid w:val="00BE0480"/>
    <w:rsid w:val="00BE463B"/>
    <w:rsid w:val="00BE7521"/>
    <w:rsid w:val="00C024F9"/>
    <w:rsid w:val="00C2093D"/>
    <w:rsid w:val="00C52E5D"/>
    <w:rsid w:val="00C75EF7"/>
    <w:rsid w:val="00C900AF"/>
    <w:rsid w:val="00CA6FB5"/>
    <w:rsid w:val="00CA76F8"/>
    <w:rsid w:val="00CE0585"/>
    <w:rsid w:val="00D05698"/>
    <w:rsid w:val="00D170BD"/>
    <w:rsid w:val="00D2068A"/>
    <w:rsid w:val="00D222BA"/>
    <w:rsid w:val="00D360C1"/>
    <w:rsid w:val="00D63432"/>
    <w:rsid w:val="00D74764"/>
    <w:rsid w:val="00DA1272"/>
    <w:rsid w:val="00DF0B38"/>
    <w:rsid w:val="00DF4A70"/>
    <w:rsid w:val="00E10956"/>
    <w:rsid w:val="00E12236"/>
    <w:rsid w:val="00E210F7"/>
    <w:rsid w:val="00E267BB"/>
    <w:rsid w:val="00E438D7"/>
    <w:rsid w:val="00E576D3"/>
    <w:rsid w:val="00E61631"/>
    <w:rsid w:val="00E61A28"/>
    <w:rsid w:val="00E7492B"/>
    <w:rsid w:val="00E83425"/>
    <w:rsid w:val="00E85A1E"/>
    <w:rsid w:val="00E91F7F"/>
    <w:rsid w:val="00E95198"/>
    <w:rsid w:val="00EC0C41"/>
    <w:rsid w:val="00ED0BEB"/>
    <w:rsid w:val="00ED598D"/>
    <w:rsid w:val="00EE0E08"/>
    <w:rsid w:val="00EE7076"/>
    <w:rsid w:val="00EE7CB6"/>
    <w:rsid w:val="00EF4865"/>
    <w:rsid w:val="00F1596A"/>
    <w:rsid w:val="00F16C62"/>
    <w:rsid w:val="00F33727"/>
    <w:rsid w:val="00F33E46"/>
    <w:rsid w:val="00F45A30"/>
    <w:rsid w:val="00F51B57"/>
    <w:rsid w:val="00F71199"/>
    <w:rsid w:val="00F963A6"/>
    <w:rsid w:val="00FA6A41"/>
    <w:rsid w:val="00FB02D3"/>
    <w:rsid w:val="00FC5CC7"/>
    <w:rsid w:val="00FE02FD"/>
    <w:rsid w:val="00FE7F5B"/>
    <w:rsid w:val="00FF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642"/>
  <w15:docId w15:val="{AA8C7299-DA88-43BA-9240-74931963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B0001A"/>
    <w:pPr>
      <w:tabs>
        <w:tab w:val="center" w:pos="4680"/>
        <w:tab w:val="right" w:pos="9360"/>
      </w:tabs>
      <w:spacing w:after="0"/>
    </w:pPr>
  </w:style>
  <w:style w:type="character" w:customStyle="1" w:styleId="HeaderChar">
    <w:name w:val="Header Char"/>
    <w:basedOn w:val="DefaultParagraphFont"/>
    <w:link w:val="Header"/>
    <w:uiPriority w:val="99"/>
    <w:rsid w:val="00B0001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2.census.gov/econ/bps/County/" TargetMode="External"/><Relationship Id="rId2" Type="http://schemas.openxmlformats.org/officeDocument/2006/relationships/hyperlink" Target="https://www.fdot.gov/programmanagement/estimates/lre/costpermilemodels/cpmsummary.shtm" TargetMode="External"/><Relationship Id="rId1" Type="http://schemas.openxmlformats.org/officeDocument/2006/relationships/hyperlink" Target="http://www.fhwa.dot.gov/policyinformation/statistics/2014/sf12a.cfm" TargetMode="External"/><Relationship Id="rId4" Type="http://schemas.openxmlformats.org/officeDocument/2006/relationships/hyperlink" Target="http://ncsslabdatamart.sc.egov.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2.xml><?xml version="1.0" encoding="utf-8"?>
<ds:datastoreItem xmlns:ds="http://schemas.openxmlformats.org/officeDocument/2006/customXml" ds:itemID="{8320840A-CB90-4B4C-BB34-4F22FEDE0888}">
  <ds:schemaRefs>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http://schemas.microsoft.com/sharepoint/v3/fields"/>
    <ds:schemaRef ds:uri="http://purl.org/dc/dcmitype/"/>
    <ds:schemaRef ds:uri="4ffa91fb-a0ff-4ac5-b2db-65c790d184a4"/>
    <ds:schemaRef ds:uri="eae1606c-bbef-499f-bb66-c2dbf02f8e2b"/>
    <ds:schemaRef ds:uri="7d8dd676-26ca-4e08-b90f-b4e0026a58ac"/>
    <ds:schemaRef ds:uri="http://schemas.microsoft.com/office/2006/documentManagement/types"/>
    <ds:schemaRef ds:uri="http://purl.org/dc/term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9C3FB8CB-A780-49A8-BC9F-C128F8130A46}"/>
</file>

<file path=customXml/itemProps4.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5.xml><?xml version="1.0" encoding="utf-8"?>
<ds:datastoreItem xmlns:ds="http://schemas.openxmlformats.org/officeDocument/2006/customXml" ds:itemID="{4DF16CD8-418E-48C3-A784-8BE83DA0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Cooley</dc:creator>
  <cp:lastModifiedBy>Hannah Derrick</cp:lastModifiedBy>
  <cp:revision>3</cp:revision>
  <dcterms:created xsi:type="dcterms:W3CDTF">2020-04-03T01:58:00Z</dcterms:created>
  <dcterms:modified xsi:type="dcterms:W3CDTF">2020-04-03T13:21:00Z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