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35092842"/>
      <w:bookmarkStart w:id="1" w:name="_Toc438541454"/>
      <w:bookmarkStart w:id="2" w:name="_Toc439061743"/>
    </w:p>
    <w:p>
      <w:pPr>
        <w:rPr>
          <w:sz w:val="20"/>
        </w:rPr>
      </w:pPr>
      <w: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31750</wp:posOffset>
                </wp:positionV>
                <wp:extent cx="5972175" cy="0"/>
                <wp:effectExtent l="0" t="19050" r="47625" b="38100"/>
                <wp:wrapNone/>
                <wp:docPr id="41" name="Straight Connector 41"/>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ln>
                      </wps:spPr>
                      <wps:bodyPr/>
                    </wps:wsp>
                  </a:graphicData>
                </a:graphic>
              </wp:anchor>
            </w:drawing>
          </mc:Choice>
          <mc:Fallback>
            <w:pict>
              <v:line id="Straight Connector 41" o:spid="_x0000_s1026" o:spt="20" style="position:absolute;left:0pt;margin-left:-3pt;margin-top:2.5pt;height:0pt;width:470.25pt;z-index:251661312;mso-width-relative:page;mso-height-relative:page;" filled="f" stroked="t" coordsize="21600,21600" o:gfxdata="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JEb4tgAAAAGAQAADwAAAAAAAAABACAA&#10;AAAiAAAAZHJzL2Rvd25yZXYueG1sUEsBAhQAFAAAAAgAh07iQLIX0vnUAQAAsAMAAA4AAAAAAAAA&#10;AQAgAAAAJwEAAGRycy9lMm9Eb2MueG1sUEsFBgAAAAAGAAYAWQEAAG0FAAAAAA==&#10;">
                <v:fill on="f" focussize="0,0"/>
                <v:stroke weight="4.5pt" color="#000000" joinstyle="round"/>
                <v:imagedata o:title=""/>
                <o:lock v:ext="edit" aspectratio="f"/>
              </v:line>
            </w:pict>
          </mc:Fallback>
        </mc:AlternateContent>
      </w:r>
    </w:p>
    <w:p>
      <w:pPr>
        <w:spacing w:before="120" w:after="120"/>
        <w:rPr>
          <w:rFonts w:cs="Arial"/>
          <w:b/>
          <w:bCs/>
          <w:i/>
          <w:sz w:val="32"/>
          <w:szCs w:val="32"/>
        </w:rPr>
      </w:pPr>
      <w:r>
        <w:rPr>
          <w:rFonts w:cs="Arial"/>
          <w:b/>
          <w:bCs/>
          <w:i/>
          <w:sz w:val="32"/>
          <w:szCs w:val="32"/>
        </w:rPr>
        <w:t>Air Quality Modeling Assessment Tools (AQMAT) Development</w:t>
      </w:r>
    </w:p>
    <w:p>
      <w:pPr>
        <w:spacing w:before="120" w:after="120"/>
        <w:rPr>
          <w:rFonts w:cs="Arial"/>
          <w:b/>
          <w:bCs/>
          <w:i/>
          <w:sz w:val="32"/>
          <w:szCs w:val="32"/>
        </w:rPr>
      </w:pPr>
      <w:r>
        <w:rPr>
          <w:rFonts w:cs="Arial"/>
          <w:b/>
          <w:bCs/>
          <w:i/>
          <w:sz w:val="32"/>
          <w:szCs w:val="32"/>
        </w:rPr>
        <w:t>User’s Manual for Data Fusion Tool 2.4</w:t>
      </w:r>
    </w:p>
    <w:p>
      <w:pPr>
        <w:rPr>
          <w:i/>
          <w:sz w:val="28"/>
          <w:szCs w:val="28"/>
          <w:lang w:val="zh-CN"/>
        </w:rPr>
      </w:pPr>
    </w:p>
    <w:p>
      <w:pPr>
        <w:rPr>
          <w:rFonts w:cs="Arial"/>
          <w:sz w:val="28"/>
        </w:rPr>
      </w:pPr>
      <w:r>
        <w:rPr>
          <w:rFonts w:cs="Arial"/>
          <w:b/>
          <w:bCs/>
          <w:sz w:val="28"/>
        </w:rPr>
        <w:t>Contract No:</w:t>
      </w:r>
      <w:r>
        <w:rPr>
          <w:rFonts w:cs="Arial"/>
          <w:sz w:val="28"/>
        </w:rPr>
        <w:t xml:space="preserve"> </w:t>
      </w:r>
      <w:r>
        <w:rPr>
          <w:rFonts w:cs="Arial"/>
          <w:sz w:val="28"/>
        </w:rPr>
        <w:tab/>
      </w:r>
      <w:r>
        <w:rPr>
          <w:sz w:val="28"/>
          <w:szCs w:val="28"/>
        </w:rPr>
        <w:t>68HERD21A0002</w:t>
      </w:r>
    </w:p>
    <w:p>
      <w:pPr>
        <w:rPr>
          <w:rFonts w:cs="Arial"/>
          <w:sz w:val="28"/>
        </w:rPr>
      </w:pPr>
      <w:r>
        <w:rPr>
          <w:rFonts w:cs="Arial"/>
          <w:b/>
          <w:bCs/>
          <w:sz w:val="28"/>
        </w:rPr>
        <w:t>Task Order No</w:t>
      </w:r>
      <w:r>
        <w:rPr>
          <w:rFonts w:cs="Arial"/>
          <w:sz w:val="28"/>
        </w:rPr>
        <w:t>:</w:t>
      </w:r>
      <w:r>
        <w:rPr>
          <w:rFonts w:cs="Arial"/>
          <w:sz w:val="28"/>
        </w:rPr>
        <w:tab/>
      </w:r>
      <w:r>
        <w:rPr>
          <w:sz w:val="28"/>
          <w:szCs w:val="28"/>
        </w:rPr>
        <w:t>68HERH21F0334</w:t>
      </w:r>
    </w:p>
    <w:p>
      <w:pPr>
        <w:rPr>
          <w:rFonts w:cs="Arial"/>
          <w:sz w:val="28"/>
        </w:rPr>
      </w:pPr>
      <w:r>
        <w:rPr>
          <w:rFonts w:cs="Arial"/>
          <w:b/>
          <w:bCs/>
          <w:sz w:val="28"/>
        </w:rPr>
        <w:t>Version:</w:t>
      </w:r>
      <w:r>
        <w:rPr>
          <w:rFonts w:cs="Arial"/>
          <w:sz w:val="28"/>
        </w:rPr>
        <w:tab/>
      </w:r>
      <w:r>
        <w:rPr>
          <w:rFonts w:cs="Arial"/>
          <w:sz w:val="28"/>
        </w:rPr>
        <w:t xml:space="preserve">          01</w:t>
      </w:r>
    </w:p>
    <w:p>
      <w:pPr>
        <w:rPr>
          <w:sz w:val="28"/>
        </w:rPr>
      </w:pPr>
      <w: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88265</wp:posOffset>
                </wp:positionV>
                <wp:extent cx="5972175" cy="0"/>
                <wp:effectExtent l="0" t="19050" r="47625" b="38100"/>
                <wp:wrapNone/>
                <wp:docPr id="43" name="Straight Connector 43"/>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57150">
                          <a:solidFill>
                            <a:srgbClr val="000000"/>
                          </a:solidFill>
                          <a:round/>
                        </a:ln>
                      </wps:spPr>
                      <wps:bodyPr/>
                    </wps:wsp>
                  </a:graphicData>
                </a:graphic>
              </wp:anchor>
            </w:drawing>
          </mc:Choice>
          <mc:Fallback>
            <w:pict>
              <v:line id="Straight Connector 43" o:spid="_x0000_s1026" o:spt="20" style="position:absolute;left:0pt;margin-left:-3pt;margin-top:6.95pt;height:0pt;width:470.25pt;z-index:251662336;mso-width-relative:page;mso-height-relative:page;" filled="f" stroked="t" coordsize="21600,21600" o:gfxdata="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pPdV7YAAAACAEAAA8AAAAAAAAAAQAg&#10;AAAAIgAAAGRycy9kb3ducmV2LnhtbFBLAQIUABQAAAAIAIdO4kBtqXuE1QEAALADAAAOAAAAAAAA&#10;AAEAIAAAACcBAABkcnMvZTJvRG9jLnhtbFBLBQYAAAAABgAGAFkBAABuBQAAAAA=&#10;">
                <v:fill on="f" focussize="0,0"/>
                <v:stroke weight="4.5pt" color="#000000" joinstyle="round"/>
                <v:imagedata o:title=""/>
                <o:lock v:ext="edit" aspectratio="f"/>
              </v:line>
            </w:pict>
          </mc:Fallback>
        </mc:AlternateContent>
      </w:r>
    </w:p>
    <w:p>
      <w:pPr>
        <w:ind w:left="2160" w:hanging="2160"/>
        <w:rPr>
          <w:rFonts w:cs="Arial"/>
          <w:sz w:val="28"/>
          <w:szCs w:val="28"/>
        </w:rPr>
      </w:pPr>
      <w:r>
        <w:rPr>
          <w:rFonts w:cs="Arial"/>
          <w:b/>
          <w:bCs/>
          <w:sz w:val="28"/>
          <w:szCs w:val="28"/>
        </w:rPr>
        <w:t>Prepared for:</w:t>
      </w:r>
      <w:r>
        <w:rPr>
          <w:rFonts w:cs="Arial"/>
          <w:sz w:val="28"/>
          <w:szCs w:val="28"/>
        </w:rPr>
        <w:t xml:space="preserve"> </w:t>
      </w:r>
      <w:r>
        <w:rPr>
          <w:rFonts w:cs="Arial"/>
          <w:sz w:val="28"/>
          <w:szCs w:val="28"/>
        </w:rPr>
        <w:tab/>
      </w:r>
      <w:r>
        <w:rPr>
          <w:rFonts w:cs="Arial"/>
          <w:sz w:val="28"/>
          <w:szCs w:val="28"/>
        </w:rPr>
        <w:t>Carey Jang</w:t>
      </w:r>
    </w:p>
    <w:p>
      <w:pPr>
        <w:ind w:left="2160"/>
        <w:rPr>
          <w:rFonts w:cs="Arial"/>
          <w:sz w:val="28"/>
          <w:szCs w:val="28"/>
        </w:rPr>
      </w:pPr>
      <w:r>
        <w:rPr>
          <w:rFonts w:cs="Arial"/>
          <w:sz w:val="28"/>
          <w:szCs w:val="28"/>
        </w:rPr>
        <w:t>Task Order Contracting Officer’s Representative</w:t>
      </w:r>
    </w:p>
    <w:p>
      <w:pPr>
        <w:ind w:left="2160"/>
        <w:rPr>
          <w:rFonts w:cs="Arial"/>
          <w:sz w:val="28"/>
          <w:szCs w:val="28"/>
        </w:rPr>
      </w:pPr>
      <w:r>
        <w:rPr>
          <w:rFonts w:cs="Arial"/>
          <w:sz w:val="28"/>
          <w:szCs w:val="28"/>
        </w:rPr>
        <w:t>U.S. EPA/OAR/OAQPS/AQAD/AQMG</w:t>
      </w:r>
    </w:p>
    <w:p>
      <w:pPr>
        <w:ind w:left="2160"/>
        <w:rPr>
          <w:rFonts w:cs="Arial"/>
          <w:sz w:val="28"/>
          <w:szCs w:val="28"/>
          <w:highlight w:val="green"/>
        </w:rPr>
      </w:pPr>
      <w:r>
        <w:rPr>
          <w:rFonts w:cs="Arial"/>
          <w:sz w:val="28"/>
          <w:szCs w:val="28"/>
        </w:rPr>
        <w:t>(Mail Code: C439-01)</w:t>
      </w:r>
    </w:p>
    <w:p>
      <w:pPr>
        <w:ind w:left="2160"/>
        <w:rPr>
          <w:rFonts w:cs="Arial"/>
          <w:sz w:val="28"/>
          <w:szCs w:val="28"/>
        </w:rPr>
      </w:pPr>
      <w:r>
        <w:rPr>
          <w:rFonts w:cs="Arial"/>
          <w:sz w:val="28"/>
          <w:szCs w:val="28"/>
        </w:rPr>
        <w:t>109 T.W. Alexander Drive</w:t>
      </w:r>
    </w:p>
    <w:p>
      <w:pPr>
        <w:ind w:left="2160"/>
        <w:rPr>
          <w:rFonts w:cs="Arial"/>
          <w:sz w:val="28"/>
          <w:szCs w:val="28"/>
        </w:rPr>
      </w:pPr>
      <w:r>
        <w:rPr>
          <w:rFonts w:cs="Arial"/>
          <w:sz w:val="28"/>
          <w:szCs w:val="28"/>
        </w:rPr>
        <w:t xml:space="preserve">Research Triangle Park, NC 27711 </w:t>
      </w:r>
    </w:p>
    <w:p>
      <w:pPr>
        <w:rPr>
          <w:rFonts w:cs="Arial"/>
          <w:szCs w:val="28"/>
        </w:rPr>
      </w:pPr>
    </w:p>
    <w:p>
      <w:pPr>
        <w:ind w:left="2160" w:hanging="2160"/>
        <w:rPr>
          <w:rFonts w:cs="Arial"/>
          <w:sz w:val="28"/>
          <w:szCs w:val="28"/>
        </w:rPr>
      </w:pPr>
      <w:r>
        <w:rPr>
          <w:rFonts w:cs="Arial"/>
          <w:b/>
          <w:bCs/>
          <w:sz w:val="28"/>
          <w:szCs w:val="28"/>
        </w:rPr>
        <w:t>Prepared by:</w:t>
      </w:r>
      <w:r>
        <w:rPr>
          <w:rFonts w:cs="Arial"/>
          <w:sz w:val="28"/>
          <w:szCs w:val="28"/>
        </w:rPr>
        <w:t xml:space="preserve"> </w:t>
      </w:r>
      <w:r>
        <w:rPr>
          <w:rFonts w:cs="Arial"/>
          <w:sz w:val="28"/>
          <w:szCs w:val="28"/>
        </w:rPr>
        <w:tab/>
      </w:r>
      <w:r>
        <w:rPr>
          <w:rFonts w:cs="Arial"/>
          <w:sz w:val="28"/>
          <w:szCs w:val="28"/>
        </w:rPr>
        <w:t>Yun Zhu, Shicheng Long</w:t>
      </w:r>
    </w:p>
    <w:p>
      <w:pPr>
        <w:ind w:left="2160" w:hanging="33"/>
        <w:rPr>
          <w:rFonts w:cs="Arial"/>
          <w:sz w:val="28"/>
          <w:szCs w:val="28"/>
        </w:rPr>
      </w:pPr>
      <w:r>
        <w:rPr>
          <w:rFonts w:cs="Arial"/>
          <w:sz w:val="28"/>
          <w:szCs w:val="28"/>
        </w:rPr>
        <w:t>College of Environment &amp; Energy</w:t>
      </w:r>
    </w:p>
    <w:p>
      <w:pPr>
        <w:ind w:left="2160" w:hanging="33"/>
        <w:rPr>
          <w:rFonts w:cs="Arial"/>
          <w:sz w:val="28"/>
          <w:szCs w:val="28"/>
        </w:rPr>
      </w:pPr>
      <w:r>
        <w:rPr>
          <w:rFonts w:cs="Arial"/>
          <w:sz w:val="28"/>
          <w:szCs w:val="28"/>
        </w:rPr>
        <w:t>South China University of Technology</w:t>
      </w:r>
    </w:p>
    <w:p>
      <w:pPr>
        <w:ind w:left="2160" w:hanging="33"/>
        <w:rPr>
          <w:rFonts w:cs="Arial"/>
          <w:sz w:val="28"/>
          <w:szCs w:val="28"/>
        </w:rPr>
      </w:pPr>
      <w:r>
        <w:rPr>
          <w:rFonts w:cs="Arial"/>
          <w:sz w:val="28"/>
          <w:szCs w:val="28"/>
        </w:rPr>
        <w:t>Guangzhou, 510006, Guangdong, China</w:t>
      </w:r>
    </w:p>
    <w:p>
      <w:pPr>
        <w:rPr>
          <w:rFonts w:cs="Arial"/>
          <w:sz w:val="28"/>
          <w:szCs w:val="28"/>
        </w:rPr>
      </w:pPr>
    </w:p>
    <w:p>
      <w:pPr>
        <w:ind w:left="2126" w:leftChars="886"/>
        <w:rPr>
          <w:rFonts w:cs="Arial"/>
          <w:sz w:val="28"/>
          <w:szCs w:val="28"/>
        </w:rPr>
      </w:pPr>
      <w:r>
        <w:rPr>
          <w:rFonts w:cs="Arial"/>
          <w:sz w:val="28"/>
          <w:szCs w:val="28"/>
        </w:rPr>
        <w:t>Sarav Arunachalam</w:t>
      </w:r>
    </w:p>
    <w:p>
      <w:pPr>
        <w:ind w:left="2126" w:leftChars="886"/>
        <w:rPr>
          <w:rFonts w:cs="Arial"/>
          <w:sz w:val="28"/>
          <w:szCs w:val="28"/>
        </w:rPr>
      </w:pPr>
      <w:r>
        <w:rPr>
          <w:rFonts w:cs="Arial"/>
          <w:sz w:val="28"/>
          <w:szCs w:val="28"/>
        </w:rPr>
        <w:t>Institute for the Environment</w:t>
      </w:r>
    </w:p>
    <w:p>
      <w:pPr>
        <w:ind w:left="2126" w:leftChars="886"/>
        <w:rPr>
          <w:rFonts w:cs="Arial"/>
          <w:sz w:val="28"/>
          <w:szCs w:val="28"/>
        </w:rPr>
      </w:pPr>
      <w:r>
        <w:rPr>
          <w:rFonts w:cs="Arial"/>
          <w:sz w:val="28"/>
          <w:szCs w:val="28"/>
        </w:rPr>
        <w:t>The University of North Carolina at Chapel Hill</w:t>
      </w:r>
    </w:p>
    <w:p>
      <w:pPr>
        <w:rPr>
          <w:rFonts w:cs="Arial"/>
          <w:b/>
          <w:bCs/>
          <w:sz w:val="28"/>
          <w:szCs w:val="28"/>
        </w:rPr>
      </w:pPr>
    </w:p>
    <w:p>
      <w:pPr>
        <w:rPr>
          <w:rFonts w:cs="Arial"/>
          <w:bCs/>
          <w:sz w:val="28"/>
          <w:szCs w:val="28"/>
        </w:rPr>
        <w:sectPr>
          <w:footerReference r:id="rId8" w:type="first"/>
          <w:headerReference r:id="rId5" w:type="default"/>
          <w:footerReference r:id="rId6" w:type="default"/>
          <w:footerReference r:id="rId7" w:type="even"/>
          <w:pgSz w:w="11906" w:h="16838"/>
          <w:pgMar w:top="1440" w:right="1800" w:bottom="1440" w:left="1800" w:header="708" w:footer="708" w:gutter="0"/>
          <w:pgNumType w:fmt="lowerRoman" w:start="1"/>
          <w:cols w:space="708" w:num="1"/>
          <w:docGrid w:linePitch="360" w:charSpace="0"/>
        </w:sectPr>
      </w:pPr>
      <w:r>
        <w:rPr>
          <w:rFonts w:cs="Arial"/>
          <w:b/>
          <w:bCs/>
          <w:sz w:val="28"/>
          <w:szCs w:val="28"/>
        </w:rPr>
        <w:t>Date:</w:t>
      </w:r>
      <w:r>
        <w:rPr>
          <w:rFonts w:cs="Arial"/>
          <w:sz w:val="28"/>
          <w:szCs w:val="28"/>
        </w:rPr>
        <w:t xml:space="preserve"> </w:t>
      </w:r>
      <w:r>
        <w:rPr>
          <w:rFonts w:cs="Arial"/>
          <w:sz w:val="28"/>
          <w:szCs w:val="28"/>
        </w:rPr>
        <w:tab/>
      </w:r>
      <w:r>
        <w:rPr>
          <w:rFonts w:cs="Arial"/>
          <w:sz w:val="28"/>
          <w:szCs w:val="28"/>
        </w:rPr>
        <w:tab/>
      </w:r>
      <w:r>
        <w:rPr>
          <w:rFonts w:cs="Arial"/>
          <w:bCs/>
          <w:sz w:val="28"/>
          <w:szCs w:val="28"/>
        </w:rPr>
        <w:t>December 31, 2022</w:t>
      </w:r>
    </w:p>
    <w:p>
      <w:pPr>
        <w:spacing w:before="240" w:after="240"/>
        <w:rPr>
          <w:b/>
          <w:bCs/>
          <w:sz w:val="40"/>
          <w:szCs w:val="40"/>
        </w:rPr>
      </w:pPr>
      <w:r>
        <w:rPr>
          <w:b/>
          <w:bCs/>
          <w:sz w:val="40"/>
          <w:szCs w:val="40"/>
        </w:rPr>
        <w:t>Acknowledgements</w:t>
      </w:r>
    </w:p>
    <w:p>
      <w:r>
        <w:tab/>
      </w:r>
      <w:r>
        <w:t xml:space="preserve">In cooperation with the U.S. EPA, the Institute for the Environment at the University of North Carolina at Chapel Hill (UNC-IE) along with the South China University of Technology (SCUT) developed the FAST-CE software. This project was funded by the U.S. EPA under contract </w:t>
      </w:r>
      <w:r>
        <w:rPr>
          <w:color w:val="000000" w:themeColor="text1"/>
          <w14:textFill>
            <w14:solidFill>
              <w14:schemeClr w14:val="tx1"/>
            </w14:solidFill>
          </w14:textFill>
        </w:rPr>
        <w:t>68HERH21F0334</w:t>
      </w:r>
      <w:r>
        <w:t xml:space="preserve"> to UNC-IE.</w:t>
      </w:r>
    </w:p>
    <w:p/>
    <w:p>
      <w:r>
        <w:br w:type="page"/>
      </w:r>
      <w:bookmarkStart w:id="3" w:name="_Hlk35093230"/>
    </w:p>
    <w:bookmarkEnd w:id="0"/>
    <w:p>
      <w:pPr>
        <w:pStyle w:val="2"/>
        <w:numPr>
          <w:ilvl w:val="0"/>
          <w:numId w:val="0"/>
        </w:numPr>
        <w:jc w:val="center"/>
        <w:rPr>
          <w:sz w:val="40"/>
        </w:rPr>
      </w:pPr>
      <w:bookmarkStart w:id="4" w:name="_Toc122981739"/>
      <w:r>
        <w:rPr>
          <w:sz w:val="40"/>
        </w:rPr>
        <w:t>T</w:t>
      </w:r>
      <w:r>
        <w:rPr>
          <w:rFonts w:hint="eastAsia"/>
          <w:sz w:val="40"/>
        </w:rPr>
        <w:t>able</w:t>
      </w:r>
      <w:r>
        <w:rPr>
          <w:sz w:val="40"/>
        </w:rPr>
        <w:t xml:space="preserve"> </w:t>
      </w:r>
      <w:r>
        <w:rPr>
          <w:rFonts w:hint="eastAsia"/>
          <w:sz w:val="40"/>
        </w:rPr>
        <w:t>of</w:t>
      </w:r>
      <w:r>
        <w:rPr>
          <w:sz w:val="40"/>
        </w:rPr>
        <w:t xml:space="preserve"> Contents</w:t>
      </w:r>
      <w:bookmarkEnd w:id="4"/>
    </w:p>
    <w:p>
      <w:pPr>
        <w:pStyle w:val="13"/>
        <w:tabs>
          <w:tab w:val="right" w:leader="dot" w:pos="8296"/>
        </w:tabs>
        <w:rPr>
          <w:rFonts w:asciiTheme="minorHAnsi" w:hAnsiTheme="minorHAnsi" w:eastAsiaTheme="minorEastAsia" w:cstheme="minorBidi"/>
          <w:kern w:val="2"/>
          <w:sz w:val="21"/>
        </w:rPr>
      </w:pPr>
      <w:r>
        <w:rPr>
          <w:b/>
          <w:bCs/>
        </w:rPr>
        <w:fldChar w:fldCharType="begin"/>
      </w:r>
      <w:r>
        <w:rPr>
          <w:b/>
          <w:bCs/>
        </w:rPr>
        <w:instrText xml:space="preserve"> TOC \o "1-3" \h \z \u </w:instrText>
      </w:r>
      <w:r>
        <w:rPr>
          <w:b/>
          <w:bCs/>
        </w:rPr>
        <w:fldChar w:fldCharType="separate"/>
      </w:r>
      <w:r>
        <w:fldChar w:fldCharType="begin"/>
      </w:r>
      <w:r>
        <w:instrText xml:space="preserve"> HYPERLINK \l "_Toc122981739" </w:instrText>
      </w:r>
      <w:r>
        <w:fldChar w:fldCharType="separate"/>
      </w:r>
      <w:r>
        <w:rPr>
          <w:rStyle w:val="24"/>
        </w:rPr>
        <w:t>Table of Contents</w:t>
      </w:r>
      <w:r>
        <w:tab/>
      </w:r>
      <w:r>
        <w:fldChar w:fldCharType="begin"/>
      </w:r>
      <w:r>
        <w:instrText xml:space="preserve"> PAGEREF _Toc122981739 \h </w:instrText>
      </w:r>
      <w:r>
        <w:fldChar w:fldCharType="separate"/>
      </w:r>
      <w:r>
        <w:t>ii</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"_Toc122981740" </w:instrText>
      </w:r>
      <w:r>
        <w:fldChar w:fldCharType="separate"/>
      </w:r>
      <w:r>
        <w:rPr>
          <w:rStyle w:val="24"/>
        </w:rPr>
        <w:t>List of Figures</w:t>
      </w:r>
      <w:r>
        <w:tab/>
      </w:r>
      <w:r>
        <w:fldChar w:fldCharType="begin"/>
      </w:r>
      <w:r>
        <w:instrText xml:space="preserve"> PAGEREF _Toc122981740 \h </w:instrText>
      </w:r>
      <w:r>
        <w:fldChar w:fldCharType="separate"/>
      </w:r>
      <w:r>
        <w:t>iv</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"_Toc122981741" </w:instrText>
      </w:r>
      <w:r>
        <w:fldChar w:fldCharType="separate"/>
      </w:r>
      <w:r>
        <w:rPr>
          <w:rStyle w:val="24"/>
        </w:rPr>
        <w:t>1 Introduction</w:t>
      </w:r>
      <w:r>
        <w:tab/>
      </w:r>
      <w:r>
        <w:fldChar w:fldCharType="begin"/>
      </w:r>
      <w:r>
        <w:instrText xml:space="preserve"> PAGEREF _Toc122981741 \h </w:instrText>
      </w:r>
      <w:r>
        <w:fldChar w:fldCharType="separate"/>
      </w:r>
      <w:r>
        <w:t>1</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"_Toc122981742" </w:instrText>
      </w:r>
      <w:r>
        <w:fldChar w:fldCharType="separate"/>
      </w:r>
      <w:r>
        <w:rPr>
          <w:rStyle w:val="24"/>
        </w:rPr>
        <w:t>1.1 Overview of Data Fusion tool</w:t>
      </w:r>
      <w:r>
        <w:tab/>
      </w:r>
      <w:r>
        <w:fldChar w:fldCharType="begin"/>
      </w:r>
      <w:r>
        <w:instrText xml:space="preserve"> PAGEREF _Toc122981742 \h </w:instrText>
      </w:r>
      <w:r>
        <w:fldChar w:fldCharType="separate"/>
      </w:r>
      <w:r>
        <w:t>1</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"_Toc122981743" </w:instrText>
      </w:r>
      <w:r>
        <w:fldChar w:fldCharType="separate"/>
      </w:r>
      <w:r>
        <w:rPr>
          <w:rStyle w:val="24"/>
        </w:rPr>
        <w:t>1.2 Computer Requirements</w:t>
      </w:r>
      <w:r>
        <w:tab/>
      </w:r>
      <w:r>
        <w:fldChar w:fldCharType="begin"/>
      </w:r>
      <w:r>
        <w:instrText xml:space="preserve"> PAGEREF _Toc122981743 \h </w:instrText>
      </w:r>
      <w:r>
        <w:fldChar w:fldCharType="separate"/>
      </w:r>
      <w:r>
        <w:t>2</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"_Toc122981744" </w:instrText>
      </w:r>
      <w:r>
        <w:fldChar w:fldCharType="separate"/>
      </w:r>
      <w:r>
        <w:rPr>
          <w:rStyle w:val="24"/>
        </w:rPr>
        <w:t>1.3 Install/Uninstall Data Fusion</w:t>
      </w:r>
      <w:r>
        <w:tab/>
      </w:r>
      <w:r>
        <w:fldChar w:fldCharType="begin"/>
      </w:r>
      <w:r>
        <w:instrText xml:space="preserve"> PAGEREF _Toc122981744 \h </w:instrText>
      </w:r>
      <w:r>
        <w:fldChar w:fldCharType="separate"/>
      </w:r>
      <w:r>
        <w:t>2</w:t>
      </w:r>
      <w:r>
        <w:fldChar w:fldCharType="end"/>
      </w:r>
      <w:r>
        <w:fldChar w:fldCharType="end"/>
      </w:r>
    </w:p>
    <w:p>
      <w:pPr>
        <w:pStyle w:val="9"/>
        <w:tabs>
          <w:tab w:val="right" w:leader="dot" w:pos="8296"/>
        </w:tabs>
        <w:rPr>
          <w:rFonts w:asciiTheme="minorHAnsi" w:hAnsiTheme="minorHAnsi" w:eastAsiaTheme="minorEastAsia" w:cstheme="minorBidi"/>
          <w:kern w:val="2"/>
          <w:sz w:val="21"/>
        </w:rPr>
      </w:pPr>
      <w:r>
        <w:fldChar w:fldCharType="begin"/>
      </w:r>
      <w:r>
        <w:instrText xml:space="preserve"> HYPERLINK \l "_Toc122981745" </w:instrText>
      </w:r>
      <w:r>
        <w:fldChar w:fldCharType="separate"/>
      </w:r>
      <w:r>
        <w:rPr>
          <w:rStyle w:val="24"/>
        </w:rPr>
        <w:t>1.3.1 Install Data Fusion</w:t>
      </w:r>
      <w:r>
        <w:tab/>
      </w:r>
      <w:r>
        <w:fldChar w:fldCharType="begin"/>
      </w:r>
      <w:r>
        <w:instrText xml:space="preserve"> PAGEREF _Toc122981745 \h </w:instrText>
      </w:r>
      <w:r>
        <w:fldChar w:fldCharType="separate"/>
      </w:r>
      <w:r>
        <w:t>2</w:t>
      </w:r>
      <w:r>
        <w:fldChar w:fldCharType="end"/>
      </w:r>
      <w:r>
        <w:fldChar w:fldCharType="end"/>
      </w:r>
    </w:p>
    <w:p>
      <w:pPr>
        <w:pStyle w:val="9"/>
        <w:tabs>
          <w:tab w:val="right" w:leader="dot" w:pos="8296"/>
        </w:tabs>
        <w:rPr>
          <w:rFonts w:asciiTheme="minorHAnsi" w:hAnsiTheme="minorHAnsi" w:eastAsiaTheme="minorEastAsia" w:cstheme="minorBidi"/>
          <w:kern w:val="2"/>
          <w:sz w:val="21"/>
        </w:rPr>
      </w:pPr>
      <w:r>
        <w:fldChar w:fldCharType="begin"/>
      </w:r>
      <w:r>
        <w:instrText xml:space="preserve"> HYPERLINK \l "_Toc122981746" </w:instrText>
      </w:r>
      <w:r>
        <w:fldChar w:fldCharType="separate"/>
      </w:r>
      <w:r>
        <w:rPr>
          <w:rStyle w:val="24"/>
        </w:rPr>
        <w:t>1.3.2 Uninstall Data Fusion</w:t>
      </w:r>
      <w:r>
        <w:tab/>
      </w:r>
      <w:r>
        <w:fldChar w:fldCharType="begin"/>
      </w:r>
      <w:r>
        <w:instrText xml:space="preserve"> PAGEREF _Toc122981746 \h </w:instrText>
      </w:r>
      <w:r>
        <w:fldChar w:fldCharType="separate"/>
      </w:r>
      <w:r>
        <w:t>4</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"_Toc122981747" </w:instrText>
      </w:r>
      <w:r>
        <w:fldChar w:fldCharType="separate"/>
      </w:r>
      <w:r>
        <w:rPr>
          <w:rStyle w:val="24"/>
        </w:rPr>
        <w:t>1.4 Contacts for Comments and Questions</w:t>
      </w:r>
      <w:r>
        <w:tab/>
      </w:r>
      <w:r>
        <w:fldChar w:fldCharType="begin"/>
      </w:r>
      <w:r>
        <w:instrText xml:space="preserve"> PAGEREF _Toc122981747 \h </w:instrText>
      </w:r>
      <w:r>
        <w:fldChar w:fldCharType="separate"/>
      </w:r>
      <w:r>
        <w:t>5</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"_Toc122981748" </w:instrText>
      </w:r>
      <w:r>
        <w:fldChar w:fldCharType="separate"/>
      </w:r>
      <w:r>
        <w:rPr>
          <w:rStyle w:val="24"/>
        </w:rPr>
        <w:t>2 Quick Start</w:t>
      </w:r>
      <w:r>
        <w:tab/>
      </w:r>
      <w:r>
        <w:fldChar w:fldCharType="begin"/>
      </w:r>
      <w:r>
        <w:instrText xml:space="preserve"> PAGEREF _Toc122981748 \h </w:instrText>
      </w:r>
      <w:r>
        <w:fldChar w:fldCharType="separate"/>
      </w:r>
      <w:r>
        <w:t>5</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"_Toc122981749" </w:instrText>
      </w:r>
      <w:r>
        <w:fldChar w:fldCharType="separate"/>
      </w:r>
      <w:r>
        <w:rPr>
          <w:rStyle w:val="24"/>
        </w:rPr>
        <w:t>2.1 Start the Data Fusion</w:t>
      </w:r>
      <w:r>
        <w:tab/>
      </w:r>
      <w:r>
        <w:fldChar w:fldCharType="begin"/>
      </w:r>
      <w:r>
        <w:instrText xml:space="preserve"> PAGEREF _Toc122981749 \h </w:instrText>
      </w:r>
      <w:r>
        <w:fldChar w:fldCharType="separate"/>
      </w:r>
      <w:r>
        <w:t>5</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"_Toc122981750" </w:instrText>
      </w:r>
      <w:r>
        <w:fldChar w:fldCharType="separate"/>
      </w:r>
      <w:r>
        <w:rPr>
          <w:rStyle w:val="24"/>
        </w:rPr>
        <w:t>2.2 Load existing project</w:t>
      </w:r>
      <w:r>
        <w:tab/>
      </w:r>
      <w:r>
        <w:fldChar w:fldCharType="begin"/>
      </w:r>
      <w:r>
        <w:instrText xml:space="preserve"> PAGEREF _Toc122981750 \h </w:instrText>
      </w:r>
      <w:r>
        <w:fldChar w:fldCharType="separate"/>
      </w:r>
      <w:r>
        <w:t>6</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"_Toc122981751" </w:instrText>
      </w:r>
      <w:r>
        <w:fldChar w:fldCharType="separate"/>
      </w:r>
      <w:r>
        <w:rPr>
          <w:rStyle w:val="24"/>
        </w:rPr>
        <w:t>2.3 Create a new project</w:t>
      </w:r>
      <w:r>
        <w:tab/>
      </w:r>
      <w:r>
        <w:fldChar w:fldCharType="begin"/>
      </w:r>
      <w:r>
        <w:instrText xml:space="preserve"> PAGEREF _Toc122981751 \h </w:instrText>
      </w:r>
      <w:r>
        <w:fldChar w:fldCharType="separate"/>
      </w:r>
      <w:r>
        <w:t>7</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"_Toc122981752" </w:instrText>
      </w:r>
      <w:r>
        <w:fldChar w:fldCharType="separate"/>
      </w:r>
      <w:r>
        <w:rPr>
          <w:rStyle w:val="24"/>
        </w:rPr>
        <w:t>2.4 Running Data Fusion Tool in Batch Mode</w:t>
      </w:r>
      <w:r>
        <w:tab/>
      </w:r>
      <w:r>
        <w:fldChar w:fldCharType="begin"/>
      </w:r>
      <w:r>
        <w:instrText xml:space="preserve"> PAGEREF _Toc122981752 \h </w:instrText>
      </w:r>
      <w:r>
        <w:fldChar w:fldCharType="separate"/>
      </w:r>
      <w:r>
        <w:t>8</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"_Toc122981753" </w:instrText>
      </w:r>
      <w:r>
        <w:fldChar w:fldCharType="separate"/>
      </w:r>
      <w:r>
        <w:rPr>
          <w:rStyle w:val="24"/>
        </w:rPr>
        <w:t>2.5 PM</w:t>
      </w:r>
      <w:r>
        <w:rPr>
          <w:rStyle w:val="24"/>
          <w:vertAlign w:val="subscript"/>
        </w:rPr>
        <w:t xml:space="preserve">2.5 </w:t>
      </w:r>
      <w:r>
        <w:rPr>
          <w:rStyle w:val="24"/>
        </w:rPr>
        <w:t>Data Fusion Analysis Quick Start</w:t>
      </w:r>
      <w:r>
        <w:tab/>
      </w:r>
      <w:r>
        <w:fldChar w:fldCharType="begin"/>
      </w:r>
      <w:r>
        <w:instrText xml:space="preserve"> PAGEREF _Toc122981753 \h </w:instrText>
      </w:r>
      <w:r>
        <w:fldChar w:fldCharType="separate"/>
      </w:r>
      <w:r>
        <w:t>11</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"_Toc122981754" </w:instrText>
      </w:r>
      <w:r>
        <w:fldChar w:fldCharType="separate"/>
      </w:r>
      <w:r>
        <w:rPr>
          <w:rStyle w:val="24"/>
        </w:rPr>
        <w:t>2.6 Ozone Data Fusion Analysis Quick Start</w:t>
      </w:r>
      <w:r>
        <w:tab/>
      </w:r>
      <w:r>
        <w:fldChar w:fldCharType="begin"/>
      </w:r>
      <w:r>
        <w:instrText xml:space="preserve"> PAGEREF _Toc122981754 \h </w:instrText>
      </w:r>
      <w:r>
        <w:fldChar w:fldCharType="separate"/>
      </w:r>
      <w:r>
        <w:t>14</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"_Toc122981755" </w:instrText>
      </w:r>
      <w:r>
        <w:fldChar w:fldCharType="separate"/>
      </w:r>
      <w:r>
        <w:rPr>
          <w:rStyle w:val="24"/>
        </w:rPr>
        <w:t>3 Functional Framework of Data Fusion</w:t>
      </w:r>
      <w:r>
        <w:tab/>
      </w:r>
      <w:r>
        <w:fldChar w:fldCharType="begin"/>
      </w:r>
      <w:r>
        <w:instrText xml:space="preserve"> PAGEREF _Toc122981755 \h </w:instrText>
      </w:r>
      <w:r>
        <w:fldChar w:fldCharType="separate"/>
      </w:r>
      <w:r>
        <w:t>17</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"_Toc122981756" </w:instrText>
      </w:r>
      <w:r>
        <w:fldChar w:fldCharType="separate"/>
      </w:r>
      <w:r>
        <w:rPr>
          <w:rStyle w:val="24"/>
        </w:rPr>
        <w:t>4 PM</w:t>
      </w:r>
      <w:r>
        <w:rPr>
          <w:rStyle w:val="24"/>
          <w:vertAlign w:val="subscript"/>
        </w:rPr>
        <w:t>2.5</w:t>
      </w:r>
      <w:r>
        <w:rPr>
          <w:rStyle w:val="24"/>
        </w:rPr>
        <w:t xml:space="preserve"> Data Fusion Analysis Details</w:t>
      </w:r>
      <w:r>
        <w:tab/>
      </w:r>
      <w:r>
        <w:fldChar w:fldCharType="begin"/>
      </w:r>
      <w:r>
        <w:instrText xml:space="preserve"> PAGEREF _Toc122981756 \h </w:instrText>
      </w:r>
      <w:r>
        <w:fldChar w:fldCharType="separate"/>
      </w:r>
      <w:r>
        <w:t>20</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"_Toc122981757" </w:instrText>
      </w:r>
      <w:r>
        <w:fldChar w:fldCharType="separate"/>
      </w:r>
      <w:r>
        <w:rPr>
          <w:rStyle w:val="24"/>
        </w:rPr>
        <w:t>4.1 Data Input Option</w:t>
      </w:r>
      <w:r>
        <w:tab/>
      </w:r>
      <w:r>
        <w:fldChar w:fldCharType="begin"/>
      </w:r>
      <w:r>
        <w:instrText xml:space="preserve"> PAGEREF _Toc122981757 \h </w:instrText>
      </w:r>
      <w:r>
        <w:fldChar w:fldCharType="separate"/>
      </w:r>
      <w:r>
        <w:t>21</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"_Toc122981758" </w:instrText>
      </w:r>
      <w:r>
        <w:fldChar w:fldCharType="separate"/>
      </w:r>
      <w:r>
        <w:rPr>
          <w:rStyle w:val="24"/>
        </w:rPr>
        <w:t>4.2 Data Fusion Technique Option</w:t>
      </w:r>
      <w:r>
        <w:tab/>
      </w:r>
      <w:r>
        <w:fldChar w:fldCharType="begin"/>
      </w:r>
      <w:r>
        <w:instrText xml:space="preserve"> PAGEREF _Toc122981758 \h </w:instrText>
      </w:r>
      <w:r>
        <w:fldChar w:fldCharType="separate"/>
      </w:r>
      <w:r>
        <w:t>22</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"_Toc122981759" </w:instrText>
      </w:r>
      <w:r>
        <w:fldChar w:fldCharType="separate"/>
      </w:r>
      <w:r>
        <w:rPr>
          <w:rStyle w:val="24"/>
        </w:rPr>
        <w:t>4.3 Spatial and Temporal Option</w:t>
      </w:r>
      <w:r>
        <w:tab/>
      </w:r>
      <w:r>
        <w:fldChar w:fldCharType="begin"/>
      </w:r>
      <w:r>
        <w:instrText xml:space="preserve"> PAGEREF _Toc122981759 \h </w:instrText>
      </w:r>
      <w:r>
        <w:fldChar w:fldCharType="separate"/>
      </w:r>
      <w:r>
        <w:t>25</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"_Toc122981760" </w:instrText>
      </w:r>
      <w:r>
        <w:fldChar w:fldCharType="separate"/>
      </w:r>
      <w:r>
        <w:rPr>
          <w:rStyle w:val="24"/>
        </w:rPr>
        <w:t>4.4 Receptor Option</w:t>
      </w:r>
      <w:r>
        <w:tab/>
      </w:r>
      <w:r>
        <w:fldChar w:fldCharType="begin"/>
      </w:r>
      <w:r>
        <w:instrText xml:space="preserve"> PAGEREF _Toc122981760 \h </w:instrText>
      </w:r>
      <w:r>
        <w:fldChar w:fldCharType="separate"/>
      </w:r>
      <w:r>
        <w:t>27</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"_Toc122981761" </w:instrText>
      </w:r>
      <w:r>
        <w:fldChar w:fldCharType="separate"/>
      </w:r>
      <w:r>
        <w:rPr>
          <w:rStyle w:val="24"/>
        </w:rPr>
        <w:t>4.5 Cross Validation Option</w:t>
      </w:r>
      <w:r>
        <w:tab/>
      </w:r>
      <w:r>
        <w:fldChar w:fldCharType="begin"/>
      </w:r>
      <w:r>
        <w:instrText xml:space="preserve"> PAGEREF _Toc122981761 \h </w:instrText>
      </w:r>
      <w:r>
        <w:fldChar w:fldCharType="separate"/>
      </w:r>
      <w:r>
        <w:t>27</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"_Toc122981762" </w:instrText>
      </w:r>
      <w:r>
        <w:fldChar w:fldCharType="separate"/>
      </w:r>
      <w:r>
        <w:rPr>
          <w:rStyle w:val="24"/>
        </w:rPr>
        <w:t>5 Ozone Data Fusion Analysis Details</w:t>
      </w:r>
      <w:r>
        <w:tab/>
      </w:r>
      <w:r>
        <w:fldChar w:fldCharType="begin"/>
      </w:r>
      <w:r>
        <w:instrText xml:space="preserve"> PAGEREF _Toc122981762 \h </w:instrText>
      </w:r>
      <w:r>
        <w:fldChar w:fldCharType="separate"/>
      </w:r>
      <w:r>
        <w:t>30</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"_Toc122981763" </w:instrText>
      </w:r>
      <w:r>
        <w:fldChar w:fldCharType="separate"/>
      </w:r>
      <w:r>
        <w:rPr>
          <w:rStyle w:val="24"/>
        </w:rPr>
        <w:t>5.1 Data Input Option</w:t>
      </w:r>
      <w:r>
        <w:tab/>
      </w:r>
      <w:r>
        <w:fldChar w:fldCharType="begin"/>
      </w:r>
      <w:r>
        <w:instrText xml:space="preserve"> PAGEREF _Toc122981763 \h </w:instrText>
      </w:r>
      <w:r>
        <w:fldChar w:fldCharType="separate"/>
      </w:r>
      <w:r>
        <w:t>32</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"_Toc122981764" </w:instrText>
      </w:r>
      <w:r>
        <w:fldChar w:fldCharType="separate"/>
      </w:r>
      <w:r>
        <w:rPr>
          <w:rStyle w:val="24"/>
        </w:rPr>
        <w:t>5.2 Data Fusion Technique Option</w:t>
      </w:r>
      <w:r>
        <w:tab/>
      </w:r>
      <w:r>
        <w:fldChar w:fldCharType="begin"/>
      </w:r>
      <w:r>
        <w:instrText xml:space="preserve"> PAGEREF _Toc122981764 \h </w:instrText>
      </w:r>
      <w:r>
        <w:fldChar w:fldCharType="separate"/>
      </w:r>
      <w:r>
        <w:t>34</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"_Toc122981765" </w:instrText>
      </w:r>
      <w:r>
        <w:fldChar w:fldCharType="separate"/>
      </w:r>
      <w:r>
        <w:rPr>
          <w:rStyle w:val="24"/>
        </w:rPr>
        <w:t>5.3 Spatial and Temporal Option</w:t>
      </w:r>
      <w:r>
        <w:tab/>
      </w:r>
      <w:r>
        <w:fldChar w:fldCharType="begin"/>
      </w:r>
      <w:r>
        <w:instrText xml:space="preserve"> PAGEREF _Toc122981765 \h </w:instrText>
      </w:r>
      <w:r>
        <w:fldChar w:fldCharType="separate"/>
      </w:r>
      <w:r>
        <w:t>34</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"_Toc122981766" </w:instrText>
      </w:r>
      <w:r>
        <w:fldChar w:fldCharType="separate"/>
      </w:r>
      <w:r>
        <w:rPr>
          <w:rStyle w:val="24"/>
        </w:rPr>
        <w:t>5.4 Receptor Option</w:t>
      </w:r>
      <w:r>
        <w:tab/>
      </w:r>
      <w:r>
        <w:fldChar w:fldCharType="begin"/>
      </w:r>
      <w:r>
        <w:instrText xml:space="preserve"> PAGEREF _Toc122981766 \h </w:instrText>
      </w:r>
      <w:r>
        <w:fldChar w:fldCharType="separate"/>
      </w:r>
      <w:r>
        <w:t>36</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"_Toc122981767" </w:instrText>
      </w:r>
      <w:r>
        <w:fldChar w:fldCharType="separate"/>
      </w:r>
      <w:r>
        <w:rPr>
          <w:rStyle w:val="24"/>
        </w:rPr>
        <w:t>5.5 Cross Validation Option</w:t>
      </w:r>
      <w:r>
        <w:tab/>
      </w:r>
      <w:r>
        <w:fldChar w:fldCharType="begin"/>
      </w:r>
      <w:r>
        <w:instrText xml:space="preserve"> PAGEREF _Toc122981767 \h </w:instrText>
      </w:r>
      <w:r>
        <w:fldChar w:fldCharType="separate"/>
      </w:r>
      <w:r>
        <w:t>37</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"_Toc122981768" </w:instrText>
      </w:r>
      <w:r>
        <w:fldChar w:fldCharType="separate"/>
      </w:r>
      <w:r>
        <w:rPr>
          <w:rStyle w:val="24"/>
        </w:rPr>
        <w:t>6 Data Viewer for analyzing results</w:t>
      </w:r>
      <w:r>
        <w:tab/>
      </w:r>
      <w:r>
        <w:fldChar w:fldCharType="begin"/>
      </w:r>
      <w:r>
        <w:instrText xml:space="preserve"> PAGEREF _Toc122981768 \h </w:instrText>
      </w:r>
      <w:r>
        <w:fldChar w:fldCharType="separate"/>
      </w:r>
      <w:r>
        <w:t>38</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"_Toc122981769" </w:instrText>
      </w:r>
      <w:r>
        <w:fldChar w:fldCharType="separate"/>
      </w:r>
      <w:r>
        <w:rPr>
          <w:rStyle w:val="24"/>
        </w:rPr>
        <w:t>6.1 Map Viewer</w:t>
      </w:r>
      <w:r>
        <w:tab/>
      </w:r>
      <w:r>
        <w:fldChar w:fldCharType="begin"/>
      </w:r>
      <w:r>
        <w:instrText xml:space="preserve"> PAGEREF _Toc122981769 \h </w:instrText>
      </w:r>
      <w:r>
        <w:fldChar w:fldCharType="separate"/>
      </w:r>
      <w:r>
        <w:t>39</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"_Toc122981770" </w:instrText>
      </w:r>
      <w:r>
        <w:fldChar w:fldCharType="separate"/>
      </w:r>
      <w:r>
        <w:rPr>
          <w:rStyle w:val="24"/>
        </w:rPr>
        <w:t>6.2 GIS Viewer</w:t>
      </w:r>
      <w:r>
        <w:tab/>
      </w:r>
      <w:r>
        <w:fldChar w:fldCharType="begin"/>
      </w:r>
      <w:r>
        <w:instrText xml:space="preserve"> PAGEREF _Toc122981770 \h </w:instrText>
      </w:r>
      <w:r>
        <w:fldChar w:fldCharType="separate"/>
      </w:r>
      <w:r>
        <w:t>46</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"_Toc122981771" </w:instrText>
      </w:r>
      <w:r>
        <w:fldChar w:fldCharType="separate"/>
      </w:r>
      <w:r>
        <w:rPr>
          <w:rStyle w:val="24"/>
        </w:rPr>
        <w:t>6.3 Chart Viewer</w:t>
      </w:r>
      <w:r>
        <w:tab/>
      </w:r>
      <w:r>
        <w:fldChar w:fldCharType="begin"/>
      </w:r>
      <w:r>
        <w:instrText xml:space="preserve"> PAGEREF _Toc122981771 \h </w:instrText>
      </w:r>
      <w:r>
        <w:fldChar w:fldCharType="separate"/>
      </w:r>
      <w:r>
        <w:t>52</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"_Toc122981772" </w:instrText>
      </w:r>
      <w:r>
        <w:fldChar w:fldCharType="separate"/>
      </w:r>
      <w:r>
        <w:rPr>
          <w:rStyle w:val="24"/>
        </w:rPr>
        <w:t>6.4 Result Data Viewer</w:t>
      </w:r>
      <w:r>
        <w:tab/>
      </w:r>
      <w:r>
        <w:fldChar w:fldCharType="begin"/>
      </w:r>
      <w:r>
        <w:instrText xml:space="preserve"> PAGEREF _Toc122981772 \h </w:instrText>
      </w:r>
      <w:r>
        <w:fldChar w:fldCharType="separate"/>
      </w:r>
      <w:r>
        <w:t>57</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"_Toc122981773" </w:instrText>
      </w:r>
      <w:r>
        <w:fldChar w:fldCharType="separate"/>
      </w:r>
      <w:r>
        <w:rPr>
          <w:rStyle w:val="24"/>
        </w:rPr>
        <w:t>6.5 Log/Msg Viewer</w:t>
      </w:r>
      <w:r>
        <w:tab/>
      </w:r>
      <w:r>
        <w:fldChar w:fldCharType="begin"/>
      </w:r>
      <w:r>
        <w:instrText xml:space="preserve"> PAGEREF _Toc122981773 \h </w:instrText>
      </w:r>
      <w:r>
        <w:fldChar w:fldCharType="separate"/>
      </w:r>
      <w:r>
        <w:t>61</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"_Toc122981774" </w:instrText>
      </w:r>
      <w:r>
        <w:fldChar w:fldCharType="separate"/>
      </w:r>
      <w:r>
        <w:rPr>
          <w:rStyle w:val="24"/>
        </w:rPr>
        <w:t>7 Appendix I</w:t>
      </w:r>
      <w:r>
        <w:tab/>
      </w:r>
      <w:r>
        <w:fldChar w:fldCharType="begin"/>
      </w:r>
      <w:r>
        <w:instrText xml:space="preserve"> PAGEREF _Toc122981774 \h </w:instrText>
      </w:r>
      <w:r>
        <w:fldChar w:fldCharType="separate"/>
      </w:r>
      <w:r>
        <w:t>61</w:t>
      </w:r>
      <w:r>
        <w:fldChar w:fldCharType="end"/>
      </w:r>
      <w:r>
        <w:fldChar w:fldCharType="end"/>
      </w:r>
    </w:p>
    <w:p>
      <w:pPr>
        <w:pStyle w:val="15"/>
        <w:tabs>
          <w:tab w:val="right" w:leader="dot" w:pos="8296"/>
        </w:tabs>
        <w:rPr>
          <w:rFonts w:asciiTheme="minorHAnsi" w:hAnsiTheme="minorHAnsi" w:eastAsiaTheme="minorEastAsia" w:cstheme="minorBidi"/>
          <w:kern w:val="2"/>
          <w:sz w:val="21"/>
        </w:rPr>
      </w:pPr>
      <w:r>
        <w:fldChar w:fldCharType="begin"/>
      </w:r>
      <w:r>
        <w:instrText xml:space="preserve"> HYPERLINK \l "_Toc122981775" </w:instrText>
      </w:r>
      <w:r>
        <w:fldChar w:fldCharType="separate"/>
      </w:r>
      <w:r>
        <w:rPr>
          <w:rStyle w:val="24"/>
        </w:rPr>
        <w:t>7.1 Evaluation principle of Data Fusion Techniques</w:t>
      </w:r>
      <w:r>
        <w:tab/>
      </w:r>
      <w:r>
        <w:fldChar w:fldCharType="begin"/>
      </w:r>
      <w:r>
        <w:instrText xml:space="preserve"> PAGEREF _Toc122981775 \h </w:instrText>
      </w:r>
      <w:r>
        <w:fldChar w:fldCharType="separate"/>
      </w:r>
      <w:r>
        <w:t>61</w:t>
      </w:r>
      <w:r>
        <w:fldChar w:fldCharType="end"/>
      </w:r>
      <w:r>
        <w:fldChar w:fldCharType="end"/>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"_Toc122981776" </w:instrText>
      </w:r>
      <w:r>
        <w:fldChar w:fldCharType="separate"/>
      </w:r>
      <w:r>
        <w:rPr>
          <w:rStyle w:val="24"/>
        </w:rPr>
        <w:t>8 References</w:t>
      </w:r>
      <w:r>
        <w:tab/>
      </w:r>
      <w:r>
        <w:fldChar w:fldCharType="begin"/>
      </w:r>
      <w:r>
        <w:instrText xml:space="preserve"> PAGEREF _Toc122981776 \h </w:instrText>
      </w:r>
      <w:r>
        <w:fldChar w:fldCharType="separate"/>
      </w:r>
      <w:r>
        <w:t>65</w:t>
      </w:r>
      <w:r>
        <w:fldChar w:fldCharType="end"/>
      </w:r>
      <w:r>
        <w:fldChar w:fldCharType="end"/>
      </w:r>
    </w:p>
    <w:p>
      <w:pPr>
        <w:rPr>
          <w:b/>
          <w:bCs/>
        </w:rPr>
        <w:sectPr>
          <w:headerReference r:id="rId10" w:type="first"/>
          <w:footerReference r:id="rId12" w:type="first"/>
          <w:headerReference r:id="rId9" w:type="default"/>
          <w:footerReference r:id="rId11" w:type="default"/>
          <w:pgSz w:w="11906" w:h="16838"/>
          <w:pgMar w:top="1440" w:right="1800" w:bottom="1440" w:left="1800" w:header="708" w:footer="708" w:gutter="0"/>
          <w:pgNumType w:fmt="lowerRoman" w:start="1"/>
          <w:cols w:space="708" w:num="1"/>
          <w:docGrid w:linePitch="360" w:charSpace="0"/>
        </w:sectPr>
      </w:pPr>
      <w:r>
        <w:rPr>
          <w:b/>
          <w:bCs/>
        </w:rPr>
        <w:fldChar w:fldCharType="end"/>
      </w:r>
    </w:p>
    <w:p>
      <w:pPr>
        <w:pStyle w:val="2"/>
        <w:numPr>
          <w:ilvl w:val="0"/>
          <w:numId w:val="0"/>
        </w:numPr>
        <w:jc w:val="center"/>
        <w:rPr>
          <w:sz w:val="40"/>
          <w:szCs w:val="40"/>
        </w:rPr>
      </w:pPr>
      <w:bookmarkStart w:id="5" w:name="_Toc122981740"/>
      <w:r>
        <w:rPr>
          <w:rFonts w:hint="eastAsia"/>
          <w:sz w:val="40"/>
          <w:szCs w:val="40"/>
        </w:rPr>
        <w:t>L</w:t>
      </w:r>
      <w:r>
        <w:rPr>
          <w:sz w:val="40"/>
          <w:szCs w:val="40"/>
        </w:rPr>
        <w:t>ist of F</w:t>
      </w:r>
      <w:r>
        <w:rPr>
          <w:rFonts w:hint="eastAsia"/>
          <w:sz w:val="40"/>
          <w:szCs w:val="40"/>
        </w:rPr>
        <w:t>i</w:t>
      </w:r>
      <w:r>
        <w:rPr>
          <w:sz w:val="40"/>
          <w:szCs w:val="40"/>
        </w:rPr>
        <w:t>gure</w:t>
      </w:r>
      <w:r>
        <w:rPr>
          <w:rFonts w:hint="eastAsia"/>
          <w:sz w:val="40"/>
          <w:szCs w:val="40"/>
        </w:rPr>
        <w:t>s</w:t>
      </w:r>
      <w:bookmarkEnd w:id="5"/>
    </w:p>
    <w:p>
      <w:pPr>
        <w:pStyle w:val="14"/>
        <w:tabs>
          <w:tab w:val="right" w:leader="dot" w:pos="8296"/>
        </w:tabs>
        <w:ind w:left="960" w:hanging="480"/>
        <w:rPr>
          <w:rFonts w:asciiTheme="minorHAnsi" w:hAnsiTheme="minorHAnsi" w:eastAsiaTheme="minorEastAsia" w:cstheme="minorBidi"/>
          <w:kern w:val="2"/>
          <w:sz w:val="21"/>
        </w:rPr>
      </w:pPr>
      <w:r>
        <w:rPr>
          <w:b/>
          <w:bCs/>
        </w:rPr>
        <w:fldChar w:fldCharType="begin"/>
      </w:r>
      <w:r>
        <w:rPr>
          <w:b/>
          <w:bCs/>
        </w:rPr>
        <w:instrText xml:space="preserve"> TOC \h \z \c "Fig." </w:instrText>
      </w:r>
      <w:r>
        <w:rPr>
          <w:b/>
          <w:bCs/>
        </w:rPr>
        <w:fldChar w:fldCharType="separate"/>
      </w:r>
      <w:r>
        <w:fldChar w:fldCharType="begin"/>
      </w:r>
      <w:r>
        <w:instrText xml:space="preserve"> HYPERLINK \l "_Toc122981777" </w:instrText>
      </w:r>
      <w:r>
        <w:fldChar w:fldCharType="separate"/>
      </w:r>
      <w:r>
        <w:rPr>
          <w:rStyle w:val="24"/>
          <w:i/>
          <w:iCs/>
        </w:rPr>
        <w:t>Figure 1. Setup Window</w:t>
      </w:r>
      <w:r>
        <w:tab/>
      </w:r>
      <w:r>
        <w:fldChar w:fldCharType="begin"/>
      </w:r>
      <w:r>
        <w:instrText xml:space="preserve"> PAGEREF _Toc122981777 \h </w:instrText>
      </w:r>
      <w:r>
        <w:fldChar w:fldCharType="separate"/>
      </w:r>
      <w:r>
        <w:t>2</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"_Toc122981778" </w:instrText>
      </w:r>
      <w:r>
        <w:fldChar w:fldCharType="separate"/>
      </w:r>
      <w:r>
        <w:rPr>
          <w:rStyle w:val="24"/>
          <w:i/>
          <w:iCs/>
        </w:rPr>
        <w:t>Figure 2. Choose Install Path</w:t>
      </w:r>
      <w:r>
        <w:tab/>
      </w:r>
      <w:r>
        <w:fldChar w:fldCharType="begin"/>
      </w:r>
      <w:r>
        <w:instrText xml:space="preserve"> PAGEREF _Toc122981778 \h </w:instrText>
      </w:r>
      <w:r>
        <w:fldChar w:fldCharType="separate"/>
      </w:r>
      <w:r>
        <w:t>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"_Toc122981779" </w:instrText>
      </w:r>
      <w:r>
        <w:fldChar w:fldCharType="separate"/>
      </w:r>
      <w:r>
        <w:rPr>
          <w:rStyle w:val="24"/>
          <w:i/>
          <w:iCs/>
        </w:rPr>
        <w:t>Figure 3. Ready to Install</w:t>
      </w:r>
      <w:r>
        <w:tab/>
      </w:r>
      <w:r>
        <w:fldChar w:fldCharType="begin"/>
      </w:r>
      <w:r>
        <w:instrText xml:space="preserve"> PAGEREF _Toc122981779 \h </w:instrText>
      </w:r>
      <w:r>
        <w:fldChar w:fldCharType="separate"/>
      </w:r>
      <w:r>
        <w:t>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"_Toc122981780" </w:instrText>
      </w:r>
      <w:r>
        <w:fldChar w:fldCharType="separate"/>
      </w:r>
      <w:r>
        <w:rPr>
          <w:rStyle w:val="24"/>
          <w:i/>
          <w:iCs/>
        </w:rPr>
        <w:t>Figure 4. Installation Process</w:t>
      </w:r>
      <w:r>
        <w:tab/>
      </w:r>
      <w:r>
        <w:fldChar w:fldCharType="begin"/>
      </w:r>
      <w:r>
        <w:instrText xml:space="preserve"> PAGEREF _Toc122981780 \h </w:instrText>
      </w:r>
      <w:r>
        <w:fldChar w:fldCharType="separate"/>
      </w:r>
      <w:r>
        <w:t>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"_Toc122981781" </w:instrText>
      </w:r>
      <w:r>
        <w:fldChar w:fldCharType="separate"/>
      </w:r>
      <w:r>
        <w:rPr>
          <w:rStyle w:val="24"/>
          <w:i/>
          <w:iCs/>
        </w:rPr>
        <w:t>Figure 5. Complete Installation</w:t>
      </w:r>
      <w:r>
        <w:tab/>
      </w:r>
      <w:r>
        <w:fldChar w:fldCharType="begin"/>
      </w:r>
      <w:r>
        <w:instrText xml:space="preserve"> PAGEREF _Toc122981781 \h </w:instrText>
      </w:r>
      <w:r>
        <w:fldChar w:fldCharType="separate"/>
      </w:r>
      <w:r>
        <w:t>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"_Toc122981782" </w:instrText>
      </w:r>
      <w:r>
        <w:fldChar w:fldCharType="separate"/>
      </w:r>
      <w:r>
        <w:rPr>
          <w:rStyle w:val="24"/>
          <w:i/>
          <w:iCs/>
        </w:rPr>
        <w:t>Figure 6. Uninstall Data Fusion</w:t>
      </w:r>
      <w:r>
        <w:tab/>
      </w:r>
      <w:r>
        <w:fldChar w:fldCharType="begin"/>
      </w:r>
      <w:r>
        <w:instrText xml:space="preserve"> PAGEREF _Toc122981782 \h </w:instrText>
      </w:r>
      <w:r>
        <w:fldChar w:fldCharType="separate"/>
      </w:r>
      <w:r>
        <w:t>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"_Toc122981783" </w:instrText>
      </w:r>
      <w:r>
        <w:fldChar w:fldCharType="separate"/>
      </w:r>
      <w:r>
        <w:rPr>
          <w:rStyle w:val="24"/>
          <w:i/>
          <w:iCs/>
        </w:rPr>
        <w:t>Figure 7. Start Page of Data Fusion</w:t>
      </w:r>
      <w:r>
        <w:tab/>
      </w:r>
      <w:r>
        <w:fldChar w:fldCharType="begin"/>
      </w:r>
      <w:r>
        <w:instrText xml:space="preserve"> PAGEREF _Toc122981783 \h </w:instrText>
      </w:r>
      <w:r>
        <w:fldChar w:fldCharType="separate"/>
      </w:r>
      <w:r>
        <w:t>6</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"_Toc122981784" </w:instrText>
      </w:r>
      <w:r>
        <w:fldChar w:fldCharType="separate"/>
      </w:r>
      <w:r>
        <w:rPr>
          <w:rStyle w:val="24"/>
          <w:i/>
          <w:iCs/>
        </w:rPr>
        <w:t>Figure 8. Open a previous project</w:t>
      </w:r>
      <w:r>
        <w:tab/>
      </w:r>
      <w:r>
        <w:fldChar w:fldCharType="begin"/>
      </w:r>
      <w:r>
        <w:instrText xml:space="preserve"> PAGEREF _Toc122981784 \h </w:instrText>
      </w:r>
      <w:r>
        <w:fldChar w:fldCharType="separate"/>
      </w:r>
      <w:r>
        <w:t>7</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"_Toc122981785" </w:instrText>
      </w:r>
      <w:r>
        <w:fldChar w:fldCharType="separate"/>
      </w:r>
      <w:r>
        <w:rPr>
          <w:rStyle w:val="24"/>
          <w:i/>
          <w:iCs/>
        </w:rPr>
        <w:t>Figure 9. Create a new project</w:t>
      </w:r>
      <w:r>
        <w:tab/>
      </w:r>
      <w:r>
        <w:fldChar w:fldCharType="begin"/>
      </w:r>
      <w:r>
        <w:instrText xml:space="preserve"> PAGEREF _Toc122981785 \h </w:instrText>
      </w:r>
      <w:r>
        <w:fldChar w:fldCharType="separate"/>
      </w:r>
      <w:r>
        <w:t>8</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"_Toc122981786" </w:instrText>
      </w:r>
      <w:r>
        <w:fldChar w:fldCharType="separate"/>
      </w:r>
      <w:r>
        <w:rPr>
          <w:rStyle w:val="24"/>
          <w:i/>
          <w:iCs/>
        </w:rPr>
        <w:t>Figure 10. Save Configuration File</w:t>
      </w:r>
      <w:r>
        <w:tab/>
      </w:r>
      <w:r>
        <w:fldChar w:fldCharType="begin"/>
      </w:r>
      <w:r>
        <w:instrText xml:space="preserve"> PAGEREF _Toc122981786 \h </w:instrText>
      </w:r>
      <w:r>
        <w:fldChar w:fldCharType="separate"/>
      </w:r>
      <w:r>
        <w:t>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"_Toc122981787" </w:instrText>
      </w:r>
      <w:r>
        <w:fldChar w:fldCharType="separate"/>
      </w:r>
      <w:r>
        <w:rPr>
          <w:rStyle w:val="24"/>
          <w:i/>
          <w:iCs/>
        </w:rPr>
        <w:t>Figure 11. View/Edit Configuration File</w:t>
      </w:r>
      <w:r>
        <w:tab/>
      </w:r>
      <w:r>
        <w:fldChar w:fldCharType="begin"/>
      </w:r>
      <w:r>
        <w:instrText xml:space="preserve"> PAGEREF _Toc122981787 \h </w:instrText>
      </w:r>
      <w:r>
        <w:fldChar w:fldCharType="separate"/>
      </w:r>
      <w:r>
        <w:t>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"_Toc122981788" </w:instrText>
      </w:r>
      <w:r>
        <w:fldChar w:fldCharType="separate"/>
      </w:r>
      <w:r>
        <w:rPr>
          <w:rStyle w:val="24"/>
          <w:i/>
          <w:iCs/>
        </w:rPr>
        <w:t>Figure 12. DFT batch script</w:t>
      </w:r>
      <w:r>
        <w:tab/>
      </w:r>
      <w:r>
        <w:fldChar w:fldCharType="begin"/>
      </w:r>
      <w:r>
        <w:instrText xml:space="preserve"> PAGEREF _Toc122981788 \h </w:instrText>
      </w:r>
      <w:r>
        <w:fldChar w:fldCharType="separate"/>
      </w:r>
      <w:r>
        <w:t>10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"_Toc122981789" </w:instrText>
      </w:r>
      <w:r>
        <w:fldChar w:fldCharType="separate"/>
      </w:r>
      <w:r>
        <w:rPr>
          <w:rStyle w:val="24"/>
          <w:i/>
          <w:iCs/>
        </w:rPr>
        <w:t>Figure 13. Example of batch script</w:t>
      </w:r>
      <w:r>
        <w:tab/>
      </w:r>
      <w:r>
        <w:fldChar w:fldCharType="begin"/>
      </w:r>
      <w:r>
        <w:instrText xml:space="preserve"> PAGEREF _Toc122981789 \h </w:instrText>
      </w:r>
      <w:r>
        <w:fldChar w:fldCharType="separate"/>
      </w:r>
      <w:r>
        <w:t>11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"_Toc122981790" </w:instrText>
      </w:r>
      <w:r>
        <w:fldChar w:fldCharType="separate"/>
      </w:r>
      <w:r>
        <w:rPr>
          <w:rStyle w:val="24"/>
          <w:i/>
          <w:iCs/>
        </w:rPr>
        <w:t>Figure 14. Running batch script</w:t>
      </w:r>
      <w:r>
        <w:tab/>
      </w:r>
      <w:r>
        <w:fldChar w:fldCharType="begin"/>
      </w:r>
      <w:r>
        <w:instrText xml:space="preserve"> PAGEREF _Toc122981790 \h </w:instrText>
      </w:r>
      <w:r>
        <w:fldChar w:fldCharType="separate"/>
      </w:r>
      <w:r>
        <w:t>11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"_Toc122981791" </w:instrText>
      </w:r>
      <w:r>
        <w:fldChar w:fldCharType="separate"/>
      </w:r>
      <w:r>
        <w:rPr>
          <w:rStyle w:val="24"/>
          <w:i/>
          <w:iCs/>
        </w:rPr>
        <w:t>Figure 15. Results for Batchjob</w:t>
      </w:r>
      <w:r>
        <w:tab/>
      </w:r>
      <w:r>
        <w:fldChar w:fldCharType="begin"/>
      </w:r>
      <w:r>
        <w:instrText xml:space="preserve"> PAGEREF _Toc122981791 \h </w:instrText>
      </w:r>
      <w:r>
        <w:fldChar w:fldCharType="separate"/>
      </w:r>
      <w:r>
        <w:t>11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"_Toc122981792" </w:instrText>
      </w:r>
      <w:r>
        <w:fldChar w:fldCharType="separate"/>
      </w:r>
      <w:r>
        <w:rPr>
          <w:rStyle w:val="24"/>
          <w:i/>
          <w:iCs/>
        </w:rPr>
        <w:t>Figure 16. The functional framework of Data Fusion</w:t>
      </w:r>
      <w:r>
        <w:tab/>
      </w:r>
      <w:r>
        <w:fldChar w:fldCharType="begin"/>
      </w:r>
      <w:r>
        <w:instrText xml:space="preserve"> PAGEREF _Toc122981792 \h </w:instrText>
      </w:r>
      <w:r>
        <w:fldChar w:fldCharType="separate"/>
      </w:r>
      <w:r>
        <w:t>18</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"_Toc122981793" </w:instrText>
      </w:r>
      <w:r>
        <w:fldChar w:fldCharType="separate"/>
      </w:r>
      <w:r>
        <w:rPr>
          <w:rStyle w:val="24"/>
          <w:i/>
          <w:iCs/>
        </w:rPr>
        <w:t>Figure 17. Start Page of Creating new PM</w:t>
      </w:r>
      <w:r>
        <w:rPr>
          <w:rStyle w:val="24"/>
          <w:i/>
          <w:iCs/>
          <w:vertAlign w:val="subscript"/>
        </w:rPr>
        <w:t xml:space="preserve">2.5 </w:t>
      </w:r>
      <w:r>
        <w:rPr>
          <w:rStyle w:val="24"/>
          <w:i/>
          <w:iCs/>
        </w:rPr>
        <w:t>data fusion</w:t>
      </w:r>
      <w:r>
        <w:tab/>
      </w:r>
      <w:r>
        <w:fldChar w:fldCharType="begin"/>
      </w:r>
      <w:r>
        <w:instrText xml:space="preserve"> PAGEREF _Toc122981793 \h </w:instrText>
      </w:r>
      <w:r>
        <w:fldChar w:fldCharType="separate"/>
      </w:r>
      <w:r>
        <w:t>21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"_Toc122981794" </w:instrText>
      </w:r>
      <w:r>
        <w:fldChar w:fldCharType="separate"/>
      </w:r>
      <w:r>
        <w:rPr>
          <w:rStyle w:val="24"/>
          <w:i/>
          <w:iCs/>
        </w:rPr>
        <w:t>Figure 18. Data Input Option (PM</w:t>
      </w:r>
      <w:r>
        <w:rPr>
          <w:rStyle w:val="24"/>
          <w:i/>
          <w:iCs/>
          <w:vertAlign w:val="subscript"/>
        </w:rPr>
        <w:t>2.5</w:t>
      </w:r>
      <w:r>
        <w:rPr>
          <w:rStyle w:val="24"/>
          <w:i/>
          <w:iCs/>
        </w:rPr>
        <w:t>)</w:t>
      </w:r>
      <w:r>
        <w:tab/>
      </w:r>
      <w:r>
        <w:fldChar w:fldCharType="begin"/>
      </w:r>
      <w:r>
        <w:instrText xml:space="preserve"> PAGEREF _Toc122981794 \h </w:instrText>
      </w:r>
      <w:r>
        <w:fldChar w:fldCharType="separate"/>
      </w:r>
      <w:r>
        <w:t>22</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"_Toc122981795" </w:instrText>
      </w:r>
      <w:r>
        <w:fldChar w:fldCharType="separate"/>
      </w:r>
      <w:r>
        <w:rPr>
          <w:rStyle w:val="24"/>
          <w:i/>
          <w:iCs/>
        </w:rPr>
        <w:t>Figure 19. Data Fusion Technique Option (PM</w:t>
      </w:r>
      <w:r>
        <w:rPr>
          <w:rStyle w:val="24"/>
          <w:i/>
          <w:iCs/>
          <w:vertAlign w:val="subscript"/>
        </w:rPr>
        <w:t>2.5</w:t>
      </w:r>
      <w:r>
        <w:rPr>
          <w:rStyle w:val="24"/>
          <w:i/>
          <w:iCs/>
        </w:rPr>
        <w:t>)</w:t>
      </w:r>
      <w:r>
        <w:tab/>
      </w:r>
      <w:r>
        <w:fldChar w:fldCharType="begin"/>
      </w:r>
      <w:r>
        <w:instrText xml:space="preserve"> PAGEREF _Toc122981795 \h </w:instrText>
      </w:r>
      <w:r>
        <w:fldChar w:fldCharType="separate"/>
      </w:r>
      <w:r>
        <w:t>23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"_Toc122981796" </w:instrText>
      </w:r>
      <w:r>
        <w:fldChar w:fldCharType="separate"/>
      </w:r>
      <w:r>
        <w:rPr>
          <w:rStyle w:val="24"/>
          <w:i/>
          <w:iCs/>
        </w:rPr>
        <w:t>Figure 20.  Advanced Option in eVNA (PM</w:t>
      </w:r>
      <w:r>
        <w:rPr>
          <w:rStyle w:val="24"/>
          <w:i/>
          <w:iCs/>
          <w:vertAlign w:val="subscript"/>
        </w:rPr>
        <w:t>2.5</w:t>
      </w:r>
      <w:r>
        <w:rPr>
          <w:rStyle w:val="24"/>
          <w:i/>
          <w:iCs/>
        </w:rPr>
        <w:t>)</w:t>
      </w:r>
      <w:r>
        <w:tab/>
      </w:r>
      <w:r>
        <w:fldChar w:fldCharType="begin"/>
      </w:r>
      <w:r>
        <w:instrText xml:space="preserve"> PAGEREF _Toc122981796 \h </w:instrText>
      </w:r>
      <w:r>
        <w:fldChar w:fldCharType="separate"/>
      </w:r>
      <w:r>
        <w:t>24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"_Toc122981797" </w:instrText>
      </w:r>
      <w:r>
        <w:fldChar w:fldCharType="separate"/>
      </w:r>
      <w:r>
        <w:rPr>
          <w:rStyle w:val="24"/>
          <w:i/>
          <w:iCs/>
        </w:rPr>
        <w:t>Figure 21.  Advanced Option in Downscaler (PM</w:t>
      </w:r>
      <w:r>
        <w:rPr>
          <w:rStyle w:val="24"/>
          <w:i/>
          <w:iCs/>
          <w:vertAlign w:val="subscript"/>
        </w:rPr>
        <w:t>2.5</w:t>
      </w:r>
      <w:r>
        <w:rPr>
          <w:rStyle w:val="24"/>
          <w:i/>
          <w:iCs/>
        </w:rPr>
        <w:t>)</w:t>
      </w:r>
      <w:r>
        <w:tab/>
      </w:r>
      <w:r>
        <w:fldChar w:fldCharType="begin"/>
      </w:r>
      <w:r>
        <w:instrText xml:space="preserve"> PAGEREF _Toc122981797 \h </w:instrText>
      </w:r>
      <w:r>
        <w:fldChar w:fldCharType="separate"/>
      </w:r>
      <w:r>
        <w:t>24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"_Toc122981798" </w:instrText>
      </w:r>
      <w:r>
        <w:fldChar w:fldCharType="separate"/>
      </w:r>
      <w:r>
        <w:rPr>
          <w:rStyle w:val="24"/>
          <w:i/>
          <w:iCs/>
        </w:rPr>
        <w:t>Figure 22.  Advanced Option in wVNA (PM</w:t>
      </w:r>
      <w:r>
        <w:rPr>
          <w:rStyle w:val="24"/>
          <w:i/>
          <w:iCs/>
          <w:vertAlign w:val="subscript"/>
        </w:rPr>
        <w:t>2.5</w:t>
      </w:r>
      <w:r>
        <w:rPr>
          <w:rStyle w:val="24"/>
          <w:i/>
          <w:iCs/>
        </w:rPr>
        <w:t>)</w:t>
      </w:r>
      <w:r>
        <w:tab/>
      </w:r>
      <w:r>
        <w:fldChar w:fldCharType="begin"/>
      </w:r>
      <w:r>
        <w:instrText xml:space="preserve"> PAGEREF _Toc122981798 \h </w:instrText>
      </w:r>
      <w:r>
        <w:fldChar w:fldCharType="separate"/>
      </w:r>
      <w:r>
        <w:t>25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"_Toc122981799" </w:instrText>
      </w:r>
      <w:r>
        <w:fldChar w:fldCharType="separate"/>
      </w:r>
      <w:r>
        <w:rPr>
          <w:rStyle w:val="24"/>
          <w:i/>
          <w:iCs/>
        </w:rPr>
        <w:t>Figure 23. Spatial and Temporal Option (PM</w:t>
      </w:r>
      <w:r>
        <w:rPr>
          <w:rStyle w:val="24"/>
          <w:i/>
          <w:iCs/>
          <w:vertAlign w:val="subscript"/>
        </w:rPr>
        <w:t>2.5</w:t>
      </w:r>
      <w:r>
        <w:rPr>
          <w:rStyle w:val="24"/>
          <w:i/>
          <w:iCs/>
        </w:rPr>
        <w:t>)</w:t>
      </w:r>
      <w:r>
        <w:tab/>
      </w:r>
      <w:r>
        <w:fldChar w:fldCharType="begin"/>
      </w:r>
      <w:r>
        <w:instrText xml:space="preserve"> PAGEREF _Toc122981799 \h </w:instrText>
      </w:r>
      <w:r>
        <w:fldChar w:fldCharType="separate"/>
      </w:r>
      <w:r>
        <w:t>26</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"_Toc122981800" </w:instrText>
      </w:r>
      <w:r>
        <w:fldChar w:fldCharType="separate"/>
      </w:r>
      <w:r>
        <w:rPr>
          <w:rStyle w:val="24"/>
          <w:i/>
          <w:iCs/>
        </w:rPr>
        <w:t>Figure 24. Receptor Option (PM</w:t>
      </w:r>
      <w:r>
        <w:rPr>
          <w:rStyle w:val="24"/>
          <w:i/>
          <w:iCs/>
          <w:vertAlign w:val="subscript"/>
        </w:rPr>
        <w:t>2.5</w:t>
      </w:r>
      <w:r>
        <w:rPr>
          <w:rStyle w:val="24"/>
          <w:i/>
          <w:iCs/>
        </w:rPr>
        <w:t>)</w:t>
      </w:r>
      <w:r>
        <w:tab/>
      </w:r>
      <w:r>
        <w:fldChar w:fldCharType="begin"/>
      </w:r>
      <w:r>
        <w:instrText xml:space="preserve"> PAGEREF _Toc122981800 \h </w:instrText>
      </w:r>
      <w:r>
        <w:fldChar w:fldCharType="separate"/>
      </w:r>
      <w:r>
        <w:t>27</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"_Toc122981801" </w:instrText>
      </w:r>
      <w:r>
        <w:fldChar w:fldCharType="separate"/>
      </w:r>
      <w:r>
        <w:rPr>
          <w:rStyle w:val="24"/>
          <w:i/>
          <w:iCs/>
        </w:rPr>
        <w:t>Figure 25. Cross Validation Option (PM</w:t>
      </w:r>
      <w:r>
        <w:rPr>
          <w:rStyle w:val="24"/>
          <w:i/>
          <w:iCs/>
          <w:vertAlign w:val="subscript"/>
        </w:rPr>
        <w:t>2.5</w:t>
      </w:r>
      <w:r>
        <w:rPr>
          <w:rStyle w:val="24"/>
          <w:i/>
          <w:iCs/>
        </w:rPr>
        <w:t>)</w:t>
      </w:r>
      <w:r>
        <w:tab/>
      </w:r>
      <w:r>
        <w:fldChar w:fldCharType="begin"/>
      </w:r>
      <w:r>
        <w:instrText xml:space="preserve"> PAGEREF _Toc122981801 \h </w:instrText>
      </w:r>
      <w:r>
        <w:fldChar w:fldCharType="separate"/>
      </w:r>
      <w:r>
        <w:t>29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"_Toc122981802" </w:instrText>
      </w:r>
      <w:r>
        <w:fldChar w:fldCharType="separate"/>
      </w:r>
      <w:r>
        <w:rPr>
          <w:rStyle w:val="24"/>
          <w:i/>
          <w:iCs/>
        </w:rPr>
        <w:t>Figure 26. Leave-one-out Cross Validation</w:t>
      </w:r>
      <w:r>
        <w:tab/>
      </w:r>
      <w:r>
        <w:fldChar w:fldCharType="begin"/>
      </w:r>
      <w:r>
        <w:instrText xml:space="preserve"> PAGEREF _Toc122981802 \h </w:instrText>
      </w:r>
      <w:r>
        <w:fldChar w:fldCharType="separate"/>
      </w:r>
      <w:r>
        <w:t>29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"_Toc122981803" </w:instrText>
      </w:r>
      <w:r>
        <w:fldChar w:fldCharType="separate"/>
      </w:r>
      <w:r>
        <w:rPr>
          <w:rStyle w:val="24"/>
          <w:i/>
          <w:iCs/>
        </w:rPr>
        <w:t>Figure 27. Leave-group-out Cross Validation</w:t>
      </w:r>
      <w:r>
        <w:tab/>
      </w:r>
      <w:r>
        <w:fldChar w:fldCharType="begin"/>
      </w:r>
      <w:r>
        <w:instrText xml:space="preserve"> PAGEREF _Toc122981803 \h </w:instrText>
      </w:r>
      <w:r>
        <w:fldChar w:fldCharType="separate"/>
      </w:r>
      <w:r>
        <w:t>30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"_Toc122981804" </w:instrText>
      </w:r>
      <w:r>
        <w:fldChar w:fldCharType="separate"/>
      </w:r>
      <w:r>
        <w:rPr>
          <w:rStyle w:val="24"/>
          <w:i/>
          <w:iCs/>
        </w:rPr>
        <w:t>Figure 28. Save &amp; Run Project</w:t>
      </w:r>
      <w:r>
        <w:tab/>
      </w:r>
      <w:r>
        <w:fldChar w:fldCharType="begin"/>
      </w:r>
      <w:r>
        <w:instrText xml:space="preserve"> PAGEREF _Toc122981804 \h </w:instrText>
      </w:r>
      <w:r>
        <w:fldChar w:fldCharType="separate"/>
      </w:r>
      <w:r>
        <w:t>30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"_Toc122981805" </w:instrText>
      </w:r>
      <w:r>
        <w:fldChar w:fldCharType="separate"/>
      </w:r>
      <w:r>
        <w:rPr>
          <w:rStyle w:val="24"/>
          <w:i/>
          <w:iCs/>
        </w:rPr>
        <w:t>Figure 29. Start Page of Creating new Ozone data fusion</w:t>
      </w:r>
      <w:r>
        <w:tab/>
      </w:r>
      <w:r>
        <w:fldChar w:fldCharType="begin"/>
      </w:r>
      <w:r>
        <w:instrText xml:space="preserve"> PAGEREF _Toc122981805 \h </w:instrText>
      </w:r>
      <w:r>
        <w:fldChar w:fldCharType="separate"/>
      </w:r>
      <w:r>
        <w:t>31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"_Toc122981806" </w:instrText>
      </w:r>
      <w:r>
        <w:fldChar w:fldCharType="separate"/>
      </w:r>
      <w:r>
        <w:rPr>
          <w:rStyle w:val="24"/>
          <w:i/>
          <w:iCs/>
        </w:rPr>
        <w:t>Figure 30. Data Input Option (Ozone)</w:t>
      </w:r>
      <w:r>
        <w:tab/>
      </w:r>
      <w:r>
        <w:fldChar w:fldCharType="begin"/>
      </w:r>
      <w:r>
        <w:instrText xml:space="preserve"> PAGEREF _Toc122981806 \h </w:instrText>
      </w:r>
      <w:r>
        <w:fldChar w:fldCharType="separate"/>
      </w:r>
      <w:r>
        <w:t>33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"_Toc122981807" </w:instrText>
      </w:r>
      <w:r>
        <w:fldChar w:fldCharType="separate"/>
      </w:r>
      <w:r>
        <w:rPr>
          <w:rStyle w:val="24"/>
          <w:i/>
          <w:iCs/>
        </w:rPr>
        <w:t>Figure 31. Variable Mapping (Ozone)</w:t>
      </w:r>
      <w:r>
        <w:tab/>
      </w:r>
      <w:r>
        <w:fldChar w:fldCharType="begin"/>
      </w:r>
      <w:r>
        <w:instrText xml:space="preserve"> PAGEREF _Toc122981807 \h </w:instrText>
      </w:r>
      <w:r>
        <w:fldChar w:fldCharType="separate"/>
      </w:r>
      <w:r>
        <w:t>33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"_Toc122981808" </w:instrText>
      </w:r>
      <w:r>
        <w:fldChar w:fldCharType="separate"/>
      </w:r>
      <w:r>
        <w:rPr>
          <w:rStyle w:val="24"/>
          <w:i/>
          <w:iCs/>
        </w:rPr>
        <w:t>Figure 32. Data Fusion Technique Option (Ozone)</w:t>
      </w:r>
      <w:r>
        <w:tab/>
      </w:r>
      <w:r>
        <w:fldChar w:fldCharType="begin"/>
      </w:r>
      <w:r>
        <w:instrText xml:space="preserve"> PAGEREF _Toc122981808 \h </w:instrText>
      </w:r>
      <w:r>
        <w:fldChar w:fldCharType="separate"/>
      </w:r>
      <w:r>
        <w:t>34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"_Toc122981809" </w:instrText>
      </w:r>
      <w:r>
        <w:fldChar w:fldCharType="separate"/>
      </w:r>
      <w:r>
        <w:rPr>
          <w:rStyle w:val="24"/>
          <w:i/>
          <w:iCs/>
        </w:rPr>
        <w:t>Figure 33. Spatial and Temporal Option (Ozone)</w:t>
      </w:r>
      <w:r>
        <w:tab/>
      </w:r>
      <w:r>
        <w:fldChar w:fldCharType="begin"/>
      </w:r>
      <w:r>
        <w:instrText xml:space="preserve"> PAGEREF _Toc122981809 \h </w:instrText>
      </w:r>
      <w:r>
        <w:fldChar w:fldCharType="separate"/>
      </w:r>
      <w:r>
        <w:t>35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"_Toc122981810" </w:instrText>
      </w:r>
      <w:r>
        <w:fldChar w:fldCharType="separate"/>
      </w:r>
      <w:r>
        <w:rPr>
          <w:rStyle w:val="24"/>
          <w:i/>
          <w:iCs/>
        </w:rPr>
        <w:t>Figure 34. Spatial and Temporal Option - Only Annual Average (Ozone)</w:t>
      </w:r>
      <w:r>
        <w:tab/>
      </w:r>
      <w:r>
        <w:fldChar w:fldCharType="begin"/>
      </w:r>
      <w:r>
        <w:instrText xml:space="preserve"> PAGEREF _Toc122981810 \h </w:instrText>
      </w:r>
      <w:r>
        <w:fldChar w:fldCharType="separate"/>
      </w:r>
      <w:r>
        <w:t>36</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"_Toc122981811" </w:instrText>
      </w:r>
      <w:r>
        <w:fldChar w:fldCharType="separate"/>
      </w:r>
      <w:r>
        <w:rPr>
          <w:rStyle w:val="24"/>
          <w:i/>
          <w:iCs/>
        </w:rPr>
        <w:t>Figure 35. Receptor Option (Ozone)</w:t>
      </w:r>
      <w:r>
        <w:tab/>
      </w:r>
      <w:r>
        <w:fldChar w:fldCharType="begin"/>
      </w:r>
      <w:r>
        <w:instrText xml:space="preserve"> PAGEREF _Toc122981811 \h </w:instrText>
      </w:r>
      <w:r>
        <w:fldChar w:fldCharType="separate"/>
      </w:r>
      <w:r>
        <w:t>37</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"_Toc122981812" </w:instrText>
      </w:r>
      <w:r>
        <w:fldChar w:fldCharType="separate"/>
      </w:r>
      <w:r>
        <w:rPr>
          <w:rStyle w:val="24"/>
          <w:i/>
          <w:iCs/>
        </w:rPr>
        <w:t>Figure 36. Cross Validation Option (Ozone)</w:t>
      </w:r>
      <w:r>
        <w:tab/>
      </w:r>
      <w:r>
        <w:fldChar w:fldCharType="begin"/>
      </w:r>
      <w:r>
        <w:instrText xml:space="preserve"> PAGEREF _Toc122981812 \h </w:instrText>
      </w:r>
      <w:r>
        <w:fldChar w:fldCharType="separate"/>
      </w:r>
      <w:r>
        <w:t>38</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"_Toc122981813" </w:instrText>
      </w:r>
      <w:r>
        <w:fldChar w:fldCharType="separate"/>
      </w:r>
      <w:r>
        <w:rPr>
          <w:rStyle w:val="24"/>
          <w:i/>
          <w:iCs/>
        </w:rPr>
        <w:t>Figure 37. The interface of the Data Viewer</w:t>
      </w:r>
      <w:r>
        <w:tab/>
      </w:r>
      <w:r>
        <w:fldChar w:fldCharType="begin"/>
      </w:r>
      <w:r>
        <w:instrText xml:space="preserve"> PAGEREF _Toc122981813 \h </w:instrText>
      </w:r>
      <w:r>
        <w:fldChar w:fldCharType="separate"/>
      </w:r>
      <w:r>
        <w:t>39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"_Toc122981814" </w:instrText>
      </w:r>
      <w:r>
        <w:fldChar w:fldCharType="separate"/>
      </w:r>
      <w:r>
        <w:rPr>
          <w:rStyle w:val="24"/>
          <w:i/>
          <w:iCs/>
        </w:rPr>
        <w:t>Figure 38. The interface of the Map Viewer (PM</w:t>
      </w:r>
      <w:r>
        <w:rPr>
          <w:rStyle w:val="24"/>
          <w:i/>
          <w:iCs/>
          <w:vertAlign w:val="subscript"/>
        </w:rPr>
        <w:t>2.5</w:t>
      </w:r>
      <w:r>
        <w:rPr>
          <w:rStyle w:val="24"/>
          <w:i/>
          <w:iCs/>
        </w:rPr>
        <w:t xml:space="preserve"> or Ozone)</w:t>
      </w:r>
      <w:r>
        <w:tab/>
      </w:r>
      <w:r>
        <w:fldChar w:fldCharType="begin"/>
      </w:r>
      <w:r>
        <w:instrText xml:space="preserve"> PAGEREF _Toc122981814 \h </w:instrText>
      </w:r>
      <w:r>
        <w:fldChar w:fldCharType="separate"/>
      </w:r>
      <w:r>
        <w:t>40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"_Toc122981815" </w:instrText>
      </w:r>
      <w:r>
        <w:fldChar w:fldCharType="separate"/>
      </w:r>
      <w:r>
        <w:rPr>
          <w:rStyle w:val="24"/>
          <w:i/>
          <w:iCs/>
        </w:rPr>
        <w:t>Figure 39. The interface of the Map Viewer (AOD)</w:t>
      </w:r>
      <w:r>
        <w:tab/>
      </w:r>
      <w:r>
        <w:fldChar w:fldCharType="begin"/>
      </w:r>
      <w:r>
        <w:instrText xml:space="preserve"> PAGEREF _Toc122981815 \h </w:instrText>
      </w:r>
      <w:r>
        <w:fldChar w:fldCharType="separate"/>
      </w:r>
      <w:r>
        <w:t>41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"_Toc122981816" </w:instrText>
      </w:r>
      <w:r>
        <w:fldChar w:fldCharType="separate"/>
      </w:r>
      <w:r>
        <w:rPr>
          <w:rStyle w:val="24"/>
          <w:i/>
          <w:iCs/>
        </w:rPr>
        <w:t>Figure 40. Show map of selected algorithms</w:t>
      </w:r>
      <w:r>
        <w:tab/>
      </w:r>
      <w:r>
        <w:fldChar w:fldCharType="begin"/>
      </w:r>
      <w:r>
        <w:instrText xml:space="preserve"> PAGEREF _Toc122981816 \h </w:instrText>
      </w:r>
      <w:r>
        <w:fldChar w:fldCharType="separate"/>
      </w:r>
      <w:r>
        <w:t>42</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"_Toc122981817" </w:instrText>
      </w:r>
      <w:r>
        <w:fldChar w:fldCharType="separate"/>
      </w:r>
      <w:r>
        <w:rPr>
          <w:rStyle w:val="24"/>
          <w:i/>
          <w:iCs/>
        </w:rPr>
        <w:t>Figure 41. Double click to change legend</w:t>
      </w:r>
      <w:r>
        <w:tab/>
      </w:r>
      <w:r>
        <w:fldChar w:fldCharType="begin"/>
      </w:r>
      <w:r>
        <w:instrText xml:space="preserve"> PAGEREF _Toc122981817 \h </w:instrText>
      </w:r>
      <w:r>
        <w:fldChar w:fldCharType="separate"/>
      </w:r>
      <w:r>
        <w:t>43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"_Toc122981818" </w:instrText>
      </w:r>
      <w:r>
        <w:fldChar w:fldCharType="separate"/>
      </w:r>
      <w:r>
        <w:rPr>
          <w:rStyle w:val="24"/>
          <w:i/>
          <w:iCs/>
        </w:rPr>
        <w:t>Figure 42. Configure Plot</w:t>
      </w:r>
      <w:r>
        <w:tab/>
      </w:r>
      <w:r>
        <w:fldChar w:fldCharType="begin"/>
      </w:r>
      <w:r>
        <w:instrText xml:space="preserve"> PAGEREF _Toc122981818 \h </w:instrText>
      </w:r>
      <w:r>
        <w:fldChar w:fldCharType="separate"/>
      </w:r>
      <w:r>
        <w:t>43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"_Toc122981819" </w:instrText>
      </w:r>
      <w:r>
        <w:fldChar w:fldCharType="separate"/>
      </w:r>
      <w:r>
        <w:rPr>
          <w:rStyle w:val="24"/>
          <w:i/>
          <w:iCs/>
        </w:rPr>
        <w:t>Figure 43. Click the Plot menu item to manage map</w:t>
      </w:r>
      <w:r>
        <w:tab/>
      </w:r>
      <w:r>
        <w:fldChar w:fldCharType="begin"/>
      </w:r>
      <w:r>
        <w:instrText xml:space="preserve"> PAGEREF _Toc122981819 \h </w:instrText>
      </w:r>
      <w:r>
        <w:fldChar w:fldCharType="separate"/>
      </w:r>
      <w:r>
        <w:t>44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"_Toc122981820" </w:instrText>
      </w:r>
      <w:r>
        <w:fldChar w:fldCharType="separate"/>
      </w:r>
      <w:r>
        <w:rPr>
          <w:rStyle w:val="24"/>
          <w:i/>
          <w:iCs/>
        </w:rPr>
        <w:t>Figure 44. Right-click the map</w:t>
      </w:r>
      <w:r>
        <w:tab/>
      </w:r>
      <w:r>
        <w:fldChar w:fldCharType="begin"/>
      </w:r>
      <w:r>
        <w:instrText xml:space="preserve"> PAGEREF _Toc122981820 \h </w:instrText>
      </w:r>
      <w:r>
        <w:fldChar w:fldCharType="separate"/>
      </w:r>
      <w:r>
        <w:t>44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"_Toc122981821" </w:instrText>
      </w:r>
      <w:r>
        <w:fldChar w:fldCharType="separate"/>
      </w:r>
      <w:r>
        <w:rPr>
          <w:rStyle w:val="24"/>
          <w:i/>
          <w:iCs/>
        </w:rPr>
        <w:t>Figure 45. Show Monitors</w:t>
      </w:r>
      <w:r>
        <w:tab/>
      </w:r>
      <w:r>
        <w:fldChar w:fldCharType="begin"/>
      </w:r>
      <w:r>
        <w:instrText xml:space="preserve"> PAGEREF _Toc122981821 \h </w:instrText>
      </w:r>
      <w:r>
        <w:fldChar w:fldCharType="separate"/>
      </w:r>
      <w:r>
        <w:t>45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"_Toc122981822" </w:instrText>
      </w:r>
      <w:r>
        <w:fldChar w:fldCharType="separate"/>
      </w:r>
      <w:r>
        <w:rPr>
          <w:rStyle w:val="24"/>
          <w:i/>
          <w:iCs/>
        </w:rPr>
        <w:t>Figure 46. Show site information</w:t>
      </w:r>
      <w:r>
        <w:tab/>
      </w:r>
      <w:r>
        <w:fldChar w:fldCharType="begin"/>
      </w:r>
      <w:r>
        <w:instrText xml:space="preserve"> PAGEREF _Toc122981822 \h </w:instrText>
      </w:r>
      <w:r>
        <w:fldChar w:fldCharType="separate"/>
      </w:r>
      <w:r>
        <w:t>45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"_Toc122981823" </w:instrText>
      </w:r>
      <w:r>
        <w:fldChar w:fldCharType="separate"/>
      </w:r>
      <w:r>
        <w:rPr>
          <w:rStyle w:val="24"/>
          <w:i/>
          <w:iCs/>
        </w:rPr>
        <w:t>Figure 47. Formula Editor</w:t>
      </w:r>
      <w:r>
        <w:tab/>
      </w:r>
      <w:r>
        <w:fldChar w:fldCharType="begin"/>
      </w:r>
      <w:r>
        <w:instrText xml:space="preserve"> PAGEREF _Toc122981823 \h </w:instrText>
      </w:r>
      <w:r>
        <w:fldChar w:fldCharType="separate"/>
      </w:r>
      <w:r>
        <w:t>46</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"_Toc122981824" </w:instrText>
      </w:r>
      <w:r>
        <w:fldChar w:fldCharType="separate"/>
      </w:r>
      <w:r>
        <w:rPr>
          <w:rStyle w:val="24"/>
          <w:i/>
          <w:iCs/>
        </w:rPr>
        <w:t>Figure 48. The interface of the GIS Viewer</w:t>
      </w:r>
      <w:r>
        <w:tab/>
      </w:r>
      <w:r>
        <w:fldChar w:fldCharType="begin"/>
      </w:r>
      <w:r>
        <w:instrText xml:space="preserve"> PAGEREF _Toc122981824 \h </w:instrText>
      </w:r>
      <w:r>
        <w:fldChar w:fldCharType="separate"/>
      </w:r>
      <w:r>
        <w:t>47</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"_Toc122981825" </w:instrText>
      </w:r>
      <w:r>
        <w:fldChar w:fldCharType="separate"/>
      </w:r>
      <w:r>
        <w:rPr>
          <w:rStyle w:val="24"/>
          <w:i/>
          <w:iCs/>
        </w:rPr>
        <w:t>Figure 49. GIS Viewer (spatial distribution of pollutants)</w:t>
      </w:r>
      <w:r>
        <w:tab/>
      </w:r>
      <w:r>
        <w:fldChar w:fldCharType="begin"/>
      </w:r>
      <w:r>
        <w:instrText xml:space="preserve"> PAGEREF _Toc122981825 \h </w:instrText>
      </w:r>
      <w:r>
        <w:fldChar w:fldCharType="separate"/>
      </w:r>
      <w:r>
        <w:t>48</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"_Toc122981826" </w:instrText>
      </w:r>
      <w:r>
        <w:fldChar w:fldCharType="separate"/>
      </w:r>
      <w:r>
        <w:rPr>
          <w:rStyle w:val="24"/>
          <w:i/>
          <w:iCs/>
        </w:rPr>
        <w:t>Figure 50. Double click to change legend</w:t>
      </w:r>
      <w:r>
        <w:tab/>
      </w:r>
      <w:r>
        <w:fldChar w:fldCharType="begin"/>
      </w:r>
      <w:r>
        <w:instrText xml:space="preserve"> PAGEREF _Toc122981826 \h </w:instrText>
      </w:r>
      <w:r>
        <w:fldChar w:fldCharType="separate"/>
      </w:r>
      <w:r>
        <w:t>49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"_Toc122981827" </w:instrText>
      </w:r>
      <w:r>
        <w:fldChar w:fldCharType="separate"/>
      </w:r>
      <w:r>
        <w:rPr>
          <w:rStyle w:val="24"/>
          <w:i/>
          <w:iCs/>
        </w:rPr>
        <w:t>Figure 51. Set Value Range</w:t>
      </w:r>
      <w:r>
        <w:tab/>
      </w:r>
      <w:r>
        <w:fldChar w:fldCharType="begin"/>
      </w:r>
      <w:r>
        <w:instrText xml:space="preserve"> PAGEREF _Toc122981827 \h </w:instrText>
      </w:r>
      <w:r>
        <w:fldChar w:fldCharType="separate"/>
      </w:r>
      <w:r>
        <w:t>49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"_Toc122981828" </w:instrText>
      </w:r>
      <w:r>
        <w:fldChar w:fldCharType="separate"/>
      </w:r>
      <w:r>
        <w:rPr>
          <w:rStyle w:val="24"/>
          <w:i/>
          <w:iCs/>
        </w:rPr>
        <w:t>Figure 52. Click shortcut key to change the GIS map configurations</w:t>
      </w:r>
      <w:r>
        <w:tab/>
      </w:r>
      <w:r>
        <w:fldChar w:fldCharType="begin"/>
      </w:r>
      <w:r>
        <w:instrText xml:space="preserve"> PAGEREF _Toc122981828 \h </w:instrText>
      </w:r>
      <w:r>
        <w:fldChar w:fldCharType="separate"/>
      </w:r>
      <w:r>
        <w:t>50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"_Toc122981829" </w:instrText>
      </w:r>
      <w:r>
        <w:fldChar w:fldCharType="separate"/>
      </w:r>
      <w:r>
        <w:rPr>
          <w:rStyle w:val="24"/>
          <w:i/>
          <w:iCs/>
        </w:rPr>
        <w:t>Figure 53. Right-click to save the GIS Layer</w:t>
      </w:r>
      <w:r>
        <w:tab/>
      </w:r>
      <w:r>
        <w:fldChar w:fldCharType="begin"/>
      </w:r>
      <w:r>
        <w:instrText xml:space="preserve"> PAGEREF _Toc122981829 \h </w:instrText>
      </w:r>
      <w:r>
        <w:fldChar w:fldCharType="separate"/>
      </w:r>
      <w:r>
        <w:t>50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"_Toc122981830" </w:instrText>
      </w:r>
      <w:r>
        <w:fldChar w:fldCharType="separate"/>
      </w:r>
      <w:r>
        <w:rPr>
          <w:rStyle w:val="24"/>
          <w:i/>
          <w:iCs/>
        </w:rPr>
        <w:t>Figure 54. Options of showing different GIS layers</w:t>
      </w:r>
      <w:r>
        <w:tab/>
      </w:r>
      <w:r>
        <w:fldChar w:fldCharType="begin"/>
      </w:r>
      <w:r>
        <w:instrText xml:space="preserve"> PAGEREF _Toc122981830 \h </w:instrText>
      </w:r>
      <w:r>
        <w:fldChar w:fldCharType="separate"/>
      </w:r>
      <w:r>
        <w:t>51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"_Toc122981831" </w:instrText>
      </w:r>
      <w:r>
        <w:fldChar w:fldCharType="separate"/>
      </w:r>
      <w:r>
        <w:rPr>
          <w:rStyle w:val="24"/>
          <w:i/>
          <w:iCs/>
        </w:rPr>
        <w:t>Figure 55. Show GIS layers of different regions</w:t>
      </w:r>
      <w:r>
        <w:tab/>
      </w:r>
      <w:r>
        <w:fldChar w:fldCharType="begin"/>
      </w:r>
      <w:r>
        <w:instrText xml:space="preserve"> PAGEREF _Toc122981831 \h </w:instrText>
      </w:r>
      <w:r>
        <w:fldChar w:fldCharType="separate"/>
      </w:r>
      <w:r>
        <w:t>51</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"_Toc122981832" </w:instrText>
      </w:r>
      <w:r>
        <w:fldChar w:fldCharType="separate"/>
      </w:r>
      <w:r>
        <w:rPr>
          <w:rStyle w:val="24"/>
          <w:i/>
          <w:iCs/>
        </w:rPr>
        <w:t>Figure 56. Show GIS layers of different algorithms</w:t>
      </w:r>
      <w:r>
        <w:tab/>
      </w:r>
      <w:r>
        <w:fldChar w:fldCharType="begin"/>
      </w:r>
      <w:r>
        <w:instrText xml:space="preserve"> PAGEREF _Toc122981832 \h </w:instrText>
      </w:r>
      <w:r>
        <w:fldChar w:fldCharType="separate"/>
      </w:r>
      <w:r>
        <w:t>52</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"_Toc122981833" </w:instrText>
      </w:r>
      <w:r>
        <w:fldChar w:fldCharType="separate"/>
      </w:r>
      <w:r>
        <w:rPr>
          <w:rStyle w:val="24"/>
          <w:i/>
          <w:iCs/>
        </w:rPr>
        <w:t>Figure 57. The interface of the Chart Viewer</w:t>
      </w:r>
      <w:r>
        <w:tab/>
      </w:r>
      <w:r>
        <w:fldChar w:fldCharType="begin"/>
      </w:r>
      <w:r>
        <w:instrText xml:space="preserve"> PAGEREF _Toc122981833 \h </w:instrText>
      </w:r>
      <w:r>
        <w:fldChar w:fldCharType="separate"/>
      </w:r>
      <w:r>
        <w:t>53</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"_Toc122981834" </w:instrText>
      </w:r>
      <w:r>
        <w:fldChar w:fldCharType="separate"/>
      </w:r>
      <w:r>
        <w:rPr>
          <w:rStyle w:val="24"/>
          <w:i/>
          <w:iCs/>
        </w:rPr>
        <w:t>Figure 58. Show chart of selected algorithms</w:t>
      </w:r>
      <w:r>
        <w:tab/>
      </w:r>
      <w:r>
        <w:fldChar w:fldCharType="begin"/>
      </w:r>
      <w:r>
        <w:instrText xml:space="preserve"> PAGEREF _Toc122981834 \h </w:instrText>
      </w:r>
      <w:r>
        <w:fldChar w:fldCharType="separate"/>
      </w:r>
      <w:r>
        <w:t>54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"_Toc122981835" </w:instrText>
      </w:r>
      <w:r>
        <w:fldChar w:fldCharType="separate"/>
      </w:r>
      <w:r>
        <w:rPr>
          <w:rStyle w:val="24"/>
          <w:i/>
          <w:iCs/>
        </w:rPr>
        <w:t>Figure 59. Show chart of different output files</w:t>
      </w:r>
      <w:r>
        <w:tab/>
      </w:r>
      <w:r>
        <w:fldChar w:fldCharType="begin"/>
      </w:r>
      <w:r>
        <w:instrText xml:space="preserve"> PAGEREF _Toc122981835 \h </w:instrText>
      </w:r>
      <w:r>
        <w:fldChar w:fldCharType="separate"/>
      </w:r>
      <w:r>
        <w:t>54</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"_Toc122981836" </w:instrText>
      </w:r>
      <w:r>
        <w:fldChar w:fldCharType="separate"/>
      </w:r>
      <w:r>
        <w:rPr>
          <w:rStyle w:val="24"/>
          <w:i/>
          <w:iCs/>
        </w:rPr>
        <w:t>Figure 60. Right-click the chart</w:t>
      </w:r>
      <w:r>
        <w:tab/>
      </w:r>
      <w:r>
        <w:fldChar w:fldCharType="begin"/>
      </w:r>
      <w:r>
        <w:instrText xml:space="preserve"> PAGEREF _Toc122981836 \h </w:instrText>
      </w:r>
      <w:r>
        <w:fldChar w:fldCharType="separate"/>
      </w:r>
      <w:r>
        <w:t>55</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"_Toc122981837" </w:instrText>
      </w:r>
      <w:r>
        <w:fldChar w:fldCharType="separate"/>
      </w:r>
      <w:r>
        <w:rPr>
          <w:rStyle w:val="24"/>
          <w:i/>
          <w:iCs/>
        </w:rPr>
        <w:t>Figure 61. Change Title and Legend</w:t>
      </w:r>
      <w:r>
        <w:tab/>
      </w:r>
      <w:r>
        <w:fldChar w:fldCharType="begin"/>
      </w:r>
      <w:r>
        <w:instrText xml:space="preserve"> PAGEREF _Toc122981837 \h </w:instrText>
      </w:r>
      <w:r>
        <w:fldChar w:fldCharType="separate"/>
      </w:r>
      <w:r>
        <w:t>56</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"_Toc122981838" </w:instrText>
      </w:r>
      <w:r>
        <w:fldChar w:fldCharType="separate"/>
      </w:r>
      <w:r>
        <w:rPr>
          <w:rStyle w:val="24"/>
          <w:i/>
          <w:iCs/>
        </w:rPr>
        <w:t>Figure 62. Show Bias Table</w:t>
      </w:r>
      <w:r>
        <w:tab/>
      </w:r>
      <w:r>
        <w:fldChar w:fldCharType="begin"/>
      </w:r>
      <w:r>
        <w:instrText xml:space="preserve"> PAGEREF _Toc122981838 \h </w:instrText>
      </w:r>
      <w:r>
        <w:fldChar w:fldCharType="separate"/>
      </w:r>
      <w:r>
        <w:t>57</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"_Toc122981839" </w:instrText>
      </w:r>
      <w:r>
        <w:fldChar w:fldCharType="separate"/>
      </w:r>
      <w:r>
        <w:rPr>
          <w:rStyle w:val="24"/>
          <w:i/>
          <w:iCs/>
        </w:rPr>
        <w:t>Figure 63. The interface of the Result Data Viewer</w:t>
      </w:r>
      <w:r>
        <w:tab/>
      </w:r>
      <w:r>
        <w:fldChar w:fldCharType="begin"/>
      </w:r>
      <w:r>
        <w:instrText xml:space="preserve"> PAGEREF _Toc122981839 \h </w:instrText>
      </w:r>
      <w:r>
        <w:fldChar w:fldCharType="separate"/>
      </w:r>
      <w:r>
        <w:t>58</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"_Toc122981840" </w:instrText>
      </w:r>
      <w:r>
        <w:fldChar w:fldCharType="separate"/>
      </w:r>
      <w:r>
        <w:rPr>
          <w:rStyle w:val="24"/>
          <w:i/>
          <w:iCs/>
        </w:rPr>
        <w:t>Figure 64. Show result data of different output files</w:t>
      </w:r>
      <w:r>
        <w:tab/>
      </w:r>
      <w:r>
        <w:fldChar w:fldCharType="begin"/>
      </w:r>
      <w:r>
        <w:instrText xml:space="preserve"> PAGEREF _Toc122981840 \h </w:instrText>
      </w:r>
      <w:r>
        <w:fldChar w:fldCharType="separate"/>
      </w:r>
      <w:r>
        <w:t>59</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"_Toc122981841" </w:instrText>
      </w:r>
      <w:r>
        <w:fldChar w:fldCharType="separate"/>
      </w:r>
      <w:r>
        <w:rPr>
          <w:rStyle w:val="24"/>
          <w:i/>
          <w:iCs/>
        </w:rPr>
        <w:t>Figure 65. Show data detail of checked column</w:t>
      </w:r>
      <w:r>
        <w:tab/>
      </w:r>
      <w:r>
        <w:fldChar w:fldCharType="begin"/>
      </w:r>
      <w:r>
        <w:instrText xml:space="preserve"> PAGEREF _Toc122981841 \h </w:instrText>
      </w:r>
      <w:r>
        <w:fldChar w:fldCharType="separate"/>
      </w:r>
      <w:r>
        <w:t>60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"_Toc122981842" </w:instrText>
      </w:r>
      <w:r>
        <w:fldChar w:fldCharType="separate"/>
      </w:r>
      <w:r>
        <w:rPr>
          <w:rStyle w:val="24"/>
          <w:i/>
          <w:iCs/>
        </w:rPr>
        <w:t>Figure 66. Set the digits after decimal point</w:t>
      </w:r>
      <w:r>
        <w:tab/>
      </w:r>
      <w:r>
        <w:fldChar w:fldCharType="begin"/>
      </w:r>
      <w:r>
        <w:instrText xml:space="preserve"> PAGEREF _Toc122981842 \h </w:instrText>
      </w:r>
      <w:r>
        <w:fldChar w:fldCharType="separate"/>
      </w:r>
      <w:r>
        <w:t>60</w:t>
      </w:r>
      <w:r>
        <w:fldChar w:fldCharType="end"/>
      </w:r>
      <w:r>
        <w:fldChar w:fldCharType="end"/>
      </w:r>
    </w:p>
    <w:p>
      <w:pPr>
        <w:pStyle w:val="14"/>
        <w:tabs>
          <w:tab w:val="right" w:leader="dot" w:pos="8296"/>
        </w:tabs>
        <w:ind w:left="960" w:hanging="480"/>
        <w:rPr>
          <w:rFonts w:asciiTheme="minorHAnsi" w:hAnsiTheme="minorHAnsi" w:eastAsiaTheme="minorEastAsia" w:cstheme="minorBidi"/>
          <w:kern w:val="2"/>
          <w:sz w:val="21"/>
        </w:rPr>
      </w:pPr>
      <w:r>
        <w:fldChar w:fldCharType="begin"/>
      </w:r>
      <w:r>
        <w:instrText xml:space="preserve"> HYPERLINK \l "_Toc122981843" </w:instrText>
      </w:r>
      <w:r>
        <w:fldChar w:fldCharType="separate"/>
      </w:r>
      <w:r>
        <w:rPr>
          <w:rStyle w:val="24"/>
          <w:i/>
          <w:iCs/>
        </w:rPr>
        <w:t>Figure 67. The interface of the Log/Msg Viewer</w:t>
      </w:r>
      <w:r>
        <w:tab/>
      </w:r>
      <w:r>
        <w:fldChar w:fldCharType="begin"/>
      </w:r>
      <w:r>
        <w:instrText xml:space="preserve"> PAGEREF _Toc122981843 \h </w:instrText>
      </w:r>
      <w:r>
        <w:fldChar w:fldCharType="separate"/>
      </w:r>
      <w:r>
        <w:t>61</w:t>
      </w:r>
      <w:r>
        <w:fldChar w:fldCharType="end"/>
      </w:r>
      <w:r>
        <w:fldChar w:fldCharType="end"/>
      </w:r>
    </w:p>
    <w:p>
      <w:pPr>
        <w:rPr>
          <w:b/>
          <w:bCs/>
        </w:rPr>
        <w:sectPr>
          <w:pgSz w:w="11906" w:h="16838"/>
          <w:pgMar w:top="1440" w:right="1800" w:bottom="1440" w:left="1800" w:header="708" w:footer="708" w:gutter="0"/>
          <w:pgNumType w:fmt="lowerRoman"/>
          <w:cols w:space="708" w:num="1"/>
          <w:docGrid w:linePitch="360" w:charSpace="0"/>
        </w:sectPr>
      </w:pPr>
      <w:r>
        <w:rPr>
          <w:b/>
          <w:bCs/>
        </w:rPr>
        <w:fldChar w:fldCharType="end"/>
      </w:r>
      <w:r>
        <w:rPr>
          <w:b/>
          <w:bCs/>
        </w:rPr>
        <w:br w:type="page"/>
      </w:r>
    </w:p>
    <w:bookmarkEnd w:id="3"/>
    <w:p>
      <w:pPr>
        <w:pStyle w:val="2"/>
        <w:rPr>
          <w:szCs w:val="32"/>
        </w:rPr>
      </w:pPr>
      <w:bookmarkStart w:id="6" w:name="_Introduction"/>
      <w:bookmarkEnd w:id="6"/>
      <w:bookmarkStart w:id="7" w:name="_Toc122981741"/>
      <w:r>
        <w:rPr>
          <w:szCs w:val="32"/>
        </w:rPr>
        <w:t>Introduction</w:t>
      </w:r>
      <w:bookmarkEnd w:id="1"/>
      <w:bookmarkEnd w:id="2"/>
      <w:bookmarkEnd w:id="7"/>
    </w:p>
    <w:p>
      <w:pPr>
        <w:pStyle w:val="3"/>
        <w:numPr>
          <w:ilvl w:val="1"/>
          <w:numId w:val="2"/>
        </w:numPr>
        <w:rPr>
          <w:szCs w:val="28"/>
        </w:rPr>
      </w:pPr>
      <w:bookmarkStart w:id="8" w:name="_Toc122981742"/>
      <w:r>
        <w:rPr>
          <w:rFonts w:hint="eastAsia"/>
          <w:szCs w:val="28"/>
        </w:rPr>
        <w:t>O</w:t>
      </w:r>
      <w:r>
        <w:rPr>
          <w:szCs w:val="28"/>
        </w:rPr>
        <w:t>verview of Data Fusion tool</w:t>
      </w:r>
      <w:bookmarkEnd w:id="8"/>
    </w:p>
    <w:p>
      <w:pPr>
        <w:ind w:firstLine="240" w:firstLineChars="100"/>
        <w:jc w:val="both"/>
        <w:rPr>
          <w:szCs w:val="24"/>
        </w:rPr>
      </w:pPr>
      <w:r>
        <w:rPr>
          <w:szCs w:val="24"/>
        </w:rPr>
        <w:t xml:space="preserve">Data Fusion (DF) </w:t>
      </w:r>
      <w:r>
        <w:rPr>
          <w:rFonts w:hint="eastAsia"/>
          <w:szCs w:val="24"/>
        </w:rPr>
        <w:t>is</w:t>
      </w:r>
      <w:r>
        <w:rPr>
          <w:szCs w:val="24"/>
        </w:rPr>
        <w:t xml:space="preserve"> an innovative tool to derive spatial and temporal fields based on a series of data fusion methods commonly applied in health and economic benefit assessments (e.g., Environmental Benefits Mapping and Analysis Program – BenMAP) and air quality attainment assessments (e.g., Software for Model Attainment Test – SMAT) tools. The objective of this DF tool is to provide scientists and policymakers a user-friendly framework for creating desired spatial and temporal fields from existing air quality monitoring and model data and evaluating the results of fused spatial and temporal fields. The spatial and temporal field can be annual, quarterly, monthly, or daily distribution of predicted concentrations on the entire domain or sub-domain. </w:t>
      </w:r>
    </w:p>
    <w:p>
      <w:pPr>
        <w:ind w:firstLine="240" w:firstLineChars="100"/>
        <w:jc w:val="both"/>
        <w:rPr>
          <w:szCs w:val="24"/>
        </w:rPr>
      </w:pPr>
      <w:r>
        <w:rPr>
          <w:szCs w:val="24"/>
        </w:rPr>
        <w:t xml:space="preserve">This standalone DF tool currently implements five built-in data fusion techniques: </w:t>
      </w:r>
    </w:p>
    <w:p>
      <w:pPr>
        <w:pStyle w:val="31"/>
        <w:numPr>
          <w:ilvl w:val="0"/>
          <w:numId w:val="3"/>
        </w:numPr>
        <w:ind w:left="839" w:hanging="482" w:firstLineChars="0"/>
        <w:rPr>
          <w:rFonts w:ascii="Times New Roman" w:hAnsi="Times New Roman"/>
          <w:sz w:val="24"/>
          <w:szCs w:val="24"/>
        </w:rPr>
      </w:pPr>
      <w:bookmarkStart w:id="9" w:name="_Hlk43371931"/>
      <w:r>
        <w:rPr>
          <w:rFonts w:ascii="Times New Roman" w:hAnsi="Times New Roman"/>
          <w:sz w:val="24"/>
          <w:szCs w:val="24"/>
        </w:rPr>
        <w:t>Voronoi Neighbor Averaging (VNA)</w:t>
      </w:r>
    </w:p>
    <w:p>
      <w:pPr>
        <w:pStyle w:val="31"/>
        <w:numPr>
          <w:ilvl w:val="0"/>
          <w:numId w:val="3"/>
        </w:numPr>
        <w:ind w:left="839" w:hanging="482" w:firstLineChars="0"/>
        <w:rPr>
          <w:rFonts w:ascii="Times New Roman" w:hAnsi="Times New Roman"/>
          <w:sz w:val="24"/>
          <w:szCs w:val="24"/>
        </w:rPr>
      </w:pPr>
      <w:r>
        <w:rPr>
          <w:rFonts w:ascii="Times New Roman" w:hAnsi="Times New Roman"/>
          <w:sz w:val="24"/>
          <w:szCs w:val="24"/>
        </w:rPr>
        <w:t xml:space="preserve">Enhanced Voronoi Averaging (eVNA) </w:t>
      </w:r>
    </w:p>
    <w:p>
      <w:pPr>
        <w:pStyle w:val="31"/>
        <w:numPr>
          <w:ilvl w:val="0"/>
          <w:numId w:val="3"/>
        </w:numPr>
        <w:ind w:left="839" w:hanging="482" w:firstLineChars="0"/>
        <w:rPr>
          <w:rFonts w:ascii="Times New Roman" w:hAnsi="Times New Roman"/>
          <w:sz w:val="24"/>
          <w:szCs w:val="24"/>
        </w:rPr>
      </w:pPr>
      <w:r>
        <w:rPr>
          <w:rFonts w:ascii="Times New Roman" w:hAnsi="Times New Roman"/>
          <w:sz w:val="24"/>
          <w:szCs w:val="24"/>
        </w:rPr>
        <w:t>Downscaler (DS)</w:t>
      </w:r>
    </w:p>
    <w:p>
      <w:pPr>
        <w:pStyle w:val="31"/>
        <w:numPr>
          <w:ilvl w:val="0"/>
          <w:numId w:val="3"/>
        </w:numPr>
        <w:ind w:left="839" w:hanging="482" w:firstLineChars="0"/>
        <w:rPr>
          <w:rFonts w:ascii="Times New Roman" w:hAnsi="Times New Roman"/>
          <w:sz w:val="24"/>
          <w:szCs w:val="24"/>
        </w:rPr>
      </w:pPr>
      <w:r>
        <w:rPr>
          <w:rFonts w:ascii="Times New Roman" w:hAnsi="Times New Roman"/>
          <w:sz w:val="24"/>
          <w:szCs w:val="24"/>
        </w:rPr>
        <w:t xml:space="preserve">Weighting VNA (wVNA) </w:t>
      </w:r>
    </w:p>
    <w:p>
      <w:pPr>
        <w:pStyle w:val="31"/>
        <w:numPr>
          <w:ilvl w:val="0"/>
          <w:numId w:val="3"/>
        </w:numPr>
        <w:ind w:left="839" w:hanging="482" w:firstLineChars="0"/>
        <w:rPr>
          <w:rFonts w:ascii="Times New Roman" w:hAnsi="Times New Roman"/>
          <w:sz w:val="24"/>
          <w:szCs w:val="24"/>
        </w:rPr>
      </w:pPr>
      <w:r>
        <w:rPr>
          <w:rFonts w:ascii="Times New Roman" w:hAnsi="Times New Roman"/>
          <w:sz w:val="24"/>
          <w:szCs w:val="24"/>
        </w:rPr>
        <w:t>Nearest Site (NS)</w:t>
      </w:r>
      <w:bookmarkEnd w:id="9"/>
      <w:r>
        <w:rPr>
          <w:rFonts w:ascii="Times New Roman" w:hAnsi="Times New Roman"/>
          <w:sz w:val="24"/>
          <w:szCs w:val="24"/>
        </w:rPr>
        <w:t xml:space="preserve"> </w:t>
      </w:r>
    </w:p>
    <w:p>
      <w:pPr>
        <w:ind w:firstLine="240" w:firstLineChars="100"/>
        <w:jc w:val="both"/>
        <w:rPr>
          <w:szCs w:val="24"/>
        </w:rPr>
      </w:pPr>
      <w:r>
        <w:rPr>
          <w:szCs w:val="24"/>
        </w:rPr>
        <w:t>The DF tool has an easy-to-use graphical user interface (GUI) to allow users to flexibly create spatial and temporal data fields, conduct cross-validation (including Multi-fold, Leave-one-out, and Leave-group-out cross-evaluation methods), and provide visualization analysis capabilities (e.g., map, GIS and chart, etc.), as well as contains a built-in long-term ambient monitoring network database for PM</w:t>
      </w:r>
      <w:r>
        <w:rPr>
          <w:szCs w:val="24"/>
          <w:vertAlign w:val="subscript"/>
        </w:rPr>
        <w:t>2.5</w:t>
      </w:r>
      <w:r>
        <w:rPr>
          <w:szCs w:val="24"/>
        </w:rPr>
        <w:t xml:space="preserve"> and its component species and ozone.</w:t>
      </w:r>
    </w:p>
    <w:p>
      <w:pPr>
        <w:ind w:firstLine="240" w:firstLineChars="100"/>
        <w:jc w:val="both"/>
        <w:rPr>
          <w:szCs w:val="24"/>
        </w:rPr>
      </w:pPr>
      <w:r>
        <w:rPr>
          <w:szCs w:val="24"/>
        </w:rPr>
        <w:t>The DF tool includes five key modules currently:</w:t>
      </w:r>
    </w:p>
    <w:p>
      <w:pPr>
        <w:pStyle w:val="31"/>
        <w:numPr>
          <w:ilvl w:val="0"/>
          <w:numId w:val="4"/>
        </w:numPr>
        <w:ind w:left="839" w:hanging="482" w:firstLineChars="0"/>
        <w:rPr>
          <w:rFonts w:ascii="Times New Roman" w:hAnsi="Times New Roman"/>
          <w:sz w:val="24"/>
          <w:szCs w:val="24"/>
        </w:rPr>
      </w:pPr>
      <w:r>
        <w:rPr>
          <w:rFonts w:ascii="Times New Roman" w:hAnsi="Times New Roman"/>
          <w:sz w:val="24"/>
          <w:szCs w:val="24"/>
        </w:rPr>
        <w:t>Data input module</w:t>
      </w:r>
    </w:p>
    <w:p>
      <w:pPr>
        <w:pStyle w:val="31"/>
        <w:numPr>
          <w:ilvl w:val="0"/>
          <w:numId w:val="4"/>
        </w:numPr>
        <w:ind w:left="839" w:hanging="482" w:firstLineChars="0"/>
        <w:rPr>
          <w:rFonts w:ascii="Times New Roman" w:hAnsi="Times New Roman"/>
          <w:sz w:val="24"/>
          <w:szCs w:val="24"/>
        </w:rPr>
      </w:pPr>
      <w:r>
        <w:rPr>
          <w:rFonts w:ascii="Times New Roman" w:hAnsi="Times New Roman"/>
          <w:sz w:val="24"/>
          <w:szCs w:val="24"/>
        </w:rPr>
        <w:t>Data fusion technique module</w:t>
      </w:r>
    </w:p>
    <w:p>
      <w:pPr>
        <w:pStyle w:val="31"/>
        <w:numPr>
          <w:ilvl w:val="0"/>
          <w:numId w:val="4"/>
        </w:numPr>
        <w:ind w:left="839" w:hanging="482" w:firstLineChars="0"/>
        <w:rPr>
          <w:rFonts w:ascii="Times New Roman" w:hAnsi="Times New Roman"/>
          <w:sz w:val="24"/>
          <w:szCs w:val="24"/>
        </w:rPr>
      </w:pPr>
      <w:r>
        <w:rPr>
          <w:rFonts w:ascii="Times New Roman" w:hAnsi="Times New Roman"/>
          <w:sz w:val="24"/>
          <w:szCs w:val="24"/>
        </w:rPr>
        <w:t>Spatial and temporal option module</w:t>
      </w:r>
    </w:p>
    <w:p>
      <w:pPr>
        <w:pStyle w:val="31"/>
        <w:numPr>
          <w:ilvl w:val="0"/>
          <w:numId w:val="4"/>
        </w:numPr>
        <w:ind w:left="839" w:hanging="482" w:firstLineChars="0"/>
        <w:rPr>
          <w:rFonts w:ascii="Times New Roman" w:hAnsi="Times New Roman"/>
          <w:sz w:val="24"/>
          <w:szCs w:val="24"/>
        </w:rPr>
      </w:pPr>
      <w:r>
        <w:rPr>
          <w:rFonts w:ascii="Times New Roman" w:hAnsi="Times New Roman"/>
          <w:sz w:val="24"/>
          <w:szCs w:val="24"/>
        </w:rPr>
        <w:t>Cross validation module</w:t>
      </w:r>
    </w:p>
    <w:p>
      <w:pPr>
        <w:pStyle w:val="31"/>
        <w:numPr>
          <w:ilvl w:val="0"/>
          <w:numId w:val="4"/>
        </w:numPr>
        <w:ind w:left="839" w:hanging="482" w:firstLineChars="0"/>
        <w:rPr>
          <w:sz w:val="24"/>
          <w:szCs w:val="24"/>
        </w:rPr>
      </w:pPr>
      <w:r>
        <w:rPr>
          <w:rFonts w:ascii="Times New Roman" w:hAnsi="Times New Roman"/>
          <w:sz w:val="24"/>
          <w:szCs w:val="24"/>
        </w:rPr>
        <w:t>Data viewer module</w:t>
      </w:r>
    </w:p>
    <w:p>
      <w:pPr>
        <w:ind w:firstLine="240" w:firstLineChars="100"/>
        <w:jc w:val="both"/>
        <w:rPr>
          <w:szCs w:val="24"/>
        </w:rPr>
      </w:pPr>
      <w:r>
        <w:rPr>
          <w:szCs w:val="24"/>
        </w:rPr>
        <w:t>The detailed description of each module can refer to later chapters.</w:t>
      </w:r>
    </w:p>
    <w:p>
      <w:pPr>
        <w:ind w:firstLine="240" w:firstLineChars="100"/>
        <w:jc w:val="both"/>
      </w:pPr>
      <w:r>
        <w:rPr>
          <w:szCs w:val="24"/>
        </w:rPr>
        <w:t>This document provides instructions on how to use DF to conduct data fusion analysis for PM</w:t>
      </w:r>
      <w:r>
        <w:rPr>
          <w:szCs w:val="24"/>
          <w:vertAlign w:val="subscript"/>
        </w:rPr>
        <w:t>2.5</w:t>
      </w:r>
      <w:r>
        <w:rPr>
          <w:szCs w:val="24"/>
        </w:rPr>
        <w:t xml:space="preserve"> and O</w:t>
      </w:r>
      <w:r>
        <w:rPr>
          <w:szCs w:val="24"/>
          <w:vertAlign w:val="subscript"/>
        </w:rPr>
        <w:t>3</w:t>
      </w:r>
      <w:r>
        <w:rPr>
          <w:szCs w:val="24"/>
        </w:rPr>
        <w:t xml:space="preserve"> with the following chapters:</w:t>
      </w:r>
    </w:p>
    <w:p>
      <w:pPr>
        <w:pStyle w:val="31"/>
        <w:numPr>
          <w:ilvl w:val="0"/>
          <w:numId w:val="5"/>
        </w:numPr>
        <w:ind w:left="714" w:hanging="357" w:firstLineChars="0"/>
        <w:rPr>
          <w:rFonts w:ascii="Times New Roman" w:hAnsi="Times New Roman"/>
          <w:sz w:val="24"/>
          <w:szCs w:val="24"/>
        </w:rPr>
      </w:pPr>
      <w:r>
        <w:fldChar w:fldCharType="begin"/>
      </w:r>
      <w:r>
        <w:instrText xml:space="preserve"> HYPERLINK \l "_Introduction" </w:instrText>
      </w:r>
      <w:r>
        <w:fldChar w:fldCharType="separate"/>
      </w:r>
      <w:r>
        <w:rPr>
          <w:rStyle w:val="23"/>
          <w:rFonts w:ascii="Times New Roman" w:hAnsi="Times New Roman"/>
          <w:sz w:val="24"/>
          <w:szCs w:val="24"/>
        </w:rPr>
        <w:t>Chapter 1.</w:t>
      </w:r>
      <w:r>
        <w:rPr>
          <w:rStyle w:val="24"/>
          <w:rFonts w:ascii="Times New Roman" w:hAnsi="Times New Roman"/>
          <w:sz w:val="24"/>
          <w:szCs w:val="24"/>
        </w:rPr>
        <w:fldChar w:fldCharType="end"/>
      </w:r>
      <w:r>
        <w:t xml:space="preserve"> </w:t>
      </w:r>
      <w:r>
        <w:rPr>
          <w:rFonts w:ascii="Times New Roman" w:hAnsi="Times New Roman"/>
          <w:sz w:val="24"/>
          <w:szCs w:val="24"/>
        </w:rPr>
        <w:t>DF introduction and installation</w:t>
      </w:r>
    </w:p>
    <w:p>
      <w:pPr>
        <w:pStyle w:val="31"/>
        <w:numPr>
          <w:ilvl w:val="0"/>
          <w:numId w:val="5"/>
        </w:numPr>
        <w:ind w:left="714" w:hanging="357" w:firstLineChars="0"/>
        <w:rPr>
          <w:rFonts w:ascii="Times New Roman" w:hAnsi="Times New Roman"/>
          <w:sz w:val="24"/>
          <w:szCs w:val="24"/>
        </w:rPr>
      </w:pPr>
      <w:r>
        <w:fldChar w:fldCharType="begin"/>
      </w:r>
      <w:r>
        <w:instrText xml:space="preserve"> HYPERLINK \l "_Evaluation_Principle_of_1" </w:instrText>
      </w:r>
      <w:r>
        <w:fldChar w:fldCharType="separate"/>
      </w:r>
      <w:r>
        <w:rPr>
          <w:rStyle w:val="23"/>
          <w:rFonts w:ascii="Times New Roman" w:hAnsi="Times New Roman"/>
          <w:sz w:val="24"/>
          <w:szCs w:val="24"/>
        </w:rPr>
        <w:t>Chapter 2.</w:t>
      </w:r>
      <w:r>
        <w:rPr>
          <w:rStyle w:val="24"/>
          <w:rFonts w:ascii="Times New Roman" w:hAnsi="Times New Roman"/>
          <w:sz w:val="24"/>
          <w:szCs w:val="24"/>
        </w:rPr>
        <w:fldChar w:fldCharType="end"/>
      </w:r>
      <w:r>
        <w:rPr>
          <w:rFonts w:ascii="Times New Roman" w:hAnsi="Times New Roman"/>
          <w:sz w:val="24"/>
          <w:szCs w:val="24"/>
        </w:rPr>
        <w:t xml:space="preserve"> Quick Start</w:t>
      </w:r>
    </w:p>
    <w:p>
      <w:pPr>
        <w:pStyle w:val="31"/>
        <w:numPr>
          <w:ilvl w:val="0"/>
          <w:numId w:val="5"/>
        </w:numPr>
        <w:ind w:left="714" w:hanging="357" w:firstLineChars="0"/>
        <w:rPr>
          <w:rFonts w:ascii="Times New Roman" w:hAnsi="Times New Roman"/>
          <w:sz w:val="24"/>
          <w:szCs w:val="24"/>
        </w:rPr>
      </w:pPr>
      <w:r>
        <w:rPr>
          <w:rFonts w:ascii="Times New Roman" w:hAnsi="Times New Roman"/>
          <w:color w:val="auto"/>
          <w:sz w:val="24"/>
          <w:szCs w:val="24"/>
          <w:u w:val="none"/>
        </w:rPr>
        <w:fldChar w:fldCharType="begin"/>
      </w:r>
      <w:r>
        <w:rPr>
          <w:rFonts w:ascii="Times New Roman" w:hAnsi="Times New Roman"/>
          <w:color w:val="auto"/>
          <w:sz w:val="24"/>
          <w:szCs w:val="24"/>
          <w:u w:val="none"/>
        </w:rPr>
        <w:instrText xml:space="preserve"> HYPERLINK \l "_Functional Framework of Data Fusion" </w:instrText>
      </w:r>
      <w:r>
        <w:rPr>
          <w:rFonts w:ascii="Times New Roman" w:hAnsi="Times New Roman"/>
          <w:color w:val="auto"/>
          <w:sz w:val="24"/>
          <w:szCs w:val="24"/>
          <w:u w:val="none"/>
        </w:rPr>
        <w:fldChar w:fldCharType="separate"/>
      </w:r>
      <w:r>
        <w:rPr>
          <w:rStyle w:val="23"/>
          <w:rFonts w:ascii="Times New Roman" w:hAnsi="Times New Roman"/>
          <w:sz w:val="24"/>
          <w:szCs w:val="24"/>
        </w:rPr>
        <w:t>Chapter 3.</w:t>
      </w:r>
      <w:r>
        <w:rPr>
          <w:rFonts w:ascii="Times New Roman" w:hAnsi="Times New Roman"/>
          <w:color w:val="auto"/>
          <w:sz w:val="24"/>
          <w:szCs w:val="24"/>
          <w:u w:val="none"/>
        </w:rPr>
        <w:fldChar w:fldCharType="end"/>
      </w:r>
      <w:r>
        <w:rPr>
          <w:rFonts w:ascii="Times New Roman" w:hAnsi="Times New Roman"/>
          <w:sz w:val="24"/>
          <w:szCs w:val="24"/>
        </w:rPr>
        <w:t xml:space="preserve"> Functional Framework of Data Fusion</w:t>
      </w:r>
    </w:p>
    <w:p>
      <w:pPr>
        <w:pStyle w:val="31"/>
        <w:numPr>
          <w:ilvl w:val="0"/>
          <w:numId w:val="5"/>
        </w:numPr>
        <w:ind w:left="714" w:hanging="357" w:firstLineChars="0"/>
        <w:rPr>
          <w:rFonts w:ascii="Times New Roman" w:hAnsi="Times New Roman"/>
          <w:sz w:val="24"/>
          <w:szCs w:val="24"/>
        </w:rPr>
      </w:pPr>
      <w:r>
        <w:fldChar w:fldCharType="begin"/>
      </w:r>
      <w:r>
        <w:instrText xml:space="preserve"> HYPERLINK \l "_PM2.5_data_fusion" </w:instrText>
      </w:r>
      <w:r>
        <w:fldChar w:fldCharType="separate"/>
      </w:r>
      <w:r>
        <w:rPr>
          <w:rStyle w:val="23"/>
          <w:rFonts w:ascii="Times New Roman" w:hAnsi="Times New Roman"/>
          <w:sz w:val="24"/>
          <w:szCs w:val="24"/>
        </w:rPr>
        <w:t>Chapter 4.</w:t>
      </w:r>
      <w:r>
        <w:rPr>
          <w:rStyle w:val="24"/>
          <w:rFonts w:ascii="Times New Roman" w:hAnsi="Times New Roman"/>
          <w:sz w:val="24"/>
          <w:szCs w:val="24"/>
        </w:rPr>
        <w:fldChar w:fldCharType="end"/>
      </w:r>
      <w:r>
        <w:rPr>
          <w:rFonts w:ascii="Times New Roman" w:hAnsi="Times New Roman"/>
          <w:sz w:val="24"/>
          <w:szCs w:val="24"/>
        </w:rPr>
        <w:t xml:space="preserve"> PM</w:t>
      </w:r>
      <w:r>
        <w:rPr>
          <w:rFonts w:ascii="Times New Roman" w:hAnsi="Times New Roman"/>
          <w:sz w:val="24"/>
          <w:szCs w:val="24"/>
          <w:vertAlign w:val="subscript"/>
        </w:rPr>
        <w:t>2.5</w:t>
      </w:r>
      <w:r>
        <w:rPr>
          <w:rFonts w:ascii="Times New Roman" w:hAnsi="Times New Roman"/>
          <w:sz w:val="24"/>
          <w:szCs w:val="24"/>
        </w:rPr>
        <w:t xml:space="preserve"> Data Fusion Analysis Details</w:t>
      </w:r>
    </w:p>
    <w:p>
      <w:pPr>
        <w:pStyle w:val="31"/>
        <w:numPr>
          <w:ilvl w:val="0"/>
          <w:numId w:val="5"/>
        </w:numPr>
        <w:ind w:left="714" w:hanging="357" w:firstLineChars="0"/>
        <w:rPr>
          <w:rFonts w:ascii="Times New Roman" w:hAnsi="Times New Roman"/>
          <w:sz w:val="24"/>
          <w:szCs w:val="24"/>
        </w:rPr>
      </w:pPr>
      <w:r>
        <w:fldChar w:fldCharType="begin"/>
      </w:r>
      <w:r>
        <w:instrText xml:space="preserve"> HYPERLINK \l "_Ozone_data_fusion" </w:instrText>
      </w:r>
      <w:r>
        <w:fldChar w:fldCharType="separate"/>
      </w:r>
      <w:r>
        <w:rPr>
          <w:rStyle w:val="23"/>
          <w:rFonts w:ascii="Times New Roman" w:hAnsi="Times New Roman"/>
          <w:sz w:val="24"/>
          <w:szCs w:val="24"/>
        </w:rPr>
        <w:t xml:space="preserve">Chapter </w:t>
      </w:r>
      <w:r>
        <w:rPr>
          <w:rStyle w:val="23"/>
          <w:rFonts w:hint="eastAsia" w:ascii="Times New Roman" w:hAnsi="Times New Roman"/>
          <w:sz w:val="24"/>
          <w:szCs w:val="24"/>
        </w:rPr>
        <w:t>5</w:t>
      </w:r>
      <w:r>
        <w:rPr>
          <w:rStyle w:val="23"/>
          <w:rFonts w:ascii="Times New Roman" w:hAnsi="Times New Roman"/>
          <w:sz w:val="24"/>
          <w:szCs w:val="24"/>
        </w:rPr>
        <w:t>.</w:t>
      </w:r>
      <w:r>
        <w:rPr>
          <w:rStyle w:val="24"/>
          <w:rFonts w:ascii="Times New Roman" w:hAnsi="Times New Roman"/>
          <w:sz w:val="24"/>
          <w:szCs w:val="24"/>
        </w:rPr>
        <w:fldChar w:fldCharType="end"/>
      </w:r>
      <w:r>
        <w:rPr>
          <w:rFonts w:ascii="Times New Roman" w:hAnsi="Times New Roman"/>
          <w:sz w:val="24"/>
          <w:szCs w:val="24"/>
        </w:rPr>
        <w:t xml:space="preserve"> Ozone Data Fusion Analysis Details</w:t>
      </w:r>
    </w:p>
    <w:p>
      <w:pPr>
        <w:pStyle w:val="31"/>
        <w:numPr>
          <w:ilvl w:val="0"/>
          <w:numId w:val="5"/>
        </w:numPr>
        <w:ind w:left="714" w:hanging="357" w:firstLineChars="0"/>
        <w:rPr>
          <w:rFonts w:ascii="Times New Roman" w:hAnsi="Times New Roman"/>
          <w:sz w:val="24"/>
          <w:szCs w:val="24"/>
        </w:rPr>
      </w:pPr>
      <w:r>
        <w:fldChar w:fldCharType="begin"/>
      </w:r>
      <w:r>
        <w:instrText xml:space="preserve"> HYPERLINK \l "_Data_Viewer_for" </w:instrText>
      </w:r>
      <w:r>
        <w:fldChar w:fldCharType="separate"/>
      </w:r>
      <w:r>
        <w:rPr>
          <w:rStyle w:val="23"/>
          <w:rFonts w:ascii="Times New Roman" w:hAnsi="Times New Roman"/>
          <w:sz w:val="24"/>
          <w:szCs w:val="24"/>
        </w:rPr>
        <w:t xml:space="preserve">Chapter </w:t>
      </w:r>
      <w:r>
        <w:rPr>
          <w:rStyle w:val="23"/>
          <w:rFonts w:hint="eastAsia" w:ascii="Times New Roman" w:hAnsi="Times New Roman"/>
          <w:sz w:val="24"/>
          <w:szCs w:val="24"/>
        </w:rPr>
        <w:t>6</w:t>
      </w:r>
      <w:r>
        <w:rPr>
          <w:rStyle w:val="23"/>
          <w:rFonts w:ascii="Times New Roman" w:hAnsi="Times New Roman"/>
          <w:sz w:val="24"/>
          <w:szCs w:val="24"/>
        </w:rPr>
        <w:t>.</w:t>
      </w:r>
      <w:r>
        <w:rPr>
          <w:rStyle w:val="24"/>
          <w:rFonts w:ascii="Times New Roman" w:hAnsi="Times New Roman"/>
          <w:sz w:val="24"/>
          <w:szCs w:val="24"/>
        </w:rPr>
        <w:fldChar w:fldCharType="end"/>
      </w:r>
      <w:r>
        <w:rPr>
          <w:rFonts w:ascii="Times New Roman" w:hAnsi="Times New Roman"/>
          <w:sz w:val="24"/>
          <w:szCs w:val="24"/>
        </w:rPr>
        <w:t xml:space="preserve"> Data Viewer for analyzing results</w:t>
      </w:r>
      <w:bookmarkStart w:id="10" w:name="_Evaluation_Principle_of"/>
      <w:bookmarkEnd w:id="10"/>
      <w:bookmarkStart w:id="11" w:name="_Hlk523495534"/>
    </w:p>
    <w:p>
      <w:pPr>
        <w:pStyle w:val="3"/>
        <w:numPr>
          <w:ilvl w:val="1"/>
          <w:numId w:val="2"/>
        </w:numPr>
        <w:rPr>
          <w:szCs w:val="28"/>
        </w:rPr>
      </w:pPr>
      <w:bookmarkStart w:id="12" w:name="_Computer_Requirements_and"/>
      <w:bookmarkEnd w:id="12"/>
      <w:bookmarkStart w:id="13" w:name="_Computer_Requirements"/>
      <w:bookmarkEnd w:id="13"/>
      <w:bookmarkStart w:id="14" w:name="_Toc122981743"/>
      <w:r>
        <w:rPr>
          <w:szCs w:val="28"/>
        </w:rPr>
        <w:t>Computer Requirements</w:t>
      </w:r>
      <w:bookmarkEnd w:id="14"/>
    </w:p>
    <w:p>
      <w:pPr>
        <w:ind w:firstLine="240" w:firstLineChars="100"/>
        <w:jc w:val="both"/>
        <w:rPr>
          <w:szCs w:val="24"/>
        </w:rPr>
      </w:pPr>
      <w:r>
        <w:rPr>
          <w:szCs w:val="24"/>
        </w:rPr>
        <w:t>Data Fusion requires a computer with:</w:t>
      </w:r>
    </w:p>
    <w:p>
      <w:pPr>
        <w:numPr>
          <w:ilvl w:val="0"/>
          <w:numId w:val="6"/>
        </w:numPr>
        <w:jc w:val="both"/>
        <w:rPr>
          <w:szCs w:val="24"/>
        </w:rPr>
      </w:pPr>
      <w:r>
        <w:rPr>
          <w:szCs w:val="24"/>
        </w:rPr>
        <w:t xml:space="preserve">Net Framework Version 4.0 or higher. </w:t>
      </w:r>
    </w:p>
    <w:p>
      <w:pPr>
        <w:numPr>
          <w:ilvl w:val="0"/>
          <w:numId w:val="6"/>
        </w:numPr>
        <w:jc w:val="both"/>
        <w:rPr>
          <w:szCs w:val="24"/>
        </w:rPr>
      </w:pPr>
      <w:r>
        <w:rPr>
          <w:szCs w:val="24"/>
        </w:rPr>
        <w:t>32-bit or 64-bit Windows 7/Windows 8/Windows 10.</w:t>
      </w:r>
    </w:p>
    <w:p>
      <w:pPr>
        <w:numPr>
          <w:ilvl w:val="0"/>
          <w:numId w:val="6"/>
        </w:numPr>
        <w:jc w:val="both"/>
        <w:rPr>
          <w:szCs w:val="24"/>
        </w:rPr>
      </w:pPr>
      <w:r>
        <w:rPr>
          <w:szCs w:val="24"/>
        </w:rPr>
        <w:t>2 GB RAM or greater.</w:t>
      </w:r>
    </w:p>
    <w:p>
      <w:pPr>
        <w:numPr>
          <w:ilvl w:val="0"/>
          <w:numId w:val="6"/>
        </w:numPr>
        <w:rPr>
          <w:szCs w:val="24"/>
        </w:rPr>
      </w:pPr>
      <w:r>
        <w:rPr>
          <w:szCs w:val="24"/>
        </w:rPr>
        <w:t>6 GB free disk space or greater.</w:t>
      </w:r>
    </w:p>
    <w:p>
      <w:pPr>
        <w:pStyle w:val="3"/>
        <w:numPr>
          <w:ilvl w:val="1"/>
          <w:numId w:val="2"/>
        </w:numPr>
        <w:rPr>
          <w:szCs w:val="28"/>
        </w:rPr>
      </w:pPr>
      <w:bookmarkStart w:id="15" w:name="_Toc439061747"/>
      <w:bookmarkStart w:id="16" w:name="_Toc438541458"/>
      <w:bookmarkStart w:id="17" w:name="_Toc122981744"/>
      <w:r>
        <w:rPr>
          <w:szCs w:val="28"/>
        </w:rPr>
        <w:t xml:space="preserve">Install/Uninstall </w:t>
      </w:r>
      <w:bookmarkEnd w:id="15"/>
      <w:bookmarkEnd w:id="16"/>
      <w:r>
        <w:rPr>
          <w:szCs w:val="28"/>
        </w:rPr>
        <w:t>Data Fusion</w:t>
      </w:r>
      <w:bookmarkEnd w:id="17"/>
    </w:p>
    <w:p>
      <w:pPr>
        <w:pStyle w:val="4"/>
        <w:numPr>
          <w:ilvl w:val="2"/>
          <w:numId w:val="2"/>
        </w:numPr>
        <w:rPr>
          <w:szCs w:val="24"/>
        </w:rPr>
      </w:pPr>
      <w:bookmarkStart w:id="18" w:name="_Toc439061748"/>
      <w:bookmarkStart w:id="19" w:name="_Toc438541459"/>
      <w:bookmarkStart w:id="20" w:name="_Toc122981745"/>
      <w:r>
        <w:rPr>
          <w:szCs w:val="24"/>
        </w:rPr>
        <w:t xml:space="preserve">Install </w:t>
      </w:r>
      <w:bookmarkEnd w:id="18"/>
      <w:bookmarkEnd w:id="19"/>
      <w:r>
        <w:rPr>
          <w:szCs w:val="24"/>
        </w:rPr>
        <w:t>Data Fusion</w:t>
      </w:r>
      <w:bookmarkEnd w:id="20"/>
    </w:p>
    <w:p>
      <w:pPr>
        <w:numPr>
          <w:ilvl w:val="0"/>
          <w:numId w:val="7"/>
        </w:numPr>
        <w:jc w:val="both"/>
        <w:rPr>
          <w:szCs w:val="24"/>
        </w:rPr>
      </w:pPr>
      <w:r>
        <w:rPr>
          <w:szCs w:val="24"/>
        </w:rPr>
        <w:t xml:space="preserve">Download </w:t>
      </w:r>
      <w:r>
        <w:rPr>
          <w:rFonts w:hint="eastAsia"/>
          <w:szCs w:val="24"/>
        </w:rPr>
        <w:t>Data</w:t>
      </w:r>
      <w:r>
        <w:rPr>
          <w:szCs w:val="24"/>
        </w:rPr>
        <w:t xml:space="preserve"> Fusion Software Package </w:t>
      </w:r>
      <w:r>
        <w:rPr>
          <w:rFonts w:hint="eastAsia"/>
          <w:szCs w:val="24"/>
        </w:rPr>
        <w:t>from</w:t>
      </w:r>
      <w:r>
        <w:rPr>
          <w:szCs w:val="24"/>
        </w:rPr>
        <w:t xml:space="preserve"> the ABaCAS website:</w:t>
      </w:r>
    </w:p>
    <w:p>
      <w:pPr>
        <w:pStyle w:val="31"/>
        <w:numPr>
          <w:ilvl w:val="0"/>
          <w:numId w:val="8"/>
        </w:numPr>
        <w:ind w:firstLineChars="0"/>
        <w:rPr>
          <w:rFonts w:ascii="Times New Roman" w:hAnsi="Times New Roman"/>
          <w:sz w:val="24"/>
          <w:szCs w:val="32"/>
        </w:rPr>
      </w:pPr>
      <w:r>
        <w:rPr>
          <w:rFonts w:ascii="Times New Roman" w:hAnsi="Times New Roman"/>
          <w:sz w:val="24"/>
          <w:szCs w:val="32"/>
        </w:rPr>
        <w:t xml:space="preserve">ABaCAS website: </w:t>
      </w:r>
    </w:p>
    <w:p>
      <w:pPr>
        <w:pStyle w:val="31"/>
        <w:ind w:left="420" w:firstLine="0" w:firstLineChars="0"/>
        <w:rPr>
          <w:rFonts w:hint="eastAsia" w:ascii="Times New Roman" w:hAnsi="Times New Roman" w:eastAsia="宋体"/>
          <w:sz w:val="24"/>
          <w:szCs w:val="24"/>
          <w:lang w:val="en-US" w:eastAsia="zh-CN"/>
        </w:rPr>
      </w:pPr>
      <w:r>
        <w:rPr>
          <w:rFonts w:ascii="Times New Roman" w:hAnsi="Times New Roman"/>
          <w:sz w:val="24"/>
          <w:szCs w:val="24"/>
        </w:rPr>
        <w:fldChar w:fldCharType="begin"/>
      </w:r>
      <w:r>
        <w:rPr>
          <w:rFonts w:ascii="Times New Roman" w:hAnsi="Times New Roman"/>
          <w:sz w:val="24"/>
          <w:szCs w:val="24"/>
        </w:rPr>
        <w:instrText xml:space="preserve"> HYPERLINK "http://abacas.see.scut.edu.cn/tools/" </w:instrText>
      </w:r>
      <w:r>
        <w:rPr>
          <w:rFonts w:ascii="Times New Roman" w:hAnsi="Times New Roman"/>
          <w:sz w:val="24"/>
          <w:szCs w:val="24"/>
        </w:rPr>
        <w:fldChar w:fldCharType="separate"/>
      </w:r>
      <w:r>
        <w:rPr>
          <w:rStyle w:val="24"/>
          <w:rFonts w:ascii="Times New Roman" w:hAnsi="Times New Roman"/>
          <w:sz w:val="24"/>
          <w:szCs w:val="24"/>
        </w:rPr>
        <w:t>http://abacas.see.scut.edu.cn/tools/</w:t>
      </w:r>
      <w:r>
        <w:rPr>
          <w:rFonts w:ascii="Times New Roman" w:hAnsi="Times New Roman"/>
          <w:sz w:val="24"/>
          <w:szCs w:val="24"/>
        </w:rPr>
        <w:fldChar w:fldCharType="end"/>
      </w:r>
      <w:r>
        <w:rPr>
          <w:rFonts w:hint="eastAsia" w:ascii="Times New Roman" w:hAnsi="Times New Roman"/>
          <w:sz w:val="24"/>
          <w:szCs w:val="24"/>
          <w:lang w:val="en-US" w:eastAsia="zh-CN"/>
        </w:rPr>
        <w:t xml:space="preserve"> </w:t>
      </w:r>
    </w:p>
    <w:p>
      <w:pPr>
        <w:numPr>
          <w:ilvl w:val="0"/>
          <w:numId w:val="9"/>
        </w:numPr>
        <w:ind w:left="0" w:firstLine="0"/>
        <w:jc w:val="both"/>
        <w:rPr>
          <w:color w:val="000000"/>
          <w:szCs w:val="24"/>
        </w:rPr>
      </w:pPr>
      <w:r>
        <w:rPr>
          <w:color w:val="000000"/>
          <w:szCs w:val="24"/>
        </w:rPr>
        <w:t xml:space="preserve">Double click the </w:t>
      </w:r>
      <w:bookmarkStart w:id="21" w:name="_Hlk43994439"/>
      <w:r>
        <w:rPr>
          <w:color w:val="000000"/>
          <w:szCs w:val="24"/>
        </w:rPr>
        <w:t xml:space="preserve">package </w:t>
      </w:r>
      <w:bookmarkEnd w:id="21"/>
      <w:r>
        <w:rPr>
          <w:color w:val="000000"/>
          <w:szCs w:val="24"/>
        </w:rPr>
        <w:t>(e.g.,</w:t>
      </w:r>
      <w:r>
        <w:t xml:space="preserve"> </w:t>
      </w:r>
      <w:r>
        <w:rPr>
          <w:color w:val="000000"/>
          <w:szCs w:val="24"/>
        </w:rPr>
        <w:t>Data Fusion v2.4 setup.exe) to install the program, it will appear the following window (</w:t>
      </w:r>
      <w:r>
        <w:rPr>
          <w:color w:val="000000"/>
          <w:szCs w:val="24"/>
        </w:rPr>
        <w:fldChar w:fldCharType="begin"/>
      </w:r>
      <w:r>
        <w:rPr>
          <w:color w:val="000000"/>
          <w:szCs w:val="24"/>
        </w:rPr>
        <w:instrText xml:space="preserve"> REF _Ref445828077 \h </w:instrText>
      </w:r>
      <w:r>
        <w:rPr>
          <w:color w:val="000000"/>
          <w:szCs w:val="24"/>
        </w:rPr>
        <w:fldChar w:fldCharType="separate"/>
      </w:r>
      <w:r>
        <w:rPr>
          <w:i/>
          <w:iCs/>
          <w:szCs w:val="24"/>
        </w:rPr>
        <w:t>Figure 1</w:t>
      </w:r>
      <w:r>
        <w:rPr>
          <w:color w:val="000000"/>
          <w:szCs w:val="24"/>
        </w:rPr>
        <w:fldChar w:fldCharType="end"/>
      </w:r>
      <w:r>
        <w:rPr>
          <w:color w:val="000000"/>
          <w:szCs w:val="24"/>
        </w:rPr>
        <w:t>).</w:t>
      </w:r>
    </w:p>
    <w:p>
      <w:pPr>
        <w:jc w:val="center"/>
        <w:rPr>
          <w:szCs w:val="24"/>
        </w:rPr>
      </w:pPr>
      <w:r>
        <w:drawing>
          <wp:inline distT="0" distB="0" distL="0" distR="0">
            <wp:extent cx="4321810" cy="3057525"/>
            <wp:effectExtent l="0" t="0" r="2540" b="952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15">
                      <a:extLst>
                        <a:ext uri="{28A0092B-C50C-407E-A947-70E740481C1C}">
                          <a14:useLocalDpi xmlns:a14="http://schemas.microsoft.com/office/drawing/2010/main" val="0"/>
                        </a:ext>
                      </a:extLst>
                    </a:blip>
                    <a:srcRect l="182" r="519" b="996"/>
                    <a:stretch>
                      <a:fillRect/>
                    </a:stretch>
                  </pic:blipFill>
                  <pic:spPr>
                    <a:xfrm>
                      <a:off x="0" y="0"/>
                      <a:ext cx="4389890" cy="3106038"/>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2" w:name="_Ref445828077"/>
      <w:bookmarkStart w:id="23" w:name="_Toc122981777"/>
      <w:bookmarkStart w:id="24" w:name="_Toc3792379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w:t>
      </w:r>
      <w:r>
        <w:rPr>
          <w:rFonts w:ascii="Times New Roman" w:hAnsi="Times New Roman"/>
          <w:i/>
          <w:iCs/>
          <w:sz w:val="24"/>
          <w:szCs w:val="24"/>
        </w:rPr>
        <w:fldChar w:fldCharType="end"/>
      </w:r>
      <w:bookmarkEnd w:id="22"/>
      <w:r>
        <w:rPr>
          <w:rFonts w:ascii="Times New Roman" w:hAnsi="Times New Roman"/>
          <w:i/>
          <w:iCs/>
          <w:sz w:val="24"/>
          <w:szCs w:val="24"/>
        </w:rPr>
        <w:t>. Setup Window</w:t>
      </w:r>
      <w:bookmarkEnd w:id="23"/>
      <w:bookmarkEnd w:id="24"/>
    </w:p>
    <w:p>
      <w:pPr>
        <w:numPr>
          <w:ilvl w:val="0"/>
          <w:numId w:val="9"/>
        </w:numPr>
        <w:ind w:left="0" w:firstLine="0"/>
        <w:jc w:val="both"/>
        <w:rPr>
          <w:szCs w:val="24"/>
        </w:rPr>
      </w:pPr>
      <w:r>
        <w:rPr>
          <w:color w:val="000000"/>
          <w:szCs w:val="24"/>
        </w:rPr>
        <w:t>Click the “</w:t>
      </w:r>
      <w:r>
        <w:rPr>
          <w:b/>
          <w:color w:val="000000"/>
          <w:szCs w:val="24"/>
        </w:rPr>
        <w:t>Next</w:t>
      </w:r>
      <w:r>
        <w:rPr>
          <w:color w:val="000000"/>
          <w:szCs w:val="24"/>
        </w:rPr>
        <w:t xml:space="preserve">” button, users can customize the destination folder to install as shown in </w:t>
      </w:r>
      <w:r>
        <w:rPr>
          <w:color w:val="000000"/>
          <w:szCs w:val="24"/>
        </w:rPr>
        <w:fldChar w:fldCharType="begin"/>
      </w:r>
      <w:r>
        <w:rPr>
          <w:color w:val="000000"/>
          <w:szCs w:val="24"/>
        </w:rPr>
        <w:instrText xml:space="preserve"> REF _Ref438996860 \h  \* MERGEFORMAT </w:instrText>
      </w:r>
      <w:r>
        <w:rPr>
          <w:color w:val="000000"/>
          <w:szCs w:val="24"/>
        </w:rPr>
        <w:fldChar w:fldCharType="separate"/>
      </w:r>
      <w:r>
        <w:rPr>
          <w:color w:val="000000"/>
          <w:szCs w:val="24"/>
        </w:rPr>
        <w:t>Figure 2</w:t>
      </w:r>
      <w:r>
        <w:rPr>
          <w:color w:val="000000"/>
          <w:szCs w:val="24"/>
        </w:rPr>
        <w:fldChar w:fldCharType="end"/>
      </w:r>
      <w:r>
        <w:rPr>
          <w:color w:val="000000"/>
          <w:szCs w:val="24"/>
        </w:rPr>
        <w:t>.</w:t>
      </w:r>
    </w:p>
    <w:p>
      <w:pPr>
        <w:jc w:val="center"/>
        <w:rPr>
          <w:szCs w:val="24"/>
        </w:rPr>
      </w:pPr>
      <w:r>
        <w:drawing>
          <wp:inline distT="0" distB="0" distL="0" distR="0">
            <wp:extent cx="4697730" cy="3386455"/>
            <wp:effectExtent l="0" t="0" r="7620" b="44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6">
                      <a:extLst>
                        <a:ext uri="{28A0092B-C50C-407E-A947-70E740481C1C}">
                          <a14:useLocalDpi xmlns:a14="http://schemas.microsoft.com/office/drawing/2010/main" val="0"/>
                        </a:ext>
                      </a:extLst>
                    </a:blip>
                    <a:srcRect l="545" r="688" b="282"/>
                    <a:stretch>
                      <a:fillRect/>
                    </a:stretch>
                  </pic:blipFill>
                  <pic:spPr>
                    <a:xfrm>
                      <a:off x="0" y="0"/>
                      <a:ext cx="4697730" cy="338645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5" w:name="_Ref438996860"/>
      <w:bookmarkStart w:id="26" w:name="_Toc37923796"/>
      <w:bookmarkStart w:id="27" w:name="_Toc12298177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w:t>
      </w:r>
      <w:r>
        <w:rPr>
          <w:rFonts w:ascii="Times New Roman" w:hAnsi="Times New Roman"/>
          <w:i/>
          <w:iCs/>
          <w:sz w:val="24"/>
          <w:szCs w:val="24"/>
        </w:rPr>
        <w:fldChar w:fldCharType="end"/>
      </w:r>
      <w:bookmarkEnd w:id="25"/>
      <w:r>
        <w:rPr>
          <w:rFonts w:ascii="Times New Roman" w:hAnsi="Times New Roman"/>
          <w:i/>
          <w:iCs/>
          <w:sz w:val="24"/>
          <w:szCs w:val="24"/>
        </w:rPr>
        <w:t xml:space="preserve">. Choose Install </w:t>
      </w:r>
      <w:bookmarkEnd w:id="26"/>
      <w:r>
        <w:rPr>
          <w:rFonts w:ascii="Times New Roman" w:hAnsi="Times New Roman"/>
          <w:i/>
          <w:iCs/>
          <w:sz w:val="24"/>
          <w:szCs w:val="24"/>
        </w:rPr>
        <w:t>Path</w:t>
      </w:r>
      <w:bookmarkEnd w:id="27"/>
    </w:p>
    <w:p>
      <w:pPr>
        <w:numPr>
          <w:ilvl w:val="0"/>
          <w:numId w:val="9"/>
        </w:numPr>
        <w:ind w:left="0" w:firstLine="0"/>
        <w:jc w:val="both"/>
        <w:rPr>
          <w:szCs w:val="24"/>
        </w:rPr>
      </w:pPr>
      <w:r>
        <w:rPr>
          <w:szCs w:val="24"/>
        </w:rPr>
        <w:t>Click the “</w:t>
      </w:r>
      <w:r>
        <w:rPr>
          <w:b/>
          <w:szCs w:val="24"/>
        </w:rPr>
        <w:t>Next</w:t>
      </w:r>
      <w:r>
        <w:rPr>
          <w:szCs w:val="24"/>
        </w:rPr>
        <w:t xml:space="preserve">” button, it will show the “Ready to Install the Program” window as shown in </w:t>
      </w:r>
      <w:r>
        <w:rPr>
          <w:szCs w:val="24"/>
        </w:rPr>
        <w:fldChar w:fldCharType="begin"/>
      </w:r>
      <w:r>
        <w:rPr>
          <w:szCs w:val="24"/>
        </w:rPr>
        <w:instrText xml:space="preserve"> REF _Ref438996876 \h  \* MERGEFORMAT </w:instrText>
      </w:r>
      <w:r>
        <w:rPr>
          <w:szCs w:val="24"/>
        </w:rPr>
        <w:fldChar w:fldCharType="separate"/>
      </w:r>
      <w:r>
        <w:rPr>
          <w:szCs w:val="24"/>
        </w:rPr>
        <w:t>Figure 3</w:t>
      </w:r>
      <w:r>
        <w:rPr>
          <w:szCs w:val="24"/>
        </w:rPr>
        <w:fldChar w:fldCharType="end"/>
      </w:r>
      <w:r>
        <w:rPr>
          <w:szCs w:val="24"/>
        </w:rPr>
        <w:t>.</w:t>
      </w:r>
    </w:p>
    <w:p>
      <w:pPr>
        <w:jc w:val="center"/>
        <w:rPr>
          <w:szCs w:val="24"/>
        </w:rPr>
      </w:pPr>
      <w:r>
        <w:drawing>
          <wp:inline distT="0" distB="0" distL="0" distR="0">
            <wp:extent cx="4737735" cy="3381375"/>
            <wp:effectExtent l="0" t="0" r="5715"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37735" cy="33813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8" w:name="_Ref438996876"/>
      <w:bookmarkStart w:id="29" w:name="_Toc37923797"/>
      <w:bookmarkStart w:id="30" w:name="_Toc12298177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w:t>
      </w:r>
      <w:r>
        <w:rPr>
          <w:rFonts w:ascii="Times New Roman" w:hAnsi="Times New Roman"/>
          <w:i/>
          <w:iCs/>
          <w:sz w:val="24"/>
          <w:szCs w:val="24"/>
        </w:rPr>
        <w:fldChar w:fldCharType="end"/>
      </w:r>
      <w:bookmarkEnd w:id="28"/>
      <w:r>
        <w:rPr>
          <w:rFonts w:ascii="Times New Roman" w:hAnsi="Times New Roman"/>
          <w:i/>
          <w:iCs/>
          <w:sz w:val="24"/>
          <w:szCs w:val="24"/>
        </w:rPr>
        <w:t>. Ready to Install</w:t>
      </w:r>
      <w:bookmarkEnd w:id="29"/>
      <w:bookmarkEnd w:id="30"/>
    </w:p>
    <w:p>
      <w:pPr>
        <w:numPr>
          <w:ilvl w:val="0"/>
          <w:numId w:val="9"/>
        </w:numPr>
        <w:ind w:left="0" w:firstLine="0"/>
        <w:jc w:val="both"/>
        <w:rPr>
          <w:szCs w:val="24"/>
        </w:rPr>
      </w:pPr>
      <w:r>
        <w:rPr>
          <w:szCs w:val="24"/>
        </w:rPr>
        <w:t>Click the “</w:t>
      </w:r>
      <w:r>
        <w:rPr>
          <w:b/>
          <w:szCs w:val="24"/>
        </w:rPr>
        <w:t>Install</w:t>
      </w:r>
      <w:r>
        <w:rPr>
          <w:szCs w:val="24"/>
        </w:rPr>
        <w:t>” button, then the Data Fusion will start installing.</w:t>
      </w:r>
    </w:p>
    <w:p>
      <w:pPr>
        <w:jc w:val="center"/>
        <w:rPr>
          <w:szCs w:val="24"/>
        </w:rPr>
      </w:pPr>
      <w:r>
        <w:drawing>
          <wp:inline distT="0" distB="0" distL="0" distR="0">
            <wp:extent cx="4737735" cy="3381375"/>
            <wp:effectExtent l="0" t="0" r="571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37735" cy="33813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31" w:name="_Toc37923798"/>
      <w:bookmarkStart w:id="32" w:name="_Toc12298178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w:t>
      </w:r>
      <w:r>
        <w:rPr>
          <w:rFonts w:ascii="Times New Roman" w:hAnsi="Times New Roman"/>
          <w:i/>
          <w:iCs/>
          <w:sz w:val="24"/>
          <w:szCs w:val="24"/>
        </w:rPr>
        <w:fldChar w:fldCharType="end"/>
      </w:r>
      <w:r>
        <w:rPr>
          <w:rFonts w:ascii="Times New Roman" w:hAnsi="Times New Roman"/>
          <w:i/>
          <w:iCs/>
          <w:sz w:val="24"/>
          <w:szCs w:val="24"/>
        </w:rPr>
        <w:t>. Installation Process</w:t>
      </w:r>
      <w:bookmarkEnd w:id="31"/>
      <w:bookmarkEnd w:id="32"/>
    </w:p>
    <w:p>
      <w:pPr>
        <w:pStyle w:val="31"/>
        <w:numPr>
          <w:ilvl w:val="0"/>
          <w:numId w:val="10"/>
        </w:numPr>
        <w:ind w:firstLineChars="0"/>
        <w:rPr>
          <w:rFonts w:ascii="Times New Roman" w:hAnsi="Times New Roman"/>
          <w:sz w:val="24"/>
          <w:szCs w:val="24"/>
        </w:rPr>
      </w:pPr>
      <w:r>
        <w:rPr>
          <w:rFonts w:ascii="Times New Roman" w:hAnsi="Times New Roman"/>
          <w:sz w:val="24"/>
          <w:szCs w:val="24"/>
        </w:rPr>
        <w:t>Click the “</w:t>
      </w:r>
      <w:r>
        <w:rPr>
          <w:rFonts w:ascii="Times New Roman" w:hAnsi="Times New Roman"/>
          <w:b/>
          <w:sz w:val="24"/>
          <w:szCs w:val="24"/>
        </w:rPr>
        <w:t>Finish</w:t>
      </w:r>
      <w:r>
        <w:rPr>
          <w:rFonts w:ascii="Times New Roman" w:hAnsi="Times New Roman"/>
          <w:sz w:val="24"/>
          <w:szCs w:val="24"/>
        </w:rPr>
        <w:t>” button and complete installation.</w:t>
      </w:r>
    </w:p>
    <w:p>
      <w:pPr>
        <w:jc w:val="center"/>
        <w:rPr>
          <w:szCs w:val="24"/>
        </w:rPr>
      </w:pPr>
      <w:r>
        <w:drawing>
          <wp:inline distT="0" distB="0" distL="0" distR="0">
            <wp:extent cx="4737735" cy="3371215"/>
            <wp:effectExtent l="0" t="0" r="571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37735" cy="337121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33" w:name="_Toc37923799"/>
      <w:bookmarkStart w:id="34" w:name="_Toc12298178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w:t>
      </w:r>
      <w:r>
        <w:rPr>
          <w:rFonts w:ascii="Times New Roman" w:hAnsi="Times New Roman"/>
          <w:i/>
          <w:iCs/>
          <w:sz w:val="24"/>
          <w:szCs w:val="24"/>
        </w:rPr>
        <w:fldChar w:fldCharType="end"/>
      </w:r>
      <w:r>
        <w:rPr>
          <w:rFonts w:ascii="Times New Roman" w:hAnsi="Times New Roman"/>
          <w:i/>
          <w:iCs/>
          <w:sz w:val="24"/>
          <w:szCs w:val="24"/>
        </w:rPr>
        <w:t>. Complete Installation</w:t>
      </w:r>
      <w:bookmarkEnd w:id="33"/>
      <w:bookmarkEnd w:id="34"/>
    </w:p>
    <w:p>
      <w:pPr>
        <w:pStyle w:val="4"/>
        <w:numPr>
          <w:ilvl w:val="2"/>
          <w:numId w:val="2"/>
        </w:numPr>
        <w:rPr>
          <w:szCs w:val="24"/>
        </w:rPr>
      </w:pPr>
      <w:bookmarkStart w:id="35" w:name="_Toc438541460"/>
      <w:bookmarkStart w:id="36" w:name="_Toc439061749"/>
      <w:bookmarkStart w:id="37" w:name="_Toc122981746"/>
      <w:r>
        <w:rPr>
          <w:szCs w:val="24"/>
        </w:rPr>
        <w:t xml:space="preserve">Uninstall </w:t>
      </w:r>
      <w:bookmarkEnd w:id="35"/>
      <w:bookmarkEnd w:id="36"/>
      <w:r>
        <w:rPr>
          <w:szCs w:val="24"/>
        </w:rPr>
        <w:t>Data Fusion</w:t>
      </w:r>
      <w:bookmarkEnd w:id="37"/>
    </w:p>
    <w:p>
      <w:pPr>
        <w:numPr>
          <w:ilvl w:val="0"/>
          <w:numId w:val="10"/>
        </w:numPr>
        <w:ind w:left="0" w:firstLine="0"/>
        <w:jc w:val="both"/>
        <w:rPr>
          <w:szCs w:val="24"/>
        </w:rPr>
      </w:pPr>
      <w:r>
        <w:rPr>
          <w:szCs w:val="24"/>
        </w:rPr>
        <w:t>Go to Control Panel.</w:t>
      </w:r>
    </w:p>
    <w:p>
      <w:pPr>
        <w:numPr>
          <w:ilvl w:val="0"/>
          <w:numId w:val="10"/>
        </w:numPr>
        <w:ind w:left="0" w:firstLine="0"/>
        <w:jc w:val="both"/>
        <w:rPr>
          <w:szCs w:val="24"/>
        </w:rPr>
      </w:pPr>
      <w:r>
        <w:rPr>
          <w:szCs w:val="24"/>
        </w:rPr>
        <w:t>Select Data Fusion and click “</w:t>
      </w:r>
      <w:r>
        <w:rPr>
          <w:b/>
          <w:szCs w:val="24"/>
        </w:rPr>
        <w:t>Change/Remove”</w:t>
      </w:r>
      <w:r>
        <w:rPr>
          <w:szCs w:val="24"/>
        </w:rPr>
        <w:t xml:space="preserve">, the following </w:t>
      </w:r>
      <w:r>
        <w:rPr>
          <w:rFonts w:hint="eastAsia"/>
          <w:szCs w:val="24"/>
        </w:rPr>
        <w:t>window</w:t>
      </w:r>
      <w:r>
        <w:rPr>
          <w:szCs w:val="24"/>
        </w:rPr>
        <w:t xml:space="preserve"> will appear.</w:t>
      </w:r>
    </w:p>
    <w:p>
      <w:pPr>
        <w:keepNext/>
        <w:jc w:val="center"/>
        <w:rPr>
          <w:szCs w:val="24"/>
        </w:rPr>
      </w:pPr>
      <w:r>
        <w:drawing>
          <wp:inline distT="0" distB="0" distL="0" distR="0">
            <wp:extent cx="3752850" cy="1416685"/>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52850" cy="141668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38" w:name="_Toc37923800"/>
      <w:bookmarkStart w:id="39" w:name="_Toc12298178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w:t>
      </w:r>
      <w:r>
        <w:rPr>
          <w:rFonts w:ascii="Times New Roman" w:hAnsi="Times New Roman"/>
          <w:i/>
          <w:iCs/>
          <w:sz w:val="24"/>
          <w:szCs w:val="24"/>
        </w:rPr>
        <w:fldChar w:fldCharType="end"/>
      </w:r>
      <w:r>
        <w:rPr>
          <w:rFonts w:ascii="Times New Roman" w:hAnsi="Times New Roman"/>
          <w:i/>
          <w:iCs/>
          <w:sz w:val="24"/>
          <w:szCs w:val="24"/>
        </w:rPr>
        <w:t>. Uninstall Data Fusion</w:t>
      </w:r>
      <w:bookmarkEnd w:id="38"/>
      <w:bookmarkEnd w:id="39"/>
    </w:p>
    <w:p>
      <w:pPr>
        <w:ind w:firstLine="240" w:firstLineChars="100"/>
        <w:jc w:val="both"/>
        <w:rPr>
          <w:szCs w:val="24"/>
        </w:rPr>
      </w:pPr>
      <w:r>
        <w:rPr>
          <w:szCs w:val="24"/>
        </w:rPr>
        <w:t>After a few seconds, the uninstallation process will finish.</w:t>
      </w:r>
    </w:p>
    <w:p>
      <w:pPr>
        <w:pStyle w:val="3"/>
        <w:numPr>
          <w:ilvl w:val="1"/>
          <w:numId w:val="2"/>
        </w:numPr>
        <w:rPr>
          <w:szCs w:val="28"/>
        </w:rPr>
      </w:pPr>
      <w:bookmarkStart w:id="40" w:name="_Toc439061750"/>
      <w:bookmarkStart w:id="41" w:name="_Toc122981747"/>
      <w:bookmarkStart w:id="42" w:name="_Toc438541461"/>
      <w:r>
        <w:rPr>
          <w:szCs w:val="28"/>
        </w:rPr>
        <w:t>Contacts for Comments and Questions</w:t>
      </w:r>
      <w:bookmarkEnd w:id="40"/>
      <w:bookmarkEnd w:id="41"/>
      <w:bookmarkEnd w:id="42"/>
    </w:p>
    <w:p>
      <w:pPr>
        <w:ind w:firstLine="240" w:firstLineChars="100"/>
        <w:jc w:val="both"/>
        <w:rPr>
          <w:szCs w:val="24"/>
        </w:rPr>
      </w:pPr>
      <w:r>
        <w:rPr>
          <w:szCs w:val="24"/>
        </w:rPr>
        <w:t xml:space="preserve">For comments and questions, </w:t>
      </w:r>
      <w:r>
        <w:rPr>
          <w:rFonts w:hint="eastAsia"/>
          <w:szCs w:val="24"/>
        </w:rPr>
        <w:t>please</w:t>
      </w:r>
      <w:r>
        <w:rPr>
          <w:szCs w:val="24"/>
        </w:rPr>
        <w:t xml:space="preserve"> contact:</w:t>
      </w:r>
    </w:p>
    <w:p>
      <w:pPr>
        <w:pStyle w:val="31"/>
        <w:numPr>
          <w:ilvl w:val="0"/>
          <w:numId w:val="11"/>
        </w:numPr>
        <w:ind w:left="839" w:hanging="482" w:firstLineChars="0"/>
        <w:rPr>
          <w:rFonts w:ascii="Times New Roman" w:hAnsi="Times New Roman"/>
          <w:sz w:val="24"/>
          <w:szCs w:val="24"/>
        </w:rPr>
      </w:pPr>
      <w:bookmarkStart w:id="43" w:name="_Hlk43994636"/>
      <w:r>
        <w:rPr>
          <w:rFonts w:ascii="Times New Roman" w:hAnsi="Times New Roman"/>
          <w:sz w:val="24"/>
          <w:szCs w:val="24"/>
        </w:rPr>
        <w:t xml:space="preserve">The Center for Community Modeling and Analyses System (CMAS) at the University of North Carolina at Chapel Hill via e-mail at </w:t>
      </w:r>
      <w:r>
        <w:fldChar w:fldCharType="begin"/>
      </w:r>
      <w:r>
        <w:instrText xml:space="preserve"> HYPERLINK "mailto:cmas@unc.edu" </w:instrText>
      </w:r>
      <w:r>
        <w:fldChar w:fldCharType="separate"/>
      </w:r>
      <w:r>
        <w:rPr>
          <w:rStyle w:val="24"/>
          <w:rFonts w:ascii="Times New Roman" w:hAnsi="Times New Roman"/>
          <w:sz w:val="24"/>
          <w:szCs w:val="24"/>
        </w:rPr>
        <w:t>cmas@unc.edu</w:t>
      </w:r>
      <w:r>
        <w:rPr>
          <w:rStyle w:val="24"/>
          <w:rFonts w:ascii="Times New Roman" w:hAnsi="Times New Roman"/>
          <w:sz w:val="24"/>
          <w:szCs w:val="24"/>
        </w:rPr>
        <w:fldChar w:fldCharType="end"/>
      </w:r>
      <w:r>
        <w:rPr>
          <w:rFonts w:ascii="Times New Roman" w:hAnsi="Times New Roman"/>
          <w:sz w:val="24"/>
          <w:szCs w:val="24"/>
        </w:rPr>
        <w:t>.</w:t>
      </w:r>
    </w:p>
    <w:bookmarkEnd w:id="43"/>
    <w:p>
      <w:pPr>
        <w:pStyle w:val="2"/>
        <w:rPr>
          <w:sz w:val="24"/>
          <w:szCs w:val="24"/>
        </w:rPr>
      </w:pPr>
      <w:bookmarkStart w:id="44" w:name="_Evaluation_Principle_of_1"/>
      <w:bookmarkEnd w:id="44"/>
      <w:bookmarkStart w:id="45" w:name="_Toc122981748"/>
      <w:bookmarkStart w:id="46" w:name="_Toc45225391"/>
      <w:r>
        <w:t>Quick Start</w:t>
      </w:r>
      <w:bookmarkEnd w:id="45"/>
      <w:bookmarkEnd w:id="46"/>
      <w:r>
        <w:rPr>
          <w:sz w:val="24"/>
          <w:szCs w:val="24"/>
        </w:rPr>
        <w:t xml:space="preserve"> </w:t>
      </w:r>
    </w:p>
    <w:p>
      <w:pPr>
        <w:pStyle w:val="49"/>
        <w:ind w:firstLine="480"/>
      </w:pPr>
      <w:r>
        <w:t xml:space="preserve">This chapter provides the steps required to run </w:t>
      </w:r>
      <w:r>
        <w:rPr>
          <w:rFonts w:hint="eastAsia"/>
        </w:rPr>
        <w:t>DF</w:t>
      </w:r>
      <w:r>
        <w:t xml:space="preserve"> for PM and Ozone analyses. The Quick Start will use EPA’s data set to demonstrate how to run each of the DF analysis modules. These steps will use the default settings and do not describe the configuration settings for each analysis. For details of the configuration settings for the individual DF modules, refer to the User’s Manual chapter for each module. </w:t>
      </w:r>
    </w:p>
    <w:p>
      <w:pPr>
        <w:pStyle w:val="3"/>
        <w:rPr>
          <w:szCs w:val="28"/>
        </w:rPr>
      </w:pPr>
      <w:bookmarkStart w:id="47" w:name="_Toc122981749"/>
      <w:r>
        <w:rPr>
          <w:szCs w:val="28"/>
        </w:rPr>
        <w:t>Start the Data Fusion</w:t>
      </w:r>
      <w:bookmarkEnd w:id="47"/>
    </w:p>
    <w:p>
      <w:pPr>
        <w:ind w:firstLine="240" w:firstLineChars="100"/>
        <w:jc w:val="both"/>
        <w:rPr>
          <w:color w:val="000000"/>
          <w:szCs w:val="24"/>
          <w:lang w:val="zh-CN"/>
        </w:rPr>
      </w:pPr>
      <w:r>
        <w:rPr>
          <w:szCs w:val="24"/>
        </w:rPr>
        <w:t>Double click</w:t>
      </w:r>
      <w:r>
        <w:rPr>
          <w:color w:val="000000"/>
          <w:szCs w:val="24"/>
          <w:lang w:val="zh-CN"/>
        </w:rPr>
        <w:t xml:space="preserve"> the Data Fusion icon on the desktop or the executable file (Data Fusion.exe) under the installation path to start the program.</w:t>
      </w:r>
    </w:p>
    <w:p>
      <w:pPr>
        <w:pStyle w:val="31"/>
        <w:numPr>
          <w:ilvl w:val="0"/>
          <w:numId w:val="12"/>
        </w:numPr>
        <w:ind w:left="0" w:firstLine="0" w:firstLineChars="0"/>
        <w:rPr>
          <w:rFonts w:ascii="Times New Roman" w:hAnsi="Times New Roman"/>
          <w:color w:val="000000"/>
          <w:sz w:val="24"/>
          <w:szCs w:val="24"/>
          <w:lang w:val="zh-CN"/>
        </w:rPr>
      </w:pPr>
      <w:r>
        <w:rPr>
          <w:rFonts w:ascii="Times New Roman" w:hAnsi="Times New Roman"/>
          <w:color w:val="000000"/>
          <w:sz w:val="24"/>
          <w:szCs w:val="24"/>
          <w:lang w:val="zh-CN"/>
        </w:rPr>
        <w:t xml:space="preserve"> </w:t>
      </w:r>
      <w:r>
        <w:rPr>
          <w:rFonts w:hint="eastAsia" w:ascii="Times New Roman" w:hAnsi="Times New Roman"/>
          <w:color w:val="000000"/>
          <w:sz w:val="24"/>
          <w:szCs w:val="24"/>
          <w:lang w:val="zh-CN"/>
        </w:rPr>
        <w:t>T</w:t>
      </w:r>
      <w:r>
        <w:rPr>
          <w:rFonts w:ascii="Times New Roman" w:hAnsi="Times New Roman"/>
          <w:color w:val="000000"/>
          <w:sz w:val="24"/>
          <w:szCs w:val="24"/>
          <w:lang w:val="zh-CN"/>
        </w:rPr>
        <w:t xml:space="preserve">he Start Page window will appear on your screen after starting the program, as shown in </w:t>
      </w:r>
      <w:r>
        <w:rPr>
          <w:rFonts w:ascii="Times New Roman" w:hAnsi="Times New Roman"/>
          <w:color w:val="000000"/>
          <w:sz w:val="24"/>
          <w:szCs w:val="24"/>
          <w:lang w:val="zh-CN"/>
        </w:rPr>
        <w:fldChar w:fldCharType="begin"/>
      </w:r>
      <w:r>
        <w:rPr>
          <w:rFonts w:ascii="Times New Roman" w:hAnsi="Times New Roman"/>
          <w:color w:val="000000"/>
          <w:sz w:val="24"/>
          <w:szCs w:val="24"/>
          <w:lang w:val="zh-CN"/>
        </w:rPr>
        <w:instrText xml:space="preserve"> REF _Ref512329720 \h  \* MERGEFORMAT </w:instrText>
      </w:r>
      <w:r>
        <w:rPr>
          <w:rFonts w:ascii="Times New Roman" w:hAnsi="Times New Roman"/>
          <w:color w:val="000000"/>
          <w:sz w:val="24"/>
          <w:szCs w:val="24"/>
          <w:lang w:val="zh-CN"/>
        </w:rPr>
        <w:fldChar w:fldCharType="separate"/>
      </w:r>
      <w:r>
        <w:rPr>
          <w:rFonts w:ascii="Times New Roman" w:hAnsi="Times New Roman"/>
          <w:sz w:val="24"/>
          <w:szCs w:val="24"/>
        </w:rPr>
        <w:t>Figure 7</w:t>
      </w:r>
      <w:r>
        <w:rPr>
          <w:rFonts w:ascii="Times New Roman" w:hAnsi="Times New Roman"/>
          <w:color w:val="000000"/>
          <w:sz w:val="24"/>
          <w:szCs w:val="24"/>
          <w:lang w:val="zh-CN"/>
        </w:rPr>
        <w:fldChar w:fldCharType="end"/>
      </w:r>
      <w:r>
        <w:rPr>
          <w:rFonts w:ascii="Times New Roman" w:hAnsi="Times New Roman"/>
          <w:color w:val="000000"/>
          <w:sz w:val="24"/>
          <w:szCs w:val="24"/>
          <w:lang w:val="zh-CN"/>
        </w:rPr>
        <w:t>.</w:t>
      </w:r>
    </w:p>
    <w:p>
      <w:pPr>
        <w:keepNext/>
        <w:jc w:val="center"/>
      </w:pPr>
      <w:r>
        <w:drawing>
          <wp:inline distT="0" distB="0" distL="0" distR="0">
            <wp:extent cx="5206365" cy="3773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14675" cy="3779478"/>
                    </a:xfrm>
                    <a:prstGeom prst="rect">
                      <a:avLst/>
                    </a:prstGeom>
                  </pic:spPr>
                </pic:pic>
              </a:graphicData>
            </a:graphic>
          </wp:inline>
        </w:drawing>
      </w:r>
    </w:p>
    <w:p>
      <w:pPr>
        <w:pStyle w:val="6"/>
        <w:jc w:val="center"/>
        <w:rPr>
          <w:rFonts w:ascii="Times New Roman" w:hAnsi="Times New Roman"/>
          <w:i/>
          <w:iCs/>
          <w:color w:val="000000"/>
          <w:sz w:val="24"/>
          <w:szCs w:val="24"/>
          <w:lang w:val="zh-CN"/>
        </w:rPr>
      </w:pPr>
      <w:bookmarkStart w:id="48" w:name="_Ref512329720"/>
      <w:bookmarkStart w:id="49" w:name="_Ref512329713"/>
      <w:bookmarkStart w:id="50" w:name="_Toc37923802"/>
      <w:bookmarkStart w:id="51" w:name="_Toc122981783"/>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7</w:t>
      </w:r>
      <w:r>
        <w:rPr>
          <w:rFonts w:ascii="Times New Roman" w:hAnsi="Times New Roman"/>
          <w:i/>
          <w:iCs/>
          <w:sz w:val="24"/>
          <w:szCs w:val="24"/>
        </w:rPr>
        <w:fldChar w:fldCharType="end"/>
      </w:r>
      <w:bookmarkEnd w:id="48"/>
      <w:r>
        <w:rPr>
          <w:rFonts w:ascii="Times New Roman" w:hAnsi="Times New Roman"/>
          <w:i/>
          <w:iCs/>
          <w:sz w:val="24"/>
          <w:szCs w:val="24"/>
        </w:rPr>
        <w:t>. Start Page of Data Fusion</w:t>
      </w:r>
      <w:bookmarkEnd w:id="49"/>
      <w:bookmarkEnd w:id="50"/>
      <w:bookmarkEnd w:id="51"/>
    </w:p>
    <w:p>
      <w:pPr>
        <w:pStyle w:val="3"/>
        <w:rPr>
          <w:szCs w:val="28"/>
        </w:rPr>
      </w:pPr>
      <w:bookmarkStart w:id="52" w:name="_Toc122981750"/>
      <w:r>
        <w:rPr>
          <w:szCs w:val="28"/>
        </w:rPr>
        <w:t xml:space="preserve">Load </w:t>
      </w:r>
      <w:r>
        <w:rPr>
          <w:szCs w:val="24"/>
        </w:rPr>
        <w:t>existing</w:t>
      </w:r>
      <w:r>
        <w:rPr>
          <w:szCs w:val="28"/>
        </w:rPr>
        <w:t xml:space="preserve"> project</w:t>
      </w:r>
      <w:bookmarkEnd w:id="52"/>
    </w:p>
    <w:p>
      <w:pPr>
        <w:pStyle w:val="31"/>
        <w:numPr>
          <w:ilvl w:val="0"/>
          <w:numId w:val="13"/>
        </w:numPr>
        <w:ind w:left="0" w:firstLine="0" w:firstLineChars="0"/>
        <w:rPr>
          <w:rFonts w:ascii="Times New Roman" w:hAnsi="Times New Roman"/>
          <w:sz w:val="24"/>
          <w:szCs w:val="24"/>
        </w:rPr>
      </w:pPr>
      <w:r>
        <w:rPr>
          <w:rFonts w:ascii="Times New Roman" w:hAnsi="Times New Roman"/>
          <w:sz w:val="24"/>
          <w:szCs w:val="24"/>
        </w:rPr>
        <w:t xml:space="preserve">Click </w:t>
      </w:r>
      <w:r>
        <w:rPr>
          <w:rFonts w:ascii="Times New Roman" w:hAnsi="Times New Roman"/>
          <w:b/>
          <w:sz w:val="24"/>
          <w:szCs w:val="24"/>
        </w:rPr>
        <w:t>Open</w:t>
      </w:r>
      <w:r>
        <w:rPr>
          <w:rFonts w:ascii="Times New Roman" w:hAnsi="Times New Roman"/>
          <w:sz w:val="24"/>
          <w:szCs w:val="24"/>
        </w:rPr>
        <w:t xml:space="preserve"> in the </w:t>
      </w:r>
      <w:r>
        <w:rPr>
          <w:rFonts w:ascii="Times New Roman" w:hAnsi="Times New Roman"/>
          <w:b/>
          <w:sz w:val="24"/>
          <w:szCs w:val="24"/>
        </w:rPr>
        <w:t>File</w:t>
      </w:r>
      <w:r>
        <w:rPr>
          <w:rFonts w:ascii="Times New Roman" w:hAnsi="Times New Roman"/>
          <w:sz w:val="24"/>
          <w:szCs w:val="24"/>
        </w:rPr>
        <w:t xml:space="preserve"> pull-down menu item on the start page, select the project file (*.proj) of interest to open, then it can be loaded into the DF Data Viewer to probe the results. All project files are stored in your computer’s document directory (C:\Users\ … \Documents\My DataFusion Files\Result\Project) by default. U</w:t>
      </w:r>
      <w:r>
        <w:rPr>
          <w:rFonts w:hint="eastAsia" w:ascii="Times New Roman" w:hAnsi="Times New Roman"/>
          <w:sz w:val="24"/>
          <w:szCs w:val="24"/>
        </w:rPr>
        <w:t>sers</w:t>
      </w:r>
      <w:r>
        <w:rPr>
          <w:rFonts w:ascii="Times New Roman" w:hAnsi="Times New Roman"/>
          <w:sz w:val="24"/>
          <w:szCs w:val="24"/>
        </w:rPr>
        <w:t xml:space="preserve"> </w:t>
      </w:r>
      <w:r>
        <w:rPr>
          <w:rFonts w:hint="eastAsia" w:ascii="Times New Roman" w:hAnsi="Times New Roman"/>
          <w:sz w:val="24"/>
          <w:szCs w:val="24"/>
        </w:rPr>
        <w:t>can</w:t>
      </w:r>
      <w:r>
        <w:rPr>
          <w:rFonts w:ascii="Times New Roman" w:hAnsi="Times New Roman"/>
          <w:sz w:val="24"/>
          <w:szCs w:val="24"/>
        </w:rPr>
        <w:t xml:space="preserve"> select a default project named </w:t>
      </w:r>
      <w:r>
        <w:rPr>
          <w:rFonts w:ascii="Times New Roman" w:hAnsi="Times New Roman"/>
          <w:b/>
          <w:sz w:val="24"/>
          <w:szCs w:val="24"/>
        </w:rPr>
        <w:t>test_default</w:t>
      </w:r>
      <w:r>
        <w:rPr>
          <w:rFonts w:ascii="Times New Roman" w:hAnsi="Times New Roman"/>
          <w:sz w:val="24"/>
          <w:szCs w:val="24"/>
        </w:rPr>
        <w:t>.</w:t>
      </w:r>
    </w:p>
    <w:p>
      <w:pPr>
        <w:pStyle w:val="31"/>
        <w:numPr>
          <w:ilvl w:val="0"/>
          <w:numId w:val="13"/>
        </w:numPr>
        <w:ind w:left="0" w:firstLine="0" w:firstLineChars="0"/>
        <w:rPr>
          <w:rFonts w:ascii="Times New Roman" w:hAnsi="Times New Roman"/>
          <w:sz w:val="24"/>
          <w:szCs w:val="24"/>
        </w:rPr>
      </w:pPr>
      <w:r>
        <w:rPr>
          <w:rFonts w:ascii="Times New Roman" w:hAnsi="Times New Roman"/>
          <w:sz w:val="24"/>
          <w:szCs w:val="24"/>
        </w:rPr>
        <w:t>After opening a project,</w:t>
      </w:r>
      <w:r>
        <w:t xml:space="preserve"> </w:t>
      </w:r>
      <w:r>
        <w:rPr>
          <w:rFonts w:ascii="Times New Roman" w:hAnsi="Times New Roman"/>
          <w:sz w:val="24"/>
          <w:szCs w:val="24"/>
        </w:rPr>
        <w:t xml:space="preserve">the program will jump to the data viewer module, as shown in </w:t>
      </w:r>
      <w:r>
        <w:rPr>
          <w:rFonts w:ascii="Times New Roman" w:hAnsi="Times New Roman"/>
          <w:sz w:val="24"/>
          <w:szCs w:val="24"/>
        </w:rPr>
        <w:fldChar w:fldCharType="begin"/>
      </w:r>
      <w:r>
        <w:rPr>
          <w:rFonts w:ascii="Times New Roman" w:hAnsi="Times New Roman"/>
          <w:sz w:val="24"/>
          <w:szCs w:val="24"/>
        </w:rPr>
        <w:instrText xml:space="preserve"> REF _Ref512330323 \h </w:instrText>
      </w:r>
      <w:r>
        <w:rPr>
          <w:rFonts w:ascii="Times New Roman" w:hAnsi="Times New Roman"/>
          <w:sz w:val="24"/>
          <w:szCs w:val="24"/>
        </w:rPr>
        <w:fldChar w:fldCharType="separate"/>
      </w:r>
      <w:r>
        <w:rPr>
          <w:rFonts w:ascii="Times New Roman" w:hAnsi="Times New Roman"/>
          <w:i/>
          <w:iCs/>
          <w:sz w:val="24"/>
          <w:szCs w:val="24"/>
        </w:rPr>
        <w:t>Figure 8</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jc w:val="center"/>
      </w:pPr>
      <w:r>
        <w:drawing>
          <wp:inline distT="0" distB="0" distL="0" distR="0">
            <wp:extent cx="4972050" cy="35864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4982800" cy="3594623"/>
                    </a:xfrm>
                    <a:prstGeom prst="rect">
                      <a:avLst/>
                    </a:prstGeom>
                  </pic:spPr>
                </pic:pic>
              </a:graphicData>
            </a:graphic>
          </wp:inline>
        </w:drawing>
      </w:r>
    </w:p>
    <w:p>
      <w:pPr>
        <w:pStyle w:val="6"/>
        <w:jc w:val="center"/>
        <w:rPr>
          <w:rFonts w:ascii="Times New Roman" w:hAnsi="Times New Roman"/>
          <w:i/>
          <w:iCs/>
          <w:sz w:val="24"/>
          <w:szCs w:val="24"/>
        </w:rPr>
      </w:pPr>
      <w:bookmarkStart w:id="53" w:name="_Ref512330323"/>
      <w:bookmarkStart w:id="54" w:name="_Toc37923803"/>
      <w:bookmarkStart w:id="55" w:name="_Toc122981784"/>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8</w:t>
      </w:r>
      <w:r>
        <w:rPr>
          <w:rFonts w:ascii="Times New Roman" w:hAnsi="Times New Roman"/>
          <w:i/>
          <w:iCs/>
          <w:sz w:val="24"/>
          <w:szCs w:val="24"/>
        </w:rPr>
        <w:fldChar w:fldCharType="end"/>
      </w:r>
      <w:bookmarkEnd w:id="53"/>
      <w:r>
        <w:rPr>
          <w:rFonts w:ascii="Times New Roman" w:hAnsi="Times New Roman"/>
          <w:i/>
          <w:iCs/>
          <w:sz w:val="24"/>
          <w:szCs w:val="24"/>
        </w:rPr>
        <w:t>. Open a previous project</w:t>
      </w:r>
      <w:bookmarkEnd w:id="54"/>
      <w:bookmarkEnd w:id="55"/>
    </w:p>
    <w:p>
      <w:pPr>
        <w:numPr>
          <w:ilvl w:val="0"/>
          <w:numId w:val="13"/>
        </w:numPr>
        <w:ind w:left="0" w:firstLine="0"/>
        <w:jc w:val="both"/>
        <w:rPr>
          <w:color w:val="FF0000"/>
        </w:rPr>
      </w:pPr>
      <w:r>
        <w:rPr>
          <w:szCs w:val="24"/>
        </w:rPr>
        <w:t>After the selected project is loaded, users are also allowed to view the configuration options of this project by clicking the project name with a blue hyperlinked text in the top of output files. Analyzing existing projects can refer to the details of</w:t>
      </w:r>
      <w:r>
        <w:rPr>
          <w:color w:val="FF0000"/>
          <w:szCs w:val="24"/>
        </w:rPr>
        <w:t xml:space="preserve"> </w:t>
      </w:r>
      <w:r>
        <w:fldChar w:fldCharType="begin"/>
      </w:r>
      <w:r>
        <w:instrText xml:space="preserve"> HYPERLINK \l "_Data_Viewer_for" </w:instrText>
      </w:r>
      <w:r>
        <w:fldChar w:fldCharType="separate"/>
      </w:r>
      <w:r>
        <w:rPr>
          <w:rStyle w:val="23"/>
          <w:szCs w:val="24"/>
        </w:rPr>
        <w:t>Chapter 6</w:t>
      </w:r>
      <w:r>
        <w:rPr>
          <w:rStyle w:val="24"/>
          <w:szCs w:val="24"/>
        </w:rPr>
        <w:fldChar w:fldCharType="end"/>
      </w:r>
      <w:r>
        <w:rPr>
          <w:color w:val="FF0000"/>
          <w:szCs w:val="24"/>
        </w:rPr>
        <w:t xml:space="preserve"> </w:t>
      </w:r>
      <w:r>
        <w:rPr>
          <w:szCs w:val="24"/>
        </w:rPr>
        <w:t xml:space="preserve">below. Users are allowed to return to the Map view by clicking the </w:t>
      </w:r>
      <w:r>
        <w:rPr>
          <w:b/>
          <w:szCs w:val="24"/>
        </w:rPr>
        <w:t xml:space="preserve">Viewer </w:t>
      </w:r>
      <w:r>
        <w:rPr>
          <w:szCs w:val="24"/>
        </w:rPr>
        <w:t>tab.</w:t>
      </w:r>
    </w:p>
    <w:p>
      <w:pPr>
        <w:pStyle w:val="3"/>
        <w:rPr>
          <w:szCs w:val="28"/>
        </w:rPr>
      </w:pPr>
      <w:bookmarkStart w:id="56" w:name="_Toc122981751"/>
      <w:bookmarkStart w:id="57" w:name="_Toc439061755"/>
      <w:bookmarkStart w:id="58" w:name="_Toc438541466"/>
      <w:r>
        <w:rPr>
          <w:szCs w:val="28"/>
        </w:rPr>
        <w:t>Create a new project</w:t>
      </w:r>
      <w:bookmarkEnd w:id="56"/>
    </w:p>
    <w:p>
      <w:pPr>
        <w:pStyle w:val="31"/>
        <w:numPr>
          <w:ilvl w:val="0"/>
          <w:numId w:val="14"/>
        </w:numPr>
        <w:ind w:left="0" w:firstLine="0" w:firstLineChars="0"/>
        <w:rPr>
          <w:rFonts w:ascii="Times New Roman" w:hAnsi="Times New Roman"/>
        </w:rPr>
      </w:pPr>
      <w:r>
        <w:rPr>
          <w:rFonts w:hint="eastAsia"/>
        </w:rPr>
        <w:t xml:space="preserve"> </w:t>
      </w:r>
      <w:r>
        <w:rPr>
          <w:rFonts w:ascii="Times New Roman" w:hAnsi="Times New Roman"/>
          <w:sz w:val="24"/>
        </w:rPr>
        <w:t xml:space="preserve">Click </w:t>
      </w:r>
      <w:r>
        <w:rPr>
          <w:rFonts w:ascii="Times New Roman" w:hAnsi="Times New Roman"/>
          <w:b/>
          <w:sz w:val="24"/>
        </w:rPr>
        <w:t>New Project</w:t>
      </w:r>
      <w:r>
        <w:rPr>
          <w:rFonts w:ascii="Times New Roman" w:hAnsi="Times New Roman"/>
          <w:sz w:val="24"/>
        </w:rPr>
        <w:t xml:space="preserve"> in the</w:t>
      </w:r>
      <w:r>
        <w:rPr>
          <w:rFonts w:ascii="Times New Roman" w:hAnsi="Times New Roman"/>
        </w:rPr>
        <w:t xml:space="preserve"> </w:t>
      </w:r>
      <w:r>
        <w:rPr>
          <w:rFonts w:ascii="Times New Roman" w:hAnsi="Times New Roman"/>
          <w:b/>
          <w:sz w:val="24"/>
          <w:szCs w:val="24"/>
        </w:rPr>
        <w:t>File</w:t>
      </w:r>
      <w:r>
        <w:rPr>
          <w:rFonts w:ascii="Times New Roman" w:hAnsi="Times New Roman"/>
          <w:sz w:val="24"/>
          <w:szCs w:val="24"/>
        </w:rPr>
        <w:t xml:space="preserve"> pull-down menu item on the start page. The program will reset all settings and jump to the parameter configuration module, as shown in </w:t>
      </w:r>
      <w:r>
        <w:rPr>
          <w:rFonts w:ascii="Times New Roman" w:hAnsi="Times New Roman"/>
          <w:sz w:val="24"/>
          <w:szCs w:val="24"/>
        </w:rPr>
        <w:fldChar w:fldCharType="begin"/>
      </w:r>
      <w:r>
        <w:rPr>
          <w:rFonts w:ascii="Times New Roman" w:hAnsi="Times New Roman"/>
          <w:sz w:val="24"/>
          <w:szCs w:val="24"/>
        </w:rPr>
        <w:instrText xml:space="preserve"> REF _Ref512331844 \h </w:instrText>
      </w:r>
      <w:r>
        <w:rPr>
          <w:rFonts w:ascii="Times New Roman" w:hAnsi="Times New Roman"/>
          <w:sz w:val="24"/>
          <w:szCs w:val="24"/>
        </w:rPr>
        <w:fldChar w:fldCharType="separate"/>
      </w:r>
      <w:r>
        <w:rPr>
          <w:rFonts w:ascii="Times New Roman" w:hAnsi="Times New Roman"/>
          <w:i/>
          <w:iCs/>
          <w:sz w:val="24"/>
          <w:szCs w:val="24"/>
        </w:rPr>
        <w:t>Figure 9</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jc w:val="center"/>
      </w:pPr>
      <w:r>
        <w:drawing>
          <wp:inline distT="0" distB="0" distL="0" distR="0">
            <wp:extent cx="5114925" cy="3692525"/>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125661" cy="3700153"/>
                    </a:xfrm>
                    <a:prstGeom prst="rect">
                      <a:avLst/>
                    </a:prstGeom>
                  </pic:spPr>
                </pic:pic>
              </a:graphicData>
            </a:graphic>
          </wp:inline>
        </w:drawing>
      </w:r>
    </w:p>
    <w:p>
      <w:pPr>
        <w:pStyle w:val="6"/>
        <w:jc w:val="center"/>
        <w:rPr>
          <w:rFonts w:ascii="Times New Roman" w:hAnsi="Times New Roman"/>
          <w:i/>
          <w:iCs/>
          <w:sz w:val="24"/>
          <w:szCs w:val="24"/>
        </w:rPr>
      </w:pPr>
      <w:bookmarkStart w:id="59" w:name="_Ref512331844"/>
      <w:bookmarkStart w:id="60" w:name="_Toc37923804"/>
      <w:bookmarkStart w:id="61" w:name="_Toc12298178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9</w:t>
      </w:r>
      <w:r>
        <w:rPr>
          <w:rFonts w:ascii="Times New Roman" w:hAnsi="Times New Roman"/>
          <w:i/>
          <w:iCs/>
          <w:sz w:val="24"/>
          <w:szCs w:val="24"/>
        </w:rPr>
        <w:fldChar w:fldCharType="end"/>
      </w:r>
      <w:bookmarkEnd w:id="59"/>
      <w:r>
        <w:rPr>
          <w:rFonts w:ascii="Times New Roman" w:hAnsi="Times New Roman"/>
          <w:i/>
          <w:iCs/>
          <w:sz w:val="24"/>
          <w:szCs w:val="24"/>
        </w:rPr>
        <w:t>. Create a new project</w:t>
      </w:r>
      <w:bookmarkEnd w:id="60"/>
      <w:bookmarkEnd w:id="61"/>
    </w:p>
    <w:p>
      <w:pPr>
        <w:pStyle w:val="31"/>
        <w:numPr>
          <w:ilvl w:val="0"/>
          <w:numId w:val="15"/>
        </w:numPr>
        <w:ind w:left="0" w:firstLine="0" w:firstLineChars="0"/>
        <w:rPr>
          <w:rFonts w:ascii="Times New Roman" w:hAnsi="Times New Roman"/>
          <w:color w:val="FF0000"/>
          <w:sz w:val="24"/>
          <w:szCs w:val="24"/>
        </w:rPr>
      </w:pPr>
      <w:r>
        <w:rPr>
          <w:rFonts w:hint="eastAsia"/>
        </w:rPr>
        <w:t xml:space="preserve"> </w:t>
      </w:r>
      <w:r>
        <w:rPr>
          <w:rFonts w:ascii="Times New Roman" w:hAnsi="Times New Roman"/>
          <w:sz w:val="24"/>
          <w:szCs w:val="24"/>
        </w:rPr>
        <w:t>Configure the parameters of each step, then save and run the new project. For more information, please refer to the details of</w:t>
      </w:r>
      <w:r>
        <w:rPr>
          <w:rFonts w:ascii="Times New Roman" w:hAnsi="Times New Roman"/>
          <w:color w:val="FF0000"/>
          <w:sz w:val="24"/>
          <w:szCs w:val="24"/>
        </w:rPr>
        <w:t xml:space="preserve"> </w:t>
      </w:r>
      <w:r>
        <w:fldChar w:fldCharType="begin"/>
      </w:r>
      <w:r>
        <w:instrText xml:space="preserve"> HYPERLINK \l "_PM2.5_data_fusion" </w:instrText>
      </w:r>
      <w:r>
        <w:fldChar w:fldCharType="separate"/>
      </w:r>
      <w:r>
        <w:rPr>
          <w:rStyle w:val="24"/>
          <w:rFonts w:ascii="Times New Roman" w:hAnsi="Times New Roman"/>
          <w:sz w:val="24"/>
          <w:szCs w:val="24"/>
        </w:rPr>
        <w:t>Chapter 4</w:t>
      </w:r>
      <w:r>
        <w:rPr>
          <w:rStyle w:val="24"/>
          <w:rFonts w:ascii="Times New Roman" w:hAnsi="Times New Roman"/>
          <w:sz w:val="24"/>
          <w:szCs w:val="24"/>
        </w:rPr>
        <w:fldChar w:fldCharType="end"/>
      </w:r>
      <w:r>
        <w:rPr>
          <w:rFonts w:ascii="Times New Roman" w:hAnsi="Times New Roman"/>
          <w:color w:val="FF0000"/>
          <w:sz w:val="24"/>
          <w:szCs w:val="24"/>
        </w:rPr>
        <w:t xml:space="preserve"> </w:t>
      </w:r>
      <w:r>
        <w:rPr>
          <w:rFonts w:hint="eastAsia" w:ascii="Times New Roman" w:hAnsi="Times New Roman"/>
          <w:color w:val="000000"/>
          <w:sz w:val="24"/>
          <w:szCs w:val="24"/>
        </w:rPr>
        <w:t>(</w:t>
      </w:r>
      <w:r>
        <w:rPr>
          <w:rFonts w:ascii="Times New Roman" w:hAnsi="Times New Roman"/>
          <w:color w:val="000000"/>
          <w:sz w:val="24"/>
          <w:szCs w:val="24"/>
        </w:rPr>
        <w:t>PM</w:t>
      </w:r>
      <w:r>
        <w:rPr>
          <w:rFonts w:ascii="Times New Roman" w:hAnsi="Times New Roman"/>
          <w:color w:val="000000"/>
          <w:sz w:val="24"/>
          <w:szCs w:val="24"/>
          <w:vertAlign w:val="subscript"/>
        </w:rPr>
        <w:t>2.5</w:t>
      </w:r>
      <w:r>
        <w:rPr>
          <w:rFonts w:ascii="Times New Roman" w:hAnsi="Times New Roman"/>
          <w:color w:val="000000"/>
          <w:sz w:val="24"/>
          <w:szCs w:val="24"/>
        </w:rPr>
        <w:t xml:space="preserve"> data fusion analysis)</w:t>
      </w:r>
      <w:r>
        <w:rPr>
          <w:rFonts w:ascii="Times New Roman" w:hAnsi="Times New Roman"/>
          <w:sz w:val="24"/>
          <w:szCs w:val="24"/>
        </w:rPr>
        <w:t xml:space="preserve"> and </w:t>
      </w:r>
      <w:r>
        <w:fldChar w:fldCharType="begin"/>
      </w:r>
      <w:r>
        <w:instrText xml:space="preserve"> HYPERLINK \l "_Ozone_data_fusion" </w:instrText>
      </w:r>
      <w:r>
        <w:fldChar w:fldCharType="separate"/>
      </w:r>
      <w:r>
        <w:rPr>
          <w:rStyle w:val="24"/>
          <w:rFonts w:ascii="Times New Roman" w:hAnsi="Times New Roman"/>
          <w:sz w:val="24"/>
          <w:szCs w:val="24"/>
        </w:rPr>
        <w:t>Chapter 5</w:t>
      </w:r>
      <w:r>
        <w:rPr>
          <w:rStyle w:val="24"/>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color w:val="000000"/>
          <w:sz w:val="24"/>
          <w:szCs w:val="24"/>
        </w:rPr>
        <w:t>(Ozone data fusion analysis)</w:t>
      </w:r>
      <w:r>
        <w:rPr>
          <w:rFonts w:ascii="Times New Roman" w:hAnsi="Times New Roman"/>
          <w:sz w:val="24"/>
          <w:szCs w:val="24"/>
        </w:rPr>
        <w:t>.</w:t>
      </w:r>
      <w:r>
        <w:rPr>
          <w:rFonts w:hint="eastAsia" w:ascii="Times New Roman" w:hAnsi="Times New Roman"/>
          <w:color w:val="FF0000"/>
          <w:sz w:val="24"/>
          <w:szCs w:val="24"/>
        </w:rPr>
        <w:t xml:space="preserve"> </w:t>
      </w:r>
    </w:p>
    <w:p>
      <w:pPr>
        <w:pStyle w:val="3"/>
      </w:pPr>
      <w:bookmarkStart w:id="62" w:name="_Toc112399703"/>
      <w:bookmarkStart w:id="63" w:name="_Toc122981752"/>
      <w:bookmarkStart w:id="64" w:name="_Toc476654831"/>
      <w:bookmarkStart w:id="65" w:name="_Toc476653930"/>
      <w:bookmarkStart w:id="66" w:name="_Toc476654453"/>
      <w:bookmarkStart w:id="67" w:name="_Toc45225393"/>
      <w:bookmarkStart w:id="68" w:name="_Toc122981753"/>
      <w:r>
        <w:t>Running Data Fusion Tool in Batch Mode</w:t>
      </w:r>
      <w:bookmarkEnd w:id="62"/>
      <w:bookmarkEnd w:id="63"/>
      <w:bookmarkEnd w:id="64"/>
      <w:bookmarkEnd w:id="65"/>
      <w:bookmarkEnd w:id="66"/>
    </w:p>
    <w:p>
      <w:pPr>
        <w:rPr>
          <w:rFonts w:eastAsia="宋体"/>
          <w:szCs w:val="24"/>
        </w:rPr>
      </w:pPr>
      <w:r>
        <w:rPr>
          <w:rFonts w:eastAsia="宋体"/>
          <w:szCs w:val="24"/>
        </w:rPr>
        <w:t xml:space="preserve">Configuration files (*.cfg) are used to define the settings for analyses in Data Fusion Tool.  There are two ways to export/edit a </w:t>
      </w:r>
      <w:r>
        <w:rPr>
          <w:rFonts w:eastAsia="宋体"/>
          <w:b/>
          <w:szCs w:val="24"/>
        </w:rPr>
        <w:t xml:space="preserve">Configuration File. </w:t>
      </w:r>
    </w:p>
    <w:p>
      <w:pPr>
        <w:pStyle w:val="31"/>
        <w:widowControl/>
        <w:numPr>
          <w:ilvl w:val="0"/>
          <w:numId w:val="16"/>
        </w:numPr>
        <w:ind w:firstLineChars="0"/>
        <w:jc w:val="left"/>
        <w:rPr>
          <w:rFonts w:ascii="Times New Roman" w:hAnsi="Times New Roman"/>
          <w:kern w:val="0"/>
          <w:sz w:val="24"/>
          <w:szCs w:val="24"/>
        </w:rPr>
      </w:pPr>
      <w:r>
        <w:rPr>
          <w:rFonts w:ascii="Times New Roman" w:hAnsi="Times New Roman"/>
          <w:sz w:val="24"/>
          <w:szCs w:val="24"/>
        </w:rPr>
        <w:t xml:space="preserve">Open a pre-run project, user can modify the analysis options and save current configuration into a single file by clicking the button </w:t>
      </w:r>
      <w:r>
        <w:rPr>
          <w:rFonts w:ascii="Times New Roman" w:hAnsi="Times New Roman"/>
          <w:b/>
          <w:sz w:val="24"/>
          <w:szCs w:val="24"/>
        </w:rPr>
        <w:t>File – Save Configuration file (*.cfg)</w:t>
      </w:r>
      <w:r>
        <w:rPr>
          <w:rFonts w:ascii="Times New Roman" w:hAnsi="Times New Roman"/>
          <w:sz w:val="24"/>
          <w:szCs w:val="24"/>
        </w:rPr>
        <w:t>.</w:t>
      </w:r>
    </w:p>
    <w:p>
      <w:pPr>
        <w:keepNext/>
      </w:pPr>
      <w:r>
        <w:drawing>
          <wp:inline distT="0" distB="0" distL="0" distR="0">
            <wp:extent cx="5274310" cy="3037205"/>
            <wp:effectExtent l="0" t="0" r="1397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03720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69" w:name="_Toc12298178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10</w:t>
      </w:r>
      <w:r>
        <w:rPr>
          <w:rFonts w:ascii="Times New Roman" w:hAnsi="Times New Roman"/>
          <w:i/>
          <w:iCs/>
          <w:sz w:val="24"/>
          <w:szCs w:val="24"/>
        </w:rPr>
        <w:fldChar w:fldCharType="end"/>
      </w:r>
      <w:r>
        <w:rPr>
          <w:rFonts w:ascii="Times New Roman" w:hAnsi="Times New Roman"/>
          <w:i/>
          <w:iCs/>
          <w:sz w:val="24"/>
          <w:szCs w:val="24"/>
        </w:rPr>
        <w:t>. Save Configuration File</w:t>
      </w:r>
      <w:bookmarkEnd w:id="69"/>
    </w:p>
    <w:p>
      <w:pPr>
        <w:pStyle w:val="31"/>
        <w:widowControl/>
        <w:numPr>
          <w:ilvl w:val="0"/>
          <w:numId w:val="16"/>
        </w:numPr>
        <w:ind w:firstLineChars="0"/>
        <w:jc w:val="left"/>
        <w:rPr>
          <w:rFonts w:ascii="Times New Roman" w:hAnsi="Times New Roman"/>
          <w:sz w:val="24"/>
          <w:szCs w:val="24"/>
        </w:rPr>
      </w:pPr>
      <w:r>
        <w:rPr>
          <w:rFonts w:ascii="Times New Roman" w:hAnsi="Times New Roman"/>
          <w:sz w:val="24"/>
          <w:szCs w:val="24"/>
        </w:rPr>
        <w:t>Open a pre-run project, click “Config/Batch”. Under this page, user can view/edit the project settings and export as *.cfg file.</w:t>
      </w:r>
    </w:p>
    <w:p>
      <w:pPr>
        <w:keepNext/>
      </w:pPr>
      <w:r>
        <w:drawing>
          <wp:inline distT="0" distB="0" distL="0" distR="0">
            <wp:extent cx="5267325" cy="3971925"/>
            <wp:effectExtent l="0" t="0" r="5715"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7325" cy="3971925"/>
                    </a:xfrm>
                    <a:prstGeom prst="rect">
                      <a:avLst/>
                    </a:prstGeom>
                    <a:noFill/>
                    <a:ln>
                      <a:noFill/>
                    </a:ln>
                  </pic:spPr>
                </pic:pic>
              </a:graphicData>
            </a:graphic>
          </wp:inline>
        </w:drawing>
      </w:r>
    </w:p>
    <w:p>
      <w:pPr>
        <w:pStyle w:val="6"/>
        <w:jc w:val="center"/>
        <w:rPr>
          <w:i/>
          <w:iCs/>
          <w:sz w:val="24"/>
          <w:szCs w:val="24"/>
        </w:rPr>
      </w:pPr>
      <w:bookmarkStart w:id="70" w:name="_Toc122981787"/>
      <w:r>
        <w:rPr>
          <w:i/>
          <w:iCs/>
          <w:sz w:val="24"/>
          <w:szCs w:val="24"/>
        </w:rPr>
        <w:t xml:space="preserve">Figure </w:t>
      </w:r>
      <w:r>
        <w:rPr>
          <w:i/>
          <w:iCs/>
          <w:sz w:val="24"/>
          <w:szCs w:val="24"/>
        </w:rPr>
        <w:fldChar w:fldCharType="begin"/>
      </w:r>
      <w:r>
        <w:rPr>
          <w:i/>
          <w:iCs/>
          <w:sz w:val="24"/>
          <w:szCs w:val="24"/>
        </w:rPr>
        <w:instrText xml:space="preserve"> SEQ Fig. \* ARABIC </w:instrText>
      </w:r>
      <w:r>
        <w:rPr>
          <w:i/>
          <w:iCs/>
          <w:sz w:val="24"/>
          <w:szCs w:val="24"/>
        </w:rPr>
        <w:fldChar w:fldCharType="separate"/>
      </w:r>
      <w:r>
        <w:rPr>
          <w:i/>
          <w:iCs/>
          <w:sz w:val="24"/>
          <w:szCs w:val="24"/>
        </w:rPr>
        <w:t>11</w:t>
      </w:r>
      <w:r>
        <w:rPr>
          <w:i/>
          <w:iCs/>
          <w:sz w:val="24"/>
          <w:szCs w:val="24"/>
        </w:rPr>
        <w:fldChar w:fldCharType="end"/>
      </w:r>
      <w:r>
        <w:rPr>
          <w:i/>
          <w:iCs/>
          <w:sz w:val="24"/>
          <w:szCs w:val="24"/>
        </w:rPr>
        <w:t>. View/Edit Configuration File</w:t>
      </w:r>
      <w:bookmarkEnd w:id="70"/>
    </w:p>
    <w:p>
      <w:pPr>
        <w:jc w:val="both"/>
        <w:rPr>
          <w:szCs w:val="24"/>
        </w:rPr>
      </w:pPr>
      <w:r>
        <w:rPr>
          <w:b/>
          <w:bCs/>
          <w:color w:val="auto"/>
          <w:szCs w:val="24"/>
          <w:u w:val="none"/>
        </w:rPr>
        <w:t>Data Fusion Configuration Files</w:t>
      </w:r>
      <w:r>
        <w:rPr>
          <w:szCs w:val="24"/>
        </w:rPr>
        <w:t xml:space="preserve"> can be concatenated in a Windows batch script to automatically run multiple Data Fusion analyses in sequence. A Data Fusion Configuration File (*.cfg) stores the configuration options for one Data Fusion Analysis (i.e., PM2.5, Ozone). Multiple Configuration Files can be used to define a suite of analyses to run at once through a batch script.  The Configuration Files are created and saved automatically when setting up an analysis in Data Fusion Tool. They can be edited either through the Data Viewer or using a text editor outside of  Data Fusion Tool. An example batch script (batsmat.bat) and configuration files (*.cfg) are included in “…\My DataFusion Files\Result\Batchjob”. The script "batch_examples.bat" includes a list of configuration files for the two types of analyses supported by Data Fusion Tool. New configuration files can be added to the batch script to run additional analyses.</w:t>
      </w:r>
    </w:p>
    <w:p>
      <w:pPr>
        <w:keepNext/>
        <w:autoSpaceDE w:val="0"/>
        <w:autoSpaceDN w:val="0"/>
        <w:jc w:val="both"/>
      </w:pPr>
      <w:r>
        <w:drawing>
          <wp:inline distT="0" distB="0" distL="0" distR="0">
            <wp:extent cx="5274310" cy="1111885"/>
            <wp:effectExtent l="12700" t="12700" r="1651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274310" cy="1111885"/>
                    </a:xfrm>
                    <a:prstGeom prst="rect">
                      <a:avLst/>
                    </a:prstGeom>
                    <a:ln w="12700">
                      <a:solidFill>
                        <a:schemeClr val="tx1"/>
                      </a:solidFill>
                    </a:ln>
                  </pic:spPr>
                </pic:pic>
              </a:graphicData>
            </a:graphic>
          </wp:inline>
        </w:drawing>
      </w:r>
    </w:p>
    <w:p>
      <w:pPr>
        <w:pStyle w:val="6"/>
        <w:jc w:val="center"/>
        <w:rPr>
          <w:rFonts w:ascii="Times New Roman" w:hAnsi="Times New Roman"/>
          <w:i/>
          <w:iCs/>
          <w:color w:val="000000"/>
          <w:kern w:val="0"/>
          <w:sz w:val="24"/>
          <w:szCs w:val="24"/>
        </w:rPr>
      </w:pPr>
      <w:bookmarkStart w:id="71" w:name="_Toc12298178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12</w:t>
      </w:r>
      <w:r>
        <w:rPr>
          <w:rFonts w:ascii="Times New Roman" w:hAnsi="Times New Roman"/>
          <w:i/>
          <w:iCs/>
          <w:sz w:val="24"/>
          <w:szCs w:val="24"/>
        </w:rPr>
        <w:fldChar w:fldCharType="end"/>
      </w:r>
      <w:bookmarkStart w:id="72" w:name="_Toc476654213"/>
      <w:bookmarkStart w:id="73" w:name="_Toc112399743"/>
      <w:r>
        <w:rPr>
          <w:rFonts w:ascii="Times New Roman" w:hAnsi="Times New Roman"/>
          <w:i/>
          <w:iCs/>
          <w:sz w:val="24"/>
          <w:szCs w:val="24"/>
        </w:rPr>
        <w:t>. DFT batch script</w:t>
      </w:r>
      <w:bookmarkEnd w:id="71"/>
      <w:bookmarkEnd w:id="72"/>
      <w:bookmarkEnd w:id="73"/>
    </w:p>
    <w:p>
      <w:pPr>
        <w:jc w:val="both"/>
        <w:rPr>
          <w:szCs w:val="24"/>
        </w:rPr>
      </w:pPr>
      <w:r>
        <w:t xml:space="preserve">After editing the Data Fusion Tool batch script, save it and double click on the file to run the analyses.  A Windows command window will display the status of the different Data Fusion Tool analysis runs. Data Fusion Tool will start and run in the background and when the runs are complete, the command window will shut down automatically. The results of the Data Fusion Tool batch runs are output to the “\My DataFusion Files\Result\Batchjob” directory. The *.proj files from these runs can be loaded into the </w:t>
      </w:r>
      <w:r>
        <w:rPr>
          <w:b/>
          <w:bCs/>
          <w:color w:val="auto"/>
          <w:szCs w:val="24"/>
          <w:u w:val="none"/>
        </w:rPr>
        <w:t xml:space="preserve">Data </w:t>
      </w:r>
      <w:r>
        <w:rPr>
          <w:rFonts w:hint="eastAsia"/>
          <w:b/>
          <w:bCs/>
          <w:color w:val="auto"/>
          <w:szCs w:val="24"/>
          <w:u w:val="none"/>
        </w:rPr>
        <w:t>Fusion</w:t>
      </w:r>
      <w:r>
        <w:rPr>
          <w:b/>
          <w:bCs/>
          <w:color w:val="auto"/>
          <w:szCs w:val="24"/>
          <w:u w:val="none"/>
        </w:rPr>
        <w:t xml:space="preserve"> Data Viewer</w:t>
      </w:r>
      <w:r>
        <w:rPr>
          <w:szCs w:val="24"/>
        </w:rPr>
        <w:t xml:space="preserve"> to probe the results from these runs.</w:t>
      </w:r>
    </w:p>
    <w:p>
      <w:pPr>
        <w:rPr>
          <w:rFonts w:eastAsia="宋体"/>
          <w:b/>
          <w:szCs w:val="24"/>
        </w:rPr>
      </w:pPr>
      <w:r>
        <w:rPr>
          <w:rFonts w:eastAsia="宋体"/>
          <w:b/>
          <w:szCs w:val="24"/>
        </w:rPr>
        <w:t>Notes:</w:t>
      </w:r>
    </w:p>
    <w:p>
      <w:pPr>
        <w:pStyle w:val="31"/>
        <w:widowControl/>
        <w:numPr>
          <w:ilvl w:val="1"/>
          <w:numId w:val="16"/>
        </w:numPr>
        <w:ind w:firstLineChars="0"/>
        <w:jc w:val="left"/>
        <w:rPr>
          <w:rFonts w:ascii="Times New Roman" w:hAnsi="Times New Roman"/>
          <w:kern w:val="0"/>
          <w:sz w:val="24"/>
          <w:szCs w:val="24"/>
        </w:rPr>
      </w:pPr>
      <w:r>
        <w:rPr>
          <w:rFonts w:ascii="Times New Roman" w:hAnsi="Times New Roman"/>
          <w:sz w:val="24"/>
          <w:szCs w:val="24"/>
        </w:rPr>
        <w:t xml:space="preserve">User can </w:t>
      </w:r>
      <w:r>
        <w:rPr>
          <w:rFonts w:ascii="Times New Roman" w:hAnsi="Times New Roman"/>
          <w:b/>
          <w:sz w:val="24"/>
          <w:szCs w:val="24"/>
        </w:rPr>
        <w:t xml:space="preserve">“Right-Click </w:t>
      </w:r>
      <w:r>
        <w:rPr>
          <w:rFonts w:ascii="Times New Roman" w:hAnsi="Times New Roman"/>
          <w:b/>
          <w:sz w:val="24"/>
          <w:szCs w:val="24"/>
        </w:rPr>
        <w:sym w:font="Wingdings" w:char="F0E0"/>
      </w:r>
      <w:r>
        <w:rPr>
          <w:rFonts w:ascii="Times New Roman" w:hAnsi="Times New Roman"/>
          <w:b/>
          <w:sz w:val="24"/>
          <w:szCs w:val="24"/>
        </w:rPr>
        <w:t xml:space="preserve"> E</w:t>
      </w:r>
      <w:bookmarkStart w:id="280" w:name="_GoBack"/>
      <w:bookmarkEnd w:id="280"/>
      <w:r>
        <w:rPr>
          <w:rFonts w:ascii="Times New Roman" w:hAnsi="Times New Roman"/>
          <w:b/>
          <w:sz w:val="24"/>
          <w:szCs w:val="24"/>
        </w:rPr>
        <w:t>dit”</w:t>
      </w:r>
      <w:r>
        <w:rPr>
          <w:rFonts w:ascii="Times New Roman" w:hAnsi="Times New Roman"/>
          <w:sz w:val="24"/>
          <w:szCs w:val="24"/>
        </w:rPr>
        <w:t xml:space="preserve"> to view/modify the “</w:t>
      </w:r>
      <w:r>
        <w:rPr>
          <w:rFonts w:ascii="Times New Roman" w:hAnsi="Times New Roman"/>
          <w:b/>
          <w:sz w:val="24"/>
          <w:szCs w:val="24"/>
        </w:rPr>
        <w:t xml:space="preserve">batch_examples.bat” </w:t>
      </w:r>
      <w:r>
        <w:rPr>
          <w:rFonts w:ascii="Times New Roman" w:hAnsi="Times New Roman"/>
          <w:sz w:val="24"/>
          <w:szCs w:val="24"/>
        </w:rPr>
        <w:t>file.</w:t>
      </w:r>
    </w:p>
    <w:p>
      <w:pPr>
        <w:pStyle w:val="31"/>
        <w:widowControl/>
        <w:numPr>
          <w:ilvl w:val="1"/>
          <w:numId w:val="16"/>
        </w:numPr>
        <w:ind w:firstLineChars="0"/>
        <w:jc w:val="left"/>
        <w:rPr>
          <w:rFonts w:ascii="Times New Roman" w:hAnsi="Times New Roman"/>
          <w:sz w:val="24"/>
          <w:szCs w:val="24"/>
        </w:rPr>
      </w:pPr>
      <w:r>
        <w:rPr>
          <w:rFonts w:ascii="Times New Roman" w:hAnsi="Times New Roman"/>
          <w:sz w:val="24"/>
          <w:szCs w:val="24"/>
        </w:rPr>
        <w:t>To run a batch job case, user can add a new line with the same format `</w:t>
      </w:r>
      <w:r>
        <w:rPr>
          <w:rFonts w:ascii="Times New Roman" w:hAnsi="Times New Roman"/>
          <w:b/>
          <w:sz w:val="24"/>
          <w:szCs w:val="24"/>
        </w:rPr>
        <w:t>start /wait ../../Tool/DataFusion/DataFusion.exe “[Configuration File]”</w:t>
      </w:r>
      <w:r>
        <w:rPr>
          <w:rFonts w:ascii="Times New Roman" w:hAnsi="Times New Roman"/>
          <w:sz w:val="24"/>
          <w:szCs w:val="24"/>
        </w:rPr>
        <w:t xml:space="preserve">`. </w:t>
      </w:r>
    </w:p>
    <w:p>
      <w:pPr>
        <w:pStyle w:val="31"/>
        <w:widowControl/>
        <w:numPr>
          <w:ilvl w:val="1"/>
          <w:numId w:val="16"/>
        </w:numPr>
        <w:ind w:firstLineChars="0"/>
        <w:jc w:val="left"/>
        <w:rPr>
          <w:rFonts w:ascii="Times New Roman" w:hAnsi="Times New Roman"/>
          <w:sz w:val="24"/>
          <w:szCs w:val="24"/>
        </w:rPr>
      </w:pPr>
      <w:r>
        <w:rPr>
          <w:rFonts w:ascii="Times New Roman" w:hAnsi="Times New Roman"/>
          <w:sz w:val="24"/>
          <w:szCs w:val="24"/>
        </w:rPr>
        <w:t>The window batch script will skip the lines which start with “::”.</w:t>
      </w:r>
      <w:r>
        <w:rPr>
          <w:sz w:val="24"/>
          <w:szCs w:val="24"/>
        </w:rPr>
        <w:t xml:space="preserve"> </w:t>
      </w:r>
    </w:p>
    <w:p>
      <w:pPr>
        <w:keepNext/>
        <w:ind w:left="420"/>
      </w:pPr>
      <w:r>
        <w:drawing>
          <wp:inline distT="0" distB="0" distL="0" distR="0">
            <wp:extent cx="5274310" cy="1799590"/>
            <wp:effectExtent l="9525" t="9525" r="19685" b="196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1799590"/>
                    </a:xfrm>
                    <a:prstGeom prst="rect">
                      <a:avLst/>
                    </a:prstGeom>
                    <a:noFill/>
                    <a:ln w="9525" cmpd="sng">
                      <a:solidFill>
                        <a:srgbClr val="000000"/>
                      </a:solidFill>
                      <a:miter lim="800000"/>
                      <a:headEnd/>
                      <a:tailEnd/>
                    </a:ln>
                    <a:effectLst/>
                  </pic:spPr>
                </pic:pic>
              </a:graphicData>
            </a:graphic>
          </wp:inline>
        </w:drawing>
      </w:r>
    </w:p>
    <w:p>
      <w:pPr>
        <w:pStyle w:val="6"/>
        <w:jc w:val="center"/>
        <w:rPr>
          <w:rFonts w:ascii="Times New Roman" w:hAnsi="Times New Roman"/>
          <w:i/>
          <w:iCs/>
          <w:sz w:val="24"/>
          <w:szCs w:val="24"/>
        </w:rPr>
      </w:pPr>
      <w:bookmarkStart w:id="74" w:name="_Toc12298178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13</w:t>
      </w:r>
      <w:r>
        <w:rPr>
          <w:rFonts w:ascii="Times New Roman" w:hAnsi="Times New Roman"/>
          <w:i/>
          <w:iCs/>
          <w:sz w:val="24"/>
          <w:szCs w:val="24"/>
        </w:rPr>
        <w:fldChar w:fldCharType="end"/>
      </w:r>
      <w:r>
        <w:rPr>
          <w:rFonts w:ascii="Times New Roman" w:hAnsi="Times New Roman"/>
          <w:i/>
          <w:iCs/>
          <w:sz w:val="24"/>
          <w:szCs w:val="24"/>
        </w:rPr>
        <w:t>. Example of batch script</w:t>
      </w:r>
      <w:bookmarkEnd w:id="74"/>
    </w:p>
    <w:p>
      <w:pPr>
        <w:pStyle w:val="31"/>
        <w:widowControl/>
        <w:numPr>
          <w:ilvl w:val="1"/>
          <w:numId w:val="16"/>
        </w:numPr>
        <w:ind w:firstLineChars="0"/>
        <w:jc w:val="left"/>
        <w:rPr>
          <w:rFonts w:ascii="Times New Roman" w:hAnsi="Times New Roman"/>
          <w:sz w:val="24"/>
          <w:szCs w:val="24"/>
        </w:rPr>
      </w:pPr>
      <w:r>
        <w:rPr>
          <w:rFonts w:ascii="Times New Roman" w:hAnsi="Times New Roman"/>
          <w:sz w:val="24"/>
          <w:szCs w:val="24"/>
        </w:rPr>
        <w:t>After editing the batch script, double-click on the script file to begin analysis.</w:t>
      </w:r>
    </w:p>
    <w:p>
      <w:pPr>
        <w:keepNext/>
        <w:ind w:left="420"/>
      </w:pPr>
      <w:r>
        <w:drawing>
          <wp:inline distT="0" distB="0" distL="0" distR="0">
            <wp:extent cx="5279390" cy="1139825"/>
            <wp:effectExtent l="0" t="0" r="889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9390" cy="1139825"/>
                    </a:xfrm>
                    <a:prstGeom prst="rect">
                      <a:avLst/>
                    </a:prstGeom>
                    <a:noFill/>
                  </pic:spPr>
                </pic:pic>
              </a:graphicData>
            </a:graphic>
          </wp:inline>
        </w:drawing>
      </w:r>
    </w:p>
    <w:p>
      <w:pPr>
        <w:pStyle w:val="6"/>
        <w:jc w:val="center"/>
        <w:rPr>
          <w:rFonts w:ascii="Times New Roman" w:hAnsi="Times New Roman"/>
          <w:i/>
          <w:iCs/>
          <w:sz w:val="24"/>
          <w:szCs w:val="24"/>
        </w:rPr>
      </w:pPr>
      <w:bookmarkStart w:id="75" w:name="_Toc12298179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14</w:t>
      </w:r>
      <w:r>
        <w:rPr>
          <w:rFonts w:ascii="Times New Roman" w:hAnsi="Times New Roman"/>
          <w:i/>
          <w:iCs/>
          <w:sz w:val="24"/>
          <w:szCs w:val="24"/>
        </w:rPr>
        <w:fldChar w:fldCharType="end"/>
      </w:r>
      <w:r>
        <w:rPr>
          <w:rFonts w:ascii="Times New Roman" w:hAnsi="Times New Roman"/>
          <w:i/>
          <w:iCs/>
          <w:sz w:val="24"/>
          <w:szCs w:val="24"/>
        </w:rPr>
        <w:t>. Running batch script</w:t>
      </w:r>
      <w:bookmarkEnd w:id="75"/>
    </w:p>
    <w:p>
      <w:pPr>
        <w:pStyle w:val="31"/>
        <w:widowControl/>
        <w:numPr>
          <w:ilvl w:val="1"/>
          <w:numId w:val="16"/>
        </w:numPr>
        <w:ind w:firstLineChars="0"/>
        <w:jc w:val="left"/>
        <w:rPr>
          <w:rFonts w:ascii="Times New Roman" w:hAnsi="Times New Roman"/>
          <w:sz w:val="24"/>
          <w:szCs w:val="24"/>
        </w:rPr>
      </w:pPr>
      <w:r>
        <w:rPr>
          <w:rFonts w:ascii="Times New Roman" w:hAnsi="Times New Roman"/>
          <w:sz w:val="24"/>
          <w:szCs w:val="24"/>
        </w:rPr>
        <w:t>The output files of a batch job case are also placed under the directory of “My DataFusion Tool\Result\Batchjob\”.</w:t>
      </w:r>
    </w:p>
    <w:p>
      <w:pPr>
        <w:pStyle w:val="31"/>
        <w:keepNext/>
        <w:widowControl/>
        <w:ind w:left="840" w:firstLine="0" w:firstLineChars="0"/>
        <w:jc w:val="left"/>
      </w:pPr>
      <w:r>
        <w:drawing>
          <wp:inline distT="0" distB="0" distL="0" distR="0">
            <wp:extent cx="5274310" cy="2202815"/>
            <wp:effectExtent l="9525" t="9525" r="19685" b="127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5274310" cy="2202815"/>
                    </a:xfrm>
                    <a:prstGeom prst="rect">
                      <a:avLst/>
                    </a:prstGeom>
                    <a:ln>
                      <a:solidFill>
                        <a:schemeClr val="tx1"/>
                      </a:solidFill>
                    </a:ln>
                  </pic:spPr>
                </pic:pic>
              </a:graphicData>
            </a:graphic>
          </wp:inline>
        </w:drawing>
      </w:r>
    </w:p>
    <w:p>
      <w:pPr>
        <w:pStyle w:val="6"/>
        <w:jc w:val="center"/>
        <w:rPr>
          <w:rFonts w:ascii="Times New Roman" w:hAnsi="Times New Roman"/>
          <w:i/>
          <w:iCs/>
          <w:sz w:val="24"/>
          <w:szCs w:val="24"/>
        </w:rPr>
      </w:pPr>
      <w:bookmarkStart w:id="76" w:name="_Toc12298179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15</w:t>
      </w:r>
      <w:r>
        <w:rPr>
          <w:rFonts w:ascii="Times New Roman" w:hAnsi="Times New Roman"/>
          <w:i/>
          <w:iCs/>
          <w:sz w:val="24"/>
          <w:szCs w:val="24"/>
        </w:rPr>
        <w:fldChar w:fldCharType="end"/>
      </w:r>
      <w:r>
        <w:rPr>
          <w:rFonts w:ascii="Times New Roman" w:hAnsi="Times New Roman"/>
          <w:i/>
          <w:iCs/>
          <w:sz w:val="24"/>
          <w:szCs w:val="24"/>
        </w:rPr>
        <w:t>. Results for Batchjob</w:t>
      </w:r>
      <w:bookmarkEnd w:id="76"/>
    </w:p>
    <w:p>
      <w:pPr>
        <w:jc w:val="both"/>
      </w:pPr>
      <w:r>
        <w:t xml:space="preserve">Details of the </w:t>
      </w:r>
      <w:r>
        <w:rPr>
          <w:rFonts w:hint="eastAsia"/>
        </w:rPr>
        <w:t>Data</w:t>
      </w:r>
      <w:r>
        <w:t xml:space="preserve"> </w:t>
      </w:r>
      <w:r>
        <w:rPr>
          <w:rFonts w:hint="eastAsia"/>
        </w:rPr>
        <w:t>Fusion</w:t>
      </w:r>
      <w:r>
        <w:t xml:space="preserve"> Analysis options are provided in the following Chapters.</w:t>
      </w:r>
    </w:p>
    <w:p>
      <w:pPr>
        <w:pStyle w:val="31"/>
        <w:ind w:firstLine="0" w:firstLineChars="0"/>
        <w:rPr>
          <w:rFonts w:ascii="Times New Roman" w:hAnsi="Times New Roman"/>
          <w:color w:val="FF0000"/>
          <w:sz w:val="24"/>
          <w:szCs w:val="24"/>
        </w:rPr>
      </w:pPr>
    </w:p>
    <w:p>
      <w:pPr>
        <w:pStyle w:val="3"/>
      </w:pPr>
      <w:r>
        <w:t>PM</w:t>
      </w:r>
      <w:r>
        <w:rPr>
          <w:vertAlign w:val="subscript"/>
        </w:rPr>
        <w:t xml:space="preserve">2.5 </w:t>
      </w:r>
      <w:r>
        <w:t xml:space="preserve">Data Fusion </w:t>
      </w:r>
      <w:r>
        <w:rPr>
          <w:rFonts w:hint="eastAsia"/>
        </w:rPr>
        <w:t>Analysis</w:t>
      </w:r>
      <w:r>
        <w:t xml:space="preserve"> </w:t>
      </w:r>
      <w:r>
        <w:rPr>
          <w:rFonts w:hint="eastAsia"/>
        </w:rPr>
        <w:t>Quick</w:t>
      </w:r>
      <w:r>
        <w:t xml:space="preserve"> </w:t>
      </w:r>
      <w:r>
        <w:rPr>
          <w:rFonts w:hint="eastAsia"/>
        </w:rPr>
        <w:t>Start</w:t>
      </w:r>
      <w:bookmarkEnd w:id="67"/>
      <w:bookmarkEnd w:id="68"/>
    </w:p>
    <w:p>
      <w:pPr>
        <w:ind w:firstLine="240" w:firstLineChars="100"/>
      </w:pPr>
      <w:r>
        <w:t xml:space="preserve">The steps below describe how to use </w:t>
      </w:r>
      <w:r>
        <w:rPr>
          <w:szCs w:val="24"/>
        </w:rPr>
        <w:t>DF</w:t>
      </w:r>
      <w:r>
        <w:t xml:space="preserve"> to </w:t>
      </w:r>
      <w:r>
        <w:rPr>
          <w:rFonts w:hint="eastAsia"/>
        </w:rPr>
        <w:t>con</w:t>
      </w:r>
      <w:r>
        <w:t xml:space="preserve">duct data fusion </w:t>
      </w:r>
      <w:r>
        <w:rPr>
          <w:rFonts w:hint="eastAsia"/>
        </w:rPr>
        <w:t>for</w:t>
      </w:r>
      <w:r>
        <w:t xml:space="preserve"> PM</w:t>
      </w:r>
      <w:r>
        <w:rPr>
          <w:vertAlign w:val="subscript"/>
        </w:rPr>
        <w:t>2.5</w:t>
      </w:r>
      <w:r>
        <w:t xml:space="preserve"> with monitor data, model data, and other related data, and verify the data fusion results. For more details, refer to</w:t>
      </w:r>
      <w:r>
        <w:fldChar w:fldCharType="begin"/>
      </w:r>
      <w:r>
        <w:instrText xml:space="preserve"> HYPERLINK \l "_PM2.5_data_fusion" </w:instrText>
      </w:r>
      <w:r>
        <w:fldChar w:fldCharType="separate"/>
      </w:r>
      <w:r>
        <w:rPr>
          <w:rStyle w:val="23"/>
        </w:rPr>
        <w:t xml:space="preserve"> Chapter 4.</w:t>
      </w:r>
      <w:r>
        <w:rPr>
          <w:rStyle w:val="24"/>
        </w:rPr>
        <w:fldChar w:fldCharType="end"/>
      </w:r>
    </w:p>
    <w:p>
      <w:pPr>
        <w:pStyle w:val="49"/>
        <w:ind w:firstLine="241" w:firstLineChars="100"/>
      </w:pPr>
      <w:r>
        <w:rPr>
          <w:b/>
          <w:bCs/>
          <w:u w:val="single"/>
        </w:rPr>
        <w:t>Step 1.</w:t>
      </w:r>
      <w:r>
        <w:t xml:space="preserve"> Click </w:t>
      </w:r>
      <w:r>
        <w:rPr>
          <w:b/>
          <w:bCs/>
        </w:rPr>
        <w:t xml:space="preserve">PM </w:t>
      </w:r>
      <w:r>
        <w:t xml:space="preserve">menu on the </w:t>
      </w:r>
      <w:r>
        <w:rPr>
          <w:rFonts w:hint="eastAsia"/>
        </w:rPr>
        <w:t>top</w:t>
      </w:r>
      <w:r>
        <w:t xml:space="preserve"> of Data Fusion Tool Home Page to launch the PM Analysis module window.</w:t>
      </w:r>
    </w:p>
    <w:p>
      <w:pPr>
        <w:pStyle w:val="49"/>
        <w:ind w:firstLine="241" w:firstLineChars="100"/>
      </w:pPr>
      <w:r>
        <w:rPr>
          <w:b/>
          <w:bCs/>
          <w:u w:val="single"/>
        </w:rPr>
        <w:t>Step 2.</w:t>
      </w:r>
      <w:r>
        <w:t xml:space="preserve">The </w:t>
      </w:r>
      <w:bookmarkStart w:id="77" w:name="_Hlk45310998"/>
      <w:r>
        <w:rPr>
          <w:b/>
          <w:bCs/>
        </w:rPr>
        <w:t>Data Input Option</w:t>
      </w:r>
      <w:bookmarkEnd w:id="77"/>
      <w:r>
        <w:t xml:space="preserve"> window display first. T</w:t>
      </w:r>
      <w:r>
        <w:rPr>
          <w:rFonts w:hint="eastAsia"/>
        </w:rPr>
        <w:t>h</w:t>
      </w:r>
      <w:r>
        <w:t>is windows sets the input files of  PM</w:t>
      </w:r>
      <w:r>
        <w:rPr>
          <w:vertAlign w:val="subscript"/>
        </w:rPr>
        <w:t xml:space="preserve">2.5 </w:t>
      </w:r>
      <w:r>
        <w:t>moritor data , PM</w:t>
      </w:r>
      <w:r>
        <w:rPr>
          <w:vertAlign w:val="subscript"/>
        </w:rPr>
        <w:t xml:space="preserve">2.5 </w:t>
      </w:r>
      <w:r>
        <w:t>grid model data and other data. Data Fusion Analysis calculates the data fusion result based on the input files.</w:t>
      </w:r>
    </w:p>
    <w:p>
      <w:pPr>
        <w:pStyle w:val="49"/>
        <w:ind w:firstLine="199" w:firstLineChars="83"/>
        <w:rPr>
          <w:rStyle w:val="39"/>
        </w:rPr>
      </w:pPr>
      <w:r>
        <w:rPr>
          <w:rStyle w:val="39"/>
        </w:rPr>
        <w:t xml:space="preserve">Use the default settings in the </w:t>
      </w:r>
      <w:r>
        <w:rPr>
          <w:b/>
          <w:bCs/>
        </w:rPr>
        <w:t xml:space="preserve">Data Input Option </w:t>
      </w:r>
      <w:r>
        <w:rPr>
          <w:rStyle w:val="39"/>
        </w:rPr>
        <w:t>window.</w:t>
      </w:r>
    </w:p>
    <w:p>
      <w:pPr>
        <w:pStyle w:val="49"/>
        <w:numPr>
          <w:ilvl w:val="0"/>
          <w:numId w:val="17"/>
        </w:numPr>
        <w:ind w:firstLineChars="0"/>
        <w:rPr>
          <w:rStyle w:val="39"/>
        </w:rPr>
      </w:pPr>
      <w:r>
        <w:rPr>
          <w:rStyle w:val="39"/>
        </w:rPr>
        <w:t xml:space="preserve">Click on the </w:t>
      </w:r>
      <w:r>
        <w:rPr>
          <w:rStyle w:val="39"/>
          <w:b/>
          <w:bCs/>
          <w:color w:val="0432FF"/>
          <w:u w:val="single"/>
        </w:rPr>
        <w:t>Data Input Option</w:t>
      </w:r>
      <w:r>
        <w:rPr>
          <w:rStyle w:val="39"/>
          <w:color w:val="1F497D"/>
        </w:rPr>
        <w:t xml:space="preserve"> </w:t>
      </w:r>
      <w:r>
        <w:rPr>
          <w:rStyle w:val="39"/>
        </w:rPr>
        <w:t>hyperlink to display an electronic version of the User’s Manual for this window.</w:t>
      </w:r>
    </w:p>
    <w:p>
      <w:pPr>
        <w:pStyle w:val="49"/>
        <w:ind w:firstLine="241" w:firstLineChars="100"/>
      </w:pPr>
      <w:r>
        <w:rPr>
          <w:b/>
        </w:rPr>
        <w:t xml:space="preserve">Monitor Data: </w:t>
      </w:r>
      <w:r>
        <w:t>Set</w:t>
      </w:r>
      <w:r>
        <w:rPr>
          <w:rFonts w:hint="eastAsia"/>
        </w:rPr>
        <w:t>s</w:t>
      </w:r>
      <w:r>
        <w:t xml:space="preserve"> the input file of PM</w:t>
      </w:r>
      <w:r>
        <w:rPr>
          <w:vertAlign w:val="subscript"/>
        </w:rPr>
        <w:t>2.5</w:t>
      </w:r>
      <w:r>
        <w:t xml:space="preserve"> monitor data. There are three types of  options: </w:t>
      </w:r>
      <w:r>
        <w:rPr>
          <w:b/>
        </w:rPr>
        <w:t>Daily/Weekly Data</w:t>
      </w:r>
      <w:r>
        <w:t xml:space="preserve">, </w:t>
      </w:r>
      <w:r>
        <w:rPr>
          <w:b/>
        </w:rPr>
        <w:t>Quarterly Data</w:t>
      </w:r>
      <w:r>
        <w:rPr>
          <w:bCs/>
        </w:rPr>
        <w:t>,</w:t>
      </w:r>
      <w:r>
        <w:t xml:space="preserve"> and </w:t>
      </w:r>
      <w:r>
        <w:rPr>
          <w:b/>
        </w:rPr>
        <w:t xml:space="preserve">Annual Data </w:t>
      </w:r>
      <w:r>
        <w:t xml:space="preserve">(The default option is </w:t>
      </w:r>
      <w:r>
        <w:rPr>
          <w:b/>
        </w:rPr>
        <w:t>Quarterly Data</w:t>
      </w:r>
      <w:r>
        <w:t>).</w:t>
      </w:r>
    </w:p>
    <w:p>
      <w:pPr>
        <w:pStyle w:val="49"/>
        <w:numPr>
          <w:ilvl w:val="0"/>
          <w:numId w:val="18"/>
        </w:numPr>
        <w:ind w:firstLineChars="0"/>
      </w:pPr>
      <w:r>
        <w:rPr>
          <w:rFonts w:hint="eastAsia"/>
          <w:b/>
        </w:rPr>
        <w:t>P</w:t>
      </w:r>
      <w:r>
        <w:rPr>
          <w:b/>
        </w:rPr>
        <w:t>M Mass Data:</w:t>
      </w:r>
      <w:r>
        <w:t xml:space="preserve"> Sets the detailed data of PM</w:t>
      </w:r>
      <w:r>
        <w:rPr>
          <w:vertAlign w:val="subscript"/>
        </w:rPr>
        <w:t>2.5</w:t>
      </w:r>
      <w:r>
        <w:t xml:space="preserve"> monitor data.</w:t>
      </w:r>
    </w:p>
    <w:p>
      <w:pPr>
        <w:pStyle w:val="49"/>
        <w:numPr>
          <w:ilvl w:val="0"/>
          <w:numId w:val="18"/>
        </w:numPr>
        <w:ind w:firstLineChars="0"/>
      </w:pPr>
      <w:r>
        <w:rPr>
          <w:b/>
        </w:rPr>
        <w:t>PM Species:</w:t>
      </w:r>
      <w:r>
        <w:rPr>
          <w:lang w:eastAsia="en-US"/>
        </w:rPr>
        <w:t xml:space="preserve"> This option is unchecked. (If checked, it will require to input a file of PM</w:t>
      </w:r>
      <w:r>
        <w:rPr>
          <w:vertAlign w:val="subscript"/>
          <w:lang w:eastAsia="en-US"/>
        </w:rPr>
        <w:t>2.5</w:t>
      </w:r>
      <w:r>
        <w:rPr>
          <w:lang w:eastAsia="en-US"/>
        </w:rPr>
        <w:t xml:space="preserve"> species data).</w:t>
      </w:r>
    </w:p>
    <w:p>
      <w:pPr>
        <w:pStyle w:val="49"/>
        <w:numPr>
          <w:ilvl w:val="0"/>
          <w:numId w:val="18"/>
        </w:numPr>
        <w:ind w:firstLineChars="0"/>
      </w:pPr>
      <w:r>
        <w:rPr>
          <w:rFonts w:hint="eastAsia"/>
          <w:b/>
        </w:rPr>
        <w:t>G</w:t>
      </w:r>
      <w:r>
        <w:rPr>
          <w:b/>
        </w:rPr>
        <w:t xml:space="preserve">rid Model Data: </w:t>
      </w:r>
      <w:r>
        <w:t>Sets the data format, base case model data, and grid description file.</w:t>
      </w:r>
    </w:p>
    <w:p>
      <w:pPr>
        <w:pStyle w:val="49"/>
        <w:numPr>
          <w:ilvl w:val="0"/>
          <w:numId w:val="18"/>
        </w:numPr>
        <w:ind w:firstLineChars="0"/>
      </w:pPr>
      <w:r>
        <w:rPr>
          <w:b/>
        </w:rPr>
        <w:t>Data Format:</w:t>
      </w:r>
      <w:r>
        <w:t xml:space="preserve"> Sets the data format of the base year model data. *.csv and IO/API format data are supported.</w:t>
      </w:r>
    </w:p>
    <w:p>
      <w:pPr>
        <w:pStyle w:val="49"/>
        <w:numPr>
          <w:ilvl w:val="0"/>
          <w:numId w:val="18"/>
        </w:numPr>
        <w:ind w:firstLineChars="0"/>
      </w:pPr>
      <w:r>
        <w:rPr>
          <w:b/>
        </w:rPr>
        <w:t>Base Case:</w:t>
      </w:r>
      <w:r>
        <w:rPr>
          <w:lang w:eastAsia="en-US"/>
        </w:rPr>
        <w:t xml:space="preserve"> </w:t>
      </w:r>
      <w:r>
        <w:t>Sets the detailed data of PM</w:t>
      </w:r>
      <w:r>
        <w:rPr>
          <w:vertAlign w:val="subscript"/>
        </w:rPr>
        <w:t>2.5</w:t>
      </w:r>
      <w:r>
        <w:t xml:space="preserve"> model data at base year.</w:t>
      </w:r>
    </w:p>
    <w:p>
      <w:pPr>
        <w:pStyle w:val="49"/>
        <w:numPr>
          <w:ilvl w:val="0"/>
          <w:numId w:val="18"/>
        </w:numPr>
        <w:ind w:firstLineChars="0"/>
      </w:pPr>
      <w:r>
        <w:rPr>
          <w:b/>
        </w:rPr>
        <w:t>Grid description:</w:t>
      </w:r>
      <w:r>
        <w:t xml:space="preserve"> T</w:t>
      </w:r>
      <w:r>
        <w:rPr>
          <w:rFonts w:hint="eastAsia"/>
        </w:rPr>
        <w:t>here</w:t>
      </w:r>
      <w:r>
        <w:t xml:space="preserve"> are two grid definition file type options</w:t>
      </w:r>
      <w:r>
        <w:rPr>
          <w:rFonts w:hint="eastAsia"/>
        </w:rPr>
        <w:t>:</w:t>
      </w:r>
      <w:r>
        <w:t xml:space="preserve"> a CMAQ grid description file and a Grid Shape File(*.shp).</w:t>
      </w:r>
    </w:p>
    <w:p>
      <w:pPr>
        <w:pStyle w:val="49"/>
        <w:ind w:left="240" w:firstLine="0" w:firstLineChars="0"/>
        <w:rPr>
          <w:lang w:eastAsia="en-US"/>
        </w:rPr>
      </w:pPr>
      <w:r>
        <w:rPr>
          <w:rFonts w:hint="eastAsia"/>
          <w:b/>
        </w:rPr>
        <w:t>O</w:t>
      </w:r>
      <w:r>
        <w:rPr>
          <w:b/>
        </w:rPr>
        <w:t>ther Data:</w:t>
      </w:r>
      <w:r>
        <w:t xml:space="preserve"> </w:t>
      </w:r>
      <w:r>
        <w:rPr>
          <w:lang w:eastAsia="en-US"/>
        </w:rPr>
        <w:t xml:space="preserve">This option is unchecked. (If checked, it will require to input a file of Diffusion model file data or </w:t>
      </w:r>
      <w:r>
        <w:rPr>
          <w:szCs w:val="24"/>
        </w:rPr>
        <w:t>Aerosol Optical Depth</w:t>
      </w:r>
      <w:r>
        <w:rPr>
          <w:lang w:eastAsia="en-US"/>
        </w:rPr>
        <w:t xml:space="preserve"> (AOD) data).</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Data Input Option</w:t>
      </w:r>
      <w:r>
        <w:rPr>
          <w:lang w:eastAsia="en-US"/>
        </w:rPr>
        <w:t xml:space="preserve"> window to proceed to the next step.</w:t>
      </w:r>
    </w:p>
    <w:p>
      <w:pPr>
        <w:pStyle w:val="49"/>
        <w:ind w:firstLine="241" w:firstLineChars="100"/>
        <w:rPr>
          <w:lang w:eastAsia="en-US"/>
        </w:rPr>
      </w:pPr>
      <w:r>
        <w:rPr>
          <w:b/>
          <w:bCs/>
          <w:u w:val="single"/>
        </w:rPr>
        <w:t>Step 3.</w:t>
      </w:r>
      <w:r>
        <w:rPr>
          <w:lang w:eastAsia="en-US"/>
        </w:rPr>
        <w:t xml:space="preserve"> The </w:t>
      </w:r>
      <w:r>
        <w:rPr>
          <w:b/>
          <w:lang w:eastAsia="en-US"/>
        </w:rPr>
        <w:t>Data Fusion Technique Option</w:t>
      </w:r>
      <w:r>
        <w:rPr>
          <w:lang w:eastAsia="en-US"/>
        </w:rPr>
        <w:t xml:space="preserve"> window sets the </w:t>
      </w:r>
      <w:r>
        <w:rPr>
          <w:szCs w:val="24"/>
        </w:rPr>
        <w:t xml:space="preserve">data fusion algorithms </w:t>
      </w:r>
      <w:r>
        <w:rPr>
          <w:rFonts w:hint="eastAsia"/>
          <w:szCs w:val="24"/>
        </w:rPr>
        <w:t>t</w:t>
      </w:r>
      <w:r>
        <w:rPr>
          <w:szCs w:val="24"/>
        </w:rPr>
        <w:t xml:space="preserve">o calculate </w:t>
      </w:r>
      <w:r>
        <w:t>the data fusion result</w:t>
      </w:r>
      <w:r>
        <w:rPr>
          <w:lang w:eastAsia="en-US"/>
        </w:rPr>
        <w:t>.</w:t>
      </w:r>
    </w:p>
    <w:p>
      <w:pPr>
        <w:pStyle w:val="49"/>
        <w:ind w:firstLine="240" w:firstLineChars="100"/>
        <w:rPr>
          <w:rStyle w:val="39"/>
        </w:rPr>
      </w:pPr>
      <w:r>
        <w:rPr>
          <w:rStyle w:val="39"/>
        </w:rPr>
        <w:t xml:space="preserve">Use the default settings in the </w:t>
      </w:r>
      <w:r>
        <w:rPr>
          <w:b/>
          <w:bCs/>
        </w:rPr>
        <w:t xml:space="preserve">Data Input Technique Option </w:t>
      </w:r>
      <w:r>
        <w:rPr>
          <w:rStyle w:val="39"/>
        </w:rPr>
        <w:t>window.</w:t>
      </w:r>
    </w:p>
    <w:p>
      <w:pPr>
        <w:pStyle w:val="49"/>
        <w:numPr>
          <w:ilvl w:val="0"/>
          <w:numId w:val="20"/>
        </w:numPr>
        <w:ind w:firstLineChars="0"/>
        <w:rPr>
          <w:rStyle w:val="39"/>
        </w:rPr>
      </w:pPr>
      <w:r>
        <w:rPr>
          <w:rStyle w:val="39"/>
        </w:rPr>
        <w:t xml:space="preserve">Click on the </w:t>
      </w:r>
      <w:r>
        <w:rPr>
          <w:rStyle w:val="39"/>
          <w:b/>
          <w:bCs/>
          <w:color w:val="0432FF"/>
          <w:u w:val="single"/>
        </w:rPr>
        <w:t xml:space="preserve">Data Fusion Technique Option </w:t>
      </w:r>
      <w:r>
        <w:rPr>
          <w:rStyle w:val="39"/>
        </w:rPr>
        <w:t>hyperlink to display an electronic version of the User’s Manual for this window.</w:t>
      </w:r>
    </w:p>
    <w:p>
      <w:pPr>
        <w:pStyle w:val="49"/>
        <w:ind w:firstLine="241" w:firstLineChars="100"/>
        <w:rPr>
          <w:szCs w:val="24"/>
        </w:rPr>
      </w:pPr>
      <w:r>
        <w:rPr>
          <w:b/>
          <w:lang w:eastAsia="en-US"/>
        </w:rPr>
        <w:t>Algorithm:</w:t>
      </w:r>
      <w:r>
        <w:rPr>
          <w:lang w:eastAsia="en-US"/>
        </w:rPr>
        <w:t xml:space="preserve"> There are five</w:t>
      </w:r>
      <w:r>
        <w:rPr>
          <w:szCs w:val="24"/>
        </w:rPr>
        <w:t xml:space="preserve"> algorithms options: VNA, eVNA ,Downscaler, wVNA, and Nearest Site. The default choice are VNA, eVNA, and Downscaler.</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Data Input Technique Option</w:t>
      </w:r>
      <w:r>
        <w:rPr>
          <w:lang w:eastAsia="en-US"/>
        </w:rPr>
        <w:t xml:space="preserve"> window to proceed to the next step.</w:t>
      </w:r>
    </w:p>
    <w:p>
      <w:pPr>
        <w:pStyle w:val="49"/>
        <w:ind w:firstLine="241" w:firstLineChars="100"/>
        <w:rPr>
          <w:lang w:eastAsia="en-US"/>
        </w:rPr>
      </w:pPr>
      <w:r>
        <w:rPr>
          <w:b/>
          <w:bCs/>
          <w:u w:val="single"/>
        </w:rPr>
        <w:t>Step 4.</w:t>
      </w:r>
      <w:r>
        <w:rPr>
          <w:lang w:eastAsia="en-US"/>
        </w:rPr>
        <w:t xml:space="preserve"> The </w:t>
      </w:r>
      <w:r>
        <w:rPr>
          <w:b/>
          <w:lang w:eastAsia="en-US"/>
        </w:rPr>
        <w:t>Spatial and Temporal Option</w:t>
      </w:r>
      <w:r>
        <w:rPr>
          <w:lang w:eastAsia="en-US"/>
        </w:rPr>
        <w:t xml:space="preserve"> window customizes the space and time separately to comparing the simulation results of entire domain or partial domain and specified time ranges.</w:t>
      </w:r>
    </w:p>
    <w:p>
      <w:pPr>
        <w:pStyle w:val="49"/>
        <w:ind w:firstLine="240" w:firstLineChars="100"/>
        <w:rPr>
          <w:lang w:eastAsia="en-US"/>
        </w:rPr>
      </w:pPr>
      <w:r>
        <w:rPr>
          <w:rStyle w:val="39"/>
        </w:rPr>
        <w:t xml:space="preserve">Use the default settings in the </w:t>
      </w:r>
      <w:r>
        <w:rPr>
          <w:b/>
          <w:lang w:eastAsia="en-US"/>
        </w:rPr>
        <w:t>Spatial and Temporal</w:t>
      </w:r>
      <w:r>
        <w:rPr>
          <w:b/>
          <w:bCs/>
        </w:rPr>
        <w:t xml:space="preserve"> Option </w:t>
      </w:r>
      <w:r>
        <w:rPr>
          <w:rStyle w:val="39"/>
        </w:rPr>
        <w:t>window.</w:t>
      </w:r>
    </w:p>
    <w:p>
      <w:pPr>
        <w:pStyle w:val="49"/>
        <w:numPr>
          <w:ilvl w:val="0"/>
          <w:numId w:val="21"/>
        </w:numPr>
        <w:ind w:firstLineChars="0"/>
        <w:rPr>
          <w:b/>
          <w:lang w:eastAsia="en-US"/>
        </w:rPr>
      </w:pPr>
      <w:r>
        <w:rPr>
          <w:rStyle w:val="39"/>
        </w:rPr>
        <w:t xml:space="preserve">Click on the </w:t>
      </w:r>
      <w:r>
        <w:rPr>
          <w:rStyle w:val="39"/>
          <w:b/>
          <w:bCs/>
          <w:color w:val="0432FF"/>
          <w:u w:val="single"/>
        </w:rPr>
        <w:t xml:space="preserve">Spatial and Temporal Option </w:t>
      </w:r>
      <w:r>
        <w:rPr>
          <w:rStyle w:val="39"/>
        </w:rPr>
        <w:t>hyperlink to display an electronic version of the User’s Manual for this window.</w:t>
      </w:r>
    </w:p>
    <w:p>
      <w:pPr>
        <w:pStyle w:val="49"/>
        <w:ind w:firstLine="241" w:firstLineChars="100"/>
        <w:rPr>
          <w:lang w:eastAsia="en-US"/>
        </w:rPr>
      </w:pPr>
      <w:r>
        <w:rPr>
          <w:b/>
          <w:lang w:eastAsia="en-US"/>
        </w:rPr>
        <w:t xml:space="preserve">Spatial and Temporal Option: </w:t>
      </w:r>
      <w:r>
        <w:rPr>
          <w:bCs/>
          <w:lang w:eastAsia="en-US"/>
        </w:rPr>
        <w:t>S</w:t>
      </w:r>
      <w:r>
        <w:rPr>
          <w:lang w:eastAsia="en-US"/>
        </w:rPr>
        <w:t xml:space="preserve">elect </w:t>
      </w:r>
      <w:r>
        <w:rPr>
          <w:b/>
          <w:lang w:eastAsia="en-US"/>
        </w:rPr>
        <w:t>Entire Domain</w:t>
      </w:r>
      <w:r>
        <w:rPr>
          <w:lang w:eastAsia="en-US"/>
        </w:rPr>
        <w:t xml:space="preserve"> or </w:t>
      </w:r>
      <w:r>
        <w:rPr>
          <w:b/>
          <w:lang w:eastAsia="en-US"/>
        </w:rPr>
        <w:t>Partial Domain</w:t>
      </w:r>
      <w:r>
        <w:rPr>
          <w:lang w:eastAsia="en-US"/>
        </w:rPr>
        <w:t xml:space="preserve">. The </w:t>
      </w:r>
      <w:r>
        <w:rPr>
          <w:b/>
          <w:lang w:eastAsia="en-US"/>
        </w:rPr>
        <w:t>Partial Domian</w:t>
      </w:r>
      <w:r>
        <w:rPr>
          <w:lang w:eastAsia="en-US"/>
        </w:rPr>
        <w:t xml:space="preserve"> sets the grid cells by customizing the starting and ending grid cell in the entire domain.</w:t>
      </w:r>
    </w:p>
    <w:p>
      <w:pPr>
        <w:pStyle w:val="49"/>
        <w:ind w:firstLine="241" w:firstLineChars="100"/>
        <w:rPr>
          <w:lang w:eastAsia="en-US"/>
        </w:rPr>
      </w:pPr>
      <w:r>
        <w:rPr>
          <w:b/>
          <w:lang w:eastAsia="en-US"/>
        </w:rPr>
        <w:t>Temporal Data Fusion Option</w:t>
      </w:r>
      <w:r>
        <w:rPr>
          <w:lang w:eastAsia="en-US"/>
        </w:rPr>
        <w:t>: Includes the time range of data fusion output results, which are divided into annual average, quarterly average, monthly average, and daily average.</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Spatial and Temporal Option</w:t>
      </w:r>
      <w:r>
        <w:rPr>
          <w:lang w:eastAsia="en-US"/>
        </w:rPr>
        <w:t xml:space="preserve"> window to proceed to the next step.</w:t>
      </w:r>
    </w:p>
    <w:p>
      <w:pPr>
        <w:pStyle w:val="49"/>
        <w:ind w:firstLine="241" w:firstLineChars="100"/>
        <w:rPr>
          <w:lang w:eastAsia="en-US"/>
        </w:rPr>
      </w:pPr>
      <w:r>
        <w:rPr>
          <w:b/>
          <w:bCs/>
          <w:u w:val="single"/>
        </w:rPr>
        <w:t>Step 5.</w:t>
      </w:r>
      <w:r>
        <w:rPr>
          <w:lang w:eastAsia="en-US"/>
        </w:rPr>
        <w:t xml:space="preserve"> The </w:t>
      </w:r>
      <w:r>
        <w:rPr>
          <w:b/>
          <w:lang w:eastAsia="en-US"/>
        </w:rPr>
        <w:t xml:space="preserve">Receptor Option </w:t>
      </w:r>
      <w:r>
        <w:rPr>
          <w:lang w:eastAsia="en-US"/>
        </w:rPr>
        <w:t xml:space="preserve">window sets the GIS shape file. This GIS shape file is used to calculate average concentration in specified regions (e.g., states, counties). </w:t>
      </w:r>
    </w:p>
    <w:p>
      <w:pPr>
        <w:pStyle w:val="49"/>
        <w:ind w:firstLine="240" w:firstLineChars="100"/>
        <w:rPr>
          <w:rStyle w:val="39"/>
        </w:rPr>
      </w:pPr>
      <w:r>
        <w:rPr>
          <w:rStyle w:val="39"/>
        </w:rPr>
        <w:t xml:space="preserve">Use the default settings in the </w:t>
      </w:r>
      <w:r>
        <w:rPr>
          <w:b/>
          <w:lang w:eastAsia="en-US"/>
        </w:rPr>
        <w:t>Receptor Option</w:t>
      </w:r>
      <w:r>
        <w:rPr>
          <w:b/>
          <w:bCs/>
        </w:rPr>
        <w:t xml:space="preserve"> </w:t>
      </w:r>
      <w:r>
        <w:rPr>
          <w:rStyle w:val="39"/>
        </w:rPr>
        <w:t>window.</w:t>
      </w:r>
    </w:p>
    <w:p>
      <w:pPr>
        <w:pStyle w:val="49"/>
        <w:numPr>
          <w:ilvl w:val="0"/>
          <w:numId w:val="21"/>
        </w:numPr>
        <w:ind w:firstLineChars="0"/>
        <w:rPr>
          <w:b/>
          <w:lang w:eastAsia="en-US"/>
        </w:rPr>
      </w:pPr>
      <w:r>
        <w:rPr>
          <w:rStyle w:val="39"/>
        </w:rPr>
        <w:t xml:space="preserve">Click on the </w:t>
      </w:r>
      <w:r>
        <w:rPr>
          <w:rStyle w:val="39"/>
          <w:b/>
          <w:bCs/>
          <w:color w:val="0432FF"/>
          <w:u w:val="single"/>
        </w:rPr>
        <w:t xml:space="preserve">Receptor Option </w:t>
      </w:r>
      <w:r>
        <w:rPr>
          <w:rStyle w:val="39"/>
        </w:rPr>
        <w:t>hyperlink to display an electronic version of the User’s Manual for this window.</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Receptor Option</w:t>
      </w:r>
      <w:r>
        <w:rPr>
          <w:lang w:eastAsia="en-US"/>
        </w:rPr>
        <w:t xml:space="preserve"> window to proceed to the next step.</w:t>
      </w:r>
    </w:p>
    <w:p>
      <w:pPr>
        <w:pStyle w:val="49"/>
        <w:ind w:firstLine="241" w:firstLineChars="100"/>
        <w:rPr>
          <w:lang w:eastAsia="en-US"/>
        </w:rPr>
      </w:pPr>
      <w:r>
        <w:rPr>
          <w:b/>
          <w:bCs/>
          <w:u w:val="single"/>
        </w:rPr>
        <w:t>Step 6.</w:t>
      </w:r>
      <w:r>
        <w:rPr>
          <w:lang w:eastAsia="en-US"/>
        </w:rPr>
        <w:t xml:space="preserve"> The </w:t>
      </w:r>
      <w:r>
        <w:rPr>
          <w:b/>
          <w:lang w:eastAsia="en-US"/>
        </w:rPr>
        <w:t xml:space="preserve">Cross Validation Option </w:t>
      </w:r>
      <w:r>
        <w:rPr>
          <w:lang w:eastAsia="en-US"/>
        </w:rPr>
        <w:t>window sets cross-validation method to conduct scientific and objective analysis of the validity and stability of data fusion results.</w:t>
      </w:r>
    </w:p>
    <w:p>
      <w:pPr>
        <w:pStyle w:val="49"/>
        <w:ind w:firstLine="240" w:firstLineChars="100"/>
        <w:rPr>
          <w:rStyle w:val="39"/>
        </w:rPr>
      </w:pPr>
      <w:r>
        <w:rPr>
          <w:rStyle w:val="39"/>
        </w:rPr>
        <w:t xml:space="preserve">Use the default settings in the </w:t>
      </w:r>
      <w:r>
        <w:rPr>
          <w:b/>
          <w:lang w:eastAsia="en-US"/>
        </w:rPr>
        <w:t>Cross Validation Option</w:t>
      </w:r>
      <w:r>
        <w:rPr>
          <w:b/>
          <w:bCs/>
        </w:rPr>
        <w:t xml:space="preserve"> </w:t>
      </w:r>
      <w:r>
        <w:rPr>
          <w:rStyle w:val="39"/>
        </w:rPr>
        <w:t>window.</w:t>
      </w:r>
    </w:p>
    <w:p>
      <w:pPr>
        <w:pStyle w:val="49"/>
        <w:numPr>
          <w:ilvl w:val="0"/>
          <w:numId w:val="21"/>
        </w:numPr>
        <w:ind w:firstLineChars="0"/>
        <w:rPr>
          <w:b/>
          <w:lang w:eastAsia="en-US"/>
        </w:rPr>
      </w:pPr>
      <w:r>
        <w:rPr>
          <w:rStyle w:val="39"/>
        </w:rPr>
        <w:t xml:space="preserve">Click on the </w:t>
      </w:r>
      <w:r>
        <w:rPr>
          <w:rStyle w:val="39"/>
          <w:b/>
          <w:bCs/>
          <w:color w:val="0432FF"/>
          <w:u w:val="single"/>
        </w:rPr>
        <w:t xml:space="preserve">Cross Validation Option </w:t>
      </w:r>
      <w:r>
        <w:rPr>
          <w:rStyle w:val="39"/>
        </w:rPr>
        <w:t>hyperlink to display an electronic version of the User’s Manual for this window.</w:t>
      </w:r>
    </w:p>
    <w:p>
      <w:pPr>
        <w:pStyle w:val="49"/>
        <w:ind w:firstLine="241" w:firstLineChars="100"/>
        <w:rPr>
          <w:lang w:eastAsia="en-US"/>
        </w:rPr>
      </w:pPr>
      <w:r>
        <w:rPr>
          <w:rFonts w:hint="eastAsia"/>
          <w:b/>
        </w:rPr>
        <w:t>C</w:t>
      </w:r>
      <w:r>
        <w:rPr>
          <w:b/>
        </w:rPr>
        <w:t xml:space="preserve">ross Validation: </w:t>
      </w:r>
      <w:r>
        <w:rPr>
          <w:lang w:eastAsia="en-US"/>
        </w:rPr>
        <w:t>This option is unchecked. (If checked, it requires to select a kind of cross-validation method).</w:t>
      </w:r>
    </w:p>
    <w:p>
      <w:pPr>
        <w:pStyle w:val="49"/>
        <w:numPr>
          <w:ilvl w:val="0"/>
          <w:numId w:val="22"/>
        </w:numPr>
        <w:ind w:firstLineChars="0"/>
        <w:rPr>
          <w:b/>
          <w:lang w:eastAsia="en-US"/>
        </w:rPr>
      </w:pPr>
      <w:r>
        <w:rPr>
          <w:b/>
          <w:lang w:eastAsia="en-US"/>
        </w:rPr>
        <w:t xml:space="preserve">Multi-fold: </w:t>
      </w:r>
      <w:r>
        <w:rPr>
          <w:lang w:eastAsia="en-US"/>
        </w:rPr>
        <w:t>Selects the monitoring data file,groups it, and finally verifies the data fusion result according to the result set synthesized by each group. The result will intuitively show the validity and stability of the data fusion result.</w:t>
      </w:r>
    </w:p>
    <w:p>
      <w:pPr>
        <w:pStyle w:val="49"/>
        <w:numPr>
          <w:ilvl w:val="0"/>
          <w:numId w:val="22"/>
        </w:numPr>
        <w:ind w:firstLineChars="0"/>
        <w:rPr>
          <w:b/>
          <w:lang w:eastAsia="en-US"/>
        </w:rPr>
      </w:pPr>
      <w:r>
        <w:rPr>
          <w:b/>
          <w:lang w:eastAsia="en-US"/>
        </w:rPr>
        <w:t xml:space="preserve">Leave-one-out: </w:t>
      </w:r>
      <w:r>
        <w:rPr>
          <w:lang w:eastAsia="en-US"/>
        </w:rPr>
        <w:t>Eliminates different monitoring value points selected by users one by one, compares and analyzes data fusion results in the absence of different monitoring points, and then finds and removes abnormal data values.</w:t>
      </w:r>
    </w:p>
    <w:p>
      <w:pPr>
        <w:pStyle w:val="49"/>
        <w:numPr>
          <w:ilvl w:val="0"/>
          <w:numId w:val="22"/>
        </w:numPr>
        <w:ind w:firstLineChars="0"/>
        <w:rPr>
          <w:b/>
        </w:rPr>
      </w:pPr>
      <w:r>
        <w:rPr>
          <w:b/>
          <w:lang w:eastAsia="en-US"/>
        </w:rPr>
        <w:t xml:space="preserve">Leave-group-out: </w:t>
      </w:r>
      <w:r>
        <w:rPr>
          <w:lang w:eastAsia="en-US"/>
        </w:rPr>
        <w:t>Selects the group data sets to compare and analyze data fusion results in the absence of different monitoring points, and then finds and removes abnormal data values.</w:t>
      </w:r>
    </w:p>
    <w:p>
      <w:pPr>
        <w:pStyle w:val="49"/>
        <w:numPr>
          <w:ilvl w:val="0"/>
          <w:numId w:val="23"/>
        </w:numPr>
        <w:ind w:firstLineChars="0"/>
      </w:pPr>
      <w:r>
        <w:rPr>
          <w:rStyle w:val="39"/>
        </w:rPr>
        <w:t xml:space="preserve">Click the </w:t>
      </w:r>
      <w:r>
        <w:rPr>
          <w:rStyle w:val="39"/>
          <w:b/>
          <w:bCs/>
        </w:rPr>
        <w:t>Next</w:t>
      </w:r>
      <w:r>
        <w:rPr>
          <w:rStyle w:val="39"/>
        </w:rPr>
        <w:t xml:space="preserve"> arrow at the bottom right of the </w:t>
      </w:r>
      <w:r>
        <w:rPr>
          <w:b/>
          <w:bCs/>
        </w:rPr>
        <w:t>Cross Validation Option</w:t>
      </w:r>
      <w:r>
        <w:rPr>
          <w:rStyle w:val="39"/>
        </w:rPr>
        <w:t xml:space="preserve"> window to complete the PM Analysis configuration and run the DF project.</w:t>
      </w:r>
    </w:p>
    <w:p>
      <w:pPr>
        <w:pStyle w:val="49"/>
        <w:numPr>
          <w:ilvl w:val="0"/>
          <w:numId w:val="24"/>
        </w:numPr>
        <w:ind w:firstLineChars="0"/>
        <w:rPr>
          <w:b/>
        </w:rPr>
      </w:pPr>
      <w:r>
        <w:rPr>
          <w:rStyle w:val="39"/>
        </w:rPr>
        <w:t xml:space="preserve">Click </w:t>
      </w:r>
      <w:r>
        <w:rPr>
          <w:rStyle w:val="39"/>
          <w:b/>
          <w:bCs/>
        </w:rPr>
        <w:t>Save &amp; Run Project</w:t>
      </w:r>
      <w:r>
        <w:rPr>
          <w:rStyle w:val="39"/>
        </w:rPr>
        <w:t xml:space="preserve"> in the pop-up window. Click Save to create a project (*.proj) file for this tutorial exercise. </w:t>
      </w:r>
    </w:p>
    <w:p>
      <w:pPr>
        <w:pStyle w:val="49"/>
        <w:ind w:firstLine="240" w:firstLineChars="100"/>
      </w:pPr>
      <w:r>
        <w:t xml:space="preserve">The PM Analysis will complete after a few minutes and the Data Fusion Tool Data Viewer will present the results of this analysis. See </w:t>
      </w:r>
      <w:r>
        <w:fldChar w:fldCharType="begin"/>
      </w:r>
      <w:r>
        <w:instrText xml:space="preserve"> HYPERLINK \l "_Data_Viewer_for" </w:instrText>
      </w:r>
      <w:r>
        <w:fldChar w:fldCharType="separate"/>
      </w:r>
      <w:r>
        <w:rPr>
          <w:rStyle w:val="24"/>
        </w:rPr>
        <w:t>Chapter 6</w:t>
      </w:r>
      <w:r>
        <w:rPr>
          <w:rStyle w:val="24"/>
        </w:rPr>
        <w:fldChar w:fldCharType="end"/>
      </w:r>
      <w:r>
        <w:t xml:space="preserve"> for details on how to use the Data Viewer to analyze the results.</w:t>
      </w:r>
    </w:p>
    <w:p/>
    <w:p>
      <w:pPr>
        <w:pStyle w:val="3"/>
      </w:pPr>
      <w:bookmarkStart w:id="78" w:name="_Toc45225394"/>
      <w:bookmarkStart w:id="79" w:name="_Toc122981754"/>
      <w:r>
        <w:rPr>
          <w:rFonts w:hint="eastAsia"/>
        </w:rPr>
        <w:t>O</w:t>
      </w:r>
      <w:r>
        <w:t xml:space="preserve">zone Data Fusion </w:t>
      </w:r>
      <w:r>
        <w:rPr>
          <w:rFonts w:hint="eastAsia"/>
        </w:rPr>
        <w:t>Analysis</w:t>
      </w:r>
      <w:r>
        <w:t xml:space="preserve"> Quick Start</w:t>
      </w:r>
      <w:bookmarkEnd w:id="78"/>
      <w:bookmarkEnd w:id="79"/>
    </w:p>
    <w:p>
      <w:pPr>
        <w:ind w:firstLine="240" w:firstLineChars="100"/>
        <w:rPr>
          <w:rStyle w:val="24"/>
        </w:rPr>
      </w:pPr>
      <w:r>
        <w:t xml:space="preserve">The steps below describe how to use </w:t>
      </w:r>
      <w:r>
        <w:rPr>
          <w:szCs w:val="24"/>
        </w:rPr>
        <w:t>DF</w:t>
      </w:r>
      <w:r>
        <w:t xml:space="preserve"> to </w:t>
      </w:r>
      <w:r>
        <w:rPr>
          <w:rFonts w:hint="eastAsia"/>
        </w:rPr>
        <w:t>con</w:t>
      </w:r>
      <w:r>
        <w:t>duct data fusion operations on Ozone with ozone monitor data, model data and other related data, and verify the data fusion results. For more details, refer to</w:t>
      </w:r>
      <w:r>
        <w:fldChar w:fldCharType="begin"/>
      </w:r>
      <w:r>
        <w:instrText xml:space="preserve"> HYPERLINK  \l "_Aerosol_Optical_Depth" </w:instrText>
      </w:r>
      <w:r>
        <w:fldChar w:fldCharType="separate"/>
      </w:r>
      <w:r>
        <w:rPr>
          <w:rStyle w:val="24"/>
        </w:rPr>
        <w:t xml:space="preserve"> </w:t>
      </w:r>
      <w:bookmarkStart w:id="80" w:name="_Hlk45311729"/>
      <w:bookmarkStart w:id="81" w:name="_Hlk45311714"/>
      <w:r>
        <w:rPr>
          <w:rStyle w:val="24"/>
        </w:rPr>
        <w:t>Chapter 5</w:t>
      </w:r>
      <w:bookmarkEnd w:id="80"/>
      <w:bookmarkEnd w:id="81"/>
      <w:r>
        <w:rPr>
          <w:rStyle w:val="24"/>
        </w:rPr>
        <w:t>.</w:t>
      </w:r>
    </w:p>
    <w:p>
      <w:pPr>
        <w:ind w:firstLine="240" w:firstLineChars="100"/>
      </w:pPr>
      <w:r>
        <w:fldChar w:fldCharType="end"/>
      </w:r>
      <w:r>
        <w:rPr>
          <w:b/>
          <w:bCs/>
          <w:u w:val="single"/>
        </w:rPr>
        <w:t>Step 1.</w:t>
      </w:r>
      <w:r>
        <w:t xml:space="preserve"> Click </w:t>
      </w:r>
      <w:r>
        <w:rPr>
          <w:b/>
          <w:bCs/>
        </w:rPr>
        <w:t xml:space="preserve">Ozone </w:t>
      </w:r>
      <w:r>
        <w:t xml:space="preserve">menu on the </w:t>
      </w:r>
      <w:r>
        <w:rPr>
          <w:rFonts w:hint="eastAsia"/>
        </w:rPr>
        <w:t>top</w:t>
      </w:r>
      <w:r>
        <w:t xml:space="preserve"> of Data Fusion Tool Home Page to launch the PM Analysis module window.</w:t>
      </w:r>
    </w:p>
    <w:p>
      <w:pPr>
        <w:pStyle w:val="49"/>
        <w:ind w:firstLine="241" w:firstLineChars="100"/>
      </w:pPr>
      <w:r>
        <w:rPr>
          <w:b/>
          <w:bCs/>
          <w:u w:val="single"/>
        </w:rPr>
        <w:t>Step 2.</w:t>
      </w:r>
      <w:r>
        <w:rPr>
          <w:b/>
          <w:bCs/>
        </w:rPr>
        <w:t xml:space="preserve"> </w:t>
      </w:r>
      <w:r>
        <w:t xml:space="preserve">The </w:t>
      </w:r>
      <w:r>
        <w:rPr>
          <w:b/>
          <w:bCs/>
        </w:rPr>
        <w:t>Data Input Option</w:t>
      </w:r>
      <w:r>
        <w:t xml:space="preserve"> window display first. T</w:t>
      </w:r>
      <w:r>
        <w:rPr>
          <w:rFonts w:hint="eastAsia"/>
        </w:rPr>
        <w:t>h</w:t>
      </w:r>
      <w:r>
        <w:t>is windows sets the input files of Ozone</w:t>
      </w:r>
      <w:r>
        <w:rPr>
          <w:vertAlign w:val="subscript"/>
        </w:rPr>
        <w:t xml:space="preserve"> </w:t>
      </w:r>
      <w:r>
        <w:t>monitor data, grid model data, and other data. Data Fusion Analysis calculates the data fusion result based on the input files.</w:t>
      </w:r>
    </w:p>
    <w:p>
      <w:pPr>
        <w:pStyle w:val="49"/>
        <w:ind w:firstLine="199" w:firstLineChars="83"/>
        <w:rPr>
          <w:rStyle w:val="39"/>
        </w:rPr>
      </w:pPr>
      <w:r>
        <w:rPr>
          <w:rStyle w:val="39"/>
        </w:rPr>
        <w:t xml:space="preserve">Use the default settings in the </w:t>
      </w:r>
      <w:r>
        <w:rPr>
          <w:b/>
          <w:bCs/>
        </w:rPr>
        <w:t xml:space="preserve">Data Input Option </w:t>
      </w:r>
      <w:r>
        <w:rPr>
          <w:rStyle w:val="39"/>
        </w:rPr>
        <w:t>window.</w:t>
      </w:r>
    </w:p>
    <w:p>
      <w:pPr>
        <w:pStyle w:val="49"/>
        <w:numPr>
          <w:ilvl w:val="0"/>
          <w:numId w:val="20"/>
        </w:numPr>
        <w:ind w:firstLineChars="0"/>
      </w:pPr>
      <w:r>
        <w:rPr>
          <w:rStyle w:val="39"/>
        </w:rPr>
        <w:t xml:space="preserve">Click on the </w:t>
      </w:r>
      <w:r>
        <w:rPr>
          <w:rStyle w:val="39"/>
          <w:b/>
          <w:bCs/>
          <w:color w:val="0432FF"/>
          <w:u w:val="single"/>
        </w:rPr>
        <w:t>Data Input Option</w:t>
      </w:r>
      <w:r>
        <w:rPr>
          <w:rStyle w:val="39"/>
          <w:color w:val="1F497D"/>
        </w:rPr>
        <w:t xml:space="preserve"> </w:t>
      </w:r>
      <w:r>
        <w:rPr>
          <w:rStyle w:val="39"/>
        </w:rPr>
        <w:t>hyperlink to display an electronic version of the User’s Manual for this window.</w:t>
      </w:r>
    </w:p>
    <w:p>
      <w:pPr>
        <w:pStyle w:val="49"/>
        <w:ind w:firstLine="241" w:firstLineChars="100"/>
      </w:pPr>
      <w:r>
        <w:rPr>
          <w:b/>
        </w:rPr>
        <w:t xml:space="preserve">Monitor Data: </w:t>
      </w:r>
      <w:r>
        <w:t xml:space="preserve">Set the input file of Ozone monitor data. There are two time-type options: </w:t>
      </w:r>
      <w:r>
        <w:rPr>
          <w:b/>
        </w:rPr>
        <w:t xml:space="preserve"> Annual </w:t>
      </w:r>
      <w:r>
        <w:t xml:space="preserve">and </w:t>
      </w:r>
      <w:r>
        <w:rPr>
          <w:b/>
        </w:rPr>
        <w:t xml:space="preserve">Daily </w:t>
      </w:r>
      <w:r>
        <w:t xml:space="preserve">(The default option is </w:t>
      </w:r>
      <w:r>
        <w:rPr>
          <w:b/>
        </w:rPr>
        <w:t>Annual</w:t>
      </w:r>
      <w:r>
        <w:t>).</w:t>
      </w:r>
    </w:p>
    <w:p>
      <w:pPr>
        <w:pStyle w:val="49"/>
        <w:numPr>
          <w:ilvl w:val="0"/>
          <w:numId w:val="18"/>
        </w:numPr>
        <w:ind w:firstLineChars="0"/>
      </w:pPr>
      <w:r>
        <w:rPr>
          <w:b/>
        </w:rPr>
        <w:t>Selcet Ozone Design Values (DV) Year:</w:t>
      </w:r>
      <w:r>
        <w:t xml:space="preserve"> Sets the </w:t>
      </w:r>
      <w:r>
        <w:rPr>
          <w:b/>
        </w:rPr>
        <w:t>Start Year</w:t>
      </w:r>
      <w:r>
        <w:t xml:space="preserve"> and </w:t>
      </w:r>
      <w:r>
        <w:rPr>
          <w:b/>
        </w:rPr>
        <w:t>End Year</w:t>
      </w:r>
      <w:r>
        <w:t xml:space="preserve"> corresponding to the monitor data year.</w:t>
      </w:r>
    </w:p>
    <w:p>
      <w:pPr>
        <w:pStyle w:val="49"/>
        <w:ind w:left="240" w:firstLine="0" w:firstLineChars="0"/>
      </w:pPr>
      <w:r>
        <w:rPr>
          <w:rFonts w:hint="eastAsia"/>
          <w:b/>
        </w:rPr>
        <w:t>G</w:t>
      </w:r>
      <w:r>
        <w:rPr>
          <w:b/>
        </w:rPr>
        <w:t xml:space="preserve">rid Model Data: </w:t>
      </w:r>
      <w:r>
        <w:t>Sets the data format, base case model data, and grid description file.</w:t>
      </w:r>
    </w:p>
    <w:p>
      <w:pPr>
        <w:pStyle w:val="49"/>
        <w:numPr>
          <w:ilvl w:val="0"/>
          <w:numId w:val="18"/>
        </w:numPr>
        <w:ind w:firstLineChars="0"/>
      </w:pPr>
      <w:r>
        <w:rPr>
          <w:b/>
        </w:rPr>
        <w:t>Data Format:</w:t>
      </w:r>
      <w:r>
        <w:t xml:space="preserve"> Sets the data format of the base year model data. *.csv and IO/API format data are supported. By default, annual monitor data corresponds to model data in CSV format. Daily monitor data corresponds to model data in IO/API format</w:t>
      </w:r>
    </w:p>
    <w:p>
      <w:pPr>
        <w:pStyle w:val="49"/>
        <w:numPr>
          <w:ilvl w:val="0"/>
          <w:numId w:val="18"/>
        </w:numPr>
        <w:ind w:firstLineChars="0"/>
      </w:pPr>
      <w:r>
        <w:rPr>
          <w:b/>
        </w:rPr>
        <w:t>Base Case:</w:t>
      </w:r>
      <w:r>
        <w:rPr>
          <w:lang w:eastAsia="en-US"/>
        </w:rPr>
        <w:t xml:space="preserve"> </w:t>
      </w:r>
      <w:r>
        <w:t>Sets the detailed data of Ozone model data at base year.</w:t>
      </w:r>
    </w:p>
    <w:p>
      <w:pPr>
        <w:pStyle w:val="49"/>
        <w:numPr>
          <w:ilvl w:val="0"/>
          <w:numId w:val="18"/>
        </w:numPr>
        <w:ind w:firstLineChars="0"/>
      </w:pPr>
      <w:r>
        <w:rPr>
          <w:b/>
        </w:rPr>
        <w:t>Control Case:</w:t>
      </w:r>
      <w:r>
        <w:t xml:space="preserve"> </w:t>
      </w:r>
      <w:r>
        <w:rPr>
          <w:lang w:eastAsia="en-US"/>
        </w:rPr>
        <w:t>This option is unchecked. (If checked, it requires to select a file including the detailed data of Ozone model data at control year.)</w:t>
      </w:r>
    </w:p>
    <w:p>
      <w:pPr>
        <w:pStyle w:val="49"/>
        <w:numPr>
          <w:ilvl w:val="0"/>
          <w:numId w:val="18"/>
        </w:numPr>
        <w:ind w:firstLineChars="0"/>
      </w:pPr>
      <w:r>
        <w:rPr>
          <w:b/>
        </w:rPr>
        <w:t>Grid description:</w:t>
      </w:r>
      <w:r>
        <w:t xml:space="preserve"> T</w:t>
      </w:r>
      <w:r>
        <w:rPr>
          <w:rFonts w:hint="eastAsia"/>
        </w:rPr>
        <w:t>here</w:t>
      </w:r>
      <w:r>
        <w:t xml:space="preserve"> are two grid definition filetype options</w:t>
      </w:r>
      <w:r>
        <w:rPr>
          <w:rFonts w:hint="eastAsia"/>
        </w:rPr>
        <w:t>:</w:t>
      </w:r>
      <w:r>
        <w:t xml:space="preserve"> CMAQ grid description file and Grid Shape File(*.shp).</w:t>
      </w:r>
    </w:p>
    <w:p>
      <w:pPr>
        <w:pStyle w:val="49"/>
        <w:ind w:left="240" w:firstLine="0" w:firstLineChars="0"/>
        <w:rPr>
          <w:lang w:eastAsia="en-US"/>
        </w:rPr>
      </w:pPr>
      <w:r>
        <w:rPr>
          <w:rFonts w:hint="eastAsia"/>
          <w:b/>
        </w:rPr>
        <w:t>O</w:t>
      </w:r>
      <w:r>
        <w:rPr>
          <w:b/>
        </w:rPr>
        <w:t>ther Data:</w:t>
      </w:r>
      <w:r>
        <w:t xml:space="preserve"> </w:t>
      </w:r>
      <w:r>
        <w:rPr>
          <w:lang w:eastAsia="en-US"/>
        </w:rPr>
        <w:t>This option is unchecked. (If checked, it requires to input a file of Diffusion model file data or AOD data.)</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Data Input Option</w:t>
      </w:r>
      <w:r>
        <w:rPr>
          <w:lang w:eastAsia="en-US"/>
        </w:rPr>
        <w:t xml:space="preserve"> window to proceed to the next step.</w:t>
      </w:r>
    </w:p>
    <w:p>
      <w:pPr>
        <w:pStyle w:val="49"/>
        <w:ind w:firstLine="241" w:firstLineChars="100"/>
        <w:rPr>
          <w:lang w:eastAsia="en-US"/>
        </w:rPr>
      </w:pPr>
      <w:r>
        <w:rPr>
          <w:b/>
          <w:bCs/>
          <w:u w:val="single"/>
        </w:rPr>
        <w:t>Step 3.</w:t>
      </w:r>
      <w:r>
        <w:rPr>
          <w:lang w:eastAsia="en-US"/>
        </w:rPr>
        <w:t xml:space="preserve"> The </w:t>
      </w:r>
      <w:r>
        <w:rPr>
          <w:b/>
          <w:lang w:eastAsia="en-US"/>
        </w:rPr>
        <w:t>Data Fusion Technique Option</w:t>
      </w:r>
      <w:r>
        <w:rPr>
          <w:lang w:eastAsia="en-US"/>
        </w:rPr>
        <w:t xml:space="preserve"> window sets the </w:t>
      </w:r>
      <w:r>
        <w:rPr>
          <w:szCs w:val="24"/>
        </w:rPr>
        <w:t xml:space="preserve">data fusion algorithms </w:t>
      </w:r>
      <w:r>
        <w:rPr>
          <w:rFonts w:hint="eastAsia"/>
          <w:szCs w:val="24"/>
        </w:rPr>
        <w:t>t</w:t>
      </w:r>
      <w:r>
        <w:rPr>
          <w:szCs w:val="24"/>
        </w:rPr>
        <w:t xml:space="preserve">o calculate </w:t>
      </w:r>
      <w:r>
        <w:t>the data fusion result</w:t>
      </w:r>
      <w:r>
        <w:rPr>
          <w:lang w:eastAsia="en-US"/>
        </w:rPr>
        <w:t>.</w:t>
      </w:r>
    </w:p>
    <w:p>
      <w:pPr>
        <w:pStyle w:val="49"/>
        <w:ind w:firstLine="240" w:firstLineChars="100"/>
        <w:rPr>
          <w:rStyle w:val="39"/>
        </w:rPr>
      </w:pPr>
      <w:r>
        <w:rPr>
          <w:rStyle w:val="39"/>
        </w:rPr>
        <w:t xml:space="preserve">Use the default settings in the </w:t>
      </w:r>
      <w:r>
        <w:rPr>
          <w:b/>
          <w:bCs/>
        </w:rPr>
        <w:t xml:space="preserve">Data Input Technique Option </w:t>
      </w:r>
      <w:r>
        <w:rPr>
          <w:rStyle w:val="39"/>
        </w:rPr>
        <w:t>window.</w:t>
      </w:r>
    </w:p>
    <w:p>
      <w:pPr>
        <w:pStyle w:val="49"/>
        <w:numPr>
          <w:ilvl w:val="0"/>
          <w:numId w:val="20"/>
        </w:numPr>
        <w:ind w:firstLineChars="0"/>
      </w:pPr>
      <w:r>
        <w:rPr>
          <w:rStyle w:val="39"/>
        </w:rPr>
        <w:t xml:space="preserve">Click on the </w:t>
      </w:r>
      <w:r>
        <w:rPr>
          <w:rStyle w:val="39"/>
          <w:b/>
          <w:bCs/>
          <w:color w:val="0432FF"/>
          <w:u w:val="single"/>
        </w:rPr>
        <w:t>Data Fusion Technique Option</w:t>
      </w:r>
      <w:r>
        <w:rPr>
          <w:rStyle w:val="39"/>
          <w:b/>
          <w:bCs/>
          <w:color w:val="0432FF"/>
        </w:rPr>
        <w:t xml:space="preserve"> </w:t>
      </w:r>
      <w:r>
        <w:rPr>
          <w:rStyle w:val="39"/>
        </w:rPr>
        <w:t>hyperlink to display an electronic version of the User’s Manual for this window.</w:t>
      </w:r>
    </w:p>
    <w:p>
      <w:pPr>
        <w:pStyle w:val="49"/>
        <w:ind w:firstLine="241" w:firstLineChars="100"/>
        <w:rPr>
          <w:szCs w:val="24"/>
        </w:rPr>
      </w:pPr>
      <w:r>
        <w:rPr>
          <w:b/>
          <w:lang w:eastAsia="en-US"/>
        </w:rPr>
        <w:t>Algorithm:</w:t>
      </w:r>
      <w:r>
        <w:rPr>
          <w:lang w:eastAsia="en-US"/>
        </w:rPr>
        <w:t xml:space="preserve"> There are five</w:t>
      </w:r>
      <w:r>
        <w:rPr>
          <w:szCs w:val="24"/>
        </w:rPr>
        <w:t xml:space="preserve"> algorithm options: VNA, eVNA ,Downscaler, wVNA, and Nearest Site. The default choice are VNA, eVNA, and Downscaler.</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Data Input Technique Option</w:t>
      </w:r>
      <w:r>
        <w:rPr>
          <w:lang w:eastAsia="en-US"/>
        </w:rPr>
        <w:t xml:space="preserve"> window to proceed to the next step.</w:t>
      </w:r>
    </w:p>
    <w:p>
      <w:pPr>
        <w:pStyle w:val="49"/>
        <w:ind w:firstLine="241" w:firstLineChars="100"/>
        <w:rPr>
          <w:lang w:eastAsia="en-US"/>
        </w:rPr>
      </w:pPr>
      <w:r>
        <w:rPr>
          <w:b/>
          <w:bCs/>
          <w:u w:val="single"/>
        </w:rPr>
        <w:t>Step 4.</w:t>
      </w:r>
      <w:r>
        <w:rPr>
          <w:lang w:eastAsia="en-US"/>
        </w:rPr>
        <w:t xml:space="preserve"> The </w:t>
      </w:r>
      <w:r>
        <w:rPr>
          <w:b/>
          <w:lang w:eastAsia="en-US"/>
        </w:rPr>
        <w:t>Spatial and Temporal Option</w:t>
      </w:r>
      <w:r>
        <w:rPr>
          <w:lang w:eastAsia="en-US"/>
        </w:rPr>
        <w:t xml:space="preserve"> window customizes the space and time separately to compare the simulation results of entire domain or partial domain and specified time ranges.</w:t>
      </w:r>
    </w:p>
    <w:p>
      <w:pPr>
        <w:pStyle w:val="49"/>
        <w:ind w:firstLine="240" w:firstLineChars="100"/>
        <w:rPr>
          <w:rStyle w:val="39"/>
        </w:rPr>
      </w:pPr>
      <w:r>
        <w:rPr>
          <w:rStyle w:val="39"/>
        </w:rPr>
        <w:t xml:space="preserve">Use the default settings in the </w:t>
      </w:r>
      <w:r>
        <w:rPr>
          <w:b/>
          <w:lang w:eastAsia="en-US"/>
        </w:rPr>
        <w:t>Spatial and Temporal</w:t>
      </w:r>
      <w:r>
        <w:rPr>
          <w:b/>
          <w:bCs/>
        </w:rPr>
        <w:t xml:space="preserve"> Option </w:t>
      </w:r>
      <w:r>
        <w:rPr>
          <w:rStyle w:val="39"/>
        </w:rPr>
        <w:t>window.</w:t>
      </w:r>
    </w:p>
    <w:p>
      <w:pPr>
        <w:pStyle w:val="49"/>
        <w:numPr>
          <w:ilvl w:val="0"/>
          <w:numId w:val="21"/>
        </w:numPr>
        <w:ind w:firstLineChars="0"/>
        <w:rPr>
          <w:b/>
          <w:lang w:eastAsia="en-US"/>
        </w:rPr>
      </w:pPr>
      <w:r>
        <w:rPr>
          <w:rStyle w:val="39"/>
        </w:rPr>
        <w:t xml:space="preserve">Click on the </w:t>
      </w:r>
      <w:r>
        <w:rPr>
          <w:rStyle w:val="39"/>
          <w:b/>
          <w:bCs/>
          <w:color w:val="0432FF"/>
          <w:u w:val="single"/>
        </w:rPr>
        <w:t xml:space="preserve">Spatial and Temporal Option </w:t>
      </w:r>
      <w:r>
        <w:rPr>
          <w:rStyle w:val="39"/>
        </w:rPr>
        <w:t>hyperlink to display an electronic version of the User’s Manual for this window.</w:t>
      </w:r>
    </w:p>
    <w:p>
      <w:pPr>
        <w:pStyle w:val="49"/>
        <w:ind w:firstLine="241" w:firstLineChars="100"/>
        <w:rPr>
          <w:lang w:eastAsia="en-US"/>
        </w:rPr>
      </w:pPr>
      <w:r>
        <w:rPr>
          <w:b/>
          <w:lang w:eastAsia="en-US"/>
        </w:rPr>
        <w:t xml:space="preserve">Spatial and Temporal Option: </w:t>
      </w:r>
      <w:r>
        <w:rPr>
          <w:bCs/>
          <w:lang w:eastAsia="en-US"/>
        </w:rPr>
        <w:t>S</w:t>
      </w:r>
      <w:r>
        <w:rPr>
          <w:lang w:eastAsia="en-US"/>
        </w:rPr>
        <w:t xml:space="preserve">elect </w:t>
      </w:r>
      <w:r>
        <w:rPr>
          <w:b/>
          <w:lang w:eastAsia="en-US"/>
        </w:rPr>
        <w:t>Entire Domain</w:t>
      </w:r>
      <w:r>
        <w:rPr>
          <w:lang w:eastAsia="en-US"/>
        </w:rPr>
        <w:t xml:space="preserve"> or </w:t>
      </w:r>
      <w:r>
        <w:rPr>
          <w:b/>
          <w:lang w:eastAsia="en-US"/>
        </w:rPr>
        <w:t>Partial Domain</w:t>
      </w:r>
      <w:r>
        <w:rPr>
          <w:lang w:eastAsia="en-US"/>
        </w:rPr>
        <w:t xml:space="preserve">. The </w:t>
      </w:r>
      <w:r>
        <w:rPr>
          <w:b/>
          <w:lang w:eastAsia="en-US"/>
        </w:rPr>
        <w:t>Partial Domian</w:t>
      </w:r>
      <w:r>
        <w:rPr>
          <w:lang w:eastAsia="en-US"/>
        </w:rPr>
        <w:t xml:space="preserve"> sets the grid cells by customizing the starting and ending grid cell in the entire domain.</w:t>
      </w:r>
    </w:p>
    <w:p>
      <w:pPr>
        <w:pStyle w:val="49"/>
        <w:ind w:firstLine="241" w:firstLineChars="100"/>
        <w:rPr>
          <w:lang w:eastAsia="en-US"/>
        </w:rPr>
      </w:pPr>
      <w:r>
        <w:rPr>
          <w:b/>
          <w:lang w:eastAsia="en-US"/>
        </w:rPr>
        <w:t>Temporal Data Fusion Option</w:t>
      </w:r>
      <w:r>
        <w:rPr>
          <w:lang w:eastAsia="en-US"/>
        </w:rPr>
        <w:t>: Includes the time range of data fusion output results, which are divided into annual average, quarterly average, monthly average, and daily average.</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Spatial and Temporal Option</w:t>
      </w:r>
      <w:r>
        <w:rPr>
          <w:lang w:eastAsia="en-US"/>
        </w:rPr>
        <w:t xml:space="preserve"> window to proceed to the next step.</w:t>
      </w:r>
    </w:p>
    <w:p>
      <w:pPr>
        <w:pStyle w:val="49"/>
        <w:ind w:firstLine="241" w:firstLineChars="100"/>
        <w:rPr>
          <w:lang w:eastAsia="en-US"/>
        </w:rPr>
      </w:pPr>
      <w:r>
        <w:rPr>
          <w:b/>
          <w:bCs/>
          <w:u w:val="single"/>
        </w:rPr>
        <w:t>Step 5.</w:t>
      </w:r>
      <w:r>
        <w:rPr>
          <w:lang w:eastAsia="en-US"/>
        </w:rPr>
        <w:t xml:space="preserve"> The </w:t>
      </w:r>
      <w:r>
        <w:rPr>
          <w:b/>
          <w:lang w:eastAsia="en-US"/>
        </w:rPr>
        <w:t xml:space="preserve">Receptor Option </w:t>
      </w:r>
      <w:r>
        <w:rPr>
          <w:lang w:eastAsia="en-US"/>
        </w:rPr>
        <w:t xml:space="preserve">window sets the GIS shape file. This GIS shape file is used to calculate average concentration in specified regions (e.g., states, counties). </w:t>
      </w:r>
    </w:p>
    <w:p>
      <w:pPr>
        <w:pStyle w:val="49"/>
        <w:ind w:firstLine="240" w:firstLineChars="100"/>
        <w:rPr>
          <w:rStyle w:val="39"/>
        </w:rPr>
      </w:pPr>
      <w:r>
        <w:rPr>
          <w:rStyle w:val="39"/>
        </w:rPr>
        <w:t xml:space="preserve">Use the default settings in the </w:t>
      </w:r>
      <w:r>
        <w:rPr>
          <w:b/>
          <w:lang w:eastAsia="en-US"/>
        </w:rPr>
        <w:t>Receptor Option</w:t>
      </w:r>
      <w:r>
        <w:rPr>
          <w:b/>
          <w:bCs/>
        </w:rPr>
        <w:t xml:space="preserve"> </w:t>
      </w:r>
      <w:r>
        <w:rPr>
          <w:rStyle w:val="39"/>
        </w:rPr>
        <w:t>window.</w:t>
      </w:r>
    </w:p>
    <w:p>
      <w:pPr>
        <w:pStyle w:val="49"/>
        <w:numPr>
          <w:ilvl w:val="0"/>
          <w:numId w:val="21"/>
        </w:numPr>
        <w:ind w:firstLineChars="0"/>
        <w:rPr>
          <w:rStyle w:val="39"/>
          <w:b/>
          <w:lang w:eastAsia="en-US"/>
        </w:rPr>
      </w:pPr>
      <w:r>
        <w:rPr>
          <w:rStyle w:val="39"/>
        </w:rPr>
        <w:t xml:space="preserve">Click on the </w:t>
      </w:r>
      <w:r>
        <w:rPr>
          <w:rStyle w:val="39"/>
          <w:b/>
          <w:bCs/>
          <w:color w:val="0432FF"/>
          <w:u w:val="single"/>
        </w:rPr>
        <w:t xml:space="preserve">Receptor Option </w:t>
      </w:r>
      <w:r>
        <w:rPr>
          <w:rStyle w:val="39"/>
        </w:rPr>
        <w:t>hyperlink to display an electronic version of the User’s Manual for this window.</w:t>
      </w:r>
    </w:p>
    <w:p>
      <w:pPr>
        <w:pStyle w:val="49"/>
        <w:numPr>
          <w:ilvl w:val="0"/>
          <w:numId w:val="19"/>
        </w:numPr>
        <w:ind w:firstLineChars="0"/>
        <w:rPr>
          <w:lang w:eastAsia="en-US"/>
        </w:rPr>
      </w:pPr>
      <w:r>
        <w:rPr>
          <w:lang w:eastAsia="en-US"/>
        </w:rPr>
        <w:t xml:space="preserve">Click the </w:t>
      </w:r>
      <w:r>
        <w:rPr>
          <w:b/>
          <w:lang w:eastAsia="en-US"/>
        </w:rPr>
        <w:t>Next</w:t>
      </w:r>
      <w:r>
        <w:rPr>
          <w:lang w:eastAsia="en-US"/>
        </w:rPr>
        <w:t xml:space="preserve"> arrow at the bottom right of the </w:t>
      </w:r>
      <w:r>
        <w:rPr>
          <w:b/>
          <w:lang w:eastAsia="en-US"/>
        </w:rPr>
        <w:t>Receptor Option</w:t>
      </w:r>
      <w:r>
        <w:rPr>
          <w:lang w:eastAsia="en-US"/>
        </w:rPr>
        <w:t xml:space="preserve"> window to proceed to the next step.</w:t>
      </w:r>
    </w:p>
    <w:p>
      <w:pPr>
        <w:pStyle w:val="49"/>
        <w:ind w:firstLine="241" w:firstLineChars="100"/>
        <w:rPr>
          <w:lang w:eastAsia="en-US"/>
        </w:rPr>
      </w:pPr>
      <w:r>
        <w:rPr>
          <w:b/>
          <w:bCs/>
          <w:u w:val="single"/>
        </w:rPr>
        <w:t>Step 6.</w:t>
      </w:r>
      <w:r>
        <w:rPr>
          <w:lang w:eastAsia="en-US"/>
        </w:rPr>
        <w:t xml:space="preserve"> The </w:t>
      </w:r>
      <w:r>
        <w:rPr>
          <w:b/>
          <w:lang w:eastAsia="en-US"/>
        </w:rPr>
        <w:t xml:space="preserve">Cross Validation Option </w:t>
      </w:r>
      <w:r>
        <w:rPr>
          <w:lang w:eastAsia="en-US"/>
        </w:rPr>
        <w:t>window sets cross-validation method to conduct scientific and objective analysis of the validity and stability of data fusion results.</w:t>
      </w:r>
    </w:p>
    <w:p>
      <w:pPr>
        <w:pStyle w:val="49"/>
        <w:ind w:firstLine="240" w:firstLineChars="100"/>
        <w:rPr>
          <w:rStyle w:val="39"/>
        </w:rPr>
      </w:pPr>
      <w:r>
        <w:rPr>
          <w:rStyle w:val="39"/>
        </w:rPr>
        <w:t xml:space="preserve">Use the default settings in the </w:t>
      </w:r>
      <w:r>
        <w:rPr>
          <w:b/>
          <w:lang w:eastAsia="en-US"/>
        </w:rPr>
        <w:t>Cross Validation Option</w:t>
      </w:r>
      <w:r>
        <w:rPr>
          <w:b/>
          <w:bCs/>
        </w:rPr>
        <w:t xml:space="preserve"> </w:t>
      </w:r>
      <w:r>
        <w:rPr>
          <w:rStyle w:val="39"/>
        </w:rPr>
        <w:t>window.</w:t>
      </w:r>
    </w:p>
    <w:p>
      <w:pPr>
        <w:pStyle w:val="49"/>
        <w:numPr>
          <w:ilvl w:val="0"/>
          <w:numId w:val="21"/>
        </w:numPr>
        <w:ind w:firstLineChars="0"/>
        <w:rPr>
          <w:b/>
          <w:lang w:eastAsia="en-US"/>
        </w:rPr>
      </w:pPr>
      <w:r>
        <w:rPr>
          <w:rStyle w:val="39"/>
        </w:rPr>
        <w:t xml:space="preserve">Click on the </w:t>
      </w:r>
      <w:r>
        <w:rPr>
          <w:rStyle w:val="39"/>
          <w:b/>
          <w:bCs/>
          <w:color w:val="0432FF"/>
          <w:u w:val="single"/>
        </w:rPr>
        <w:t xml:space="preserve">Cross Validation Option </w:t>
      </w:r>
      <w:r>
        <w:rPr>
          <w:rStyle w:val="39"/>
        </w:rPr>
        <w:t>hyperlink to display an electronic version of the User’s Manual for this window.</w:t>
      </w:r>
    </w:p>
    <w:p>
      <w:pPr>
        <w:pStyle w:val="49"/>
        <w:ind w:firstLine="241" w:firstLineChars="100"/>
        <w:rPr>
          <w:lang w:eastAsia="en-US"/>
        </w:rPr>
      </w:pPr>
      <w:r>
        <w:rPr>
          <w:rFonts w:hint="eastAsia"/>
          <w:b/>
        </w:rPr>
        <w:t>C</w:t>
      </w:r>
      <w:r>
        <w:rPr>
          <w:b/>
        </w:rPr>
        <w:t xml:space="preserve">ross Validation: </w:t>
      </w:r>
      <w:r>
        <w:rPr>
          <w:lang w:eastAsia="en-US"/>
        </w:rPr>
        <w:t>This option is unchecked. (If checked, it requires to select a kind of cross-validation method).</w:t>
      </w:r>
    </w:p>
    <w:p>
      <w:pPr>
        <w:pStyle w:val="49"/>
        <w:numPr>
          <w:ilvl w:val="0"/>
          <w:numId w:val="22"/>
        </w:numPr>
        <w:ind w:firstLineChars="0"/>
        <w:rPr>
          <w:b/>
          <w:lang w:eastAsia="en-US"/>
        </w:rPr>
      </w:pPr>
      <w:r>
        <w:rPr>
          <w:b/>
          <w:lang w:eastAsia="en-US"/>
        </w:rPr>
        <w:t xml:space="preserve">Multi-fold: </w:t>
      </w:r>
      <w:r>
        <w:rPr>
          <w:lang w:eastAsia="en-US"/>
        </w:rPr>
        <w:t>Selects the monitoring data file and groups it, and finally verifies the data fusion result according to the result set synthesized by each group. The result will intuitively show the validity and stability of the data fusion result</w:t>
      </w:r>
    </w:p>
    <w:p>
      <w:pPr>
        <w:pStyle w:val="49"/>
        <w:numPr>
          <w:ilvl w:val="0"/>
          <w:numId w:val="22"/>
        </w:numPr>
        <w:ind w:firstLineChars="0"/>
        <w:rPr>
          <w:b/>
          <w:lang w:eastAsia="en-US"/>
        </w:rPr>
      </w:pPr>
      <w:r>
        <w:rPr>
          <w:b/>
          <w:lang w:eastAsia="en-US"/>
        </w:rPr>
        <w:t xml:space="preserve">Leave-one-out: </w:t>
      </w:r>
      <w:r>
        <w:rPr>
          <w:lang w:eastAsia="en-US"/>
        </w:rPr>
        <w:t>Eliminates different monitoring value points selected by users one by one, compares and analyzes data fusion results in the absence of different monitoring points, and then finds and removes abnormal data values.</w:t>
      </w:r>
    </w:p>
    <w:p>
      <w:pPr>
        <w:pStyle w:val="49"/>
        <w:numPr>
          <w:ilvl w:val="0"/>
          <w:numId w:val="22"/>
        </w:numPr>
        <w:ind w:firstLineChars="0"/>
        <w:rPr>
          <w:b/>
        </w:rPr>
      </w:pPr>
      <w:r>
        <w:rPr>
          <w:b/>
          <w:lang w:eastAsia="en-US"/>
        </w:rPr>
        <w:t xml:space="preserve">Leave-group-out: </w:t>
      </w:r>
      <w:r>
        <w:rPr>
          <w:lang w:eastAsia="en-US"/>
        </w:rPr>
        <w:t>Selects the group data sets to compare and analyze data fusion results in the absence of different monitoring points, and then find and removes abnormal data values.</w:t>
      </w:r>
    </w:p>
    <w:p>
      <w:pPr>
        <w:pStyle w:val="49"/>
        <w:numPr>
          <w:ilvl w:val="0"/>
          <w:numId w:val="22"/>
        </w:numPr>
        <w:ind w:firstLineChars="0"/>
      </w:pPr>
      <w:r>
        <w:rPr>
          <w:rStyle w:val="39"/>
        </w:rPr>
        <w:t xml:space="preserve">Click the </w:t>
      </w:r>
      <w:r>
        <w:rPr>
          <w:rStyle w:val="39"/>
          <w:b/>
          <w:bCs/>
        </w:rPr>
        <w:t>Next</w:t>
      </w:r>
      <w:r>
        <w:rPr>
          <w:rStyle w:val="39"/>
        </w:rPr>
        <w:t xml:space="preserve"> arrow at the bottom right of the </w:t>
      </w:r>
      <w:r>
        <w:rPr>
          <w:b/>
          <w:bCs/>
        </w:rPr>
        <w:t>Cross Validation Option</w:t>
      </w:r>
      <w:r>
        <w:rPr>
          <w:rStyle w:val="39"/>
        </w:rPr>
        <w:t xml:space="preserve"> window to complete the Ozone Analysis configuration and run the DF project.</w:t>
      </w:r>
    </w:p>
    <w:p>
      <w:pPr>
        <w:pStyle w:val="49"/>
        <w:numPr>
          <w:ilvl w:val="0"/>
          <w:numId w:val="22"/>
        </w:numPr>
        <w:ind w:firstLineChars="0"/>
        <w:rPr>
          <w:b/>
        </w:rPr>
      </w:pPr>
      <w:r>
        <w:rPr>
          <w:rStyle w:val="39"/>
        </w:rPr>
        <w:t xml:space="preserve">Click </w:t>
      </w:r>
      <w:r>
        <w:rPr>
          <w:rStyle w:val="39"/>
          <w:b/>
          <w:bCs/>
        </w:rPr>
        <w:t>Save &amp; Run Project</w:t>
      </w:r>
      <w:r>
        <w:rPr>
          <w:rStyle w:val="39"/>
        </w:rPr>
        <w:t xml:space="preserve"> in the pop-up window. Click Save to create a project (*.proj) file for this tutorial exercise. </w:t>
      </w:r>
    </w:p>
    <w:p>
      <w:pPr>
        <w:pStyle w:val="49"/>
        <w:ind w:left="241" w:firstLine="0" w:firstLineChars="0"/>
        <w:rPr>
          <w:b/>
        </w:rPr>
      </w:pPr>
    </w:p>
    <w:p>
      <w:pPr>
        <w:pStyle w:val="49"/>
        <w:ind w:firstLine="240" w:firstLineChars="100"/>
      </w:pPr>
      <w:r>
        <w:t xml:space="preserve">The Ozone Analysis will complete after a few minutes and the Data Fusion Tool Data Viewer will present the results of this analysis. See </w:t>
      </w:r>
      <w:r>
        <w:fldChar w:fldCharType="begin"/>
      </w:r>
      <w:r>
        <w:instrText xml:space="preserve"> HYPERLINK \l "_Data_Viewer_for" </w:instrText>
      </w:r>
      <w:r>
        <w:fldChar w:fldCharType="separate"/>
      </w:r>
      <w:r>
        <w:rPr>
          <w:rStyle w:val="24"/>
        </w:rPr>
        <w:t>Chapter 6</w:t>
      </w:r>
      <w:r>
        <w:rPr>
          <w:rStyle w:val="24"/>
        </w:rPr>
        <w:fldChar w:fldCharType="end"/>
      </w:r>
      <w:r>
        <w:t xml:space="preserve"> for details on how to use the Data Viewer to analyze the results.</w:t>
      </w:r>
    </w:p>
    <w:p>
      <w:pPr>
        <w:rPr>
          <w:szCs w:val="24"/>
        </w:rPr>
      </w:pPr>
    </w:p>
    <w:bookmarkEnd w:id="57"/>
    <w:bookmarkEnd w:id="58"/>
    <w:p>
      <w:pPr>
        <w:pStyle w:val="2"/>
        <w:rPr>
          <w:szCs w:val="32"/>
        </w:rPr>
      </w:pPr>
      <w:bookmarkStart w:id="82" w:name="_Toc122981755"/>
      <w:bookmarkStart w:id="83" w:name="_Functional Framework of Data Fusion"/>
      <w:r>
        <w:rPr>
          <w:szCs w:val="32"/>
        </w:rPr>
        <w:t>Functional Framework of Data Fusion</w:t>
      </w:r>
      <w:bookmarkEnd w:id="82"/>
    </w:p>
    <w:bookmarkEnd w:id="83"/>
    <w:p>
      <w:pPr>
        <w:ind w:firstLine="240" w:firstLineChars="100"/>
        <w:jc w:val="both"/>
        <w:rPr>
          <w:szCs w:val="24"/>
        </w:rPr>
      </w:pPr>
      <w:r>
        <w:rPr>
          <w:szCs w:val="24"/>
        </w:rPr>
        <w:fldChar w:fldCharType="begin"/>
      </w:r>
      <w:r>
        <w:rPr>
          <w:szCs w:val="24"/>
        </w:rPr>
        <w:instrText xml:space="preserve"> REF _Ref44323921 \h </w:instrText>
      </w:r>
      <w:r>
        <w:rPr>
          <w:szCs w:val="24"/>
        </w:rPr>
        <w:fldChar w:fldCharType="separate"/>
      </w:r>
      <w:r>
        <w:rPr>
          <w:i/>
          <w:iCs/>
          <w:szCs w:val="24"/>
        </w:rPr>
        <w:t>Figure 16</w:t>
      </w:r>
      <w:r>
        <w:rPr>
          <w:szCs w:val="24"/>
        </w:rPr>
        <w:fldChar w:fldCharType="end"/>
      </w:r>
      <w:r>
        <w:rPr>
          <w:szCs w:val="24"/>
        </w:rPr>
        <w:t xml:space="preserve"> </w:t>
      </w:r>
      <w:r>
        <w:rPr>
          <w:rFonts w:hint="eastAsia"/>
          <w:szCs w:val="24"/>
        </w:rPr>
        <w:t>show</w:t>
      </w:r>
      <w:r>
        <w:rPr>
          <w:szCs w:val="24"/>
        </w:rPr>
        <w:t xml:space="preserve">s the functional modules of Data Fusion, including five modules: </w:t>
      </w:r>
    </w:p>
    <w:p>
      <w:pPr>
        <w:pStyle w:val="31"/>
        <w:numPr>
          <w:ilvl w:val="0"/>
          <w:numId w:val="25"/>
        </w:numPr>
        <w:ind w:left="839" w:hanging="482" w:firstLineChars="0"/>
        <w:rPr>
          <w:rFonts w:ascii="Times New Roman" w:hAnsi="Times New Roman"/>
          <w:sz w:val="24"/>
          <w:szCs w:val="24"/>
        </w:rPr>
      </w:pPr>
      <w:r>
        <w:rPr>
          <w:rFonts w:ascii="Times New Roman" w:hAnsi="Times New Roman"/>
          <w:sz w:val="24"/>
          <w:szCs w:val="24"/>
        </w:rPr>
        <w:t>Data input module</w:t>
      </w:r>
    </w:p>
    <w:p>
      <w:pPr>
        <w:pStyle w:val="31"/>
        <w:numPr>
          <w:ilvl w:val="0"/>
          <w:numId w:val="25"/>
        </w:numPr>
        <w:ind w:left="839" w:hanging="482" w:firstLineChars="0"/>
        <w:rPr>
          <w:rFonts w:ascii="Times New Roman" w:hAnsi="Times New Roman"/>
          <w:sz w:val="24"/>
          <w:szCs w:val="24"/>
        </w:rPr>
      </w:pPr>
      <w:r>
        <w:rPr>
          <w:rFonts w:ascii="Times New Roman" w:hAnsi="Times New Roman"/>
          <w:sz w:val="24"/>
          <w:szCs w:val="24"/>
        </w:rPr>
        <w:t>Data fusion technique module</w:t>
      </w:r>
    </w:p>
    <w:p>
      <w:pPr>
        <w:pStyle w:val="31"/>
        <w:numPr>
          <w:ilvl w:val="0"/>
          <w:numId w:val="25"/>
        </w:numPr>
        <w:ind w:left="839" w:hanging="482" w:firstLineChars="0"/>
        <w:rPr>
          <w:rFonts w:ascii="Times New Roman" w:hAnsi="Times New Roman"/>
          <w:sz w:val="24"/>
          <w:szCs w:val="24"/>
        </w:rPr>
      </w:pPr>
      <w:r>
        <w:rPr>
          <w:rFonts w:ascii="Times New Roman" w:hAnsi="Times New Roman"/>
          <w:sz w:val="24"/>
          <w:szCs w:val="24"/>
        </w:rPr>
        <w:t xml:space="preserve">Spatial and temporal option module </w:t>
      </w:r>
    </w:p>
    <w:p>
      <w:pPr>
        <w:pStyle w:val="31"/>
        <w:numPr>
          <w:ilvl w:val="0"/>
          <w:numId w:val="25"/>
        </w:numPr>
        <w:ind w:left="839" w:hanging="482" w:firstLineChars="0"/>
        <w:rPr>
          <w:rFonts w:ascii="Times New Roman" w:hAnsi="Times New Roman"/>
          <w:sz w:val="24"/>
          <w:szCs w:val="24"/>
        </w:rPr>
      </w:pPr>
      <w:r>
        <w:rPr>
          <w:rFonts w:ascii="Times New Roman" w:hAnsi="Times New Roman"/>
          <w:sz w:val="24"/>
          <w:szCs w:val="24"/>
        </w:rPr>
        <w:t>Cross validation module</w:t>
      </w:r>
    </w:p>
    <w:p>
      <w:pPr>
        <w:pStyle w:val="31"/>
        <w:numPr>
          <w:ilvl w:val="0"/>
          <w:numId w:val="25"/>
        </w:numPr>
        <w:ind w:left="839" w:hanging="482" w:firstLineChars="0"/>
        <w:rPr>
          <w:rFonts w:ascii="Times New Roman" w:hAnsi="Times New Roman"/>
          <w:sz w:val="24"/>
          <w:szCs w:val="24"/>
        </w:rPr>
      </w:pPr>
      <w:r>
        <w:rPr>
          <w:rFonts w:ascii="Times New Roman" w:hAnsi="Times New Roman"/>
          <w:sz w:val="24"/>
          <w:szCs w:val="24"/>
        </w:rPr>
        <w:t>Data viewer module</w:t>
      </w:r>
    </w:p>
    <w:p>
      <w:pPr>
        <w:pStyle w:val="31"/>
        <w:keepNext/>
        <w:ind w:firstLine="0" w:firstLineChars="0"/>
        <w:jc w:val="center"/>
      </w:pPr>
      <w:r>
        <w:drawing>
          <wp:inline distT="0" distB="0" distL="0" distR="0">
            <wp:extent cx="5273675" cy="6084570"/>
            <wp:effectExtent l="0" t="0" r="317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3675" cy="6084570"/>
                    </a:xfrm>
                    <a:prstGeom prst="rect">
                      <a:avLst/>
                    </a:prstGeom>
                    <a:noFill/>
                  </pic:spPr>
                </pic:pic>
              </a:graphicData>
            </a:graphic>
          </wp:inline>
        </w:drawing>
      </w:r>
    </w:p>
    <w:p>
      <w:pPr>
        <w:pStyle w:val="6"/>
        <w:jc w:val="center"/>
        <w:rPr>
          <w:rFonts w:ascii="Times New Roman" w:hAnsi="Times New Roman"/>
          <w:i/>
          <w:iCs/>
          <w:sz w:val="24"/>
          <w:szCs w:val="24"/>
        </w:rPr>
      </w:pPr>
      <w:bookmarkStart w:id="84" w:name="_Ref44323921"/>
      <w:bookmarkStart w:id="85" w:name="_Toc37923801"/>
      <w:bookmarkStart w:id="86" w:name="_Toc12298179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16</w:t>
      </w:r>
      <w:r>
        <w:rPr>
          <w:rFonts w:ascii="Times New Roman" w:hAnsi="Times New Roman"/>
          <w:i/>
          <w:iCs/>
          <w:sz w:val="24"/>
          <w:szCs w:val="24"/>
        </w:rPr>
        <w:fldChar w:fldCharType="end"/>
      </w:r>
      <w:bookmarkEnd w:id="84"/>
      <w:r>
        <w:rPr>
          <w:rFonts w:ascii="Times New Roman" w:hAnsi="Times New Roman"/>
          <w:i/>
          <w:iCs/>
          <w:sz w:val="24"/>
          <w:szCs w:val="24"/>
        </w:rPr>
        <w:t>. The functional framework of Data Fusion</w:t>
      </w:r>
      <w:bookmarkEnd w:id="85"/>
      <w:bookmarkEnd w:id="86"/>
    </w:p>
    <w:p>
      <w:pPr>
        <w:numPr>
          <w:ilvl w:val="0"/>
          <w:numId w:val="7"/>
        </w:numPr>
        <w:jc w:val="both"/>
        <w:rPr>
          <w:szCs w:val="24"/>
        </w:rPr>
      </w:pPr>
      <w:r>
        <w:rPr>
          <w:b/>
          <w:szCs w:val="24"/>
        </w:rPr>
        <w:t xml:space="preserve"> Data input module: </w:t>
      </w:r>
      <w:r>
        <w:rPr>
          <w:szCs w:val="24"/>
        </w:rPr>
        <w:t xml:space="preserve">The </w:t>
      </w:r>
      <w:r>
        <w:rPr>
          <w:b/>
          <w:szCs w:val="24"/>
        </w:rPr>
        <w:t>Data input module</w:t>
      </w:r>
      <w:r>
        <w:rPr>
          <w:szCs w:val="24"/>
        </w:rPr>
        <w:t xml:space="preserve"> loads the monitor data and the model data to use for the designed data fusion calculations.</w:t>
      </w:r>
    </w:p>
    <w:p>
      <w:pPr>
        <w:pStyle w:val="31"/>
        <w:numPr>
          <w:ilvl w:val="0"/>
          <w:numId w:val="26"/>
        </w:numPr>
        <w:ind w:firstLineChars="0"/>
        <w:rPr>
          <w:rFonts w:ascii="Times New Roman" w:hAnsi="Times New Roman"/>
          <w:sz w:val="24"/>
          <w:szCs w:val="24"/>
        </w:rPr>
      </w:pPr>
      <w:r>
        <w:rPr>
          <w:rFonts w:ascii="Times New Roman" w:hAnsi="Times New Roman"/>
          <w:b/>
          <w:sz w:val="24"/>
          <w:szCs w:val="24"/>
        </w:rPr>
        <w:t xml:space="preserve"> Data fusion technique module: </w:t>
      </w:r>
      <w:r>
        <w:rPr>
          <w:rFonts w:ascii="Times New Roman" w:hAnsi="Times New Roman"/>
          <w:sz w:val="24"/>
          <w:szCs w:val="24"/>
        </w:rPr>
        <w:t xml:space="preserve">The </w:t>
      </w:r>
      <w:r>
        <w:rPr>
          <w:rFonts w:ascii="Times New Roman" w:hAnsi="Times New Roman"/>
          <w:b/>
          <w:sz w:val="24"/>
          <w:szCs w:val="24"/>
        </w:rPr>
        <w:t xml:space="preserve">Data fusion technique module </w:t>
      </w:r>
      <w:r>
        <w:rPr>
          <w:rFonts w:ascii="Times New Roman" w:hAnsi="Times New Roman"/>
          <w:sz w:val="24"/>
          <w:szCs w:val="24"/>
        </w:rPr>
        <w:t xml:space="preserve">selects the data fusion methods used for calculations. Five algorithms (VNA, eVNA, </w:t>
      </w:r>
      <w:r>
        <w:rPr>
          <w:rFonts w:hint="eastAsia" w:ascii="Times New Roman" w:hAnsi="Times New Roman"/>
          <w:sz w:val="24"/>
          <w:szCs w:val="24"/>
        </w:rPr>
        <w:t>DS</w:t>
      </w:r>
      <w:r>
        <w:rPr>
          <w:rFonts w:ascii="Times New Roman" w:hAnsi="Times New Roman"/>
          <w:sz w:val="24"/>
          <w:szCs w:val="24"/>
        </w:rPr>
        <w:t xml:space="preserve">, wVNA, and NS) are provided in this module, and details of these methods can be found in </w:t>
      </w:r>
      <w:r>
        <w:rPr>
          <w:rFonts w:ascii="Times New Roman" w:hAnsi="Times New Roman"/>
          <w:b/>
          <w:sz w:val="24"/>
          <w:szCs w:val="24"/>
        </w:rPr>
        <w:fldChar w:fldCharType="begin"/>
      </w:r>
      <w:r>
        <w:rPr>
          <w:rFonts w:ascii="Times New Roman" w:hAnsi="Times New Roman"/>
          <w:b/>
          <w:sz w:val="24"/>
          <w:szCs w:val="24"/>
        </w:rPr>
        <w:instrText xml:space="preserve"> REF _Ref525033829 \h  \* MERGEFORMAT </w:instrText>
      </w:r>
      <w:r>
        <w:rPr>
          <w:rFonts w:ascii="Times New Roman" w:hAnsi="Times New Roman"/>
          <w:b/>
          <w:sz w:val="24"/>
          <w:szCs w:val="24"/>
        </w:rPr>
        <w:fldChar w:fldCharType="separate"/>
      </w:r>
      <w:r>
        <w:rPr>
          <w:rFonts w:ascii="Times New Roman" w:hAnsi="Times New Roman"/>
          <w:b/>
          <w:sz w:val="24"/>
          <w:szCs w:val="24"/>
        </w:rPr>
        <w:t>Appendix I</w:t>
      </w:r>
      <w:r>
        <w:rPr>
          <w:rFonts w:ascii="Times New Roman" w:hAnsi="Times New Roman"/>
          <w:b/>
          <w:sz w:val="24"/>
          <w:szCs w:val="24"/>
        </w:rPr>
        <w:fldChar w:fldCharType="end"/>
      </w:r>
      <w:r>
        <w:rPr>
          <w:rFonts w:hint="eastAsia" w:ascii="Times New Roman" w:hAnsi="Times New Roman"/>
          <w:sz w:val="24"/>
          <w:szCs w:val="24"/>
        </w:rPr>
        <w:t>.</w:t>
      </w:r>
    </w:p>
    <w:p>
      <w:pPr>
        <w:pStyle w:val="31"/>
        <w:numPr>
          <w:ilvl w:val="0"/>
          <w:numId w:val="27"/>
        </w:numPr>
        <w:ind w:left="0" w:firstLine="0" w:firstLineChars="0"/>
        <w:rPr>
          <w:rFonts w:ascii="Times New Roman" w:hAnsi="Times New Roman"/>
          <w:sz w:val="24"/>
          <w:szCs w:val="24"/>
        </w:rPr>
      </w:pPr>
      <w:r>
        <w:rPr>
          <w:rFonts w:ascii="Times New Roman" w:hAnsi="Times New Roman"/>
          <w:b/>
          <w:sz w:val="24"/>
          <w:szCs w:val="24"/>
        </w:rPr>
        <w:t xml:space="preserve">Spatial and temporal option module: </w:t>
      </w:r>
      <w:r>
        <w:rPr>
          <w:rFonts w:ascii="Times New Roman" w:hAnsi="Times New Roman"/>
          <w:sz w:val="24"/>
          <w:szCs w:val="24"/>
        </w:rPr>
        <w:t xml:space="preserve">The </w:t>
      </w:r>
      <w:r>
        <w:rPr>
          <w:rFonts w:ascii="Times New Roman" w:hAnsi="Times New Roman"/>
          <w:b/>
          <w:sz w:val="24"/>
          <w:szCs w:val="24"/>
        </w:rPr>
        <w:t xml:space="preserve">Spatial and temporal option module </w:t>
      </w:r>
      <w:r>
        <w:rPr>
          <w:rFonts w:ascii="Times New Roman" w:hAnsi="Times New Roman"/>
          <w:sz w:val="24"/>
          <w:szCs w:val="24"/>
        </w:rPr>
        <w:t>sets the spatial field and period used for the designed data fusion calculations.</w:t>
      </w:r>
    </w:p>
    <w:p>
      <w:pPr>
        <w:numPr>
          <w:ilvl w:val="0"/>
          <w:numId w:val="28"/>
        </w:numPr>
        <w:ind w:left="0" w:firstLine="0"/>
        <w:jc w:val="both"/>
        <w:rPr>
          <w:szCs w:val="24"/>
        </w:rPr>
      </w:pPr>
      <w:r>
        <w:rPr>
          <w:b/>
          <w:szCs w:val="24"/>
        </w:rPr>
        <w:t xml:space="preserve">Cross validation module: </w:t>
      </w:r>
      <w:r>
        <w:rPr>
          <w:szCs w:val="24"/>
        </w:rPr>
        <w:t xml:space="preserve">The </w:t>
      </w:r>
      <w:r>
        <w:rPr>
          <w:b/>
          <w:szCs w:val="24"/>
        </w:rPr>
        <w:t>Cross-validation module</w:t>
      </w:r>
      <w:r>
        <w:rPr>
          <w:szCs w:val="24"/>
        </w:rPr>
        <w:t xml:space="preserve"> evaluates the performance of each data fusion technique and analyzes the results at monitor points under the absence of different scenarios. The results are evaluated by the cross-validation methods, including </w:t>
      </w:r>
      <w:r>
        <w:rPr>
          <w:b/>
          <w:szCs w:val="24"/>
        </w:rPr>
        <w:t>Multi-fold</w:t>
      </w:r>
      <w:r>
        <w:rPr>
          <w:szCs w:val="24"/>
        </w:rPr>
        <w:t xml:space="preserve">, </w:t>
      </w:r>
      <w:r>
        <w:rPr>
          <w:b/>
          <w:szCs w:val="24"/>
        </w:rPr>
        <w:t>Leave-one-out</w:t>
      </w:r>
      <w:r>
        <w:rPr>
          <w:bCs/>
          <w:szCs w:val="24"/>
        </w:rPr>
        <w:t>,</w:t>
      </w:r>
      <w:r>
        <w:rPr>
          <w:szCs w:val="24"/>
        </w:rPr>
        <w:t xml:space="preserve"> and </w:t>
      </w:r>
      <w:r>
        <w:rPr>
          <w:b/>
          <w:szCs w:val="24"/>
        </w:rPr>
        <w:t>Leave-group-out</w:t>
      </w:r>
      <w:r>
        <w:rPr>
          <w:szCs w:val="24"/>
        </w:rPr>
        <w:t xml:space="preserve"> methods listed below:</w:t>
      </w:r>
    </w:p>
    <w:p>
      <w:pPr>
        <w:pStyle w:val="31"/>
        <w:numPr>
          <w:ilvl w:val="0"/>
          <w:numId w:val="29"/>
        </w:numPr>
        <w:ind w:left="0" w:firstLine="0" w:firstLineChars="0"/>
        <w:rPr>
          <w:rFonts w:ascii="Times New Roman" w:hAnsi="Times New Roman"/>
          <w:sz w:val="24"/>
          <w:szCs w:val="24"/>
        </w:rPr>
      </w:pPr>
      <w:r>
        <w:rPr>
          <w:rFonts w:ascii="Times New Roman" w:hAnsi="Times New Roman"/>
          <w:b/>
          <w:sz w:val="24"/>
          <w:szCs w:val="24"/>
        </w:rPr>
        <w:t xml:space="preserve">Multi-fold Cross Validation: </w:t>
      </w:r>
      <w:r>
        <w:rPr>
          <w:rFonts w:ascii="Times New Roman" w:hAnsi="Times New Roman"/>
          <w:sz w:val="24"/>
          <w:szCs w:val="24"/>
        </w:rPr>
        <w:t xml:space="preserve">Multi-fold cross validation assumes that all monitoring locations are randomly or sequentially divided into K groups across regions. The set of monitors in one group is excluded and then the interpolating algorithm is performed on the remaining monitors. Each algorithm interpolated from the training set is used to make predictions at those excluded monitoring locations. This process is repeated K times, until all groups served as the test set once, thereby creating out-of-sample predictions for all monitoring locations. For example, the program uses a 10-fold CV by default. 10-fold cross validation (10-fold CV) </w:t>
      </w:r>
      <w:r>
        <w:rPr>
          <w:rFonts w:hint="eastAsia" w:ascii="Times New Roman" w:hAnsi="Times New Roman"/>
          <w:sz w:val="24"/>
          <w:szCs w:val="24"/>
        </w:rPr>
        <w:t>means</w:t>
      </w:r>
      <w:r>
        <w:rPr>
          <w:rFonts w:ascii="Times New Roman" w:hAnsi="Times New Roman"/>
          <w:sz w:val="24"/>
          <w:szCs w:val="24"/>
        </w:rPr>
        <w:t xml:space="preserve"> that all monitoring sites were randomly divided into groups, one of which contains 90% of the sites and the other group contains the remaining 10%. Each algorithm was then applied using data from 90% of the monitoring sites to predict PM</w:t>
      </w:r>
      <w:r>
        <w:rPr>
          <w:rFonts w:ascii="Times New Roman" w:hAnsi="Times New Roman"/>
          <w:sz w:val="24"/>
          <w:szCs w:val="24"/>
          <w:vertAlign w:val="subscript"/>
        </w:rPr>
        <w:t xml:space="preserve">2.5 </w:t>
      </w:r>
      <w:r>
        <w:rPr>
          <w:rFonts w:ascii="Times New Roman" w:hAnsi="Times New Roman"/>
          <w:sz w:val="24"/>
          <w:szCs w:val="24"/>
        </w:rPr>
        <w:t>at the remaining 10%. This process was repeated for all groups so that predictions could be evaluated against measurements at all sites. The spatial and temporal correlation (e.g., R</w:t>
      </w:r>
      <w:r>
        <w:rPr>
          <w:rFonts w:ascii="Times New Roman" w:hAnsi="Times New Roman"/>
          <w:sz w:val="24"/>
          <w:szCs w:val="24"/>
          <w:vertAlign w:val="superscript"/>
        </w:rPr>
        <w:t>2</w:t>
      </w:r>
      <w:r>
        <w:rPr>
          <w:rFonts w:ascii="Times New Roman" w:hAnsi="Times New Roman"/>
          <w:sz w:val="24"/>
          <w:szCs w:val="24"/>
        </w:rPr>
        <w:t>) between predicted PM</w:t>
      </w:r>
      <w:r>
        <w:rPr>
          <w:rFonts w:ascii="Times New Roman" w:hAnsi="Times New Roman"/>
          <w:sz w:val="24"/>
          <w:szCs w:val="24"/>
          <w:vertAlign w:val="subscript"/>
        </w:rPr>
        <w:t>2.5</w:t>
      </w:r>
      <w:r>
        <w:rPr>
          <w:rFonts w:ascii="Times New Roman" w:hAnsi="Times New Roman"/>
          <w:sz w:val="24"/>
          <w:szCs w:val="24"/>
        </w:rPr>
        <w:t xml:space="preserve"> and monitored PM</w:t>
      </w:r>
      <w:r>
        <w:rPr>
          <w:rFonts w:ascii="Times New Roman" w:hAnsi="Times New Roman"/>
          <w:sz w:val="24"/>
          <w:szCs w:val="24"/>
          <w:vertAlign w:val="subscript"/>
        </w:rPr>
        <w:t>2.5</w:t>
      </w:r>
      <w:r>
        <w:rPr>
          <w:rFonts w:ascii="Times New Roman" w:hAnsi="Times New Roman"/>
          <w:sz w:val="24"/>
          <w:szCs w:val="24"/>
        </w:rPr>
        <w:t xml:space="preserve"> are calculated and showed in the </w:t>
      </w:r>
      <w:r>
        <w:rPr>
          <w:rFonts w:ascii="Times New Roman" w:hAnsi="Times New Roman"/>
          <w:b/>
          <w:sz w:val="24"/>
          <w:szCs w:val="24"/>
        </w:rPr>
        <w:t>Statistic</w:t>
      </w:r>
      <w:r>
        <w:rPr>
          <w:rFonts w:ascii="Times New Roman" w:hAnsi="Times New Roman"/>
          <w:sz w:val="24"/>
          <w:szCs w:val="24"/>
        </w:rPr>
        <w:t xml:space="preserve"> tab page of the </w:t>
      </w:r>
      <w:r>
        <w:rPr>
          <w:rFonts w:ascii="Times New Roman" w:hAnsi="Times New Roman"/>
          <w:b/>
          <w:sz w:val="24"/>
          <w:szCs w:val="24"/>
        </w:rPr>
        <w:t xml:space="preserve">Data </w:t>
      </w:r>
      <w:r>
        <w:rPr>
          <w:rFonts w:hint="eastAsia" w:ascii="Times New Roman" w:hAnsi="Times New Roman"/>
          <w:b/>
          <w:sz w:val="24"/>
          <w:szCs w:val="24"/>
        </w:rPr>
        <w:t>Viewer</w:t>
      </w:r>
      <w:r>
        <w:rPr>
          <w:rFonts w:ascii="Times New Roman" w:hAnsi="Times New Roman"/>
          <w:sz w:val="24"/>
          <w:szCs w:val="24"/>
        </w:rPr>
        <w:t xml:space="preserve"> Module.</w:t>
      </w:r>
    </w:p>
    <w:p>
      <w:pPr>
        <w:numPr>
          <w:ilvl w:val="0"/>
          <w:numId w:val="29"/>
        </w:numPr>
        <w:ind w:left="0" w:firstLine="0"/>
        <w:jc w:val="both"/>
        <w:rPr>
          <w:b/>
          <w:szCs w:val="24"/>
        </w:rPr>
      </w:pPr>
      <w:r>
        <w:rPr>
          <w:b/>
          <w:szCs w:val="24"/>
        </w:rPr>
        <w:t xml:space="preserve">Leave-one-out Cross Validation: </w:t>
      </w:r>
      <w:r>
        <w:rPr>
          <w:szCs w:val="24"/>
        </w:rPr>
        <w:t>Leave-one-out is the most extreme case of K-Fold. The training subset is composed of all samples but one, which is used for validation. The procedure is also repeated K times.</w:t>
      </w:r>
    </w:p>
    <w:p>
      <w:pPr>
        <w:numPr>
          <w:ilvl w:val="0"/>
          <w:numId w:val="29"/>
        </w:numPr>
        <w:ind w:left="0" w:firstLine="0"/>
        <w:jc w:val="both"/>
        <w:rPr>
          <w:szCs w:val="24"/>
        </w:rPr>
      </w:pPr>
      <w:r>
        <w:rPr>
          <w:b/>
          <w:szCs w:val="24"/>
        </w:rPr>
        <w:t xml:space="preserve">Leave-group-out Cross Validation: </w:t>
      </w:r>
      <w:r>
        <w:rPr>
          <w:szCs w:val="24"/>
        </w:rPr>
        <w:t xml:space="preserve">Leave-group-out is a clustered cross-validation approach, which splits the points by space used a k-means algorithm. This approach is an unsupervised learning technique requiring a pre-specified number of clusters based on proximity to the nearest mean (defined spatially), effectively grouping points into Voronoi polygons given by those means. The distance metric used to define space is the conventional Euclidean distance. Cross-validation groups are contained within regions under this approach, with a predetermined number of pf clusters per region based on the selected </w:t>
      </w:r>
      <w:r>
        <w:rPr>
          <w:b/>
          <w:szCs w:val="24"/>
        </w:rPr>
        <w:t>Radius of Selected Monitors Withheld</w:t>
      </w:r>
      <w:r>
        <w:rPr>
          <w:szCs w:val="24"/>
        </w:rPr>
        <w:t>.</w:t>
      </w:r>
    </w:p>
    <w:p>
      <w:pPr>
        <w:jc w:val="both"/>
        <w:rPr>
          <w:b/>
          <w:szCs w:val="24"/>
        </w:rPr>
      </w:pPr>
    </w:p>
    <w:p>
      <w:pPr>
        <w:jc w:val="both"/>
        <w:rPr>
          <w:szCs w:val="24"/>
        </w:rPr>
      </w:pPr>
    </w:p>
    <w:p>
      <w:pPr>
        <w:pStyle w:val="2"/>
        <w:rPr>
          <w:szCs w:val="32"/>
        </w:rPr>
      </w:pPr>
      <w:bookmarkStart w:id="87" w:name="_Start_new_analyses"/>
      <w:bookmarkEnd w:id="87"/>
      <w:bookmarkStart w:id="88" w:name="_PM2.5_data_fusion"/>
      <w:bookmarkEnd w:id="88"/>
      <w:bookmarkStart w:id="89" w:name="_Toc122981756"/>
      <w:r>
        <w:rPr>
          <w:szCs w:val="32"/>
        </w:rPr>
        <w:t>PM</w:t>
      </w:r>
      <w:r>
        <w:rPr>
          <w:szCs w:val="32"/>
          <w:vertAlign w:val="subscript"/>
        </w:rPr>
        <w:t>2.5</w:t>
      </w:r>
      <w:r>
        <w:rPr>
          <w:szCs w:val="32"/>
        </w:rPr>
        <w:t xml:space="preserve"> </w:t>
      </w:r>
      <w:r>
        <w:t>D</w:t>
      </w:r>
      <w:r>
        <w:rPr>
          <w:szCs w:val="32"/>
        </w:rPr>
        <w:t xml:space="preserve">ata </w:t>
      </w:r>
      <w:r>
        <w:t>F</w:t>
      </w:r>
      <w:r>
        <w:rPr>
          <w:szCs w:val="32"/>
        </w:rPr>
        <w:t xml:space="preserve">usion </w:t>
      </w:r>
      <w:r>
        <w:rPr>
          <w:rFonts w:hint="eastAsia"/>
        </w:rPr>
        <w:t>Analysis</w:t>
      </w:r>
      <w:r>
        <w:rPr>
          <w:szCs w:val="32"/>
        </w:rPr>
        <w:t xml:space="preserve"> Details</w:t>
      </w:r>
      <w:bookmarkEnd w:id="89"/>
    </w:p>
    <w:p>
      <w:pPr>
        <w:pStyle w:val="31"/>
        <w:ind w:firstLine="240" w:firstLineChars="0"/>
      </w:pPr>
      <w:r>
        <w:rPr>
          <w:rFonts w:ascii="Times New Roman" w:hAnsi="Times New Roman"/>
          <w:sz w:val="24"/>
          <w:szCs w:val="24"/>
        </w:rPr>
        <w:t>Details of the PM</w:t>
      </w:r>
      <w:r>
        <w:rPr>
          <w:rFonts w:ascii="Times New Roman" w:hAnsi="Times New Roman"/>
          <w:sz w:val="24"/>
          <w:szCs w:val="24"/>
          <w:vertAlign w:val="subscript"/>
        </w:rPr>
        <w:t>2.5</w:t>
      </w:r>
      <w:r>
        <w:rPr>
          <w:rFonts w:ascii="Times New Roman" w:hAnsi="Times New Roman"/>
          <w:sz w:val="24"/>
          <w:szCs w:val="24"/>
        </w:rPr>
        <w:t xml:space="preserve"> Analysis options in the DF are provided in th</w:t>
      </w:r>
      <w:r>
        <w:rPr>
          <w:rFonts w:hint="eastAsia" w:ascii="Times New Roman" w:hAnsi="Times New Roman"/>
          <w:sz w:val="24"/>
          <w:szCs w:val="24"/>
        </w:rPr>
        <w:t>is</w:t>
      </w:r>
      <w:r>
        <w:rPr>
          <w:rFonts w:ascii="Times New Roman" w:hAnsi="Times New Roman"/>
          <w:sz w:val="24"/>
          <w:szCs w:val="24"/>
        </w:rPr>
        <w:t xml:space="preserve"> Chapter. A default project is used to demonstrate the options for this data fusion analysis.</w:t>
      </w:r>
    </w:p>
    <w:p>
      <w:pPr>
        <w:ind w:firstLine="240" w:firstLineChars="100"/>
        <w:jc w:val="both"/>
        <w:rPr>
          <w:szCs w:val="24"/>
        </w:rPr>
      </w:pPr>
      <w:r>
        <w:rPr>
          <w:szCs w:val="24"/>
        </w:rPr>
        <w:t>The PM</w:t>
      </w:r>
      <w:r>
        <w:rPr>
          <w:szCs w:val="24"/>
          <w:vertAlign w:val="subscript"/>
        </w:rPr>
        <w:t>2.5</w:t>
      </w:r>
      <w:r>
        <w:rPr>
          <w:szCs w:val="24"/>
        </w:rPr>
        <w:t xml:space="preserve"> data fusion analysis in DF is organized into five steps. The steps include the data input and configuration options for interpolation. The following configuration steps correspond to different DF windows are described in detail in this chapter:</w:t>
      </w:r>
    </w:p>
    <w:p>
      <w:pPr>
        <w:pStyle w:val="31"/>
        <w:numPr>
          <w:ilvl w:val="0"/>
          <w:numId w:val="30"/>
        </w:numPr>
        <w:ind w:left="0" w:firstLine="0" w:firstLineChars="0"/>
        <w:rPr>
          <w:rFonts w:ascii="Times New Roman" w:hAnsi="Times New Roman"/>
          <w:sz w:val="24"/>
          <w:szCs w:val="24"/>
        </w:rPr>
      </w:pPr>
      <w:r>
        <w:rPr>
          <w:rFonts w:ascii="Times New Roman" w:hAnsi="Times New Roman"/>
          <w:b/>
          <w:sz w:val="24"/>
          <w:szCs w:val="24"/>
        </w:rPr>
        <w:t>Data Input Option:</w:t>
      </w:r>
      <w:r>
        <w:rPr>
          <w:rFonts w:ascii="Times New Roman" w:hAnsi="Times New Roman"/>
          <w:sz w:val="24"/>
          <w:szCs w:val="24"/>
        </w:rPr>
        <w:t xml:space="preserve"> Specify related data needed to be interpolated in the DF, including the monitor data, species monitor data, model data, and other data.</w:t>
      </w:r>
    </w:p>
    <w:p>
      <w:pPr>
        <w:pStyle w:val="31"/>
        <w:numPr>
          <w:ilvl w:val="0"/>
          <w:numId w:val="30"/>
        </w:numPr>
        <w:ind w:left="0" w:firstLine="0" w:firstLineChars="0"/>
        <w:rPr>
          <w:rFonts w:ascii="Times New Roman" w:hAnsi="Times New Roman"/>
          <w:sz w:val="24"/>
          <w:szCs w:val="24"/>
        </w:rPr>
      </w:pPr>
      <w:r>
        <w:rPr>
          <w:rFonts w:ascii="Times New Roman" w:hAnsi="Times New Roman"/>
          <w:b/>
          <w:sz w:val="24"/>
          <w:szCs w:val="24"/>
        </w:rPr>
        <w:t xml:space="preserve">Data Fusion Technique Option: </w:t>
      </w:r>
      <w:r>
        <w:rPr>
          <w:rFonts w:ascii="Times New Roman" w:hAnsi="Times New Roman"/>
          <w:sz w:val="24"/>
          <w:szCs w:val="24"/>
        </w:rPr>
        <w:t>Select those algorithms of interest. It is also supported to select multiple algorithms at a time.</w:t>
      </w:r>
    </w:p>
    <w:p>
      <w:pPr>
        <w:pStyle w:val="31"/>
        <w:numPr>
          <w:ilvl w:val="0"/>
          <w:numId w:val="30"/>
        </w:numPr>
        <w:ind w:left="0" w:firstLine="0" w:firstLineChars="0"/>
        <w:rPr>
          <w:rFonts w:ascii="Times New Roman" w:hAnsi="Times New Roman"/>
          <w:sz w:val="24"/>
          <w:szCs w:val="24"/>
        </w:rPr>
      </w:pPr>
      <w:r>
        <w:rPr>
          <w:rFonts w:ascii="Times New Roman" w:hAnsi="Times New Roman"/>
          <w:b/>
          <w:sz w:val="24"/>
          <w:szCs w:val="24"/>
        </w:rPr>
        <w:t>Spatial and Temporal Option:</w:t>
      </w:r>
      <w:r>
        <w:rPr>
          <w:rFonts w:ascii="Times New Roman" w:hAnsi="Times New Roman"/>
          <w:sz w:val="24"/>
          <w:szCs w:val="24"/>
        </w:rPr>
        <w:t xml:space="preserve"> Customize the selection of spatial and temporal for analysis of the model data.</w:t>
      </w:r>
    </w:p>
    <w:p>
      <w:pPr>
        <w:pStyle w:val="31"/>
        <w:numPr>
          <w:ilvl w:val="0"/>
          <w:numId w:val="30"/>
        </w:numPr>
        <w:ind w:left="0" w:firstLine="0" w:firstLineChars="0"/>
        <w:rPr>
          <w:rFonts w:ascii="Times New Roman" w:hAnsi="Times New Roman"/>
          <w:sz w:val="24"/>
          <w:szCs w:val="24"/>
        </w:rPr>
      </w:pPr>
      <w:r>
        <w:rPr>
          <w:rFonts w:ascii="Times New Roman" w:hAnsi="Times New Roman"/>
          <w:b/>
          <w:sz w:val="24"/>
          <w:szCs w:val="24"/>
        </w:rPr>
        <w:t>Receptor Option:</w:t>
      </w:r>
      <w:r>
        <w:rPr>
          <w:rFonts w:ascii="Times New Roman" w:hAnsi="Times New Roman"/>
          <w:sz w:val="24"/>
          <w:szCs w:val="24"/>
        </w:rPr>
        <w:t xml:space="preserve"> Select the corresponding GIS shapefile to calculate the aggregation average concentration of pollutants from Grid to region (e.g., state, county, city) level.</w:t>
      </w:r>
    </w:p>
    <w:p>
      <w:pPr>
        <w:pStyle w:val="31"/>
        <w:numPr>
          <w:ilvl w:val="0"/>
          <w:numId w:val="30"/>
        </w:numPr>
        <w:ind w:left="0" w:firstLine="0" w:firstLineChars="0"/>
        <w:rPr>
          <w:rFonts w:ascii="Times New Roman" w:hAnsi="Times New Roman"/>
          <w:sz w:val="24"/>
          <w:szCs w:val="24"/>
        </w:rPr>
      </w:pPr>
      <w:r>
        <w:rPr>
          <w:rFonts w:ascii="Times New Roman" w:hAnsi="Times New Roman"/>
          <w:b/>
          <w:sz w:val="24"/>
          <w:szCs w:val="24"/>
        </w:rPr>
        <w:t>Cross Validation Option:</w:t>
      </w:r>
      <w:r>
        <w:rPr>
          <w:rFonts w:ascii="Times New Roman" w:hAnsi="Times New Roman"/>
          <w:sz w:val="24"/>
          <w:szCs w:val="24"/>
        </w:rPr>
        <w:t xml:space="preserve"> Select cross validation methods to validate the data fusion results and analyze the results at monitor points under the absence of different scenarios.</w:t>
      </w:r>
    </w:p>
    <w:p>
      <w:pPr>
        <w:ind w:firstLine="240" w:firstLineChars="100"/>
        <w:jc w:val="both"/>
        <w:rPr>
          <w:szCs w:val="24"/>
        </w:rPr>
      </w:pPr>
      <w:r>
        <w:rPr>
          <w:szCs w:val="24"/>
        </w:rPr>
        <w:t>To conduct a PM</w:t>
      </w:r>
      <w:r>
        <w:rPr>
          <w:szCs w:val="24"/>
          <w:vertAlign w:val="subscript"/>
        </w:rPr>
        <w:t xml:space="preserve">2.5 </w:t>
      </w:r>
      <w:r>
        <w:rPr>
          <w:szCs w:val="24"/>
        </w:rPr>
        <w:t xml:space="preserve">analysis, click the </w:t>
      </w:r>
      <w:r>
        <w:rPr>
          <w:b/>
          <w:szCs w:val="24"/>
        </w:rPr>
        <w:t>PM</w:t>
      </w:r>
      <w:r>
        <w:rPr>
          <w:szCs w:val="24"/>
        </w:rPr>
        <w:t xml:space="preserve"> menu from the main menu on the DF Home Page. </w:t>
      </w:r>
      <w:r>
        <w:rPr>
          <w:szCs w:val="24"/>
        </w:rPr>
        <w:fldChar w:fldCharType="begin"/>
      </w:r>
      <w:r>
        <w:rPr>
          <w:szCs w:val="24"/>
        </w:rPr>
        <w:instrText xml:space="preserve"> REF _Ref512333087 \h  \* MERGEFORMAT </w:instrText>
      </w:r>
      <w:r>
        <w:rPr>
          <w:szCs w:val="24"/>
        </w:rPr>
        <w:fldChar w:fldCharType="separate"/>
      </w:r>
      <w:r>
        <w:rPr>
          <w:szCs w:val="24"/>
        </w:rPr>
        <w:t>Figure 17</w:t>
      </w:r>
      <w:r>
        <w:rPr>
          <w:szCs w:val="24"/>
        </w:rPr>
        <w:fldChar w:fldCharType="end"/>
      </w:r>
      <w:r>
        <w:rPr>
          <w:szCs w:val="24"/>
        </w:rPr>
        <w:t xml:space="preserve"> shows the initial window for PM Analysis. The box in the upper left of the window (highlighted in red in </w:t>
      </w:r>
      <w:r>
        <w:rPr>
          <w:szCs w:val="24"/>
        </w:rPr>
        <w:fldChar w:fldCharType="begin"/>
      </w:r>
      <w:r>
        <w:rPr>
          <w:szCs w:val="24"/>
        </w:rPr>
        <w:instrText xml:space="preserve"> REF _Ref512333087 \h  \* MERGEFORMAT </w:instrText>
      </w:r>
      <w:r>
        <w:rPr>
          <w:szCs w:val="24"/>
        </w:rPr>
        <w:fldChar w:fldCharType="separate"/>
      </w:r>
      <w:r>
        <w:rPr>
          <w:szCs w:val="24"/>
        </w:rPr>
        <w:t>Figure 17</w:t>
      </w:r>
      <w:r>
        <w:rPr>
          <w:szCs w:val="24"/>
        </w:rPr>
        <w:fldChar w:fldCharType="end"/>
      </w:r>
      <w:r>
        <w:rPr>
          <w:szCs w:val="24"/>
        </w:rPr>
        <w:t xml:space="preserve">) lists the configuration steps of the PM Analysis. Each step listed in this box has a different set of configuration options for PM Analysis. Once a step is successfully configured, the yellow buttons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w:t>
      </w:r>
      <w:r>
        <w:rPr>
          <w:rFonts w:hint="eastAsia"/>
          <w:szCs w:val="24"/>
        </w:rPr>
        <w:t>u</w:t>
      </w:r>
      <w:r>
        <w:rPr>
          <w:szCs w:val="24"/>
        </w:rPr>
        <w:t xml:space="preserve">sers can move to the next step by either clicking on it or by selecting the </w:t>
      </w:r>
      <w:r>
        <w:rPr>
          <w:b/>
          <w:szCs w:val="24"/>
        </w:rPr>
        <w:t>Next</w:t>
      </w:r>
      <w:r>
        <w:rPr>
          <w:szCs w:val="24"/>
        </w:rPr>
        <w:t xml:space="preserve"> button (shown in the blue box in </w:t>
      </w:r>
      <w:r>
        <w:rPr>
          <w:szCs w:val="24"/>
        </w:rPr>
        <w:fldChar w:fldCharType="begin"/>
      </w:r>
      <w:r>
        <w:rPr>
          <w:szCs w:val="24"/>
        </w:rPr>
        <w:instrText xml:space="preserve"> REF _Ref512333087 \h  \* MERGEFORMAT </w:instrText>
      </w:r>
      <w:r>
        <w:rPr>
          <w:szCs w:val="24"/>
        </w:rPr>
        <w:fldChar w:fldCharType="separate"/>
      </w:r>
      <w:r>
        <w:rPr>
          <w:szCs w:val="24"/>
        </w:rPr>
        <w:t>Figure 17</w:t>
      </w:r>
      <w:r>
        <w:rPr>
          <w:szCs w:val="24"/>
        </w:rPr>
        <w:fldChar w:fldCharType="end"/>
      </w:r>
      <w:r>
        <w:rPr>
          <w:szCs w:val="24"/>
        </w:rPr>
        <w:t>).</w:t>
      </w:r>
    </w:p>
    <w:p>
      <w:pPr>
        <w:ind w:firstLine="240" w:firstLineChars="100"/>
        <w:jc w:val="both"/>
        <w:rPr>
          <w:szCs w:val="24"/>
        </w:rPr>
      </w:pPr>
      <w:r>
        <w:rPr>
          <w:szCs w:val="24"/>
        </w:rPr>
        <w:t xml:space="preserve">A previous project can be loaded by clicking the </w:t>
      </w:r>
      <w:r>
        <w:rPr>
          <w:b/>
          <w:szCs w:val="24"/>
        </w:rPr>
        <w:t>Open</w:t>
      </w:r>
      <w:r>
        <w:rPr>
          <w:szCs w:val="24"/>
        </w:rPr>
        <w:t xml:space="preserve"> button in the </w:t>
      </w:r>
      <w:r>
        <w:rPr>
          <w:b/>
          <w:szCs w:val="24"/>
        </w:rPr>
        <w:t>File</w:t>
      </w:r>
      <w:r>
        <w:rPr>
          <w:szCs w:val="24"/>
        </w:rPr>
        <w:t xml:space="preserve"> drop-down menu item, and a new project may be initiated at any time in the PM Analysis window by clicking </w:t>
      </w:r>
      <w:r>
        <w:rPr>
          <w:b/>
          <w:szCs w:val="24"/>
        </w:rPr>
        <w:t>PM</w:t>
      </w:r>
      <w:r>
        <w:rPr>
          <w:szCs w:val="24"/>
        </w:rPr>
        <w:t xml:space="preserve"> menu on the top of DF start page or selecting </w:t>
      </w:r>
      <w:r>
        <w:rPr>
          <w:b/>
          <w:szCs w:val="24"/>
        </w:rPr>
        <w:t>New Project</w:t>
      </w:r>
      <w:r>
        <w:rPr>
          <w:szCs w:val="24"/>
        </w:rPr>
        <w:t xml:space="preserve"> button from the </w:t>
      </w:r>
      <w:r>
        <w:rPr>
          <w:b/>
          <w:szCs w:val="24"/>
        </w:rPr>
        <w:t>File</w:t>
      </w:r>
      <w:r>
        <w:rPr>
          <w:szCs w:val="24"/>
        </w:rPr>
        <w:t xml:space="preserve"> drop-down menu item. </w:t>
      </w:r>
    </w:p>
    <w:p>
      <w:pPr>
        <w:ind w:firstLine="240" w:firstLineChars="100"/>
        <w:jc w:val="both"/>
        <w:rPr>
          <w:szCs w:val="24"/>
        </w:rPr>
      </w:pPr>
      <w:r>
        <w:rPr>
          <w:szCs w:val="24"/>
        </w:rPr>
        <w:t>Each of the PM Analysis configuration steps is described in the following sections.</w:t>
      </w:r>
    </w:p>
    <w:p>
      <w:pPr>
        <w:keepNext/>
        <w:jc w:val="center"/>
      </w:pPr>
      <w:r>
        <w:drawing>
          <wp:inline distT="0" distB="0" distL="0" distR="0">
            <wp:extent cx="5274310" cy="3807460"/>
            <wp:effectExtent l="0" t="0" r="254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74310" cy="3807460"/>
                    </a:xfrm>
                    <a:prstGeom prst="rect">
                      <a:avLst/>
                    </a:prstGeom>
                  </pic:spPr>
                </pic:pic>
              </a:graphicData>
            </a:graphic>
          </wp:inline>
        </w:drawing>
      </w:r>
    </w:p>
    <w:p>
      <w:pPr>
        <w:pStyle w:val="6"/>
        <w:jc w:val="center"/>
        <w:rPr>
          <w:rFonts w:ascii="Times New Roman" w:hAnsi="Times New Roman"/>
          <w:i/>
          <w:iCs/>
          <w:sz w:val="24"/>
          <w:szCs w:val="24"/>
        </w:rPr>
      </w:pPr>
      <w:bookmarkStart w:id="90" w:name="_Ref512333087"/>
      <w:bookmarkStart w:id="91" w:name="_Toc122981793"/>
      <w:bookmarkStart w:id="92" w:name="_Toc3792380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17</w:t>
      </w:r>
      <w:r>
        <w:rPr>
          <w:rFonts w:ascii="Times New Roman" w:hAnsi="Times New Roman"/>
          <w:i/>
          <w:iCs/>
          <w:sz w:val="24"/>
          <w:szCs w:val="24"/>
        </w:rPr>
        <w:fldChar w:fldCharType="end"/>
      </w:r>
      <w:bookmarkEnd w:id="90"/>
      <w:r>
        <w:rPr>
          <w:rFonts w:ascii="Times New Roman" w:hAnsi="Times New Roman"/>
          <w:i/>
          <w:iCs/>
          <w:sz w:val="24"/>
          <w:szCs w:val="24"/>
        </w:rPr>
        <w:t>. Start Page of Creating new PM</w:t>
      </w:r>
      <w:r>
        <w:rPr>
          <w:rFonts w:ascii="Times New Roman" w:hAnsi="Times New Roman"/>
          <w:i/>
          <w:iCs/>
          <w:sz w:val="24"/>
          <w:szCs w:val="24"/>
          <w:vertAlign w:val="subscript"/>
        </w:rPr>
        <w:t xml:space="preserve">2.5 </w:t>
      </w:r>
      <w:r>
        <w:rPr>
          <w:rFonts w:ascii="Times New Roman" w:hAnsi="Times New Roman"/>
          <w:i/>
          <w:iCs/>
          <w:sz w:val="24"/>
          <w:szCs w:val="24"/>
        </w:rPr>
        <w:t>data fusion</w:t>
      </w:r>
      <w:bookmarkEnd w:id="91"/>
      <w:bookmarkEnd w:id="92"/>
    </w:p>
    <w:p>
      <w:pPr>
        <w:pStyle w:val="3"/>
        <w:rPr>
          <w:szCs w:val="28"/>
        </w:rPr>
      </w:pPr>
      <w:bookmarkStart w:id="93" w:name="_Data_Input_Option"/>
      <w:bookmarkEnd w:id="93"/>
      <w:bookmarkStart w:id="94" w:name="_Toc122981757"/>
      <w:r>
        <w:rPr>
          <w:szCs w:val="28"/>
        </w:rPr>
        <w:t>Data Input Option</w:t>
      </w:r>
      <w:bookmarkEnd w:id="94"/>
    </w:p>
    <w:p>
      <w:pPr>
        <w:ind w:firstLine="240" w:firstLineChars="100"/>
        <w:jc w:val="both"/>
        <w:rPr>
          <w:szCs w:val="24"/>
        </w:rPr>
      </w:pPr>
      <w:r>
        <w:rPr>
          <w:b/>
          <w:szCs w:val="24"/>
        </w:rPr>
        <w:t xml:space="preserve">Data Input Option </w:t>
      </w:r>
      <w:r>
        <w:rPr>
          <w:szCs w:val="24"/>
        </w:rPr>
        <w:t>is the first step in PM</w:t>
      </w:r>
      <w:r>
        <w:rPr>
          <w:szCs w:val="24"/>
          <w:vertAlign w:val="subscript"/>
        </w:rPr>
        <w:t>2.5</w:t>
      </w:r>
      <w:r>
        <w:rPr>
          <w:szCs w:val="24"/>
        </w:rPr>
        <w:t xml:space="preserve"> data fusion configuration options. The interface is shown in </w:t>
      </w:r>
      <w:r>
        <w:rPr>
          <w:szCs w:val="24"/>
        </w:rPr>
        <w:fldChar w:fldCharType="begin"/>
      </w:r>
      <w:r>
        <w:rPr>
          <w:szCs w:val="24"/>
        </w:rPr>
        <w:instrText xml:space="preserve"> REF _Ref512344957 \h  \* MERGEFORMAT </w:instrText>
      </w:r>
      <w:r>
        <w:rPr>
          <w:szCs w:val="24"/>
        </w:rPr>
        <w:fldChar w:fldCharType="separate"/>
      </w:r>
      <w:r>
        <w:rPr>
          <w:szCs w:val="24"/>
        </w:rPr>
        <w:t>Figure 18</w:t>
      </w:r>
      <w:r>
        <w:rPr>
          <w:szCs w:val="24"/>
        </w:rPr>
        <w:fldChar w:fldCharType="end"/>
      </w:r>
      <w:r>
        <w:rPr>
          <w:szCs w:val="24"/>
        </w:rPr>
        <w:t>, including configuration options listed below:</w:t>
      </w:r>
    </w:p>
    <w:p>
      <w:pPr>
        <w:pStyle w:val="31"/>
        <w:numPr>
          <w:ilvl w:val="0"/>
          <w:numId w:val="31"/>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b/>
          <w:sz w:val="24"/>
          <w:szCs w:val="24"/>
        </w:rPr>
        <w:t xml:space="preserve">Project Name: </w:t>
      </w:r>
      <w:r>
        <w:rPr>
          <w:rFonts w:ascii="Times New Roman" w:hAnsi="Times New Roman"/>
          <w:sz w:val="24"/>
          <w:szCs w:val="24"/>
        </w:rPr>
        <w:t>Text string to identify this analysis and set the name of the project file.</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 Monitor Data: </w:t>
      </w:r>
      <w:r>
        <w:rPr>
          <w:rFonts w:ascii="Times New Roman" w:hAnsi="Times New Roman"/>
          <w:sz w:val="24"/>
          <w:szCs w:val="24"/>
        </w:rPr>
        <w:t>DF requires monitoring data in the form of a text file. DF uses both "</w:t>
      </w:r>
      <w:r>
        <w:rPr>
          <w:rFonts w:ascii="Times New Roman" w:hAnsi="Times New Roman"/>
          <w:b/>
          <w:sz w:val="24"/>
          <w:szCs w:val="24"/>
        </w:rPr>
        <w:t>Quarterly Data</w:t>
      </w:r>
      <w:r>
        <w:rPr>
          <w:rFonts w:ascii="Times New Roman" w:hAnsi="Times New Roman"/>
          <w:sz w:val="24"/>
          <w:szCs w:val="24"/>
        </w:rPr>
        <w:t>" and "</w:t>
      </w:r>
      <w:r>
        <w:rPr>
          <w:rFonts w:ascii="Times New Roman" w:hAnsi="Times New Roman"/>
          <w:b/>
          <w:sz w:val="24"/>
          <w:szCs w:val="24"/>
        </w:rPr>
        <w:t>Daily/Weekly Data,</w:t>
      </w:r>
      <w:r>
        <w:rPr>
          <w:rFonts w:ascii="Times New Roman" w:hAnsi="Times New Roman"/>
          <w:sz w:val="24"/>
          <w:szCs w:val="24"/>
        </w:rPr>
        <w:t>" as well as PM</w:t>
      </w:r>
      <w:r>
        <w:rPr>
          <w:rFonts w:ascii="Times New Roman" w:hAnsi="Times New Roman"/>
          <w:sz w:val="24"/>
          <w:szCs w:val="24"/>
          <w:vertAlign w:val="subscript"/>
        </w:rPr>
        <w:t>2.5</w:t>
      </w:r>
      <w:r>
        <w:rPr>
          <w:rFonts w:ascii="Times New Roman" w:hAnsi="Times New Roman"/>
          <w:sz w:val="24"/>
          <w:szCs w:val="24"/>
        </w:rPr>
        <w:t xml:space="preserve"> species data in its calculations.</w:t>
      </w:r>
    </w:p>
    <w:p>
      <w:pPr>
        <w:pStyle w:val="31"/>
        <w:ind w:firstLine="241" w:firstLineChars="100"/>
        <w:rPr>
          <w:rFonts w:ascii="Times New Roman" w:hAnsi="Times New Roman"/>
          <w:sz w:val="24"/>
          <w:szCs w:val="24"/>
        </w:rPr>
      </w:pPr>
      <w:r>
        <w:rPr>
          <w:rFonts w:ascii="Times New Roman" w:hAnsi="Times New Roman"/>
          <w:b/>
          <w:sz w:val="24"/>
          <w:szCs w:val="24"/>
        </w:rPr>
        <w:t>Quarterly Data.</w:t>
      </w:r>
      <w:r>
        <w:t xml:space="preserve"> </w:t>
      </w:r>
      <w:r>
        <w:rPr>
          <w:rFonts w:ascii="Times New Roman" w:hAnsi="Times New Roman"/>
          <w:sz w:val="24"/>
          <w:szCs w:val="24"/>
        </w:rPr>
        <w:t>The EPA-approved quarterly average PM</w:t>
      </w:r>
      <w:r>
        <w:rPr>
          <w:rFonts w:ascii="Times New Roman" w:hAnsi="Times New Roman"/>
          <w:sz w:val="24"/>
          <w:szCs w:val="24"/>
          <w:vertAlign w:val="subscript"/>
        </w:rPr>
        <w:t>2.5</w:t>
      </w:r>
      <w:r>
        <w:rPr>
          <w:rFonts w:ascii="Times New Roman" w:hAnsi="Times New Roman"/>
          <w:sz w:val="24"/>
          <w:szCs w:val="24"/>
        </w:rPr>
        <w:t xml:space="preserve"> FRM data that have been used to calculate PM</w:t>
      </w:r>
      <w:r>
        <w:rPr>
          <w:rFonts w:ascii="Times New Roman" w:hAnsi="Times New Roman"/>
          <w:sz w:val="24"/>
          <w:szCs w:val="24"/>
          <w:vertAlign w:val="subscript"/>
        </w:rPr>
        <w:t>2.5</w:t>
      </w:r>
      <w:r>
        <w:rPr>
          <w:rFonts w:ascii="Times New Roman" w:hAnsi="Times New Roman"/>
          <w:sz w:val="24"/>
          <w:szCs w:val="24"/>
        </w:rPr>
        <w:t xml:space="preserve"> design values. These data are commonly used in the attainment test tool (e.g., SMAT-CE). The default data file in </w:t>
      </w:r>
      <w:r>
        <w:rPr>
          <w:rFonts w:hint="eastAsia" w:ascii="Times New Roman" w:hAnsi="Times New Roman"/>
          <w:sz w:val="24"/>
          <w:szCs w:val="24"/>
        </w:rPr>
        <w:t>DF</w:t>
      </w:r>
      <w:r>
        <w:rPr>
          <w:rFonts w:ascii="Times New Roman" w:hAnsi="Times New Roman"/>
          <w:sz w:val="24"/>
          <w:szCs w:val="24"/>
        </w:rPr>
        <w:t xml:space="preserve"> was created by EPA OAQPS. In most cases, the data should not be altered, however, in some cases (e.g. sensitivity analysis) there may be a need to add or remove data.</w:t>
      </w:r>
    </w:p>
    <w:p>
      <w:pPr>
        <w:pStyle w:val="31"/>
        <w:ind w:firstLine="241" w:firstLineChars="100"/>
        <w:rPr>
          <w:rFonts w:ascii="Times New Roman" w:hAnsi="Times New Roman"/>
          <w:sz w:val="24"/>
          <w:szCs w:val="24"/>
        </w:rPr>
      </w:pPr>
      <w:r>
        <w:rPr>
          <w:rFonts w:ascii="Times New Roman" w:hAnsi="Times New Roman"/>
          <w:b/>
          <w:sz w:val="24"/>
          <w:szCs w:val="24"/>
        </w:rPr>
        <w:t>Daily/Weekly Data.</w:t>
      </w:r>
      <w:r>
        <w:rPr>
          <w:rFonts w:ascii="Times New Roman" w:hAnsi="Times New Roman"/>
          <w:sz w:val="24"/>
          <w:szCs w:val="24"/>
        </w:rPr>
        <w:t xml:space="preserve"> PM</w:t>
      </w:r>
      <w:r>
        <w:rPr>
          <w:rFonts w:ascii="Times New Roman" w:hAnsi="Times New Roman"/>
          <w:sz w:val="24"/>
          <w:szCs w:val="24"/>
          <w:vertAlign w:val="subscript"/>
        </w:rPr>
        <w:t>2.5</w:t>
      </w:r>
      <w:r>
        <w:rPr>
          <w:rFonts w:ascii="Times New Roman" w:hAnsi="Times New Roman"/>
          <w:sz w:val="24"/>
          <w:szCs w:val="24"/>
        </w:rPr>
        <w:t xml:space="preserve"> data that are needed to calculate species fractions. These data are used in combination with the Species Monitor Data File. </w:t>
      </w:r>
    </w:p>
    <w:p>
      <w:pPr>
        <w:pStyle w:val="31"/>
        <w:ind w:firstLine="240" w:firstLineChars="100"/>
        <w:rPr>
          <w:rFonts w:ascii="Times New Roman" w:hAnsi="Times New Roman"/>
          <w:sz w:val="24"/>
          <w:szCs w:val="24"/>
        </w:rPr>
      </w:pPr>
      <w:r>
        <w:rPr>
          <w:rFonts w:ascii="Times New Roman" w:hAnsi="Times New Roman"/>
          <w:sz w:val="24"/>
          <w:szCs w:val="24"/>
        </w:rPr>
        <w:t>A detailed description of the formats of the input data files used in this step is available in Section 2.4 of the User’s Manual of SMAT-CE.</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Grid Model Data: </w:t>
      </w:r>
      <w:r>
        <w:rPr>
          <w:rFonts w:ascii="Times New Roman" w:hAnsi="Times New Roman"/>
          <w:sz w:val="24"/>
          <w:szCs w:val="24"/>
        </w:rPr>
        <w:t>These are gridded model output from models such as CMAQ or CAMx. Users can choose either daily model data input or quarterly model data input (which is just a quarterly average of the daily model data). Either will work for the PM</w:t>
      </w:r>
      <w:r>
        <w:rPr>
          <w:rFonts w:ascii="Times New Roman" w:hAnsi="Times New Roman"/>
          <w:sz w:val="24"/>
          <w:szCs w:val="24"/>
          <w:vertAlign w:val="subscript"/>
        </w:rPr>
        <w:t>2.5</w:t>
      </w:r>
      <w:r>
        <w:rPr>
          <w:rFonts w:ascii="Times New Roman" w:hAnsi="Times New Roman"/>
          <w:sz w:val="24"/>
          <w:szCs w:val="24"/>
        </w:rPr>
        <w:t xml:space="preserve"> Analysis. The default setting is daily average data. It supports two kinds of formats: one is the simple comma-separated text format (*.csv) and the other is IOAPI format. Note that the model data year should be consistent with the base year of monitor data.</w:t>
      </w:r>
      <w:r>
        <w:t xml:space="preserve"> </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Other Data: </w:t>
      </w:r>
      <w:r>
        <w:rPr>
          <w:rFonts w:ascii="Times New Roman" w:hAnsi="Times New Roman"/>
          <w:sz w:val="24"/>
          <w:szCs w:val="24"/>
        </w:rPr>
        <w:t xml:space="preserve">Other data mainly include dispersion </w:t>
      </w:r>
      <w:r>
        <w:rPr>
          <w:rFonts w:hint="eastAsia" w:ascii="Times New Roman" w:hAnsi="Times New Roman"/>
          <w:sz w:val="24"/>
          <w:szCs w:val="24"/>
        </w:rPr>
        <w:t>model</w:t>
      </w:r>
      <w:r>
        <w:rPr>
          <w:rFonts w:ascii="Times New Roman" w:hAnsi="Times New Roman"/>
          <w:sz w:val="24"/>
          <w:szCs w:val="24"/>
        </w:rPr>
        <w:t xml:space="preserve"> data, related geographic information data, and AOD data. AOD data is mainly used for satellite data fusion</w:t>
      </w:r>
      <w:r>
        <w:rPr>
          <w:rFonts w:hint="eastAsia" w:ascii="Times New Roman" w:hAnsi="Times New Roman"/>
          <w:sz w:val="24"/>
          <w:szCs w:val="24"/>
        </w:rPr>
        <w:t>.</w:t>
      </w:r>
      <w:r>
        <w:rPr>
          <w:rFonts w:ascii="Times New Roman" w:hAnsi="Times New Roman"/>
          <w:sz w:val="24"/>
          <w:szCs w:val="24"/>
        </w:rPr>
        <w:t xml:space="preserve"> Users can choose according to their requirements. The program does not use it by default.</w:t>
      </w:r>
    </w:p>
    <w:p>
      <w:pPr>
        <w:keepNext/>
        <w:jc w:val="center"/>
      </w:pPr>
      <w:r>
        <w:drawing>
          <wp:inline distT="0" distB="0" distL="0" distR="0">
            <wp:extent cx="4890770" cy="3542030"/>
            <wp:effectExtent l="0" t="0" r="508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4900081" cy="3549107"/>
                    </a:xfrm>
                    <a:prstGeom prst="rect">
                      <a:avLst/>
                    </a:prstGeom>
                  </pic:spPr>
                </pic:pic>
              </a:graphicData>
            </a:graphic>
          </wp:inline>
        </w:drawing>
      </w:r>
    </w:p>
    <w:p>
      <w:pPr>
        <w:pStyle w:val="6"/>
        <w:jc w:val="center"/>
        <w:rPr>
          <w:rFonts w:ascii="Times New Roman" w:hAnsi="Times New Roman"/>
          <w:i/>
          <w:iCs/>
          <w:sz w:val="24"/>
          <w:szCs w:val="24"/>
        </w:rPr>
      </w:pPr>
      <w:bookmarkStart w:id="95" w:name="_Ref512344957"/>
      <w:bookmarkStart w:id="96" w:name="_Toc37923806"/>
      <w:bookmarkStart w:id="97" w:name="_Toc122981794"/>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18</w:t>
      </w:r>
      <w:r>
        <w:rPr>
          <w:rFonts w:ascii="Times New Roman" w:hAnsi="Times New Roman"/>
          <w:i/>
          <w:iCs/>
          <w:sz w:val="24"/>
          <w:szCs w:val="24"/>
        </w:rPr>
        <w:fldChar w:fldCharType="end"/>
      </w:r>
      <w:bookmarkEnd w:id="95"/>
      <w:r>
        <w:rPr>
          <w:rFonts w:ascii="Times New Roman" w:hAnsi="Times New Roman"/>
          <w:i/>
          <w:iCs/>
          <w:sz w:val="24"/>
          <w:szCs w:val="24"/>
        </w:rPr>
        <w:t>. Data Input Option (PM</w:t>
      </w:r>
      <w:r>
        <w:rPr>
          <w:rFonts w:ascii="Times New Roman" w:hAnsi="Times New Roman"/>
          <w:i/>
          <w:iCs/>
          <w:sz w:val="24"/>
          <w:szCs w:val="24"/>
          <w:vertAlign w:val="subscript"/>
        </w:rPr>
        <w:t>2.5</w:t>
      </w:r>
      <w:r>
        <w:rPr>
          <w:rFonts w:ascii="Times New Roman" w:hAnsi="Times New Roman"/>
          <w:i/>
          <w:iCs/>
          <w:sz w:val="24"/>
          <w:szCs w:val="24"/>
        </w:rPr>
        <w:t>)</w:t>
      </w:r>
      <w:bookmarkEnd w:id="96"/>
      <w:bookmarkEnd w:id="97"/>
    </w:p>
    <w:p>
      <w:pPr>
        <w:ind w:firstLine="240" w:firstLineChars="100"/>
        <w:jc w:val="both"/>
        <w:rPr>
          <w:szCs w:val="24"/>
        </w:rPr>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Data Fusion Technique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98" w:name="_Data_Fusion_Technique"/>
      <w:bookmarkEnd w:id="98"/>
      <w:bookmarkStart w:id="99" w:name="_Ref523235068"/>
      <w:bookmarkStart w:id="100" w:name="_Toc122981758"/>
      <w:bookmarkStart w:id="101" w:name="_Toc438541484"/>
      <w:bookmarkStart w:id="102" w:name="_Toc439061773"/>
      <w:r>
        <w:rPr>
          <w:rFonts w:hint="eastAsia"/>
          <w:szCs w:val="28"/>
        </w:rPr>
        <w:t>Data Fusion Technique Option</w:t>
      </w:r>
      <w:bookmarkEnd w:id="99"/>
      <w:bookmarkEnd w:id="100"/>
    </w:p>
    <w:p>
      <w:pPr>
        <w:ind w:firstLine="240" w:firstLineChars="100"/>
        <w:jc w:val="both"/>
        <w:rPr>
          <w:szCs w:val="24"/>
        </w:rPr>
      </w:pPr>
      <w:r>
        <w:rPr>
          <w:rFonts w:hint="cs"/>
          <w:szCs w:val="24"/>
        </w:rPr>
        <w:t xml:space="preserve">Data Fusion Technique Option </w:t>
      </w:r>
      <w:r>
        <w:rPr>
          <w:szCs w:val="24"/>
        </w:rPr>
        <w:t>includes</w:t>
      </w:r>
      <w:r>
        <w:rPr>
          <w:rFonts w:hint="cs"/>
          <w:szCs w:val="24"/>
        </w:rPr>
        <w:t xml:space="preserve"> </w:t>
      </w:r>
      <w:r>
        <w:rPr>
          <w:szCs w:val="24"/>
        </w:rPr>
        <w:t xml:space="preserve">five data fusion algorithms. Users can choose one or more algorithms of interest to calculate at a time. The interface is shown in </w:t>
      </w:r>
      <w:r>
        <w:rPr>
          <w:szCs w:val="24"/>
        </w:rPr>
        <w:fldChar w:fldCharType="begin"/>
      </w:r>
      <w:r>
        <w:rPr>
          <w:szCs w:val="24"/>
        </w:rPr>
        <w:instrText xml:space="preserve"> REF _Ref512347066 \h </w:instrText>
      </w:r>
      <w:r>
        <w:rPr>
          <w:szCs w:val="24"/>
        </w:rPr>
        <w:fldChar w:fldCharType="separate"/>
      </w:r>
      <w:r>
        <w:rPr>
          <w:i/>
          <w:iCs/>
          <w:szCs w:val="24"/>
        </w:rPr>
        <w:t>Figure 19</w:t>
      </w:r>
      <w:r>
        <w:rPr>
          <w:szCs w:val="24"/>
        </w:rPr>
        <w:fldChar w:fldCharType="end"/>
      </w:r>
      <w:r>
        <w:rPr>
          <w:szCs w:val="24"/>
        </w:rPr>
        <w:t xml:space="preserve">, including five algorithms of VNA, eVNA, </w:t>
      </w:r>
      <w:r>
        <w:rPr>
          <w:rFonts w:hint="eastAsia"/>
          <w:szCs w:val="24"/>
        </w:rPr>
        <w:t>DS</w:t>
      </w:r>
      <w:r>
        <w:rPr>
          <w:szCs w:val="24"/>
        </w:rPr>
        <w:t>, wVNA, and NS. The</w:t>
      </w:r>
      <w:r>
        <w:t xml:space="preserve"> preferred default choices</w:t>
      </w:r>
      <w:r>
        <w:rPr>
          <w:rFonts w:hint="eastAsia"/>
          <w:szCs w:val="24"/>
        </w:rPr>
        <w:t xml:space="preserve"> </w:t>
      </w:r>
      <w:r>
        <w:rPr>
          <w:szCs w:val="24"/>
        </w:rPr>
        <w:t xml:space="preserve">are VNA, eVNA, and Downscaler. </w:t>
      </w:r>
      <w:r>
        <w:rPr>
          <w:rFonts w:hint="eastAsia"/>
          <w:szCs w:val="24"/>
        </w:rPr>
        <w:t>T</w:t>
      </w:r>
      <w:r>
        <w:rPr>
          <w:szCs w:val="24"/>
        </w:rPr>
        <w:t xml:space="preserve">he calculation principle of these five algorithms are described in </w:t>
      </w:r>
      <w:r>
        <w:rPr>
          <w:b/>
          <w:szCs w:val="24"/>
        </w:rPr>
        <w:fldChar w:fldCharType="begin"/>
      </w:r>
      <w:r>
        <w:rPr>
          <w:b/>
          <w:szCs w:val="24"/>
        </w:rPr>
        <w:instrText xml:space="preserve"> REF _Ref525033829 \h  \* MERGEFORMAT </w:instrText>
      </w:r>
      <w:r>
        <w:rPr>
          <w:b/>
          <w:szCs w:val="24"/>
        </w:rPr>
        <w:fldChar w:fldCharType="separate"/>
      </w:r>
      <w:r>
        <w:rPr>
          <w:b/>
          <w:szCs w:val="24"/>
        </w:rPr>
        <w:t>Appendix I</w:t>
      </w:r>
      <w:r>
        <w:rPr>
          <w:b/>
          <w:szCs w:val="24"/>
        </w:rPr>
        <w:fldChar w:fldCharType="end"/>
      </w:r>
      <w:r>
        <w:rPr>
          <w:szCs w:val="24"/>
        </w:rPr>
        <w:t>.</w:t>
      </w:r>
    </w:p>
    <w:p>
      <w:pPr>
        <w:pStyle w:val="31"/>
        <w:numPr>
          <w:ilvl w:val="0"/>
          <w:numId w:val="32"/>
        </w:numPr>
        <w:ind w:left="0" w:firstLine="0" w:firstLineChars="0"/>
        <w:rPr>
          <w:rFonts w:ascii="Times New Roman" w:hAnsi="Times New Roman"/>
          <w:sz w:val="24"/>
          <w:szCs w:val="24"/>
        </w:rPr>
      </w:pPr>
      <w:r>
        <w:rPr>
          <w:rFonts w:ascii="Times New Roman" w:hAnsi="Times New Roman"/>
          <w:sz w:val="24"/>
          <w:szCs w:val="24"/>
        </w:rPr>
        <w:t xml:space="preserve">Users can check the </w:t>
      </w:r>
      <w:r>
        <w:rPr>
          <w:rFonts w:ascii="Times New Roman" w:hAnsi="Times New Roman"/>
          <w:b/>
          <w:sz w:val="24"/>
          <w:szCs w:val="24"/>
        </w:rPr>
        <w:t>Advanced options</w:t>
      </w:r>
      <w:r>
        <w:rPr>
          <w:rFonts w:ascii="Times New Roman" w:hAnsi="Times New Roman"/>
          <w:sz w:val="24"/>
          <w:szCs w:val="24"/>
        </w:rPr>
        <w:t xml:space="preserve"> under the </w:t>
      </w:r>
      <w:r>
        <w:rPr>
          <w:rFonts w:ascii="Times New Roman" w:hAnsi="Times New Roman"/>
          <w:b/>
          <w:sz w:val="24"/>
          <w:szCs w:val="24"/>
        </w:rPr>
        <w:t>eVNA</w:t>
      </w:r>
      <w:r>
        <w:rPr>
          <w:rFonts w:ascii="Times New Roman" w:hAnsi="Times New Roman"/>
          <w:sz w:val="24"/>
          <w:szCs w:val="24"/>
        </w:rPr>
        <w:t xml:space="preserve"> algorithm option to set the Inverse Distance Weighting Power (the default is 2) and the Gradient-adjusted threshold (GAT, the default is 3), as shown in </w:t>
      </w:r>
      <w:r>
        <w:rPr>
          <w:rFonts w:ascii="Times New Roman" w:hAnsi="Times New Roman"/>
          <w:sz w:val="24"/>
          <w:szCs w:val="24"/>
        </w:rPr>
        <w:fldChar w:fldCharType="begin"/>
      </w:r>
      <w:r>
        <w:rPr>
          <w:rFonts w:ascii="Times New Roman" w:hAnsi="Times New Roman"/>
          <w:sz w:val="24"/>
          <w:szCs w:val="24"/>
        </w:rPr>
        <w:instrText xml:space="preserve"> REF _Ref512348906 \h  \* MERGEFORMAT </w:instrText>
      </w:r>
      <w:r>
        <w:rPr>
          <w:rFonts w:ascii="Times New Roman" w:hAnsi="Times New Roman"/>
          <w:sz w:val="24"/>
          <w:szCs w:val="24"/>
        </w:rPr>
        <w:fldChar w:fldCharType="separate"/>
      </w:r>
      <w:r>
        <w:rPr>
          <w:rFonts w:ascii="Times New Roman" w:hAnsi="Times New Roman"/>
          <w:sz w:val="24"/>
          <w:szCs w:val="24"/>
        </w:rPr>
        <w:t>Figure 20</w:t>
      </w:r>
      <w:r>
        <w:rPr>
          <w:rFonts w:ascii="Times New Roman" w:hAnsi="Times New Roman"/>
          <w:sz w:val="24"/>
          <w:szCs w:val="24"/>
        </w:rPr>
        <w:fldChar w:fldCharType="end"/>
      </w:r>
      <w:r>
        <w:rPr>
          <w:rFonts w:ascii="Times New Roman" w:hAnsi="Times New Roman"/>
          <w:sz w:val="24"/>
          <w:szCs w:val="24"/>
        </w:rPr>
        <w:t>. I</w:t>
      </w:r>
      <w:r>
        <w:rPr>
          <w:rFonts w:hint="eastAsia" w:ascii="Times New Roman" w:hAnsi="Times New Roman"/>
          <w:sz w:val="24"/>
          <w:szCs w:val="24"/>
        </w:rPr>
        <w:t>nver</w:t>
      </w:r>
      <w:r>
        <w:rPr>
          <w:rFonts w:ascii="Times New Roman" w:hAnsi="Times New Roman"/>
          <w:sz w:val="24"/>
          <w:szCs w:val="24"/>
        </w:rPr>
        <w:t xml:space="preserve">se Distance Weighting Power means that the value is the sum of the coefficient of the distance from the monitor point to the interpolation point. Gradient-adjusted threshold means that the value in the model grid cell will be replaced with the threshold value (= GAT </w:t>
      </w:r>
      <w:r>
        <w:rPr>
          <w:rFonts w:hint="eastAsia" w:ascii="Times New Roman" w:hAnsi="Times New Roman"/>
          <w:sz w:val="24"/>
          <w:szCs w:val="24"/>
        </w:rPr>
        <w:t>×</w:t>
      </w:r>
      <w:r>
        <w:rPr>
          <w:rFonts w:ascii="Times New Roman" w:hAnsi="Times New Roman"/>
          <w:sz w:val="24"/>
          <w:szCs w:val="24"/>
        </w:rPr>
        <w:t xml:space="preserve"> C</w:t>
      </w:r>
      <w:r>
        <w:rPr>
          <w:rFonts w:hint="eastAsia" w:ascii="Times New Roman" w:hAnsi="Times New Roman"/>
          <w:sz w:val="24"/>
          <w:szCs w:val="24"/>
          <w:vertAlign w:val="subscript"/>
        </w:rPr>
        <w:t>Monitor</w:t>
      </w:r>
      <w:r>
        <w:rPr>
          <w:rFonts w:ascii="Times New Roman" w:hAnsi="Times New Roman"/>
          <w:sz w:val="24"/>
          <w:szCs w:val="24"/>
        </w:rPr>
        <w:t>) if the ratio of modeled concentration to monitored concentration in a target grid cell is larger than the Gradient-adjusted threshold.</w:t>
      </w:r>
    </w:p>
    <w:p>
      <w:pPr>
        <w:pStyle w:val="31"/>
        <w:numPr>
          <w:ilvl w:val="0"/>
          <w:numId w:val="32"/>
        </w:numPr>
        <w:ind w:left="0" w:firstLine="0" w:firstLineChars="0"/>
        <w:rPr>
          <w:rFonts w:ascii="Times New Roman" w:hAnsi="Times New Roman"/>
          <w:sz w:val="24"/>
          <w:szCs w:val="24"/>
        </w:rPr>
      </w:pPr>
      <w:r>
        <w:rPr>
          <w:rFonts w:ascii="Times New Roman" w:hAnsi="Times New Roman"/>
          <w:sz w:val="24"/>
          <w:szCs w:val="24"/>
        </w:rPr>
        <w:t xml:space="preserve">Users can check the </w:t>
      </w:r>
      <w:r>
        <w:rPr>
          <w:rFonts w:ascii="Times New Roman" w:hAnsi="Times New Roman"/>
          <w:b/>
          <w:sz w:val="24"/>
          <w:szCs w:val="24"/>
        </w:rPr>
        <w:t>Advanced options</w:t>
      </w:r>
      <w:r>
        <w:rPr>
          <w:rFonts w:ascii="Times New Roman" w:hAnsi="Times New Roman"/>
          <w:sz w:val="24"/>
          <w:szCs w:val="24"/>
        </w:rPr>
        <w:t xml:space="preserve"> under the </w:t>
      </w:r>
      <w:r>
        <w:rPr>
          <w:rFonts w:ascii="Times New Roman" w:hAnsi="Times New Roman"/>
          <w:b/>
          <w:sz w:val="24"/>
          <w:szCs w:val="24"/>
        </w:rPr>
        <w:t>Downscaler</w:t>
      </w:r>
      <w:r>
        <w:rPr>
          <w:rFonts w:ascii="Times New Roman" w:hAnsi="Times New Roman"/>
          <w:sz w:val="24"/>
          <w:szCs w:val="24"/>
        </w:rPr>
        <w:t xml:space="preserve"> algorithm option to set the number of iterations and related parameters to reduce the computational load, and improve the calculation effectiveness, as shown in </w:t>
      </w:r>
      <w:r>
        <w:rPr>
          <w:rFonts w:ascii="Times New Roman" w:hAnsi="Times New Roman"/>
          <w:sz w:val="24"/>
          <w:szCs w:val="24"/>
        </w:rPr>
        <w:fldChar w:fldCharType="begin"/>
      </w:r>
      <w:r>
        <w:rPr>
          <w:rFonts w:ascii="Times New Roman" w:hAnsi="Times New Roman"/>
          <w:sz w:val="24"/>
          <w:szCs w:val="24"/>
        </w:rPr>
        <w:instrText xml:space="preserve"> REF _Ref512348922 \h  \* MERGEFORMAT </w:instrText>
      </w:r>
      <w:r>
        <w:rPr>
          <w:rFonts w:ascii="Times New Roman" w:hAnsi="Times New Roman"/>
          <w:sz w:val="24"/>
          <w:szCs w:val="24"/>
        </w:rPr>
        <w:fldChar w:fldCharType="separate"/>
      </w:r>
      <w:r>
        <w:rPr>
          <w:rFonts w:ascii="Times New Roman" w:hAnsi="Times New Roman"/>
          <w:sz w:val="24"/>
          <w:szCs w:val="24"/>
        </w:rPr>
        <w:t>Figure 21</w:t>
      </w:r>
      <w:r>
        <w:rPr>
          <w:rFonts w:ascii="Times New Roman" w:hAnsi="Times New Roman"/>
          <w:sz w:val="24"/>
          <w:szCs w:val="24"/>
        </w:rPr>
        <w:fldChar w:fldCharType="end"/>
      </w:r>
      <w:r>
        <w:rPr>
          <w:rFonts w:ascii="Times New Roman" w:hAnsi="Times New Roman"/>
          <w:sz w:val="24"/>
          <w:szCs w:val="24"/>
        </w:rPr>
        <w:t>.</w:t>
      </w:r>
    </w:p>
    <w:p>
      <w:pPr>
        <w:pStyle w:val="31"/>
        <w:numPr>
          <w:ilvl w:val="0"/>
          <w:numId w:val="32"/>
        </w:numPr>
        <w:ind w:left="0" w:firstLine="0" w:firstLineChars="0"/>
        <w:rPr>
          <w:rFonts w:ascii="Times New Roman" w:hAnsi="Times New Roman"/>
          <w:sz w:val="24"/>
          <w:szCs w:val="24"/>
        </w:rPr>
      </w:pPr>
      <w:r>
        <w:rPr>
          <w:rFonts w:ascii="Times New Roman" w:hAnsi="Times New Roman"/>
          <w:sz w:val="24"/>
          <w:szCs w:val="24"/>
        </w:rPr>
        <w:t xml:space="preserve">Users can check the </w:t>
      </w:r>
      <w:r>
        <w:rPr>
          <w:rFonts w:ascii="Times New Roman" w:hAnsi="Times New Roman"/>
          <w:b/>
          <w:sz w:val="24"/>
          <w:szCs w:val="24"/>
        </w:rPr>
        <w:t>Advanced options</w:t>
      </w:r>
      <w:r>
        <w:rPr>
          <w:rFonts w:ascii="Times New Roman" w:hAnsi="Times New Roman"/>
          <w:sz w:val="24"/>
          <w:szCs w:val="24"/>
        </w:rPr>
        <w:t xml:space="preserve"> under the </w:t>
      </w:r>
      <w:r>
        <w:rPr>
          <w:rFonts w:ascii="Times New Roman" w:hAnsi="Times New Roman"/>
          <w:b/>
          <w:sz w:val="24"/>
          <w:szCs w:val="24"/>
        </w:rPr>
        <w:t>wVNA</w:t>
      </w:r>
      <w:r>
        <w:rPr>
          <w:rFonts w:ascii="Times New Roman" w:hAnsi="Times New Roman"/>
          <w:sz w:val="24"/>
          <w:szCs w:val="24"/>
        </w:rPr>
        <w:t xml:space="preserve"> algorithm option to set the value of weight between VNA and eVNA, as shown in </w:t>
      </w:r>
      <w:r>
        <w:rPr>
          <w:rFonts w:ascii="Times New Roman" w:hAnsi="Times New Roman"/>
          <w:sz w:val="24"/>
          <w:szCs w:val="24"/>
        </w:rPr>
        <w:fldChar w:fldCharType="begin"/>
      </w:r>
      <w:r>
        <w:rPr>
          <w:rFonts w:ascii="Times New Roman" w:hAnsi="Times New Roman"/>
          <w:sz w:val="24"/>
          <w:szCs w:val="24"/>
        </w:rPr>
        <w:instrText xml:space="preserve"> REF _Ref522868753 \h </w:instrText>
      </w:r>
      <w:r>
        <w:rPr>
          <w:rFonts w:ascii="Times New Roman" w:hAnsi="Times New Roman"/>
          <w:sz w:val="24"/>
          <w:szCs w:val="24"/>
        </w:rPr>
        <w:fldChar w:fldCharType="separate"/>
      </w:r>
      <w:r>
        <w:rPr>
          <w:rFonts w:ascii="Times New Roman" w:hAnsi="Times New Roman"/>
          <w:i/>
          <w:iCs/>
          <w:sz w:val="24"/>
          <w:szCs w:val="24"/>
        </w:rPr>
        <w:t>Figure 22</w:t>
      </w:r>
      <w:r>
        <w:rPr>
          <w:rFonts w:ascii="Times New Roman" w:hAnsi="Times New Roman"/>
          <w:sz w:val="24"/>
          <w:szCs w:val="24"/>
        </w:rPr>
        <w:fldChar w:fldCharType="end"/>
      </w:r>
      <w:r>
        <w:rPr>
          <w:rFonts w:ascii="Times New Roman" w:hAnsi="Times New Roman"/>
          <w:sz w:val="24"/>
          <w:szCs w:val="24"/>
        </w:rPr>
        <w:t>.</w:t>
      </w:r>
    </w:p>
    <w:p>
      <w:pPr>
        <w:keepNext/>
        <w:jc w:val="both"/>
      </w:pPr>
      <w:r>
        <w:drawing>
          <wp:inline distT="0" distB="0" distL="0" distR="0">
            <wp:extent cx="5270500" cy="3808095"/>
            <wp:effectExtent l="0" t="0" r="6350" b="1905"/>
            <wp:docPr id="1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0500" cy="380809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03" w:name="_Ref512347066"/>
      <w:bookmarkStart w:id="104" w:name="_Toc37923807"/>
      <w:bookmarkStart w:id="105" w:name="_Toc12298179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19</w:t>
      </w:r>
      <w:r>
        <w:rPr>
          <w:rFonts w:ascii="Times New Roman" w:hAnsi="Times New Roman"/>
          <w:i/>
          <w:iCs/>
          <w:sz w:val="24"/>
          <w:szCs w:val="24"/>
        </w:rPr>
        <w:fldChar w:fldCharType="end"/>
      </w:r>
      <w:bookmarkEnd w:id="103"/>
      <w:r>
        <w:rPr>
          <w:rFonts w:ascii="Times New Roman" w:hAnsi="Times New Roman"/>
          <w:i/>
          <w:iCs/>
          <w:sz w:val="24"/>
          <w:szCs w:val="24"/>
        </w:rPr>
        <w:t>. Data Fusion Technique Option (PM</w:t>
      </w:r>
      <w:r>
        <w:rPr>
          <w:rFonts w:ascii="Times New Roman" w:hAnsi="Times New Roman"/>
          <w:i/>
          <w:iCs/>
          <w:sz w:val="24"/>
          <w:szCs w:val="24"/>
          <w:vertAlign w:val="subscript"/>
        </w:rPr>
        <w:t>2.5</w:t>
      </w:r>
      <w:r>
        <w:rPr>
          <w:rFonts w:ascii="Times New Roman" w:hAnsi="Times New Roman"/>
          <w:i/>
          <w:iCs/>
          <w:sz w:val="24"/>
          <w:szCs w:val="24"/>
        </w:rPr>
        <w:t>)</w:t>
      </w:r>
      <w:bookmarkEnd w:id="104"/>
      <w:bookmarkEnd w:id="105"/>
    </w:p>
    <w:p>
      <w:pPr>
        <w:keepNext/>
      </w:pPr>
      <w:r>
        <w:drawing>
          <wp:inline distT="0" distB="0" distL="0" distR="0">
            <wp:extent cx="5274310" cy="38296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5274310" cy="3829685"/>
                    </a:xfrm>
                    <a:prstGeom prst="rect">
                      <a:avLst/>
                    </a:prstGeom>
                  </pic:spPr>
                </pic:pic>
              </a:graphicData>
            </a:graphic>
          </wp:inline>
        </w:drawing>
      </w:r>
    </w:p>
    <w:p>
      <w:pPr>
        <w:pStyle w:val="6"/>
        <w:jc w:val="center"/>
        <w:rPr>
          <w:rFonts w:ascii="Times New Roman" w:hAnsi="Times New Roman"/>
          <w:i/>
          <w:iCs/>
          <w:sz w:val="24"/>
          <w:szCs w:val="24"/>
        </w:rPr>
      </w:pPr>
      <w:bookmarkStart w:id="106" w:name="_Ref512348906"/>
      <w:bookmarkStart w:id="107" w:name="_Toc122981796"/>
      <w:bookmarkStart w:id="108" w:name="_Toc3792380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20</w:t>
      </w:r>
      <w:r>
        <w:rPr>
          <w:rFonts w:ascii="Times New Roman" w:hAnsi="Times New Roman"/>
          <w:i/>
          <w:iCs/>
          <w:sz w:val="24"/>
          <w:szCs w:val="24"/>
        </w:rPr>
        <w:fldChar w:fldCharType="end"/>
      </w:r>
      <w:bookmarkEnd w:id="106"/>
      <w:r>
        <w:rPr>
          <w:rFonts w:ascii="Times New Roman" w:hAnsi="Times New Roman"/>
          <w:i/>
          <w:iCs/>
          <w:sz w:val="24"/>
          <w:szCs w:val="24"/>
        </w:rPr>
        <w:t>.  Advanced Option in eVNA (PM</w:t>
      </w:r>
      <w:r>
        <w:rPr>
          <w:rFonts w:ascii="Times New Roman" w:hAnsi="Times New Roman"/>
          <w:i/>
          <w:iCs/>
          <w:sz w:val="24"/>
          <w:szCs w:val="24"/>
          <w:vertAlign w:val="subscript"/>
        </w:rPr>
        <w:t>2.5</w:t>
      </w:r>
      <w:r>
        <w:rPr>
          <w:rFonts w:ascii="Times New Roman" w:hAnsi="Times New Roman"/>
          <w:i/>
          <w:iCs/>
          <w:sz w:val="24"/>
          <w:szCs w:val="24"/>
        </w:rPr>
        <w:t>)</w:t>
      </w:r>
      <w:bookmarkEnd w:id="107"/>
      <w:bookmarkEnd w:id="108"/>
    </w:p>
    <w:p/>
    <w:p>
      <w:pPr>
        <w:keepNext/>
      </w:pPr>
      <w:r>
        <w:drawing>
          <wp:inline distT="0" distB="0" distL="0" distR="0">
            <wp:extent cx="5270500" cy="3803015"/>
            <wp:effectExtent l="0" t="0" r="6350" b="6985"/>
            <wp:docPr id="1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0500" cy="380301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09" w:name="_Ref512348922"/>
      <w:bookmarkStart w:id="110" w:name="_Toc37923809"/>
      <w:bookmarkStart w:id="111" w:name="_Toc122981797"/>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21</w:t>
      </w:r>
      <w:r>
        <w:rPr>
          <w:rFonts w:ascii="Times New Roman" w:hAnsi="Times New Roman"/>
          <w:i/>
          <w:iCs/>
          <w:sz w:val="24"/>
          <w:szCs w:val="24"/>
        </w:rPr>
        <w:fldChar w:fldCharType="end"/>
      </w:r>
      <w:bookmarkEnd w:id="109"/>
      <w:r>
        <w:rPr>
          <w:rFonts w:ascii="Times New Roman" w:hAnsi="Times New Roman"/>
          <w:i/>
          <w:iCs/>
          <w:sz w:val="24"/>
          <w:szCs w:val="24"/>
        </w:rPr>
        <w:t>.  Advanced Option in Downscaler (PM</w:t>
      </w:r>
      <w:r>
        <w:rPr>
          <w:rFonts w:ascii="Times New Roman" w:hAnsi="Times New Roman"/>
          <w:i/>
          <w:iCs/>
          <w:sz w:val="24"/>
          <w:szCs w:val="24"/>
          <w:vertAlign w:val="subscript"/>
        </w:rPr>
        <w:t>2.5</w:t>
      </w:r>
      <w:r>
        <w:rPr>
          <w:rFonts w:ascii="Times New Roman" w:hAnsi="Times New Roman"/>
          <w:i/>
          <w:iCs/>
          <w:sz w:val="24"/>
          <w:szCs w:val="24"/>
        </w:rPr>
        <w:t>)</w:t>
      </w:r>
      <w:bookmarkEnd w:id="110"/>
      <w:bookmarkEnd w:id="111"/>
    </w:p>
    <w:p>
      <w:pPr>
        <w:keepNext/>
      </w:pPr>
      <w:r>
        <w:drawing>
          <wp:inline distT="0" distB="0" distL="0" distR="0">
            <wp:extent cx="5270500" cy="3813175"/>
            <wp:effectExtent l="0" t="0" r="6350" b="0"/>
            <wp:docPr id="1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i/>
          <w:iCs/>
        </w:rPr>
      </w:pPr>
      <w:bookmarkStart w:id="112" w:name="_Ref522868753"/>
      <w:bookmarkStart w:id="113" w:name="_Toc37923810"/>
      <w:bookmarkStart w:id="114" w:name="_Toc12298179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22</w:t>
      </w:r>
      <w:r>
        <w:rPr>
          <w:rFonts w:ascii="Times New Roman" w:hAnsi="Times New Roman"/>
          <w:i/>
          <w:iCs/>
          <w:sz w:val="24"/>
          <w:szCs w:val="24"/>
        </w:rPr>
        <w:fldChar w:fldCharType="end"/>
      </w:r>
      <w:bookmarkEnd w:id="112"/>
      <w:r>
        <w:rPr>
          <w:rFonts w:ascii="Times New Roman" w:hAnsi="Times New Roman"/>
          <w:i/>
          <w:iCs/>
          <w:sz w:val="24"/>
          <w:szCs w:val="24"/>
        </w:rPr>
        <w:t>.</w:t>
      </w:r>
      <w:r>
        <w:rPr>
          <w:i/>
          <w:iCs/>
        </w:rPr>
        <w:t xml:space="preserve"> </w:t>
      </w:r>
      <w:r>
        <w:rPr>
          <w:rFonts w:ascii="Times New Roman" w:hAnsi="Times New Roman"/>
          <w:i/>
          <w:iCs/>
          <w:sz w:val="24"/>
          <w:szCs w:val="24"/>
        </w:rPr>
        <w:t xml:space="preserve"> Advanced Option in wVNA (PM</w:t>
      </w:r>
      <w:r>
        <w:rPr>
          <w:rFonts w:ascii="Times New Roman" w:hAnsi="Times New Roman"/>
          <w:i/>
          <w:iCs/>
          <w:sz w:val="24"/>
          <w:szCs w:val="24"/>
          <w:vertAlign w:val="subscript"/>
        </w:rPr>
        <w:t>2.5</w:t>
      </w:r>
      <w:r>
        <w:rPr>
          <w:rFonts w:ascii="Times New Roman" w:hAnsi="Times New Roman"/>
          <w:i/>
          <w:iCs/>
          <w:sz w:val="24"/>
          <w:szCs w:val="24"/>
        </w:rPr>
        <w:t>)</w:t>
      </w:r>
      <w:bookmarkEnd w:id="113"/>
      <w:bookmarkEnd w:id="114"/>
    </w:p>
    <w:p>
      <w:pPr>
        <w:ind w:firstLine="240" w:firstLineChars="100"/>
        <w:jc w:val="both"/>
        <w:rPr>
          <w:szCs w:val="24"/>
        </w:rPr>
      </w:pPr>
      <w:r>
        <w:rPr>
          <w:szCs w:val="24"/>
        </w:rPr>
        <w:t>T</w:t>
      </w:r>
      <w:r>
        <w:rPr>
          <w:rFonts w:hint="eastAsia"/>
          <w:szCs w:val="24"/>
        </w:rPr>
        <w:t>he</w:t>
      </w:r>
      <w:r>
        <w:rPr>
          <w:szCs w:val="24"/>
        </w:rPr>
        <w:t xml:space="preserve"> default configuration is that the VNA, eVNA, and Downscaler algorithm options are selected. </w:t>
      </w: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Spatial and Temporal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115" w:name="_Toc122981759"/>
      <w:r>
        <w:rPr>
          <w:rFonts w:hint="eastAsia"/>
          <w:szCs w:val="28"/>
        </w:rPr>
        <w:t>Spatial and Temporal Option</w:t>
      </w:r>
      <w:bookmarkEnd w:id="115"/>
    </w:p>
    <w:p>
      <w:pPr>
        <w:ind w:firstLine="240" w:firstLineChars="100"/>
        <w:jc w:val="both"/>
        <w:rPr>
          <w:szCs w:val="24"/>
        </w:rPr>
      </w:pPr>
      <w:r>
        <w:rPr>
          <w:rFonts w:hint="cs"/>
          <w:szCs w:val="24"/>
        </w:rPr>
        <w:t xml:space="preserve">The interface of </w:t>
      </w:r>
      <w:r>
        <w:rPr>
          <w:b/>
          <w:szCs w:val="24"/>
        </w:rPr>
        <w:t xml:space="preserve">Spatial and Temporal Option </w:t>
      </w:r>
      <w:r>
        <w:rPr>
          <w:szCs w:val="24"/>
        </w:rPr>
        <w:t xml:space="preserve">is shown in </w:t>
      </w:r>
      <w:r>
        <w:rPr>
          <w:szCs w:val="24"/>
        </w:rPr>
        <w:fldChar w:fldCharType="begin"/>
      </w:r>
      <w:r>
        <w:rPr>
          <w:szCs w:val="24"/>
        </w:rPr>
        <w:instrText xml:space="preserve"> REF _Ref512349259 \h  \* MERGEFORMAT </w:instrText>
      </w:r>
      <w:r>
        <w:rPr>
          <w:szCs w:val="24"/>
        </w:rPr>
        <w:fldChar w:fldCharType="separate"/>
      </w:r>
      <w:r>
        <w:rPr>
          <w:szCs w:val="24"/>
        </w:rPr>
        <w:t>Figure 23</w:t>
      </w:r>
      <w:r>
        <w:rPr>
          <w:szCs w:val="24"/>
        </w:rPr>
        <w:fldChar w:fldCharType="end"/>
      </w:r>
      <w:r>
        <w:rPr>
          <w:szCs w:val="24"/>
        </w:rPr>
        <w:t>, including Spatial Data Fusion Option and Temporal Data Fusion Option. Users can specify the spatial and temporal options.</w:t>
      </w:r>
    </w:p>
    <w:p>
      <w:pPr>
        <w:pStyle w:val="31"/>
        <w:numPr>
          <w:ilvl w:val="0"/>
          <w:numId w:val="33"/>
        </w:numPr>
        <w:ind w:left="0" w:firstLine="0" w:firstLineChars="0"/>
        <w:rPr>
          <w:rFonts w:ascii="Times New Roman" w:hAnsi="Times New Roman"/>
          <w:sz w:val="24"/>
          <w:szCs w:val="24"/>
        </w:rPr>
      </w:pPr>
      <w:r>
        <w:rPr>
          <w:rFonts w:ascii="Times New Roman" w:hAnsi="Times New Roman"/>
          <w:b/>
          <w:sz w:val="24"/>
          <w:szCs w:val="24"/>
        </w:rPr>
        <w:t xml:space="preserve">Spatial Data Fusion Option: </w:t>
      </w:r>
      <w:r>
        <w:rPr>
          <w:rFonts w:ascii="Times New Roman" w:hAnsi="Times New Roman"/>
          <w:sz w:val="24"/>
          <w:szCs w:val="24"/>
        </w:rPr>
        <w:t xml:space="preserve">Set the number of the model grid cells used in the calculations to interpolate from the monitor data, including the </w:t>
      </w:r>
      <w:r>
        <w:rPr>
          <w:rFonts w:ascii="Times New Roman" w:hAnsi="Times New Roman"/>
          <w:b/>
          <w:sz w:val="24"/>
          <w:szCs w:val="24"/>
        </w:rPr>
        <w:t>Entire Domain</w:t>
      </w:r>
      <w:r>
        <w:rPr>
          <w:rFonts w:ascii="Times New Roman" w:hAnsi="Times New Roman"/>
          <w:sz w:val="24"/>
          <w:szCs w:val="24"/>
        </w:rPr>
        <w:t xml:space="preserve"> and customized </w:t>
      </w:r>
      <w:r>
        <w:rPr>
          <w:rFonts w:ascii="Times New Roman" w:hAnsi="Times New Roman"/>
          <w:b/>
          <w:sz w:val="24"/>
          <w:szCs w:val="24"/>
        </w:rPr>
        <w:t>Partial Domain</w:t>
      </w:r>
      <w:r>
        <w:rPr>
          <w:rFonts w:ascii="Times New Roman" w:hAnsi="Times New Roman"/>
          <w:sz w:val="24"/>
          <w:szCs w:val="24"/>
        </w:rPr>
        <w:t xml:space="preserve">. For the </w:t>
      </w:r>
      <w:r>
        <w:rPr>
          <w:rFonts w:ascii="Times New Roman" w:hAnsi="Times New Roman"/>
          <w:b/>
          <w:sz w:val="24"/>
          <w:szCs w:val="24"/>
        </w:rPr>
        <w:t>Entire Domain</w:t>
      </w:r>
      <w:r>
        <w:rPr>
          <w:rFonts w:ascii="Times New Roman" w:hAnsi="Times New Roman"/>
          <w:sz w:val="24"/>
          <w:szCs w:val="24"/>
        </w:rPr>
        <w:t xml:space="preserve">, DF will output the results for all specified monitors within the domain. For the </w:t>
      </w:r>
      <w:r>
        <w:rPr>
          <w:rFonts w:ascii="Times New Roman" w:hAnsi="Times New Roman"/>
          <w:b/>
          <w:sz w:val="24"/>
          <w:szCs w:val="24"/>
        </w:rPr>
        <w:t>Partial Domain</w:t>
      </w:r>
      <w:r>
        <w:rPr>
          <w:rFonts w:ascii="Times New Roman" w:hAnsi="Times New Roman"/>
          <w:sz w:val="24"/>
          <w:szCs w:val="24"/>
        </w:rPr>
        <w:t xml:space="preserve">, DF will create a spatial filed that matches the size of the gridded model domain according to the </w:t>
      </w:r>
      <w:r>
        <w:rPr>
          <w:rFonts w:ascii="Times New Roman" w:hAnsi="Times New Roman"/>
          <w:b/>
          <w:sz w:val="24"/>
          <w:szCs w:val="24"/>
        </w:rPr>
        <w:t xml:space="preserve">Starting Grid Cell </w:t>
      </w:r>
      <w:r>
        <w:rPr>
          <w:rFonts w:ascii="Times New Roman" w:hAnsi="Times New Roman"/>
          <w:sz w:val="24"/>
          <w:szCs w:val="24"/>
        </w:rPr>
        <w:t xml:space="preserve">and </w:t>
      </w:r>
      <w:r>
        <w:rPr>
          <w:rFonts w:ascii="Times New Roman" w:hAnsi="Times New Roman"/>
          <w:b/>
          <w:sz w:val="24"/>
          <w:szCs w:val="24"/>
        </w:rPr>
        <w:t>Ending Grid Cell.</w:t>
      </w:r>
    </w:p>
    <w:p>
      <w:pPr>
        <w:pStyle w:val="31"/>
        <w:numPr>
          <w:ilvl w:val="0"/>
          <w:numId w:val="33"/>
        </w:numPr>
        <w:ind w:left="0" w:firstLine="0" w:firstLineChars="0"/>
        <w:rPr>
          <w:rFonts w:ascii="Times New Roman" w:hAnsi="Times New Roman"/>
          <w:b/>
          <w:sz w:val="24"/>
          <w:szCs w:val="24"/>
        </w:rPr>
      </w:pPr>
      <w:r>
        <w:rPr>
          <w:rFonts w:ascii="Times New Roman" w:hAnsi="Times New Roman"/>
          <w:b/>
          <w:sz w:val="24"/>
          <w:szCs w:val="24"/>
        </w:rPr>
        <w:t xml:space="preserve"> Temporal Data Fusion Option: </w:t>
      </w:r>
      <w:r>
        <w:rPr>
          <w:rFonts w:ascii="Times New Roman" w:hAnsi="Times New Roman"/>
          <w:sz w:val="24"/>
          <w:szCs w:val="24"/>
        </w:rPr>
        <w:t xml:space="preserve">Set the period used in the calculations to interpolate from the monitor data. It is divided into the </w:t>
      </w:r>
      <w:r>
        <w:rPr>
          <w:rFonts w:ascii="Times New Roman" w:hAnsi="Times New Roman"/>
          <w:b/>
          <w:sz w:val="24"/>
          <w:szCs w:val="24"/>
        </w:rPr>
        <w:t>Annual Average</w:t>
      </w:r>
      <w:r>
        <w:rPr>
          <w:rFonts w:ascii="Times New Roman" w:hAnsi="Times New Roman"/>
          <w:sz w:val="24"/>
          <w:szCs w:val="24"/>
        </w:rPr>
        <w:t xml:space="preserve">, </w:t>
      </w:r>
      <w:r>
        <w:rPr>
          <w:rFonts w:ascii="Times New Roman" w:hAnsi="Times New Roman"/>
          <w:b/>
          <w:sz w:val="24"/>
          <w:szCs w:val="24"/>
        </w:rPr>
        <w:t>Quarterly Average</w:t>
      </w:r>
      <w:r>
        <w:rPr>
          <w:rFonts w:ascii="Times New Roman" w:hAnsi="Times New Roman"/>
          <w:sz w:val="24"/>
          <w:szCs w:val="24"/>
        </w:rPr>
        <w:t xml:space="preserve">, </w:t>
      </w:r>
      <w:r>
        <w:rPr>
          <w:rFonts w:ascii="Times New Roman" w:hAnsi="Times New Roman"/>
          <w:b/>
          <w:sz w:val="24"/>
          <w:szCs w:val="24"/>
        </w:rPr>
        <w:t>Monthly Average</w:t>
      </w:r>
      <w:r>
        <w:rPr>
          <w:rFonts w:ascii="Times New Roman" w:hAnsi="Times New Roman"/>
          <w:sz w:val="24"/>
          <w:szCs w:val="24"/>
        </w:rPr>
        <w:t xml:space="preserve">, and </w:t>
      </w:r>
      <w:r>
        <w:rPr>
          <w:rFonts w:ascii="Times New Roman" w:hAnsi="Times New Roman"/>
          <w:b/>
          <w:sz w:val="24"/>
          <w:szCs w:val="24"/>
        </w:rPr>
        <w:t>Daily Average</w:t>
      </w:r>
      <w:r>
        <w:rPr>
          <w:rFonts w:ascii="Times New Roman" w:hAnsi="Times New Roman"/>
          <w:sz w:val="24"/>
          <w:szCs w:val="24"/>
        </w:rPr>
        <w:t xml:space="preserve">. </w:t>
      </w:r>
    </w:p>
    <w:p>
      <w:pPr>
        <w:pStyle w:val="31"/>
        <w:ind w:firstLine="240" w:firstLineChars="100"/>
        <w:rPr>
          <w:rFonts w:ascii="Times New Roman" w:hAnsi="Times New Roman"/>
          <w:sz w:val="24"/>
          <w:szCs w:val="24"/>
        </w:rPr>
      </w:pPr>
      <w:r>
        <w:rPr>
          <w:rFonts w:ascii="Times New Roman" w:hAnsi="Times New Roman"/>
          <w:sz w:val="24"/>
          <w:szCs w:val="24"/>
        </w:rPr>
        <w:t xml:space="preserve">When selecting the </w:t>
      </w:r>
      <w:r>
        <w:rPr>
          <w:rFonts w:ascii="Times New Roman" w:hAnsi="Times New Roman"/>
          <w:b/>
          <w:sz w:val="24"/>
          <w:szCs w:val="24"/>
        </w:rPr>
        <w:t>Daily/Weekly Data</w:t>
      </w:r>
      <w:r>
        <w:rPr>
          <w:rFonts w:ascii="Times New Roman" w:hAnsi="Times New Roman"/>
          <w:sz w:val="24"/>
          <w:szCs w:val="24"/>
        </w:rPr>
        <w:t xml:space="preserve"> option at the step of </w:t>
      </w:r>
      <w:r>
        <w:rPr>
          <w:rFonts w:ascii="Times New Roman" w:hAnsi="Times New Roman"/>
          <w:b/>
          <w:sz w:val="24"/>
          <w:szCs w:val="24"/>
        </w:rPr>
        <w:t xml:space="preserve">Data Input Option </w:t>
      </w:r>
      <w:r>
        <w:rPr>
          <w:rFonts w:ascii="Times New Roman" w:hAnsi="Times New Roman"/>
          <w:sz w:val="24"/>
          <w:szCs w:val="24"/>
        </w:rPr>
        <w:t>(</w:t>
      </w:r>
      <w:r>
        <w:fldChar w:fldCharType="begin"/>
      </w:r>
      <w:r>
        <w:instrText xml:space="preserve"> HYPERLINK \l "_Data_Input_Option" </w:instrText>
      </w:r>
      <w:r>
        <w:fldChar w:fldCharType="separate"/>
      </w:r>
      <w:r>
        <w:rPr>
          <w:rStyle w:val="23"/>
          <w:rFonts w:ascii="Times New Roman" w:hAnsi="Times New Roman"/>
          <w:sz w:val="24"/>
          <w:szCs w:val="24"/>
        </w:rPr>
        <w:t>Chapter 4.1</w:t>
      </w:r>
      <w:r>
        <w:rPr>
          <w:rStyle w:val="24"/>
          <w:rFonts w:ascii="Times New Roman" w:hAnsi="Times New Roman"/>
          <w:sz w:val="24"/>
          <w:szCs w:val="24"/>
        </w:rPr>
        <w:fldChar w:fldCharType="end"/>
      </w:r>
      <w:r>
        <w:rPr>
          <w:rFonts w:ascii="Times New Roman" w:hAnsi="Times New Roman"/>
          <w:sz w:val="24"/>
          <w:szCs w:val="24"/>
        </w:rPr>
        <w:t>)</w:t>
      </w:r>
      <w:r>
        <w:rPr>
          <w:rFonts w:ascii="Times New Roman" w:hAnsi="Times New Roman"/>
          <w:b/>
          <w:sz w:val="24"/>
          <w:szCs w:val="24"/>
        </w:rPr>
        <w:t>,</w:t>
      </w:r>
      <w:r>
        <w:rPr>
          <w:rFonts w:ascii="Times New Roman" w:hAnsi="Times New Roman"/>
          <w:sz w:val="24"/>
          <w:szCs w:val="24"/>
        </w:rPr>
        <w:t xml:space="preserve"> all options of </w:t>
      </w:r>
      <w:r>
        <w:rPr>
          <w:rFonts w:ascii="Times New Roman" w:hAnsi="Times New Roman"/>
          <w:b/>
          <w:sz w:val="24"/>
          <w:szCs w:val="24"/>
        </w:rPr>
        <w:t>Temporal Data Fusion Option</w:t>
      </w:r>
      <w:r>
        <w:rPr>
          <w:rFonts w:ascii="Times New Roman" w:hAnsi="Times New Roman"/>
          <w:sz w:val="24"/>
          <w:szCs w:val="24"/>
        </w:rPr>
        <w:t xml:space="preserve"> will be available. When selecting the </w:t>
      </w:r>
      <w:r>
        <w:rPr>
          <w:rFonts w:ascii="Times New Roman" w:hAnsi="Times New Roman"/>
          <w:b/>
          <w:sz w:val="24"/>
          <w:szCs w:val="24"/>
        </w:rPr>
        <w:t>Quarterly Data</w:t>
      </w:r>
      <w:r>
        <w:rPr>
          <w:rFonts w:ascii="Times New Roman" w:hAnsi="Times New Roman"/>
          <w:sz w:val="24"/>
          <w:szCs w:val="24"/>
        </w:rPr>
        <w:t xml:space="preserve"> option at the step of </w:t>
      </w:r>
      <w:r>
        <w:rPr>
          <w:rFonts w:ascii="Times New Roman" w:hAnsi="Times New Roman"/>
          <w:b/>
          <w:sz w:val="24"/>
          <w:szCs w:val="24"/>
        </w:rPr>
        <w:t>Data Input Option,</w:t>
      </w:r>
      <w:r>
        <w:rPr>
          <w:rFonts w:ascii="Times New Roman" w:hAnsi="Times New Roman"/>
          <w:sz w:val="24"/>
          <w:szCs w:val="24"/>
        </w:rPr>
        <w:t xml:space="preserve"> </w:t>
      </w:r>
      <w:r>
        <w:rPr>
          <w:rFonts w:ascii="Times New Roman" w:hAnsi="Times New Roman"/>
          <w:b/>
          <w:sz w:val="24"/>
          <w:szCs w:val="24"/>
        </w:rPr>
        <w:t>Monthly Average</w:t>
      </w:r>
      <w:r>
        <w:rPr>
          <w:rFonts w:ascii="Times New Roman" w:hAnsi="Times New Roman"/>
          <w:sz w:val="24"/>
          <w:szCs w:val="24"/>
        </w:rPr>
        <w:t xml:space="preserve"> and </w:t>
      </w:r>
      <w:r>
        <w:rPr>
          <w:rFonts w:ascii="Times New Roman" w:hAnsi="Times New Roman"/>
          <w:b/>
          <w:sz w:val="24"/>
          <w:szCs w:val="24"/>
        </w:rPr>
        <w:t>Daily Average</w:t>
      </w:r>
      <w:r>
        <w:rPr>
          <w:rFonts w:ascii="Times New Roman" w:hAnsi="Times New Roman"/>
          <w:sz w:val="24"/>
          <w:szCs w:val="24"/>
        </w:rPr>
        <w:t xml:space="preserve"> will be unavailable. When selecting the </w:t>
      </w:r>
      <w:r>
        <w:rPr>
          <w:rFonts w:ascii="Times New Roman" w:hAnsi="Times New Roman"/>
          <w:b/>
          <w:sz w:val="24"/>
          <w:szCs w:val="24"/>
        </w:rPr>
        <w:t>Annual Data</w:t>
      </w:r>
      <w:r>
        <w:rPr>
          <w:rFonts w:ascii="Times New Roman" w:hAnsi="Times New Roman"/>
          <w:sz w:val="24"/>
          <w:szCs w:val="24"/>
        </w:rPr>
        <w:t xml:space="preserve"> option at the step of </w:t>
      </w:r>
      <w:r>
        <w:rPr>
          <w:rFonts w:ascii="Times New Roman" w:hAnsi="Times New Roman"/>
          <w:b/>
          <w:sz w:val="24"/>
          <w:szCs w:val="24"/>
        </w:rPr>
        <w:t>Data Input Option,</w:t>
      </w:r>
      <w:r>
        <w:rPr>
          <w:rFonts w:ascii="Times New Roman" w:hAnsi="Times New Roman"/>
          <w:sz w:val="24"/>
          <w:szCs w:val="24"/>
        </w:rPr>
        <w:t xml:space="preserve"> only the Annual Average will be available and other options will be greyed out.</w:t>
      </w:r>
    </w:p>
    <w:p>
      <w:pPr>
        <w:pStyle w:val="31"/>
        <w:ind w:firstLine="240" w:firstLineChars="100"/>
        <w:rPr>
          <w:rFonts w:ascii="Times New Roman" w:hAnsi="Times New Roman"/>
          <w:b/>
          <w:sz w:val="24"/>
          <w:szCs w:val="24"/>
        </w:rPr>
      </w:pPr>
      <w:r>
        <w:rPr>
          <w:rFonts w:ascii="Times New Roman" w:hAnsi="Times New Roman"/>
          <w:sz w:val="24"/>
          <w:szCs w:val="24"/>
        </w:rPr>
        <w:t xml:space="preserve">DF will calculate the </w:t>
      </w:r>
      <w:r>
        <w:rPr>
          <w:rFonts w:ascii="Times New Roman" w:hAnsi="Times New Roman"/>
          <w:b/>
          <w:sz w:val="24"/>
          <w:szCs w:val="24"/>
        </w:rPr>
        <w:t>Annual Average</w:t>
      </w:r>
      <w:r>
        <w:rPr>
          <w:rFonts w:ascii="Times New Roman" w:hAnsi="Times New Roman"/>
          <w:sz w:val="24"/>
          <w:szCs w:val="24"/>
        </w:rPr>
        <w:t xml:space="preserve">, </w:t>
      </w:r>
      <w:r>
        <w:rPr>
          <w:rFonts w:ascii="Times New Roman" w:hAnsi="Times New Roman"/>
          <w:b/>
          <w:sz w:val="24"/>
          <w:szCs w:val="24"/>
        </w:rPr>
        <w:t>Quarterly Average</w:t>
      </w:r>
      <w:r>
        <w:rPr>
          <w:rFonts w:ascii="Times New Roman" w:hAnsi="Times New Roman"/>
          <w:sz w:val="24"/>
          <w:szCs w:val="24"/>
        </w:rPr>
        <w:t xml:space="preserve">, </w:t>
      </w:r>
      <w:r>
        <w:rPr>
          <w:rFonts w:ascii="Times New Roman" w:hAnsi="Times New Roman"/>
          <w:b/>
          <w:sz w:val="24"/>
          <w:szCs w:val="24"/>
        </w:rPr>
        <w:t>Monthly Average</w:t>
      </w:r>
      <w:r>
        <w:rPr>
          <w:rFonts w:ascii="Times New Roman" w:hAnsi="Times New Roman"/>
          <w:sz w:val="24"/>
          <w:szCs w:val="24"/>
        </w:rPr>
        <w:t xml:space="preserve">, and </w:t>
      </w:r>
      <w:r>
        <w:rPr>
          <w:rFonts w:ascii="Times New Roman" w:hAnsi="Times New Roman"/>
          <w:b/>
          <w:sz w:val="24"/>
          <w:szCs w:val="24"/>
        </w:rPr>
        <w:t>Daily Average</w:t>
      </w:r>
      <w:r>
        <w:rPr>
          <w:rFonts w:ascii="Times New Roman" w:hAnsi="Times New Roman"/>
          <w:sz w:val="24"/>
          <w:szCs w:val="24"/>
        </w:rPr>
        <w:t xml:space="preserve"> from the input DF formatted daily average gridded model files or quarterly average files and optionally output the annual, quarterly, monthly, and daily average concentrations into text files (CSV files) respectively.</w:t>
      </w:r>
    </w:p>
    <w:p>
      <w:pPr>
        <w:keepNext/>
      </w:pPr>
      <w:r>
        <w:drawing>
          <wp:inline distT="0" distB="0" distL="0" distR="0">
            <wp:extent cx="5275580" cy="3818255"/>
            <wp:effectExtent l="0" t="0" r="1270" b="0"/>
            <wp:docPr id="1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5580" cy="381825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16" w:name="_Ref512349259"/>
      <w:bookmarkStart w:id="117" w:name="_Toc122981799"/>
      <w:bookmarkStart w:id="118" w:name="_Toc3792381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23</w:t>
      </w:r>
      <w:r>
        <w:rPr>
          <w:rFonts w:ascii="Times New Roman" w:hAnsi="Times New Roman"/>
          <w:i/>
          <w:iCs/>
          <w:sz w:val="24"/>
          <w:szCs w:val="24"/>
        </w:rPr>
        <w:fldChar w:fldCharType="end"/>
      </w:r>
      <w:bookmarkEnd w:id="116"/>
      <w:r>
        <w:rPr>
          <w:rFonts w:ascii="Times New Roman" w:hAnsi="Times New Roman"/>
          <w:i/>
          <w:iCs/>
          <w:sz w:val="24"/>
          <w:szCs w:val="24"/>
        </w:rPr>
        <w:t>. Spatial and Temporal Option (PM</w:t>
      </w:r>
      <w:r>
        <w:rPr>
          <w:rFonts w:ascii="Times New Roman" w:hAnsi="Times New Roman"/>
          <w:i/>
          <w:iCs/>
          <w:sz w:val="24"/>
          <w:szCs w:val="24"/>
          <w:vertAlign w:val="subscript"/>
        </w:rPr>
        <w:t>2.5</w:t>
      </w:r>
      <w:r>
        <w:rPr>
          <w:rFonts w:ascii="Times New Roman" w:hAnsi="Times New Roman"/>
          <w:i/>
          <w:iCs/>
          <w:sz w:val="24"/>
          <w:szCs w:val="24"/>
        </w:rPr>
        <w:t>)</w:t>
      </w:r>
      <w:bookmarkEnd w:id="117"/>
      <w:bookmarkEnd w:id="118"/>
    </w:p>
    <w:p>
      <w:pPr>
        <w:ind w:firstLine="240" w:firstLineChars="100"/>
        <w:jc w:val="both"/>
        <w:rPr>
          <w:szCs w:val="24"/>
        </w:rPr>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Receptor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119" w:name="_Receptor_Option"/>
      <w:bookmarkEnd w:id="119"/>
      <w:bookmarkStart w:id="120" w:name="_Ref523235152"/>
      <w:bookmarkStart w:id="121" w:name="_Toc122981760"/>
      <w:r>
        <w:rPr>
          <w:rFonts w:hint="eastAsia"/>
          <w:szCs w:val="28"/>
        </w:rPr>
        <w:t>Re</w:t>
      </w:r>
      <w:r>
        <w:rPr>
          <w:szCs w:val="28"/>
        </w:rPr>
        <w:t>ceptor Option</w:t>
      </w:r>
      <w:bookmarkEnd w:id="120"/>
      <w:bookmarkEnd w:id="121"/>
    </w:p>
    <w:p>
      <w:pPr>
        <w:ind w:firstLine="240" w:firstLineChars="100"/>
        <w:jc w:val="both"/>
        <w:rPr>
          <w:szCs w:val="24"/>
        </w:rPr>
      </w:pPr>
      <w:r>
        <w:rPr>
          <w:rFonts w:hint="cs"/>
          <w:szCs w:val="24"/>
        </w:rPr>
        <w:t xml:space="preserve">The interface of </w:t>
      </w:r>
      <w:r>
        <w:rPr>
          <w:b/>
          <w:szCs w:val="24"/>
        </w:rPr>
        <w:t xml:space="preserve">Receptor Option </w:t>
      </w:r>
      <w:r>
        <w:rPr>
          <w:szCs w:val="24"/>
        </w:rPr>
        <w:t xml:space="preserve">is shown in </w:t>
      </w:r>
      <w:r>
        <w:rPr>
          <w:szCs w:val="24"/>
        </w:rPr>
        <w:fldChar w:fldCharType="begin"/>
      </w:r>
      <w:r>
        <w:rPr>
          <w:szCs w:val="24"/>
        </w:rPr>
        <w:instrText xml:space="preserve"> REF _Ref512351243 \h  \* MERGEFORMAT </w:instrText>
      </w:r>
      <w:r>
        <w:rPr>
          <w:szCs w:val="24"/>
        </w:rPr>
        <w:fldChar w:fldCharType="separate"/>
      </w:r>
      <w:r>
        <w:rPr>
          <w:szCs w:val="24"/>
        </w:rPr>
        <w:t>Figure 24</w:t>
      </w:r>
      <w:r>
        <w:rPr>
          <w:szCs w:val="24"/>
        </w:rPr>
        <w:fldChar w:fldCharType="end"/>
      </w:r>
      <w:r>
        <w:rPr>
          <w:szCs w:val="24"/>
        </w:rPr>
        <w:t xml:space="preserve">, including </w:t>
      </w:r>
      <w:r>
        <w:rPr>
          <w:b/>
          <w:szCs w:val="24"/>
        </w:rPr>
        <w:t xml:space="preserve">Use Model Grid </w:t>
      </w:r>
      <w:r>
        <w:rPr>
          <w:szCs w:val="24"/>
        </w:rPr>
        <w:t xml:space="preserve">and </w:t>
      </w:r>
      <w:r>
        <w:rPr>
          <w:b/>
          <w:szCs w:val="24"/>
        </w:rPr>
        <w:t xml:space="preserve">Use GIS Shape File </w:t>
      </w:r>
      <w:r>
        <w:rPr>
          <w:szCs w:val="24"/>
        </w:rPr>
        <w:t>options.</w:t>
      </w:r>
    </w:p>
    <w:p>
      <w:pPr>
        <w:pStyle w:val="31"/>
        <w:numPr>
          <w:ilvl w:val="0"/>
          <w:numId w:val="34"/>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b/>
          <w:sz w:val="24"/>
          <w:szCs w:val="24"/>
        </w:rPr>
        <w:t xml:space="preserve">Use Model Grid: </w:t>
      </w:r>
      <w:r>
        <w:rPr>
          <w:rFonts w:ascii="Times New Roman" w:hAnsi="Times New Roman"/>
          <w:sz w:val="24"/>
          <w:szCs w:val="24"/>
        </w:rPr>
        <w:t>The model grid file in the area of data fusion (checked in default).</w:t>
      </w:r>
    </w:p>
    <w:p>
      <w:pPr>
        <w:pStyle w:val="31"/>
        <w:numPr>
          <w:ilvl w:val="0"/>
          <w:numId w:val="34"/>
        </w:numPr>
        <w:ind w:left="0" w:firstLine="0" w:firstLineChars="0"/>
        <w:rPr>
          <w:rFonts w:ascii="Times New Roman" w:hAnsi="Times New Roman"/>
          <w:sz w:val="24"/>
          <w:szCs w:val="24"/>
        </w:rPr>
      </w:pPr>
      <w:r>
        <w:rPr>
          <w:rFonts w:ascii="Times New Roman" w:hAnsi="Times New Roman"/>
          <w:b/>
          <w:sz w:val="24"/>
          <w:szCs w:val="24"/>
        </w:rPr>
        <w:t xml:space="preserve"> Use GIS Shape File: </w:t>
      </w:r>
      <w:r>
        <w:rPr>
          <w:rFonts w:ascii="Times New Roman" w:hAnsi="Times New Roman"/>
          <w:sz w:val="24"/>
          <w:szCs w:val="24"/>
        </w:rPr>
        <w:t>The average concentration of pollutants in each region, which can be aggregated by selecting the GIS-related file of the analysis area in the interface of Receptor Option. The format of the input file can be either *.shp or *.csv.</w:t>
      </w:r>
    </w:p>
    <w:p>
      <w:pPr>
        <w:keepNext/>
      </w:pPr>
      <w:r>
        <w:drawing>
          <wp:inline distT="0" distB="0" distL="0" distR="0">
            <wp:extent cx="5270500" cy="3808095"/>
            <wp:effectExtent l="0" t="0" r="6350" b="1905"/>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0500" cy="380809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22" w:name="_Ref512351243"/>
      <w:bookmarkStart w:id="123" w:name="_Toc37923812"/>
      <w:bookmarkStart w:id="124" w:name="_Toc12298180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24</w:t>
      </w:r>
      <w:r>
        <w:rPr>
          <w:rFonts w:ascii="Times New Roman" w:hAnsi="Times New Roman"/>
          <w:i/>
          <w:iCs/>
          <w:sz w:val="24"/>
          <w:szCs w:val="24"/>
        </w:rPr>
        <w:fldChar w:fldCharType="end"/>
      </w:r>
      <w:bookmarkEnd w:id="122"/>
      <w:r>
        <w:rPr>
          <w:rFonts w:ascii="Times New Roman" w:hAnsi="Times New Roman"/>
          <w:i/>
          <w:iCs/>
          <w:sz w:val="24"/>
          <w:szCs w:val="24"/>
        </w:rPr>
        <w:t>. Receptor Option (PM</w:t>
      </w:r>
      <w:r>
        <w:rPr>
          <w:rFonts w:ascii="Times New Roman" w:hAnsi="Times New Roman"/>
          <w:i/>
          <w:iCs/>
          <w:sz w:val="24"/>
          <w:szCs w:val="24"/>
          <w:vertAlign w:val="subscript"/>
        </w:rPr>
        <w:t>2.5</w:t>
      </w:r>
      <w:r>
        <w:rPr>
          <w:rFonts w:ascii="Times New Roman" w:hAnsi="Times New Roman"/>
          <w:i/>
          <w:iCs/>
          <w:sz w:val="24"/>
          <w:szCs w:val="24"/>
        </w:rPr>
        <w:t>)</w:t>
      </w:r>
      <w:bookmarkEnd w:id="123"/>
      <w:bookmarkEnd w:id="124"/>
    </w:p>
    <w:p>
      <w:pPr>
        <w:ind w:firstLine="240" w:firstLineChars="100"/>
        <w:jc w:val="both"/>
        <w:rPr>
          <w:szCs w:val="24"/>
        </w:rPr>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Cross Validation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125" w:name="_Cross_Validation_Option"/>
      <w:bookmarkEnd w:id="125"/>
      <w:bookmarkStart w:id="126" w:name="_Ref523235201"/>
      <w:bookmarkStart w:id="127" w:name="_Toc122981761"/>
      <w:r>
        <w:rPr>
          <w:szCs w:val="28"/>
        </w:rPr>
        <w:t>Cross Validation Option</w:t>
      </w:r>
      <w:bookmarkEnd w:id="126"/>
      <w:bookmarkEnd w:id="127"/>
    </w:p>
    <w:p>
      <w:pPr>
        <w:ind w:firstLine="240" w:firstLineChars="100"/>
        <w:jc w:val="both"/>
        <w:rPr>
          <w:szCs w:val="24"/>
        </w:rPr>
      </w:pPr>
      <w:r>
        <w:rPr>
          <w:szCs w:val="24"/>
        </w:rPr>
        <w:t xml:space="preserve">The data fusion results can be evaluated by the following three cross-validation methods: </w:t>
      </w:r>
      <w:r>
        <w:rPr>
          <w:b/>
          <w:szCs w:val="24"/>
        </w:rPr>
        <w:t>Multi-fold</w:t>
      </w:r>
      <w:r>
        <w:rPr>
          <w:szCs w:val="24"/>
        </w:rPr>
        <w:t xml:space="preserve">, </w:t>
      </w:r>
      <w:r>
        <w:rPr>
          <w:b/>
          <w:szCs w:val="24"/>
        </w:rPr>
        <w:t>Leave-one-out,</w:t>
      </w:r>
      <w:r>
        <w:rPr>
          <w:szCs w:val="24"/>
        </w:rPr>
        <w:t xml:space="preserve"> and </w:t>
      </w:r>
      <w:r>
        <w:rPr>
          <w:b/>
          <w:szCs w:val="24"/>
        </w:rPr>
        <w:t>Leave-group-out</w:t>
      </w:r>
      <w:r>
        <w:rPr>
          <w:szCs w:val="24"/>
        </w:rPr>
        <w:t xml:space="preserve"> methods (</w:t>
      </w:r>
      <w:r>
        <w:rPr>
          <w:szCs w:val="24"/>
        </w:rPr>
        <w:fldChar w:fldCharType="begin"/>
      </w:r>
      <w:r>
        <w:rPr>
          <w:szCs w:val="24"/>
        </w:rPr>
        <w:instrText xml:space="preserve"> REF _Ref512352752 \h </w:instrText>
      </w:r>
      <w:r>
        <w:rPr>
          <w:szCs w:val="24"/>
        </w:rPr>
        <w:fldChar w:fldCharType="separate"/>
      </w:r>
      <w:r>
        <w:rPr>
          <w:i/>
          <w:iCs/>
          <w:szCs w:val="24"/>
        </w:rPr>
        <w:t>Figure 25</w:t>
      </w:r>
      <w:r>
        <w:rPr>
          <w:szCs w:val="24"/>
        </w:rPr>
        <w:fldChar w:fldCharType="end"/>
      </w:r>
      <w:r>
        <w:rPr>
          <w:szCs w:val="24"/>
        </w:rPr>
        <w:t xml:space="preserve">). Users can select a method of interest at a time. Users can also set a </w:t>
      </w:r>
      <w:r>
        <w:rPr>
          <w:b/>
          <w:szCs w:val="24"/>
        </w:rPr>
        <w:t>Radius of Selected Monitors Withheld</w:t>
      </w:r>
      <w:r>
        <w:rPr>
          <w:szCs w:val="24"/>
        </w:rPr>
        <w:t xml:space="preserve"> to implement the Cluster analysis for leaving-out the cluster of monitors within a specific radius of selected monitors. </w:t>
      </w:r>
      <w:r>
        <w:rPr>
          <w:rFonts w:hint="eastAsia"/>
          <w:szCs w:val="24"/>
        </w:rPr>
        <w:t>T</w:t>
      </w:r>
      <w:r>
        <w:rPr>
          <w:szCs w:val="24"/>
        </w:rPr>
        <w:t xml:space="preserve">he calculation principle of these five algorithms is described in </w:t>
      </w:r>
      <w:r>
        <w:rPr>
          <w:b/>
          <w:szCs w:val="24"/>
        </w:rPr>
        <w:fldChar w:fldCharType="begin"/>
      </w:r>
      <w:r>
        <w:rPr>
          <w:b/>
          <w:szCs w:val="24"/>
        </w:rPr>
        <w:instrText xml:space="preserve"> REF _Ref525033829 \h  \* MERGEFORMAT </w:instrText>
      </w:r>
      <w:r>
        <w:rPr>
          <w:b/>
          <w:szCs w:val="24"/>
        </w:rPr>
        <w:fldChar w:fldCharType="separate"/>
      </w:r>
      <w:r>
        <w:rPr>
          <w:b/>
          <w:szCs w:val="24"/>
        </w:rPr>
        <w:t>Appendix I</w:t>
      </w:r>
      <w:r>
        <w:rPr>
          <w:b/>
          <w:szCs w:val="24"/>
        </w:rPr>
        <w:fldChar w:fldCharType="end"/>
      </w:r>
      <w:r>
        <w:rPr>
          <w:szCs w:val="24"/>
        </w:rPr>
        <w:t>.</w:t>
      </w:r>
    </w:p>
    <w:p>
      <w:pPr>
        <w:pStyle w:val="31"/>
        <w:numPr>
          <w:ilvl w:val="0"/>
          <w:numId w:val="35"/>
        </w:numPr>
        <w:ind w:left="0" w:firstLine="0" w:firstLineChars="0"/>
        <w:rPr>
          <w:rFonts w:ascii="Times New Roman" w:hAnsi="Times New Roman"/>
          <w:sz w:val="24"/>
          <w:szCs w:val="24"/>
        </w:rPr>
      </w:pPr>
      <w:r>
        <w:rPr>
          <w:rFonts w:ascii="Times New Roman" w:hAnsi="Times New Roman"/>
          <w:sz w:val="24"/>
          <w:szCs w:val="24"/>
        </w:rPr>
        <w:t xml:space="preserve"> Under the </w:t>
      </w:r>
      <w:r>
        <w:rPr>
          <w:rFonts w:ascii="Times New Roman" w:hAnsi="Times New Roman"/>
          <w:b/>
          <w:sz w:val="24"/>
          <w:szCs w:val="24"/>
        </w:rPr>
        <w:t>Multi-fold</w:t>
      </w:r>
      <w:r>
        <w:rPr>
          <w:rFonts w:ascii="Times New Roman" w:hAnsi="Times New Roman"/>
          <w:sz w:val="24"/>
          <w:szCs w:val="24"/>
        </w:rPr>
        <w:t xml:space="preserve"> cross validation option (checked in default), users can set the number of groups and grouping types (</w:t>
      </w:r>
      <w:r>
        <w:rPr>
          <w:rFonts w:ascii="Times New Roman" w:hAnsi="Times New Roman"/>
          <w:b/>
          <w:sz w:val="24"/>
          <w:szCs w:val="24"/>
        </w:rPr>
        <w:t>Random</w:t>
      </w:r>
      <w:r>
        <w:rPr>
          <w:rFonts w:ascii="Times New Roman" w:hAnsi="Times New Roman"/>
          <w:sz w:val="24"/>
          <w:szCs w:val="24"/>
        </w:rPr>
        <w:t xml:space="preserve"> and </w:t>
      </w:r>
      <w:r>
        <w:rPr>
          <w:rFonts w:ascii="Times New Roman" w:hAnsi="Times New Roman"/>
          <w:b/>
          <w:sz w:val="24"/>
          <w:szCs w:val="24"/>
        </w:rPr>
        <w:t>Sequential (Cluster)</w:t>
      </w:r>
      <w:r>
        <w:rPr>
          <w:rFonts w:hint="eastAsia" w:ascii="Times New Roman" w:hAnsi="Times New Roman"/>
          <w:sz w:val="24"/>
          <w:szCs w:val="24"/>
        </w:rPr>
        <w:t>)</w:t>
      </w:r>
      <w:r>
        <w:rPr>
          <w:rFonts w:ascii="Times New Roman" w:hAnsi="Times New Roman"/>
          <w:sz w:val="24"/>
          <w:szCs w:val="24"/>
        </w:rPr>
        <w:t xml:space="preserve">, as shown in </w:t>
      </w:r>
      <w:r>
        <w:rPr>
          <w:rFonts w:ascii="Times New Roman" w:hAnsi="Times New Roman"/>
          <w:sz w:val="24"/>
          <w:szCs w:val="24"/>
        </w:rPr>
        <w:fldChar w:fldCharType="begin"/>
      </w:r>
      <w:r>
        <w:rPr>
          <w:rFonts w:ascii="Times New Roman" w:hAnsi="Times New Roman"/>
          <w:sz w:val="24"/>
          <w:szCs w:val="24"/>
        </w:rPr>
        <w:instrText xml:space="preserve"> REF _Ref512352752 \h </w:instrText>
      </w:r>
      <w:r>
        <w:rPr>
          <w:rFonts w:ascii="Times New Roman" w:hAnsi="Times New Roman"/>
          <w:sz w:val="24"/>
          <w:szCs w:val="24"/>
        </w:rPr>
        <w:fldChar w:fldCharType="separate"/>
      </w:r>
      <w:r>
        <w:rPr>
          <w:rFonts w:ascii="Times New Roman" w:hAnsi="Times New Roman"/>
          <w:i/>
          <w:iCs/>
          <w:sz w:val="24"/>
          <w:szCs w:val="24"/>
        </w:rPr>
        <w:t>Figure 25</w:t>
      </w:r>
      <w:r>
        <w:rPr>
          <w:rFonts w:ascii="Times New Roman" w:hAnsi="Times New Roman"/>
          <w:sz w:val="24"/>
          <w:szCs w:val="24"/>
        </w:rPr>
        <w:fldChar w:fldCharType="end"/>
      </w:r>
      <w:r>
        <w:rPr>
          <w:rFonts w:hint="eastAsia" w:ascii="Times New Roman" w:hAnsi="Times New Roman"/>
          <w:sz w:val="24"/>
          <w:szCs w:val="24"/>
        </w:rPr>
        <w:t>.</w:t>
      </w:r>
      <w:r>
        <w:rPr>
          <w:rFonts w:ascii="Times New Roman" w:hAnsi="Times New Roman"/>
          <w:sz w:val="24"/>
          <w:szCs w:val="24"/>
        </w:rPr>
        <w:t xml:space="preserve"> </w:t>
      </w:r>
      <w:r>
        <w:rPr>
          <w:rFonts w:ascii="Times New Roman" w:hAnsi="Times New Roman"/>
          <w:b/>
          <w:sz w:val="24"/>
          <w:szCs w:val="24"/>
        </w:rPr>
        <w:t>Random</w:t>
      </w:r>
      <w:r>
        <w:rPr>
          <w:rFonts w:ascii="Times New Roman" w:hAnsi="Times New Roman"/>
          <w:sz w:val="24"/>
          <w:szCs w:val="24"/>
        </w:rPr>
        <w:t xml:space="preserve"> means all monitor sites are randomly divided into specified groups, while </w:t>
      </w:r>
      <w:r>
        <w:rPr>
          <w:rFonts w:ascii="Times New Roman" w:hAnsi="Times New Roman"/>
          <w:b/>
          <w:sz w:val="24"/>
          <w:szCs w:val="24"/>
        </w:rPr>
        <w:t xml:space="preserve">Sequential </w:t>
      </w:r>
      <w:r>
        <w:rPr>
          <w:rFonts w:hint="eastAsia" w:ascii="Times New Roman" w:hAnsi="Times New Roman"/>
          <w:sz w:val="24"/>
          <w:szCs w:val="24"/>
        </w:rPr>
        <w:t>means</w:t>
      </w:r>
      <w:r>
        <w:rPr>
          <w:rFonts w:ascii="Times New Roman" w:hAnsi="Times New Roman"/>
          <w:sz w:val="24"/>
          <w:szCs w:val="24"/>
        </w:rPr>
        <w:t xml:space="preserve"> all monitor sites are grouped </w:t>
      </w:r>
      <w:r>
        <w:rPr>
          <w:rFonts w:hint="eastAsia" w:ascii="Times New Roman" w:hAnsi="Times New Roman"/>
          <w:sz w:val="24"/>
          <w:szCs w:val="24"/>
        </w:rPr>
        <w:t>by</w:t>
      </w:r>
      <w:r>
        <w:rPr>
          <w:rFonts w:ascii="Times New Roman" w:hAnsi="Times New Roman"/>
          <w:sz w:val="24"/>
          <w:szCs w:val="24"/>
        </w:rPr>
        <w:t xml:space="preserve"> the order of monitors. Users can also set</w:t>
      </w:r>
      <w:r>
        <w:rPr>
          <w:rFonts w:ascii="Times New Roman" w:hAnsi="Times New Roman"/>
          <w:b/>
          <w:sz w:val="24"/>
          <w:szCs w:val="24"/>
        </w:rPr>
        <w:t xml:space="preserve"> </w:t>
      </w:r>
      <w:r>
        <w:rPr>
          <w:rFonts w:ascii="Times New Roman" w:hAnsi="Times New Roman"/>
          <w:sz w:val="24"/>
          <w:szCs w:val="24"/>
        </w:rPr>
        <w:t>the</w:t>
      </w:r>
      <w:r>
        <w:rPr>
          <w:rFonts w:ascii="Times New Roman" w:hAnsi="Times New Roman"/>
          <w:b/>
          <w:sz w:val="24"/>
          <w:szCs w:val="24"/>
        </w:rPr>
        <w:t xml:space="preserve"> Radius of Selected Monitors Withheld</w:t>
      </w:r>
      <w:r>
        <w:rPr>
          <w:rFonts w:ascii="Times New Roman" w:hAnsi="Times New Roman"/>
          <w:sz w:val="24"/>
          <w:szCs w:val="24"/>
        </w:rPr>
        <w:t xml:space="preserve"> to implement a radius of withholding for the random &amp; sequential Multi-Fold cross validation. The </w:t>
      </w:r>
      <w:r>
        <w:rPr>
          <w:rFonts w:ascii="Times New Roman" w:hAnsi="Times New Roman"/>
          <w:b/>
          <w:sz w:val="24"/>
          <w:szCs w:val="24"/>
        </w:rPr>
        <w:t xml:space="preserve">Radius of Selected Monitors Withheld </w:t>
      </w:r>
      <w:r>
        <w:rPr>
          <w:rFonts w:ascii="Times New Roman" w:hAnsi="Times New Roman"/>
          <w:sz w:val="24"/>
          <w:szCs w:val="24"/>
        </w:rPr>
        <w:t xml:space="preserve">means to remove nearby clusters/monitors with radius withheld at a time. For example, the radius = 0 km means just removing selected monitor only at a time, while radius = 1 km means removing a cluster </w:t>
      </w:r>
      <w:r>
        <w:rPr>
          <w:rFonts w:hint="eastAsia" w:ascii="Times New Roman" w:hAnsi="Times New Roman"/>
          <w:sz w:val="24"/>
          <w:szCs w:val="24"/>
        </w:rPr>
        <w:t>of</w:t>
      </w:r>
      <w:r>
        <w:rPr>
          <w:rFonts w:ascii="Times New Roman" w:hAnsi="Times New Roman"/>
          <w:sz w:val="24"/>
          <w:szCs w:val="24"/>
        </w:rPr>
        <w:t xml:space="preserve"> monitors within 1km for each selected monitor.</w:t>
      </w:r>
    </w:p>
    <w:p>
      <w:pPr>
        <w:pStyle w:val="31"/>
        <w:numPr>
          <w:ilvl w:val="0"/>
          <w:numId w:val="36"/>
        </w:numPr>
        <w:ind w:left="0" w:firstLine="0" w:firstLineChars="0"/>
        <w:rPr>
          <w:rFonts w:ascii="Times New Roman" w:hAnsi="Times New Roman"/>
          <w:sz w:val="24"/>
          <w:szCs w:val="24"/>
        </w:rPr>
      </w:pPr>
      <w:r>
        <w:rPr>
          <w:rFonts w:ascii="Times New Roman" w:hAnsi="Times New Roman"/>
          <w:sz w:val="24"/>
          <w:szCs w:val="24"/>
        </w:rPr>
        <w:t xml:space="preserve"> Under the </w:t>
      </w:r>
      <w:r>
        <w:rPr>
          <w:rFonts w:ascii="Times New Roman" w:hAnsi="Times New Roman"/>
          <w:b/>
          <w:sz w:val="24"/>
          <w:szCs w:val="24"/>
        </w:rPr>
        <w:t>leave-one-out</w:t>
      </w:r>
      <w:r>
        <w:rPr>
          <w:rFonts w:ascii="Times New Roman" w:hAnsi="Times New Roman"/>
          <w:sz w:val="24"/>
          <w:szCs w:val="24"/>
        </w:rPr>
        <w:t xml:space="preserve"> cross validation option, users can select the monitor sites to leave out by import</w:t>
      </w:r>
      <w:r>
        <w:rPr>
          <w:rFonts w:hint="eastAsia" w:ascii="Times New Roman" w:hAnsi="Times New Roman"/>
          <w:sz w:val="24"/>
          <w:szCs w:val="24"/>
        </w:rPr>
        <w:t>ing</w:t>
      </w:r>
      <w:r>
        <w:rPr>
          <w:rFonts w:ascii="Times New Roman" w:hAnsi="Times New Roman"/>
          <w:sz w:val="24"/>
          <w:szCs w:val="24"/>
        </w:rPr>
        <w:t xml:space="preserve"> it into the right panel, as shown in </w:t>
      </w:r>
      <w:r>
        <w:rPr>
          <w:rFonts w:ascii="Times New Roman" w:hAnsi="Times New Roman"/>
          <w:sz w:val="24"/>
          <w:szCs w:val="24"/>
        </w:rPr>
        <w:fldChar w:fldCharType="begin"/>
      </w:r>
      <w:r>
        <w:rPr>
          <w:rFonts w:ascii="Times New Roman" w:hAnsi="Times New Roman"/>
          <w:sz w:val="24"/>
          <w:szCs w:val="24"/>
        </w:rPr>
        <w:instrText xml:space="preserve"> REF _Ref512361739 \h  \* MERGEFORMAT </w:instrText>
      </w:r>
      <w:r>
        <w:rPr>
          <w:rFonts w:ascii="Times New Roman" w:hAnsi="Times New Roman"/>
          <w:sz w:val="24"/>
          <w:szCs w:val="24"/>
        </w:rPr>
        <w:fldChar w:fldCharType="separate"/>
      </w:r>
      <w:r>
        <w:rPr>
          <w:rFonts w:ascii="Times New Roman" w:hAnsi="Times New Roman"/>
          <w:sz w:val="24"/>
          <w:szCs w:val="24"/>
        </w:rPr>
        <w:t>Figure 26</w:t>
      </w:r>
      <w:r>
        <w:rPr>
          <w:rFonts w:ascii="Times New Roman" w:hAnsi="Times New Roman"/>
          <w:sz w:val="24"/>
          <w:szCs w:val="24"/>
        </w:rPr>
        <w:fldChar w:fldCharType="end"/>
      </w:r>
      <w:r>
        <w:rPr>
          <w:rFonts w:ascii="Times New Roman" w:hAnsi="Times New Roman"/>
          <w:sz w:val="24"/>
          <w:szCs w:val="24"/>
        </w:rPr>
        <w:t xml:space="preserve">. The option means that a single monitor or nearby cluster/monitors within the radius will be removed from the selected monitors at a time. </w:t>
      </w:r>
    </w:p>
    <w:p>
      <w:pPr>
        <w:pStyle w:val="31"/>
        <w:numPr>
          <w:ilvl w:val="0"/>
          <w:numId w:val="36"/>
        </w:numPr>
        <w:ind w:left="0" w:firstLine="0" w:firstLineChars="0"/>
        <w:rPr>
          <w:rFonts w:ascii="Times New Roman" w:hAnsi="Times New Roman"/>
          <w:sz w:val="24"/>
          <w:szCs w:val="24"/>
        </w:rPr>
      </w:pPr>
      <w:r>
        <w:rPr>
          <w:rFonts w:ascii="Times New Roman" w:hAnsi="Times New Roman"/>
          <w:sz w:val="24"/>
          <w:szCs w:val="24"/>
        </w:rPr>
        <w:t xml:space="preserve"> Under</w:t>
      </w:r>
      <w:r>
        <w:rPr>
          <w:rFonts w:ascii="Times New Roman" w:hAnsi="Times New Roman"/>
          <w:b/>
          <w:sz w:val="24"/>
          <w:szCs w:val="24"/>
        </w:rPr>
        <w:t xml:space="preserve"> </w:t>
      </w:r>
      <w:r>
        <w:rPr>
          <w:rFonts w:ascii="Times New Roman" w:hAnsi="Times New Roman"/>
          <w:bCs/>
          <w:sz w:val="24"/>
          <w:szCs w:val="24"/>
        </w:rPr>
        <w:t>the</w:t>
      </w:r>
      <w:r>
        <w:rPr>
          <w:rFonts w:ascii="Times New Roman" w:hAnsi="Times New Roman"/>
          <w:b/>
          <w:sz w:val="24"/>
          <w:szCs w:val="24"/>
        </w:rPr>
        <w:t xml:space="preserve"> leave-group-out</w:t>
      </w:r>
      <w:r>
        <w:rPr>
          <w:rFonts w:ascii="Times New Roman" w:hAnsi="Times New Roman"/>
          <w:sz w:val="24"/>
          <w:szCs w:val="24"/>
        </w:rPr>
        <w:t xml:space="preserve"> cross validation option, users can select the group data sets to be verified and import it into the right panel, as shown in </w:t>
      </w:r>
      <w:r>
        <w:rPr>
          <w:rFonts w:ascii="Times New Roman" w:hAnsi="Times New Roman"/>
          <w:sz w:val="24"/>
          <w:szCs w:val="24"/>
        </w:rPr>
        <w:fldChar w:fldCharType="begin"/>
      </w:r>
      <w:r>
        <w:rPr>
          <w:rFonts w:ascii="Times New Roman" w:hAnsi="Times New Roman"/>
          <w:sz w:val="24"/>
          <w:szCs w:val="24"/>
        </w:rPr>
        <w:instrText xml:space="preserve"> REF _Ref522872871 \h </w:instrText>
      </w:r>
      <w:r>
        <w:rPr>
          <w:rFonts w:ascii="Times New Roman" w:hAnsi="Times New Roman"/>
          <w:sz w:val="24"/>
          <w:szCs w:val="24"/>
        </w:rPr>
        <w:fldChar w:fldCharType="separate"/>
      </w:r>
      <w:r>
        <w:rPr>
          <w:rFonts w:ascii="Times New Roman" w:hAnsi="Times New Roman"/>
          <w:i/>
          <w:iCs/>
          <w:sz w:val="24"/>
          <w:szCs w:val="24"/>
        </w:rPr>
        <w:t>Figure 27</w:t>
      </w:r>
      <w:r>
        <w:rPr>
          <w:rFonts w:ascii="Times New Roman" w:hAnsi="Times New Roman"/>
          <w:sz w:val="24"/>
          <w:szCs w:val="24"/>
        </w:rPr>
        <w:fldChar w:fldCharType="end"/>
      </w:r>
      <w:r>
        <w:rPr>
          <w:rFonts w:ascii="Times New Roman" w:hAnsi="Times New Roman"/>
          <w:sz w:val="24"/>
          <w:szCs w:val="24"/>
        </w:rPr>
        <w:t xml:space="preserve">. Users can also set the </w:t>
      </w:r>
      <w:r>
        <w:rPr>
          <w:rFonts w:ascii="Times New Roman" w:hAnsi="Times New Roman"/>
          <w:b/>
          <w:sz w:val="24"/>
          <w:szCs w:val="24"/>
        </w:rPr>
        <w:t>Radius of Selected Monitors Withheld</w:t>
      </w:r>
      <w:r>
        <w:rPr>
          <w:rFonts w:ascii="Times New Roman" w:hAnsi="Times New Roman"/>
          <w:sz w:val="24"/>
          <w:szCs w:val="24"/>
        </w:rPr>
        <w:t xml:space="preserve"> to leave a group of individual monitors and nearby clusters/monitors with radius withheld at the same time.</w:t>
      </w:r>
    </w:p>
    <w:p>
      <w:pPr>
        <w:keepNext/>
        <w:jc w:val="both"/>
      </w:pPr>
      <w:r>
        <w:drawing>
          <wp:inline distT="0" distB="0" distL="0" distR="0">
            <wp:extent cx="5270500" cy="3813175"/>
            <wp:effectExtent l="0" t="0" r="6350" b="0"/>
            <wp:docPr id="1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28" w:name="_Ref512352752"/>
      <w:bookmarkStart w:id="129" w:name="_Toc37923813"/>
      <w:bookmarkStart w:id="130" w:name="_Toc12298180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25</w:t>
      </w:r>
      <w:r>
        <w:rPr>
          <w:rFonts w:ascii="Times New Roman" w:hAnsi="Times New Roman"/>
          <w:i/>
          <w:iCs/>
          <w:sz w:val="24"/>
          <w:szCs w:val="24"/>
        </w:rPr>
        <w:fldChar w:fldCharType="end"/>
      </w:r>
      <w:bookmarkEnd w:id="128"/>
      <w:r>
        <w:rPr>
          <w:rFonts w:ascii="Times New Roman" w:hAnsi="Times New Roman"/>
          <w:i/>
          <w:iCs/>
          <w:sz w:val="24"/>
          <w:szCs w:val="24"/>
        </w:rPr>
        <w:t>. Cross Validation Option (PM</w:t>
      </w:r>
      <w:r>
        <w:rPr>
          <w:rFonts w:ascii="Times New Roman" w:hAnsi="Times New Roman"/>
          <w:i/>
          <w:iCs/>
          <w:sz w:val="24"/>
          <w:szCs w:val="24"/>
          <w:vertAlign w:val="subscript"/>
        </w:rPr>
        <w:t>2.5</w:t>
      </w:r>
      <w:r>
        <w:rPr>
          <w:rFonts w:ascii="Times New Roman" w:hAnsi="Times New Roman"/>
          <w:i/>
          <w:iCs/>
          <w:sz w:val="24"/>
          <w:szCs w:val="24"/>
        </w:rPr>
        <w:t>)</w:t>
      </w:r>
      <w:bookmarkEnd w:id="129"/>
      <w:bookmarkEnd w:id="130"/>
    </w:p>
    <w:p/>
    <w:p>
      <w:pPr>
        <w:keepNext/>
      </w:pPr>
      <w:r>
        <w:drawing>
          <wp:inline distT="0" distB="0" distL="0" distR="0">
            <wp:extent cx="5218430" cy="3783330"/>
            <wp:effectExtent l="0" t="0" r="127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33358" cy="3793769"/>
                    </a:xfrm>
                    <a:prstGeom prst="rect">
                      <a:avLst/>
                    </a:prstGeom>
                    <a:noFill/>
                  </pic:spPr>
                </pic:pic>
              </a:graphicData>
            </a:graphic>
          </wp:inline>
        </w:drawing>
      </w:r>
    </w:p>
    <w:p>
      <w:pPr>
        <w:pStyle w:val="6"/>
        <w:jc w:val="center"/>
        <w:rPr>
          <w:rFonts w:ascii="Times New Roman" w:hAnsi="Times New Roman"/>
          <w:i/>
          <w:iCs/>
          <w:sz w:val="24"/>
          <w:szCs w:val="24"/>
        </w:rPr>
      </w:pPr>
      <w:bookmarkStart w:id="131" w:name="_Ref512361739"/>
      <w:bookmarkStart w:id="132" w:name="_Toc37923814"/>
      <w:bookmarkStart w:id="133" w:name="_Toc12298180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26</w:t>
      </w:r>
      <w:r>
        <w:rPr>
          <w:rFonts w:ascii="Times New Roman" w:hAnsi="Times New Roman"/>
          <w:i/>
          <w:iCs/>
          <w:sz w:val="24"/>
          <w:szCs w:val="24"/>
        </w:rPr>
        <w:fldChar w:fldCharType="end"/>
      </w:r>
      <w:bookmarkEnd w:id="131"/>
      <w:r>
        <w:rPr>
          <w:rFonts w:ascii="Times New Roman" w:hAnsi="Times New Roman"/>
          <w:i/>
          <w:iCs/>
          <w:sz w:val="24"/>
          <w:szCs w:val="24"/>
        </w:rPr>
        <w:t>. Leave-one-out Cross Validation</w:t>
      </w:r>
      <w:bookmarkEnd w:id="132"/>
      <w:bookmarkEnd w:id="133"/>
    </w:p>
    <w:p>
      <w:r>
        <w:drawing>
          <wp:inline distT="0" distB="0" distL="0" distR="0">
            <wp:extent cx="5274310" cy="380873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1"/>
                    <a:stretch>
                      <a:fillRect/>
                    </a:stretch>
                  </pic:blipFill>
                  <pic:spPr>
                    <a:xfrm>
                      <a:off x="0" y="0"/>
                      <a:ext cx="5274310" cy="3808730"/>
                    </a:xfrm>
                    <a:prstGeom prst="rect">
                      <a:avLst/>
                    </a:prstGeom>
                  </pic:spPr>
                </pic:pic>
              </a:graphicData>
            </a:graphic>
          </wp:inline>
        </w:drawing>
      </w:r>
    </w:p>
    <w:p>
      <w:pPr>
        <w:pStyle w:val="6"/>
        <w:jc w:val="center"/>
        <w:rPr>
          <w:i/>
          <w:iCs/>
        </w:rPr>
      </w:pPr>
      <w:bookmarkStart w:id="134" w:name="_Ref522872871"/>
      <w:bookmarkStart w:id="135" w:name="_Toc122981803"/>
      <w:bookmarkStart w:id="136" w:name="_Toc3792381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27</w:t>
      </w:r>
      <w:r>
        <w:rPr>
          <w:rFonts w:ascii="Times New Roman" w:hAnsi="Times New Roman"/>
          <w:i/>
          <w:iCs/>
          <w:sz w:val="24"/>
          <w:szCs w:val="24"/>
        </w:rPr>
        <w:fldChar w:fldCharType="end"/>
      </w:r>
      <w:bookmarkEnd w:id="134"/>
      <w:r>
        <w:rPr>
          <w:rFonts w:ascii="Times New Roman" w:hAnsi="Times New Roman"/>
          <w:i/>
          <w:iCs/>
          <w:sz w:val="24"/>
          <w:szCs w:val="24"/>
        </w:rPr>
        <w:t>.</w:t>
      </w:r>
      <w:r>
        <w:rPr>
          <w:i/>
          <w:iCs/>
        </w:rPr>
        <w:t xml:space="preserve"> </w:t>
      </w:r>
      <w:r>
        <w:rPr>
          <w:rFonts w:ascii="Times New Roman" w:hAnsi="Times New Roman"/>
          <w:i/>
          <w:iCs/>
          <w:sz w:val="24"/>
          <w:szCs w:val="24"/>
        </w:rPr>
        <w:t>Leave-group-out Cross Validation</w:t>
      </w:r>
      <w:bookmarkEnd w:id="135"/>
      <w:bookmarkEnd w:id="136"/>
    </w:p>
    <w:p>
      <w:pPr>
        <w:ind w:firstLine="240" w:firstLineChars="100"/>
        <w:jc w:val="both"/>
        <w:rPr>
          <w:szCs w:val="24"/>
        </w:rPr>
      </w:pPr>
      <w:r>
        <w:rPr>
          <w:rFonts w:hint="eastAsia"/>
          <w:szCs w:val="24"/>
        </w:rPr>
        <w:t>U</w:t>
      </w:r>
      <w:r>
        <w:rPr>
          <w:szCs w:val="24"/>
        </w:rPr>
        <w:t>sers can keep default options and configuration, or change options and configuration according to their requirements. After completing this step, all configuration options for creating new PM</w:t>
      </w:r>
      <w:r>
        <w:rPr>
          <w:szCs w:val="24"/>
          <w:vertAlign w:val="subscript"/>
        </w:rPr>
        <w:t>2.5</w:t>
      </w:r>
      <w:r>
        <w:rPr>
          <w:szCs w:val="24"/>
        </w:rPr>
        <w:t xml:space="preserve"> data fusion have been completed. Click the </w:t>
      </w:r>
      <w:r>
        <w:rPr>
          <w:b/>
          <w:szCs w:val="24"/>
        </w:rPr>
        <w:t>Next</w:t>
      </w:r>
      <w:r>
        <w:rPr>
          <w:szCs w:val="24"/>
        </w:rPr>
        <w:t xml:space="preserve"> button to </w:t>
      </w:r>
      <w:r>
        <w:rPr>
          <w:b/>
          <w:szCs w:val="24"/>
        </w:rPr>
        <w:t>Save Project</w:t>
      </w:r>
      <w:r>
        <w:rPr>
          <w:szCs w:val="24"/>
        </w:rPr>
        <w:t xml:space="preserve">, or </w:t>
      </w:r>
      <w:r>
        <w:rPr>
          <w:b/>
          <w:szCs w:val="24"/>
        </w:rPr>
        <w:t>Save &amp; Run Project</w:t>
      </w:r>
      <w:r>
        <w:rPr>
          <w:szCs w:val="24"/>
        </w:rPr>
        <w:t xml:space="preserve">, as shown in </w:t>
      </w:r>
      <w:r>
        <w:rPr>
          <w:szCs w:val="24"/>
        </w:rPr>
        <w:fldChar w:fldCharType="begin"/>
      </w:r>
      <w:r>
        <w:rPr>
          <w:szCs w:val="24"/>
        </w:rPr>
        <w:instrText xml:space="preserve"> REF _Ref512362269 \h </w:instrText>
      </w:r>
      <w:r>
        <w:rPr>
          <w:szCs w:val="24"/>
        </w:rPr>
        <w:fldChar w:fldCharType="separate"/>
      </w:r>
      <w:r>
        <w:rPr>
          <w:i/>
          <w:iCs/>
          <w:szCs w:val="24"/>
        </w:rPr>
        <w:t>Figure 28</w:t>
      </w:r>
      <w:r>
        <w:rPr>
          <w:szCs w:val="24"/>
        </w:rPr>
        <w:fldChar w:fldCharType="end"/>
      </w:r>
      <w:r>
        <w:rPr>
          <w:szCs w:val="24"/>
        </w:rPr>
        <w:t xml:space="preserve">. Users can also click the </w:t>
      </w:r>
      <w:r>
        <w:rPr>
          <w:b/>
          <w:szCs w:val="24"/>
        </w:rPr>
        <w:t>Save Project &amp; Run</w:t>
      </w:r>
      <w:r>
        <w:rPr>
          <w:szCs w:val="24"/>
        </w:rPr>
        <w:t xml:space="preserve"> or </w:t>
      </w:r>
      <w:r>
        <w:rPr>
          <w:b/>
          <w:szCs w:val="24"/>
        </w:rPr>
        <w:t>Save Project</w:t>
      </w:r>
      <w:r>
        <w:rPr>
          <w:szCs w:val="24"/>
        </w:rPr>
        <w:t xml:space="preserve"> button at the left bottom of the interface to save the project.</w:t>
      </w:r>
    </w:p>
    <w:p>
      <w:pPr>
        <w:keepNext/>
        <w:jc w:val="center"/>
      </w:pPr>
      <w:r>
        <w:drawing>
          <wp:inline distT="0" distB="0" distL="0" distR="0">
            <wp:extent cx="3155315" cy="1416685"/>
            <wp:effectExtent l="0" t="0" r="698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55315" cy="141668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37" w:name="_Ref512362269"/>
      <w:bookmarkStart w:id="138" w:name="_Toc122981804"/>
      <w:bookmarkStart w:id="139" w:name="_Toc3792381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28</w:t>
      </w:r>
      <w:r>
        <w:rPr>
          <w:rFonts w:ascii="Times New Roman" w:hAnsi="Times New Roman"/>
          <w:i/>
          <w:iCs/>
          <w:sz w:val="24"/>
          <w:szCs w:val="24"/>
        </w:rPr>
        <w:fldChar w:fldCharType="end"/>
      </w:r>
      <w:bookmarkEnd w:id="137"/>
      <w:r>
        <w:rPr>
          <w:rFonts w:ascii="Times New Roman" w:hAnsi="Times New Roman"/>
          <w:i/>
          <w:iCs/>
          <w:sz w:val="24"/>
          <w:szCs w:val="24"/>
        </w:rPr>
        <w:t>. Save &amp; Run Project</w:t>
      </w:r>
      <w:bookmarkEnd w:id="138"/>
      <w:bookmarkEnd w:id="139"/>
    </w:p>
    <w:bookmarkEnd w:id="101"/>
    <w:bookmarkEnd w:id="102"/>
    <w:p>
      <w:pPr>
        <w:pStyle w:val="2"/>
        <w:rPr>
          <w:szCs w:val="32"/>
        </w:rPr>
      </w:pPr>
      <w:bookmarkStart w:id="140" w:name="_Ozone_data_fusion"/>
      <w:bookmarkEnd w:id="140"/>
      <w:bookmarkStart w:id="141" w:name="_Aerosol_Optical_Depth"/>
      <w:bookmarkEnd w:id="141"/>
      <w:bookmarkStart w:id="142" w:name="_Toc122981762"/>
      <w:r>
        <w:rPr>
          <w:szCs w:val="32"/>
        </w:rPr>
        <w:t xml:space="preserve">Ozone </w:t>
      </w:r>
      <w:r>
        <w:t>D</w:t>
      </w:r>
      <w:r>
        <w:rPr>
          <w:szCs w:val="32"/>
        </w:rPr>
        <w:t xml:space="preserve">ata </w:t>
      </w:r>
      <w:r>
        <w:t>F</w:t>
      </w:r>
      <w:r>
        <w:rPr>
          <w:szCs w:val="32"/>
        </w:rPr>
        <w:t xml:space="preserve">usion </w:t>
      </w:r>
      <w:r>
        <w:rPr>
          <w:rFonts w:hint="eastAsia"/>
        </w:rPr>
        <w:t>Analysis</w:t>
      </w:r>
      <w:r>
        <w:rPr>
          <w:szCs w:val="32"/>
        </w:rPr>
        <w:t xml:space="preserve"> Details</w:t>
      </w:r>
      <w:bookmarkEnd w:id="142"/>
    </w:p>
    <w:p>
      <w:pPr>
        <w:pStyle w:val="31"/>
        <w:ind w:firstLine="240" w:firstLineChars="0"/>
      </w:pPr>
      <w:r>
        <w:rPr>
          <w:rFonts w:ascii="Times New Roman" w:hAnsi="Times New Roman"/>
          <w:sz w:val="24"/>
          <w:szCs w:val="24"/>
        </w:rPr>
        <w:t>Details of the Ozone Analysis options in the DF are provided in th</w:t>
      </w:r>
      <w:r>
        <w:rPr>
          <w:rFonts w:hint="eastAsia" w:ascii="Times New Roman" w:hAnsi="Times New Roman"/>
          <w:sz w:val="24"/>
          <w:szCs w:val="24"/>
        </w:rPr>
        <w:t>is</w:t>
      </w:r>
      <w:r>
        <w:rPr>
          <w:rFonts w:ascii="Times New Roman" w:hAnsi="Times New Roman"/>
          <w:sz w:val="24"/>
          <w:szCs w:val="24"/>
        </w:rPr>
        <w:t xml:space="preserve"> Chapter. A default project is used to demonstrate the options for this data fusion analysis.</w:t>
      </w:r>
    </w:p>
    <w:p>
      <w:pPr>
        <w:ind w:firstLine="240" w:firstLineChars="100"/>
        <w:jc w:val="both"/>
        <w:rPr>
          <w:szCs w:val="24"/>
        </w:rPr>
      </w:pPr>
      <w:r>
        <w:rPr>
          <w:szCs w:val="24"/>
        </w:rPr>
        <w:t>The steps of creating new Ozone data fusion analysis are similar to the steps of creating new PM</w:t>
      </w:r>
      <w:r>
        <w:rPr>
          <w:szCs w:val="24"/>
          <w:vertAlign w:val="subscript"/>
        </w:rPr>
        <w:t>2.5</w:t>
      </w:r>
      <w:r>
        <w:rPr>
          <w:szCs w:val="24"/>
        </w:rPr>
        <w:t xml:space="preserve"> data fusion analysis.</w:t>
      </w:r>
    </w:p>
    <w:p>
      <w:pPr>
        <w:pStyle w:val="31"/>
        <w:ind w:firstLine="240" w:firstLineChars="100"/>
        <w:rPr>
          <w:rFonts w:ascii="Times New Roman" w:hAnsi="Times New Roman"/>
          <w:sz w:val="24"/>
          <w:szCs w:val="24"/>
        </w:rPr>
      </w:pPr>
      <w:r>
        <w:rPr>
          <w:rFonts w:ascii="Times New Roman" w:hAnsi="Times New Roman"/>
          <w:sz w:val="24"/>
          <w:szCs w:val="24"/>
        </w:rPr>
        <w:t xml:space="preserve">To conduct an Ozone analysis, click the </w:t>
      </w:r>
      <w:r>
        <w:rPr>
          <w:rFonts w:ascii="Times New Roman" w:hAnsi="Times New Roman"/>
          <w:b/>
          <w:sz w:val="24"/>
          <w:szCs w:val="24"/>
        </w:rPr>
        <w:t>Ozone</w:t>
      </w:r>
      <w:r>
        <w:rPr>
          <w:rFonts w:ascii="Times New Roman" w:hAnsi="Times New Roman"/>
          <w:sz w:val="24"/>
          <w:szCs w:val="24"/>
        </w:rPr>
        <w:t xml:space="preserve"> menu from the main menu on the DF Start Page. </w:t>
      </w:r>
      <w:r>
        <w:rPr>
          <w:rFonts w:ascii="Times New Roman" w:hAnsi="Times New Roman"/>
          <w:sz w:val="24"/>
          <w:szCs w:val="24"/>
        </w:rPr>
        <w:fldChar w:fldCharType="begin"/>
      </w:r>
      <w:r>
        <w:rPr>
          <w:rFonts w:ascii="Times New Roman" w:hAnsi="Times New Roman"/>
          <w:sz w:val="24"/>
          <w:szCs w:val="24"/>
        </w:rPr>
        <w:instrText xml:space="preserve"> REF _Ref512363147 \h </w:instrText>
      </w:r>
      <w:r>
        <w:rPr>
          <w:rFonts w:ascii="Times New Roman" w:hAnsi="Times New Roman"/>
          <w:sz w:val="24"/>
          <w:szCs w:val="24"/>
        </w:rPr>
        <w:fldChar w:fldCharType="separate"/>
      </w:r>
      <w:r>
        <w:rPr>
          <w:rFonts w:ascii="Times New Roman" w:hAnsi="Times New Roman"/>
          <w:i/>
          <w:iCs/>
          <w:sz w:val="24"/>
          <w:szCs w:val="24"/>
        </w:rPr>
        <w:t>Figure 29</w:t>
      </w:r>
      <w:r>
        <w:rPr>
          <w:rFonts w:ascii="Times New Roman" w:hAnsi="Times New Roman"/>
          <w:sz w:val="24"/>
          <w:szCs w:val="24"/>
        </w:rPr>
        <w:fldChar w:fldCharType="end"/>
      </w:r>
      <w:r>
        <w:rPr>
          <w:rFonts w:ascii="Times New Roman" w:hAnsi="Times New Roman"/>
          <w:sz w:val="24"/>
          <w:szCs w:val="24"/>
        </w:rPr>
        <w:t xml:space="preserve"> shows the initial window that is displayed when the Ozone Analysis is selected. The box in the upper left of the window (highlighted in red in </w:t>
      </w:r>
      <w:r>
        <w:rPr>
          <w:rFonts w:ascii="Times New Roman" w:hAnsi="Times New Roman"/>
          <w:sz w:val="24"/>
          <w:szCs w:val="24"/>
        </w:rPr>
        <w:fldChar w:fldCharType="begin"/>
      </w:r>
      <w:r>
        <w:rPr>
          <w:rFonts w:ascii="Times New Roman" w:hAnsi="Times New Roman"/>
          <w:sz w:val="24"/>
          <w:szCs w:val="24"/>
        </w:rPr>
        <w:instrText xml:space="preserve"> REF _Ref512363147 \h </w:instrText>
      </w:r>
      <w:r>
        <w:rPr>
          <w:rFonts w:ascii="Times New Roman" w:hAnsi="Times New Roman"/>
          <w:sz w:val="24"/>
          <w:szCs w:val="24"/>
        </w:rPr>
        <w:fldChar w:fldCharType="separate"/>
      </w:r>
      <w:r>
        <w:rPr>
          <w:rFonts w:ascii="Times New Roman" w:hAnsi="Times New Roman"/>
          <w:i/>
          <w:iCs/>
          <w:sz w:val="24"/>
          <w:szCs w:val="24"/>
        </w:rPr>
        <w:t>Figure 29</w:t>
      </w:r>
      <w:r>
        <w:rPr>
          <w:rFonts w:ascii="Times New Roman" w:hAnsi="Times New Roman"/>
          <w:sz w:val="24"/>
          <w:szCs w:val="24"/>
        </w:rPr>
        <w:fldChar w:fldCharType="end"/>
      </w:r>
      <w:r>
        <w:rPr>
          <w:rFonts w:ascii="Times New Roman" w:hAnsi="Times New Roman"/>
          <w:sz w:val="24"/>
          <w:szCs w:val="24"/>
        </w:rPr>
        <w:t xml:space="preserve">) lists the configuration steps of the Ozone Analysis. Each step listed in this box has a different set of configuration options that are displayed in the Ozone Analysis window. Once each step is successfully configured, the yellow buttons in the box will change from yellow to green. In general, the configuration steps must be followed in order, from top to bottom, as they are listed in the box. Previously completed steps may be accessed and modified by double-clicking on the step name in the box. Once the configuration for a step is complete, users can move to the next step by either clicking on it or by selecting the Next button (shown in the blue box in </w:t>
      </w:r>
      <w:r>
        <w:rPr>
          <w:rFonts w:ascii="Times New Roman" w:hAnsi="Times New Roman"/>
          <w:sz w:val="24"/>
          <w:szCs w:val="24"/>
        </w:rPr>
        <w:fldChar w:fldCharType="begin"/>
      </w:r>
      <w:r>
        <w:rPr>
          <w:rFonts w:ascii="Times New Roman" w:hAnsi="Times New Roman"/>
          <w:sz w:val="24"/>
          <w:szCs w:val="24"/>
        </w:rPr>
        <w:instrText xml:space="preserve"> REF _Ref512363147 \h </w:instrText>
      </w:r>
      <w:r>
        <w:rPr>
          <w:rFonts w:ascii="Times New Roman" w:hAnsi="Times New Roman"/>
          <w:sz w:val="24"/>
          <w:szCs w:val="24"/>
        </w:rPr>
        <w:fldChar w:fldCharType="separate"/>
      </w:r>
      <w:r>
        <w:rPr>
          <w:rFonts w:ascii="Times New Roman" w:hAnsi="Times New Roman"/>
          <w:i/>
          <w:iCs/>
          <w:sz w:val="24"/>
          <w:szCs w:val="24"/>
        </w:rPr>
        <w:t>Figure 29</w:t>
      </w:r>
      <w:r>
        <w:rPr>
          <w:rFonts w:ascii="Times New Roman" w:hAnsi="Times New Roman"/>
          <w:sz w:val="24"/>
          <w:szCs w:val="24"/>
        </w:rPr>
        <w:fldChar w:fldCharType="end"/>
      </w:r>
      <w:r>
        <w:rPr>
          <w:rFonts w:ascii="Times New Roman" w:hAnsi="Times New Roman"/>
          <w:sz w:val="24"/>
          <w:szCs w:val="24"/>
        </w:rPr>
        <w:t xml:space="preserve">). </w:t>
      </w:r>
    </w:p>
    <w:p>
      <w:pPr>
        <w:ind w:firstLine="240" w:firstLineChars="100"/>
        <w:jc w:val="both"/>
        <w:rPr>
          <w:szCs w:val="24"/>
        </w:rPr>
      </w:pPr>
      <w:r>
        <w:rPr>
          <w:szCs w:val="24"/>
        </w:rPr>
        <w:t xml:space="preserve">A previous project can be loaded by clicking the </w:t>
      </w:r>
      <w:r>
        <w:rPr>
          <w:b/>
          <w:szCs w:val="24"/>
        </w:rPr>
        <w:t>Open</w:t>
      </w:r>
      <w:r>
        <w:rPr>
          <w:szCs w:val="24"/>
        </w:rPr>
        <w:t xml:space="preserve"> button in the </w:t>
      </w:r>
      <w:r>
        <w:rPr>
          <w:b/>
          <w:szCs w:val="24"/>
        </w:rPr>
        <w:t>File</w:t>
      </w:r>
      <w:r>
        <w:rPr>
          <w:szCs w:val="24"/>
        </w:rPr>
        <w:t xml:space="preserve"> drop-down menu item, and a new project may be initiated at any time in the Ozone Analysis window by selecting </w:t>
      </w:r>
      <w:r>
        <w:rPr>
          <w:b/>
          <w:szCs w:val="24"/>
        </w:rPr>
        <w:t>Ozone</w:t>
      </w:r>
      <w:r>
        <w:rPr>
          <w:szCs w:val="24"/>
        </w:rPr>
        <w:t xml:space="preserve"> menu on the top of the DF start page or clicking the </w:t>
      </w:r>
      <w:r>
        <w:rPr>
          <w:b/>
          <w:szCs w:val="24"/>
        </w:rPr>
        <w:t>New Project</w:t>
      </w:r>
      <w:r>
        <w:rPr>
          <w:szCs w:val="24"/>
        </w:rPr>
        <w:t xml:space="preserve"> button from the </w:t>
      </w:r>
      <w:r>
        <w:rPr>
          <w:b/>
          <w:szCs w:val="24"/>
        </w:rPr>
        <w:t>File</w:t>
      </w:r>
      <w:r>
        <w:rPr>
          <w:szCs w:val="24"/>
        </w:rPr>
        <w:t xml:space="preserve"> drop-down menu.</w:t>
      </w:r>
    </w:p>
    <w:p>
      <w:pPr>
        <w:pStyle w:val="31"/>
        <w:ind w:firstLine="240" w:firstLineChars="100"/>
        <w:rPr>
          <w:rFonts w:ascii="Times New Roman" w:hAnsi="Times New Roman"/>
          <w:sz w:val="24"/>
          <w:szCs w:val="24"/>
        </w:rPr>
      </w:pPr>
      <w:r>
        <w:rPr>
          <w:rFonts w:ascii="Times New Roman" w:hAnsi="Times New Roman"/>
          <w:sz w:val="24"/>
          <w:szCs w:val="24"/>
        </w:rPr>
        <w:t>Each of the Ozone Analysis configuration steps is described in the following sections.</w:t>
      </w:r>
    </w:p>
    <w:p>
      <w:pPr>
        <w:keepNext/>
        <w:jc w:val="both"/>
      </w:pPr>
      <w:r>
        <w:drawing>
          <wp:inline distT="0" distB="0" distL="0" distR="0">
            <wp:extent cx="5270500" cy="3813175"/>
            <wp:effectExtent l="0" t="0" r="6350" b="0"/>
            <wp:docPr id="2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43" w:name="_Ref512363147"/>
      <w:bookmarkStart w:id="144" w:name="_Toc37923825"/>
      <w:bookmarkStart w:id="145" w:name="_Toc12298180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29</w:t>
      </w:r>
      <w:r>
        <w:rPr>
          <w:rFonts w:ascii="Times New Roman" w:hAnsi="Times New Roman"/>
          <w:i/>
          <w:iCs/>
          <w:sz w:val="24"/>
          <w:szCs w:val="24"/>
        </w:rPr>
        <w:fldChar w:fldCharType="end"/>
      </w:r>
      <w:bookmarkEnd w:id="143"/>
      <w:r>
        <w:rPr>
          <w:rFonts w:ascii="Times New Roman" w:hAnsi="Times New Roman"/>
          <w:i/>
          <w:iCs/>
          <w:sz w:val="24"/>
          <w:szCs w:val="24"/>
        </w:rPr>
        <w:t>. Start Page of Creating new Ozone data fusion</w:t>
      </w:r>
      <w:bookmarkEnd w:id="144"/>
      <w:bookmarkEnd w:id="145"/>
    </w:p>
    <w:p>
      <w:pPr>
        <w:pStyle w:val="3"/>
        <w:rPr>
          <w:szCs w:val="28"/>
        </w:rPr>
      </w:pPr>
      <w:bookmarkStart w:id="146" w:name="_Toc122981763"/>
      <w:r>
        <w:rPr>
          <w:szCs w:val="28"/>
        </w:rPr>
        <w:t>Data Input Option</w:t>
      </w:r>
      <w:bookmarkEnd w:id="146"/>
    </w:p>
    <w:p>
      <w:pPr>
        <w:ind w:firstLine="240" w:firstLineChars="100"/>
        <w:jc w:val="both"/>
        <w:rPr>
          <w:szCs w:val="24"/>
        </w:rPr>
      </w:pPr>
      <w:r>
        <w:rPr>
          <w:b/>
          <w:szCs w:val="24"/>
        </w:rPr>
        <w:t xml:space="preserve">Data Input Option </w:t>
      </w:r>
      <w:r>
        <w:rPr>
          <w:szCs w:val="24"/>
        </w:rPr>
        <w:t xml:space="preserve">is the first step in Ozone data fusion configuration options. The interface is shown in </w:t>
      </w:r>
      <w:r>
        <w:rPr>
          <w:szCs w:val="24"/>
        </w:rPr>
        <w:fldChar w:fldCharType="begin"/>
      </w:r>
      <w:r>
        <w:rPr>
          <w:szCs w:val="24"/>
        </w:rPr>
        <w:instrText xml:space="preserve"> REF _Ref512363716 \h </w:instrText>
      </w:r>
      <w:r>
        <w:rPr>
          <w:szCs w:val="24"/>
        </w:rPr>
        <w:fldChar w:fldCharType="separate"/>
      </w:r>
      <w:r>
        <w:rPr>
          <w:i/>
          <w:iCs/>
          <w:szCs w:val="24"/>
        </w:rPr>
        <w:t>Figure 30</w:t>
      </w:r>
      <w:r>
        <w:rPr>
          <w:szCs w:val="24"/>
        </w:rPr>
        <w:fldChar w:fldCharType="end"/>
      </w:r>
      <w:r>
        <w:rPr>
          <w:szCs w:val="24"/>
        </w:rPr>
        <w:t>, including configuration options listed below:</w:t>
      </w:r>
    </w:p>
    <w:p>
      <w:pPr>
        <w:pStyle w:val="31"/>
        <w:numPr>
          <w:ilvl w:val="0"/>
          <w:numId w:val="31"/>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b/>
          <w:sz w:val="24"/>
          <w:szCs w:val="24"/>
        </w:rPr>
        <w:t xml:space="preserve">Project Name: </w:t>
      </w:r>
      <w:r>
        <w:rPr>
          <w:rFonts w:ascii="Times New Roman" w:hAnsi="Times New Roman"/>
          <w:sz w:val="24"/>
          <w:szCs w:val="24"/>
        </w:rPr>
        <w:t>Text string to identify this analysis and set the name of the project file.</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 Monitor Data: </w:t>
      </w:r>
      <w:r>
        <w:rPr>
          <w:rFonts w:ascii="Times New Roman" w:hAnsi="Times New Roman"/>
          <w:sz w:val="24"/>
          <w:szCs w:val="24"/>
        </w:rPr>
        <w:t>DF requires monitoring data in the form of a text file. DF uses both "</w:t>
      </w:r>
      <w:r>
        <w:rPr>
          <w:rFonts w:ascii="Times New Roman" w:hAnsi="Times New Roman"/>
          <w:b/>
          <w:sz w:val="24"/>
          <w:szCs w:val="24"/>
        </w:rPr>
        <w:t>Annual</w:t>
      </w:r>
      <w:r>
        <w:rPr>
          <w:rFonts w:ascii="Times New Roman" w:hAnsi="Times New Roman"/>
          <w:sz w:val="24"/>
          <w:szCs w:val="24"/>
        </w:rPr>
        <w:t>" Data and "</w:t>
      </w:r>
      <w:r>
        <w:rPr>
          <w:rFonts w:ascii="Times New Roman" w:hAnsi="Times New Roman"/>
          <w:b/>
          <w:sz w:val="24"/>
          <w:szCs w:val="24"/>
        </w:rPr>
        <w:t>Daily</w:t>
      </w:r>
      <w:r>
        <w:rPr>
          <w:rFonts w:ascii="Times New Roman" w:hAnsi="Times New Roman"/>
          <w:sz w:val="24"/>
          <w:szCs w:val="24"/>
        </w:rPr>
        <w:t xml:space="preserve">" Data in its calculations. The start and end years should be changed to applicable periods, depending on the base modeling year. Users can set the additional </w:t>
      </w:r>
      <w:r>
        <w:rPr>
          <w:rFonts w:ascii="Times New Roman" w:hAnsi="Times New Roman"/>
          <w:b/>
          <w:sz w:val="24"/>
          <w:szCs w:val="24"/>
        </w:rPr>
        <w:t>Advanced Option</w:t>
      </w:r>
      <w:r>
        <w:rPr>
          <w:rFonts w:ascii="Times New Roman" w:hAnsi="Times New Roman"/>
          <w:sz w:val="24"/>
          <w:szCs w:val="24"/>
        </w:rPr>
        <w:t xml:space="preserve"> to specify the area of grid cells used in calculations.</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 Grid Model Data: </w:t>
      </w:r>
      <w:r>
        <w:rPr>
          <w:rFonts w:ascii="Times New Roman" w:hAnsi="Times New Roman"/>
          <w:sz w:val="24"/>
          <w:szCs w:val="24"/>
        </w:rPr>
        <w:t>These are gridded model output from models such as CMAQ or CAMx. Users can choose either daily model data input or annual model data input (which is just an annual average of the daily model data)</w:t>
      </w:r>
      <w:r>
        <w:rPr>
          <w:rFonts w:hint="eastAsia" w:ascii="Times New Roman" w:hAnsi="Times New Roman"/>
          <w:sz w:val="24"/>
          <w:szCs w:val="24"/>
        </w:rPr>
        <w:t>.</w:t>
      </w:r>
      <w:r>
        <w:rPr>
          <w:rFonts w:ascii="Times New Roman" w:hAnsi="Times New Roman"/>
          <w:sz w:val="24"/>
          <w:szCs w:val="24"/>
        </w:rPr>
        <w:t xml:space="preserve"> Either will work for the Ozone Analysis. The default setting is the annual average data. It supports two kinds of formats: one is the comma-separated values format (*.csv) and the other is IOAPI format. The model value and the monitor value can be matched automatically according to the selected daily monitor data, as shown in </w:t>
      </w:r>
      <w:r>
        <w:rPr>
          <w:rFonts w:ascii="Times New Roman" w:hAnsi="Times New Roman"/>
          <w:sz w:val="24"/>
          <w:szCs w:val="24"/>
        </w:rPr>
        <w:fldChar w:fldCharType="begin"/>
      </w:r>
      <w:r>
        <w:rPr>
          <w:rFonts w:ascii="Times New Roman" w:hAnsi="Times New Roman"/>
          <w:sz w:val="24"/>
          <w:szCs w:val="24"/>
        </w:rPr>
        <w:instrText xml:space="preserve"> REF _Ref512364714 \h </w:instrText>
      </w:r>
      <w:r>
        <w:rPr>
          <w:rFonts w:ascii="Times New Roman" w:hAnsi="Times New Roman"/>
          <w:sz w:val="24"/>
          <w:szCs w:val="24"/>
        </w:rPr>
        <w:fldChar w:fldCharType="separate"/>
      </w:r>
      <w:r>
        <w:rPr>
          <w:rFonts w:ascii="Times New Roman" w:hAnsi="Times New Roman"/>
          <w:i/>
          <w:iCs/>
          <w:sz w:val="24"/>
          <w:szCs w:val="24"/>
        </w:rPr>
        <w:t>Figure 31</w:t>
      </w:r>
      <w:r>
        <w:rPr>
          <w:rFonts w:ascii="Times New Roman" w:hAnsi="Times New Roman"/>
          <w:sz w:val="24"/>
          <w:szCs w:val="24"/>
        </w:rPr>
        <w:fldChar w:fldCharType="end"/>
      </w:r>
      <w:r>
        <w:rPr>
          <w:rFonts w:ascii="Times New Roman" w:hAnsi="Times New Roman"/>
          <w:sz w:val="24"/>
          <w:szCs w:val="24"/>
        </w:rPr>
        <w:t>.</w:t>
      </w:r>
    </w:p>
    <w:p>
      <w:pPr>
        <w:pStyle w:val="31"/>
        <w:numPr>
          <w:ilvl w:val="0"/>
          <w:numId w:val="31"/>
        </w:numPr>
        <w:ind w:left="0" w:firstLine="0" w:firstLineChars="0"/>
        <w:rPr>
          <w:rFonts w:ascii="Times New Roman" w:hAnsi="Times New Roman"/>
          <w:sz w:val="24"/>
          <w:szCs w:val="24"/>
        </w:rPr>
      </w:pPr>
      <w:r>
        <w:rPr>
          <w:rFonts w:ascii="Times New Roman" w:hAnsi="Times New Roman"/>
          <w:b/>
          <w:sz w:val="24"/>
          <w:szCs w:val="24"/>
        </w:rPr>
        <w:t xml:space="preserve"> Other Data: </w:t>
      </w:r>
      <w:r>
        <w:rPr>
          <w:rFonts w:ascii="Times New Roman" w:hAnsi="Times New Roman"/>
          <w:sz w:val="24"/>
          <w:szCs w:val="24"/>
        </w:rPr>
        <w:t>Other data mainly include dispersion data and related geographic information data. Users can choose according to their requirements. The program does not use it by default.</w:t>
      </w:r>
    </w:p>
    <w:p>
      <w:pPr>
        <w:pStyle w:val="31"/>
        <w:keepNext/>
        <w:ind w:firstLine="0" w:firstLineChars="0"/>
      </w:pPr>
      <w:r>
        <w:drawing>
          <wp:inline distT="0" distB="0" distL="0" distR="0">
            <wp:extent cx="5140960" cy="3714750"/>
            <wp:effectExtent l="0" t="0" r="2540" b="0"/>
            <wp:docPr id="2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143181" cy="3716103"/>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47" w:name="_Ref512363716"/>
      <w:bookmarkStart w:id="148" w:name="_Toc37923826"/>
      <w:bookmarkStart w:id="149" w:name="_Toc12298180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30</w:t>
      </w:r>
      <w:r>
        <w:rPr>
          <w:rFonts w:ascii="Times New Roman" w:hAnsi="Times New Roman"/>
          <w:i/>
          <w:iCs/>
          <w:sz w:val="24"/>
          <w:szCs w:val="24"/>
        </w:rPr>
        <w:fldChar w:fldCharType="end"/>
      </w:r>
      <w:bookmarkEnd w:id="147"/>
      <w:r>
        <w:rPr>
          <w:rFonts w:ascii="Times New Roman" w:hAnsi="Times New Roman"/>
          <w:i/>
          <w:iCs/>
          <w:sz w:val="24"/>
          <w:szCs w:val="24"/>
        </w:rPr>
        <w:t>. Data Input Option (Ozone)</w:t>
      </w:r>
      <w:bookmarkEnd w:id="148"/>
      <w:bookmarkEnd w:id="149"/>
    </w:p>
    <w:p>
      <w:pPr>
        <w:keepNext/>
      </w:pPr>
      <w:r>
        <w:drawing>
          <wp:inline distT="0" distB="0" distL="0" distR="0">
            <wp:extent cx="5270500" cy="3813175"/>
            <wp:effectExtent l="0" t="0" r="6350" b="0"/>
            <wp:docPr id="2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50" w:name="_Ref512364714"/>
      <w:bookmarkStart w:id="151" w:name="_Toc37923827"/>
      <w:bookmarkStart w:id="152" w:name="_Toc122981807"/>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31</w:t>
      </w:r>
      <w:r>
        <w:rPr>
          <w:rFonts w:ascii="Times New Roman" w:hAnsi="Times New Roman"/>
          <w:i/>
          <w:iCs/>
          <w:sz w:val="24"/>
          <w:szCs w:val="24"/>
        </w:rPr>
        <w:fldChar w:fldCharType="end"/>
      </w:r>
      <w:bookmarkEnd w:id="150"/>
      <w:r>
        <w:rPr>
          <w:rFonts w:ascii="Times New Roman" w:hAnsi="Times New Roman"/>
          <w:i/>
          <w:iCs/>
          <w:sz w:val="24"/>
          <w:szCs w:val="24"/>
        </w:rPr>
        <w:t>. Variable Mapping (Ozone)</w:t>
      </w:r>
      <w:bookmarkEnd w:id="151"/>
      <w:bookmarkEnd w:id="152"/>
    </w:p>
    <w:p>
      <w:pPr>
        <w:ind w:firstLine="240" w:firstLineChars="100"/>
        <w:jc w:val="both"/>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Data Fusion Technique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153" w:name="_Toc122981764"/>
      <w:r>
        <w:rPr>
          <w:rFonts w:hint="eastAsia"/>
          <w:szCs w:val="28"/>
        </w:rPr>
        <w:t>Data Fusion Technique Option</w:t>
      </w:r>
      <w:bookmarkEnd w:id="153"/>
    </w:p>
    <w:p>
      <w:pPr>
        <w:ind w:firstLine="240" w:firstLineChars="100"/>
        <w:jc w:val="both"/>
        <w:rPr>
          <w:szCs w:val="24"/>
        </w:rPr>
      </w:pPr>
      <w:r>
        <w:rPr>
          <w:rFonts w:hint="cs"/>
          <w:szCs w:val="24"/>
        </w:rPr>
        <w:t xml:space="preserve">The </w:t>
      </w:r>
      <w:r>
        <w:rPr>
          <w:szCs w:val="24"/>
        </w:rPr>
        <w:t xml:space="preserve">interface design of the </w:t>
      </w:r>
      <w:r>
        <w:rPr>
          <w:b/>
          <w:szCs w:val="24"/>
        </w:rPr>
        <w:t>Data Fusion Technique Option</w:t>
      </w:r>
      <w:r>
        <w:rPr>
          <w:szCs w:val="24"/>
        </w:rPr>
        <w:t xml:space="preserve"> for Ozone data fusion analysis is similar to that of PM</w:t>
      </w:r>
      <w:r>
        <w:rPr>
          <w:szCs w:val="24"/>
          <w:vertAlign w:val="subscript"/>
        </w:rPr>
        <w:t>2.5</w:t>
      </w:r>
      <w:r>
        <w:rPr>
          <w:szCs w:val="24"/>
        </w:rPr>
        <w:t xml:space="preserve"> data fusion analysis, as shown in </w:t>
      </w:r>
      <w:r>
        <w:rPr>
          <w:szCs w:val="24"/>
        </w:rPr>
        <w:fldChar w:fldCharType="begin"/>
      </w:r>
      <w:r>
        <w:rPr>
          <w:szCs w:val="24"/>
        </w:rPr>
        <w:instrText xml:space="preserve"> REF _Ref512365671 \h </w:instrText>
      </w:r>
      <w:r>
        <w:rPr>
          <w:szCs w:val="24"/>
        </w:rPr>
        <w:fldChar w:fldCharType="separate"/>
      </w:r>
      <w:r>
        <w:rPr>
          <w:i/>
          <w:iCs/>
          <w:szCs w:val="24"/>
        </w:rPr>
        <w:t>Figure 32</w:t>
      </w:r>
      <w:r>
        <w:rPr>
          <w:szCs w:val="24"/>
        </w:rPr>
        <w:fldChar w:fldCharType="end"/>
      </w:r>
      <w:r>
        <w:rPr>
          <w:szCs w:val="24"/>
        </w:rPr>
        <w:t>. The</w:t>
      </w:r>
      <w:r>
        <w:t xml:space="preserve"> preferred default choices</w:t>
      </w:r>
      <w:r>
        <w:rPr>
          <w:rFonts w:hint="eastAsia"/>
          <w:szCs w:val="24"/>
        </w:rPr>
        <w:t xml:space="preserve"> </w:t>
      </w:r>
      <w:r>
        <w:rPr>
          <w:szCs w:val="24"/>
        </w:rPr>
        <w:t xml:space="preserve">are VNA, eVNA, and Downscaler. Users can refer to </w:t>
      </w:r>
      <w:r>
        <w:fldChar w:fldCharType="begin"/>
      </w:r>
      <w:r>
        <w:instrText xml:space="preserve"> HYPERLINK \l "_Data_Fusion_Technique" </w:instrText>
      </w:r>
      <w:r>
        <w:fldChar w:fldCharType="separate"/>
      </w:r>
      <w:r>
        <w:rPr>
          <w:rStyle w:val="24"/>
          <w:szCs w:val="24"/>
        </w:rPr>
        <w:t>Chapter 4.2</w:t>
      </w:r>
      <w:r>
        <w:rPr>
          <w:rStyle w:val="24"/>
          <w:szCs w:val="24"/>
        </w:rPr>
        <w:fldChar w:fldCharType="end"/>
      </w:r>
      <w:r>
        <w:rPr>
          <w:szCs w:val="24"/>
        </w:rPr>
        <w:t xml:space="preserve"> above.</w:t>
      </w:r>
    </w:p>
    <w:p>
      <w:pPr>
        <w:keepNext/>
        <w:jc w:val="both"/>
      </w:pPr>
      <w:r>
        <w:drawing>
          <wp:inline distT="0" distB="0" distL="0" distR="0">
            <wp:extent cx="5270500" cy="3818255"/>
            <wp:effectExtent l="0" t="0" r="635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0500" cy="381825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54" w:name="_Ref512365671"/>
      <w:bookmarkStart w:id="155" w:name="_Toc37923828"/>
      <w:bookmarkStart w:id="156" w:name="_Toc12298180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32</w:t>
      </w:r>
      <w:r>
        <w:rPr>
          <w:rFonts w:ascii="Times New Roman" w:hAnsi="Times New Roman"/>
          <w:i/>
          <w:iCs/>
          <w:sz w:val="24"/>
          <w:szCs w:val="24"/>
        </w:rPr>
        <w:fldChar w:fldCharType="end"/>
      </w:r>
      <w:bookmarkEnd w:id="154"/>
      <w:r>
        <w:rPr>
          <w:rFonts w:ascii="Times New Roman" w:hAnsi="Times New Roman"/>
          <w:i/>
          <w:iCs/>
          <w:sz w:val="24"/>
          <w:szCs w:val="24"/>
        </w:rPr>
        <w:t>. Data Fusion Technique Option (Ozone)</w:t>
      </w:r>
      <w:bookmarkEnd w:id="155"/>
      <w:bookmarkEnd w:id="156"/>
    </w:p>
    <w:p>
      <w:pPr>
        <w:ind w:firstLine="240" w:firstLineChars="100"/>
        <w:jc w:val="both"/>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Spatial and Temporal Option</w:t>
      </w:r>
      <w:r>
        <w:rPr>
          <w:szCs w:val="24"/>
        </w:rPr>
        <w:t xml:space="preserve"> in the upper lefthand corner to proceed to the next step. The color of this node icon changes from yellow to green, indicating that this step is ready.</w:t>
      </w:r>
    </w:p>
    <w:p>
      <w:pPr>
        <w:pStyle w:val="3"/>
        <w:rPr>
          <w:szCs w:val="28"/>
        </w:rPr>
      </w:pPr>
      <w:bookmarkStart w:id="157" w:name="_Toc122981765"/>
      <w:r>
        <w:rPr>
          <w:rFonts w:hint="eastAsia"/>
          <w:szCs w:val="28"/>
        </w:rPr>
        <w:t>Spatial and Temporal Option</w:t>
      </w:r>
      <w:bookmarkEnd w:id="157"/>
    </w:p>
    <w:p>
      <w:pPr>
        <w:ind w:firstLine="240" w:firstLineChars="100"/>
        <w:jc w:val="both"/>
        <w:rPr>
          <w:szCs w:val="24"/>
        </w:rPr>
      </w:pPr>
      <w:r>
        <w:rPr>
          <w:rFonts w:hint="cs"/>
          <w:szCs w:val="24"/>
        </w:rPr>
        <w:t xml:space="preserve">The interface of </w:t>
      </w:r>
      <w:r>
        <w:rPr>
          <w:szCs w:val="24"/>
        </w:rPr>
        <w:t>Ozone</w:t>
      </w:r>
      <w:r>
        <w:rPr>
          <w:szCs w:val="24"/>
          <w:vertAlign w:val="subscript"/>
        </w:rPr>
        <w:t xml:space="preserve"> </w:t>
      </w:r>
      <w:r>
        <w:rPr>
          <w:b/>
          <w:szCs w:val="24"/>
        </w:rPr>
        <w:t xml:space="preserve">Spatial and Temporal Option </w:t>
      </w:r>
      <w:r>
        <w:rPr>
          <w:szCs w:val="24"/>
        </w:rPr>
        <w:t xml:space="preserve">is shown in </w:t>
      </w:r>
      <w:r>
        <w:rPr>
          <w:szCs w:val="24"/>
        </w:rPr>
        <w:fldChar w:fldCharType="begin"/>
      </w:r>
      <w:r>
        <w:rPr>
          <w:szCs w:val="24"/>
        </w:rPr>
        <w:instrText xml:space="preserve"> REF _Ref522888459 \h </w:instrText>
      </w:r>
      <w:r>
        <w:rPr>
          <w:szCs w:val="24"/>
        </w:rPr>
        <w:fldChar w:fldCharType="separate"/>
      </w:r>
      <w:r>
        <w:rPr>
          <w:i/>
          <w:iCs/>
          <w:szCs w:val="24"/>
        </w:rPr>
        <w:t>Figure 33</w:t>
      </w:r>
      <w:r>
        <w:rPr>
          <w:szCs w:val="24"/>
        </w:rPr>
        <w:fldChar w:fldCharType="end"/>
      </w:r>
      <w:r>
        <w:rPr>
          <w:szCs w:val="24"/>
        </w:rPr>
        <w:t>, including Spatial Data Fusion Option and Temporal Data Fusion Option. Users can specify the spatial and temporal options.</w:t>
      </w:r>
    </w:p>
    <w:p>
      <w:pPr>
        <w:pStyle w:val="31"/>
        <w:numPr>
          <w:ilvl w:val="0"/>
          <w:numId w:val="37"/>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b/>
          <w:sz w:val="24"/>
          <w:szCs w:val="24"/>
        </w:rPr>
        <w:t xml:space="preserve">Spatial Data Fusion Option: </w:t>
      </w:r>
      <w:r>
        <w:rPr>
          <w:rFonts w:ascii="Times New Roman" w:hAnsi="Times New Roman"/>
          <w:sz w:val="24"/>
          <w:szCs w:val="24"/>
        </w:rPr>
        <w:t xml:space="preserve">Set the number of model grid cells used in the calculations to interpolate from the monitor data, including the </w:t>
      </w:r>
      <w:r>
        <w:rPr>
          <w:rFonts w:ascii="Times New Roman" w:hAnsi="Times New Roman"/>
          <w:b/>
          <w:sz w:val="24"/>
          <w:szCs w:val="24"/>
        </w:rPr>
        <w:t>Entire Domain</w:t>
      </w:r>
      <w:r>
        <w:rPr>
          <w:rFonts w:ascii="Times New Roman" w:hAnsi="Times New Roman"/>
          <w:sz w:val="24"/>
          <w:szCs w:val="24"/>
        </w:rPr>
        <w:t xml:space="preserve"> and customized </w:t>
      </w:r>
      <w:r>
        <w:rPr>
          <w:rFonts w:ascii="Times New Roman" w:hAnsi="Times New Roman"/>
          <w:b/>
          <w:sz w:val="24"/>
          <w:szCs w:val="24"/>
        </w:rPr>
        <w:t>Partial Domain</w:t>
      </w:r>
      <w:r>
        <w:rPr>
          <w:rFonts w:ascii="Times New Roman" w:hAnsi="Times New Roman"/>
          <w:sz w:val="24"/>
          <w:szCs w:val="24"/>
        </w:rPr>
        <w:t xml:space="preserve">. For the </w:t>
      </w:r>
      <w:r>
        <w:rPr>
          <w:rFonts w:ascii="Times New Roman" w:hAnsi="Times New Roman"/>
          <w:b/>
          <w:sz w:val="24"/>
          <w:szCs w:val="24"/>
        </w:rPr>
        <w:t>Entire Domain</w:t>
      </w:r>
      <w:r>
        <w:rPr>
          <w:rFonts w:ascii="Times New Roman" w:hAnsi="Times New Roman"/>
          <w:sz w:val="24"/>
          <w:szCs w:val="24"/>
        </w:rPr>
        <w:t xml:space="preserve">, DF will output the results for all specified monitors within the domain. For the </w:t>
      </w:r>
      <w:r>
        <w:rPr>
          <w:rFonts w:ascii="Times New Roman" w:hAnsi="Times New Roman"/>
          <w:b/>
          <w:sz w:val="24"/>
          <w:szCs w:val="24"/>
        </w:rPr>
        <w:t>Partial Domain</w:t>
      </w:r>
      <w:r>
        <w:rPr>
          <w:rFonts w:ascii="Times New Roman" w:hAnsi="Times New Roman"/>
          <w:sz w:val="24"/>
          <w:szCs w:val="24"/>
        </w:rPr>
        <w:t xml:space="preserve">, DF will create a spatial filed that matches the size of the gridded model domain according to the </w:t>
      </w:r>
      <w:r>
        <w:rPr>
          <w:rFonts w:ascii="Times New Roman" w:hAnsi="Times New Roman"/>
          <w:b/>
          <w:sz w:val="24"/>
          <w:szCs w:val="24"/>
        </w:rPr>
        <w:t xml:space="preserve">Starting Grid Cell </w:t>
      </w:r>
      <w:r>
        <w:rPr>
          <w:rFonts w:ascii="Times New Roman" w:hAnsi="Times New Roman"/>
          <w:sz w:val="24"/>
          <w:szCs w:val="24"/>
        </w:rPr>
        <w:t xml:space="preserve">and </w:t>
      </w:r>
      <w:r>
        <w:rPr>
          <w:rFonts w:ascii="Times New Roman" w:hAnsi="Times New Roman"/>
          <w:b/>
          <w:sz w:val="24"/>
          <w:szCs w:val="24"/>
        </w:rPr>
        <w:t>Ending Grid Cell.</w:t>
      </w:r>
    </w:p>
    <w:p>
      <w:pPr>
        <w:pStyle w:val="31"/>
        <w:numPr>
          <w:ilvl w:val="0"/>
          <w:numId w:val="37"/>
        </w:numPr>
        <w:ind w:left="0" w:firstLine="0" w:firstLineChars="0"/>
        <w:rPr>
          <w:rFonts w:ascii="Times New Roman" w:hAnsi="Times New Roman"/>
          <w:sz w:val="24"/>
          <w:szCs w:val="24"/>
        </w:rPr>
      </w:pPr>
      <w:r>
        <w:rPr>
          <w:rFonts w:ascii="Times New Roman" w:hAnsi="Times New Roman"/>
          <w:b/>
          <w:sz w:val="24"/>
          <w:szCs w:val="24"/>
        </w:rPr>
        <w:t xml:space="preserve"> Temporal Data Fusion Option: </w:t>
      </w:r>
      <w:r>
        <w:rPr>
          <w:rFonts w:ascii="Times New Roman" w:hAnsi="Times New Roman"/>
          <w:sz w:val="24"/>
          <w:szCs w:val="24"/>
        </w:rPr>
        <w:t xml:space="preserve">Set the period to use in the calculations to interpolate from the monitor data. It is divided into the </w:t>
      </w:r>
      <w:r>
        <w:rPr>
          <w:rFonts w:ascii="Times New Roman" w:hAnsi="Times New Roman"/>
          <w:b/>
          <w:sz w:val="24"/>
          <w:szCs w:val="24"/>
        </w:rPr>
        <w:t>Annual Average</w:t>
      </w:r>
      <w:r>
        <w:rPr>
          <w:rFonts w:ascii="Times New Roman" w:hAnsi="Times New Roman"/>
          <w:sz w:val="24"/>
          <w:szCs w:val="24"/>
        </w:rPr>
        <w:t xml:space="preserve">, </w:t>
      </w:r>
      <w:r>
        <w:rPr>
          <w:rFonts w:ascii="Times New Roman" w:hAnsi="Times New Roman"/>
          <w:b/>
          <w:sz w:val="24"/>
          <w:szCs w:val="24"/>
        </w:rPr>
        <w:t>Quarterly Average</w:t>
      </w:r>
      <w:r>
        <w:rPr>
          <w:rFonts w:ascii="Times New Roman" w:hAnsi="Times New Roman"/>
          <w:sz w:val="24"/>
          <w:szCs w:val="24"/>
        </w:rPr>
        <w:t xml:space="preserve">, </w:t>
      </w:r>
      <w:r>
        <w:rPr>
          <w:rFonts w:ascii="Times New Roman" w:hAnsi="Times New Roman"/>
          <w:b/>
          <w:sz w:val="24"/>
          <w:szCs w:val="24"/>
        </w:rPr>
        <w:t>Monthly Average</w:t>
      </w:r>
      <w:r>
        <w:rPr>
          <w:rFonts w:ascii="Times New Roman" w:hAnsi="Times New Roman"/>
          <w:sz w:val="24"/>
          <w:szCs w:val="24"/>
        </w:rPr>
        <w:t xml:space="preserve">, and </w:t>
      </w:r>
      <w:r>
        <w:rPr>
          <w:rFonts w:ascii="Times New Roman" w:hAnsi="Times New Roman"/>
          <w:b/>
          <w:sz w:val="24"/>
          <w:szCs w:val="24"/>
        </w:rPr>
        <w:t>Daily Average</w:t>
      </w:r>
      <w:r>
        <w:rPr>
          <w:rFonts w:ascii="Times New Roman" w:hAnsi="Times New Roman"/>
          <w:sz w:val="24"/>
          <w:szCs w:val="24"/>
        </w:rPr>
        <w:t xml:space="preserve">. Note that the </w:t>
      </w:r>
      <w:r>
        <w:rPr>
          <w:rFonts w:ascii="Times New Roman" w:hAnsi="Times New Roman"/>
          <w:b/>
          <w:sz w:val="24"/>
          <w:szCs w:val="24"/>
        </w:rPr>
        <w:t>Annual Average</w:t>
      </w:r>
      <w:r>
        <w:rPr>
          <w:rFonts w:ascii="Times New Roman" w:hAnsi="Times New Roman"/>
          <w:sz w:val="24"/>
          <w:szCs w:val="24"/>
        </w:rPr>
        <w:t xml:space="preserve"> option for Ozone data fusion analysis</w:t>
      </w:r>
      <w:r>
        <w:rPr>
          <w:rFonts w:ascii="Times New Roman" w:hAnsi="Times New Roman"/>
          <w:b/>
          <w:sz w:val="24"/>
          <w:szCs w:val="24"/>
        </w:rPr>
        <w:t xml:space="preserve"> </w:t>
      </w:r>
      <w:r>
        <w:rPr>
          <w:rFonts w:ascii="Times New Roman" w:hAnsi="Times New Roman"/>
          <w:bCs/>
          <w:sz w:val="24"/>
          <w:szCs w:val="24"/>
        </w:rPr>
        <w:t>is not available for annual average calculations based on quarterly values</w:t>
      </w:r>
      <w:r>
        <w:rPr>
          <w:rFonts w:ascii="Times New Roman" w:hAnsi="Times New Roman"/>
          <w:b/>
          <w:sz w:val="24"/>
          <w:szCs w:val="24"/>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_Ref512366089 \h </w:instrText>
      </w:r>
      <w:r>
        <w:rPr>
          <w:rFonts w:ascii="Times New Roman" w:hAnsi="Times New Roman"/>
          <w:sz w:val="24"/>
          <w:szCs w:val="24"/>
        </w:rPr>
        <w:fldChar w:fldCharType="separate"/>
      </w:r>
      <w:r>
        <w:rPr>
          <w:rFonts w:ascii="Times New Roman" w:hAnsi="Times New Roman"/>
          <w:i/>
          <w:iCs/>
          <w:sz w:val="24"/>
          <w:szCs w:val="24"/>
        </w:rPr>
        <w:t>Figure 34</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pPr>
      <w:r>
        <w:drawing>
          <wp:inline distT="0" distB="0" distL="0" distR="0">
            <wp:extent cx="5270500" cy="3813175"/>
            <wp:effectExtent l="0" t="0" r="6350" b="0"/>
            <wp:docPr id="2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58" w:name="_Ref522888459"/>
      <w:bookmarkStart w:id="159" w:name="_Toc122981809"/>
      <w:bookmarkStart w:id="160" w:name="_Toc3792382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33</w:t>
      </w:r>
      <w:r>
        <w:rPr>
          <w:rFonts w:ascii="Times New Roman" w:hAnsi="Times New Roman"/>
          <w:i/>
          <w:iCs/>
          <w:sz w:val="24"/>
          <w:szCs w:val="24"/>
        </w:rPr>
        <w:fldChar w:fldCharType="end"/>
      </w:r>
      <w:bookmarkEnd w:id="158"/>
      <w:r>
        <w:rPr>
          <w:rFonts w:ascii="Times New Roman" w:hAnsi="Times New Roman"/>
          <w:i/>
          <w:iCs/>
          <w:sz w:val="24"/>
          <w:szCs w:val="24"/>
        </w:rPr>
        <w:t>.</w:t>
      </w:r>
      <w:r>
        <w:rPr>
          <w:i/>
          <w:iCs/>
        </w:rPr>
        <w:t xml:space="preserve"> </w:t>
      </w:r>
      <w:r>
        <w:rPr>
          <w:rFonts w:ascii="Times New Roman" w:hAnsi="Times New Roman"/>
          <w:i/>
          <w:iCs/>
          <w:sz w:val="24"/>
          <w:szCs w:val="24"/>
        </w:rPr>
        <w:t>Spatial and Temporal Option (Ozone)</w:t>
      </w:r>
      <w:bookmarkEnd w:id="159"/>
      <w:bookmarkEnd w:id="160"/>
    </w:p>
    <w:p>
      <w:pPr>
        <w:keepNext/>
      </w:pPr>
      <w:r>
        <w:drawing>
          <wp:inline distT="0" distB="0" distL="0" distR="0">
            <wp:extent cx="5270500" cy="3813175"/>
            <wp:effectExtent l="0" t="0" r="6350" b="0"/>
            <wp:docPr id="2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61" w:name="_Ref512366089"/>
      <w:bookmarkStart w:id="162" w:name="_Toc37923830"/>
      <w:bookmarkStart w:id="163" w:name="_Toc12298181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34</w:t>
      </w:r>
      <w:r>
        <w:rPr>
          <w:rFonts w:ascii="Times New Roman" w:hAnsi="Times New Roman"/>
          <w:i/>
          <w:iCs/>
          <w:sz w:val="24"/>
          <w:szCs w:val="24"/>
        </w:rPr>
        <w:fldChar w:fldCharType="end"/>
      </w:r>
      <w:bookmarkEnd w:id="161"/>
      <w:r>
        <w:rPr>
          <w:rFonts w:ascii="Times New Roman" w:hAnsi="Times New Roman"/>
          <w:i/>
          <w:iCs/>
          <w:sz w:val="24"/>
          <w:szCs w:val="24"/>
        </w:rPr>
        <w:t>. Spatial and Temporal Option - Only Annual Average (Ozone)</w:t>
      </w:r>
      <w:bookmarkEnd w:id="162"/>
      <w:bookmarkEnd w:id="163"/>
    </w:p>
    <w:p>
      <w:pPr>
        <w:ind w:firstLine="240" w:firstLineChars="100"/>
        <w:jc w:val="both"/>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Receptor Option</w:t>
      </w:r>
      <w:r>
        <w:rPr>
          <w:szCs w:val="24"/>
        </w:rPr>
        <w:t xml:space="preserve"> in the upper left corner to proceed to the next step. The color of this node icon changes from yellow to green, indicating that this step is ready.</w:t>
      </w:r>
    </w:p>
    <w:p>
      <w:pPr>
        <w:pStyle w:val="3"/>
        <w:rPr>
          <w:szCs w:val="28"/>
        </w:rPr>
      </w:pPr>
      <w:bookmarkStart w:id="164" w:name="_Toc122981766"/>
      <w:r>
        <w:rPr>
          <w:rFonts w:hint="eastAsia"/>
          <w:szCs w:val="28"/>
        </w:rPr>
        <w:t>Re</w:t>
      </w:r>
      <w:r>
        <w:rPr>
          <w:szCs w:val="28"/>
        </w:rPr>
        <w:t>ceptor Option</w:t>
      </w:r>
      <w:bookmarkEnd w:id="164"/>
    </w:p>
    <w:p>
      <w:pPr>
        <w:ind w:firstLine="240" w:firstLineChars="100"/>
        <w:jc w:val="both"/>
        <w:rPr>
          <w:szCs w:val="24"/>
        </w:rPr>
      </w:pPr>
      <w:r>
        <w:rPr>
          <w:rFonts w:hint="cs"/>
          <w:szCs w:val="24"/>
        </w:rPr>
        <w:t xml:space="preserve">The interface </w:t>
      </w:r>
      <w:r>
        <w:rPr>
          <w:szCs w:val="24"/>
        </w:rPr>
        <w:t xml:space="preserve">design of </w:t>
      </w:r>
      <w:r>
        <w:rPr>
          <w:b/>
          <w:szCs w:val="24"/>
        </w:rPr>
        <w:t>Receptor Option</w:t>
      </w:r>
      <w:r>
        <w:rPr>
          <w:rFonts w:hint="cs"/>
          <w:szCs w:val="24"/>
        </w:rPr>
        <w:t xml:space="preserve"> </w:t>
      </w:r>
      <w:r>
        <w:rPr>
          <w:szCs w:val="24"/>
        </w:rPr>
        <w:t>for Ozone data fusion analysis is similar to that of PM</w:t>
      </w:r>
      <w:r>
        <w:rPr>
          <w:szCs w:val="24"/>
          <w:vertAlign w:val="subscript"/>
        </w:rPr>
        <w:t>2.5</w:t>
      </w:r>
      <w:r>
        <w:rPr>
          <w:szCs w:val="24"/>
        </w:rPr>
        <w:t xml:space="preserve"> data fusion analysis, as shown in </w:t>
      </w:r>
      <w:r>
        <w:rPr>
          <w:szCs w:val="24"/>
        </w:rPr>
        <w:fldChar w:fldCharType="begin"/>
      </w:r>
      <w:r>
        <w:rPr>
          <w:szCs w:val="24"/>
        </w:rPr>
        <w:instrText xml:space="preserve"> REF _Ref512367602 \h  \* MERGEFORMAT </w:instrText>
      </w:r>
      <w:r>
        <w:rPr>
          <w:szCs w:val="24"/>
        </w:rPr>
        <w:fldChar w:fldCharType="separate"/>
      </w:r>
      <w:r>
        <w:rPr>
          <w:szCs w:val="24"/>
        </w:rPr>
        <w:t>Figure 35</w:t>
      </w:r>
      <w:r>
        <w:rPr>
          <w:szCs w:val="24"/>
        </w:rPr>
        <w:fldChar w:fldCharType="end"/>
      </w:r>
      <w:r>
        <w:rPr>
          <w:szCs w:val="24"/>
        </w:rPr>
        <w:t xml:space="preserve">. Users can refer to </w:t>
      </w:r>
      <w:r>
        <w:fldChar w:fldCharType="begin"/>
      </w:r>
      <w:r>
        <w:instrText xml:space="preserve"> HYPERLINK \l "_Receptor_Option" </w:instrText>
      </w:r>
      <w:r>
        <w:fldChar w:fldCharType="separate"/>
      </w:r>
      <w:r>
        <w:rPr>
          <w:rStyle w:val="24"/>
          <w:szCs w:val="24"/>
        </w:rPr>
        <w:t>Chapter 4.4</w:t>
      </w:r>
      <w:r>
        <w:rPr>
          <w:rStyle w:val="24"/>
          <w:szCs w:val="24"/>
        </w:rPr>
        <w:fldChar w:fldCharType="end"/>
      </w:r>
      <w:r>
        <w:rPr>
          <w:szCs w:val="24"/>
        </w:rPr>
        <w:t>.</w:t>
      </w:r>
    </w:p>
    <w:p>
      <w:pPr>
        <w:keepNext/>
      </w:pPr>
      <w:r>
        <w:drawing>
          <wp:inline distT="0" distB="0" distL="0" distR="0">
            <wp:extent cx="5270500" cy="3813175"/>
            <wp:effectExtent l="0" t="0" r="6350" b="0"/>
            <wp:docPr id="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65" w:name="_Ref512367602"/>
      <w:bookmarkStart w:id="166" w:name="_Toc37923831"/>
      <w:bookmarkStart w:id="167" w:name="_Toc12298181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35</w:t>
      </w:r>
      <w:r>
        <w:rPr>
          <w:rFonts w:ascii="Times New Roman" w:hAnsi="Times New Roman"/>
          <w:i/>
          <w:iCs/>
          <w:sz w:val="24"/>
          <w:szCs w:val="24"/>
        </w:rPr>
        <w:fldChar w:fldCharType="end"/>
      </w:r>
      <w:bookmarkEnd w:id="165"/>
      <w:r>
        <w:rPr>
          <w:rFonts w:ascii="Times New Roman" w:hAnsi="Times New Roman"/>
          <w:i/>
          <w:iCs/>
          <w:sz w:val="24"/>
          <w:szCs w:val="24"/>
        </w:rPr>
        <w:t>. Receptor Option (Ozone)</w:t>
      </w:r>
      <w:bookmarkEnd w:id="166"/>
      <w:bookmarkEnd w:id="167"/>
    </w:p>
    <w:p>
      <w:pPr>
        <w:ind w:firstLine="240" w:firstLineChars="100"/>
        <w:jc w:val="both"/>
        <w:rPr>
          <w:szCs w:val="24"/>
        </w:rPr>
      </w:pPr>
      <w:r>
        <w:rPr>
          <w:rFonts w:hint="eastAsia"/>
          <w:szCs w:val="24"/>
        </w:rPr>
        <w:t>U</w:t>
      </w:r>
      <w:r>
        <w:rPr>
          <w:szCs w:val="24"/>
        </w:rPr>
        <w:t xml:space="preserve">sers can keep default options and configuration, or change options and configuration according to their requirements. After setting all the options, click the </w:t>
      </w:r>
      <w:r>
        <w:rPr>
          <w:b/>
          <w:szCs w:val="24"/>
        </w:rPr>
        <w:t>Next</w:t>
      </w:r>
      <w:r>
        <w:rPr>
          <w:szCs w:val="24"/>
        </w:rPr>
        <w:t xml:space="preserve"> button or double-click the node of </w:t>
      </w:r>
      <w:r>
        <w:rPr>
          <w:b/>
          <w:szCs w:val="24"/>
        </w:rPr>
        <w:t>Cross Validation Option</w:t>
      </w:r>
      <w:r>
        <w:rPr>
          <w:szCs w:val="24"/>
        </w:rPr>
        <w:t xml:space="preserve"> in the upper left corner to proceed to the next step. The color of this node icon changes from yellow to green, indicating that this step has been successfully completed.</w:t>
      </w:r>
    </w:p>
    <w:p>
      <w:pPr>
        <w:pStyle w:val="3"/>
        <w:rPr>
          <w:szCs w:val="28"/>
        </w:rPr>
      </w:pPr>
      <w:bookmarkStart w:id="168" w:name="_Toc122981767"/>
      <w:r>
        <w:rPr>
          <w:szCs w:val="28"/>
        </w:rPr>
        <w:t>Cross Validation Option</w:t>
      </w:r>
      <w:bookmarkEnd w:id="168"/>
    </w:p>
    <w:p>
      <w:pPr>
        <w:ind w:firstLine="240" w:firstLineChars="100"/>
        <w:jc w:val="both"/>
        <w:rPr>
          <w:szCs w:val="24"/>
        </w:rPr>
      </w:pPr>
      <w:r>
        <w:rPr>
          <w:rFonts w:hint="cs"/>
          <w:szCs w:val="24"/>
        </w:rPr>
        <w:t xml:space="preserve">The </w:t>
      </w:r>
      <w:r>
        <w:rPr>
          <w:szCs w:val="24"/>
        </w:rPr>
        <w:t xml:space="preserve">interface design of </w:t>
      </w:r>
      <w:r>
        <w:rPr>
          <w:b/>
          <w:szCs w:val="24"/>
        </w:rPr>
        <w:t>Cross Validation Option</w:t>
      </w:r>
      <w:r>
        <w:rPr>
          <w:szCs w:val="24"/>
        </w:rPr>
        <w:t xml:space="preserve"> for Ozone data fusion analysis is similar to that of PM</w:t>
      </w:r>
      <w:r>
        <w:rPr>
          <w:szCs w:val="24"/>
          <w:vertAlign w:val="subscript"/>
        </w:rPr>
        <w:t>2.5</w:t>
      </w:r>
      <w:r>
        <w:rPr>
          <w:szCs w:val="24"/>
        </w:rPr>
        <w:t xml:space="preserve"> data fusion analysis (except that the functions of </w:t>
      </w:r>
      <w:r>
        <w:rPr>
          <w:b/>
          <w:szCs w:val="24"/>
        </w:rPr>
        <w:t>Leave-group-out</w:t>
      </w:r>
      <w:r>
        <w:rPr>
          <w:szCs w:val="24"/>
        </w:rPr>
        <w:t xml:space="preserve"> and </w:t>
      </w:r>
      <w:r>
        <w:rPr>
          <w:b/>
          <w:szCs w:val="24"/>
        </w:rPr>
        <w:t>cluster analysis</w:t>
      </w:r>
      <w:r>
        <w:rPr>
          <w:szCs w:val="24"/>
        </w:rPr>
        <w:t xml:space="preserve"> are still under development), as shown in </w:t>
      </w:r>
      <w:r>
        <w:rPr>
          <w:szCs w:val="24"/>
        </w:rPr>
        <w:fldChar w:fldCharType="begin"/>
      </w:r>
      <w:r>
        <w:rPr>
          <w:szCs w:val="24"/>
        </w:rPr>
        <w:instrText xml:space="preserve"> REF _Ref512367894 \h </w:instrText>
      </w:r>
      <w:r>
        <w:rPr>
          <w:szCs w:val="24"/>
        </w:rPr>
        <w:fldChar w:fldCharType="separate"/>
      </w:r>
      <w:r>
        <w:rPr>
          <w:i/>
          <w:iCs/>
          <w:szCs w:val="24"/>
        </w:rPr>
        <w:t>Figure 36</w:t>
      </w:r>
      <w:r>
        <w:rPr>
          <w:szCs w:val="24"/>
        </w:rPr>
        <w:fldChar w:fldCharType="end"/>
      </w:r>
      <w:r>
        <w:rPr>
          <w:szCs w:val="24"/>
        </w:rPr>
        <w:t xml:space="preserve">. Users can refer to </w:t>
      </w:r>
      <w:r>
        <w:fldChar w:fldCharType="begin"/>
      </w:r>
      <w:r>
        <w:instrText xml:space="preserve"> HYPERLINK \l "_Cross_Validation_Option" </w:instrText>
      </w:r>
      <w:r>
        <w:fldChar w:fldCharType="separate"/>
      </w:r>
      <w:r>
        <w:rPr>
          <w:rStyle w:val="23"/>
          <w:szCs w:val="24"/>
        </w:rPr>
        <w:t>Chapter 4.5</w:t>
      </w:r>
      <w:r>
        <w:rPr>
          <w:rStyle w:val="24"/>
          <w:szCs w:val="24"/>
        </w:rPr>
        <w:fldChar w:fldCharType="end"/>
      </w:r>
      <w:r>
        <w:rPr>
          <w:szCs w:val="24"/>
        </w:rPr>
        <w:t>.</w:t>
      </w:r>
    </w:p>
    <w:p>
      <w:pPr>
        <w:keepNext/>
        <w:jc w:val="both"/>
      </w:pPr>
      <w:r>
        <w:drawing>
          <wp:inline distT="0" distB="0" distL="0" distR="0">
            <wp:extent cx="5270500" cy="3813175"/>
            <wp:effectExtent l="0" t="0" r="6350" b="0"/>
            <wp:docPr id="3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0500" cy="381317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69" w:name="_Ref512367894"/>
      <w:bookmarkStart w:id="170" w:name="_Toc37923832"/>
      <w:bookmarkStart w:id="171" w:name="_Toc12298181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36</w:t>
      </w:r>
      <w:r>
        <w:rPr>
          <w:rFonts w:ascii="Times New Roman" w:hAnsi="Times New Roman"/>
          <w:i/>
          <w:iCs/>
          <w:sz w:val="24"/>
          <w:szCs w:val="24"/>
        </w:rPr>
        <w:fldChar w:fldCharType="end"/>
      </w:r>
      <w:bookmarkEnd w:id="169"/>
      <w:r>
        <w:rPr>
          <w:rFonts w:ascii="Times New Roman" w:hAnsi="Times New Roman"/>
          <w:i/>
          <w:iCs/>
          <w:sz w:val="24"/>
          <w:szCs w:val="24"/>
        </w:rPr>
        <w:t>. Cross Validation Option (Ozone)</w:t>
      </w:r>
      <w:bookmarkEnd w:id="170"/>
      <w:bookmarkEnd w:id="171"/>
    </w:p>
    <w:p>
      <w:pPr>
        <w:ind w:firstLine="240" w:firstLineChars="100"/>
        <w:jc w:val="both"/>
      </w:pPr>
      <w:r>
        <w:rPr>
          <w:rFonts w:hint="eastAsia"/>
          <w:szCs w:val="24"/>
        </w:rPr>
        <w:t>U</w:t>
      </w:r>
      <w:r>
        <w:rPr>
          <w:szCs w:val="24"/>
        </w:rPr>
        <w:t xml:space="preserve">sers can keep default options and configuration, or change options and configuration, according to their requirements. After completing this step and all the configuration options for creating new Ozone data fusion have been completed, the steps of </w:t>
      </w:r>
      <w:r>
        <w:rPr>
          <w:b/>
          <w:szCs w:val="24"/>
        </w:rPr>
        <w:t>Save &amp; Run Project</w:t>
      </w:r>
      <w:r>
        <w:rPr>
          <w:szCs w:val="24"/>
        </w:rPr>
        <w:t xml:space="preserve"> are the same as that of saving PM</w:t>
      </w:r>
      <w:r>
        <w:rPr>
          <w:szCs w:val="24"/>
          <w:vertAlign w:val="subscript"/>
        </w:rPr>
        <w:t xml:space="preserve">2.5 </w:t>
      </w:r>
      <w:r>
        <w:rPr>
          <w:szCs w:val="24"/>
        </w:rPr>
        <w:t>data fusion results.</w:t>
      </w:r>
    </w:p>
    <w:p>
      <w:pPr>
        <w:pStyle w:val="2"/>
        <w:rPr>
          <w:szCs w:val="32"/>
        </w:rPr>
      </w:pPr>
      <w:bookmarkStart w:id="172" w:name="_Data_Viewer_for"/>
      <w:bookmarkEnd w:id="172"/>
      <w:bookmarkStart w:id="173" w:name="_Toc122981768"/>
      <w:r>
        <w:rPr>
          <w:szCs w:val="32"/>
        </w:rPr>
        <w:t>Data Viewer for analyzing results</w:t>
      </w:r>
      <w:bookmarkEnd w:id="173"/>
    </w:p>
    <w:p>
      <w:pPr>
        <w:ind w:firstLine="240" w:firstLineChars="100"/>
        <w:jc w:val="both"/>
        <w:rPr>
          <w:szCs w:val="24"/>
        </w:rPr>
      </w:pPr>
      <w:r>
        <w:rPr>
          <w:szCs w:val="24"/>
        </w:rPr>
        <w:t>The m</w:t>
      </w:r>
      <w:r>
        <w:rPr>
          <w:rFonts w:hint="cs"/>
          <w:szCs w:val="24"/>
        </w:rPr>
        <w:t xml:space="preserve">ain function of </w:t>
      </w:r>
      <w:r>
        <w:rPr>
          <w:szCs w:val="24"/>
        </w:rPr>
        <w:t xml:space="preserve">the </w:t>
      </w:r>
      <w:r>
        <w:rPr>
          <w:rFonts w:hint="cs"/>
          <w:szCs w:val="24"/>
        </w:rPr>
        <w:t xml:space="preserve">Data Viewer module </w:t>
      </w:r>
      <w:r>
        <w:rPr>
          <w:szCs w:val="24"/>
        </w:rPr>
        <w:t>is to display the data fusion results in multiple ways. The Data Viewer module can be loaded in the following ways:</w:t>
      </w:r>
    </w:p>
    <w:p>
      <w:pPr>
        <w:pStyle w:val="31"/>
        <w:numPr>
          <w:ilvl w:val="0"/>
          <w:numId w:val="38"/>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 xml:space="preserve">Click the </w:t>
      </w:r>
      <w:r>
        <w:rPr>
          <w:rFonts w:ascii="Times New Roman" w:hAnsi="Times New Roman"/>
          <w:b/>
          <w:sz w:val="24"/>
          <w:szCs w:val="24"/>
        </w:rPr>
        <w:t>File</w:t>
      </w:r>
      <w:r>
        <w:rPr>
          <w:rFonts w:ascii="Times New Roman" w:hAnsi="Times New Roman"/>
          <w:sz w:val="24"/>
          <w:szCs w:val="24"/>
        </w:rPr>
        <w:t xml:space="preserve"> drop-down menu to open an existing project, then the interface of the </w:t>
      </w:r>
      <w:r>
        <w:rPr>
          <w:rFonts w:ascii="Times New Roman" w:hAnsi="Times New Roman"/>
          <w:b/>
          <w:sz w:val="24"/>
          <w:szCs w:val="24"/>
        </w:rPr>
        <w:t>Data Viewer</w:t>
      </w:r>
      <w:r>
        <w:rPr>
          <w:rFonts w:ascii="Times New Roman" w:hAnsi="Times New Roman"/>
          <w:sz w:val="24"/>
          <w:szCs w:val="24"/>
        </w:rPr>
        <w:t xml:space="preserve"> of this project will be exhibited automatically.</w:t>
      </w:r>
    </w:p>
    <w:p>
      <w:pPr>
        <w:pStyle w:val="31"/>
        <w:numPr>
          <w:ilvl w:val="0"/>
          <w:numId w:val="38"/>
        </w:numPr>
        <w:ind w:left="0" w:firstLine="0" w:firstLineChars="0"/>
        <w:rPr>
          <w:rFonts w:ascii="Times New Roman" w:hAnsi="Times New Roman"/>
          <w:sz w:val="24"/>
          <w:szCs w:val="24"/>
        </w:rPr>
      </w:pPr>
      <w:r>
        <w:rPr>
          <w:rFonts w:ascii="Times New Roman" w:hAnsi="Times New Roman"/>
          <w:sz w:val="24"/>
          <w:szCs w:val="24"/>
        </w:rPr>
        <w:t xml:space="preserve"> Click the </w:t>
      </w:r>
      <w:r>
        <w:rPr>
          <w:rFonts w:ascii="Times New Roman" w:hAnsi="Times New Roman"/>
          <w:b/>
          <w:sz w:val="24"/>
          <w:szCs w:val="24"/>
        </w:rPr>
        <w:t>Data Viewer</w:t>
      </w:r>
      <w:r>
        <w:rPr>
          <w:rFonts w:ascii="Times New Roman" w:hAnsi="Times New Roman"/>
          <w:sz w:val="24"/>
          <w:szCs w:val="24"/>
        </w:rPr>
        <w:t xml:space="preserve"> menu item to enter the </w:t>
      </w:r>
      <w:r>
        <w:rPr>
          <w:rFonts w:ascii="Times New Roman" w:hAnsi="Times New Roman"/>
          <w:b/>
          <w:sz w:val="24"/>
          <w:szCs w:val="24"/>
        </w:rPr>
        <w:t xml:space="preserve">Data Viewer </w:t>
      </w:r>
      <w:r>
        <w:rPr>
          <w:rFonts w:ascii="Times New Roman" w:hAnsi="Times New Roman"/>
          <w:sz w:val="24"/>
          <w:szCs w:val="24"/>
        </w:rPr>
        <w:t xml:space="preserve">interface directly, then click the </w:t>
      </w:r>
      <w:r>
        <w:rPr>
          <w:rFonts w:ascii="Times New Roman" w:hAnsi="Times New Roman"/>
          <w:b/>
          <w:sz w:val="24"/>
          <w:szCs w:val="24"/>
        </w:rPr>
        <w:t>Project</w:t>
      </w:r>
      <w:r>
        <w:rPr>
          <w:rFonts w:ascii="Times New Roman" w:hAnsi="Times New Roman"/>
          <w:sz w:val="24"/>
          <w:szCs w:val="24"/>
        </w:rPr>
        <w:t xml:space="preserve"> button at the bottom left to open the related project.</w:t>
      </w:r>
    </w:p>
    <w:p>
      <w:pPr>
        <w:pStyle w:val="31"/>
        <w:numPr>
          <w:ilvl w:val="0"/>
          <w:numId w:val="38"/>
        </w:numPr>
        <w:ind w:left="0" w:firstLine="0" w:firstLineChars="0"/>
        <w:rPr>
          <w:rFonts w:ascii="Times New Roman" w:hAnsi="Times New Roman"/>
          <w:sz w:val="24"/>
          <w:szCs w:val="24"/>
        </w:rPr>
      </w:pPr>
      <w:r>
        <w:rPr>
          <w:rFonts w:ascii="Times New Roman" w:hAnsi="Times New Roman"/>
          <w:sz w:val="24"/>
          <w:szCs w:val="24"/>
        </w:rPr>
        <w:t xml:space="preserve"> Select </w:t>
      </w:r>
      <w:r>
        <w:rPr>
          <w:rFonts w:ascii="Times New Roman" w:hAnsi="Times New Roman"/>
          <w:b/>
          <w:sz w:val="24"/>
          <w:szCs w:val="24"/>
        </w:rPr>
        <w:t xml:space="preserve">Save &amp; Run Project </w:t>
      </w:r>
      <w:r>
        <w:rPr>
          <w:rFonts w:ascii="Times New Roman" w:hAnsi="Times New Roman"/>
          <w:sz w:val="24"/>
          <w:szCs w:val="24"/>
        </w:rPr>
        <w:t>after creating a new PM</w:t>
      </w:r>
      <w:r>
        <w:rPr>
          <w:rFonts w:ascii="Times New Roman" w:hAnsi="Times New Roman"/>
          <w:sz w:val="24"/>
          <w:szCs w:val="24"/>
          <w:vertAlign w:val="subscript"/>
        </w:rPr>
        <w:t>2.5</w:t>
      </w:r>
      <w:r>
        <w:rPr>
          <w:rFonts w:ascii="Times New Roman" w:hAnsi="Times New Roman"/>
          <w:sz w:val="24"/>
          <w:szCs w:val="24"/>
        </w:rPr>
        <w:t xml:space="preserve"> or Ozone data fusion analysis, then the data viewer interface of the project will be loaded automatically after the </w:t>
      </w:r>
      <w:r>
        <w:rPr>
          <w:rFonts w:hint="eastAsia" w:ascii="Times New Roman" w:hAnsi="Times New Roman"/>
          <w:sz w:val="24"/>
          <w:szCs w:val="24"/>
        </w:rPr>
        <w:t>run</w:t>
      </w:r>
      <w:r>
        <w:rPr>
          <w:rFonts w:ascii="Times New Roman" w:hAnsi="Times New Roman"/>
          <w:sz w:val="24"/>
          <w:szCs w:val="24"/>
        </w:rPr>
        <w:t>.</w:t>
      </w:r>
    </w:p>
    <w:p>
      <w:pPr>
        <w:pStyle w:val="31"/>
        <w:ind w:firstLine="240" w:firstLineChars="100"/>
        <w:rPr>
          <w:rFonts w:ascii="Times New Roman" w:hAnsi="Times New Roman"/>
          <w:sz w:val="24"/>
          <w:szCs w:val="24"/>
        </w:rPr>
      </w:pPr>
      <w:r>
        <w:rPr>
          <w:rFonts w:ascii="Times New Roman" w:hAnsi="Times New Roman"/>
          <w:sz w:val="24"/>
          <w:szCs w:val="24"/>
        </w:rPr>
        <w:t xml:space="preserve">The interface of the Data Viewer module is mainly divided into two parts: the </w:t>
      </w:r>
      <w:r>
        <w:rPr>
          <w:rFonts w:ascii="Times New Roman" w:hAnsi="Times New Roman"/>
          <w:b/>
          <w:sz w:val="24"/>
          <w:szCs w:val="24"/>
        </w:rPr>
        <w:t>Output File</w:t>
      </w:r>
      <w:r>
        <w:rPr>
          <w:rFonts w:ascii="Times New Roman" w:hAnsi="Times New Roman"/>
          <w:sz w:val="24"/>
          <w:szCs w:val="24"/>
        </w:rPr>
        <w:t xml:space="preserve"> </w:t>
      </w:r>
      <w:r>
        <w:rPr>
          <w:rFonts w:ascii="Times New Roman" w:hAnsi="Times New Roman"/>
          <w:b/>
          <w:sz w:val="24"/>
          <w:szCs w:val="24"/>
        </w:rPr>
        <w:t>area</w:t>
      </w:r>
      <w:r>
        <w:rPr>
          <w:rFonts w:ascii="Times New Roman" w:hAnsi="Times New Roman"/>
          <w:sz w:val="24"/>
          <w:szCs w:val="24"/>
        </w:rPr>
        <w:t xml:space="preserve"> and the </w:t>
      </w:r>
      <w:r>
        <w:rPr>
          <w:rFonts w:ascii="Times New Roman" w:hAnsi="Times New Roman"/>
          <w:b/>
          <w:sz w:val="24"/>
          <w:szCs w:val="24"/>
        </w:rPr>
        <w:t>Data Viewer</w:t>
      </w:r>
      <w:r>
        <w:rPr>
          <w:rFonts w:ascii="Times New Roman" w:hAnsi="Times New Roman"/>
          <w:sz w:val="24"/>
          <w:szCs w:val="24"/>
        </w:rPr>
        <w:t xml:space="preserve"> </w:t>
      </w:r>
      <w:r>
        <w:rPr>
          <w:rFonts w:ascii="Times New Roman" w:hAnsi="Times New Roman"/>
          <w:b/>
          <w:sz w:val="24"/>
          <w:szCs w:val="24"/>
        </w:rPr>
        <w:t>area</w:t>
      </w:r>
      <w:r>
        <w:rPr>
          <w:rFonts w:ascii="Times New Roman" w:hAnsi="Times New Roman"/>
          <w:sz w:val="24"/>
          <w:szCs w:val="24"/>
        </w:rPr>
        <w:t xml:space="preserve">, as shown in </w:t>
      </w:r>
      <w:r>
        <w:rPr>
          <w:rFonts w:ascii="Times New Roman" w:hAnsi="Times New Roman"/>
          <w:sz w:val="24"/>
          <w:szCs w:val="24"/>
        </w:rPr>
        <w:fldChar w:fldCharType="begin"/>
      </w:r>
      <w:r>
        <w:rPr>
          <w:rFonts w:ascii="Times New Roman" w:hAnsi="Times New Roman"/>
          <w:sz w:val="24"/>
          <w:szCs w:val="24"/>
        </w:rPr>
        <w:instrText xml:space="preserve"> REF _Ref512412219 \h </w:instrText>
      </w:r>
      <w:r>
        <w:rPr>
          <w:rFonts w:ascii="Times New Roman" w:hAnsi="Times New Roman"/>
          <w:sz w:val="24"/>
          <w:szCs w:val="24"/>
        </w:rPr>
        <w:fldChar w:fldCharType="separate"/>
      </w:r>
      <w:r>
        <w:rPr>
          <w:rFonts w:ascii="Times New Roman" w:hAnsi="Times New Roman"/>
          <w:i/>
          <w:iCs/>
          <w:sz w:val="24"/>
          <w:szCs w:val="24"/>
        </w:rPr>
        <w:t>Figure 37</w:t>
      </w:r>
      <w:r>
        <w:rPr>
          <w:rFonts w:ascii="Times New Roman" w:hAnsi="Times New Roman"/>
          <w:sz w:val="24"/>
          <w:szCs w:val="24"/>
        </w:rPr>
        <w:fldChar w:fldCharType="end"/>
      </w:r>
      <w:r>
        <w:rPr>
          <w:rFonts w:ascii="Times New Roman" w:hAnsi="Times New Roman"/>
          <w:sz w:val="24"/>
          <w:szCs w:val="24"/>
        </w:rPr>
        <w:t>. The left-hand pane of the interface is the output files area, listing the output files created during the configuration of the DF analysis. Which types of output files are available is dependent on the type of analysis (PM</w:t>
      </w:r>
      <w:r>
        <w:rPr>
          <w:rFonts w:ascii="Times New Roman" w:hAnsi="Times New Roman"/>
          <w:sz w:val="24"/>
          <w:szCs w:val="24"/>
          <w:vertAlign w:val="subscript"/>
        </w:rPr>
        <w:t>2.5</w:t>
      </w:r>
      <w:r>
        <w:rPr>
          <w:rFonts w:ascii="Times New Roman" w:hAnsi="Times New Roman"/>
          <w:sz w:val="24"/>
          <w:szCs w:val="24"/>
        </w:rPr>
        <w:t>, Ozone) and the output choices set in the Configuration File. Clicking on any of the output files will load the data into the graphical and tabular analysis module of Data Viewer. The right-hand pane of the interface is the data viewer area, displaying the data fusion analysis results of the example testing case.</w:t>
      </w:r>
    </w:p>
    <w:p>
      <w:pPr>
        <w:keepNext/>
        <w:jc w:val="center"/>
      </w:pPr>
      <w:r>
        <w:drawing>
          <wp:inline distT="0" distB="0" distL="0" distR="0">
            <wp:extent cx="4726940" cy="339661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733107" cy="3401422"/>
                    </a:xfrm>
                    <a:prstGeom prst="rect">
                      <a:avLst/>
                    </a:prstGeom>
                    <a:noFill/>
                  </pic:spPr>
                </pic:pic>
              </a:graphicData>
            </a:graphic>
          </wp:inline>
        </w:drawing>
      </w:r>
    </w:p>
    <w:p>
      <w:pPr>
        <w:pStyle w:val="6"/>
        <w:jc w:val="center"/>
        <w:rPr>
          <w:rFonts w:ascii="Times New Roman" w:hAnsi="Times New Roman"/>
          <w:i/>
          <w:iCs/>
          <w:sz w:val="24"/>
          <w:szCs w:val="24"/>
        </w:rPr>
      </w:pPr>
      <w:bookmarkStart w:id="174" w:name="_Ref512412219"/>
      <w:bookmarkStart w:id="175" w:name="_Toc122981813"/>
      <w:bookmarkStart w:id="176" w:name="_Toc37923833"/>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37</w:t>
      </w:r>
      <w:r>
        <w:rPr>
          <w:rFonts w:ascii="Times New Roman" w:hAnsi="Times New Roman"/>
          <w:i/>
          <w:iCs/>
          <w:sz w:val="24"/>
          <w:szCs w:val="24"/>
        </w:rPr>
        <w:fldChar w:fldCharType="end"/>
      </w:r>
      <w:bookmarkEnd w:id="174"/>
      <w:r>
        <w:rPr>
          <w:rFonts w:ascii="Times New Roman" w:hAnsi="Times New Roman"/>
          <w:i/>
          <w:iCs/>
          <w:sz w:val="24"/>
          <w:szCs w:val="24"/>
        </w:rPr>
        <w:t>. The interface of the Data Viewer</w:t>
      </w:r>
      <w:bookmarkEnd w:id="175"/>
      <w:bookmarkEnd w:id="176"/>
    </w:p>
    <w:p>
      <w:pPr>
        <w:rPr>
          <w:szCs w:val="24"/>
        </w:rPr>
      </w:pPr>
      <w:r>
        <w:rPr>
          <w:szCs w:val="24"/>
        </w:rPr>
        <w:t>The results can be displayed in the following ways:</w:t>
      </w:r>
    </w:p>
    <w:p>
      <w:pPr>
        <w:pStyle w:val="31"/>
        <w:numPr>
          <w:ilvl w:val="0"/>
          <w:numId w:val="39"/>
        </w:numPr>
        <w:ind w:left="0"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b/>
          <w:sz w:val="24"/>
          <w:szCs w:val="24"/>
        </w:rPr>
        <w:t xml:space="preserve">Map Viewer: </w:t>
      </w:r>
      <w:r>
        <w:rPr>
          <w:rFonts w:ascii="Times New Roman" w:hAnsi="Times New Roman"/>
          <w:sz w:val="24"/>
          <w:szCs w:val="24"/>
        </w:rPr>
        <w:t>Spatial tile plots of model output data used for estimating relative response factors.</w:t>
      </w:r>
    </w:p>
    <w:p>
      <w:pPr>
        <w:pStyle w:val="31"/>
        <w:numPr>
          <w:ilvl w:val="0"/>
          <w:numId w:val="39"/>
        </w:numPr>
        <w:ind w:left="0" w:firstLine="0" w:firstLineChars="0"/>
        <w:rPr>
          <w:rFonts w:ascii="Times New Roman" w:hAnsi="Times New Roman"/>
          <w:sz w:val="24"/>
          <w:szCs w:val="24"/>
        </w:rPr>
      </w:pPr>
      <w:r>
        <w:rPr>
          <w:rFonts w:ascii="Times New Roman" w:hAnsi="Times New Roman"/>
          <w:b/>
          <w:sz w:val="24"/>
          <w:szCs w:val="24"/>
        </w:rPr>
        <w:t xml:space="preserve"> GIS Viewer: </w:t>
      </w:r>
      <w:r>
        <w:rPr>
          <w:rFonts w:ascii="Times New Roman" w:hAnsi="Times New Roman"/>
          <w:sz w:val="24"/>
          <w:szCs w:val="24"/>
        </w:rPr>
        <w:t>Open-source geographic information system (GIS) graphical interface for displaying point analysis results of the DF at monitor locations. Multiple data layers can be added to the map and different attributes within each layer can be plotting in the GIS tab.</w:t>
      </w:r>
    </w:p>
    <w:p>
      <w:pPr>
        <w:pStyle w:val="31"/>
        <w:numPr>
          <w:ilvl w:val="0"/>
          <w:numId w:val="39"/>
        </w:numPr>
        <w:ind w:firstLineChars="0"/>
        <w:rPr>
          <w:rFonts w:ascii="Times New Roman" w:hAnsi="Times New Roman"/>
          <w:sz w:val="24"/>
          <w:szCs w:val="24"/>
        </w:rPr>
      </w:pPr>
      <w:r>
        <w:rPr>
          <w:rFonts w:ascii="Times New Roman" w:hAnsi="Times New Roman"/>
          <w:b/>
          <w:sz w:val="24"/>
          <w:szCs w:val="24"/>
        </w:rPr>
        <w:t xml:space="preserve"> Statistics Viewer: </w:t>
      </w:r>
      <w:r>
        <w:rPr>
          <w:rFonts w:ascii="Times New Roman" w:hAnsi="Times New Roman"/>
          <w:sz w:val="24"/>
          <w:szCs w:val="24"/>
        </w:rPr>
        <w:t>Display of the DF input and output data through the bar chart.</w:t>
      </w:r>
    </w:p>
    <w:p>
      <w:pPr>
        <w:pStyle w:val="31"/>
        <w:numPr>
          <w:ilvl w:val="0"/>
          <w:numId w:val="39"/>
        </w:numPr>
        <w:ind w:firstLineChars="0"/>
        <w:rPr>
          <w:rFonts w:ascii="Times New Roman" w:hAnsi="Times New Roman"/>
          <w:sz w:val="24"/>
          <w:szCs w:val="24"/>
        </w:rPr>
      </w:pPr>
      <w:r>
        <w:rPr>
          <w:rFonts w:ascii="Times New Roman" w:hAnsi="Times New Roman"/>
          <w:b/>
          <w:sz w:val="24"/>
          <w:szCs w:val="24"/>
        </w:rPr>
        <w:t xml:space="preserve"> Data Viewer: </w:t>
      </w:r>
      <w:r>
        <w:rPr>
          <w:rFonts w:ascii="Times New Roman" w:hAnsi="Times New Roman"/>
          <w:sz w:val="24"/>
          <w:szCs w:val="24"/>
        </w:rPr>
        <w:t>Display of the DF input and output data through the table.</w:t>
      </w:r>
    </w:p>
    <w:p>
      <w:pPr>
        <w:pStyle w:val="31"/>
        <w:numPr>
          <w:ilvl w:val="0"/>
          <w:numId w:val="39"/>
        </w:numPr>
        <w:ind w:left="0" w:firstLine="0" w:firstLineChars="0"/>
        <w:rPr>
          <w:rFonts w:ascii="Times New Roman" w:hAnsi="Times New Roman"/>
          <w:sz w:val="24"/>
          <w:szCs w:val="24"/>
        </w:rPr>
      </w:pPr>
      <w:r>
        <w:rPr>
          <w:rFonts w:ascii="Times New Roman" w:hAnsi="Times New Roman"/>
          <w:b/>
          <w:sz w:val="24"/>
          <w:szCs w:val="24"/>
        </w:rPr>
        <w:t xml:space="preserve"> Log/Msg Viewer: </w:t>
      </w:r>
      <w:r>
        <w:rPr>
          <w:rFonts w:ascii="Times New Roman" w:hAnsi="Times New Roman"/>
          <w:sz w:val="24"/>
          <w:szCs w:val="24"/>
        </w:rPr>
        <w:t>Logging information generated during the currently loaded project.</w:t>
      </w:r>
    </w:p>
    <w:p>
      <w:pPr>
        <w:pStyle w:val="3"/>
        <w:rPr>
          <w:szCs w:val="28"/>
        </w:rPr>
      </w:pPr>
      <w:bookmarkStart w:id="177" w:name="_Toc122981769"/>
      <w:r>
        <w:rPr>
          <w:szCs w:val="28"/>
        </w:rPr>
        <w:t>Map Viewer</w:t>
      </w:r>
      <w:bookmarkEnd w:id="177"/>
    </w:p>
    <w:p>
      <w:pPr>
        <w:ind w:firstLine="240" w:firstLineChars="100"/>
        <w:jc w:val="both"/>
        <w:rPr>
          <w:szCs w:val="24"/>
        </w:rPr>
      </w:pPr>
      <w:r>
        <w:rPr>
          <w:szCs w:val="24"/>
        </w:rPr>
        <w:t>The Map Viewer window displays the outcomes of model results at monitor locations in the modeling domain. Example results available to view in the Map window include the spatial and temporal data fusion results interpolated by the algorithms used in the calculations. The configuration options available in the Map window include zooming in/out of the map; clicking on a monitoring site in the modeling domain to view the site information; specifying the color legend; checking to display the location and concentration of monitor sites; selecting background areas; using the formula function developed for common mathematical calculations between different data fusion results; and saving the results as an image or CSV file. The interface of the Map for PM</w:t>
      </w:r>
      <w:r>
        <w:rPr>
          <w:szCs w:val="24"/>
          <w:vertAlign w:val="subscript"/>
        </w:rPr>
        <w:t>2.5</w:t>
      </w:r>
      <w:r>
        <w:rPr>
          <w:szCs w:val="24"/>
        </w:rPr>
        <w:t xml:space="preserve"> or Ozone is shown in </w:t>
      </w:r>
      <w:r>
        <w:rPr>
          <w:szCs w:val="24"/>
        </w:rPr>
        <w:fldChar w:fldCharType="begin"/>
      </w:r>
      <w:r>
        <w:rPr>
          <w:szCs w:val="24"/>
        </w:rPr>
        <w:instrText xml:space="preserve"> REF _Ref512415515 \h </w:instrText>
      </w:r>
      <w:r>
        <w:rPr>
          <w:szCs w:val="24"/>
        </w:rPr>
        <w:fldChar w:fldCharType="separate"/>
      </w:r>
      <w:r>
        <w:rPr>
          <w:rFonts w:ascii="Times New Roman" w:hAnsi="Times New Roman"/>
          <w:i/>
          <w:iCs/>
          <w:sz w:val="24"/>
          <w:szCs w:val="24"/>
        </w:rPr>
        <w:t>Figure 38</w:t>
      </w:r>
      <w:r>
        <w:rPr>
          <w:szCs w:val="24"/>
        </w:rPr>
        <w:fldChar w:fldCharType="end"/>
      </w:r>
      <w:r>
        <w:rPr>
          <w:szCs w:val="24"/>
        </w:rPr>
        <w:t xml:space="preserve"> and the interface of the Map for AOD are shown in </w:t>
      </w:r>
      <w:r>
        <w:rPr>
          <w:szCs w:val="24"/>
        </w:rPr>
        <w:fldChar w:fldCharType="begin"/>
      </w:r>
      <w:r>
        <w:rPr>
          <w:szCs w:val="24"/>
        </w:rPr>
        <w:instrText xml:space="preserve"> REF _Ref35855073 \h </w:instrText>
      </w:r>
      <w:r>
        <w:rPr>
          <w:szCs w:val="24"/>
        </w:rPr>
        <w:fldChar w:fldCharType="separate"/>
      </w:r>
      <w:r>
        <w:rPr>
          <w:rFonts w:ascii="Times New Roman" w:hAnsi="Times New Roman"/>
          <w:i/>
          <w:iCs/>
          <w:sz w:val="24"/>
          <w:szCs w:val="24"/>
        </w:rPr>
        <w:t>Figure 39</w:t>
      </w:r>
      <w:r>
        <w:rPr>
          <w:szCs w:val="24"/>
        </w:rPr>
        <w:fldChar w:fldCharType="end"/>
      </w:r>
      <w:r>
        <w:rPr>
          <w:szCs w:val="24"/>
        </w:rPr>
        <w:t>.</w:t>
      </w:r>
    </w:p>
    <w:p>
      <w:pPr>
        <w:keepNext/>
        <w:jc w:val="center"/>
      </w:pPr>
      <w:r>
        <w:drawing>
          <wp:inline distT="0" distB="0" distL="0" distR="0">
            <wp:extent cx="5082540" cy="368300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2"/>
                    <a:stretch>
                      <a:fillRect/>
                    </a:stretch>
                  </pic:blipFill>
                  <pic:spPr>
                    <a:xfrm>
                      <a:off x="0" y="0"/>
                      <a:ext cx="5088445" cy="3687377"/>
                    </a:xfrm>
                    <a:prstGeom prst="rect">
                      <a:avLst/>
                    </a:prstGeom>
                  </pic:spPr>
                </pic:pic>
              </a:graphicData>
            </a:graphic>
          </wp:inline>
        </w:drawing>
      </w:r>
    </w:p>
    <w:p>
      <w:pPr>
        <w:pStyle w:val="6"/>
        <w:jc w:val="center"/>
        <w:rPr>
          <w:rFonts w:ascii="Times New Roman" w:hAnsi="Times New Roman"/>
          <w:i/>
          <w:iCs/>
          <w:sz w:val="24"/>
          <w:szCs w:val="24"/>
        </w:rPr>
      </w:pPr>
      <w:bookmarkStart w:id="178" w:name="_Ref512415515"/>
      <w:bookmarkStart w:id="179" w:name="_Toc37923834"/>
      <w:bookmarkStart w:id="180" w:name="_Toc122981814"/>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38</w:t>
      </w:r>
      <w:r>
        <w:rPr>
          <w:rFonts w:ascii="Times New Roman" w:hAnsi="Times New Roman"/>
          <w:i/>
          <w:iCs/>
          <w:sz w:val="24"/>
          <w:szCs w:val="24"/>
        </w:rPr>
        <w:fldChar w:fldCharType="end"/>
      </w:r>
      <w:bookmarkEnd w:id="178"/>
      <w:r>
        <w:rPr>
          <w:rFonts w:ascii="Times New Roman" w:hAnsi="Times New Roman"/>
          <w:i/>
          <w:iCs/>
          <w:sz w:val="24"/>
          <w:szCs w:val="24"/>
        </w:rPr>
        <w:t>. The interface of the Map Viewer (PM</w:t>
      </w:r>
      <w:r>
        <w:rPr>
          <w:rFonts w:ascii="Times New Roman" w:hAnsi="Times New Roman"/>
          <w:i/>
          <w:iCs/>
          <w:sz w:val="24"/>
          <w:szCs w:val="24"/>
          <w:vertAlign w:val="subscript"/>
        </w:rPr>
        <w:t>2.5</w:t>
      </w:r>
      <w:r>
        <w:rPr>
          <w:rFonts w:ascii="Times New Roman" w:hAnsi="Times New Roman"/>
          <w:i/>
          <w:iCs/>
          <w:sz w:val="24"/>
          <w:szCs w:val="24"/>
        </w:rPr>
        <w:t xml:space="preserve"> or Ozone)</w:t>
      </w:r>
      <w:bookmarkEnd w:id="179"/>
      <w:bookmarkEnd w:id="180"/>
    </w:p>
    <w:p>
      <w:pPr>
        <w:keepNext/>
        <w:jc w:val="center"/>
      </w:pPr>
      <w:r>
        <w:drawing>
          <wp:inline distT="0" distB="0" distL="0" distR="0">
            <wp:extent cx="4902835" cy="3534410"/>
            <wp:effectExtent l="0" t="0" r="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3"/>
                    <a:stretch>
                      <a:fillRect/>
                    </a:stretch>
                  </pic:blipFill>
                  <pic:spPr>
                    <a:xfrm>
                      <a:off x="0" y="0"/>
                      <a:ext cx="4908041" cy="3538328"/>
                    </a:xfrm>
                    <a:prstGeom prst="rect">
                      <a:avLst/>
                    </a:prstGeom>
                  </pic:spPr>
                </pic:pic>
              </a:graphicData>
            </a:graphic>
          </wp:inline>
        </w:drawing>
      </w:r>
    </w:p>
    <w:p>
      <w:pPr>
        <w:pStyle w:val="6"/>
        <w:jc w:val="center"/>
        <w:rPr>
          <w:rFonts w:ascii="Times New Roman" w:hAnsi="Times New Roman"/>
          <w:i/>
          <w:iCs/>
          <w:sz w:val="24"/>
          <w:szCs w:val="24"/>
        </w:rPr>
      </w:pPr>
      <w:bookmarkStart w:id="181" w:name="_Ref35855073"/>
      <w:bookmarkStart w:id="182" w:name="_Toc37923835"/>
      <w:bookmarkStart w:id="183" w:name="_Toc12298181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39</w:t>
      </w:r>
      <w:r>
        <w:rPr>
          <w:rFonts w:ascii="Times New Roman" w:hAnsi="Times New Roman"/>
          <w:i/>
          <w:iCs/>
          <w:sz w:val="24"/>
          <w:szCs w:val="24"/>
        </w:rPr>
        <w:fldChar w:fldCharType="end"/>
      </w:r>
      <w:bookmarkEnd w:id="181"/>
      <w:r>
        <w:rPr>
          <w:rFonts w:ascii="Times New Roman" w:hAnsi="Times New Roman"/>
          <w:i/>
          <w:iCs/>
          <w:sz w:val="24"/>
          <w:szCs w:val="24"/>
        </w:rPr>
        <w:t>. The interface of the Map Viewer (AOD)</w:t>
      </w:r>
      <w:bookmarkEnd w:id="182"/>
      <w:bookmarkEnd w:id="183"/>
    </w:p>
    <w:p>
      <w:pPr>
        <w:pStyle w:val="31"/>
        <w:numPr>
          <w:ilvl w:val="0"/>
          <w:numId w:val="40"/>
        </w:numPr>
        <w:ind w:left="0" w:firstLine="0" w:firstLineChars="0"/>
        <w:rPr>
          <w:rFonts w:ascii="Times New Roman" w:hAnsi="Times New Roman"/>
          <w:sz w:val="24"/>
          <w:szCs w:val="24"/>
        </w:rPr>
      </w:pPr>
      <w:r>
        <w:rPr>
          <w:rFonts w:ascii="Times New Roman" w:hAnsi="Times New Roman"/>
          <w:sz w:val="24"/>
          <w:szCs w:val="24"/>
        </w:rPr>
        <w:t xml:space="preserve"> To examine the results from a completed DF analysis, select one of the algorithms in the left-hand pane of the Data Viewer window to display the resulting data on the DF map for analysis (</w:t>
      </w:r>
      <w:r>
        <w:rPr>
          <w:rFonts w:ascii="Times New Roman" w:hAnsi="Times New Roman"/>
          <w:sz w:val="24"/>
          <w:szCs w:val="24"/>
        </w:rPr>
        <w:fldChar w:fldCharType="begin"/>
      </w:r>
      <w:r>
        <w:rPr>
          <w:rFonts w:ascii="Times New Roman" w:hAnsi="Times New Roman"/>
          <w:sz w:val="24"/>
          <w:szCs w:val="24"/>
        </w:rPr>
        <w:instrText xml:space="preserve"> REF _Ref512416866 \h </w:instrText>
      </w:r>
      <w:r>
        <w:rPr>
          <w:rFonts w:ascii="Times New Roman" w:hAnsi="Times New Roman"/>
          <w:sz w:val="24"/>
          <w:szCs w:val="24"/>
        </w:rPr>
        <w:fldChar w:fldCharType="separate"/>
      </w:r>
      <w:r>
        <w:rPr>
          <w:rFonts w:ascii="Times New Roman" w:hAnsi="Times New Roman"/>
          <w:i/>
          <w:iCs/>
          <w:sz w:val="24"/>
          <w:szCs w:val="24"/>
        </w:rPr>
        <w:t>Figure 40</w:t>
      </w:r>
      <w:r>
        <w:rPr>
          <w:rFonts w:ascii="Times New Roman" w:hAnsi="Times New Roman"/>
          <w:sz w:val="24"/>
          <w:szCs w:val="24"/>
        </w:rPr>
        <w:fldChar w:fldCharType="end"/>
      </w:r>
      <w:r>
        <w:rPr>
          <w:rFonts w:ascii="Times New Roman" w:hAnsi="Times New Roman"/>
          <w:sz w:val="24"/>
          <w:szCs w:val="24"/>
        </w:rPr>
        <w:t xml:space="preserve">); select one of the periods in the </w:t>
      </w:r>
      <w:r>
        <w:rPr>
          <w:rFonts w:ascii="Times New Roman" w:hAnsi="Times New Roman"/>
          <w:b/>
          <w:sz w:val="24"/>
          <w:szCs w:val="24"/>
        </w:rPr>
        <w:t>Filter</w:t>
      </w:r>
      <w:r>
        <w:rPr>
          <w:rFonts w:ascii="Times New Roman" w:hAnsi="Times New Roman"/>
          <w:sz w:val="24"/>
          <w:szCs w:val="24"/>
        </w:rPr>
        <w:t xml:space="preserve"> drop-down boxes and one of the pollutants in the </w:t>
      </w:r>
      <w:r>
        <w:rPr>
          <w:rFonts w:ascii="Times New Roman" w:hAnsi="Times New Roman"/>
          <w:b/>
          <w:sz w:val="24"/>
          <w:szCs w:val="24"/>
        </w:rPr>
        <w:t>Variable</w:t>
      </w:r>
      <w:r>
        <w:rPr>
          <w:rFonts w:ascii="Times New Roman" w:hAnsi="Times New Roman"/>
          <w:sz w:val="24"/>
          <w:szCs w:val="24"/>
        </w:rPr>
        <w:t xml:space="preserve"> drop-down boxes for analysis (the default case calculates the average value for PM</w:t>
      </w:r>
      <w:r>
        <w:rPr>
          <w:rFonts w:ascii="Times New Roman" w:hAnsi="Times New Roman"/>
          <w:sz w:val="24"/>
          <w:szCs w:val="24"/>
          <w:vertAlign w:val="subscript"/>
        </w:rPr>
        <w:t xml:space="preserve">2.5 </w:t>
      </w:r>
      <w:r>
        <w:rPr>
          <w:rFonts w:ascii="Times New Roman" w:hAnsi="Times New Roman"/>
          <w:sz w:val="24"/>
          <w:szCs w:val="24"/>
        </w:rPr>
        <w:t xml:space="preserve">only, the cases for analysis of other variables within different periods can perform this operation); select one of the output files in the </w:t>
      </w:r>
      <w:r>
        <w:rPr>
          <w:rFonts w:ascii="Times New Roman" w:hAnsi="Times New Roman"/>
          <w:b/>
          <w:sz w:val="24"/>
          <w:szCs w:val="24"/>
        </w:rPr>
        <w:t>Output Files</w:t>
      </w:r>
      <w:r>
        <w:rPr>
          <w:rFonts w:ascii="Times New Roman" w:hAnsi="Times New Roman"/>
          <w:sz w:val="24"/>
          <w:szCs w:val="24"/>
        </w:rPr>
        <w:t xml:space="preserve"> pane to show the file data on the map for analysis (the default case contains only one output file, the analysis cases with multiple output files can perform this operation). Click the </w:t>
      </w:r>
      <w:r>
        <w:rPr>
          <w:rFonts w:ascii="Times New Roman" w:hAnsi="Times New Roman"/>
          <w:b/>
          <w:sz w:val="24"/>
          <w:szCs w:val="24"/>
        </w:rPr>
        <w:t>Apply</w:t>
      </w:r>
      <w:r>
        <w:rPr>
          <w:rFonts w:ascii="Times New Roman" w:hAnsi="Times New Roman"/>
          <w:sz w:val="24"/>
          <w:szCs w:val="24"/>
        </w:rPr>
        <w:t xml:space="preserve"> button to display the selected analysis choices on the Map of the DF.</w:t>
      </w:r>
    </w:p>
    <w:p>
      <w:pPr>
        <w:pStyle w:val="31"/>
        <w:keepNext/>
        <w:ind w:firstLine="0" w:firstLineChars="0"/>
        <w:jc w:val="center"/>
      </w:pPr>
      <w:r>
        <w:drawing>
          <wp:inline distT="0" distB="0" distL="0" distR="0">
            <wp:extent cx="5045710" cy="36525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4"/>
                    <a:stretch>
                      <a:fillRect/>
                    </a:stretch>
                  </pic:blipFill>
                  <pic:spPr>
                    <a:xfrm>
                      <a:off x="0" y="0"/>
                      <a:ext cx="5049141" cy="3655248"/>
                    </a:xfrm>
                    <a:prstGeom prst="rect">
                      <a:avLst/>
                    </a:prstGeom>
                  </pic:spPr>
                </pic:pic>
              </a:graphicData>
            </a:graphic>
          </wp:inline>
        </w:drawing>
      </w:r>
    </w:p>
    <w:p>
      <w:pPr>
        <w:pStyle w:val="6"/>
        <w:jc w:val="center"/>
        <w:rPr>
          <w:rFonts w:ascii="Times New Roman" w:hAnsi="Times New Roman"/>
          <w:i/>
          <w:iCs/>
          <w:sz w:val="24"/>
          <w:szCs w:val="24"/>
        </w:rPr>
      </w:pPr>
      <w:bookmarkStart w:id="184" w:name="_Ref512416866"/>
      <w:bookmarkStart w:id="185" w:name="_Toc37923836"/>
      <w:bookmarkStart w:id="186" w:name="_Toc12298181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40</w:t>
      </w:r>
      <w:r>
        <w:rPr>
          <w:rFonts w:ascii="Times New Roman" w:hAnsi="Times New Roman"/>
          <w:i/>
          <w:iCs/>
          <w:sz w:val="24"/>
          <w:szCs w:val="24"/>
        </w:rPr>
        <w:fldChar w:fldCharType="end"/>
      </w:r>
      <w:bookmarkEnd w:id="184"/>
      <w:r>
        <w:rPr>
          <w:rFonts w:ascii="Times New Roman" w:hAnsi="Times New Roman"/>
          <w:i/>
          <w:iCs/>
          <w:sz w:val="24"/>
          <w:szCs w:val="24"/>
        </w:rPr>
        <w:t>. Show map of selected algorithms</w:t>
      </w:r>
      <w:bookmarkEnd w:id="185"/>
      <w:bookmarkEnd w:id="186"/>
    </w:p>
    <w:p>
      <w:pPr>
        <w:pStyle w:val="31"/>
        <w:numPr>
          <w:ilvl w:val="0"/>
          <w:numId w:val="40"/>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_Ref512417724 \h </w:instrText>
      </w:r>
      <w:r>
        <w:rPr>
          <w:rFonts w:ascii="Times New Roman" w:hAnsi="Times New Roman"/>
          <w:sz w:val="24"/>
          <w:szCs w:val="24"/>
        </w:rPr>
        <w:fldChar w:fldCharType="separate"/>
      </w:r>
      <w:r>
        <w:rPr>
          <w:rFonts w:ascii="Times New Roman" w:hAnsi="Times New Roman"/>
          <w:i/>
          <w:iCs/>
          <w:sz w:val="24"/>
          <w:szCs w:val="24"/>
        </w:rPr>
        <w:t>Figure 41</w:t>
      </w:r>
      <w:r>
        <w:rPr>
          <w:rFonts w:ascii="Times New Roman" w:hAnsi="Times New Roman"/>
          <w:sz w:val="24"/>
          <w:szCs w:val="24"/>
        </w:rPr>
        <w:fldChar w:fldCharType="end"/>
      </w:r>
      <w:r>
        <w:rPr>
          <w:rFonts w:ascii="Times New Roman" w:hAnsi="Times New Roman"/>
          <w:sz w:val="24"/>
          <w:szCs w:val="24"/>
        </w:rPr>
        <w:t xml:space="preserve">, this option adjusts the map legend levels. Double-click the color bar on the right-hand of the map to display the legend controls. The legend controls can set the minimum and maximum values of the legend and the individual colors on the scale, as is shown in </w:t>
      </w:r>
      <w:r>
        <w:rPr>
          <w:rFonts w:ascii="Times New Roman" w:hAnsi="Times New Roman"/>
          <w:sz w:val="24"/>
          <w:szCs w:val="24"/>
        </w:rPr>
        <w:fldChar w:fldCharType="begin"/>
      </w:r>
      <w:r>
        <w:rPr>
          <w:rFonts w:ascii="Times New Roman" w:hAnsi="Times New Roman"/>
          <w:sz w:val="24"/>
          <w:szCs w:val="24"/>
        </w:rPr>
        <w:instrText xml:space="preserve"> REF _Ref512417923 \h </w:instrText>
      </w:r>
      <w:r>
        <w:rPr>
          <w:rFonts w:ascii="Times New Roman" w:hAnsi="Times New Roman"/>
          <w:sz w:val="24"/>
          <w:szCs w:val="24"/>
        </w:rPr>
        <w:fldChar w:fldCharType="separate"/>
      </w:r>
      <w:r>
        <w:rPr>
          <w:rFonts w:ascii="Times New Roman" w:hAnsi="Times New Roman"/>
          <w:i/>
          <w:iCs/>
          <w:sz w:val="24"/>
          <w:szCs w:val="24"/>
        </w:rPr>
        <w:t>Figure 42</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pPr>
      <w:r>
        <w:drawing>
          <wp:inline distT="0" distB="0" distL="0" distR="0">
            <wp:extent cx="5476240" cy="39427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85647" cy="3949623"/>
                    </a:xfrm>
                    <a:prstGeom prst="rect">
                      <a:avLst/>
                    </a:prstGeom>
                    <a:noFill/>
                  </pic:spPr>
                </pic:pic>
              </a:graphicData>
            </a:graphic>
          </wp:inline>
        </w:drawing>
      </w:r>
    </w:p>
    <w:p>
      <w:pPr>
        <w:pStyle w:val="6"/>
        <w:jc w:val="center"/>
        <w:rPr>
          <w:rFonts w:ascii="Times New Roman" w:hAnsi="Times New Roman"/>
          <w:i/>
          <w:iCs/>
          <w:sz w:val="24"/>
          <w:szCs w:val="24"/>
        </w:rPr>
      </w:pPr>
      <w:bookmarkStart w:id="187" w:name="_Ref512417724"/>
      <w:bookmarkStart w:id="188" w:name="_Toc37923837"/>
      <w:bookmarkStart w:id="189" w:name="_Toc122981817"/>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41</w:t>
      </w:r>
      <w:r>
        <w:rPr>
          <w:rFonts w:ascii="Times New Roman" w:hAnsi="Times New Roman"/>
          <w:i/>
          <w:iCs/>
          <w:sz w:val="24"/>
          <w:szCs w:val="24"/>
        </w:rPr>
        <w:fldChar w:fldCharType="end"/>
      </w:r>
      <w:bookmarkEnd w:id="187"/>
      <w:r>
        <w:rPr>
          <w:rFonts w:ascii="Times New Roman" w:hAnsi="Times New Roman"/>
          <w:i/>
          <w:iCs/>
          <w:sz w:val="24"/>
          <w:szCs w:val="24"/>
        </w:rPr>
        <w:t>. Double click to change legend</w:t>
      </w:r>
      <w:bookmarkEnd w:id="188"/>
      <w:bookmarkEnd w:id="189"/>
    </w:p>
    <w:p>
      <w:pPr>
        <w:keepNext/>
        <w:jc w:val="center"/>
      </w:pPr>
      <w:r>
        <w:drawing>
          <wp:inline distT="0" distB="0" distL="0" distR="0">
            <wp:extent cx="2667635" cy="4280535"/>
            <wp:effectExtent l="0" t="0" r="0" b="571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667635" cy="428053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190" w:name="_Ref512417923"/>
      <w:bookmarkStart w:id="191" w:name="_Toc122981818"/>
      <w:bookmarkStart w:id="192" w:name="_Toc3792383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42</w:t>
      </w:r>
      <w:r>
        <w:rPr>
          <w:rFonts w:ascii="Times New Roman" w:hAnsi="Times New Roman"/>
          <w:i/>
          <w:iCs/>
          <w:sz w:val="24"/>
          <w:szCs w:val="24"/>
        </w:rPr>
        <w:fldChar w:fldCharType="end"/>
      </w:r>
      <w:bookmarkEnd w:id="190"/>
      <w:r>
        <w:rPr>
          <w:rFonts w:ascii="Times New Roman" w:hAnsi="Times New Roman"/>
          <w:i/>
          <w:iCs/>
          <w:sz w:val="24"/>
          <w:szCs w:val="24"/>
        </w:rPr>
        <w:t>. Configure Plot</w:t>
      </w:r>
      <w:bookmarkEnd w:id="191"/>
      <w:bookmarkEnd w:id="192"/>
    </w:p>
    <w:p>
      <w:pPr>
        <w:pStyle w:val="31"/>
        <w:numPr>
          <w:ilvl w:val="0"/>
          <w:numId w:val="40"/>
        </w:numPr>
        <w:ind w:left="0" w:firstLine="0" w:firstLineChars="0"/>
        <w:rPr>
          <w:rFonts w:ascii="Times New Roman" w:hAnsi="Times New Roman"/>
          <w:sz w:val="24"/>
          <w:szCs w:val="24"/>
        </w:rPr>
      </w:pPr>
      <w: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_Ref512418605 \h </w:instrText>
      </w:r>
      <w:r>
        <w:rPr>
          <w:rFonts w:ascii="Times New Roman" w:hAnsi="Times New Roman"/>
          <w:sz w:val="24"/>
          <w:szCs w:val="24"/>
        </w:rPr>
        <w:fldChar w:fldCharType="separate"/>
      </w:r>
      <w:r>
        <w:rPr>
          <w:rFonts w:ascii="Times New Roman" w:hAnsi="Times New Roman"/>
          <w:i/>
          <w:iCs/>
          <w:sz w:val="24"/>
          <w:szCs w:val="24"/>
        </w:rPr>
        <w:t>Figure 43</w:t>
      </w:r>
      <w:r>
        <w:rPr>
          <w:rFonts w:ascii="Times New Roman" w:hAnsi="Times New Roman"/>
          <w:sz w:val="24"/>
          <w:szCs w:val="24"/>
        </w:rPr>
        <w:fldChar w:fldCharType="end"/>
      </w:r>
      <w:r>
        <w:rPr>
          <w:rFonts w:ascii="Times New Roman" w:hAnsi="Times New Roman"/>
          <w:sz w:val="24"/>
          <w:szCs w:val="24"/>
        </w:rPr>
        <w:t xml:space="preserve"> and </w:t>
      </w:r>
      <w:r>
        <w:rPr>
          <w:rFonts w:ascii="Times New Roman" w:hAnsi="Times New Roman"/>
          <w:sz w:val="24"/>
          <w:szCs w:val="24"/>
        </w:rPr>
        <w:fldChar w:fldCharType="begin"/>
      </w:r>
      <w:r>
        <w:rPr>
          <w:rFonts w:ascii="Times New Roman" w:hAnsi="Times New Roman"/>
          <w:sz w:val="24"/>
          <w:szCs w:val="24"/>
        </w:rPr>
        <w:instrText xml:space="preserve"> REF _Ref512418744 \h </w:instrText>
      </w:r>
      <w:r>
        <w:rPr>
          <w:rFonts w:ascii="Times New Roman" w:hAnsi="Times New Roman"/>
          <w:sz w:val="24"/>
          <w:szCs w:val="24"/>
        </w:rPr>
        <w:fldChar w:fldCharType="separate"/>
      </w:r>
      <w:r>
        <w:rPr>
          <w:rFonts w:ascii="Times New Roman" w:hAnsi="Times New Roman"/>
          <w:i/>
          <w:iCs/>
          <w:sz w:val="24"/>
          <w:szCs w:val="24"/>
        </w:rPr>
        <w:t>Figure 44</w:t>
      </w:r>
      <w:r>
        <w:rPr>
          <w:rFonts w:ascii="Times New Roman" w:hAnsi="Times New Roman"/>
          <w:sz w:val="24"/>
          <w:szCs w:val="24"/>
        </w:rPr>
        <w:fldChar w:fldCharType="end"/>
      </w:r>
      <w:r>
        <w:rPr>
          <w:rFonts w:ascii="Times New Roman" w:hAnsi="Times New Roman"/>
          <w:sz w:val="24"/>
          <w:szCs w:val="24"/>
        </w:rPr>
        <w:t>, these options control zooming in/out, exporting the map image, and overlaying monitor data on the map image.</w:t>
      </w:r>
    </w:p>
    <w:p>
      <w:pPr>
        <w:pStyle w:val="31"/>
        <w:keepNext/>
        <w:ind w:firstLine="0" w:firstLineChars="0"/>
        <w:jc w:val="center"/>
      </w:pPr>
      <w:r>
        <w:drawing>
          <wp:inline distT="0" distB="0" distL="0" distR="0">
            <wp:extent cx="5140325" cy="373380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7"/>
                    <a:srcRect t="3595"/>
                    <a:stretch>
                      <a:fillRect/>
                    </a:stretch>
                  </pic:blipFill>
                  <pic:spPr>
                    <a:xfrm>
                      <a:off x="0" y="0"/>
                      <a:ext cx="5144371" cy="3736575"/>
                    </a:xfrm>
                    <a:prstGeom prst="rect">
                      <a:avLst/>
                    </a:prstGeom>
                    <a:ln>
                      <a:noFill/>
                    </a:ln>
                  </pic:spPr>
                </pic:pic>
              </a:graphicData>
            </a:graphic>
          </wp:inline>
        </w:drawing>
      </w:r>
    </w:p>
    <w:p>
      <w:pPr>
        <w:pStyle w:val="6"/>
        <w:jc w:val="center"/>
        <w:rPr>
          <w:rFonts w:ascii="Times New Roman" w:hAnsi="Times New Roman"/>
          <w:i/>
          <w:iCs/>
          <w:sz w:val="24"/>
          <w:szCs w:val="24"/>
        </w:rPr>
      </w:pPr>
      <w:bookmarkStart w:id="193" w:name="_Ref512418605"/>
      <w:bookmarkStart w:id="194" w:name="_Toc37923839"/>
      <w:bookmarkStart w:id="195" w:name="_Toc12298181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43</w:t>
      </w:r>
      <w:r>
        <w:rPr>
          <w:rFonts w:ascii="Times New Roman" w:hAnsi="Times New Roman"/>
          <w:i/>
          <w:iCs/>
          <w:sz w:val="24"/>
          <w:szCs w:val="24"/>
        </w:rPr>
        <w:fldChar w:fldCharType="end"/>
      </w:r>
      <w:bookmarkEnd w:id="193"/>
      <w:r>
        <w:rPr>
          <w:rFonts w:ascii="Times New Roman" w:hAnsi="Times New Roman"/>
          <w:i/>
          <w:iCs/>
          <w:sz w:val="24"/>
          <w:szCs w:val="24"/>
        </w:rPr>
        <w:t>. Click the Plot menu item to manage map</w:t>
      </w:r>
      <w:bookmarkEnd w:id="194"/>
      <w:bookmarkEnd w:id="195"/>
    </w:p>
    <w:p>
      <w:pPr>
        <w:keepNext/>
        <w:jc w:val="center"/>
      </w:pPr>
      <w:r>
        <w:drawing>
          <wp:inline distT="0" distB="0" distL="0" distR="0">
            <wp:extent cx="5274310" cy="38309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8"/>
                    <a:srcRect t="3595"/>
                    <a:stretch>
                      <a:fillRect/>
                    </a:stretch>
                  </pic:blipFill>
                  <pic:spPr>
                    <a:xfrm>
                      <a:off x="0" y="0"/>
                      <a:ext cx="5274310" cy="3830955"/>
                    </a:xfrm>
                    <a:prstGeom prst="rect">
                      <a:avLst/>
                    </a:prstGeom>
                    <a:ln>
                      <a:noFill/>
                    </a:ln>
                  </pic:spPr>
                </pic:pic>
              </a:graphicData>
            </a:graphic>
          </wp:inline>
        </w:drawing>
      </w:r>
    </w:p>
    <w:p>
      <w:pPr>
        <w:pStyle w:val="6"/>
        <w:jc w:val="center"/>
        <w:rPr>
          <w:rFonts w:ascii="Times New Roman" w:hAnsi="Times New Roman"/>
          <w:i/>
          <w:iCs/>
          <w:sz w:val="24"/>
          <w:szCs w:val="24"/>
        </w:rPr>
      </w:pPr>
      <w:bookmarkStart w:id="196" w:name="_Ref512418744"/>
      <w:bookmarkStart w:id="197" w:name="_Toc37923840"/>
      <w:bookmarkStart w:id="198" w:name="_Toc12298182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44</w:t>
      </w:r>
      <w:r>
        <w:rPr>
          <w:rFonts w:ascii="Times New Roman" w:hAnsi="Times New Roman"/>
          <w:i/>
          <w:iCs/>
          <w:sz w:val="24"/>
          <w:szCs w:val="24"/>
        </w:rPr>
        <w:fldChar w:fldCharType="end"/>
      </w:r>
      <w:bookmarkEnd w:id="196"/>
      <w:r>
        <w:rPr>
          <w:rFonts w:ascii="Times New Roman" w:hAnsi="Times New Roman"/>
          <w:i/>
          <w:iCs/>
          <w:sz w:val="24"/>
          <w:szCs w:val="24"/>
        </w:rPr>
        <w:t>. Right-click the map</w:t>
      </w:r>
      <w:bookmarkEnd w:id="197"/>
      <w:bookmarkEnd w:id="198"/>
    </w:p>
    <w:p>
      <w:pPr>
        <w:pStyle w:val="31"/>
        <w:numPr>
          <w:ilvl w:val="0"/>
          <w:numId w:val="40"/>
        </w:numPr>
        <w:ind w:left="0" w:firstLine="0" w:firstLineChars="0"/>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_Ref512419363 \h </w:instrText>
      </w:r>
      <w:r>
        <w:rPr>
          <w:rFonts w:ascii="Times New Roman" w:hAnsi="Times New Roman"/>
          <w:sz w:val="24"/>
          <w:szCs w:val="24"/>
        </w:rPr>
        <w:fldChar w:fldCharType="separate"/>
      </w:r>
      <w:r>
        <w:rPr>
          <w:rFonts w:ascii="Times New Roman" w:hAnsi="Times New Roman"/>
          <w:i/>
          <w:iCs/>
          <w:sz w:val="24"/>
          <w:szCs w:val="24"/>
        </w:rPr>
        <w:t>Figure 45</w:t>
      </w:r>
      <w:r>
        <w:rPr>
          <w:rFonts w:ascii="Times New Roman" w:hAnsi="Times New Roman"/>
          <w:sz w:val="24"/>
          <w:szCs w:val="24"/>
        </w:rPr>
        <w:fldChar w:fldCharType="end"/>
      </w:r>
      <w:r>
        <w:rPr>
          <w:rFonts w:ascii="Times New Roman" w:hAnsi="Times New Roman"/>
          <w:sz w:val="24"/>
          <w:szCs w:val="24"/>
        </w:rPr>
        <w:t xml:space="preserve">, this option controls the monitors on the DF map, the program checks </w:t>
      </w:r>
      <w:r>
        <w:rPr>
          <w:rFonts w:ascii="Times New Roman" w:hAnsi="Times New Roman"/>
          <w:b/>
          <w:sz w:val="24"/>
          <w:szCs w:val="24"/>
        </w:rPr>
        <w:t>show monitors</w:t>
      </w:r>
      <w:r>
        <w:rPr>
          <w:rFonts w:ascii="Times New Roman" w:hAnsi="Times New Roman"/>
          <w:sz w:val="24"/>
          <w:szCs w:val="24"/>
        </w:rPr>
        <w:t xml:space="preserve"> here in default.</w:t>
      </w:r>
    </w:p>
    <w:p>
      <w:pPr>
        <w:pStyle w:val="31"/>
        <w:keepNext/>
        <w:ind w:firstLine="0" w:firstLineChars="0"/>
      </w:pPr>
      <w:r>
        <w:drawing>
          <wp:inline distT="0" distB="0" distL="0" distR="0">
            <wp:extent cx="5310505" cy="3857625"/>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9"/>
                    <a:srcRect t="3595"/>
                    <a:stretch>
                      <a:fillRect/>
                    </a:stretch>
                  </pic:blipFill>
                  <pic:spPr>
                    <a:xfrm>
                      <a:off x="0" y="0"/>
                      <a:ext cx="5311772" cy="3858165"/>
                    </a:xfrm>
                    <a:prstGeom prst="rect">
                      <a:avLst/>
                    </a:prstGeom>
                    <a:ln>
                      <a:noFill/>
                    </a:ln>
                  </pic:spPr>
                </pic:pic>
              </a:graphicData>
            </a:graphic>
          </wp:inline>
        </w:drawing>
      </w:r>
    </w:p>
    <w:p>
      <w:pPr>
        <w:pStyle w:val="6"/>
        <w:jc w:val="center"/>
        <w:rPr>
          <w:rFonts w:ascii="Times New Roman" w:hAnsi="Times New Roman"/>
          <w:i/>
          <w:iCs/>
          <w:sz w:val="24"/>
          <w:szCs w:val="24"/>
        </w:rPr>
      </w:pPr>
      <w:bookmarkStart w:id="199" w:name="_Ref512419363"/>
      <w:bookmarkStart w:id="200" w:name="_Toc37923841"/>
      <w:bookmarkStart w:id="201" w:name="_Toc12298182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45</w:t>
      </w:r>
      <w:r>
        <w:rPr>
          <w:rFonts w:ascii="Times New Roman" w:hAnsi="Times New Roman"/>
          <w:i/>
          <w:iCs/>
          <w:sz w:val="24"/>
          <w:szCs w:val="24"/>
        </w:rPr>
        <w:fldChar w:fldCharType="end"/>
      </w:r>
      <w:bookmarkEnd w:id="199"/>
      <w:r>
        <w:rPr>
          <w:rFonts w:ascii="Times New Roman" w:hAnsi="Times New Roman"/>
          <w:i/>
          <w:iCs/>
          <w:sz w:val="24"/>
          <w:szCs w:val="24"/>
        </w:rPr>
        <w:t>. Show Monitors</w:t>
      </w:r>
      <w:bookmarkEnd w:id="200"/>
      <w:bookmarkEnd w:id="201"/>
    </w:p>
    <w:p>
      <w:pPr>
        <w:pStyle w:val="31"/>
        <w:numPr>
          <w:ilvl w:val="0"/>
          <w:numId w:val="40"/>
        </w:numPr>
        <w:ind w:left="0" w:firstLine="0" w:firstLineChars="0"/>
        <w:rPr>
          <w:rFonts w:ascii="Times New Roman" w:hAnsi="Times New Roman"/>
          <w:sz w:val="24"/>
          <w:szCs w:val="24"/>
        </w:rPr>
      </w:pPr>
      <w:r>
        <w:rPr>
          <w:rFonts w:ascii="Times New Roman" w:hAnsi="Times New Roman"/>
          <w:sz w:val="24"/>
          <w:szCs w:val="24"/>
        </w:rPr>
        <w:t xml:space="preserve"> As shown in </w:t>
      </w:r>
      <w:r>
        <w:rPr>
          <w:rFonts w:ascii="Times New Roman" w:hAnsi="Times New Roman"/>
          <w:sz w:val="24"/>
          <w:szCs w:val="24"/>
        </w:rPr>
        <w:fldChar w:fldCharType="begin"/>
      </w:r>
      <w:r>
        <w:rPr>
          <w:rFonts w:ascii="Times New Roman" w:hAnsi="Times New Roman"/>
          <w:sz w:val="24"/>
          <w:szCs w:val="24"/>
        </w:rPr>
        <w:instrText xml:space="preserve"> REF _Ref523248337 \h </w:instrText>
      </w:r>
      <w:r>
        <w:rPr>
          <w:rFonts w:ascii="Times New Roman" w:hAnsi="Times New Roman"/>
          <w:sz w:val="24"/>
          <w:szCs w:val="24"/>
        </w:rPr>
        <w:fldChar w:fldCharType="separate"/>
      </w:r>
      <w:r>
        <w:rPr>
          <w:rFonts w:ascii="Times New Roman" w:hAnsi="Times New Roman"/>
          <w:i/>
          <w:iCs/>
          <w:sz w:val="24"/>
          <w:szCs w:val="24"/>
        </w:rPr>
        <w:t>Figure 46</w:t>
      </w:r>
      <w:r>
        <w:rPr>
          <w:rFonts w:ascii="Times New Roman" w:hAnsi="Times New Roman"/>
          <w:sz w:val="24"/>
          <w:szCs w:val="24"/>
        </w:rPr>
        <w:fldChar w:fldCharType="end"/>
      </w:r>
      <w:r>
        <w:rPr>
          <w:rFonts w:ascii="Times New Roman" w:hAnsi="Times New Roman"/>
          <w:sz w:val="24"/>
          <w:szCs w:val="24"/>
        </w:rPr>
        <w:t>, the site information (location, latitude, longitude, country name, etc.) can be viewed by double-clicking on the monitor location on the map of the DF.</w:t>
      </w:r>
    </w:p>
    <w:p>
      <w:pPr>
        <w:pStyle w:val="31"/>
        <w:keepNext/>
        <w:ind w:firstLine="0" w:firstLineChars="0"/>
        <w:jc w:val="center"/>
      </w:pPr>
      <w:r>
        <w:rPr>
          <w:rFonts w:ascii="Times New Roman" w:hAnsi="Times New Roman"/>
          <w:sz w:val="24"/>
          <w:szCs w:val="24"/>
        </w:rPr>
        <w:drawing>
          <wp:inline distT="0" distB="0" distL="0" distR="0">
            <wp:extent cx="3491865" cy="1773555"/>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60">
                      <a:extLst>
                        <a:ext uri="{28A0092B-C50C-407E-A947-70E740481C1C}">
                          <a14:useLocalDpi xmlns:a14="http://schemas.microsoft.com/office/drawing/2010/main" val="0"/>
                        </a:ext>
                      </a:extLst>
                    </a:blip>
                    <a:srcRect l="890" t="1726" r="1389" b="1967"/>
                    <a:stretch>
                      <a:fillRect/>
                    </a:stretch>
                  </pic:blipFill>
                  <pic:spPr>
                    <a:xfrm>
                      <a:off x="0" y="0"/>
                      <a:ext cx="3491865" cy="177355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02" w:name="_Ref523248337"/>
      <w:bookmarkStart w:id="203" w:name="_Toc37923842"/>
      <w:bookmarkStart w:id="204" w:name="_Toc12298182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46</w:t>
      </w:r>
      <w:r>
        <w:rPr>
          <w:rFonts w:ascii="Times New Roman" w:hAnsi="Times New Roman"/>
          <w:i/>
          <w:iCs/>
          <w:sz w:val="24"/>
          <w:szCs w:val="24"/>
        </w:rPr>
        <w:fldChar w:fldCharType="end"/>
      </w:r>
      <w:bookmarkEnd w:id="202"/>
      <w:r>
        <w:rPr>
          <w:rFonts w:ascii="Times New Roman" w:hAnsi="Times New Roman"/>
          <w:i/>
          <w:iCs/>
          <w:sz w:val="24"/>
          <w:szCs w:val="24"/>
        </w:rPr>
        <w:t>. Show site information</w:t>
      </w:r>
      <w:bookmarkEnd w:id="203"/>
      <w:bookmarkEnd w:id="204"/>
    </w:p>
    <w:p>
      <w:pPr>
        <w:pStyle w:val="31"/>
        <w:numPr>
          <w:ilvl w:val="0"/>
          <w:numId w:val="40"/>
        </w:numPr>
        <w:ind w:left="0" w:firstLine="0" w:firstLineChars="0"/>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_Ref512419814 \h </w:instrText>
      </w:r>
      <w:r>
        <w:rPr>
          <w:rFonts w:ascii="Times New Roman" w:hAnsi="Times New Roman"/>
          <w:sz w:val="24"/>
          <w:szCs w:val="24"/>
        </w:rPr>
        <w:fldChar w:fldCharType="separate"/>
      </w:r>
      <w:r>
        <w:rPr>
          <w:rFonts w:ascii="Times New Roman" w:hAnsi="Times New Roman"/>
          <w:i/>
          <w:iCs/>
          <w:sz w:val="24"/>
          <w:szCs w:val="24"/>
        </w:rPr>
        <w:t>Figure 47</w:t>
      </w:r>
      <w:r>
        <w:rPr>
          <w:rFonts w:ascii="Times New Roman" w:hAnsi="Times New Roman"/>
          <w:sz w:val="24"/>
          <w:szCs w:val="24"/>
        </w:rPr>
        <w:fldChar w:fldCharType="end"/>
      </w:r>
      <w:r>
        <w:rPr>
          <w:rFonts w:ascii="Times New Roman" w:hAnsi="Times New Roman"/>
          <w:sz w:val="24"/>
          <w:szCs w:val="24"/>
        </w:rPr>
        <w:t xml:space="preserve">, </w:t>
      </w:r>
      <w:r>
        <w:rPr>
          <w:rFonts w:hint="eastAsia" w:ascii="Times New Roman" w:hAnsi="Times New Roman"/>
          <w:sz w:val="24"/>
          <w:szCs w:val="24"/>
        </w:rPr>
        <w:t>this</w:t>
      </w:r>
      <w:r>
        <w:rPr>
          <w:rFonts w:ascii="Times New Roman" w:hAnsi="Times New Roman"/>
          <w:sz w:val="24"/>
          <w:szCs w:val="24"/>
        </w:rPr>
        <w:t xml:space="preserve"> option is developed for the common mathematical calculations between multiple data fusion results through the formula function.</w:t>
      </w:r>
    </w:p>
    <w:p>
      <w:pPr>
        <w:pStyle w:val="31"/>
        <w:keepNext/>
        <w:ind w:firstLine="0" w:firstLineChars="0"/>
        <w:jc w:val="center"/>
      </w:pPr>
      <w:r>
        <w:drawing>
          <wp:inline distT="0" distB="0" distL="0" distR="0">
            <wp:extent cx="4627245" cy="3587115"/>
            <wp:effectExtent l="0" t="0" r="1905" b="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627245" cy="358711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05" w:name="_Ref512419814"/>
      <w:bookmarkStart w:id="206" w:name="_Toc37923843"/>
      <w:bookmarkStart w:id="207" w:name="_Toc122981823"/>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47</w:t>
      </w:r>
      <w:r>
        <w:rPr>
          <w:rFonts w:ascii="Times New Roman" w:hAnsi="Times New Roman"/>
          <w:i/>
          <w:iCs/>
          <w:sz w:val="24"/>
          <w:szCs w:val="24"/>
        </w:rPr>
        <w:fldChar w:fldCharType="end"/>
      </w:r>
      <w:bookmarkEnd w:id="205"/>
      <w:r>
        <w:rPr>
          <w:rFonts w:ascii="Times New Roman" w:hAnsi="Times New Roman"/>
          <w:i/>
          <w:iCs/>
          <w:sz w:val="24"/>
          <w:szCs w:val="24"/>
        </w:rPr>
        <w:t>. Formula Editor</w:t>
      </w:r>
      <w:bookmarkEnd w:id="206"/>
      <w:bookmarkEnd w:id="207"/>
    </w:p>
    <w:p>
      <w:pPr>
        <w:pStyle w:val="31"/>
        <w:numPr>
          <w:ilvl w:val="0"/>
          <w:numId w:val="40"/>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Click the </w:t>
      </w:r>
      <w:r>
        <w:rPr>
          <w:rFonts w:ascii="Times New Roman" w:hAnsi="Times New Roman"/>
          <w:b/>
          <w:sz w:val="24"/>
          <w:szCs w:val="24"/>
        </w:rPr>
        <w:t>Window</w:t>
      </w:r>
      <w:r>
        <w:rPr>
          <w:rFonts w:ascii="Times New Roman" w:hAnsi="Times New Roman"/>
          <w:sz w:val="24"/>
          <w:szCs w:val="24"/>
        </w:rPr>
        <w:t xml:space="preserve"> menu item with the blue font above the DF Map Viewer window, then choose </w:t>
      </w:r>
      <w:r>
        <w:rPr>
          <w:rFonts w:ascii="Times New Roman" w:hAnsi="Times New Roman"/>
          <w:b/>
          <w:sz w:val="24"/>
          <w:szCs w:val="24"/>
        </w:rPr>
        <w:t>Close</w:t>
      </w:r>
      <w:r>
        <w:rPr>
          <w:rFonts w:ascii="Times New Roman" w:hAnsi="Times New Roman"/>
          <w:sz w:val="24"/>
          <w:szCs w:val="24"/>
        </w:rPr>
        <w:t xml:space="preserve"> to close the window.</w:t>
      </w:r>
    </w:p>
    <w:p>
      <w:pPr>
        <w:pStyle w:val="3"/>
        <w:rPr>
          <w:szCs w:val="28"/>
        </w:rPr>
      </w:pPr>
      <w:bookmarkStart w:id="208" w:name="_Toc122981770"/>
      <w:r>
        <w:rPr>
          <w:rFonts w:hint="eastAsia"/>
          <w:szCs w:val="28"/>
        </w:rPr>
        <w:t>GIS View</w:t>
      </w:r>
      <w:r>
        <w:rPr>
          <w:szCs w:val="28"/>
        </w:rPr>
        <w:t>er</w:t>
      </w:r>
      <w:bookmarkEnd w:id="208"/>
    </w:p>
    <w:p>
      <w:pPr>
        <w:ind w:firstLine="240" w:firstLineChars="100"/>
        <w:jc w:val="both"/>
        <w:rPr>
          <w:szCs w:val="24"/>
        </w:rPr>
      </w:pPr>
      <w:r>
        <w:rPr>
          <w:szCs w:val="24"/>
        </w:rPr>
        <w:t xml:space="preserve">The GIS window displays the </w:t>
      </w:r>
      <w:r>
        <w:rPr>
          <w:rFonts w:hint="eastAsia"/>
          <w:szCs w:val="24"/>
        </w:rPr>
        <w:t>fused</w:t>
      </w:r>
      <w:r>
        <w:rPr>
          <w:szCs w:val="24"/>
        </w:rPr>
        <w:t xml:space="preserve"> results in the selected modeling domain with GIS layer. The configuration options available in the Map window include (1)Zoom in/out on the map; (2)Move the domain with hand icon </w:t>
      </w:r>
      <w:r>
        <w:drawing>
          <wp:inline distT="0" distB="0" distL="0" distR="0">
            <wp:extent cx="120650" cy="1206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a:stretch>
                      <a:fillRect/>
                    </a:stretch>
                  </pic:blipFill>
                  <pic:spPr>
                    <a:xfrm>
                      <a:off x="0" y="0"/>
                      <a:ext cx="120656" cy="120656"/>
                    </a:xfrm>
                    <a:prstGeom prst="rect">
                      <a:avLst/>
                    </a:prstGeom>
                  </pic:spPr>
                </pic:pic>
              </a:graphicData>
            </a:graphic>
          </wp:inline>
        </w:drawing>
      </w:r>
      <w:r>
        <w:rPr>
          <w:szCs w:val="24"/>
        </w:rPr>
        <w:t xml:space="preserve">; (3)Show full extent for current dowmain by clicking the global icon </w:t>
      </w:r>
      <w:r>
        <w:drawing>
          <wp:inline distT="0" distB="0" distL="0" distR="0">
            <wp:extent cx="196850" cy="1968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3"/>
                    <a:stretch>
                      <a:fillRect/>
                    </a:stretch>
                  </pic:blipFill>
                  <pic:spPr>
                    <a:xfrm>
                      <a:off x="0" y="0"/>
                      <a:ext cx="196860" cy="196860"/>
                    </a:xfrm>
                    <a:prstGeom prst="rect">
                      <a:avLst/>
                    </a:prstGeom>
                  </pic:spPr>
                </pic:pic>
              </a:graphicData>
            </a:graphic>
          </wp:inline>
        </w:drawing>
      </w:r>
      <w:r>
        <w:rPr>
          <w:szCs w:val="24"/>
        </w:rPr>
        <w:t xml:space="preserve">;(4) View the fused results in a selected grid cell or receptor by clicking identify icon </w:t>
      </w:r>
      <w:r>
        <w:drawing>
          <wp:inline distT="0" distB="0" distL="0" distR="0">
            <wp:extent cx="107950" cy="107950"/>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4"/>
                    <a:stretch>
                      <a:fillRect/>
                    </a:stretch>
                  </pic:blipFill>
                  <pic:spPr>
                    <a:xfrm>
                      <a:off x="0" y="0"/>
                      <a:ext cx="107956" cy="107956"/>
                    </a:xfrm>
                    <a:prstGeom prst="rect">
                      <a:avLst/>
                    </a:prstGeom>
                  </pic:spPr>
                </pic:pic>
              </a:graphicData>
            </a:graphic>
          </wp:inline>
        </w:drawing>
      </w:r>
      <w:r>
        <w:rPr>
          <w:szCs w:val="24"/>
        </w:rPr>
        <w:t xml:space="preserve"> (5) Save layer files and append new layer files; (6)Display the aggregation average concentration of the selected modeling domain in the receptor regions. The interface of the DF GIS Viewer is shown in </w:t>
      </w:r>
      <w:r>
        <w:rPr>
          <w:szCs w:val="24"/>
        </w:rPr>
        <w:fldChar w:fldCharType="begin"/>
      </w:r>
      <w:r>
        <w:rPr>
          <w:szCs w:val="24"/>
        </w:rPr>
        <w:instrText xml:space="preserve"> REF _Ref512447110 \h </w:instrText>
      </w:r>
      <w:r>
        <w:rPr>
          <w:szCs w:val="24"/>
        </w:rPr>
        <w:fldChar w:fldCharType="separate"/>
      </w:r>
      <w:r>
        <w:rPr>
          <w:i/>
          <w:iCs/>
          <w:szCs w:val="24"/>
        </w:rPr>
        <w:t>Figure 48</w:t>
      </w:r>
      <w:r>
        <w:rPr>
          <w:szCs w:val="24"/>
        </w:rPr>
        <w:fldChar w:fldCharType="end"/>
      </w:r>
      <w:r>
        <w:rPr>
          <w:szCs w:val="24"/>
        </w:rPr>
        <w:t>.</w:t>
      </w:r>
    </w:p>
    <w:p>
      <w:pPr>
        <w:keepNext/>
        <w:jc w:val="both"/>
      </w:pPr>
      <w:r>
        <w:drawing>
          <wp:inline distT="0" distB="0" distL="0" distR="0">
            <wp:extent cx="5274310" cy="3821430"/>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5"/>
                    <a:srcRect t="3835"/>
                    <a:stretch>
                      <a:fillRect/>
                    </a:stretch>
                  </pic:blipFill>
                  <pic:spPr>
                    <a:xfrm>
                      <a:off x="0" y="0"/>
                      <a:ext cx="5274310" cy="3821430"/>
                    </a:xfrm>
                    <a:prstGeom prst="rect">
                      <a:avLst/>
                    </a:prstGeom>
                    <a:ln>
                      <a:noFill/>
                    </a:ln>
                  </pic:spPr>
                </pic:pic>
              </a:graphicData>
            </a:graphic>
          </wp:inline>
        </w:drawing>
      </w:r>
    </w:p>
    <w:p>
      <w:pPr>
        <w:pStyle w:val="6"/>
        <w:jc w:val="center"/>
        <w:rPr>
          <w:rFonts w:ascii="Times New Roman" w:hAnsi="Times New Roman"/>
          <w:i/>
          <w:iCs/>
          <w:sz w:val="24"/>
          <w:szCs w:val="24"/>
        </w:rPr>
      </w:pPr>
      <w:bookmarkStart w:id="209" w:name="_Ref512447110"/>
      <w:bookmarkStart w:id="210" w:name="_Toc37923844"/>
      <w:bookmarkStart w:id="211" w:name="_Toc122981824"/>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48</w:t>
      </w:r>
      <w:r>
        <w:rPr>
          <w:rFonts w:ascii="Times New Roman" w:hAnsi="Times New Roman"/>
          <w:i/>
          <w:iCs/>
          <w:sz w:val="24"/>
          <w:szCs w:val="24"/>
        </w:rPr>
        <w:fldChar w:fldCharType="end"/>
      </w:r>
      <w:bookmarkEnd w:id="209"/>
      <w:r>
        <w:rPr>
          <w:rFonts w:ascii="Times New Roman" w:hAnsi="Times New Roman"/>
          <w:i/>
          <w:iCs/>
          <w:sz w:val="24"/>
          <w:szCs w:val="24"/>
        </w:rPr>
        <w:t>. The interface of the GIS Viewer</w:t>
      </w:r>
      <w:bookmarkEnd w:id="210"/>
      <w:bookmarkEnd w:id="211"/>
    </w:p>
    <w:p>
      <w:pPr>
        <w:pStyle w:val="31"/>
        <w:numPr>
          <w:ilvl w:val="0"/>
          <w:numId w:val="40"/>
        </w:numPr>
        <w:ind w:left="0" w:firstLine="0" w:firstLineChars="0"/>
        <w:rPr>
          <w:rFonts w:ascii="Times New Roman" w:hAnsi="Times New Roman"/>
          <w:sz w:val="24"/>
          <w:szCs w:val="24"/>
        </w:rPr>
      </w:pPr>
      <w:r>
        <w:t xml:space="preserve"> </w:t>
      </w:r>
      <w:r>
        <w:rPr>
          <w:rFonts w:ascii="Times New Roman" w:hAnsi="Times New Roman"/>
          <w:sz w:val="24"/>
          <w:szCs w:val="24"/>
        </w:rPr>
        <w:t xml:space="preserve">To examine the results from a completed DF analysis, select one of the algorithms in the left-hand pane of the Data Viewer window to display the result data on the DF GIS for analysis; select one of the periods in the </w:t>
      </w:r>
      <w:r>
        <w:rPr>
          <w:rFonts w:ascii="Times New Roman" w:hAnsi="Times New Roman"/>
          <w:b/>
          <w:sz w:val="24"/>
          <w:szCs w:val="24"/>
        </w:rPr>
        <w:t>Filter</w:t>
      </w:r>
      <w:r>
        <w:rPr>
          <w:rFonts w:ascii="Times New Roman" w:hAnsi="Times New Roman"/>
          <w:sz w:val="24"/>
          <w:szCs w:val="24"/>
        </w:rPr>
        <w:t xml:space="preserve"> drop-down boxes and one of the pollutants in the </w:t>
      </w:r>
      <w:r>
        <w:rPr>
          <w:rFonts w:ascii="Times New Roman" w:hAnsi="Times New Roman"/>
          <w:b/>
          <w:sz w:val="24"/>
          <w:szCs w:val="24"/>
        </w:rPr>
        <w:t>Variable</w:t>
      </w:r>
      <w:r>
        <w:rPr>
          <w:rFonts w:ascii="Times New Roman" w:hAnsi="Times New Roman"/>
          <w:sz w:val="24"/>
          <w:szCs w:val="24"/>
        </w:rPr>
        <w:t xml:space="preserve"> drop-down boxes for analysis (the default case calculates the average value for PM</w:t>
      </w:r>
      <w:r>
        <w:rPr>
          <w:rFonts w:ascii="Times New Roman" w:hAnsi="Times New Roman"/>
          <w:sz w:val="24"/>
          <w:szCs w:val="24"/>
          <w:vertAlign w:val="subscript"/>
        </w:rPr>
        <w:t xml:space="preserve">2.5 </w:t>
      </w:r>
      <w:r>
        <w:rPr>
          <w:rFonts w:ascii="Times New Roman" w:hAnsi="Times New Roman"/>
          <w:sz w:val="24"/>
          <w:szCs w:val="24"/>
        </w:rPr>
        <w:t xml:space="preserve">only, the cases for analysis of other variables within different periods can implement this operation); select one of the output files in the </w:t>
      </w:r>
      <w:r>
        <w:rPr>
          <w:rFonts w:ascii="Times New Roman" w:hAnsi="Times New Roman"/>
          <w:b/>
          <w:sz w:val="24"/>
          <w:szCs w:val="24"/>
        </w:rPr>
        <w:t>Output Files</w:t>
      </w:r>
      <w:r>
        <w:rPr>
          <w:rFonts w:ascii="Times New Roman" w:hAnsi="Times New Roman"/>
          <w:sz w:val="24"/>
          <w:szCs w:val="24"/>
        </w:rPr>
        <w:t xml:space="preserve"> pane to show the file data on the GIS for analysis (the default case contains only one output file, the analysis cases with multiple output files can implement this operation). Click the </w:t>
      </w:r>
      <w:r>
        <w:rPr>
          <w:rFonts w:ascii="Times New Roman" w:hAnsi="Times New Roman"/>
          <w:b/>
          <w:sz w:val="24"/>
          <w:szCs w:val="24"/>
        </w:rPr>
        <w:t>Apply</w:t>
      </w:r>
      <w:r>
        <w:rPr>
          <w:rFonts w:ascii="Times New Roman" w:hAnsi="Times New Roman"/>
          <w:sz w:val="24"/>
          <w:szCs w:val="24"/>
        </w:rPr>
        <w:t xml:space="preserve"> button to display the selected analysis choices through GIS on the DF.</w:t>
      </w:r>
    </w:p>
    <w:p>
      <w:pPr>
        <w:pStyle w:val="31"/>
        <w:numPr>
          <w:ilvl w:val="0"/>
          <w:numId w:val="40"/>
        </w:numPr>
        <w:ind w:left="0" w:firstLine="0" w:firstLineChars="0"/>
        <w:rPr>
          <w:rFonts w:ascii="Times New Roman" w:hAnsi="Times New Roman"/>
          <w:sz w:val="24"/>
          <w:szCs w:val="24"/>
        </w:rPr>
      </w:pPr>
      <w:r>
        <w:rPr>
          <w:rFonts w:ascii="Times New Roman" w:hAnsi="Times New Roman"/>
          <w:sz w:val="24"/>
          <w:szCs w:val="24"/>
        </w:rPr>
        <w:t xml:space="preserve"> The GIS Viewer shows the aggregation average concentration of the selected modeling domain in default, as shown in </w:t>
      </w:r>
      <w:r>
        <w:rPr>
          <w:rFonts w:ascii="Times New Roman" w:hAnsi="Times New Roman"/>
          <w:sz w:val="24"/>
          <w:szCs w:val="24"/>
        </w:rPr>
        <w:fldChar w:fldCharType="begin"/>
      </w:r>
      <w:r>
        <w:rPr>
          <w:rFonts w:ascii="Times New Roman" w:hAnsi="Times New Roman"/>
          <w:sz w:val="24"/>
          <w:szCs w:val="24"/>
        </w:rPr>
        <w:instrText xml:space="preserve"> REF _Ref512447110 \h </w:instrText>
      </w:r>
      <w:r>
        <w:rPr>
          <w:rFonts w:ascii="Times New Roman" w:hAnsi="Times New Roman"/>
          <w:sz w:val="24"/>
          <w:szCs w:val="24"/>
        </w:rPr>
        <w:fldChar w:fldCharType="separate"/>
      </w:r>
      <w:r>
        <w:rPr>
          <w:rFonts w:ascii="Times New Roman" w:hAnsi="Times New Roman"/>
          <w:i/>
          <w:iCs/>
          <w:sz w:val="24"/>
          <w:szCs w:val="24"/>
        </w:rPr>
        <w:t>Figure 48</w:t>
      </w:r>
      <w:r>
        <w:rPr>
          <w:rFonts w:ascii="Times New Roman" w:hAnsi="Times New Roman"/>
          <w:sz w:val="24"/>
          <w:szCs w:val="24"/>
        </w:rPr>
        <w:fldChar w:fldCharType="end"/>
      </w:r>
      <w:r>
        <w:rPr>
          <w:rFonts w:ascii="Times New Roman" w:hAnsi="Times New Roman"/>
          <w:sz w:val="24"/>
          <w:szCs w:val="24"/>
        </w:rPr>
        <w:t xml:space="preserve">. Unchecking the </w:t>
      </w:r>
      <w:r>
        <w:rPr>
          <w:rFonts w:ascii="Times New Roman" w:hAnsi="Times New Roman"/>
          <w:b/>
          <w:sz w:val="24"/>
          <w:szCs w:val="24"/>
        </w:rPr>
        <w:t>Show Receptor</w:t>
      </w:r>
      <w:r>
        <w:rPr>
          <w:rFonts w:ascii="Times New Roman" w:hAnsi="Times New Roman"/>
          <w:sz w:val="24"/>
          <w:szCs w:val="24"/>
        </w:rPr>
        <w:t xml:space="preserve"> can show the spatial distribution of the pollutants, as shown in </w:t>
      </w:r>
      <w:r>
        <w:rPr>
          <w:rFonts w:ascii="Times New Roman" w:hAnsi="Times New Roman"/>
          <w:sz w:val="24"/>
          <w:szCs w:val="24"/>
        </w:rPr>
        <w:fldChar w:fldCharType="begin"/>
      </w:r>
      <w:r>
        <w:rPr>
          <w:rFonts w:ascii="Times New Roman" w:hAnsi="Times New Roman"/>
          <w:sz w:val="24"/>
          <w:szCs w:val="24"/>
        </w:rPr>
        <w:instrText xml:space="preserve"> REF _Ref512448367 \h </w:instrText>
      </w:r>
      <w:r>
        <w:rPr>
          <w:rFonts w:ascii="Times New Roman" w:hAnsi="Times New Roman"/>
          <w:sz w:val="24"/>
          <w:szCs w:val="24"/>
        </w:rPr>
        <w:fldChar w:fldCharType="separate"/>
      </w:r>
      <w:r>
        <w:rPr>
          <w:rFonts w:ascii="Times New Roman" w:hAnsi="Times New Roman"/>
          <w:i/>
          <w:iCs/>
          <w:sz w:val="24"/>
          <w:szCs w:val="24"/>
        </w:rPr>
        <w:t>Figure 49</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jc w:val="center"/>
      </w:pPr>
      <w:r>
        <w:drawing>
          <wp:inline distT="0" distB="0" distL="0" distR="0">
            <wp:extent cx="5091430" cy="3667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6"/>
                    <a:stretch>
                      <a:fillRect/>
                    </a:stretch>
                  </pic:blipFill>
                  <pic:spPr>
                    <a:xfrm>
                      <a:off x="0" y="0"/>
                      <a:ext cx="5097402" cy="3671162"/>
                    </a:xfrm>
                    <a:prstGeom prst="rect">
                      <a:avLst/>
                    </a:prstGeom>
                  </pic:spPr>
                </pic:pic>
              </a:graphicData>
            </a:graphic>
          </wp:inline>
        </w:drawing>
      </w:r>
    </w:p>
    <w:p>
      <w:pPr>
        <w:pStyle w:val="6"/>
        <w:jc w:val="center"/>
        <w:rPr>
          <w:rFonts w:ascii="Times New Roman" w:hAnsi="Times New Roman"/>
          <w:i/>
          <w:iCs/>
          <w:sz w:val="24"/>
          <w:szCs w:val="24"/>
        </w:rPr>
      </w:pPr>
      <w:bookmarkStart w:id="212" w:name="_Ref512448367"/>
      <w:bookmarkStart w:id="213" w:name="_Toc37923845"/>
      <w:bookmarkStart w:id="214" w:name="_Toc12298182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49</w:t>
      </w:r>
      <w:r>
        <w:rPr>
          <w:rFonts w:ascii="Times New Roman" w:hAnsi="Times New Roman"/>
          <w:i/>
          <w:iCs/>
          <w:sz w:val="24"/>
          <w:szCs w:val="24"/>
        </w:rPr>
        <w:fldChar w:fldCharType="end"/>
      </w:r>
      <w:bookmarkEnd w:id="212"/>
      <w:r>
        <w:rPr>
          <w:rFonts w:ascii="Times New Roman" w:hAnsi="Times New Roman"/>
          <w:i/>
          <w:iCs/>
          <w:sz w:val="24"/>
          <w:szCs w:val="24"/>
        </w:rPr>
        <w:t>. GIS Viewer (spatial distribution of pollutants)</w:t>
      </w:r>
      <w:bookmarkEnd w:id="213"/>
      <w:bookmarkEnd w:id="214"/>
    </w:p>
    <w:p>
      <w:pPr>
        <w:pStyle w:val="31"/>
        <w:numPr>
          <w:ilvl w:val="0"/>
          <w:numId w:val="40"/>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_Ref512449110 \h </w:instrText>
      </w:r>
      <w:r>
        <w:rPr>
          <w:rFonts w:ascii="Times New Roman" w:hAnsi="Times New Roman"/>
          <w:sz w:val="24"/>
          <w:szCs w:val="24"/>
        </w:rPr>
        <w:fldChar w:fldCharType="separate"/>
      </w:r>
      <w:r>
        <w:rPr>
          <w:rFonts w:ascii="Times New Roman" w:hAnsi="Times New Roman"/>
          <w:i/>
          <w:iCs/>
          <w:sz w:val="24"/>
          <w:szCs w:val="24"/>
        </w:rPr>
        <w:t>Figure 50</w:t>
      </w:r>
      <w:r>
        <w:rPr>
          <w:rFonts w:ascii="Times New Roman" w:hAnsi="Times New Roman"/>
          <w:sz w:val="24"/>
          <w:szCs w:val="24"/>
        </w:rPr>
        <w:fldChar w:fldCharType="end"/>
      </w:r>
      <w:r>
        <w:rPr>
          <w:rFonts w:ascii="Times New Roman" w:hAnsi="Times New Roman"/>
          <w:sz w:val="24"/>
          <w:szCs w:val="24"/>
        </w:rPr>
        <w:t xml:space="preserve">, this option provides a quick adjustment of the GIS map legend levels. Double-click the color bar to display the legend controls, as shown in </w:t>
      </w:r>
      <w:r>
        <w:rPr>
          <w:rFonts w:ascii="Times New Roman" w:hAnsi="Times New Roman"/>
          <w:sz w:val="24"/>
          <w:szCs w:val="24"/>
        </w:rPr>
        <w:fldChar w:fldCharType="begin"/>
      </w:r>
      <w:r>
        <w:rPr>
          <w:rFonts w:ascii="Times New Roman" w:hAnsi="Times New Roman"/>
          <w:sz w:val="24"/>
          <w:szCs w:val="24"/>
        </w:rPr>
        <w:instrText xml:space="preserve"> REF _Ref512449241 \h </w:instrText>
      </w:r>
      <w:r>
        <w:rPr>
          <w:rFonts w:ascii="Times New Roman" w:hAnsi="Times New Roman"/>
          <w:sz w:val="24"/>
          <w:szCs w:val="24"/>
        </w:rPr>
        <w:fldChar w:fldCharType="separate"/>
      </w:r>
      <w:r>
        <w:rPr>
          <w:rFonts w:ascii="Times New Roman" w:hAnsi="Times New Roman"/>
          <w:i/>
          <w:iCs/>
          <w:sz w:val="24"/>
          <w:szCs w:val="24"/>
        </w:rPr>
        <w:t>Figure 51</w:t>
      </w:r>
      <w:r>
        <w:rPr>
          <w:rFonts w:ascii="Times New Roman" w:hAnsi="Times New Roman"/>
          <w:sz w:val="24"/>
          <w:szCs w:val="24"/>
        </w:rPr>
        <w:fldChar w:fldCharType="end"/>
      </w:r>
      <w:r>
        <w:rPr>
          <w:rFonts w:ascii="Times New Roman" w:hAnsi="Times New Roman"/>
          <w:sz w:val="24"/>
          <w:szCs w:val="24"/>
        </w:rPr>
        <w:t>. The legend controls can set the minimum and maximum values of the legend and the individual colors on the scale. More detailed customization of the legend of the map is available by double-clicking a map layer in the Layer Controls section of the GIS window.</w:t>
      </w:r>
    </w:p>
    <w:p>
      <w:pPr>
        <w:pStyle w:val="31"/>
        <w:keepNext/>
        <w:ind w:firstLine="0" w:firstLineChars="0"/>
        <w:jc w:val="center"/>
      </w:pPr>
      <w:r>
        <w:drawing>
          <wp:inline distT="0" distB="0" distL="0" distR="0">
            <wp:extent cx="5128260" cy="371856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41078" cy="3727912"/>
                    </a:xfrm>
                    <a:prstGeom prst="rect">
                      <a:avLst/>
                    </a:prstGeom>
                    <a:noFill/>
                  </pic:spPr>
                </pic:pic>
              </a:graphicData>
            </a:graphic>
          </wp:inline>
        </w:drawing>
      </w:r>
    </w:p>
    <w:p>
      <w:pPr>
        <w:pStyle w:val="6"/>
        <w:jc w:val="center"/>
        <w:rPr>
          <w:rFonts w:ascii="Times New Roman" w:hAnsi="Times New Roman"/>
          <w:i/>
          <w:iCs/>
          <w:sz w:val="24"/>
          <w:szCs w:val="24"/>
        </w:rPr>
      </w:pPr>
      <w:bookmarkStart w:id="215" w:name="_Ref512449110"/>
      <w:bookmarkStart w:id="216" w:name="_Toc37923846"/>
      <w:bookmarkStart w:id="217" w:name="_Toc12298182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50</w:t>
      </w:r>
      <w:r>
        <w:rPr>
          <w:rFonts w:ascii="Times New Roman" w:hAnsi="Times New Roman"/>
          <w:i/>
          <w:iCs/>
          <w:sz w:val="24"/>
          <w:szCs w:val="24"/>
        </w:rPr>
        <w:fldChar w:fldCharType="end"/>
      </w:r>
      <w:bookmarkEnd w:id="215"/>
      <w:r>
        <w:rPr>
          <w:rFonts w:ascii="Times New Roman" w:hAnsi="Times New Roman"/>
          <w:i/>
          <w:iCs/>
          <w:sz w:val="24"/>
          <w:szCs w:val="24"/>
        </w:rPr>
        <w:t>.</w:t>
      </w:r>
      <w:r>
        <w:rPr>
          <w:i/>
          <w:iCs/>
        </w:rPr>
        <w:t xml:space="preserve"> </w:t>
      </w:r>
      <w:r>
        <w:rPr>
          <w:rFonts w:ascii="Times New Roman" w:hAnsi="Times New Roman"/>
          <w:i/>
          <w:iCs/>
          <w:sz w:val="24"/>
          <w:szCs w:val="24"/>
        </w:rPr>
        <w:t>Double click to change legend</w:t>
      </w:r>
      <w:bookmarkEnd w:id="216"/>
      <w:bookmarkEnd w:id="217"/>
    </w:p>
    <w:p>
      <w:pPr>
        <w:keepNext/>
        <w:jc w:val="center"/>
      </w:pPr>
      <w:r>
        <w:drawing>
          <wp:inline distT="0" distB="0" distL="0" distR="0">
            <wp:extent cx="5219700" cy="2876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8"/>
                    <a:srcRect l="541" r="494" b="571"/>
                    <a:stretch>
                      <a:fillRect/>
                    </a:stretch>
                  </pic:blipFill>
                  <pic:spPr>
                    <a:xfrm>
                      <a:off x="0" y="0"/>
                      <a:ext cx="5219700" cy="2876550"/>
                    </a:xfrm>
                    <a:prstGeom prst="rect">
                      <a:avLst/>
                    </a:prstGeom>
                    <a:ln>
                      <a:noFill/>
                    </a:ln>
                  </pic:spPr>
                </pic:pic>
              </a:graphicData>
            </a:graphic>
          </wp:inline>
        </w:drawing>
      </w:r>
    </w:p>
    <w:p>
      <w:pPr>
        <w:pStyle w:val="6"/>
        <w:jc w:val="center"/>
        <w:rPr>
          <w:rFonts w:ascii="Times New Roman" w:hAnsi="Times New Roman"/>
          <w:i/>
          <w:iCs/>
          <w:sz w:val="24"/>
          <w:szCs w:val="24"/>
        </w:rPr>
      </w:pPr>
      <w:bookmarkStart w:id="218" w:name="_Ref512449241"/>
      <w:bookmarkStart w:id="219" w:name="_Toc122981827"/>
      <w:bookmarkStart w:id="220" w:name="_Toc37923847"/>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51</w:t>
      </w:r>
      <w:r>
        <w:rPr>
          <w:rFonts w:ascii="Times New Roman" w:hAnsi="Times New Roman"/>
          <w:i/>
          <w:iCs/>
          <w:sz w:val="24"/>
          <w:szCs w:val="24"/>
        </w:rPr>
        <w:fldChar w:fldCharType="end"/>
      </w:r>
      <w:bookmarkEnd w:id="218"/>
      <w:r>
        <w:rPr>
          <w:rFonts w:ascii="Times New Roman" w:hAnsi="Times New Roman"/>
          <w:i/>
          <w:iCs/>
          <w:sz w:val="24"/>
          <w:szCs w:val="24"/>
        </w:rPr>
        <w:t>. Set Value Range</w:t>
      </w:r>
      <w:bookmarkEnd w:id="219"/>
      <w:bookmarkEnd w:id="220"/>
    </w:p>
    <w:p>
      <w:pPr>
        <w:pStyle w:val="31"/>
        <w:numPr>
          <w:ilvl w:val="0"/>
          <w:numId w:val="40"/>
        </w:numPr>
        <w:ind w:left="0" w:firstLine="0" w:firstLineChars="0"/>
        <w:rPr>
          <w:rFonts w:ascii="Times New Roman" w:hAnsi="Times New Roman"/>
          <w:sz w:val="24"/>
          <w:szCs w:val="24"/>
        </w:rPr>
      </w:pP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_Ref512449600 \h </w:instrText>
      </w:r>
      <w:r>
        <w:rPr>
          <w:rFonts w:ascii="Times New Roman" w:hAnsi="Times New Roman"/>
          <w:sz w:val="24"/>
          <w:szCs w:val="24"/>
        </w:rPr>
        <w:fldChar w:fldCharType="separate"/>
      </w:r>
      <w:r>
        <w:rPr>
          <w:rFonts w:ascii="Times New Roman" w:hAnsi="Times New Roman"/>
          <w:i/>
          <w:iCs/>
          <w:sz w:val="24"/>
          <w:szCs w:val="24"/>
        </w:rPr>
        <w:t>Figure 52</w:t>
      </w:r>
      <w:r>
        <w:rPr>
          <w:rFonts w:ascii="Times New Roman" w:hAnsi="Times New Roman"/>
          <w:sz w:val="24"/>
          <w:szCs w:val="24"/>
        </w:rPr>
        <w:fldChar w:fldCharType="end"/>
      </w:r>
      <w:r>
        <w:rPr>
          <w:rFonts w:ascii="Times New Roman" w:hAnsi="Times New Roman"/>
          <w:sz w:val="24"/>
          <w:szCs w:val="24"/>
        </w:rPr>
        <w:t xml:space="preserve"> and </w:t>
      </w:r>
      <w:r>
        <w:rPr>
          <w:rFonts w:ascii="Times New Roman" w:hAnsi="Times New Roman"/>
          <w:sz w:val="24"/>
          <w:szCs w:val="24"/>
        </w:rPr>
        <w:fldChar w:fldCharType="begin"/>
      </w:r>
      <w:r>
        <w:rPr>
          <w:rFonts w:ascii="Times New Roman" w:hAnsi="Times New Roman"/>
          <w:sz w:val="24"/>
          <w:szCs w:val="24"/>
        </w:rPr>
        <w:instrText xml:space="preserve"> REF _Ref512449756 \h </w:instrText>
      </w:r>
      <w:r>
        <w:rPr>
          <w:rFonts w:ascii="Times New Roman" w:hAnsi="Times New Roman"/>
          <w:sz w:val="24"/>
          <w:szCs w:val="24"/>
        </w:rPr>
        <w:fldChar w:fldCharType="separate"/>
      </w:r>
      <w:r>
        <w:rPr>
          <w:rFonts w:ascii="Times New Roman" w:hAnsi="Times New Roman"/>
          <w:i/>
          <w:iCs/>
          <w:sz w:val="24"/>
          <w:szCs w:val="24"/>
        </w:rPr>
        <w:t>Figure 53</w:t>
      </w:r>
      <w:r>
        <w:rPr>
          <w:rFonts w:ascii="Times New Roman" w:hAnsi="Times New Roman"/>
          <w:sz w:val="24"/>
          <w:szCs w:val="24"/>
        </w:rPr>
        <w:fldChar w:fldCharType="end"/>
      </w:r>
      <w:r>
        <w:rPr>
          <w:rFonts w:ascii="Times New Roman" w:hAnsi="Times New Roman"/>
          <w:sz w:val="24"/>
          <w:szCs w:val="24"/>
        </w:rPr>
        <w:t>, these options control zooming in/out and panning the map display, probing monitor values, exporting the map image, saving a shapefile of the results, and adding external shapefile data to the GIS map.</w:t>
      </w:r>
    </w:p>
    <w:p>
      <w:pPr>
        <w:pStyle w:val="31"/>
        <w:keepNext/>
        <w:ind w:firstLine="0" w:firstLineChars="0"/>
        <w:jc w:val="center"/>
      </w:pPr>
      <w:r>
        <w:drawing>
          <wp:inline distT="0" distB="0" distL="0" distR="0">
            <wp:extent cx="5175250" cy="3733800"/>
            <wp:effectExtent l="0" t="0" r="635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9"/>
                    <a:stretch>
                      <a:fillRect/>
                    </a:stretch>
                  </pic:blipFill>
                  <pic:spPr>
                    <a:xfrm>
                      <a:off x="0" y="0"/>
                      <a:ext cx="5178420" cy="3735744"/>
                    </a:xfrm>
                    <a:prstGeom prst="rect">
                      <a:avLst/>
                    </a:prstGeom>
                  </pic:spPr>
                </pic:pic>
              </a:graphicData>
            </a:graphic>
          </wp:inline>
        </w:drawing>
      </w:r>
    </w:p>
    <w:p>
      <w:pPr>
        <w:pStyle w:val="6"/>
        <w:jc w:val="center"/>
        <w:rPr>
          <w:rFonts w:ascii="Times New Roman" w:hAnsi="Times New Roman"/>
          <w:i/>
          <w:iCs/>
          <w:sz w:val="24"/>
          <w:szCs w:val="24"/>
        </w:rPr>
      </w:pPr>
      <w:bookmarkStart w:id="221" w:name="_Ref512449600"/>
      <w:bookmarkStart w:id="222" w:name="_Toc122981828"/>
      <w:bookmarkStart w:id="223" w:name="_Toc3792384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52</w:t>
      </w:r>
      <w:r>
        <w:rPr>
          <w:rFonts w:ascii="Times New Roman" w:hAnsi="Times New Roman"/>
          <w:i/>
          <w:iCs/>
          <w:sz w:val="24"/>
          <w:szCs w:val="24"/>
        </w:rPr>
        <w:fldChar w:fldCharType="end"/>
      </w:r>
      <w:bookmarkEnd w:id="221"/>
      <w:r>
        <w:rPr>
          <w:rFonts w:ascii="Times New Roman" w:hAnsi="Times New Roman"/>
          <w:i/>
          <w:iCs/>
          <w:sz w:val="24"/>
          <w:szCs w:val="24"/>
        </w:rPr>
        <w:t>. Click shortcut key to change the GIS map configurations</w:t>
      </w:r>
      <w:bookmarkEnd w:id="222"/>
      <w:bookmarkEnd w:id="223"/>
    </w:p>
    <w:p>
      <w:pPr>
        <w:keepNext/>
      </w:pPr>
      <w:r>
        <w:drawing>
          <wp:inline distT="0" distB="0" distL="0" distR="0">
            <wp:extent cx="5274310" cy="383095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0"/>
                    <a:srcRect t="3595"/>
                    <a:stretch>
                      <a:fillRect/>
                    </a:stretch>
                  </pic:blipFill>
                  <pic:spPr>
                    <a:xfrm>
                      <a:off x="0" y="0"/>
                      <a:ext cx="5274310" cy="3830955"/>
                    </a:xfrm>
                    <a:prstGeom prst="rect">
                      <a:avLst/>
                    </a:prstGeom>
                    <a:ln>
                      <a:noFill/>
                    </a:ln>
                  </pic:spPr>
                </pic:pic>
              </a:graphicData>
            </a:graphic>
          </wp:inline>
        </w:drawing>
      </w:r>
    </w:p>
    <w:p>
      <w:pPr>
        <w:pStyle w:val="6"/>
        <w:jc w:val="center"/>
        <w:rPr>
          <w:rFonts w:ascii="Times New Roman" w:hAnsi="Times New Roman"/>
          <w:i/>
          <w:iCs/>
          <w:sz w:val="24"/>
          <w:szCs w:val="24"/>
        </w:rPr>
      </w:pPr>
      <w:bookmarkStart w:id="224" w:name="_Ref512449756"/>
      <w:bookmarkStart w:id="225" w:name="_Toc122981829"/>
      <w:bookmarkStart w:id="226" w:name="_Toc3792384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53</w:t>
      </w:r>
      <w:r>
        <w:rPr>
          <w:rFonts w:ascii="Times New Roman" w:hAnsi="Times New Roman"/>
          <w:i/>
          <w:iCs/>
          <w:sz w:val="24"/>
          <w:szCs w:val="24"/>
        </w:rPr>
        <w:fldChar w:fldCharType="end"/>
      </w:r>
      <w:bookmarkEnd w:id="224"/>
      <w:r>
        <w:rPr>
          <w:rFonts w:ascii="Times New Roman" w:hAnsi="Times New Roman"/>
          <w:i/>
          <w:iCs/>
          <w:sz w:val="24"/>
          <w:szCs w:val="24"/>
        </w:rPr>
        <w:t>. Right-click to save the GIS Layer</w:t>
      </w:r>
      <w:bookmarkEnd w:id="225"/>
      <w:bookmarkEnd w:id="226"/>
    </w:p>
    <w:p>
      <w:pPr>
        <w:pStyle w:val="31"/>
        <w:numPr>
          <w:ilvl w:val="0"/>
          <w:numId w:val="40"/>
        </w:numPr>
        <w:ind w:left="0" w:firstLine="0" w:firstLineChars="0"/>
        <w:rPr>
          <w:rFonts w:ascii="Times New Roman" w:hAnsi="Times New Roman"/>
          <w:sz w:val="24"/>
          <w:szCs w:val="24"/>
        </w:rPr>
      </w:pPr>
      <w:r>
        <w:rPr>
          <w:rFonts w:ascii="Times New Roman" w:hAnsi="Times New Roman"/>
          <w:sz w:val="24"/>
          <w:szCs w:val="24"/>
        </w:rPr>
        <w:t xml:space="preserve">As shown in the red box in </w:t>
      </w:r>
      <w:r>
        <w:rPr>
          <w:rFonts w:ascii="Times New Roman" w:hAnsi="Times New Roman"/>
          <w:sz w:val="24"/>
          <w:szCs w:val="24"/>
        </w:rPr>
        <w:fldChar w:fldCharType="begin"/>
      </w:r>
      <w:r>
        <w:rPr>
          <w:rFonts w:ascii="Times New Roman" w:hAnsi="Times New Roman"/>
          <w:sz w:val="24"/>
          <w:szCs w:val="24"/>
        </w:rPr>
        <w:instrText xml:space="preserve"> REF _Ref512451487 \h </w:instrText>
      </w:r>
      <w:r>
        <w:rPr>
          <w:rFonts w:ascii="Times New Roman" w:hAnsi="Times New Roman"/>
          <w:sz w:val="24"/>
          <w:szCs w:val="24"/>
        </w:rPr>
        <w:fldChar w:fldCharType="separate"/>
      </w:r>
      <w:r>
        <w:rPr>
          <w:rFonts w:ascii="Times New Roman" w:hAnsi="Times New Roman"/>
          <w:i/>
          <w:iCs/>
          <w:sz w:val="24"/>
          <w:szCs w:val="24"/>
        </w:rPr>
        <w:t>Figure 54</w:t>
      </w:r>
      <w:r>
        <w:rPr>
          <w:rFonts w:ascii="Times New Roman" w:hAnsi="Times New Roman"/>
          <w:sz w:val="24"/>
          <w:szCs w:val="24"/>
        </w:rPr>
        <w:fldChar w:fldCharType="end"/>
      </w:r>
      <w:r>
        <w:rPr>
          <w:rFonts w:ascii="Times New Roman" w:hAnsi="Times New Roman"/>
          <w:sz w:val="24"/>
          <w:szCs w:val="24"/>
        </w:rPr>
        <w:t>,</w:t>
      </w:r>
      <w:r>
        <w:t xml:space="preserve"> </w:t>
      </w:r>
      <w:r>
        <w:rPr>
          <w:rFonts w:ascii="Times New Roman" w:hAnsi="Times New Roman"/>
          <w:sz w:val="24"/>
          <w:szCs w:val="24"/>
        </w:rPr>
        <w:t>these options control the layer attributes of the DF result to display on the map, the ability to quickly zoom to selected sub-regions (Zoom To) and the boundary layer attributes to display on the map (Domain Selections). The Map Layers section of this area can display different GIS layers, and right-clicking on any of the layers to provide advanced configuration controls for the layer.</w:t>
      </w:r>
    </w:p>
    <w:p>
      <w:pPr>
        <w:pStyle w:val="31"/>
        <w:keepNext/>
        <w:ind w:firstLine="0" w:firstLineChars="0"/>
        <w:jc w:val="center"/>
      </w:pPr>
      <w:r>
        <w:drawing>
          <wp:inline distT="0" distB="0" distL="0" distR="0">
            <wp:extent cx="5059680" cy="3648075"/>
            <wp:effectExtent l="0" t="0" r="762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1"/>
                    <a:stretch>
                      <a:fillRect/>
                    </a:stretch>
                  </pic:blipFill>
                  <pic:spPr>
                    <a:xfrm>
                      <a:off x="0" y="0"/>
                      <a:ext cx="5064313" cy="3650989"/>
                    </a:xfrm>
                    <a:prstGeom prst="rect">
                      <a:avLst/>
                    </a:prstGeom>
                  </pic:spPr>
                </pic:pic>
              </a:graphicData>
            </a:graphic>
          </wp:inline>
        </w:drawing>
      </w:r>
    </w:p>
    <w:p>
      <w:pPr>
        <w:pStyle w:val="6"/>
        <w:jc w:val="center"/>
        <w:rPr>
          <w:rFonts w:ascii="Times New Roman" w:hAnsi="Times New Roman"/>
          <w:i/>
          <w:iCs/>
          <w:sz w:val="24"/>
          <w:szCs w:val="24"/>
        </w:rPr>
      </w:pPr>
      <w:bookmarkStart w:id="227" w:name="_Ref512451487"/>
      <w:bookmarkStart w:id="228" w:name="_Toc122981830"/>
      <w:bookmarkStart w:id="229" w:name="_Toc3792385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54</w:t>
      </w:r>
      <w:r>
        <w:rPr>
          <w:rFonts w:ascii="Times New Roman" w:hAnsi="Times New Roman"/>
          <w:i/>
          <w:iCs/>
          <w:sz w:val="24"/>
          <w:szCs w:val="24"/>
        </w:rPr>
        <w:fldChar w:fldCharType="end"/>
      </w:r>
      <w:bookmarkEnd w:id="227"/>
      <w:r>
        <w:rPr>
          <w:rFonts w:ascii="Times New Roman" w:hAnsi="Times New Roman"/>
          <w:i/>
          <w:iCs/>
          <w:sz w:val="24"/>
          <w:szCs w:val="24"/>
        </w:rPr>
        <w:t>. Options of showing different GIS layers</w:t>
      </w:r>
      <w:bookmarkEnd w:id="228"/>
      <w:bookmarkEnd w:id="229"/>
    </w:p>
    <w:p>
      <w:pPr>
        <w:keepNext/>
        <w:jc w:val="center"/>
      </w:pPr>
      <w:r>
        <w:drawing>
          <wp:inline distT="0" distB="0" distL="0" distR="0">
            <wp:extent cx="5226685" cy="3769995"/>
            <wp:effectExtent l="0" t="0" r="0"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2"/>
                    <a:stretch>
                      <a:fillRect/>
                    </a:stretch>
                  </pic:blipFill>
                  <pic:spPr>
                    <a:xfrm>
                      <a:off x="0" y="0"/>
                      <a:ext cx="5229756" cy="3772778"/>
                    </a:xfrm>
                    <a:prstGeom prst="rect">
                      <a:avLst/>
                    </a:prstGeom>
                  </pic:spPr>
                </pic:pic>
              </a:graphicData>
            </a:graphic>
          </wp:inline>
        </w:drawing>
      </w:r>
    </w:p>
    <w:p>
      <w:pPr>
        <w:pStyle w:val="6"/>
        <w:jc w:val="center"/>
        <w:rPr>
          <w:rFonts w:ascii="Times New Roman" w:hAnsi="Times New Roman"/>
          <w:i/>
          <w:iCs/>
          <w:sz w:val="24"/>
          <w:szCs w:val="24"/>
        </w:rPr>
      </w:pPr>
      <w:bookmarkStart w:id="230" w:name="_Ref512451473"/>
      <w:bookmarkStart w:id="231" w:name="_Toc122981831"/>
      <w:bookmarkStart w:id="232" w:name="_Toc3792385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55</w:t>
      </w:r>
      <w:r>
        <w:rPr>
          <w:rFonts w:ascii="Times New Roman" w:hAnsi="Times New Roman"/>
          <w:i/>
          <w:iCs/>
          <w:sz w:val="24"/>
          <w:szCs w:val="24"/>
        </w:rPr>
        <w:fldChar w:fldCharType="end"/>
      </w:r>
      <w:bookmarkEnd w:id="230"/>
      <w:r>
        <w:rPr>
          <w:rFonts w:ascii="Times New Roman" w:hAnsi="Times New Roman"/>
          <w:i/>
          <w:iCs/>
          <w:sz w:val="24"/>
          <w:szCs w:val="24"/>
        </w:rPr>
        <w:t>. Show GIS layers of different regions</w:t>
      </w:r>
      <w:bookmarkEnd w:id="231"/>
      <w:bookmarkEnd w:id="232"/>
    </w:p>
    <w:p>
      <w:pPr>
        <w:keepNext/>
        <w:jc w:val="center"/>
      </w:pPr>
      <w:r>
        <w:drawing>
          <wp:inline distT="0" distB="0" distL="0" distR="0">
            <wp:extent cx="5149850" cy="37338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3"/>
                    <a:stretch>
                      <a:fillRect/>
                    </a:stretch>
                  </pic:blipFill>
                  <pic:spPr>
                    <a:xfrm>
                      <a:off x="0" y="0"/>
                      <a:ext cx="5150462" cy="3734178"/>
                    </a:xfrm>
                    <a:prstGeom prst="rect">
                      <a:avLst/>
                    </a:prstGeom>
                  </pic:spPr>
                </pic:pic>
              </a:graphicData>
            </a:graphic>
          </wp:inline>
        </w:drawing>
      </w:r>
    </w:p>
    <w:p>
      <w:pPr>
        <w:pStyle w:val="6"/>
        <w:jc w:val="center"/>
        <w:rPr>
          <w:rFonts w:ascii="Times New Roman" w:hAnsi="Times New Roman"/>
          <w:i/>
          <w:iCs/>
          <w:sz w:val="24"/>
          <w:szCs w:val="24"/>
        </w:rPr>
      </w:pPr>
      <w:bookmarkStart w:id="233" w:name="_Ref512451500"/>
      <w:bookmarkStart w:id="234" w:name="_Toc37923852"/>
      <w:bookmarkStart w:id="235" w:name="_Toc12298183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56</w:t>
      </w:r>
      <w:r>
        <w:rPr>
          <w:rFonts w:ascii="Times New Roman" w:hAnsi="Times New Roman"/>
          <w:i/>
          <w:iCs/>
          <w:sz w:val="24"/>
          <w:szCs w:val="24"/>
        </w:rPr>
        <w:fldChar w:fldCharType="end"/>
      </w:r>
      <w:bookmarkEnd w:id="233"/>
      <w:r>
        <w:rPr>
          <w:rFonts w:ascii="Times New Roman" w:hAnsi="Times New Roman"/>
          <w:i/>
          <w:iCs/>
          <w:sz w:val="24"/>
          <w:szCs w:val="24"/>
        </w:rPr>
        <w:t>. Show GIS layers of different algorithms</w:t>
      </w:r>
      <w:bookmarkEnd w:id="234"/>
      <w:bookmarkEnd w:id="235"/>
    </w:p>
    <w:p>
      <w:pPr>
        <w:pStyle w:val="3"/>
        <w:rPr>
          <w:szCs w:val="28"/>
        </w:rPr>
      </w:pPr>
      <w:bookmarkStart w:id="236" w:name="_Toc122981771"/>
      <w:r>
        <w:rPr>
          <w:rFonts w:hint="eastAsia"/>
          <w:szCs w:val="28"/>
        </w:rPr>
        <w:t>Chart View</w:t>
      </w:r>
      <w:r>
        <w:rPr>
          <w:szCs w:val="28"/>
        </w:rPr>
        <w:t>er</w:t>
      </w:r>
      <w:bookmarkEnd w:id="236"/>
    </w:p>
    <w:p>
      <w:pPr>
        <w:ind w:firstLine="240" w:firstLineChars="100"/>
        <w:jc w:val="both"/>
        <w:rPr>
          <w:szCs w:val="24"/>
        </w:rPr>
      </w:pPr>
      <w:r>
        <w:rPr>
          <w:szCs w:val="24"/>
        </w:rPr>
        <w:t>The Chart window displays the DF input and output data as a scatter plot. This type of display is useful for comparing data fusion results interpolated by different algorithms. The Chart view will display the analysis results as a scatter plot on the right-hand panel of the Data Viewer window (</w:t>
      </w:r>
      <w:r>
        <w:rPr>
          <w:szCs w:val="24"/>
        </w:rPr>
        <w:fldChar w:fldCharType="begin"/>
      </w:r>
      <w:r>
        <w:rPr>
          <w:szCs w:val="24"/>
        </w:rPr>
        <w:instrText xml:space="preserve"> REF _Ref512452666 \h </w:instrText>
      </w:r>
      <w:r>
        <w:rPr>
          <w:szCs w:val="24"/>
        </w:rPr>
        <w:fldChar w:fldCharType="separate"/>
      </w:r>
      <w:r>
        <w:rPr>
          <w:i/>
          <w:iCs/>
          <w:szCs w:val="24"/>
        </w:rPr>
        <w:t>Figure 57</w:t>
      </w:r>
      <w:r>
        <w:rPr>
          <w:szCs w:val="24"/>
        </w:rPr>
        <w:fldChar w:fldCharType="end"/>
      </w:r>
      <w:r>
        <w:rPr>
          <w:szCs w:val="24"/>
        </w:rPr>
        <w:t>).</w:t>
      </w:r>
    </w:p>
    <w:p>
      <w:pPr>
        <w:keepNext/>
        <w:jc w:val="both"/>
      </w:pPr>
      <w:r>
        <w:drawing>
          <wp:inline distT="0" distB="0" distL="0" distR="0">
            <wp:extent cx="5074285" cy="366649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4"/>
                    <a:stretch>
                      <a:fillRect/>
                    </a:stretch>
                  </pic:blipFill>
                  <pic:spPr>
                    <a:xfrm>
                      <a:off x="0" y="0"/>
                      <a:ext cx="5078211" cy="3669567"/>
                    </a:xfrm>
                    <a:prstGeom prst="rect">
                      <a:avLst/>
                    </a:prstGeom>
                  </pic:spPr>
                </pic:pic>
              </a:graphicData>
            </a:graphic>
          </wp:inline>
        </w:drawing>
      </w:r>
    </w:p>
    <w:p>
      <w:pPr>
        <w:pStyle w:val="6"/>
        <w:jc w:val="center"/>
        <w:rPr>
          <w:rFonts w:ascii="Times New Roman" w:hAnsi="Times New Roman"/>
          <w:i/>
          <w:iCs/>
          <w:sz w:val="24"/>
          <w:szCs w:val="24"/>
        </w:rPr>
      </w:pPr>
      <w:bookmarkStart w:id="237" w:name="_Ref512452666"/>
      <w:bookmarkStart w:id="238" w:name="_Toc122981833"/>
      <w:bookmarkStart w:id="239" w:name="_Toc37923853"/>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57</w:t>
      </w:r>
      <w:r>
        <w:rPr>
          <w:rFonts w:ascii="Times New Roman" w:hAnsi="Times New Roman"/>
          <w:i/>
          <w:iCs/>
          <w:sz w:val="24"/>
          <w:szCs w:val="24"/>
        </w:rPr>
        <w:fldChar w:fldCharType="end"/>
      </w:r>
      <w:bookmarkEnd w:id="237"/>
      <w:r>
        <w:rPr>
          <w:rFonts w:ascii="Times New Roman" w:hAnsi="Times New Roman"/>
          <w:i/>
          <w:iCs/>
          <w:sz w:val="24"/>
          <w:szCs w:val="24"/>
        </w:rPr>
        <w:t>. The interface of the Chart Viewer</w:t>
      </w:r>
      <w:bookmarkEnd w:id="238"/>
      <w:bookmarkEnd w:id="239"/>
    </w:p>
    <w:p>
      <w:pPr>
        <w:pStyle w:val="31"/>
        <w:numPr>
          <w:ilvl w:val="0"/>
          <w:numId w:val="40"/>
        </w:numPr>
        <w:ind w:left="0" w:firstLine="0" w:firstLineChars="0"/>
      </w:pPr>
      <w:r>
        <w:rPr>
          <w:rFonts w:ascii="Times New Roman" w:hAnsi="Times New Roman"/>
          <w:sz w:val="24"/>
          <w:szCs w:val="24"/>
        </w:rPr>
        <w:t>To validate the results from a completed DF analysis, select one of the algorithms in the left-hand pane of the Data Viewer window to display the result data on the DF Chart for analysis (</w:t>
      </w:r>
      <w:r>
        <w:rPr>
          <w:rFonts w:ascii="Times New Roman" w:hAnsi="Times New Roman"/>
          <w:sz w:val="24"/>
          <w:szCs w:val="24"/>
        </w:rPr>
        <w:fldChar w:fldCharType="begin"/>
      </w:r>
      <w:r>
        <w:rPr>
          <w:rFonts w:ascii="Times New Roman" w:hAnsi="Times New Roman"/>
          <w:sz w:val="24"/>
          <w:szCs w:val="24"/>
        </w:rPr>
        <w:instrText xml:space="preserve"> REF _Ref512453319 \h </w:instrText>
      </w:r>
      <w:r>
        <w:rPr>
          <w:rFonts w:ascii="Times New Roman" w:hAnsi="Times New Roman"/>
          <w:sz w:val="24"/>
          <w:szCs w:val="24"/>
        </w:rPr>
        <w:fldChar w:fldCharType="separate"/>
      </w:r>
      <w:r>
        <w:rPr>
          <w:rFonts w:ascii="Times New Roman" w:hAnsi="Times New Roman"/>
          <w:i/>
          <w:iCs/>
          <w:sz w:val="24"/>
          <w:szCs w:val="24"/>
        </w:rPr>
        <w:t>Figure 58</w:t>
      </w:r>
      <w:r>
        <w:rPr>
          <w:rFonts w:ascii="Times New Roman" w:hAnsi="Times New Roman"/>
          <w:sz w:val="24"/>
          <w:szCs w:val="24"/>
        </w:rPr>
        <w:fldChar w:fldCharType="end"/>
      </w:r>
      <w:r>
        <w:rPr>
          <w:rFonts w:ascii="Times New Roman" w:hAnsi="Times New Roman"/>
          <w:sz w:val="24"/>
          <w:szCs w:val="24"/>
        </w:rPr>
        <w:t xml:space="preserve">). Select one of the periods in the </w:t>
      </w:r>
      <w:r>
        <w:rPr>
          <w:rFonts w:ascii="Times New Roman" w:hAnsi="Times New Roman"/>
          <w:b/>
          <w:sz w:val="24"/>
          <w:szCs w:val="24"/>
        </w:rPr>
        <w:t>Filter</w:t>
      </w:r>
      <w:r>
        <w:rPr>
          <w:rFonts w:ascii="Times New Roman" w:hAnsi="Times New Roman"/>
          <w:sz w:val="24"/>
          <w:szCs w:val="24"/>
        </w:rPr>
        <w:t xml:space="preserve"> drop-down boxes and one of the pollutants in the </w:t>
      </w:r>
      <w:r>
        <w:rPr>
          <w:rFonts w:ascii="Times New Roman" w:hAnsi="Times New Roman"/>
          <w:b/>
          <w:sz w:val="24"/>
          <w:szCs w:val="24"/>
        </w:rPr>
        <w:t>Variable</w:t>
      </w:r>
      <w:r>
        <w:rPr>
          <w:rFonts w:ascii="Times New Roman" w:hAnsi="Times New Roman"/>
          <w:sz w:val="24"/>
          <w:szCs w:val="24"/>
        </w:rPr>
        <w:t xml:space="preserve"> drop-down boxes for analysis (the default case calculates the average value for PM</w:t>
      </w:r>
      <w:r>
        <w:rPr>
          <w:rFonts w:ascii="Times New Roman" w:hAnsi="Times New Roman"/>
          <w:sz w:val="24"/>
          <w:szCs w:val="24"/>
          <w:vertAlign w:val="subscript"/>
        </w:rPr>
        <w:t xml:space="preserve">2.5 </w:t>
      </w:r>
      <w:r>
        <w:rPr>
          <w:rFonts w:ascii="Times New Roman" w:hAnsi="Times New Roman"/>
          <w:sz w:val="24"/>
          <w:szCs w:val="24"/>
        </w:rPr>
        <w:t xml:space="preserve">only, the cases for analysis of other variables within different periods can perform this operation). Select one of the output files in the </w:t>
      </w:r>
      <w:r>
        <w:rPr>
          <w:rFonts w:ascii="Times New Roman" w:hAnsi="Times New Roman"/>
          <w:b/>
          <w:sz w:val="24"/>
          <w:szCs w:val="24"/>
        </w:rPr>
        <w:t>Output Files</w:t>
      </w:r>
      <w:r>
        <w:rPr>
          <w:rFonts w:ascii="Times New Roman" w:hAnsi="Times New Roman"/>
          <w:sz w:val="24"/>
          <w:szCs w:val="24"/>
        </w:rPr>
        <w:t xml:space="preserve"> pane to show the file data on the Chart for analysis (</w:t>
      </w:r>
      <w:r>
        <w:rPr>
          <w:rFonts w:ascii="Times New Roman" w:hAnsi="Times New Roman"/>
          <w:sz w:val="24"/>
          <w:szCs w:val="24"/>
        </w:rPr>
        <w:fldChar w:fldCharType="begin"/>
      </w:r>
      <w:r>
        <w:rPr>
          <w:rFonts w:ascii="Times New Roman" w:hAnsi="Times New Roman"/>
          <w:sz w:val="24"/>
          <w:szCs w:val="24"/>
        </w:rPr>
        <w:instrText xml:space="preserve"> REF _Ref512453586 \h </w:instrText>
      </w:r>
      <w:r>
        <w:rPr>
          <w:rFonts w:ascii="Times New Roman" w:hAnsi="Times New Roman"/>
          <w:sz w:val="24"/>
          <w:szCs w:val="24"/>
        </w:rPr>
        <w:fldChar w:fldCharType="separate"/>
      </w:r>
      <w:r>
        <w:rPr>
          <w:rFonts w:ascii="Times New Roman" w:hAnsi="Times New Roman"/>
          <w:i/>
          <w:iCs/>
          <w:sz w:val="24"/>
          <w:szCs w:val="24"/>
        </w:rPr>
        <w:t>Figure 59</w:t>
      </w:r>
      <w:r>
        <w:rPr>
          <w:rFonts w:ascii="Times New Roman" w:hAnsi="Times New Roman"/>
          <w:sz w:val="24"/>
          <w:szCs w:val="24"/>
        </w:rPr>
        <w:fldChar w:fldCharType="end"/>
      </w:r>
      <w:r>
        <w:rPr>
          <w:rFonts w:ascii="Times New Roman" w:hAnsi="Times New Roman"/>
          <w:sz w:val="24"/>
          <w:szCs w:val="24"/>
        </w:rPr>
        <w:t xml:space="preserve">). Click the </w:t>
      </w:r>
      <w:r>
        <w:rPr>
          <w:rFonts w:ascii="Times New Roman" w:hAnsi="Times New Roman"/>
          <w:b/>
          <w:sz w:val="24"/>
          <w:szCs w:val="24"/>
        </w:rPr>
        <w:t>Apply</w:t>
      </w:r>
      <w:r>
        <w:rPr>
          <w:rFonts w:ascii="Times New Roman" w:hAnsi="Times New Roman"/>
          <w:sz w:val="24"/>
          <w:szCs w:val="24"/>
        </w:rPr>
        <w:t xml:space="preserve"> button to display the selected analysis choices through Chart on the DF.</w:t>
      </w:r>
    </w:p>
    <w:p>
      <w:pPr>
        <w:pStyle w:val="31"/>
        <w:keepNext/>
        <w:ind w:firstLine="0" w:firstLineChars="0"/>
        <w:jc w:val="center"/>
      </w:pPr>
      <w:r>
        <w:drawing>
          <wp:inline distT="0" distB="0" distL="0" distR="0">
            <wp:extent cx="5161280" cy="3714750"/>
            <wp:effectExtent l="0" t="0" r="127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5"/>
                    <a:stretch>
                      <a:fillRect/>
                    </a:stretch>
                  </pic:blipFill>
                  <pic:spPr>
                    <a:xfrm>
                      <a:off x="0" y="0"/>
                      <a:ext cx="5163112" cy="3715999"/>
                    </a:xfrm>
                    <a:prstGeom prst="rect">
                      <a:avLst/>
                    </a:prstGeom>
                  </pic:spPr>
                </pic:pic>
              </a:graphicData>
            </a:graphic>
          </wp:inline>
        </w:drawing>
      </w:r>
    </w:p>
    <w:p>
      <w:pPr>
        <w:pStyle w:val="6"/>
        <w:jc w:val="center"/>
        <w:rPr>
          <w:rFonts w:ascii="Times New Roman" w:hAnsi="Times New Roman"/>
          <w:i/>
          <w:iCs/>
          <w:sz w:val="24"/>
          <w:szCs w:val="24"/>
        </w:rPr>
      </w:pPr>
      <w:bookmarkStart w:id="240" w:name="_Ref512453319"/>
      <w:bookmarkStart w:id="241" w:name="_Toc122981834"/>
      <w:bookmarkStart w:id="242" w:name="_Toc37923854"/>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58</w:t>
      </w:r>
      <w:r>
        <w:rPr>
          <w:rFonts w:ascii="Times New Roman" w:hAnsi="Times New Roman"/>
          <w:i/>
          <w:iCs/>
          <w:sz w:val="24"/>
          <w:szCs w:val="24"/>
        </w:rPr>
        <w:fldChar w:fldCharType="end"/>
      </w:r>
      <w:bookmarkEnd w:id="240"/>
      <w:r>
        <w:rPr>
          <w:rFonts w:ascii="Times New Roman" w:hAnsi="Times New Roman"/>
          <w:i/>
          <w:iCs/>
          <w:sz w:val="24"/>
          <w:szCs w:val="24"/>
        </w:rPr>
        <w:t>. Show chart of selected algorithms</w:t>
      </w:r>
      <w:bookmarkEnd w:id="241"/>
      <w:bookmarkEnd w:id="242"/>
    </w:p>
    <w:p>
      <w:pPr>
        <w:keepNext/>
      </w:pPr>
      <w:r>
        <w:drawing>
          <wp:inline distT="0" distB="0" distL="0" distR="0">
            <wp:extent cx="5160010" cy="374269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6"/>
                    <a:stretch>
                      <a:fillRect/>
                    </a:stretch>
                  </pic:blipFill>
                  <pic:spPr>
                    <a:xfrm>
                      <a:off x="0" y="0"/>
                      <a:ext cx="5161955" cy="3744375"/>
                    </a:xfrm>
                    <a:prstGeom prst="rect">
                      <a:avLst/>
                    </a:prstGeom>
                  </pic:spPr>
                </pic:pic>
              </a:graphicData>
            </a:graphic>
          </wp:inline>
        </w:drawing>
      </w:r>
    </w:p>
    <w:p>
      <w:pPr>
        <w:pStyle w:val="6"/>
        <w:jc w:val="center"/>
        <w:rPr>
          <w:rFonts w:ascii="Times New Roman" w:hAnsi="Times New Roman"/>
          <w:i/>
          <w:iCs/>
          <w:sz w:val="24"/>
          <w:szCs w:val="24"/>
        </w:rPr>
      </w:pPr>
      <w:bookmarkStart w:id="243" w:name="_Ref512453586"/>
      <w:bookmarkStart w:id="244" w:name="_Toc37923855"/>
      <w:bookmarkStart w:id="245" w:name="_Toc122981835"/>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59</w:t>
      </w:r>
      <w:r>
        <w:rPr>
          <w:rFonts w:ascii="Times New Roman" w:hAnsi="Times New Roman"/>
          <w:i/>
          <w:iCs/>
          <w:sz w:val="24"/>
          <w:szCs w:val="24"/>
        </w:rPr>
        <w:fldChar w:fldCharType="end"/>
      </w:r>
      <w:bookmarkEnd w:id="243"/>
      <w:r>
        <w:rPr>
          <w:rFonts w:ascii="Times New Roman" w:hAnsi="Times New Roman"/>
          <w:i/>
          <w:iCs/>
          <w:sz w:val="24"/>
          <w:szCs w:val="24"/>
        </w:rPr>
        <w:t>. Show chart of different output files</w:t>
      </w:r>
      <w:bookmarkEnd w:id="244"/>
      <w:bookmarkEnd w:id="245"/>
    </w:p>
    <w:p>
      <w:pPr>
        <w:pStyle w:val="31"/>
        <w:numPr>
          <w:ilvl w:val="0"/>
          <w:numId w:val="40"/>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_Ref512454076 \h </w:instrText>
      </w:r>
      <w:r>
        <w:rPr>
          <w:rFonts w:ascii="Times New Roman" w:hAnsi="Times New Roman"/>
          <w:sz w:val="24"/>
          <w:szCs w:val="24"/>
        </w:rPr>
        <w:fldChar w:fldCharType="separate"/>
      </w:r>
      <w:r>
        <w:rPr>
          <w:rFonts w:ascii="Times New Roman" w:hAnsi="Times New Roman"/>
          <w:i/>
          <w:iCs/>
          <w:sz w:val="24"/>
          <w:szCs w:val="24"/>
        </w:rPr>
        <w:t>Figure 60</w:t>
      </w:r>
      <w:r>
        <w:rPr>
          <w:rFonts w:ascii="Times New Roman" w:hAnsi="Times New Roman"/>
          <w:sz w:val="24"/>
          <w:szCs w:val="24"/>
        </w:rPr>
        <w:fldChar w:fldCharType="end"/>
      </w:r>
      <w:r>
        <w:rPr>
          <w:rFonts w:ascii="Times New Roman" w:hAnsi="Times New Roman"/>
          <w:sz w:val="24"/>
          <w:szCs w:val="24"/>
        </w:rPr>
        <w:t xml:space="preserve">, right-clicking on the chart will display a selection box with options to Copy the chart to the clipboard, export (Save Image As) an image of the chart, print the chart, and zoom out (Un-Zoom) from the chart. The Show Point Values right-click option enables the values of a monitor to be displayed when the mouse hovers over the monitor. The Change Title and Legend right-click option enables customization of the variable names, title, and axes, as shown in </w:t>
      </w:r>
      <w:r>
        <w:rPr>
          <w:rFonts w:ascii="Times New Roman" w:hAnsi="Times New Roman"/>
          <w:sz w:val="24"/>
          <w:szCs w:val="24"/>
        </w:rPr>
        <w:fldChar w:fldCharType="begin"/>
      </w:r>
      <w:r>
        <w:rPr>
          <w:rFonts w:ascii="Times New Roman" w:hAnsi="Times New Roman"/>
          <w:sz w:val="24"/>
          <w:szCs w:val="24"/>
        </w:rPr>
        <w:instrText xml:space="preserve"> REF _Ref512454084 \h </w:instrText>
      </w:r>
      <w:r>
        <w:rPr>
          <w:rFonts w:ascii="Times New Roman" w:hAnsi="Times New Roman"/>
          <w:sz w:val="24"/>
          <w:szCs w:val="24"/>
        </w:rPr>
        <w:fldChar w:fldCharType="separate"/>
      </w:r>
      <w:r>
        <w:rPr>
          <w:rFonts w:ascii="Times New Roman" w:hAnsi="Times New Roman"/>
          <w:i/>
          <w:iCs/>
          <w:sz w:val="24"/>
          <w:szCs w:val="24"/>
        </w:rPr>
        <w:t>Figure 61</w:t>
      </w:r>
      <w:r>
        <w:rPr>
          <w:rFonts w:ascii="Times New Roman" w:hAnsi="Times New Roman"/>
          <w:sz w:val="24"/>
          <w:szCs w:val="24"/>
        </w:rPr>
        <w:fldChar w:fldCharType="end"/>
      </w:r>
      <w:r>
        <w:rPr>
          <w:rFonts w:ascii="Times New Roman" w:hAnsi="Times New Roman"/>
          <w:sz w:val="24"/>
          <w:szCs w:val="24"/>
        </w:rPr>
        <w:t>.</w:t>
      </w:r>
    </w:p>
    <w:p>
      <w:pPr>
        <w:pStyle w:val="31"/>
        <w:keepNext/>
        <w:ind w:firstLine="0" w:firstLineChars="0"/>
      </w:pPr>
      <w:r>
        <w:drawing>
          <wp:inline distT="0" distB="0" distL="0" distR="0">
            <wp:extent cx="5295900" cy="383667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7"/>
                    <a:srcRect t="3835"/>
                    <a:stretch>
                      <a:fillRect/>
                    </a:stretch>
                  </pic:blipFill>
                  <pic:spPr>
                    <a:xfrm>
                      <a:off x="0" y="0"/>
                      <a:ext cx="5297130" cy="3837964"/>
                    </a:xfrm>
                    <a:prstGeom prst="rect">
                      <a:avLst/>
                    </a:prstGeom>
                    <a:ln>
                      <a:noFill/>
                    </a:ln>
                  </pic:spPr>
                </pic:pic>
              </a:graphicData>
            </a:graphic>
          </wp:inline>
        </w:drawing>
      </w:r>
    </w:p>
    <w:p>
      <w:pPr>
        <w:pStyle w:val="6"/>
        <w:jc w:val="center"/>
        <w:rPr>
          <w:rFonts w:ascii="Times New Roman" w:hAnsi="Times New Roman"/>
          <w:i/>
          <w:iCs/>
          <w:sz w:val="24"/>
          <w:szCs w:val="24"/>
        </w:rPr>
      </w:pPr>
      <w:bookmarkStart w:id="246" w:name="_Ref512454076"/>
      <w:bookmarkStart w:id="247" w:name="_Toc37923856"/>
      <w:bookmarkStart w:id="248" w:name="_Toc122981836"/>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60</w:t>
      </w:r>
      <w:r>
        <w:rPr>
          <w:rFonts w:ascii="Times New Roman" w:hAnsi="Times New Roman"/>
          <w:i/>
          <w:iCs/>
          <w:sz w:val="24"/>
          <w:szCs w:val="24"/>
        </w:rPr>
        <w:fldChar w:fldCharType="end"/>
      </w:r>
      <w:bookmarkEnd w:id="246"/>
      <w:r>
        <w:rPr>
          <w:rFonts w:ascii="Times New Roman" w:hAnsi="Times New Roman"/>
          <w:i/>
          <w:iCs/>
          <w:sz w:val="24"/>
          <w:szCs w:val="24"/>
        </w:rPr>
        <w:t>. Right-click the chart</w:t>
      </w:r>
      <w:bookmarkEnd w:id="247"/>
      <w:bookmarkEnd w:id="248"/>
    </w:p>
    <w:p>
      <w:pPr>
        <w:keepNext/>
        <w:jc w:val="center"/>
      </w:pPr>
      <w:r>
        <w:drawing>
          <wp:inline distT="0" distB="0" distL="0" distR="0">
            <wp:extent cx="2884170" cy="4084955"/>
            <wp:effectExtent l="0" t="0" r="0" b="0"/>
            <wp:docPr id="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884170" cy="4084955"/>
                    </a:xfrm>
                    <a:prstGeom prst="rect">
                      <a:avLst/>
                    </a:prstGeom>
                    <a:noFill/>
                    <a:ln>
                      <a:noFill/>
                    </a:ln>
                  </pic:spPr>
                </pic:pic>
              </a:graphicData>
            </a:graphic>
          </wp:inline>
        </w:drawing>
      </w:r>
    </w:p>
    <w:p>
      <w:pPr>
        <w:pStyle w:val="6"/>
        <w:jc w:val="center"/>
        <w:rPr>
          <w:rFonts w:ascii="Times New Roman" w:hAnsi="Times New Roman"/>
          <w:i/>
          <w:iCs/>
          <w:sz w:val="24"/>
          <w:szCs w:val="24"/>
        </w:rPr>
      </w:pPr>
      <w:bookmarkStart w:id="249" w:name="_Ref512454084"/>
      <w:bookmarkStart w:id="250" w:name="_Toc37923857"/>
      <w:bookmarkStart w:id="251" w:name="_Toc122981837"/>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61</w:t>
      </w:r>
      <w:r>
        <w:rPr>
          <w:rFonts w:ascii="Times New Roman" w:hAnsi="Times New Roman"/>
          <w:i/>
          <w:iCs/>
          <w:sz w:val="24"/>
          <w:szCs w:val="24"/>
        </w:rPr>
        <w:fldChar w:fldCharType="end"/>
      </w:r>
      <w:bookmarkEnd w:id="249"/>
      <w:r>
        <w:rPr>
          <w:rFonts w:ascii="Times New Roman" w:hAnsi="Times New Roman"/>
          <w:i/>
          <w:iCs/>
          <w:sz w:val="24"/>
          <w:szCs w:val="24"/>
        </w:rPr>
        <w:t>. Change Title and Legend</w:t>
      </w:r>
      <w:bookmarkEnd w:id="250"/>
      <w:bookmarkEnd w:id="251"/>
    </w:p>
    <w:p>
      <w:pPr>
        <w:pStyle w:val="31"/>
        <w:numPr>
          <w:ilvl w:val="0"/>
          <w:numId w:val="40"/>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_Ref512454866 \h </w:instrText>
      </w:r>
      <w:r>
        <w:rPr>
          <w:rFonts w:ascii="Times New Roman" w:hAnsi="Times New Roman"/>
          <w:sz w:val="24"/>
          <w:szCs w:val="24"/>
        </w:rPr>
        <w:fldChar w:fldCharType="separate"/>
      </w:r>
      <w:r>
        <w:rPr>
          <w:rFonts w:ascii="Times New Roman" w:hAnsi="Times New Roman"/>
          <w:i/>
          <w:iCs/>
          <w:sz w:val="24"/>
          <w:szCs w:val="24"/>
        </w:rPr>
        <w:t>Figure 62</w:t>
      </w:r>
      <w:r>
        <w:rPr>
          <w:rFonts w:ascii="Times New Roman" w:hAnsi="Times New Roman"/>
          <w:sz w:val="24"/>
          <w:szCs w:val="24"/>
        </w:rPr>
        <w:fldChar w:fldCharType="end"/>
      </w:r>
      <w:r>
        <w:rPr>
          <w:rFonts w:ascii="Times New Roman" w:hAnsi="Times New Roman"/>
          <w:sz w:val="24"/>
          <w:szCs w:val="24"/>
        </w:rPr>
        <w:t xml:space="preserve">, click the </w:t>
      </w:r>
      <w:r>
        <w:rPr>
          <w:rFonts w:ascii="Times New Roman" w:hAnsi="Times New Roman"/>
          <w:b/>
          <w:sz w:val="24"/>
          <w:szCs w:val="24"/>
        </w:rPr>
        <w:t>Bias Table</w:t>
      </w:r>
      <w:r>
        <w:rPr>
          <w:rFonts w:ascii="Times New Roman" w:hAnsi="Times New Roman"/>
          <w:sz w:val="24"/>
          <w:szCs w:val="24"/>
        </w:rPr>
        <w:t xml:space="preserve"> menu item with the blue font above the DF Chart viewer interface can display the estimated performance of data fusion results interpolated by the selected algorithms. Click the </w:t>
      </w:r>
      <w:r>
        <w:rPr>
          <w:rFonts w:ascii="Times New Roman" w:hAnsi="Times New Roman"/>
          <w:b/>
          <w:sz w:val="24"/>
          <w:szCs w:val="24"/>
        </w:rPr>
        <w:t>Save data</w:t>
      </w:r>
      <w:r>
        <w:rPr>
          <w:rFonts w:ascii="Times New Roman" w:hAnsi="Times New Roman"/>
          <w:sz w:val="24"/>
          <w:szCs w:val="24"/>
        </w:rPr>
        <w:t xml:space="preserve"> button at the bottom right can export the data to a CSV file.</w:t>
      </w:r>
    </w:p>
    <w:p>
      <w:pPr>
        <w:pStyle w:val="31"/>
        <w:keepNext/>
        <w:ind w:firstLine="0" w:firstLineChars="0"/>
        <w:jc w:val="center"/>
      </w:pPr>
      <w:r>
        <w:drawing>
          <wp:inline distT="0" distB="0" distL="0" distR="0">
            <wp:extent cx="5179060" cy="376110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9"/>
                    <a:stretch>
                      <a:fillRect/>
                    </a:stretch>
                  </pic:blipFill>
                  <pic:spPr>
                    <a:xfrm>
                      <a:off x="0" y="0"/>
                      <a:ext cx="5181601" cy="3762992"/>
                    </a:xfrm>
                    <a:prstGeom prst="rect">
                      <a:avLst/>
                    </a:prstGeom>
                  </pic:spPr>
                </pic:pic>
              </a:graphicData>
            </a:graphic>
          </wp:inline>
        </w:drawing>
      </w:r>
    </w:p>
    <w:p>
      <w:pPr>
        <w:pStyle w:val="6"/>
        <w:jc w:val="center"/>
        <w:rPr>
          <w:rFonts w:ascii="Times New Roman" w:hAnsi="Times New Roman"/>
          <w:i/>
          <w:iCs/>
          <w:sz w:val="24"/>
          <w:szCs w:val="24"/>
        </w:rPr>
      </w:pPr>
      <w:bookmarkStart w:id="252" w:name="_Ref512454866"/>
      <w:bookmarkStart w:id="253" w:name="_Toc122981838"/>
      <w:bookmarkStart w:id="254" w:name="_Toc37923858"/>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62</w:t>
      </w:r>
      <w:r>
        <w:rPr>
          <w:rFonts w:ascii="Times New Roman" w:hAnsi="Times New Roman"/>
          <w:i/>
          <w:iCs/>
          <w:sz w:val="24"/>
          <w:szCs w:val="24"/>
        </w:rPr>
        <w:fldChar w:fldCharType="end"/>
      </w:r>
      <w:bookmarkEnd w:id="252"/>
      <w:r>
        <w:rPr>
          <w:rFonts w:ascii="Times New Roman" w:hAnsi="Times New Roman"/>
          <w:i/>
          <w:iCs/>
          <w:sz w:val="24"/>
          <w:szCs w:val="24"/>
        </w:rPr>
        <w:t>. Show Bias Table</w:t>
      </w:r>
      <w:bookmarkEnd w:id="253"/>
      <w:bookmarkEnd w:id="254"/>
    </w:p>
    <w:p>
      <w:pPr>
        <w:pStyle w:val="31"/>
        <w:numPr>
          <w:ilvl w:val="0"/>
          <w:numId w:val="40"/>
        </w:numPr>
        <w:ind w:left="0" w:firstLine="0" w:firstLineChars="0"/>
      </w:pPr>
      <w:r>
        <w:rPr>
          <w:rFonts w:hint="eastAsia"/>
        </w:rPr>
        <w:t xml:space="preserve"> </w:t>
      </w:r>
      <w:r>
        <w:rPr>
          <w:rFonts w:ascii="Times New Roman" w:hAnsi="Times New Roman"/>
          <w:sz w:val="24"/>
          <w:szCs w:val="24"/>
        </w:rPr>
        <w:t xml:space="preserve">Click the </w:t>
      </w:r>
      <w:r>
        <w:rPr>
          <w:rFonts w:ascii="Times New Roman" w:hAnsi="Times New Roman"/>
          <w:b/>
          <w:sz w:val="24"/>
          <w:szCs w:val="24"/>
        </w:rPr>
        <w:t>Window</w:t>
      </w:r>
      <w:r>
        <w:rPr>
          <w:rFonts w:ascii="Times New Roman" w:hAnsi="Times New Roman"/>
          <w:sz w:val="24"/>
          <w:szCs w:val="24"/>
        </w:rPr>
        <w:t xml:space="preserve"> menu item with the blue font above the DF Chart Viewer window, then choose </w:t>
      </w:r>
      <w:r>
        <w:rPr>
          <w:rFonts w:ascii="Times New Roman" w:hAnsi="Times New Roman"/>
          <w:b/>
          <w:sz w:val="24"/>
          <w:szCs w:val="24"/>
        </w:rPr>
        <w:t>Close</w:t>
      </w:r>
      <w:r>
        <w:rPr>
          <w:rFonts w:ascii="Times New Roman" w:hAnsi="Times New Roman"/>
          <w:sz w:val="24"/>
          <w:szCs w:val="24"/>
        </w:rPr>
        <w:t xml:space="preserve"> to close the window.</w:t>
      </w:r>
    </w:p>
    <w:p>
      <w:pPr>
        <w:pStyle w:val="3"/>
        <w:rPr>
          <w:szCs w:val="28"/>
        </w:rPr>
      </w:pPr>
      <w:bookmarkStart w:id="255" w:name="_Toc122981772"/>
      <w:r>
        <w:rPr>
          <w:szCs w:val="28"/>
        </w:rPr>
        <w:t xml:space="preserve">Result </w:t>
      </w:r>
      <w:r>
        <w:rPr>
          <w:rFonts w:hint="eastAsia"/>
          <w:szCs w:val="28"/>
        </w:rPr>
        <w:t>Data</w:t>
      </w:r>
      <w:r>
        <w:rPr>
          <w:szCs w:val="28"/>
        </w:rPr>
        <w:t xml:space="preserve"> Viewer</w:t>
      </w:r>
      <w:bookmarkEnd w:id="255"/>
    </w:p>
    <w:p>
      <w:pPr>
        <w:ind w:firstLine="240" w:firstLineChars="100"/>
        <w:jc w:val="both"/>
        <w:rPr>
          <w:szCs w:val="24"/>
        </w:rPr>
      </w:pPr>
      <w:r>
        <w:rPr>
          <w:szCs w:val="24"/>
        </w:rPr>
        <w:t>The Result Data window displays the DF input and output data in a tabulated format. The Data view will display the analysis results as a table on the right-hand panel of the Data Viewer window (</w:t>
      </w:r>
      <w:r>
        <w:rPr>
          <w:szCs w:val="24"/>
        </w:rPr>
        <w:fldChar w:fldCharType="begin"/>
      </w:r>
      <w:r>
        <w:rPr>
          <w:szCs w:val="24"/>
        </w:rPr>
        <w:instrText xml:space="preserve"> REF _Ref512516786 \h </w:instrText>
      </w:r>
      <w:r>
        <w:rPr>
          <w:szCs w:val="24"/>
        </w:rPr>
        <w:fldChar w:fldCharType="separate"/>
      </w:r>
      <w:r>
        <w:rPr>
          <w:i/>
          <w:iCs/>
          <w:szCs w:val="24"/>
        </w:rPr>
        <w:t>Figure 63</w:t>
      </w:r>
      <w:r>
        <w:rPr>
          <w:szCs w:val="24"/>
        </w:rPr>
        <w:fldChar w:fldCharType="end"/>
      </w:r>
      <w:r>
        <w:rPr>
          <w:szCs w:val="24"/>
        </w:rPr>
        <w:t>).</w:t>
      </w:r>
    </w:p>
    <w:p>
      <w:pPr>
        <w:keepNext/>
        <w:jc w:val="both"/>
      </w:pPr>
      <w:r>
        <w:drawing>
          <wp:inline distT="0" distB="0" distL="0" distR="0">
            <wp:extent cx="5250180" cy="3781425"/>
            <wp:effectExtent l="0" t="0" r="762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0"/>
                    <a:stretch>
                      <a:fillRect/>
                    </a:stretch>
                  </pic:blipFill>
                  <pic:spPr>
                    <a:xfrm>
                      <a:off x="0" y="0"/>
                      <a:ext cx="5252592" cy="3782929"/>
                    </a:xfrm>
                    <a:prstGeom prst="rect">
                      <a:avLst/>
                    </a:prstGeom>
                  </pic:spPr>
                </pic:pic>
              </a:graphicData>
            </a:graphic>
          </wp:inline>
        </w:drawing>
      </w:r>
    </w:p>
    <w:p>
      <w:pPr>
        <w:pStyle w:val="6"/>
        <w:jc w:val="center"/>
        <w:rPr>
          <w:rFonts w:ascii="Times New Roman" w:hAnsi="Times New Roman"/>
          <w:i/>
          <w:iCs/>
          <w:sz w:val="24"/>
          <w:szCs w:val="24"/>
        </w:rPr>
      </w:pPr>
      <w:bookmarkStart w:id="256" w:name="_Ref512516786"/>
      <w:bookmarkStart w:id="257" w:name="_Toc37923859"/>
      <w:bookmarkStart w:id="258" w:name="_Toc122981839"/>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63</w:t>
      </w:r>
      <w:r>
        <w:rPr>
          <w:rFonts w:ascii="Times New Roman" w:hAnsi="Times New Roman"/>
          <w:i/>
          <w:iCs/>
          <w:sz w:val="24"/>
          <w:szCs w:val="24"/>
        </w:rPr>
        <w:fldChar w:fldCharType="end"/>
      </w:r>
      <w:bookmarkEnd w:id="256"/>
      <w:r>
        <w:rPr>
          <w:rFonts w:ascii="Times New Roman" w:hAnsi="Times New Roman"/>
          <w:i/>
          <w:iCs/>
          <w:sz w:val="24"/>
          <w:szCs w:val="24"/>
        </w:rPr>
        <w:t>. The interface of the Result Data Viewer</w:t>
      </w:r>
      <w:bookmarkEnd w:id="257"/>
      <w:bookmarkEnd w:id="258"/>
    </w:p>
    <w:p>
      <w:pPr>
        <w:pStyle w:val="31"/>
        <w:numPr>
          <w:ilvl w:val="0"/>
          <w:numId w:val="41"/>
        </w:numPr>
        <w:ind w:left="0" w:firstLine="0" w:firstLineChars="0"/>
      </w:pPr>
      <w:r>
        <w:rPr>
          <w:rFonts w:hint="eastAsia"/>
        </w:rPr>
        <w:t xml:space="preserve"> </w:t>
      </w:r>
      <w:r>
        <w:rPr>
          <w:rFonts w:ascii="Times New Roman" w:hAnsi="Times New Roman"/>
          <w:sz w:val="24"/>
          <w:szCs w:val="24"/>
        </w:rPr>
        <w:t xml:space="preserve">To plot the results from a completed DF analysis, select one of the algorithms in the left-hand pane of the Data window to display the result data table on the DF Data for analysis. Select one of the periods in the </w:t>
      </w:r>
      <w:r>
        <w:rPr>
          <w:rFonts w:ascii="Times New Roman" w:hAnsi="Times New Roman"/>
          <w:b/>
          <w:sz w:val="24"/>
          <w:szCs w:val="24"/>
        </w:rPr>
        <w:t>Filter</w:t>
      </w:r>
      <w:r>
        <w:rPr>
          <w:rFonts w:ascii="Times New Roman" w:hAnsi="Times New Roman"/>
          <w:sz w:val="24"/>
          <w:szCs w:val="24"/>
        </w:rPr>
        <w:t xml:space="preserve"> drop-down boxes and one of the pollutants in the </w:t>
      </w:r>
      <w:r>
        <w:rPr>
          <w:rFonts w:ascii="Times New Roman" w:hAnsi="Times New Roman"/>
          <w:b/>
          <w:sz w:val="24"/>
          <w:szCs w:val="24"/>
        </w:rPr>
        <w:t>Variable</w:t>
      </w:r>
      <w:r>
        <w:rPr>
          <w:rFonts w:ascii="Times New Roman" w:hAnsi="Times New Roman"/>
          <w:sz w:val="24"/>
          <w:szCs w:val="24"/>
        </w:rPr>
        <w:t xml:space="preserve"> drop-down boxes for analysis (the default case calculates the average value for PM</w:t>
      </w:r>
      <w:r>
        <w:rPr>
          <w:rFonts w:ascii="Times New Roman" w:hAnsi="Times New Roman"/>
          <w:sz w:val="24"/>
          <w:szCs w:val="24"/>
          <w:vertAlign w:val="subscript"/>
        </w:rPr>
        <w:t>2.5</w:t>
      </w:r>
      <w:r>
        <w:rPr>
          <w:rFonts w:ascii="Times New Roman" w:hAnsi="Times New Roman"/>
          <w:sz w:val="24"/>
          <w:szCs w:val="24"/>
        </w:rPr>
        <w:t xml:space="preserve"> only, the cases for analysis of other variables within different periods can implement this operation). Select one of the project </w:t>
      </w:r>
      <w:r>
        <w:rPr>
          <w:rFonts w:ascii="Times New Roman" w:hAnsi="Times New Roman"/>
          <w:b/>
          <w:sz w:val="24"/>
          <w:szCs w:val="24"/>
        </w:rPr>
        <w:t>output files</w:t>
      </w:r>
      <w:r>
        <w:rPr>
          <w:rFonts w:ascii="Times New Roman" w:hAnsi="Times New Roman"/>
          <w:sz w:val="24"/>
          <w:szCs w:val="24"/>
        </w:rPr>
        <w:t xml:space="preserve"> in the Output Files pane to show the file data on the Data for analysis (</w:t>
      </w:r>
      <w:r>
        <w:rPr>
          <w:rFonts w:ascii="Times New Roman" w:hAnsi="Times New Roman"/>
          <w:sz w:val="24"/>
          <w:szCs w:val="24"/>
        </w:rPr>
        <w:fldChar w:fldCharType="begin"/>
      </w:r>
      <w:r>
        <w:rPr>
          <w:rFonts w:ascii="Times New Roman" w:hAnsi="Times New Roman"/>
          <w:sz w:val="24"/>
          <w:szCs w:val="24"/>
        </w:rPr>
        <w:instrText xml:space="preserve"> REF _Ref512517071 \h </w:instrText>
      </w:r>
      <w:r>
        <w:rPr>
          <w:rFonts w:ascii="Times New Roman" w:hAnsi="Times New Roman"/>
          <w:sz w:val="24"/>
          <w:szCs w:val="24"/>
        </w:rPr>
        <w:fldChar w:fldCharType="separate"/>
      </w:r>
      <w:r>
        <w:rPr>
          <w:rFonts w:ascii="Times New Roman" w:hAnsi="Times New Roman"/>
          <w:i/>
          <w:iCs/>
          <w:sz w:val="24"/>
          <w:szCs w:val="24"/>
        </w:rPr>
        <w:t>Figure 64</w:t>
      </w:r>
      <w:r>
        <w:rPr>
          <w:rFonts w:ascii="Times New Roman" w:hAnsi="Times New Roman"/>
          <w:sz w:val="24"/>
          <w:szCs w:val="24"/>
        </w:rPr>
        <w:fldChar w:fldCharType="end"/>
      </w:r>
      <w:r>
        <w:rPr>
          <w:rFonts w:ascii="Times New Roman" w:hAnsi="Times New Roman"/>
          <w:sz w:val="24"/>
          <w:szCs w:val="24"/>
        </w:rPr>
        <w:t xml:space="preserve">). Click the </w:t>
      </w:r>
      <w:r>
        <w:rPr>
          <w:rFonts w:ascii="Times New Roman" w:hAnsi="Times New Roman"/>
          <w:b/>
          <w:sz w:val="24"/>
          <w:szCs w:val="24"/>
        </w:rPr>
        <w:t>Apply</w:t>
      </w:r>
      <w:r>
        <w:rPr>
          <w:rFonts w:ascii="Times New Roman" w:hAnsi="Times New Roman"/>
          <w:sz w:val="24"/>
          <w:szCs w:val="24"/>
        </w:rPr>
        <w:t xml:space="preserve"> button to display the selected analysis choices on the Data table of the DF.</w:t>
      </w:r>
    </w:p>
    <w:p>
      <w:pPr>
        <w:pStyle w:val="31"/>
        <w:keepNext/>
        <w:ind w:firstLine="0" w:firstLineChars="0"/>
        <w:jc w:val="center"/>
      </w:pPr>
      <w:r>
        <w:drawing>
          <wp:inline distT="0" distB="0" distL="0" distR="0">
            <wp:extent cx="5274310" cy="3820160"/>
            <wp:effectExtent l="0" t="0" r="254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1"/>
                    <a:stretch>
                      <a:fillRect/>
                    </a:stretch>
                  </pic:blipFill>
                  <pic:spPr>
                    <a:xfrm>
                      <a:off x="0" y="0"/>
                      <a:ext cx="5274310" cy="3820160"/>
                    </a:xfrm>
                    <a:prstGeom prst="rect">
                      <a:avLst/>
                    </a:prstGeom>
                  </pic:spPr>
                </pic:pic>
              </a:graphicData>
            </a:graphic>
          </wp:inline>
        </w:drawing>
      </w:r>
    </w:p>
    <w:p>
      <w:pPr>
        <w:pStyle w:val="6"/>
        <w:jc w:val="center"/>
        <w:rPr>
          <w:rFonts w:ascii="Times New Roman" w:hAnsi="Times New Roman"/>
          <w:i/>
          <w:iCs/>
          <w:sz w:val="24"/>
          <w:szCs w:val="24"/>
        </w:rPr>
      </w:pPr>
      <w:bookmarkStart w:id="259" w:name="_Ref512517071"/>
      <w:bookmarkStart w:id="260" w:name="_Toc37923860"/>
      <w:bookmarkStart w:id="261" w:name="_Toc122981840"/>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64</w:t>
      </w:r>
      <w:r>
        <w:rPr>
          <w:rFonts w:ascii="Times New Roman" w:hAnsi="Times New Roman"/>
          <w:i/>
          <w:iCs/>
          <w:sz w:val="24"/>
          <w:szCs w:val="24"/>
        </w:rPr>
        <w:fldChar w:fldCharType="end"/>
      </w:r>
      <w:bookmarkEnd w:id="259"/>
      <w:r>
        <w:rPr>
          <w:rFonts w:ascii="Times New Roman" w:hAnsi="Times New Roman"/>
          <w:i/>
          <w:iCs/>
          <w:sz w:val="24"/>
          <w:szCs w:val="24"/>
        </w:rPr>
        <w:t>. Show result data of different output files</w:t>
      </w:r>
      <w:bookmarkEnd w:id="260"/>
      <w:bookmarkEnd w:id="261"/>
    </w:p>
    <w:p>
      <w:pPr>
        <w:pStyle w:val="31"/>
        <w:numPr>
          <w:ilvl w:val="0"/>
          <w:numId w:val="41"/>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_Ref512517492 \h </w:instrText>
      </w:r>
      <w:r>
        <w:rPr>
          <w:rFonts w:ascii="Times New Roman" w:hAnsi="Times New Roman"/>
          <w:sz w:val="24"/>
          <w:szCs w:val="24"/>
        </w:rPr>
        <w:fldChar w:fldCharType="separate"/>
      </w:r>
      <w:r>
        <w:rPr>
          <w:rFonts w:ascii="Times New Roman" w:hAnsi="Times New Roman"/>
          <w:i/>
          <w:iCs/>
          <w:sz w:val="24"/>
          <w:szCs w:val="24"/>
        </w:rPr>
        <w:t>Figure 65</w:t>
      </w:r>
      <w:r>
        <w:rPr>
          <w:rFonts w:ascii="Times New Roman" w:hAnsi="Times New Roman"/>
          <w:sz w:val="24"/>
          <w:szCs w:val="24"/>
        </w:rPr>
        <w:fldChar w:fldCharType="end"/>
      </w:r>
      <w:r>
        <w:rPr>
          <w:rFonts w:ascii="Times New Roman" w:hAnsi="Times New Roman"/>
          <w:sz w:val="24"/>
          <w:szCs w:val="24"/>
        </w:rPr>
        <w:t>, the list shows the output files generated in the calculations of data fusion and the relative columns in the data table. Checking the boxes next to the columns and clicking "Apply" will filter out rows in the table where the values of the selected column(s) are null (-9). The data table shows the tabulated results from the selected DF data file. The table can be sorted by any of the columns by left-clicking on the column header.</w:t>
      </w:r>
    </w:p>
    <w:p>
      <w:pPr>
        <w:pStyle w:val="31"/>
        <w:keepNext/>
        <w:ind w:firstLine="0" w:firstLineChars="0"/>
      </w:pPr>
      <w:r>
        <w:drawing>
          <wp:inline distT="0" distB="0" distL="0" distR="0">
            <wp:extent cx="5274310" cy="3808730"/>
            <wp:effectExtent l="0" t="0" r="2540" b="127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2"/>
                    <a:stretch>
                      <a:fillRect/>
                    </a:stretch>
                  </pic:blipFill>
                  <pic:spPr>
                    <a:xfrm>
                      <a:off x="0" y="0"/>
                      <a:ext cx="5274310" cy="3808730"/>
                    </a:xfrm>
                    <a:prstGeom prst="rect">
                      <a:avLst/>
                    </a:prstGeom>
                  </pic:spPr>
                </pic:pic>
              </a:graphicData>
            </a:graphic>
          </wp:inline>
        </w:drawing>
      </w:r>
    </w:p>
    <w:p>
      <w:pPr>
        <w:pStyle w:val="6"/>
        <w:jc w:val="center"/>
        <w:rPr>
          <w:rFonts w:ascii="Times New Roman" w:hAnsi="Times New Roman"/>
          <w:i/>
          <w:iCs/>
          <w:sz w:val="24"/>
          <w:szCs w:val="24"/>
        </w:rPr>
      </w:pPr>
      <w:bookmarkStart w:id="262" w:name="_Ref512517492"/>
      <w:bookmarkStart w:id="263" w:name="_Toc37923861"/>
      <w:bookmarkStart w:id="264" w:name="_Toc122981841"/>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65</w:t>
      </w:r>
      <w:r>
        <w:rPr>
          <w:rFonts w:ascii="Times New Roman" w:hAnsi="Times New Roman"/>
          <w:i/>
          <w:iCs/>
          <w:sz w:val="24"/>
          <w:szCs w:val="24"/>
        </w:rPr>
        <w:fldChar w:fldCharType="end"/>
      </w:r>
      <w:bookmarkEnd w:id="262"/>
      <w:r>
        <w:rPr>
          <w:rFonts w:ascii="Times New Roman" w:hAnsi="Times New Roman"/>
          <w:i/>
          <w:iCs/>
          <w:sz w:val="24"/>
          <w:szCs w:val="24"/>
        </w:rPr>
        <w:t>. Show data detail of checked column</w:t>
      </w:r>
      <w:bookmarkEnd w:id="263"/>
      <w:bookmarkEnd w:id="264"/>
    </w:p>
    <w:p>
      <w:pPr>
        <w:pStyle w:val="31"/>
        <w:numPr>
          <w:ilvl w:val="0"/>
          <w:numId w:val="41"/>
        </w:numPr>
        <w:ind w:left="0" w:firstLine="0" w:firstLineChars="0"/>
        <w:rPr>
          <w:rFonts w:ascii="Times New Roman" w:hAnsi="Times New Roman"/>
          <w:sz w:val="24"/>
          <w:szCs w:val="24"/>
        </w:rPr>
      </w:pPr>
      <w:r>
        <w:rPr>
          <w:rFonts w:hint="eastAsia"/>
        </w:rPr>
        <w:t xml:space="preserve"> </w:t>
      </w:r>
      <w:r>
        <w:rPr>
          <w:rFonts w:ascii="Times New Roman" w:hAnsi="Times New Roman"/>
          <w:sz w:val="24"/>
          <w:szCs w:val="24"/>
        </w:rPr>
        <w:t xml:space="preserve">As shown in </w:t>
      </w:r>
      <w:r>
        <w:rPr>
          <w:rFonts w:ascii="Times New Roman" w:hAnsi="Times New Roman"/>
          <w:sz w:val="24"/>
          <w:szCs w:val="24"/>
        </w:rPr>
        <w:fldChar w:fldCharType="begin"/>
      </w:r>
      <w:r>
        <w:rPr>
          <w:rFonts w:ascii="Times New Roman" w:hAnsi="Times New Roman"/>
          <w:sz w:val="24"/>
          <w:szCs w:val="24"/>
        </w:rPr>
        <w:instrText xml:space="preserve"> REF _Ref512517811 \h </w:instrText>
      </w:r>
      <w:r>
        <w:rPr>
          <w:rFonts w:ascii="Times New Roman" w:hAnsi="Times New Roman"/>
          <w:sz w:val="24"/>
          <w:szCs w:val="24"/>
        </w:rPr>
        <w:fldChar w:fldCharType="separate"/>
      </w:r>
      <w:r>
        <w:rPr>
          <w:rFonts w:ascii="Times New Roman" w:hAnsi="Times New Roman"/>
          <w:i/>
          <w:iCs/>
          <w:sz w:val="24"/>
          <w:szCs w:val="24"/>
        </w:rPr>
        <w:t>Figure 66</w:t>
      </w:r>
      <w:r>
        <w:rPr>
          <w:rFonts w:ascii="Times New Roman" w:hAnsi="Times New Roman"/>
          <w:sz w:val="24"/>
          <w:szCs w:val="24"/>
        </w:rPr>
        <w:fldChar w:fldCharType="end"/>
      </w:r>
      <w:r>
        <w:rPr>
          <w:rFonts w:ascii="Times New Roman" w:hAnsi="Times New Roman"/>
          <w:sz w:val="24"/>
          <w:szCs w:val="24"/>
        </w:rPr>
        <w:t>, this option of the data window sets the precision of the values in the table (we set it to 6 here).</w:t>
      </w:r>
    </w:p>
    <w:p>
      <w:pPr>
        <w:pStyle w:val="31"/>
        <w:keepNext/>
        <w:ind w:firstLine="0" w:firstLineChars="0"/>
      </w:pPr>
      <w:r>
        <w:drawing>
          <wp:inline distT="0" distB="0" distL="0" distR="0">
            <wp:extent cx="5391150" cy="38862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3"/>
                    <a:stretch>
                      <a:fillRect/>
                    </a:stretch>
                  </pic:blipFill>
                  <pic:spPr>
                    <a:xfrm>
                      <a:off x="0" y="0"/>
                      <a:ext cx="5392255" cy="3886760"/>
                    </a:xfrm>
                    <a:prstGeom prst="rect">
                      <a:avLst/>
                    </a:prstGeom>
                  </pic:spPr>
                </pic:pic>
              </a:graphicData>
            </a:graphic>
          </wp:inline>
        </w:drawing>
      </w:r>
    </w:p>
    <w:p>
      <w:pPr>
        <w:pStyle w:val="6"/>
        <w:jc w:val="center"/>
        <w:rPr>
          <w:rFonts w:ascii="Times New Roman" w:hAnsi="Times New Roman"/>
          <w:i/>
          <w:iCs/>
          <w:sz w:val="24"/>
          <w:szCs w:val="24"/>
        </w:rPr>
      </w:pPr>
      <w:bookmarkStart w:id="265" w:name="_Ref512517811"/>
      <w:bookmarkStart w:id="266" w:name="_Toc122981842"/>
      <w:bookmarkStart w:id="267" w:name="_Toc37923862"/>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66</w:t>
      </w:r>
      <w:r>
        <w:rPr>
          <w:rFonts w:ascii="Times New Roman" w:hAnsi="Times New Roman"/>
          <w:i/>
          <w:iCs/>
          <w:sz w:val="24"/>
          <w:szCs w:val="24"/>
        </w:rPr>
        <w:fldChar w:fldCharType="end"/>
      </w:r>
      <w:bookmarkEnd w:id="265"/>
      <w:r>
        <w:rPr>
          <w:rFonts w:ascii="Times New Roman" w:hAnsi="Times New Roman"/>
          <w:i/>
          <w:iCs/>
          <w:sz w:val="24"/>
          <w:szCs w:val="24"/>
        </w:rPr>
        <w:t>. Set the digits after decimal point</w:t>
      </w:r>
      <w:bookmarkEnd w:id="266"/>
      <w:bookmarkEnd w:id="267"/>
    </w:p>
    <w:p>
      <w:pPr>
        <w:pStyle w:val="3"/>
        <w:rPr>
          <w:szCs w:val="28"/>
        </w:rPr>
      </w:pPr>
      <w:bookmarkStart w:id="268" w:name="_Toc122981773"/>
      <w:r>
        <w:rPr>
          <w:szCs w:val="28"/>
        </w:rPr>
        <w:t>Log/Msg Viewer</w:t>
      </w:r>
      <w:bookmarkEnd w:id="268"/>
    </w:p>
    <w:p>
      <w:pPr>
        <w:ind w:firstLine="240" w:firstLineChars="100"/>
        <w:jc w:val="both"/>
      </w:pPr>
      <w:r>
        <w:rPr>
          <w:szCs w:val="24"/>
        </w:rPr>
        <w:t xml:space="preserve">The DF Log/Mag Viewer window displays the logging information generated during the currently loaded project. Clicking on the </w:t>
      </w:r>
      <w:r>
        <w:rPr>
          <w:b/>
          <w:szCs w:val="24"/>
        </w:rPr>
        <w:t>Log &amp; Msg</w:t>
      </w:r>
      <w:r>
        <w:rPr>
          <w:szCs w:val="24"/>
        </w:rPr>
        <w:t xml:space="preserve"> menu item displays the steps used to create the DF results and the time that the run completed (</w:t>
      </w:r>
      <w:r>
        <w:rPr>
          <w:szCs w:val="24"/>
        </w:rPr>
        <w:fldChar w:fldCharType="begin"/>
      </w:r>
      <w:r>
        <w:rPr>
          <w:szCs w:val="24"/>
        </w:rPr>
        <w:instrText xml:space="preserve"> REF _Ref512518621 \h </w:instrText>
      </w:r>
      <w:r>
        <w:rPr>
          <w:szCs w:val="24"/>
        </w:rPr>
        <w:fldChar w:fldCharType="separate"/>
      </w:r>
      <w:r>
        <w:rPr>
          <w:i/>
          <w:iCs/>
          <w:szCs w:val="24"/>
        </w:rPr>
        <w:t>Figure 67</w:t>
      </w:r>
      <w:r>
        <w:rPr>
          <w:szCs w:val="24"/>
        </w:rPr>
        <w:fldChar w:fldCharType="end"/>
      </w:r>
      <w:r>
        <w:rPr>
          <w:szCs w:val="24"/>
        </w:rPr>
        <w:t>).</w:t>
      </w:r>
    </w:p>
    <w:p>
      <w:pPr>
        <w:keepNext/>
        <w:jc w:val="center"/>
      </w:pPr>
      <w:r>
        <w:drawing>
          <wp:inline distT="0" distB="0" distL="0" distR="0">
            <wp:extent cx="5274310" cy="379603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4"/>
                    <a:stretch>
                      <a:fillRect/>
                    </a:stretch>
                  </pic:blipFill>
                  <pic:spPr>
                    <a:xfrm>
                      <a:off x="0" y="0"/>
                      <a:ext cx="5274310" cy="3796030"/>
                    </a:xfrm>
                    <a:prstGeom prst="rect">
                      <a:avLst/>
                    </a:prstGeom>
                  </pic:spPr>
                </pic:pic>
              </a:graphicData>
            </a:graphic>
          </wp:inline>
        </w:drawing>
      </w:r>
    </w:p>
    <w:p>
      <w:pPr>
        <w:pStyle w:val="6"/>
        <w:jc w:val="center"/>
        <w:rPr>
          <w:rFonts w:ascii="Times New Roman" w:hAnsi="Times New Roman"/>
          <w:i/>
          <w:iCs/>
          <w:sz w:val="24"/>
          <w:szCs w:val="24"/>
        </w:rPr>
      </w:pPr>
      <w:bookmarkStart w:id="269" w:name="_Ref512518621"/>
      <w:bookmarkStart w:id="270" w:name="_Toc37923863"/>
      <w:bookmarkStart w:id="271" w:name="_Toc122981843"/>
      <w:r>
        <w:rPr>
          <w:rFonts w:ascii="Times New Roman" w:hAnsi="Times New Roman"/>
          <w:i/>
          <w:iCs/>
          <w:sz w:val="24"/>
          <w:szCs w:val="24"/>
        </w:rPr>
        <w:t xml:space="preserve">Figure </w:t>
      </w:r>
      <w:r>
        <w:rPr>
          <w:rFonts w:ascii="Times New Roman" w:hAnsi="Times New Roman"/>
          <w:i/>
          <w:iCs/>
          <w:sz w:val="24"/>
          <w:szCs w:val="24"/>
        </w:rPr>
        <w:fldChar w:fldCharType="begin"/>
      </w:r>
      <w:r>
        <w:rPr>
          <w:rFonts w:ascii="Times New Roman" w:hAnsi="Times New Roman"/>
          <w:i/>
          <w:iCs/>
          <w:sz w:val="24"/>
          <w:szCs w:val="24"/>
        </w:rPr>
        <w:instrText xml:space="preserve"> SEQ Fig. \* ARABIC </w:instrText>
      </w:r>
      <w:r>
        <w:rPr>
          <w:rFonts w:ascii="Times New Roman" w:hAnsi="Times New Roman"/>
          <w:i/>
          <w:iCs/>
          <w:sz w:val="24"/>
          <w:szCs w:val="24"/>
        </w:rPr>
        <w:fldChar w:fldCharType="separate"/>
      </w:r>
      <w:r>
        <w:rPr>
          <w:rFonts w:ascii="Times New Roman" w:hAnsi="Times New Roman"/>
          <w:i/>
          <w:iCs/>
          <w:sz w:val="24"/>
          <w:szCs w:val="24"/>
        </w:rPr>
        <w:t>67</w:t>
      </w:r>
      <w:r>
        <w:rPr>
          <w:rFonts w:ascii="Times New Roman" w:hAnsi="Times New Roman"/>
          <w:i/>
          <w:iCs/>
          <w:sz w:val="24"/>
          <w:szCs w:val="24"/>
        </w:rPr>
        <w:fldChar w:fldCharType="end"/>
      </w:r>
      <w:bookmarkEnd w:id="269"/>
      <w:r>
        <w:rPr>
          <w:rFonts w:ascii="Times New Roman" w:hAnsi="Times New Roman"/>
          <w:i/>
          <w:iCs/>
          <w:sz w:val="24"/>
          <w:szCs w:val="24"/>
        </w:rPr>
        <w:t>. The interface of the Log/Msg Viewer</w:t>
      </w:r>
      <w:bookmarkEnd w:id="270"/>
      <w:bookmarkEnd w:id="271"/>
    </w:p>
    <w:p>
      <w:pPr>
        <w:ind w:firstLine="240" w:firstLineChars="100"/>
        <w:jc w:val="both"/>
        <w:rPr>
          <w:szCs w:val="24"/>
        </w:rPr>
      </w:pPr>
      <w:r>
        <w:rPr>
          <w:szCs w:val="24"/>
        </w:rPr>
        <w:t>This Chapter describes the multiple display forms under the Data Viewer module in the Data Fusion tool. The interface design and operation methods of the Data Viewer module for PM</w:t>
      </w:r>
      <w:r>
        <w:rPr>
          <w:szCs w:val="24"/>
          <w:vertAlign w:val="subscript"/>
        </w:rPr>
        <w:t>2.5</w:t>
      </w:r>
      <w:r>
        <w:rPr>
          <w:szCs w:val="24"/>
        </w:rPr>
        <w:t xml:space="preserve"> are similar to that for Ozone.</w:t>
      </w:r>
    </w:p>
    <w:p>
      <w:pPr>
        <w:pStyle w:val="2"/>
        <w:rPr>
          <w:szCs w:val="32"/>
        </w:rPr>
      </w:pPr>
      <w:bookmarkStart w:id="272" w:name="_Ref525033829"/>
      <w:bookmarkStart w:id="273" w:name="_Toc122981774"/>
      <w:r>
        <w:rPr>
          <w:szCs w:val="32"/>
        </w:rPr>
        <w:t>Appendix I</w:t>
      </w:r>
      <w:bookmarkEnd w:id="272"/>
      <w:bookmarkEnd w:id="273"/>
    </w:p>
    <w:p>
      <w:pPr>
        <w:pStyle w:val="3"/>
        <w:rPr>
          <w:szCs w:val="28"/>
        </w:rPr>
      </w:pPr>
      <w:bookmarkStart w:id="274" w:name="_Toc525328121"/>
      <w:bookmarkStart w:id="275" w:name="_Toc122981775"/>
      <w:r>
        <w:rPr>
          <w:rFonts w:hint="eastAsia"/>
          <w:szCs w:val="28"/>
        </w:rPr>
        <w:t>E</w:t>
      </w:r>
      <w:r>
        <w:rPr>
          <w:szCs w:val="28"/>
        </w:rPr>
        <w:t>valuation principle of Data Fusion Techniques</w:t>
      </w:r>
      <w:bookmarkEnd w:id="274"/>
      <w:bookmarkEnd w:id="275"/>
    </w:p>
    <w:p>
      <w:pPr>
        <w:widowControl w:val="0"/>
        <w:numPr>
          <w:ilvl w:val="0"/>
          <w:numId w:val="42"/>
        </w:numPr>
        <w:ind w:left="0" w:firstLine="0"/>
        <w:jc w:val="both"/>
        <w:rPr>
          <w:szCs w:val="24"/>
        </w:rPr>
      </w:pPr>
      <w:r>
        <w:rPr>
          <w:b/>
          <w:szCs w:val="24"/>
        </w:rPr>
        <w:t>Voronoi Neighbor Averaging (VNA)</w:t>
      </w:r>
      <w:r>
        <w:rPr>
          <w:szCs w:val="24"/>
        </w:rPr>
        <w:t xml:space="preserve">: </w:t>
      </w:r>
      <w:r>
        <w:rPr>
          <w:rFonts w:hint="eastAsia"/>
          <w:szCs w:val="24"/>
        </w:rPr>
        <w:t>It</w:t>
      </w:r>
      <w:r>
        <w:rPr>
          <w:szCs w:val="24"/>
        </w:rPr>
        <w:t xml:space="preserve"> is a deterministic spatial interpolation method that calculates the concentration at the center of each grid cell as the inverse-distance-squared weighted average of PM</w:t>
      </w:r>
      <w:r>
        <w:rPr>
          <w:szCs w:val="24"/>
          <w:vertAlign w:val="subscript"/>
        </w:rPr>
        <w:t>2.5</w:t>
      </w:r>
      <w:r>
        <w:rPr>
          <w:szCs w:val="24"/>
        </w:rPr>
        <w:t xml:space="preserve"> concentrations at neighboring monitors, where the neighboring monitors are identified using Delaunay triangulation. The equation is shown below:</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r>
                <m:rPr/>
                <w:rPr>
                  <w:rFonts w:hint="eastAsia" w:ascii="Cambria Math" w:hAnsi="Cambria Math" w:eastAsia="宋体" w:cstheme="minorBidi"/>
                  <w:kern w:val="2"/>
                  <w:szCs w:val="24"/>
                </w:rPr>
                <m:t>VNA</m:t>
              </m:r>
              <m:d>
                <m:dPr>
                  <m:ctrlPr>
                    <w:rPr>
                      <w:rFonts w:ascii="Cambria Math" w:hAnsi="Cambria Math" w:eastAsia="宋体" w:cstheme="minorBidi"/>
                      <w:i/>
                      <w:kern w:val="2"/>
                      <w:szCs w:val="24"/>
                    </w:rPr>
                  </m:ctrlPr>
                </m:dPr>
                <m:e>
                  <m:r>
                    <m:rPr/>
                    <w:rPr>
                      <w:rFonts w:hint="eastAsia" w:ascii="Cambria Math" w:hAnsi="Cambria Math" w:eastAsia="宋体" w:cstheme="minorBidi"/>
                      <w:kern w:val="2"/>
                      <w:szCs w:val="24"/>
                    </w:rPr>
                    <m:t>E</m:t>
                  </m:r>
                  <m:ctrlPr>
                    <w:rPr>
                      <w:rFonts w:ascii="Cambria Math" w:hAnsi="Cambria Math" w:eastAsia="宋体" w:cstheme="minorBidi"/>
                      <w:i/>
                      <w:kern w:val="2"/>
                      <w:szCs w:val="24"/>
                    </w:rPr>
                  </m:ctrlPr>
                </m:e>
              </m:d>
              <m:r>
                <m:rPr/>
                <w:rPr>
                  <w:rFonts w:hint="eastAsia" w:ascii="Cambria Math" w:hAnsi="Cambria Math" w:eastAsia="宋体" w:cstheme="minorBidi"/>
                  <w:kern w:val="2"/>
                  <w:szCs w:val="24"/>
                </w:rPr>
                <m:t>=</m:t>
              </m:r>
              <m:nary>
                <m:naryPr>
                  <m:chr m:val="∑"/>
                  <m:limLoc m:val="undOvr"/>
                  <m:ctrlPr>
                    <w:rPr>
                      <w:rFonts w:ascii="Cambria Math" w:hAnsi="Cambria Math" w:eastAsia="宋体" w:cstheme="minorBidi"/>
                      <w:i/>
                      <w:kern w:val="2"/>
                      <w:szCs w:val="24"/>
                    </w:rPr>
                  </m:ctrlPr>
                </m:naryPr>
                <m:sub>
                  <m:r>
                    <m:rPr/>
                    <w:rPr>
                      <w:rFonts w:hint="eastAsia" w:ascii="Cambria Math" w:hAnsi="Cambria Math" w:eastAsia="宋体" w:cstheme="minorBidi"/>
                      <w:kern w:val="2"/>
                      <w:szCs w:val="24"/>
                    </w:rPr>
                    <m:t>i=1</m:t>
                  </m:r>
                  <m:ctrlPr>
                    <w:rPr>
                      <w:rFonts w:ascii="Cambria Math" w:hAnsi="Cambria Math" w:eastAsia="宋体" w:cstheme="minorBidi"/>
                      <w:i/>
                      <w:kern w:val="2"/>
                      <w:szCs w:val="24"/>
                    </w:rPr>
                  </m:ctrlPr>
                </m:sub>
                <m:sup>
                  <m:r>
                    <m:rPr/>
                    <w:rPr>
                      <w:rFonts w:hint="eastAsia" w:ascii="Cambria Math" w:hAnsi="Cambria Math" w:eastAsia="宋体" w:cstheme="minorBidi"/>
                      <w:kern w:val="2"/>
                      <w:szCs w:val="24"/>
                    </w:rPr>
                    <m:t>n</m:t>
                  </m:r>
                  <m:ctrlPr>
                    <w:rPr>
                      <w:rFonts w:ascii="Cambria Math" w:hAnsi="Cambria Math" w:eastAsia="宋体" w:cstheme="minorBidi"/>
                      <w:i/>
                      <w:kern w:val="2"/>
                      <w:szCs w:val="24"/>
                    </w:rPr>
                  </m:ctrlPr>
                </m:sup>
                <m:e>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Weigℎt</m:t>
                      </m:r>
                      <m:ctrlPr>
                        <w:rPr>
                          <w:rFonts w:ascii="Cambria Math" w:hAnsi="Cambria Math" w:eastAsia="宋体" w:cstheme="minorBidi"/>
                          <w:i/>
                          <w:kern w:val="2"/>
                          <w:szCs w:val="24"/>
                        </w:rPr>
                      </m:ctrlPr>
                    </m:e>
                    <m:sub>
                      <m:r>
                        <m:rPr/>
                        <w:rPr>
                          <w:rFonts w:hint="eastAsia" w:ascii="Cambria Math" w:hAnsi="Cambria Math" w:eastAsia="宋体" w:cstheme="minorBidi"/>
                          <w:kern w:val="2"/>
                          <w:szCs w:val="24"/>
                        </w:rPr>
                        <m:t>i</m:t>
                      </m:r>
                      <m:ctrlPr>
                        <w:rPr>
                          <w:rFonts w:ascii="Cambria Math" w:hAnsi="Cambria Math" w:eastAsia="宋体" w:cstheme="minorBidi"/>
                          <w:i/>
                          <w:kern w:val="2"/>
                          <w:szCs w:val="24"/>
                        </w:rPr>
                      </m:ctrlPr>
                    </m:sub>
                  </m:sSub>
                  <m:ctrlPr>
                    <w:rPr>
                      <w:rFonts w:ascii="Cambria Math" w:hAnsi="Cambria Math" w:eastAsia="宋体" w:cstheme="minorBidi"/>
                      <w:i/>
                      <w:kern w:val="2"/>
                      <w:szCs w:val="24"/>
                    </w:rPr>
                  </m:ctrlPr>
                </m:e>
              </m:nary>
              <m:r>
                <m:rPr/>
                <w:rPr>
                  <w:rFonts w:hint="eastAsia"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hint="eastAsia" w:ascii="Cambria Math" w:hAnsi="Cambria Math" w:eastAsia="宋体" w:cstheme="minorBidi"/>
                      <w:kern w:val="2"/>
                      <w:szCs w:val="24"/>
                    </w:rPr>
                    <m:t>Monitor</m:t>
                  </m:r>
                  <m:ctrlPr>
                    <w:rPr>
                      <w:rFonts w:ascii="Cambria Math" w:hAnsi="Cambria Math" w:eastAsia="宋体" w:cstheme="minorBidi"/>
                      <w:i/>
                      <w:kern w:val="2"/>
                      <w:szCs w:val="24"/>
                    </w:rPr>
                  </m:ctrlPr>
                </m:e>
                <m:sub>
                  <m:r>
                    <m:rPr/>
                    <w:rPr>
                      <w:rFonts w:hint="eastAsia" w:ascii="Cambria Math" w:hAnsi="Cambria Math" w:eastAsia="宋体" w:cstheme="minorBidi"/>
                      <w:kern w:val="2"/>
                      <w:szCs w:val="24"/>
                    </w:rPr>
                    <m:t>i</m:t>
                  </m:r>
                  <m:ctrlPr>
                    <w:rPr>
                      <w:rFonts w:ascii="Cambria Math" w:hAnsi="Cambria Math" w:eastAsia="宋体" w:cstheme="minorBidi"/>
                      <w:i/>
                      <w:kern w:val="2"/>
                      <w:szCs w:val="24"/>
                    </w:rPr>
                  </m:ctrlPr>
                </m:sub>
              </m:sSub>
            </m:oMath>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1</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szCs w:val="24"/>
        </w:rPr>
      </w:pPr>
    </w:p>
    <w:p>
      <w:pPr>
        <w:widowControl w:val="0"/>
        <w:jc w:val="both"/>
        <w:rPr>
          <w:szCs w:val="24"/>
        </w:rPr>
      </w:pPr>
      <w:r>
        <w:rPr>
          <w:kern w:val="2"/>
          <w:szCs w:val="24"/>
        </w:rPr>
        <w:t>where:</w:t>
      </w:r>
      <w:r>
        <w:rPr>
          <w:rFonts w:hint="eastAsia"/>
          <w:kern w:val="2"/>
          <w:szCs w:val="24"/>
        </w:rPr>
        <w:t xml:space="preserve"> </w:t>
      </w:r>
      <w:r>
        <w:rPr>
          <w:i/>
          <w:kern w:val="2"/>
          <w:szCs w:val="24"/>
        </w:rPr>
        <w:t>n</w:t>
      </w:r>
      <w:r>
        <w:rPr>
          <w:kern w:val="2"/>
          <w:szCs w:val="24"/>
        </w:rPr>
        <w:t xml:space="preserve"> is the number of neighboring sites</w:t>
      </w:r>
      <w:r>
        <w:rPr>
          <w:rFonts w:hint="eastAsia"/>
          <w:kern w:val="2"/>
          <w:szCs w:val="24"/>
        </w:rPr>
        <w:t xml:space="preserve">, </w:t>
      </w:r>
      <w:r>
        <w:rPr>
          <w:i/>
          <w:kern w:val="2"/>
          <w:szCs w:val="24"/>
        </w:rPr>
        <w:t>Weight</w:t>
      </w:r>
      <w:r>
        <w:rPr>
          <w:i/>
          <w:kern w:val="2"/>
          <w:szCs w:val="24"/>
          <w:vertAlign w:val="subscript"/>
        </w:rPr>
        <w:t>i</w:t>
      </w:r>
      <w:r>
        <w:rPr>
          <w:kern w:val="2"/>
          <w:szCs w:val="24"/>
        </w:rPr>
        <w:t xml:space="preserve"> is the inverse distance squared weight for monitor </w:t>
      </w:r>
      <w:r>
        <w:rPr>
          <w:i/>
          <w:kern w:val="2"/>
          <w:szCs w:val="24"/>
        </w:rPr>
        <w:t>i</w:t>
      </w:r>
      <w:r>
        <w:rPr>
          <w:kern w:val="2"/>
          <w:szCs w:val="24"/>
        </w:rPr>
        <w:t>,</w:t>
      </w:r>
      <w:r>
        <w:rPr>
          <w:i/>
          <w:kern w:val="2"/>
          <w:szCs w:val="24"/>
        </w:rPr>
        <w:t xml:space="preserve"> Monitor</w:t>
      </w:r>
      <w:r>
        <w:rPr>
          <w:i/>
          <w:kern w:val="2"/>
          <w:szCs w:val="24"/>
          <w:vertAlign w:val="subscript"/>
        </w:rPr>
        <w:t>i</w:t>
      </w:r>
      <w:r>
        <w:rPr>
          <w:kern w:val="2"/>
          <w:szCs w:val="24"/>
        </w:rPr>
        <w:t xml:space="preserve"> is the observed concentration at monitor </w:t>
      </w:r>
      <w:r>
        <w:rPr>
          <w:i/>
          <w:kern w:val="2"/>
          <w:szCs w:val="24"/>
        </w:rPr>
        <w:t>i</w:t>
      </w:r>
      <w:r>
        <w:rPr>
          <w:kern w:val="2"/>
          <w:szCs w:val="24"/>
        </w:rPr>
        <w:t xml:space="preserve">, and </w:t>
      </w:r>
      <w:r>
        <w:rPr>
          <w:i/>
          <w:kern w:val="2"/>
          <w:szCs w:val="24"/>
        </w:rPr>
        <w:t>VNA(E</w:t>
      </w:r>
      <w:r>
        <w:rPr>
          <w:kern w:val="2"/>
          <w:szCs w:val="24"/>
        </w:rPr>
        <w:t xml:space="preserve">) is the estimation at grid cell </w:t>
      </w:r>
      <w:r>
        <w:rPr>
          <w:i/>
          <w:kern w:val="2"/>
          <w:szCs w:val="24"/>
        </w:rPr>
        <w:t>E</w:t>
      </w:r>
      <w:r>
        <w:rPr>
          <w:kern w:val="2"/>
          <w:szCs w:val="24"/>
        </w:rPr>
        <w:t>.</w:t>
      </w:r>
    </w:p>
    <w:p>
      <w:pPr>
        <w:widowControl w:val="0"/>
        <w:numPr>
          <w:ilvl w:val="0"/>
          <w:numId w:val="42"/>
        </w:numPr>
        <w:ind w:left="0" w:firstLine="0"/>
        <w:jc w:val="both"/>
        <w:rPr>
          <w:kern w:val="2"/>
          <w:szCs w:val="24"/>
        </w:rPr>
      </w:pPr>
      <w:r>
        <w:rPr>
          <w:b/>
          <w:szCs w:val="24"/>
        </w:rPr>
        <w:t>Enhanced Voronoi Neighbor Averaging (eVNA):</w:t>
      </w:r>
      <w:r>
        <w:rPr>
          <w:szCs w:val="24"/>
        </w:rPr>
        <w:t xml:space="preserve"> </w:t>
      </w:r>
      <w:r>
        <w:rPr>
          <w:rFonts w:eastAsia="宋体"/>
          <w:kern w:val="2"/>
          <w:szCs w:val="24"/>
        </w:rPr>
        <w:t>In the eVNA approach, the monitored concentrations used in VNA interpolation are multiplied by the ratio of the modeled concentration in the target grid cell to that in the monitor-containing grid cell. Therefore, eVNA places strong weight on CMAQ gradients between the target cell and cells with nearby monitors. The equation of eVNA is defined as:</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r>
                <m:rPr/>
                <w:rPr>
                  <w:rFonts w:ascii="Cambria Math" w:hAnsi="Cambria Math" w:eastAsia="宋体" w:cstheme="minorBidi"/>
                  <w:kern w:val="2"/>
                  <w:szCs w:val="24"/>
                </w:rPr>
                <m:t>eVNA</m:t>
              </m:r>
              <m:d>
                <m:dPr>
                  <m:ctrlPr>
                    <w:rPr>
                      <w:rFonts w:ascii="Cambria Math" w:hAnsi="Cambria Math" w:eastAsia="宋体" w:cstheme="minorBidi"/>
                      <w:i/>
                      <w:kern w:val="2"/>
                      <w:szCs w:val="24"/>
                    </w:rPr>
                  </m:ctrlPr>
                </m:dPr>
                <m:e>
                  <m:r>
                    <m:rPr/>
                    <w:rPr>
                      <w:rFonts w:ascii="Cambria Math" w:hAnsi="Cambria Math" w:eastAsia="宋体" w:cstheme="minorBidi"/>
                      <w:kern w:val="2"/>
                      <w:szCs w:val="24"/>
                    </w:rPr>
                    <m:t>E</m:t>
                  </m:r>
                  <m:ctrlPr>
                    <w:rPr>
                      <w:rFonts w:ascii="Cambria Math" w:hAnsi="Cambria Math" w:eastAsia="宋体" w:cstheme="minorBidi"/>
                      <w:i/>
                      <w:kern w:val="2"/>
                      <w:szCs w:val="24"/>
                    </w:rPr>
                  </m:ctrlPr>
                </m:e>
              </m:d>
              <m:r>
                <m:rPr/>
                <w:rPr>
                  <w:rFonts w:ascii="Cambria Math" w:hAnsi="Cambria Math" w:eastAsia="宋体" w:cstheme="minorBidi"/>
                  <w:kern w:val="2"/>
                  <w:szCs w:val="24"/>
                </w:rPr>
                <m:t>=</m:t>
              </m:r>
              <m:nary>
                <m:naryPr>
                  <m:chr m:val="∑"/>
                  <m:limLoc m:val="undOvr"/>
                  <m:ctrlPr>
                    <w:rPr>
                      <w:rFonts w:ascii="Cambria Math" w:hAnsi="Cambria Math" w:eastAsia="宋体" w:cstheme="minorBidi"/>
                      <w:i/>
                      <w:kern w:val="2"/>
                      <w:szCs w:val="24"/>
                    </w:rPr>
                  </m:ctrlPr>
                </m:naryPr>
                <m:sub>
                  <m:r>
                    <m:rPr/>
                    <w:rPr>
                      <w:rFonts w:ascii="Cambria Math" w:hAnsi="Cambria Math" w:eastAsia="宋体" w:cstheme="minorBidi"/>
                      <w:kern w:val="2"/>
                      <w:szCs w:val="24"/>
                    </w:rPr>
                    <m:t>i=1</m:t>
                  </m:r>
                  <m:ctrlPr>
                    <w:rPr>
                      <w:rFonts w:ascii="Cambria Math" w:hAnsi="Cambria Math" w:eastAsia="宋体" w:cstheme="minorBidi"/>
                      <w:i/>
                      <w:kern w:val="2"/>
                      <w:szCs w:val="24"/>
                    </w:rPr>
                  </m:ctrlPr>
                </m:sub>
                <m:sup>
                  <m:r>
                    <m:rPr/>
                    <w:rPr>
                      <w:rFonts w:ascii="Cambria Math" w:hAnsi="Cambria Math" w:eastAsia="宋体" w:cstheme="minorBidi"/>
                      <w:kern w:val="2"/>
                      <w:szCs w:val="24"/>
                    </w:rPr>
                    <m:t>n</m:t>
                  </m:r>
                  <m:ctrlPr>
                    <w:rPr>
                      <w:rFonts w:ascii="Cambria Math" w:hAnsi="Cambria Math" w:eastAsia="宋体" w:cstheme="minorBidi"/>
                      <w:i/>
                      <w:kern w:val="2"/>
                      <w:szCs w:val="24"/>
                    </w:rPr>
                  </m:ctrlPr>
                </m:sup>
                <m:e>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Weigℎt</m:t>
                      </m:r>
                      <m:ctrlPr>
                        <w:rPr>
                          <w:rFonts w:ascii="Cambria Math" w:hAnsi="Cambria Math" w:eastAsia="宋体" w:cstheme="minorBidi"/>
                          <w:i/>
                          <w:kern w:val="2"/>
                          <w:szCs w:val="24"/>
                        </w:rPr>
                      </m:ctrlPr>
                    </m:e>
                    <m:sub>
                      <m:r>
                        <m:rPr/>
                        <w:rPr>
                          <w:rFonts w:ascii="Cambria Math" w:hAnsi="Cambria Math" w:eastAsia="宋体" w:cstheme="minorBidi"/>
                          <w:kern w:val="2"/>
                          <w:szCs w:val="24"/>
                        </w:rPr>
                        <m:t>i</m:t>
                      </m:r>
                      <m:ctrlPr>
                        <w:rPr>
                          <w:rFonts w:ascii="Cambria Math" w:hAnsi="Cambria Math" w:eastAsia="宋体" w:cstheme="minorBidi"/>
                          <w:i/>
                          <w:kern w:val="2"/>
                          <w:szCs w:val="24"/>
                        </w:rPr>
                      </m:ctrlPr>
                    </m:sub>
                  </m:sSub>
                  <m:ctrlPr>
                    <w:rPr>
                      <w:rFonts w:ascii="Cambria Math" w:hAnsi="Cambria Math" w:eastAsia="宋体" w:cstheme="minorBidi"/>
                      <w:i/>
                      <w:kern w:val="2"/>
                      <w:szCs w:val="24"/>
                    </w:rPr>
                  </m:ctrlPr>
                </m:e>
              </m:nary>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Monitor</m:t>
                  </m:r>
                  <m:ctrlPr>
                    <w:rPr>
                      <w:rFonts w:ascii="Cambria Math" w:hAnsi="Cambria Math" w:eastAsia="宋体" w:cstheme="minorBidi"/>
                      <w:i/>
                      <w:kern w:val="2"/>
                      <w:szCs w:val="24"/>
                    </w:rPr>
                  </m:ctrlPr>
                </m:e>
                <m:sub>
                  <m:r>
                    <m:rPr/>
                    <w:rPr>
                      <w:rFonts w:ascii="Cambria Math" w:hAnsi="Cambria Math" w:eastAsia="宋体" w:cstheme="minorBidi"/>
                      <w:kern w:val="2"/>
                      <w:szCs w:val="24"/>
                    </w:rPr>
                    <m:t>i</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f>
                <m:fPr>
                  <m:ctrlPr>
                    <w:rPr>
                      <w:rFonts w:ascii="Cambria Math" w:hAnsi="Cambria Math" w:eastAsia="宋体" w:cstheme="minorBidi"/>
                      <w:i/>
                      <w:kern w:val="2"/>
                      <w:szCs w:val="24"/>
                    </w:rPr>
                  </m:ctrlPr>
                </m:fPr>
                <m:num>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Model</m:t>
                      </m:r>
                      <m:ctrlPr>
                        <w:rPr>
                          <w:rFonts w:ascii="Cambria Math" w:hAnsi="Cambria Math" w:eastAsia="宋体" w:cstheme="minorBidi"/>
                          <w:i/>
                          <w:kern w:val="2"/>
                          <w:szCs w:val="24"/>
                        </w:rPr>
                      </m:ctrlPr>
                    </m:e>
                    <m:sub>
                      <m:r>
                        <m:rPr/>
                        <w:rPr>
                          <w:rFonts w:ascii="Cambria Math" w:hAnsi="Cambria Math" w:eastAsia="宋体" w:cstheme="minorBidi"/>
                          <w:kern w:val="2"/>
                          <w:szCs w:val="24"/>
                        </w:rPr>
                        <m:t>E</m:t>
                      </m:r>
                      <m:ctrlPr>
                        <w:rPr>
                          <w:rFonts w:ascii="Cambria Math" w:hAnsi="Cambria Math" w:eastAsia="宋体" w:cstheme="minorBidi"/>
                          <w:i/>
                          <w:kern w:val="2"/>
                          <w:szCs w:val="24"/>
                        </w:rPr>
                      </m:ctrlPr>
                    </m:sub>
                  </m:sSub>
                  <m:ctrlPr>
                    <w:rPr>
                      <w:rFonts w:ascii="Cambria Math" w:hAnsi="Cambria Math" w:eastAsia="宋体" w:cstheme="minorBidi"/>
                      <w:i/>
                      <w:kern w:val="2"/>
                      <w:szCs w:val="24"/>
                    </w:rPr>
                  </m:ctrlPr>
                </m:num>
                <m:den>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Model</m:t>
                      </m:r>
                      <m:ctrlPr>
                        <w:rPr>
                          <w:rFonts w:ascii="Cambria Math" w:hAnsi="Cambria Math" w:eastAsia="宋体" w:cstheme="minorBidi"/>
                          <w:i/>
                          <w:kern w:val="2"/>
                          <w:szCs w:val="24"/>
                        </w:rPr>
                      </m:ctrlPr>
                    </m:e>
                    <m:sub>
                      <m:r>
                        <m:rPr/>
                        <w:rPr>
                          <w:rFonts w:ascii="Cambria Math" w:hAnsi="Cambria Math" w:eastAsia="宋体" w:cstheme="minorBidi"/>
                          <w:kern w:val="2"/>
                          <w:szCs w:val="24"/>
                        </w:rPr>
                        <m:t>i</m:t>
                      </m:r>
                      <m:ctrlPr>
                        <w:rPr>
                          <w:rFonts w:ascii="Cambria Math" w:hAnsi="Cambria Math" w:eastAsia="宋体" w:cstheme="minorBidi"/>
                          <w:i/>
                          <w:kern w:val="2"/>
                          <w:szCs w:val="24"/>
                        </w:rPr>
                      </m:ctrlPr>
                    </m:sub>
                  </m:sSub>
                  <m:ctrlPr>
                    <w:rPr>
                      <w:rFonts w:ascii="Cambria Math" w:hAnsi="Cambria Math" w:eastAsia="宋体" w:cstheme="minorBidi"/>
                      <w:i/>
                      <w:kern w:val="2"/>
                      <w:szCs w:val="24"/>
                    </w:rPr>
                  </m:ctrlPr>
                </m:den>
              </m:f>
            </m:oMath>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2</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szCs w:val="24"/>
        </w:rPr>
      </w:pPr>
      <w:r>
        <w:rPr>
          <w:kern w:val="2"/>
          <w:szCs w:val="24"/>
        </w:rPr>
        <w:t xml:space="preserve">where: </w:t>
      </w:r>
      <w:r>
        <w:rPr>
          <w:i/>
          <w:kern w:val="2"/>
          <w:szCs w:val="24"/>
        </w:rPr>
        <w:t>Model</w:t>
      </w:r>
      <w:r>
        <w:rPr>
          <w:i/>
          <w:kern w:val="2"/>
          <w:szCs w:val="24"/>
          <w:vertAlign w:val="subscript"/>
        </w:rPr>
        <w:t>E</w:t>
      </w:r>
      <w:r>
        <w:rPr>
          <w:kern w:val="2"/>
          <w:szCs w:val="24"/>
        </w:rPr>
        <w:t xml:space="preserve"> is the modeled concentration for cell E, and </w:t>
      </w:r>
      <w:r>
        <w:rPr>
          <w:i/>
          <w:kern w:val="2"/>
          <w:szCs w:val="24"/>
        </w:rPr>
        <w:t>Model</w:t>
      </w:r>
      <w:r>
        <w:rPr>
          <w:i/>
          <w:kern w:val="2"/>
          <w:szCs w:val="24"/>
          <w:vertAlign w:val="subscript"/>
        </w:rPr>
        <w:t>i</w:t>
      </w:r>
      <w:r>
        <w:rPr>
          <w:kern w:val="2"/>
          <w:szCs w:val="24"/>
        </w:rPr>
        <w:t xml:space="preserve"> is the modeled concentration in the grid cell containing monitor site </w:t>
      </w:r>
      <w:r>
        <w:rPr>
          <w:i/>
          <w:kern w:val="2"/>
          <w:szCs w:val="24"/>
        </w:rPr>
        <w:t>i</w:t>
      </w:r>
      <w:r>
        <w:rPr>
          <w:kern w:val="2"/>
          <w:szCs w:val="24"/>
        </w:rPr>
        <w:t xml:space="preserve">. </w:t>
      </w:r>
    </w:p>
    <w:p>
      <w:pPr>
        <w:pStyle w:val="31"/>
        <w:numPr>
          <w:ilvl w:val="0"/>
          <w:numId w:val="42"/>
        </w:numPr>
        <w:ind w:left="0" w:firstLine="0" w:firstLineChars="0"/>
        <w:rPr>
          <w:rFonts w:ascii="Times New Roman" w:hAnsi="Times New Roman"/>
          <w:sz w:val="24"/>
          <w:szCs w:val="24"/>
        </w:rPr>
      </w:pPr>
      <w:r>
        <w:rPr>
          <w:rFonts w:ascii="Times New Roman" w:hAnsi="Times New Roman"/>
          <w:b/>
          <w:sz w:val="24"/>
          <w:szCs w:val="24"/>
        </w:rPr>
        <w:t>D</w:t>
      </w:r>
      <w:r>
        <w:rPr>
          <w:rFonts w:ascii="Times New Roman" w:hAnsi="Times New Roman" w:eastAsia="微软雅黑"/>
          <w:b/>
          <w:kern w:val="0"/>
          <w:sz w:val="24"/>
          <w:szCs w:val="24"/>
        </w:rPr>
        <w:t>ownscaler (DS)</w:t>
      </w:r>
      <w:r>
        <w:rPr>
          <w:rFonts w:ascii="Times New Roman" w:hAnsi="Times New Roman" w:eastAsia="微软雅黑"/>
          <w:kern w:val="0"/>
          <w:sz w:val="24"/>
          <w:szCs w:val="24"/>
        </w:rPr>
        <w:t>: The DS interpolation method is a relatively complex statistical prediction method, but DS resembles a simple linear regression model with spatially varying coefficients at a high level. DS uses Markov chain Monte Carlo (MCMC) methods with Gibbs sampling to develop a relationship between observed and modeled concentrations, and then use the relationship to predict concentrations at points in the spatial domain. The DS method is frequently used to develop exposure fields for health studies.</w:t>
      </w:r>
    </w:p>
    <w:p>
      <w:pPr>
        <w:widowControl w:val="0"/>
        <w:ind w:firstLine="240" w:firstLineChars="100"/>
        <w:jc w:val="both"/>
        <w:rPr>
          <w:kern w:val="2"/>
          <w:szCs w:val="24"/>
        </w:rPr>
      </w:pPr>
      <w:r>
        <w:rPr>
          <w:kern w:val="2"/>
          <w:szCs w:val="24"/>
        </w:rPr>
        <w:t xml:space="preserve">The general structure of </w:t>
      </w:r>
      <w:r>
        <w:rPr>
          <w:rFonts w:hint="eastAsia"/>
          <w:kern w:val="2"/>
          <w:szCs w:val="24"/>
        </w:rPr>
        <w:t>DS</w:t>
      </w:r>
      <w:r>
        <w:rPr>
          <w:kern w:val="2"/>
          <w:szCs w:val="24"/>
        </w:rPr>
        <w:t xml:space="preserve"> can be expressed in an equation similar to that of linear regression: </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sSub>
                <m:sSubPr>
                  <m:ctrlPr>
                    <w:rPr>
                      <w:rFonts w:ascii="Cambria Math" w:hAnsi="Cambria Math" w:eastAsia="宋体" w:cstheme="minorBidi"/>
                      <w:kern w:val="2"/>
                      <w:szCs w:val="24"/>
                    </w:rPr>
                  </m:ctrlPr>
                </m:sSubPr>
                <m:e>
                  <m:r>
                    <m:rPr/>
                    <w:rPr>
                      <w:rFonts w:ascii="Cambria Math" w:hAnsi="Cambria Math" w:eastAsia="宋体" w:cstheme="minorBidi"/>
                      <w:kern w:val="2"/>
                      <w:szCs w:val="24"/>
                    </w:rPr>
                    <m:t>Y</m:t>
                  </m:r>
                  <m:ctrlPr>
                    <w:rPr>
                      <w:rFonts w:ascii="Cambria Math" w:hAnsi="Cambria Math" w:eastAsia="宋体" w:cstheme="minorBidi"/>
                      <w:kern w:val="2"/>
                      <w:szCs w:val="24"/>
                    </w:rPr>
                  </m:ctrlPr>
                </m:e>
                <m:sub>
                  <m:r>
                    <m:rPr/>
                    <w:rPr>
                      <w:rFonts w:ascii="Cambria Math" w:hAnsi="Cambria Math" w:eastAsia="宋体" w:cstheme="minorBidi"/>
                      <w:kern w:val="2"/>
                      <w:szCs w:val="24"/>
                    </w:rPr>
                    <m:t>t</m:t>
                  </m:r>
                  <m:ctrlPr>
                    <w:rPr>
                      <w:rFonts w:ascii="Cambria Math" w:hAnsi="Cambria Math" w:eastAsia="宋体" w:cstheme="minorBidi"/>
                      <w:kern w:val="2"/>
                      <w:szCs w:val="24"/>
                    </w:rPr>
                  </m:ctrlPr>
                </m:sub>
              </m:sSub>
              <m:d>
                <m:dPr>
                  <m:ctrlPr>
                    <w:rPr>
                      <w:rFonts w:ascii="Cambria Math" w:hAnsi="Cambria Math" w:eastAsia="宋体" w:cstheme="minorBidi"/>
                      <w:i/>
                      <w:kern w:val="2"/>
                      <w:szCs w:val="24"/>
                    </w:rPr>
                  </m:ctrlPr>
                </m:dPr>
                <m:e>
                  <m:r>
                    <m:rPr>
                      <m:sty m:val="bi"/>
                    </m:rPr>
                    <w:rPr>
                      <w:rFonts w:hint="eastAsia" w:ascii="Cambria Math" w:hAnsi="Cambria Math" w:eastAsia="宋体" w:cstheme="minorBidi"/>
                      <w:kern w:val="2"/>
                      <w:szCs w:val="24"/>
                    </w:rPr>
                    <m:t>s</m:t>
                  </m:r>
                  <m:ctrlPr>
                    <w:rPr>
                      <w:rFonts w:ascii="Cambria Math" w:hAnsi="Cambria Math" w:eastAsia="宋体" w:cstheme="minorBidi"/>
                      <w:i/>
                      <w:kern w:val="2"/>
                      <w:szCs w:val="24"/>
                    </w:rPr>
                  </m:ctrlPr>
                </m:e>
              </m:d>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β</m:t>
                  </m:r>
                  <m:ctrlPr>
                    <w:rPr>
                      <w:rFonts w:ascii="Cambria Math" w:hAnsi="Cambria Math" w:eastAsia="宋体" w:cstheme="minorBidi"/>
                      <w:i/>
                      <w:kern w:val="2"/>
                      <w:szCs w:val="24"/>
                    </w:rPr>
                  </m:ctrlPr>
                </m:e>
                <m:sub>
                  <m:r>
                    <m:rPr/>
                    <w:rPr>
                      <w:rFonts w:ascii="Cambria Math" w:hAnsi="Cambria Math" w:eastAsia="宋体" w:cstheme="minorBidi"/>
                      <w:kern w:val="2"/>
                      <w:szCs w:val="24"/>
                    </w:rPr>
                    <m:t>0,t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β</m:t>
                  </m:r>
                  <m:ctrlPr>
                    <w:rPr>
                      <w:rFonts w:ascii="Cambria Math" w:hAnsi="Cambria Math" w:eastAsia="宋体" w:cstheme="minorBidi"/>
                      <w:i/>
                      <w:kern w:val="2"/>
                      <w:szCs w:val="24"/>
                    </w:rPr>
                  </m:ctrlPr>
                </m:e>
                <m:sub>
                  <m:r>
                    <m:rPr/>
                    <w:rPr>
                      <w:rFonts w:ascii="Cambria Math" w:hAnsi="Cambria Math" w:eastAsia="宋体" w:cstheme="minorBidi"/>
                      <w:kern w:val="2"/>
                      <w:szCs w:val="24"/>
                    </w:rPr>
                    <m:t>0,t</m:t>
                  </m:r>
                  <m:ctrlPr>
                    <w:rPr>
                      <w:rFonts w:ascii="Cambria Math" w:hAnsi="Cambria Math" w:eastAsia="宋体" w:cstheme="minorBidi"/>
                      <w:i/>
                      <w:kern w:val="2"/>
                      <w:szCs w:val="24"/>
                    </w:rPr>
                  </m:ctrlPr>
                </m:sub>
              </m:sSub>
              <m:d>
                <m:dPr>
                  <m:ctrlPr>
                    <w:rPr>
                      <w:rFonts w:ascii="Cambria Math" w:hAnsi="Cambria Math" w:eastAsia="宋体" w:cstheme="minorBidi"/>
                      <w:i/>
                      <w:kern w:val="2"/>
                      <w:szCs w:val="24"/>
                    </w:rPr>
                  </m:ctrlPr>
                </m:dPr>
                <m:e>
                  <m:r>
                    <m:rPr>
                      <m:sty m:val="bi"/>
                    </m:rPr>
                    <w:rPr>
                      <w:rFonts w:hint="eastAsia" w:ascii="Cambria Math" w:hAnsi="Cambria Math" w:eastAsia="宋体" w:cstheme="minorBidi"/>
                      <w:kern w:val="2"/>
                      <w:szCs w:val="24"/>
                    </w:rPr>
                    <m:t>s</m:t>
                  </m:r>
                  <m:ctrlPr>
                    <w:rPr>
                      <w:rFonts w:ascii="Cambria Math" w:hAnsi="Cambria Math" w:eastAsia="宋体" w:cstheme="minorBidi"/>
                      <w:i/>
                      <w:kern w:val="2"/>
                      <w:szCs w:val="24"/>
                    </w:rPr>
                  </m:ctrlPr>
                </m:e>
              </m:d>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β</m:t>
                  </m:r>
                  <m:ctrlPr>
                    <w:rPr>
                      <w:rFonts w:ascii="Cambria Math" w:hAnsi="Cambria Math" w:eastAsia="宋体" w:cstheme="minorBidi"/>
                      <w:i/>
                      <w:kern w:val="2"/>
                      <w:szCs w:val="24"/>
                    </w:rPr>
                  </m:ctrlPr>
                </m:e>
                <m:sub>
                  <m:r>
                    <m:rPr/>
                    <w:rPr>
                      <w:rFonts w:ascii="Cambria Math" w:hAnsi="Cambria Math" w:eastAsia="宋体" w:cstheme="minorBidi"/>
                      <w:kern w:val="2"/>
                      <w:szCs w:val="24"/>
                    </w:rPr>
                    <m:t>1,t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acc>
                    <m:accPr>
                      <m:chr m:val="̃"/>
                      <m:ctrlPr>
                        <w:rPr>
                          <w:rFonts w:ascii="Cambria Math" w:hAnsi="Cambria Math" w:eastAsia="宋体" w:cstheme="minorBidi"/>
                          <w:i/>
                          <w:kern w:val="2"/>
                          <w:szCs w:val="24"/>
                        </w:rPr>
                      </m:ctrlPr>
                    </m:accPr>
                    <m:e>
                      <m:r>
                        <m:rPr/>
                        <w:rPr>
                          <w:rFonts w:ascii="Cambria Math" w:hAnsi="Cambria Math" w:eastAsia="宋体" w:cstheme="minorBidi"/>
                          <w:kern w:val="2"/>
                          <w:szCs w:val="24"/>
                        </w:rPr>
                        <m:t>X</m:t>
                      </m:r>
                      <m:ctrlPr>
                        <w:rPr>
                          <w:rFonts w:ascii="Cambria Math" w:hAnsi="Cambria Math" w:eastAsia="宋体" w:cstheme="minorBidi"/>
                          <w:i/>
                          <w:kern w:val="2"/>
                          <w:szCs w:val="24"/>
                        </w:rPr>
                      </m:ctrlPr>
                    </m:e>
                  </m:acc>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d>
                <m:dPr>
                  <m:ctrlPr>
                    <w:rPr>
                      <w:rFonts w:ascii="Cambria Math" w:hAnsi="Cambria Math" w:eastAsia="宋体" w:cstheme="minorBidi"/>
                      <w:i/>
                      <w:kern w:val="2"/>
                      <w:szCs w:val="24"/>
                    </w:rPr>
                  </m:ctrlPr>
                </m:dPr>
                <m:e>
                  <m:r>
                    <m:rPr>
                      <m:sty m:val="bi"/>
                    </m:rPr>
                    <w:rPr>
                      <w:rFonts w:hint="eastAsia" w:ascii="Cambria Math" w:hAnsi="Cambria Math" w:eastAsia="宋体" w:cstheme="minorBidi"/>
                      <w:kern w:val="2"/>
                      <w:szCs w:val="24"/>
                    </w:rPr>
                    <m:t>s</m:t>
                  </m:r>
                  <m:ctrlPr>
                    <w:rPr>
                      <w:rFonts w:ascii="Cambria Math" w:hAnsi="Cambria Math" w:eastAsia="宋体" w:cstheme="minorBidi"/>
                      <w:i/>
                      <w:kern w:val="2"/>
                      <w:szCs w:val="24"/>
                    </w:rPr>
                  </m:ctrlPr>
                </m:e>
              </m:d>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ϵ</m:t>
                  </m:r>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r>
                <m:rPr>
                  <m:sty m:val="bi"/>
                </m:rPr>
                <w:rPr>
                  <w:rFonts w:hint="eastAsia" w:ascii="Cambria Math" w:hAnsi="Cambria Math" w:eastAsia="宋体" w:cstheme="minorBidi"/>
                  <w:kern w:val="2"/>
                  <w:szCs w:val="24"/>
                </w:rPr>
                <m:t>s</m:t>
              </m:r>
              <m:r>
                <m:rPr/>
                <w:rPr>
                  <w:rFonts w:ascii="Cambria Math" w:hAnsi="Cambria Math" w:eastAsia="宋体" w:cstheme="minorBidi"/>
                  <w:kern w:val="2"/>
                  <w:szCs w:val="24"/>
                </w:rPr>
                <m:t>)</m:t>
              </m:r>
            </m:oMath>
            <w:r>
              <w:rPr>
                <w:rFonts w:hint="eastAsia" w:eastAsia="宋体" w:cstheme="minorBidi"/>
                <w:kern w:val="2"/>
                <w:szCs w:val="24"/>
              </w:rPr>
              <w:t xml:space="preserve"> </w:t>
            </w:r>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3</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kern w:val="2"/>
          <w:szCs w:val="24"/>
        </w:rPr>
      </w:pPr>
      <w:r>
        <w:rPr>
          <w:kern w:val="2"/>
          <w:szCs w:val="24"/>
        </w:rPr>
        <w:t xml:space="preserve">where: </w:t>
      </w:r>
    </w:p>
    <w:p>
      <w:pPr>
        <w:widowControl w:val="0"/>
        <w:jc w:val="both"/>
        <w:rPr>
          <w:rFonts w:ascii="CMR12" w:hAnsi="CMR12" w:cs="CMR12"/>
          <w:szCs w:val="24"/>
        </w:rPr>
      </w:pPr>
      <m:oMath>
        <m:sSub>
          <m:sSubPr>
            <m:ctrlPr>
              <w:rPr>
                <w:rFonts w:ascii="Cambria Math" w:hAnsi="Cambria Math"/>
                <w:kern w:val="2"/>
                <w:szCs w:val="24"/>
              </w:rPr>
            </m:ctrlPr>
          </m:sSubPr>
          <m:e>
            <m:r>
              <m:rPr/>
              <w:rPr>
                <w:rFonts w:ascii="Cambria Math" w:hAnsi="Cambria Math"/>
                <w:kern w:val="2"/>
                <w:szCs w:val="24"/>
              </w:rPr>
              <m:t>Y</m:t>
            </m:r>
            <m:ctrlPr>
              <w:rPr>
                <w:rFonts w:ascii="Cambria Math" w:hAnsi="Cambria Math"/>
                <w:kern w:val="2"/>
                <w:szCs w:val="24"/>
              </w:rPr>
            </m:ctrlPr>
          </m:e>
          <m:sub>
            <m:r>
              <m:rPr/>
              <w:rPr>
                <w:rFonts w:ascii="Cambria Math" w:hAnsi="Cambria Math"/>
                <w:kern w:val="2"/>
                <w:szCs w:val="24"/>
              </w:rPr>
              <m:t>t</m:t>
            </m:r>
            <m:ctrlPr>
              <w:rPr>
                <w:rFonts w:ascii="Cambria Math" w:hAnsi="Cambria Math"/>
                <w:kern w:val="2"/>
                <w:szCs w:val="24"/>
              </w:rPr>
            </m:ctrlPr>
          </m:sub>
        </m:sSub>
        <m:d>
          <m:dPr>
            <m:ctrlPr>
              <w:rPr>
                <w:rFonts w:ascii="Cambria Math" w:hAnsi="Cambria Math"/>
                <w:i/>
                <w:kern w:val="2"/>
                <w:szCs w:val="24"/>
              </w:rPr>
            </m:ctrlPr>
          </m:dPr>
          <m:e>
            <m:r>
              <m:rPr>
                <m:sty m:val="bi"/>
              </m:rPr>
              <w:rPr>
                <w:rFonts w:ascii="Cambria Math" w:hAnsi="Cambria Math"/>
                <w:kern w:val="2"/>
                <w:szCs w:val="24"/>
              </w:rPr>
              <m:t>s</m:t>
            </m:r>
            <m:ctrlPr>
              <w:rPr>
                <w:rFonts w:ascii="Cambria Math" w:hAnsi="Cambria Math"/>
                <w:i/>
                <w:kern w:val="2"/>
                <w:szCs w:val="24"/>
              </w:rPr>
            </m:ctrlPr>
          </m:e>
        </m:d>
      </m:oMath>
      <w:r>
        <w:rPr>
          <w:kern w:val="2"/>
          <w:szCs w:val="24"/>
        </w:rPr>
        <w:t xml:space="preserve"> is </w:t>
      </w:r>
      <w:r>
        <w:rPr>
          <w:rFonts w:ascii="CMR12" w:hAnsi="CMR12" w:cs="CMR12"/>
          <w:szCs w:val="24"/>
        </w:rPr>
        <w:t xml:space="preserve">the observed monitoring station data at location </w:t>
      </w:r>
      <w:r>
        <w:rPr>
          <w:rFonts w:ascii="CMMIB10" w:hAnsi="CMMIB10" w:cs="CMMIB10"/>
          <w:b/>
          <w:i/>
          <w:szCs w:val="24"/>
        </w:rPr>
        <w:t>s</w:t>
      </w:r>
      <w:r>
        <w:rPr>
          <w:rFonts w:ascii="CMMIB10" w:hAnsi="CMMIB10" w:cs="CMMIB10"/>
          <w:szCs w:val="24"/>
        </w:rPr>
        <w:t xml:space="preserve"> </w:t>
      </w:r>
      <w:r>
        <w:rPr>
          <w:rFonts w:ascii="CMR12" w:hAnsi="CMR12" w:cs="CMR12"/>
          <w:szCs w:val="24"/>
        </w:rPr>
        <w:t xml:space="preserve">on day </w:t>
      </w:r>
      <w:r>
        <w:rPr>
          <w:rFonts w:ascii="CMMI12" w:hAnsi="CMMI12" w:cs="CMMI12"/>
          <w:i/>
          <w:szCs w:val="24"/>
        </w:rPr>
        <w:t>t</w:t>
      </w:r>
      <w:r>
        <w:rPr>
          <w:rFonts w:ascii="CMR12" w:hAnsi="CMR12" w:cs="CMR12"/>
          <w:szCs w:val="24"/>
        </w:rPr>
        <w:t xml:space="preserve">. Furthermore, let </w:t>
      </w:r>
      <m:oMath>
        <m:sSub>
          <m:sSubPr>
            <m:ctrlPr>
              <w:rPr>
                <w:rFonts w:ascii="Cambria Math" w:hAnsi="Cambria Math"/>
                <w:kern w:val="2"/>
                <w:szCs w:val="24"/>
              </w:rPr>
            </m:ctrlPr>
          </m:sSubPr>
          <m:e>
            <m:r>
              <m:rPr/>
              <w:rPr>
                <w:rFonts w:ascii="Cambria Math" w:hAnsi="Cambria Math"/>
                <w:kern w:val="2"/>
                <w:szCs w:val="24"/>
              </w:rPr>
              <m:t>X</m:t>
            </m:r>
            <m:ctrlPr>
              <w:rPr>
                <w:rFonts w:ascii="Cambria Math" w:hAnsi="Cambria Math"/>
                <w:kern w:val="2"/>
                <w:szCs w:val="24"/>
              </w:rPr>
            </m:ctrlPr>
          </m:e>
          <m:sub>
            <m:r>
              <m:rPr/>
              <w:rPr>
                <w:rFonts w:ascii="Cambria Math" w:hAnsi="Cambria Math"/>
                <w:kern w:val="2"/>
                <w:szCs w:val="24"/>
              </w:rPr>
              <m:t>t</m:t>
            </m:r>
            <m:ctrlPr>
              <w:rPr>
                <w:rFonts w:ascii="Cambria Math" w:hAnsi="Cambria Math"/>
                <w:kern w:val="2"/>
                <w:szCs w:val="24"/>
              </w:rPr>
            </m:ctrlPr>
          </m:sub>
        </m:sSub>
        <m:d>
          <m:dPr>
            <m:ctrlPr>
              <w:rPr>
                <w:rFonts w:ascii="Cambria Math" w:hAnsi="Cambria Math"/>
                <w:i/>
                <w:kern w:val="2"/>
                <w:szCs w:val="24"/>
              </w:rPr>
            </m:ctrlPr>
          </m:dPr>
          <m:e>
            <m:sSub>
              <m:sSubPr>
                <m:ctrlPr>
                  <w:rPr>
                    <w:rFonts w:ascii="Cambria Math" w:hAnsi="Cambria Math"/>
                    <w:i/>
                    <w:kern w:val="2"/>
                    <w:szCs w:val="24"/>
                  </w:rPr>
                </m:ctrlPr>
              </m:sSubPr>
              <m:e>
                <m:r>
                  <m:rPr/>
                  <w:rPr>
                    <w:rFonts w:hint="eastAsia" w:ascii="Cambria Math" w:hAnsi="Cambria Math"/>
                    <w:kern w:val="2"/>
                    <w:szCs w:val="24"/>
                  </w:rPr>
                  <m:t>B</m:t>
                </m:r>
                <m:ctrlPr>
                  <w:rPr>
                    <w:rFonts w:ascii="Cambria Math" w:hAnsi="Cambria Math"/>
                    <w:i/>
                    <w:kern w:val="2"/>
                    <w:szCs w:val="24"/>
                  </w:rPr>
                </m:ctrlPr>
              </m:e>
              <m:sub>
                <m:r>
                  <m:rPr/>
                  <w:rPr>
                    <w:rFonts w:hint="eastAsia" w:ascii="Cambria Math" w:hAnsi="Cambria Math"/>
                    <w:kern w:val="2"/>
                    <w:szCs w:val="24"/>
                  </w:rPr>
                  <m:t>k</m:t>
                </m:r>
                <m:ctrlPr>
                  <w:rPr>
                    <w:rFonts w:ascii="Cambria Math" w:hAnsi="Cambria Math"/>
                    <w:i/>
                    <w:kern w:val="2"/>
                    <w:szCs w:val="24"/>
                  </w:rPr>
                </m:ctrlPr>
              </m:sub>
            </m:sSub>
            <m:ctrlPr>
              <w:rPr>
                <w:rFonts w:ascii="Cambria Math" w:hAnsi="Cambria Math"/>
                <w:i/>
                <w:kern w:val="2"/>
                <w:szCs w:val="24"/>
              </w:rPr>
            </m:ctrlPr>
          </m:e>
        </m:d>
      </m:oMath>
      <w:r>
        <w:rPr>
          <w:rFonts w:hint="eastAsia" w:ascii="CMR12" w:hAnsi="CMR12" w:cs="CMR12"/>
          <w:kern w:val="2"/>
          <w:szCs w:val="24"/>
        </w:rPr>
        <w:t xml:space="preserve"> </w:t>
      </w:r>
      <w:r>
        <w:rPr>
          <w:rFonts w:ascii="CMR12" w:hAnsi="CMR12" w:cs="CMR12"/>
          <w:szCs w:val="24"/>
        </w:rPr>
        <w:t xml:space="preserve">be the CMAQ output for grid block </w:t>
      </w:r>
      <w:r>
        <w:rPr>
          <w:rFonts w:ascii="CMR12" w:hAnsi="CMR12" w:cs="CMR12"/>
          <w:i/>
          <w:szCs w:val="24"/>
        </w:rPr>
        <w:t>B</w:t>
      </w:r>
      <w:r>
        <w:rPr>
          <w:rFonts w:ascii="CMR12" w:hAnsi="CMR12" w:cs="CMR12"/>
          <w:i/>
          <w:szCs w:val="24"/>
          <w:vertAlign w:val="subscript"/>
        </w:rPr>
        <w:t>k</w:t>
      </w:r>
      <w:r>
        <w:rPr>
          <w:rFonts w:ascii="CMR12" w:hAnsi="CMR12" w:cs="CMR12"/>
          <w:szCs w:val="24"/>
        </w:rPr>
        <w:t xml:space="preserve"> on day </w:t>
      </w:r>
      <w:r>
        <w:rPr>
          <w:rFonts w:ascii="CMR12" w:hAnsi="CMR12" w:cs="CMR12"/>
          <w:i/>
          <w:szCs w:val="24"/>
        </w:rPr>
        <w:t>t</w:t>
      </w:r>
      <w:r>
        <w:rPr>
          <w:rFonts w:ascii="CMR12" w:hAnsi="CMR12" w:cs="CMR12"/>
          <w:szCs w:val="24"/>
        </w:rPr>
        <w:t xml:space="preserve">. </w:t>
      </w:r>
    </w:p>
    <w:p>
      <w:pPr>
        <w:widowControl w:val="0"/>
        <w:jc w:val="both"/>
        <w:rPr>
          <w:rFonts w:ascii="CMR12" w:hAnsi="CMR12" w:cs="CMR12"/>
          <w:szCs w:val="24"/>
        </w:rPr>
      </w:pPr>
      <m:oMath>
        <m:sSub>
          <m:sSubPr>
            <m:ctrlPr>
              <w:rPr>
                <w:rFonts w:ascii="Cambria Math" w:hAnsi="Cambria Math"/>
                <w:i/>
                <w:kern w:val="2"/>
                <w:szCs w:val="24"/>
                <w:vertAlign w:val="subscript"/>
              </w:rPr>
            </m:ctrlPr>
          </m:sSubPr>
          <m:e>
            <m:r>
              <m:rPr/>
              <w:rPr>
                <w:rFonts w:hint="eastAsia" w:ascii="Cambria Math" w:hAnsi="Cambria Math"/>
                <w:kern w:val="2"/>
                <w:szCs w:val="24"/>
                <w:vertAlign w:val="subscript"/>
              </w:rPr>
              <m:t>β</m:t>
            </m:r>
            <m:ctrlPr>
              <w:rPr>
                <w:rFonts w:ascii="Cambria Math" w:hAnsi="Cambria Math"/>
                <w:i/>
                <w:kern w:val="2"/>
                <w:szCs w:val="24"/>
                <w:vertAlign w:val="subscript"/>
              </w:rPr>
            </m:ctrlPr>
          </m:e>
          <m:sub>
            <m:r>
              <m:rPr/>
              <w:rPr>
                <w:rFonts w:hint="eastAsia" w:ascii="Cambria Math" w:hAnsi="Cambria Math"/>
                <w:kern w:val="2"/>
                <w:szCs w:val="24"/>
                <w:vertAlign w:val="subscript"/>
              </w:rPr>
              <m:t>0,t</m:t>
            </m:r>
            <m:ctrlPr>
              <w:rPr>
                <w:rFonts w:ascii="Cambria Math" w:hAnsi="Cambria Math"/>
                <w:i/>
                <w:kern w:val="2"/>
                <w:szCs w:val="24"/>
                <w:vertAlign w:val="subscript"/>
              </w:rPr>
            </m:ctrlPr>
          </m:sub>
        </m:sSub>
        <m:r>
          <m:rPr/>
          <w:rPr>
            <w:rFonts w:hint="eastAsia" w:ascii="Cambria Math" w:hAnsi="Cambria Math"/>
            <w:kern w:val="2"/>
            <w:szCs w:val="24"/>
            <w:vertAlign w:val="subscript"/>
          </w:rPr>
          <m:t>(</m:t>
        </m:r>
        <m:r>
          <m:rPr>
            <m:sty m:val="bi"/>
          </m:rPr>
          <w:rPr>
            <w:rFonts w:hint="eastAsia" w:ascii="Cambria Math" w:hAnsi="Cambria Math"/>
            <w:kern w:val="2"/>
            <w:szCs w:val="24"/>
            <w:vertAlign w:val="subscript"/>
          </w:rPr>
          <m:t>s</m:t>
        </m:r>
        <m:r>
          <m:rPr/>
          <w:rPr>
            <w:rFonts w:hint="eastAsia" w:ascii="Cambria Math" w:hAnsi="Cambria Math"/>
            <w:kern w:val="2"/>
            <w:szCs w:val="24"/>
            <w:vertAlign w:val="subscript"/>
          </w:rPr>
          <m:t>)</m:t>
        </m:r>
      </m:oMath>
      <w:r>
        <w:rPr>
          <w:rFonts w:hint="eastAsia"/>
          <w:i/>
          <w:kern w:val="2"/>
          <w:szCs w:val="24"/>
          <w:vertAlign w:val="subscript"/>
        </w:rPr>
        <w:t xml:space="preserve"> </w:t>
      </w:r>
      <w:r>
        <w:rPr>
          <w:rFonts w:ascii="CMR12" w:hAnsi="CMR12" w:cs="CMR12"/>
          <w:szCs w:val="24"/>
        </w:rPr>
        <w:t>is a mean zero Gaussian process with covariance function,</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33"/>
        <w:gridCol w:w="3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7933" w:type="dxa"/>
          </w:tcPr>
          <w:p>
            <w:pPr>
              <w:spacing w:after="120" w:afterLines="50"/>
              <w:rPr>
                <w:rFonts w:eastAsia="宋体" w:cs="Times New Roman"/>
                <w:i/>
                <w:color w:val="000000"/>
                <w:kern w:val="2"/>
                <w:szCs w:val="24"/>
              </w:rPr>
            </w:pPr>
            <m:oMath>
              <m:sSub>
                <m:sSubPr>
                  <m:ctrlPr>
                    <w:rPr>
                      <w:rFonts w:ascii="Cambria Math" w:hAnsi="Cambria Math" w:eastAsia="Adobe 楷体 Std R" w:cs="Times New Roman"/>
                      <w:kern w:val="2"/>
                      <w:szCs w:val="24"/>
                      <w:vertAlign w:val="subscript"/>
                    </w:rPr>
                  </m:ctrlPr>
                </m:sSubPr>
                <m:e>
                  <m:r>
                    <m:rPr>
                      <m:scr m:val="double-struck"/>
                    </m:rPr>
                    <w:rPr>
                      <w:rFonts w:ascii="Cambria Math" w:hAnsi="Cambria Math" w:eastAsia="Adobe 楷体 Std R" w:cs="Times New Roman"/>
                      <w:kern w:val="2"/>
                      <w:szCs w:val="24"/>
                      <w:vertAlign w:val="subscript"/>
                    </w:rPr>
                    <m:t>ℂ</m:t>
                  </m:r>
                  <m:ctrlPr>
                    <w:rPr>
                      <w:rFonts w:ascii="Cambria Math" w:hAnsi="Cambria Math" w:eastAsia="Adobe 楷体 Std R" w:cs="Times New Roman"/>
                      <w:kern w:val="2"/>
                      <w:szCs w:val="24"/>
                      <w:vertAlign w:val="subscript"/>
                    </w:rPr>
                  </m:ctrlPr>
                </m:e>
                <m:sub>
                  <m:r>
                    <m:rPr/>
                    <w:rPr>
                      <w:rFonts w:ascii="Cambria Math" w:hAnsi="Cambria Math" w:eastAsia="Adobe 楷体 Std R" w:cs="Times New Roman"/>
                      <w:kern w:val="2"/>
                      <w:szCs w:val="24"/>
                      <w:vertAlign w:val="subscript"/>
                    </w:rPr>
                    <m:t>Q</m:t>
                  </m:r>
                  <m:ctrlPr>
                    <w:rPr>
                      <w:rFonts w:ascii="Cambria Math" w:hAnsi="Cambria Math" w:eastAsia="Adobe 楷体 Std R" w:cs="Times New Roman"/>
                      <w:kern w:val="2"/>
                      <w:szCs w:val="24"/>
                      <w:vertAlign w:val="subscript"/>
                    </w:rPr>
                  </m:ctrlPr>
                </m:sub>
              </m:sSub>
              <m:d>
                <m:dPr>
                  <m:ctrlPr>
                    <w:rPr>
                      <w:rFonts w:ascii="Cambria Math" w:hAnsi="Cambria Math" w:eastAsia="Adobe 楷体 Std R" w:cs="Times New Roman"/>
                      <w:i/>
                      <w:kern w:val="2"/>
                      <w:szCs w:val="24"/>
                      <w:vertAlign w:val="subscript"/>
                    </w:rPr>
                  </m:ctrlPr>
                </m:dPr>
                <m:e>
                  <m:r>
                    <m:rPr>
                      <m:sty m:val="bi"/>
                    </m:rPr>
                    <w:rPr>
                      <w:rFonts w:ascii="Cambria Math" w:hAnsi="Cambria Math" w:eastAsia="Adobe 楷体 Std R" w:cs="Times New Roman"/>
                      <w:kern w:val="2"/>
                      <w:szCs w:val="24"/>
                      <w:vertAlign w:val="subscript"/>
                    </w:rPr>
                    <m:t>h</m:t>
                  </m:r>
                  <m:r>
                    <m:rPr/>
                    <w:rPr>
                      <w:rFonts w:ascii="Cambria Math" w:hAnsi="Cambria Math" w:eastAsia="Adobe 楷体 Std R" w:cs="Times New Roman"/>
                      <w:kern w:val="2"/>
                      <w:szCs w:val="24"/>
                      <w:vertAlign w:val="subscript"/>
                    </w:rPr>
                    <m:t>,u</m:t>
                  </m:r>
                  <m:ctrlPr>
                    <w:rPr>
                      <w:rFonts w:ascii="Cambria Math" w:hAnsi="Cambria Math" w:eastAsia="Adobe 楷体 Std R" w:cs="Times New Roman"/>
                      <w:i/>
                      <w:kern w:val="2"/>
                      <w:szCs w:val="24"/>
                      <w:vertAlign w:val="subscript"/>
                    </w:rPr>
                  </m:ctrlPr>
                </m:e>
                <m:e>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ϕ</m:t>
                      </m:r>
                      <m:ctrlPr>
                        <w:rPr>
                          <w:rFonts w:ascii="Cambria Math" w:hAnsi="Cambria Math" w:eastAsia="Adobe 楷体 Std R" w:cs="Times New Roman"/>
                          <w:i/>
                          <w:kern w:val="2"/>
                          <w:szCs w:val="24"/>
                          <w:vertAlign w:val="subscript"/>
                        </w:rPr>
                      </m:ctrlPr>
                    </m:e>
                    <m:sub>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β</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0</m:t>
                          </m:r>
                          <m:ctrlPr>
                            <w:rPr>
                              <w:rFonts w:ascii="Cambria Math" w:hAnsi="Cambria Math" w:eastAsia="Adobe 楷体 Std R" w:cs="Times New Roman"/>
                              <w:i/>
                              <w:kern w:val="2"/>
                              <w:szCs w:val="24"/>
                              <w:vertAlign w:val="subscript"/>
                            </w:rPr>
                          </m:ctrlPr>
                        </m:sub>
                      </m:sSub>
                      <m:r>
                        <m:rPr/>
                        <w:rPr>
                          <w:rFonts w:ascii="Cambria Math" w:hAnsi="Cambria Math" w:eastAsia="Adobe 楷体 Std R" w:cs="Times New Roman"/>
                          <w:kern w:val="2"/>
                          <w:szCs w:val="24"/>
                          <w:vertAlign w:val="subscript"/>
                        </w:rPr>
                        <m:t>,t</m:t>
                      </m:r>
                      <m:ctrlPr>
                        <w:rPr>
                          <w:rFonts w:ascii="Cambria Math" w:hAnsi="Cambria Math" w:eastAsia="Adobe 楷体 Std R" w:cs="Times New Roman"/>
                          <w:i/>
                          <w:kern w:val="2"/>
                          <w:szCs w:val="24"/>
                          <w:vertAlign w:val="subscript"/>
                        </w:rPr>
                      </m:ctrlPr>
                    </m:sub>
                  </m:sSub>
                  <m:ctrlPr>
                    <w:rPr>
                      <w:rFonts w:ascii="Cambria Math" w:hAnsi="Cambria Math" w:eastAsia="Adobe 楷体 Std R" w:cs="Times New Roman"/>
                      <w:i/>
                      <w:kern w:val="2"/>
                      <w:szCs w:val="24"/>
                      <w:vertAlign w:val="subscript"/>
                    </w:rPr>
                  </m:ctrlPr>
                </m:e>
              </m:d>
              <m:r>
                <m:rPr>
                  <m:scr m:val="double-struck"/>
                </m:rPr>
                <w:rPr>
                  <w:rFonts w:ascii="Cambria Math" w:hAnsi="Cambria Math" w:eastAsia="Adobe 楷体 Std R" w:cs="Times New Roman"/>
                  <w:kern w:val="2"/>
                  <w:szCs w:val="24"/>
                  <w:vertAlign w:val="subscript"/>
                </w:rPr>
                <m:t>≡ℂ</m:t>
              </m:r>
              <m:r>
                <m:rPr>
                  <m:sty m:val="p"/>
                </m:rPr>
                <w:rPr>
                  <w:rFonts w:ascii="Cambria Math" w:hAnsi="Cambria Math" w:eastAsia="Adobe 楷体 Std R" w:cs="Times New Roman"/>
                  <w:kern w:val="2"/>
                  <w:szCs w:val="24"/>
                  <w:vertAlign w:val="subscript"/>
                </w:rPr>
                <m:t>ov</m:t>
              </m:r>
              <m:d>
                <m:dPr>
                  <m:ctrlPr>
                    <w:rPr>
                      <w:rFonts w:ascii="Cambria Math" w:hAnsi="Cambria Math" w:eastAsia="Adobe 楷体 Std R" w:cs="Times New Roman"/>
                      <w:i/>
                      <w:kern w:val="2"/>
                      <w:szCs w:val="24"/>
                      <w:vertAlign w:val="subscript"/>
                    </w:rPr>
                  </m:ctrlPr>
                </m:dPr>
                <m:e>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β</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0,t</m:t>
                      </m:r>
                      <m:ctrlPr>
                        <w:rPr>
                          <w:rFonts w:ascii="Cambria Math" w:hAnsi="Cambria Math" w:eastAsia="Adobe 楷体 Std R" w:cs="Times New Roman"/>
                          <w:i/>
                          <w:kern w:val="2"/>
                          <w:szCs w:val="24"/>
                          <w:vertAlign w:val="subscript"/>
                        </w:rPr>
                      </m:ctrlPr>
                    </m:sub>
                  </m:sSub>
                  <m:d>
                    <m:dPr>
                      <m:ctrlPr>
                        <w:rPr>
                          <w:rFonts w:ascii="Cambria Math" w:hAnsi="Cambria Math" w:eastAsia="Adobe 楷体 Std R" w:cs="Times New Roman"/>
                          <w:i/>
                          <w:kern w:val="2"/>
                          <w:szCs w:val="24"/>
                          <w:vertAlign w:val="subscript"/>
                        </w:rPr>
                      </m:ctrlPr>
                    </m:dPr>
                    <m:e>
                      <m:r>
                        <m:rPr>
                          <m:sty m:val="bi"/>
                        </m:rPr>
                        <w:rPr>
                          <w:rFonts w:ascii="Cambria Math" w:hAnsi="Cambria Math" w:eastAsia="Adobe 楷体 Std R" w:cs="Times New Roman"/>
                          <w:kern w:val="2"/>
                          <w:szCs w:val="24"/>
                          <w:vertAlign w:val="subscript"/>
                        </w:rPr>
                        <m:t>s</m:t>
                      </m:r>
                      <m:ctrlPr>
                        <w:rPr>
                          <w:rFonts w:ascii="Cambria Math" w:hAnsi="Cambria Math" w:eastAsia="Adobe 楷体 Std R" w:cs="Times New Roman"/>
                          <w:i/>
                          <w:kern w:val="2"/>
                          <w:szCs w:val="24"/>
                          <w:vertAlign w:val="subscript"/>
                        </w:rPr>
                      </m:ctrlPr>
                    </m:e>
                  </m:d>
                  <m:r>
                    <m:rPr/>
                    <w:rPr>
                      <w:rFonts w:ascii="Cambria Math" w:hAnsi="Cambria Math" w:eastAsia="Adobe 楷体 Std R" w:cs="Times New Roman"/>
                      <w:kern w:val="2"/>
                      <w:szCs w:val="24"/>
                      <w:vertAlign w:val="subscript"/>
                    </w:rPr>
                    <m:t>,</m:t>
                  </m:r>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β</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0,t+u</m:t>
                      </m:r>
                      <m:ctrlPr>
                        <w:rPr>
                          <w:rFonts w:ascii="Cambria Math" w:hAnsi="Cambria Math" w:eastAsia="Adobe 楷体 Std R" w:cs="Times New Roman"/>
                          <w:i/>
                          <w:kern w:val="2"/>
                          <w:szCs w:val="24"/>
                          <w:vertAlign w:val="subscript"/>
                        </w:rPr>
                      </m:ctrlPr>
                    </m:sub>
                  </m:sSub>
                  <m:d>
                    <m:dPr>
                      <m:ctrlPr>
                        <w:rPr>
                          <w:rFonts w:ascii="Cambria Math" w:hAnsi="Cambria Math" w:eastAsia="Adobe 楷体 Std R" w:cs="Times New Roman"/>
                          <w:i/>
                          <w:kern w:val="2"/>
                          <w:szCs w:val="24"/>
                          <w:vertAlign w:val="subscript"/>
                        </w:rPr>
                      </m:ctrlPr>
                    </m:dPr>
                    <m:e>
                      <m:r>
                        <m:rPr>
                          <m:sty m:val="bi"/>
                        </m:rPr>
                        <w:rPr>
                          <w:rFonts w:ascii="Cambria Math" w:hAnsi="Cambria Math" w:eastAsia="Adobe 楷体 Std R" w:cs="Times New Roman"/>
                          <w:kern w:val="2"/>
                          <w:szCs w:val="24"/>
                          <w:vertAlign w:val="subscript"/>
                        </w:rPr>
                        <m:t>s</m:t>
                      </m:r>
                      <m:r>
                        <m:rPr/>
                        <w:rPr>
                          <w:rFonts w:ascii="Cambria Math" w:hAnsi="Cambria Math" w:eastAsia="Adobe 楷体 Std R" w:cs="Times New Roman"/>
                          <w:kern w:val="2"/>
                          <w:szCs w:val="24"/>
                          <w:vertAlign w:val="subscript"/>
                        </w:rPr>
                        <m:t>+</m:t>
                      </m:r>
                      <m:r>
                        <m:rPr>
                          <m:sty m:val="bi"/>
                        </m:rPr>
                        <w:rPr>
                          <w:rFonts w:ascii="Cambria Math" w:hAnsi="Cambria Math" w:eastAsia="Adobe 楷体 Std R" w:cs="Times New Roman"/>
                          <w:kern w:val="2"/>
                          <w:szCs w:val="24"/>
                          <w:vertAlign w:val="subscript"/>
                        </w:rPr>
                        <m:t>h</m:t>
                      </m:r>
                      <m:ctrlPr>
                        <w:rPr>
                          <w:rFonts w:ascii="Cambria Math" w:hAnsi="Cambria Math" w:eastAsia="Adobe 楷体 Std R" w:cs="Times New Roman"/>
                          <w:i/>
                          <w:kern w:val="2"/>
                          <w:szCs w:val="24"/>
                          <w:vertAlign w:val="subscript"/>
                        </w:rPr>
                      </m:ctrlPr>
                    </m:e>
                  </m:d>
                  <m:ctrlPr>
                    <w:rPr>
                      <w:rFonts w:ascii="Cambria Math" w:hAnsi="Cambria Math" w:eastAsia="Adobe 楷体 Std R" w:cs="Times New Roman"/>
                      <w:i/>
                      <w:kern w:val="2"/>
                      <w:szCs w:val="24"/>
                      <w:vertAlign w:val="subscript"/>
                    </w:rPr>
                  </m:ctrlPr>
                </m:e>
              </m:d>
              <m:r>
                <m:rPr/>
                <w:rPr>
                  <w:rFonts w:ascii="Cambria Math" w:hAnsi="Cambria Math" w:eastAsia="Adobe 楷体 Std R" w:cs="Times New Roman"/>
                  <w:kern w:val="2"/>
                  <w:szCs w:val="24"/>
                  <w:vertAlign w:val="subscript"/>
                </w:rPr>
                <m:t>=</m:t>
              </m:r>
              <m:sSubSup>
                <m:sSubSupPr>
                  <m:ctrlPr>
                    <w:rPr>
                      <w:rFonts w:ascii="Cambria Math" w:hAnsi="Cambria Math" w:eastAsia="Adobe 楷体 Std R" w:cs="Times New Roman"/>
                      <w:i/>
                      <w:kern w:val="2"/>
                      <w:szCs w:val="24"/>
                      <w:vertAlign w:val="subscript"/>
                    </w:rPr>
                  </m:ctrlPr>
                </m:sSubSupPr>
                <m:e>
                  <m:r>
                    <m:rPr/>
                    <w:rPr>
                      <w:rFonts w:ascii="Cambria Math" w:hAnsi="Cambria Math" w:eastAsia="Adobe 楷体 Std R" w:cs="Times New Roman"/>
                      <w:kern w:val="2"/>
                      <w:szCs w:val="24"/>
                      <w:vertAlign w:val="subscript"/>
                    </w:rPr>
                    <m:t>σ</m:t>
                  </m:r>
                  <m:ctrlPr>
                    <w:rPr>
                      <w:rFonts w:ascii="Cambria Math" w:hAnsi="Cambria Math" w:eastAsia="Adobe 楷体 Std R" w:cs="Times New Roman"/>
                      <w:i/>
                      <w:kern w:val="2"/>
                      <w:szCs w:val="24"/>
                      <w:vertAlign w:val="subscript"/>
                    </w:rPr>
                  </m:ctrlPr>
                </m:e>
                <m:sub>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β</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0</m:t>
                      </m:r>
                      <m:ctrlPr>
                        <w:rPr>
                          <w:rFonts w:ascii="Cambria Math" w:hAnsi="Cambria Math" w:eastAsia="Adobe 楷体 Std R" w:cs="Times New Roman"/>
                          <w:i/>
                          <w:kern w:val="2"/>
                          <w:szCs w:val="24"/>
                          <w:vertAlign w:val="subscript"/>
                        </w:rPr>
                      </m:ctrlPr>
                    </m:sub>
                  </m:sSub>
                  <m:r>
                    <m:rPr/>
                    <w:rPr>
                      <w:rFonts w:ascii="Cambria Math" w:hAnsi="Cambria Math" w:eastAsia="Adobe 楷体 Std R" w:cs="Times New Roman"/>
                      <w:kern w:val="2"/>
                      <w:szCs w:val="24"/>
                      <w:vertAlign w:val="subscript"/>
                    </w:rPr>
                    <m:t>,t</m:t>
                  </m:r>
                  <m:ctrlPr>
                    <w:rPr>
                      <w:rFonts w:ascii="Cambria Math" w:hAnsi="Cambria Math" w:eastAsia="Adobe 楷体 Std R" w:cs="Times New Roman"/>
                      <w:i/>
                      <w:kern w:val="2"/>
                      <w:szCs w:val="24"/>
                      <w:vertAlign w:val="subscript"/>
                    </w:rPr>
                  </m:ctrlPr>
                </m:sub>
                <m:sup>
                  <m:r>
                    <m:rPr/>
                    <w:rPr>
                      <w:rFonts w:ascii="Cambria Math" w:hAnsi="Cambria Math" w:eastAsia="Adobe 楷体 Std R" w:cs="Times New Roman"/>
                      <w:kern w:val="2"/>
                      <w:szCs w:val="24"/>
                      <w:vertAlign w:val="subscript"/>
                    </w:rPr>
                    <m:t>2</m:t>
                  </m:r>
                  <m:ctrlPr>
                    <w:rPr>
                      <w:rFonts w:ascii="Cambria Math" w:hAnsi="Cambria Math" w:eastAsia="Adobe 楷体 Std R" w:cs="Times New Roman"/>
                      <w:i/>
                      <w:kern w:val="2"/>
                      <w:szCs w:val="24"/>
                      <w:vertAlign w:val="subscript"/>
                    </w:rPr>
                  </m:ctrlPr>
                </m:sup>
              </m:sSubSup>
              <m:func>
                <m:funcPr>
                  <m:ctrlPr>
                    <w:rPr>
                      <w:rFonts w:ascii="Cambria Math" w:hAnsi="Cambria Math" w:eastAsia="Adobe 楷体 Std R" w:cs="Times New Roman"/>
                      <w:kern w:val="2"/>
                      <w:szCs w:val="24"/>
                      <w:vertAlign w:val="subscript"/>
                    </w:rPr>
                  </m:ctrlPr>
                </m:funcPr>
                <m:fName>
                  <m:r>
                    <m:rPr>
                      <m:sty m:val="p"/>
                    </m:rPr>
                    <w:rPr>
                      <w:rFonts w:ascii="Cambria Math" w:hAnsi="Cambria Math" w:eastAsia="Adobe 楷体 Std R" w:cs="Times New Roman"/>
                      <w:kern w:val="2"/>
                      <w:szCs w:val="24"/>
                      <w:vertAlign w:val="subscript"/>
                    </w:rPr>
                    <m:t>exp</m:t>
                  </m:r>
                  <m:ctrlPr>
                    <w:rPr>
                      <w:rFonts w:ascii="Cambria Math" w:hAnsi="Cambria Math" w:eastAsia="Adobe 楷体 Std R" w:cs="Times New Roman"/>
                      <w:kern w:val="2"/>
                      <w:szCs w:val="24"/>
                      <w:vertAlign w:val="subscript"/>
                    </w:rPr>
                  </m:ctrlPr>
                </m:fName>
                <m:e>
                  <m:d>
                    <m:dPr>
                      <m:begChr m:val="{"/>
                      <m:endChr m:val="}"/>
                      <m:ctrlPr>
                        <w:rPr>
                          <w:rFonts w:ascii="Cambria Math" w:hAnsi="Cambria Math" w:eastAsia="Adobe 楷体 Std R" w:cs="Times New Roman"/>
                          <w:i/>
                          <w:kern w:val="2"/>
                          <w:szCs w:val="24"/>
                          <w:vertAlign w:val="subscript"/>
                        </w:rPr>
                      </m:ctrlPr>
                    </m:dPr>
                    <m:e>
                      <m:r>
                        <m:rPr/>
                        <w:rPr>
                          <w:rFonts w:ascii="Cambria Math" w:hAnsi="Cambria Math" w:eastAsia="Adobe 楷体 Std R" w:cs="Times New Roman"/>
                          <w:kern w:val="2"/>
                          <w:szCs w:val="24"/>
                          <w:vertAlign w:val="subscript"/>
                        </w:rPr>
                        <m:t>−</m:t>
                      </m:r>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ϕ</m:t>
                          </m:r>
                          <m:ctrlPr>
                            <w:rPr>
                              <w:rFonts w:ascii="Cambria Math" w:hAnsi="Cambria Math" w:eastAsia="Adobe 楷体 Std R" w:cs="Times New Roman"/>
                              <w:i/>
                              <w:kern w:val="2"/>
                              <w:szCs w:val="24"/>
                              <w:vertAlign w:val="subscript"/>
                            </w:rPr>
                          </m:ctrlPr>
                        </m:e>
                        <m:sub>
                          <m:sSub>
                            <m:sSubPr>
                              <m:ctrlPr>
                                <w:rPr>
                                  <w:rFonts w:ascii="Cambria Math" w:hAnsi="Cambria Math" w:eastAsia="Adobe 楷体 Std R" w:cs="Times New Roman"/>
                                  <w:i/>
                                  <w:kern w:val="2"/>
                                  <w:szCs w:val="24"/>
                                  <w:vertAlign w:val="subscript"/>
                                </w:rPr>
                              </m:ctrlPr>
                            </m:sSubPr>
                            <m:e>
                              <m:r>
                                <m:rPr/>
                                <w:rPr>
                                  <w:rFonts w:ascii="Cambria Math" w:hAnsi="Cambria Math" w:eastAsia="Adobe 楷体 Std R" w:cs="Times New Roman"/>
                                  <w:kern w:val="2"/>
                                  <w:szCs w:val="24"/>
                                  <w:vertAlign w:val="subscript"/>
                                </w:rPr>
                                <m:t>β</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0</m:t>
                              </m:r>
                              <m:ctrlPr>
                                <w:rPr>
                                  <w:rFonts w:ascii="Cambria Math" w:hAnsi="Cambria Math" w:eastAsia="Adobe 楷体 Std R" w:cs="Times New Roman"/>
                                  <w:i/>
                                  <w:kern w:val="2"/>
                                  <w:szCs w:val="24"/>
                                  <w:vertAlign w:val="subscript"/>
                                </w:rPr>
                              </m:ctrlPr>
                            </m:sub>
                          </m:sSub>
                          <m:r>
                            <m:rPr/>
                            <w:rPr>
                              <w:rFonts w:ascii="Cambria Math" w:hAnsi="Cambria Math" w:eastAsia="Adobe 楷体 Std R" w:cs="Times New Roman"/>
                              <w:kern w:val="2"/>
                              <w:szCs w:val="24"/>
                              <w:vertAlign w:val="subscript"/>
                            </w:rPr>
                            <m:t>,t</m:t>
                          </m:r>
                          <m:ctrlPr>
                            <w:rPr>
                              <w:rFonts w:ascii="Cambria Math" w:hAnsi="Cambria Math" w:eastAsia="Adobe 楷体 Std R" w:cs="Times New Roman"/>
                              <w:i/>
                              <w:kern w:val="2"/>
                              <w:szCs w:val="24"/>
                              <w:vertAlign w:val="subscript"/>
                            </w:rPr>
                          </m:ctrlPr>
                        </m:sub>
                      </m:sSub>
                      <m:d>
                        <m:dPr>
                          <m:begChr m:val="‖"/>
                          <m:endChr m:val="‖"/>
                          <m:ctrlPr>
                            <w:rPr>
                              <w:rFonts w:ascii="Cambria Math" w:hAnsi="Cambria Math" w:eastAsia="Adobe 楷体 Std R" w:cs="Times New Roman"/>
                              <w:i/>
                              <w:kern w:val="2"/>
                              <w:szCs w:val="24"/>
                              <w:vertAlign w:val="subscript"/>
                            </w:rPr>
                          </m:ctrlPr>
                        </m:dPr>
                        <m:e>
                          <m:r>
                            <m:rPr>
                              <m:sty m:val="bi"/>
                            </m:rPr>
                            <w:rPr>
                              <w:rFonts w:ascii="Cambria Math" w:hAnsi="Cambria Math" w:eastAsia="Adobe 楷体 Std R" w:cs="Times New Roman"/>
                              <w:kern w:val="2"/>
                              <w:szCs w:val="24"/>
                              <w:vertAlign w:val="subscript"/>
                            </w:rPr>
                            <m:t>h</m:t>
                          </m:r>
                          <m:ctrlPr>
                            <w:rPr>
                              <w:rFonts w:ascii="Cambria Math" w:hAnsi="Cambria Math" w:eastAsia="Adobe 楷体 Std R" w:cs="Times New Roman"/>
                              <w:i/>
                              <w:kern w:val="2"/>
                              <w:szCs w:val="24"/>
                              <w:vertAlign w:val="subscript"/>
                            </w:rPr>
                          </m:ctrlPr>
                        </m:e>
                      </m:d>
                      <m:ctrlPr>
                        <w:rPr>
                          <w:rFonts w:ascii="Cambria Math" w:hAnsi="Cambria Math" w:eastAsia="Adobe 楷体 Std R" w:cs="Times New Roman"/>
                          <w:i/>
                          <w:kern w:val="2"/>
                          <w:szCs w:val="24"/>
                          <w:vertAlign w:val="subscript"/>
                        </w:rPr>
                      </m:ctrlPr>
                    </m:e>
                  </m:d>
                  <m:ctrlPr>
                    <w:rPr>
                      <w:rFonts w:ascii="Cambria Math" w:hAnsi="Cambria Math" w:eastAsia="Adobe 楷体 Std R" w:cs="Times New Roman"/>
                      <w:kern w:val="2"/>
                      <w:szCs w:val="24"/>
                      <w:vertAlign w:val="subscript"/>
                    </w:rPr>
                  </m:ctrlPr>
                </m:e>
              </m:func>
              <m:sSub>
                <m:sSubPr>
                  <m:ctrlPr>
                    <w:rPr>
                      <w:rFonts w:ascii="Cambria Math" w:hAnsi="Cambria Math" w:eastAsia="Adobe 楷体 Std R" w:cs="Times New Roman"/>
                      <w:i/>
                      <w:kern w:val="2"/>
                      <w:szCs w:val="24"/>
                      <w:vertAlign w:val="subscript"/>
                    </w:rPr>
                  </m:ctrlPr>
                </m:sSubPr>
                <m:e>
                  <m:r>
                    <m:rPr>
                      <m:scr m:val="double-struck"/>
                    </m:rPr>
                    <w:rPr>
                      <w:rFonts w:ascii="Cambria Math" w:hAnsi="Cambria Math" w:eastAsia="Adobe 楷体 Std R" w:cs="Times New Roman"/>
                      <w:kern w:val="2"/>
                      <w:szCs w:val="24"/>
                      <w:vertAlign w:val="subscript"/>
                    </w:rPr>
                    <m:t>I</m:t>
                  </m:r>
                  <m:ctrlPr>
                    <w:rPr>
                      <w:rFonts w:ascii="Cambria Math" w:hAnsi="Cambria Math" w:eastAsia="Adobe 楷体 Std R" w:cs="Times New Roman"/>
                      <w:i/>
                      <w:kern w:val="2"/>
                      <w:szCs w:val="24"/>
                      <w:vertAlign w:val="subscript"/>
                    </w:rPr>
                  </m:ctrlPr>
                </m:e>
                <m:sub>
                  <m:r>
                    <m:rPr/>
                    <w:rPr>
                      <w:rFonts w:ascii="Cambria Math" w:hAnsi="Cambria Math" w:eastAsia="Adobe 楷体 Std R" w:cs="Times New Roman"/>
                      <w:kern w:val="2"/>
                      <w:szCs w:val="24"/>
                      <w:vertAlign w:val="subscript"/>
                    </w:rPr>
                    <m:t>{u=0}</m:t>
                  </m:r>
                  <m:ctrlPr>
                    <w:rPr>
                      <w:rFonts w:ascii="Cambria Math" w:hAnsi="Cambria Math" w:eastAsia="Adobe 楷体 Std R" w:cs="Times New Roman"/>
                      <w:i/>
                      <w:kern w:val="2"/>
                      <w:szCs w:val="24"/>
                      <w:vertAlign w:val="subscript"/>
                    </w:rPr>
                  </m:ctrlPr>
                </m:sub>
              </m:sSub>
            </m:oMath>
            <w:r>
              <w:rPr>
                <w:rFonts w:hint="eastAsia" w:eastAsia="宋体" w:cstheme="minorBidi"/>
                <w:kern w:val="2"/>
                <w:szCs w:val="24"/>
                <w:vertAlign w:val="subscript"/>
              </w:rPr>
              <w:t>,</w:t>
            </w:r>
            <w:r>
              <w:rPr>
                <w:rFonts w:hint="eastAsia" w:eastAsia="宋体" w:cstheme="minorBidi"/>
                <w:kern w:val="2"/>
                <w:szCs w:val="24"/>
              </w:rPr>
              <w:t xml:space="preserve"> </w:t>
            </w:r>
            <w:r>
              <w:rPr>
                <w:rFonts w:eastAsia="宋体" w:cs="Times New Roman"/>
                <w:i/>
                <w:kern w:val="2"/>
                <w:szCs w:val="28"/>
              </w:rPr>
              <w:t xml:space="preserve"> </w:t>
            </w:r>
          </w:p>
        </w:tc>
        <w:tc>
          <w:tcPr>
            <w:tcW w:w="363"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4</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kern w:val="2"/>
          <w:szCs w:val="24"/>
        </w:rPr>
      </w:pPr>
      <w:r>
        <w:rPr>
          <w:kern w:val="2"/>
          <w:szCs w:val="24"/>
        </w:rPr>
        <w:t xml:space="preserve">the predictors </w:t>
      </w:r>
      <m:oMath>
        <m:sSub>
          <m:sSubPr>
            <m:ctrlPr>
              <w:rPr>
                <w:rFonts w:ascii="Cambria Math" w:hAnsi="Cambria Math"/>
                <w:i/>
                <w:kern w:val="2"/>
                <w:szCs w:val="24"/>
              </w:rPr>
            </m:ctrlPr>
          </m:sSubPr>
          <m:e>
            <m:acc>
              <m:accPr>
                <m:chr m:val="̃"/>
                <m:ctrlPr>
                  <w:rPr>
                    <w:rFonts w:ascii="Cambria Math" w:hAnsi="Cambria Math"/>
                    <w:i/>
                    <w:kern w:val="2"/>
                    <w:szCs w:val="24"/>
                  </w:rPr>
                </m:ctrlPr>
              </m:accPr>
              <m:e>
                <m:r>
                  <m:rPr/>
                  <w:rPr>
                    <w:rFonts w:ascii="Cambria Math" w:hAnsi="Cambria Math"/>
                    <w:kern w:val="2"/>
                    <w:szCs w:val="24"/>
                  </w:rPr>
                  <m:t>X</m:t>
                </m:r>
                <m:ctrlPr>
                  <w:rPr>
                    <w:rFonts w:ascii="Cambria Math" w:hAnsi="Cambria Math"/>
                    <w:i/>
                    <w:kern w:val="2"/>
                    <w:szCs w:val="24"/>
                  </w:rPr>
                </m:ctrlPr>
              </m:e>
            </m:acc>
            <m:ctrlPr>
              <w:rPr>
                <w:rFonts w:ascii="Cambria Math" w:hAnsi="Cambria Math"/>
                <w:i/>
                <w:kern w:val="2"/>
                <w:szCs w:val="24"/>
              </w:rPr>
            </m:ctrlPr>
          </m:e>
          <m:sub>
            <m:r>
              <m:rPr/>
              <w:rPr>
                <w:rFonts w:ascii="Cambria Math" w:hAnsi="Cambria Math"/>
                <w:kern w:val="2"/>
                <w:szCs w:val="24"/>
              </w:rPr>
              <m:t>t</m:t>
            </m:r>
            <m:ctrlPr>
              <w:rPr>
                <w:rFonts w:ascii="Cambria Math" w:hAnsi="Cambria Math"/>
                <w:i/>
                <w:kern w:val="2"/>
                <w:szCs w:val="24"/>
              </w:rPr>
            </m:ctrlPr>
          </m:sub>
        </m:sSub>
        <m:d>
          <m:dPr>
            <m:ctrlPr>
              <w:rPr>
                <w:rFonts w:ascii="Cambria Math" w:hAnsi="Cambria Math"/>
                <w:i/>
                <w:kern w:val="2"/>
                <w:szCs w:val="24"/>
              </w:rPr>
            </m:ctrlPr>
          </m:dPr>
          <m:e>
            <m:r>
              <m:rPr>
                <m:sty m:val="bi"/>
              </m:rPr>
              <w:rPr>
                <w:rFonts w:ascii="Cambria Math" w:hAnsi="Cambria Math"/>
                <w:kern w:val="2"/>
                <w:szCs w:val="24"/>
              </w:rPr>
              <m:t>s</m:t>
            </m:r>
            <m:ctrlPr>
              <w:rPr>
                <w:rFonts w:ascii="Cambria Math" w:hAnsi="Cambria Math"/>
                <w:i/>
                <w:kern w:val="2"/>
                <w:szCs w:val="24"/>
              </w:rPr>
            </m:ctrlPr>
          </m:e>
        </m:d>
      </m:oMath>
      <w:r>
        <w:rPr>
          <w:kern w:val="2"/>
          <w:szCs w:val="24"/>
        </w:rPr>
        <w:t xml:space="preserve"> are defined as, </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sSub>
                <m:sSubPr>
                  <m:ctrlPr>
                    <w:rPr>
                      <w:rFonts w:ascii="Cambria Math" w:hAnsi="Cambria Math" w:eastAsia="宋体" w:cstheme="minorBidi"/>
                      <w:i/>
                      <w:kern w:val="2"/>
                      <w:szCs w:val="24"/>
                    </w:rPr>
                  </m:ctrlPr>
                </m:sSubPr>
                <m:e>
                  <m:acc>
                    <m:accPr>
                      <m:chr m:val="̃"/>
                      <m:ctrlPr>
                        <w:rPr>
                          <w:rFonts w:ascii="Cambria Math" w:hAnsi="Cambria Math" w:eastAsia="宋体" w:cstheme="minorBidi"/>
                          <w:i/>
                          <w:kern w:val="2"/>
                          <w:szCs w:val="24"/>
                        </w:rPr>
                      </m:ctrlPr>
                    </m:accPr>
                    <m:e>
                      <m:r>
                        <m:rPr/>
                        <w:rPr>
                          <w:rFonts w:ascii="Cambria Math" w:hAnsi="Cambria Math" w:eastAsia="宋体" w:cstheme="minorBidi"/>
                          <w:kern w:val="2"/>
                          <w:szCs w:val="24"/>
                        </w:rPr>
                        <m:t>X</m:t>
                      </m:r>
                      <m:ctrlPr>
                        <w:rPr>
                          <w:rFonts w:ascii="Cambria Math" w:hAnsi="Cambria Math" w:eastAsia="宋体" w:cstheme="minorBidi"/>
                          <w:i/>
                          <w:kern w:val="2"/>
                          <w:szCs w:val="24"/>
                        </w:rPr>
                      </m:ctrlPr>
                    </m:e>
                  </m:acc>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d>
                <m:dPr>
                  <m:ctrlPr>
                    <w:rPr>
                      <w:rFonts w:ascii="Cambria Math" w:hAnsi="Cambria Math" w:eastAsia="宋体" w:cstheme="minorBidi"/>
                      <w:i/>
                      <w:kern w:val="2"/>
                      <w:szCs w:val="24"/>
                    </w:rPr>
                  </m:ctrlPr>
                </m:dPr>
                <m:e>
                  <m:r>
                    <m:rPr>
                      <m:sty m:val="bi"/>
                    </m:rPr>
                    <w:rPr>
                      <w:rFonts w:ascii="Cambria Math" w:hAnsi="Cambria Math" w:eastAsia="宋体" w:cstheme="minorBidi"/>
                      <w:kern w:val="2"/>
                      <w:szCs w:val="24"/>
                    </w:rPr>
                    <m:t>s</m:t>
                  </m:r>
                  <m:ctrlPr>
                    <w:rPr>
                      <w:rFonts w:ascii="Cambria Math" w:hAnsi="Cambria Math" w:eastAsia="宋体" w:cstheme="minorBidi"/>
                      <w:i/>
                      <w:kern w:val="2"/>
                      <w:szCs w:val="24"/>
                    </w:rPr>
                  </m:ctrlPr>
                </m:e>
              </m:d>
              <m:r>
                <m:rPr>
                  <m:sty m:val="p"/>
                </m:rPr>
                <w:rPr>
                  <w:rFonts w:hint="eastAsia" w:ascii="Cambria Math" w:hAnsi="Cambria Math" w:eastAsia="宋体" w:cstheme="minorBidi"/>
                  <w:kern w:val="2"/>
                  <w:szCs w:val="24"/>
                </w:rPr>
                <m:t>=</m:t>
              </m:r>
              <m:nary>
                <m:naryPr>
                  <m:chr m:val="∑"/>
                  <m:limLoc m:val="undOvr"/>
                  <m:ctrlPr>
                    <w:rPr>
                      <w:rFonts w:ascii="Cambria Math" w:hAnsi="Cambria Math" w:eastAsia="宋体" w:cstheme="minorBidi"/>
                      <w:kern w:val="2"/>
                      <w:szCs w:val="24"/>
                    </w:rPr>
                  </m:ctrlPr>
                </m:naryPr>
                <m:sub>
                  <m:r>
                    <m:rPr/>
                    <w:rPr>
                      <w:rFonts w:ascii="Cambria Math" w:hAnsi="Cambria Math" w:eastAsia="宋体" w:cstheme="minorBidi"/>
                      <w:kern w:val="2"/>
                      <w:szCs w:val="24"/>
                    </w:rPr>
                    <m:t>k=1</m:t>
                  </m:r>
                  <m:ctrlPr>
                    <w:rPr>
                      <w:rFonts w:ascii="Cambria Math" w:hAnsi="Cambria Math" w:eastAsia="宋体" w:cstheme="minorBidi"/>
                      <w:kern w:val="2"/>
                      <w:szCs w:val="24"/>
                    </w:rPr>
                  </m:ctrlPr>
                </m:sub>
                <m:sup>
                  <m:r>
                    <m:rPr/>
                    <w:rPr>
                      <w:rFonts w:ascii="Cambria Math" w:hAnsi="Cambria Math" w:eastAsia="宋体" w:cstheme="minorBidi"/>
                      <w:kern w:val="2"/>
                      <w:szCs w:val="24"/>
                    </w:rPr>
                    <m:t>K</m:t>
                  </m:r>
                  <m:ctrlPr>
                    <w:rPr>
                      <w:rFonts w:ascii="Cambria Math" w:hAnsi="Cambria Math" w:eastAsia="宋体" w:cstheme="minorBidi"/>
                      <w:kern w:val="2"/>
                      <w:szCs w:val="24"/>
                    </w:rPr>
                  </m:ctrlPr>
                </m:sup>
                <m:e>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ω</m:t>
                      </m:r>
                      <m:ctrlPr>
                        <w:rPr>
                          <w:rFonts w:ascii="Cambria Math" w:hAnsi="Cambria Math" w:eastAsia="宋体" w:cstheme="minorBidi"/>
                          <w:i/>
                          <w:kern w:val="2"/>
                          <w:szCs w:val="24"/>
                        </w:rPr>
                      </m:ctrlPr>
                    </m:e>
                    <m:sub>
                      <m:r>
                        <m:rPr/>
                        <w:rPr>
                          <w:rFonts w:ascii="Cambria Math" w:hAnsi="Cambria Math" w:eastAsia="宋体" w:cstheme="minorBidi"/>
                          <w:kern w:val="2"/>
                          <w:szCs w:val="24"/>
                        </w:rPr>
                        <m:t>k,t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r>
                    <m:rPr>
                      <m:sty m:val="bi"/>
                    </m:rPr>
                    <w:rPr>
                      <w:rFonts w:hint="eastAsia" w:ascii="Cambria Math" w:hAnsi="Cambria Math" w:eastAsia="宋体" w:cstheme="minorBidi"/>
                      <w:kern w:val="2"/>
                      <w:szCs w:val="24"/>
                    </w:rPr>
                    <m:t>s</m:t>
                  </m:r>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X</m:t>
                      </m:r>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B</m:t>
                      </m:r>
                      <m:ctrlPr>
                        <w:rPr>
                          <w:rFonts w:ascii="Cambria Math" w:hAnsi="Cambria Math" w:eastAsia="宋体" w:cstheme="minorBidi"/>
                          <w:i/>
                          <w:kern w:val="2"/>
                          <w:szCs w:val="24"/>
                        </w:rPr>
                      </m:ctrlPr>
                    </m:e>
                    <m:sub>
                      <m:r>
                        <m:rPr/>
                        <w:rPr>
                          <w:rFonts w:ascii="Cambria Math" w:hAnsi="Cambria Math" w:eastAsia="宋体" w:cstheme="minorBidi"/>
                          <w:kern w:val="2"/>
                          <w:szCs w:val="24"/>
                        </w:rPr>
                        <m:t>k</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ctrlPr>
                    <w:rPr>
                      <w:rFonts w:ascii="Cambria Math" w:hAnsi="Cambria Math" w:eastAsia="宋体" w:cstheme="minorBidi"/>
                      <w:kern w:val="2"/>
                      <w:szCs w:val="24"/>
                    </w:rPr>
                  </m:ctrlPr>
                </m:e>
              </m:nary>
            </m:oMath>
            <w:r>
              <w:rPr>
                <w:rFonts w:hint="eastAsia" w:eastAsia="宋体" w:cstheme="minorBidi"/>
                <w:kern w:val="2"/>
                <w:szCs w:val="24"/>
              </w:rPr>
              <w:t xml:space="preserve"> </w:t>
            </w:r>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5</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kern w:val="2"/>
          <w:szCs w:val="24"/>
        </w:rPr>
      </w:pPr>
      <w:r>
        <w:rPr>
          <w:rFonts w:hint="eastAsia"/>
          <w:kern w:val="2"/>
          <w:szCs w:val="24"/>
        </w:rPr>
        <w:t>w</w:t>
      </w:r>
      <w:r>
        <w:rPr>
          <w:kern w:val="2"/>
          <w:szCs w:val="24"/>
        </w:rPr>
        <w:t>ith</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sSub>
                <m:sSubPr>
                  <m:ctrlPr>
                    <w:rPr>
                      <w:rFonts w:ascii="Cambria Math" w:hAnsi="Cambria Math" w:eastAsia="宋体" w:cstheme="minorBidi"/>
                      <w:kern w:val="2"/>
                      <w:szCs w:val="24"/>
                    </w:rPr>
                  </m:ctrlPr>
                </m:sSubPr>
                <m:e>
                  <m:r>
                    <m:rPr/>
                    <w:rPr>
                      <w:rFonts w:ascii="Cambria Math" w:hAnsi="Cambria Math" w:eastAsia="宋体" w:cstheme="minorBidi"/>
                      <w:kern w:val="2"/>
                      <w:szCs w:val="24"/>
                    </w:rPr>
                    <m:t>ω</m:t>
                  </m:r>
                  <m:ctrlPr>
                    <w:rPr>
                      <w:rFonts w:ascii="Cambria Math" w:hAnsi="Cambria Math" w:eastAsia="宋体" w:cstheme="minorBidi"/>
                      <w:kern w:val="2"/>
                      <w:szCs w:val="24"/>
                    </w:rPr>
                  </m:ctrlPr>
                </m:e>
                <m:sub>
                  <m:r>
                    <m:rPr/>
                    <w:rPr>
                      <w:rFonts w:ascii="Cambria Math" w:hAnsi="Cambria Math" w:eastAsia="宋体" w:cstheme="minorBidi"/>
                      <w:kern w:val="2"/>
                      <w:szCs w:val="24"/>
                    </w:rPr>
                    <m:t>k,t</m:t>
                  </m:r>
                  <m:ctrlPr>
                    <w:rPr>
                      <w:rFonts w:ascii="Cambria Math" w:hAnsi="Cambria Math" w:eastAsia="宋体" w:cstheme="minorBidi"/>
                      <w:kern w:val="2"/>
                      <w:szCs w:val="24"/>
                    </w:rPr>
                  </m:ctrlPr>
                </m:sub>
              </m:sSub>
              <m:d>
                <m:dPr>
                  <m:ctrlPr>
                    <w:rPr>
                      <w:rFonts w:ascii="Cambria Math" w:hAnsi="Cambria Math" w:eastAsia="宋体" w:cstheme="minorBidi"/>
                      <w:i/>
                      <w:kern w:val="2"/>
                      <w:szCs w:val="24"/>
                    </w:rPr>
                  </m:ctrlPr>
                </m:dPr>
                <m:e>
                  <m:r>
                    <m:rPr>
                      <m:sty m:val="bi"/>
                    </m:rPr>
                    <w:rPr>
                      <w:rFonts w:hint="eastAsia" w:ascii="Cambria Math" w:hAnsi="Cambria Math" w:eastAsia="宋体" w:cstheme="minorBidi"/>
                      <w:kern w:val="2"/>
                      <w:szCs w:val="24"/>
                    </w:rPr>
                    <m:t>s</m:t>
                  </m:r>
                  <m:ctrlPr>
                    <w:rPr>
                      <w:rFonts w:ascii="Cambria Math" w:hAnsi="Cambria Math" w:eastAsia="宋体" w:cstheme="minorBidi"/>
                      <w:i/>
                      <w:kern w:val="2"/>
                      <w:szCs w:val="24"/>
                    </w:rPr>
                  </m:ctrlPr>
                </m:e>
              </m:d>
              <m:r>
                <m:rPr/>
                <w:rPr>
                  <w:rFonts w:ascii="Cambria Math" w:hAnsi="Cambria Math" w:eastAsia="宋体" w:cstheme="minorBidi"/>
                  <w:kern w:val="2"/>
                  <w:szCs w:val="24"/>
                </w:rPr>
                <m:t>=</m:t>
              </m:r>
              <m:f>
                <m:fPr>
                  <m:ctrlPr>
                    <w:rPr>
                      <w:rFonts w:ascii="Cambria Math" w:hAnsi="Cambria Math" w:eastAsia="宋体" w:cstheme="minorBidi"/>
                      <w:i/>
                      <w:kern w:val="2"/>
                      <w:szCs w:val="24"/>
                    </w:rPr>
                  </m:ctrlPr>
                </m:fPr>
                <m:num>
                  <m:r>
                    <m:rPr>
                      <m:sty m:val="p"/>
                    </m:rPr>
                    <w:rPr>
                      <w:rFonts w:ascii="Cambria Math" w:hAnsi="Cambria Math" w:eastAsia="宋体" w:cstheme="minorBidi"/>
                      <w:kern w:val="2"/>
                      <w:szCs w:val="24"/>
                    </w:rPr>
                    <m:t>exp⁡</m:t>
                  </m:r>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ϕ</m:t>
                      </m:r>
                      <m:ctrlPr>
                        <w:rPr>
                          <w:rFonts w:ascii="Cambria Math" w:hAnsi="Cambria Math" w:eastAsia="宋体" w:cstheme="minorBidi"/>
                          <w:i/>
                          <w:kern w:val="2"/>
                          <w:szCs w:val="24"/>
                        </w:rPr>
                      </m:ctrlPr>
                    </m:e>
                    <m:sub>
                      <m:r>
                        <m:rPr/>
                        <w:rPr>
                          <w:rFonts w:ascii="Cambria Math" w:hAnsi="Cambria Math" w:eastAsia="宋体" w:cstheme="minorBidi"/>
                          <w:kern w:val="2"/>
                          <w:szCs w:val="24"/>
                        </w:rPr>
                        <m:t>ω</m:t>
                      </m:r>
                      <m:ctrlPr>
                        <w:rPr>
                          <w:rFonts w:ascii="Cambria Math" w:hAnsi="Cambria Math" w:eastAsia="宋体" w:cstheme="minorBidi"/>
                          <w:i/>
                          <w:kern w:val="2"/>
                          <w:szCs w:val="24"/>
                        </w:rPr>
                      </m:ctrlPr>
                    </m:sub>
                  </m:sSub>
                  <m:r>
                    <m:rPr/>
                    <w:rPr>
                      <w:rFonts w:hint="eastAsia" w:ascii="Cambria Math" w:hAnsi="Cambria Math" w:eastAsia="宋体" w:cstheme="minorBidi"/>
                      <w:kern w:val="2"/>
                      <w:szCs w:val="24"/>
                    </w:rPr>
                    <m:t>‖</m:t>
                  </m:r>
                  <m:r>
                    <m:rPr>
                      <m:sty m:val="bi"/>
                    </m:rPr>
                    <w:rPr>
                      <w:rFonts w:hint="eastAsia" w:ascii="Cambria Math" w:hAnsi="Cambria Math" w:eastAsia="宋体" w:cstheme="minorBidi"/>
                      <w:kern w:val="2"/>
                      <w:szCs w:val="24"/>
                    </w:rPr>
                    <m:t>s</m:t>
                  </m:r>
                  <m:r>
                    <m:rPr/>
                    <w:rPr>
                      <w:rFonts w:ascii="Cambria Math" w:hAnsi="Cambria Math" w:eastAsia="宋体" w:cstheme="minorBidi"/>
                      <w:kern w:val="2"/>
                      <w:szCs w:val="24"/>
                    </w:rPr>
                    <m:t>−</m:t>
                  </m:r>
                  <m:sSub>
                    <m:sSubPr>
                      <m:ctrlPr>
                        <w:rPr>
                          <w:rFonts w:ascii="Cambria Math" w:hAnsi="Cambria Math" w:eastAsia="宋体" w:cstheme="minorBidi"/>
                          <w:b/>
                          <w:i/>
                          <w:kern w:val="2"/>
                          <w:szCs w:val="24"/>
                        </w:rPr>
                      </m:ctrlPr>
                    </m:sSubPr>
                    <m:e>
                      <m:r>
                        <m:rPr>
                          <m:sty m:val="bi"/>
                        </m:rPr>
                        <w:rPr>
                          <w:rFonts w:hint="eastAsia" w:ascii="Cambria Math" w:hAnsi="Cambria Math" w:eastAsia="宋体" w:cstheme="minorBidi"/>
                          <w:kern w:val="2"/>
                          <w:szCs w:val="24"/>
                        </w:rPr>
                        <m:t>c</m:t>
                      </m:r>
                      <m:ctrlPr>
                        <w:rPr>
                          <w:rFonts w:ascii="Cambria Math" w:hAnsi="Cambria Math" w:eastAsia="宋体" w:cstheme="minorBidi"/>
                          <w:b/>
                          <w:i/>
                          <w:kern w:val="2"/>
                          <w:szCs w:val="24"/>
                        </w:rPr>
                      </m:ctrlPr>
                    </m:e>
                    <m:sub>
                      <m:r>
                        <m:rPr/>
                        <w:rPr>
                          <w:rFonts w:hint="eastAsia" w:ascii="Cambria Math" w:hAnsi="Cambria Math" w:eastAsia="宋体" w:cstheme="minorBidi"/>
                          <w:kern w:val="2"/>
                          <w:szCs w:val="24"/>
                        </w:rPr>
                        <m:t>k</m:t>
                      </m:r>
                      <m:ctrlPr>
                        <w:rPr>
                          <w:rFonts w:ascii="Cambria Math" w:hAnsi="Cambria Math" w:eastAsia="宋体" w:cstheme="minorBidi"/>
                          <w:b/>
                          <w:i/>
                          <w:kern w:val="2"/>
                          <w:szCs w:val="24"/>
                        </w:rPr>
                      </m:ctrlPr>
                    </m:sub>
                  </m:sSub>
                  <m:r>
                    <m:rPr/>
                    <w:rPr>
                      <w:rFonts w:hint="eastAsia" w:ascii="Cambria Math" w:hAnsi="Cambria Math" w:eastAsia="宋体" w:cstheme="minorBidi"/>
                      <w:kern w:val="2"/>
                      <w:szCs w:val="24"/>
                    </w:rPr>
                    <m:t>‖</m:t>
                  </m:r>
                  <m:r>
                    <m:rPr/>
                    <w:rPr>
                      <w:rFonts w:ascii="Cambria Math" w:hAnsi="Cambria Math" w:eastAsia="宋体" w:cstheme="minorBidi"/>
                      <w:kern w:val="2"/>
                      <w:szCs w:val="24"/>
                    </w:rPr>
                    <m:t>}</m:t>
                  </m:r>
                  <m:r>
                    <m:rPr>
                      <m:sty m:val="p"/>
                    </m:rPr>
                    <w:rPr>
                      <w:rFonts w:ascii="Cambria Math" w:hAnsi="Cambria Math" w:eastAsia="宋体" w:cstheme="minorBidi"/>
                      <w:kern w:val="2"/>
                      <w:szCs w:val="24"/>
                    </w:rPr>
                    <m:t>exp⁡</m:t>
                  </m:r>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Q</m:t>
                      </m:r>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sSub>
                    <m:sSubPr>
                      <m:ctrlPr>
                        <w:rPr>
                          <w:rFonts w:ascii="Cambria Math" w:hAnsi="Cambria Math" w:eastAsia="宋体" w:cstheme="minorBidi"/>
                          <w:b/>
                          <w:i/>
                          <w:kern w:val="2"/>
                          <w:szCs w:val="24"/>
                        </w:rPr>
                      </m:ctrlPr>
                    </m:sSubPr>
                    <m:e>
                      <m:r>
                        <m:rPr>
                          <m:sty m:val="bi"/>
                        </m:rPr>
                        <w:rPr>
                          <w:rFonts w:hint="eastAsia" w:ascii="Cambria Math" w:hAnsi="Cambria Math" w:eastAsia="宋体" w:cstheme="minorBidi"/>
                          <w:kern w:val="2"/>
                          <w:szCs w:val="24"/>
                        </w:rPr>
                        <m:t>c</m:t>
                      </m:r>
                      <m:ctrlPr>
                        <w:rPr>
                          <w:rFonts w:ascii="Cambria Math" w:hAnsi="Cambria Math" w:eastAsia="宋体" w:cstheme="minorBidi"/>
                          <w:b/>
                          <w:i/>
                          <w:kern w:val="2"/>
                          <w:szCs w:val="24"/>
                        </w:rPr>
                      </m:ctrlPr>
                    </m:e>
                    <m:sub>
                      <m:r>
                        <m:rPr/>
                        <w:rPr>
                          <w:rFonts w:hint="eastAsia" w:ascii="Cambria Math" w:hAnsi="Cambria Math" w:eastAsia="宋体" w:cstheme="minorBidi"/>
                          <w:kern w:val="2"/>
                          <w:szCs w:val="24"/>
                        </w:rPr>
                        <m:t>k</m:t>
                      </m:r>
                      <m:ctrlPr>
                        <w:rPr>
                          <w:rFonts w:ascii="Cambria Math" w:hAnsi="Cambria Math" w:eastAsia="宋体" w:cstheme="minorBidi"/>
                          <w:b/>
                          <w:i/>
                          <w:kern w:val="2"/>
                          <w:szCs w:val="24"/>
                        </w:rPr>
                      </m:ctrlPr>
                    </m:sub>
                  </m:sSub>
                  <m:r>
                    <m:rPr/>
                    <w:rPr>
                      <w:rFonts w:ascii="Cambria Math" w:hAnsi="Cambria Math" w:eastAsia="宋体" w:cstheme="minorBidi"/>
                      <w:kern w:val="2"/>
                      <w:szCs w:val="24"/>
                    </w:rPr>
                    <m:t>)}</m:t>
                  </m:r>
                  <m:ctrlPr>
                    <w:rPr>
                      <w:rFonts w:ascii="Cambria Math" w:hAnsi="Cambria Math" w:eastAsia="宋体" w:cstheme="minorBidi"/>
                      <w:i/>
                      <w:kern w:val="2"/>
                      <w:szCs w:val="24"/>
                    </w:rPr>
                  </m:ctrlPr>
                </m:num>
                <m:den>
                  <m:nary>
                    <m:naryPr>
                      <m:chr m:val="∑"/>
                      <m:limLoc m:val="undOvr"/>
                      <m:ctrlPr>
                        <w:rPr>
                          <w:rFonts w:ascii="Cambria Math" w:hAnsi="Cambria Math" w:eastAsia="宋体" w:cstheme="minorBidi"/>
                          <w:i/>
                          <w:kern w:val="2"/>
                          <w:szCs w:val="24"/>
                        </w:rPr>
                      </m:ctrlPr>
                    </m:naryPr>
                    <m:sub>
                      <m:r>
                        <m:rPr/>
                        <w:rPr>
                          <w:rFonts w:ascii="Cambria Math" w:hAnsi="Cambria Math" w:eastAsia="宋体" w:cstheme="minorBidi"/>
                          <w:kern w:val="2"/>
                          <w:szCs w:val="24"/>
                        </w:rPr>
                        <m:t>k=1</m:t>
                      </m:r>
                      <m:ctrlPr>
                        <w:rPr>
                          <w:rFonts w:ascii="Cambria Math" w:hAnsi="Cambria Math" w:eastAsia="宋体" w:cstheme="minorBidi"/>
                          <w:i/>
                          <w:kern w:val="2"/>
                          <w:szCs w:val="24"/>
                        </w:rPr>
                      </m:ctrlPr>
                    </m:sub>
                    <m:sup>
                      <m:r>
                        <m:rPr/>
                        <w:rPr>
                          <w:rFonts w:ascii="Cambria Math" w:hAnsi="Cambria Math" w:eastAsia="宋体" w:cstheme="minorBidi"/>
                          <w:kern w:val="2"/>
                          <w:szCs w:val="24"/>
                        </w:rPr>
                        <m:t>K</m:t>
                      </m:r>
                      <m:ctrlPr>
                        <w:rPr>
                          <w:rFonts w:ascii="Cambria Math" w:hAnsi="Cambria Math" w:eastAsia="宋体" w:cstheme="minorBidi"/>
                          <w:i/>
                          <w:kern w:val="2"/>
                          <w:szCs w:val="24"/>
                        </w:rPr>
                      </m:ctrlPr>
                    </m:sup>
                    <m:e>
                      <m:r>
                        <m:rPr>
                          <m:sty m:val="p"/>
                        </m:rPr>
                        <w:rPr>
                          <w:rFonts w:ascii="Cambria Math" w:hAnsi="Cambria Math" w:eastAsia="宋体" w:cstheme="minorBidi"/>
                          <w:kern w:val="2"/>
                          <w:szCs w:val="24"/>
                        </w:rPr>
                        <m:t>exp⁡</m:t>
                      </m:r>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ϕ</m:t>
                          </m:r>
                          <m:ctrlPr>
                            <w:rPr>
                              <w:rFonts w:ascii="Cambria Math" w:hAnsi="Cambria Math" w:eastAsia="宋体" w:cstheme="minorBidi"/>
                              <w:i/>
                              <w:kern w:val="2"/>
                              <w:szCs w:val="24"/>
                            </w:rPr>
                          </m:ctrlPr>
                        </m:e>
                        <m:sub>
                          <m:r>
                            <m:rPr/>
                            <w:rPr>
                              <w:rFonts w:ascii="Cambria Math" w:hAnsi="Cambria Math" w:eastAsia="宋体" w:cstheme="minorBidi"/>
                              <w:kern w:val="2"/>
                              <w:szCs w:val="24"/>
                            </w:rPr>
                            <m:t>ω</m:t>
                          </m:r>
                          <m:ctrlPr>
                            <w:rPr>
                              <w:rFonts w:ascii="Cambria Math" w:hAnsi="Cambria Math" w:eastAsia="宋体" w:cstheme="minorBidi"/>
                              <w:i/>
                              <w:kern w:val="2"/>
                              <w:szCs w:val="24"/>
                            </w:rPr>
                          </m:ctrlPr>
                        </m:sub>
                      </m:sSub>
                      <m:r>
                        <m:rPr/>
                        <w:rPr>
                          <w:rFonts w:hint="eastAsia" w:ascii="Cambria Math" w:hAnsi="Cambria Math" w:eastAsia="宋体" w:cstheme="minorBidi"/>
                          <w:kern w:val="2"/>
                          <w:szCs w:val="24"/>
                        </w:rPr>
                        <m:t>‖</m:t>
                      </m:r>
                      <m:r>
                        <m:rPr>
                          <m:sty m:val="bi"/>
                        </m:rPr>
                        <w:rPr>
                          <w:rFonts w:hint="eastAsia" w:ascii="Cambria Math" w:hAnsi="Cambria Math" w:eastAsia="宋体" w:cstheme="minorBidi"/>
                          <w:kern w:val="2"/>
                          <w:szCs w:val="24"/>
                        </w:rPr>
                        <m:t>s</m:t>
                      </m:r>
                      <m:r>
                        <m:rPr/>
                        <w:rPr>
                          <w:rFonts w:ascii="Cambria Math" w:hAnsi="Cambria Math" w:eastAsia="宋体" w:cstheme="minorBidi"/>
                          <w:kern w:val="2"/>
                          <w:szCs w:val="24"/>
                        </w:rPr>
                        <m:t>−</m:t>
                      </m:r>
                      <m:sSub>
                        <m:sSubPr>
                          <m:ctrlPr>
                            <w:rPr>
                              <w:rFonts w:ascii="Cambria Math" w:hAnsi="Cambria Math" w:eastAsia="宋体" w:cstheme="minorBidi"/>
                              <w:b/>
                              <w:i/>
                              <w:kern w:val="2"/>
                              <w:szCs w:val="24"/>
                            </w:rPr>
                          </m:ctrlPr>
                        </m:sSubPr>
                        <m:e>
                          <m:r>
                            <m:rPr>
                              <m:sty m:val="bi"/>
                            </m:rPr>
                            <w:rPr>
                              <w:rFonts w:hint="eastAsia" w:ascii="Cambria Math" w:hAnsi="Cambria Math" w:eastAsia="宋体" w:cstheme="minorBidi"/>
                              <w:kern w:val="2"/>
                              <w:szCs w:val="24"/>
                            </w:rPr>
                            <m:t>c</m:t>
                          </m:r>
                          <m:ctrlPr>
                            <w:rPr>
                              <w:rFonts w:ascii="Cambria Math" w:hAnsi="Cambria Math" w:eastAsia="宋体" w:cstheme="minorBidi"/>
                              <w:b/>
                              <w:i/>
                              <w:kern w:val="2"/>
                              <w:szCs w:val="24"/>
                            </w:rPr>
                          </m:ctrlPr>
                        </m:e>
                        <m:sub>
                          <m:r>
                            <m:rPr/>
                            <w:rPr>
                              <w:rFonts w:hint="eastAsia" w:ascii="Cambria Math" w:hAnsi="Cambria Math" w:eastAsia="宋体" w:cstheme="minorBidi"/>
                              <w:kern w:val="2"/>
                              <w:szCs w:val="24"/>
                            </w:rPr>
                            <m:t>k</m:t>
                          </m:r>
                          <m:ctrlPr>
                            <w:rPr>
                              <w:rFonts w:ascii="Cambria Math" w:hAnsi="Cambria Math" w:eastAsia="宋体" w:cstheme="minorBidi"/>
                              <w:b/>
                              <w:i/>
                              <w:kern w:val="2"/>
                              <w:szCs w:val="24"/>
                            </w:rPr>
                          </m:ctrlPr>
                        </m:sub>
                      </m:sSub>
                      <m:r>
                        <m:rPr/>
                        <w:rPr>
                          <w:rFonts w:hint="eastAsia" w:ascii="Cambria Math" w:hAnsi="Cambria Math" w:eastAsia="宋体" w:cstheme="minorBidi"/>
                          <w:kern w:val="2"/>
                          <w:szCs w:val="24"/>
                        </w:rPr>
                        <m:t>‖</m:t>
                      </m:r>
                      <m:r>
                        <m:rPr/>
                        <w:rPr>
                          <w:rFonts w:ascii="Cambria Math" w:hAnsi="Cambria Math" w:eastAsia="宋体" w:cstheme="minorBidi"/>
                          <w:kern w:val="2"/>
                          <w:szCs w:val="24"/>
                        </w:rPr>
                        <m:t>}</m:t>
                      </m:r>
                      <m:ctrlPr>
                        <w:rPr>
                          <w:rFonts w:ascii="Cambria Math" w:hAnsi="Cambria Math" w:eastAsia="宋体" w:cstheme="minorBidi"/>
                          <w:i/>
                          <w:kern w:val="2"/>
                          <w:szCs w:val="24"/>
                        </w:rPr>
                      </m:ctrlPr>
                    </m:e>
                  </m:nary>
                  <m:r>
                    <m:rPr>
                      <m:sty m:val="p"/>
                    </m:rPr>
                    <w:rPr>
                      <w:rFonts w:ascii="Cambria Math" w:hAnsi="Cambria Math" w:eastAsia="宋体" w:cstheme="minorBidi"/>
                      <w:kern w:val="2"/>
                      <w:szCs w:val="24"/>
                    </w:rPr>
                    <m:t>exp⁡</m:t>
                  </m:r>
                  <m:r>
                    <m:rPr/>
                    <w:rPr>
                      <w:rFonts w:ascii="Cambria Math" w:hAnsi="Cambria Math" w:eastAsia="宋体" w:cstheme="minorBidi"/>
                      <w:kern w:val="2"/>
                      <w:szCs w:val="24"/>
                    </w:rPr>
                    <m:t>{</m:t>
                  </m:r>
                  <m:sSub>
                    <m:sSubPr>
                      <m:ctrlPr>
                        <w:rPr>
                          <w:rFonts w:ascii="Cambria Math" w:hAnsi="Cambria Math" w:eastAsia="宋体" w:cstheme="minorBidi"/>
                          <w:i/>
                          <w:kern w:val="2"/>
                          <w:szCs w:val="24"/>
                        </w:rPr>
                      </m:ctrlPr>
                    </m:sSubPr>
                    <m:e>
                      <m:r>
                        <m:rPr/>
                        <w:rPr>
                          <w:rFonts w:ascii="Cambria Math" w:hAnsi="Cambria Math" w:eastAsia="宋体" w:cstheme="minorBidi"/>
                          <w:kern w:val="2"/>
                          <w:szCs w:val="24"/>
                        </w:rPr>
                        <m:t>Q</m:t>
                      </m:r>
                      <m:ctrlPr>
                        <w:rPr>
                          <w:rFonts w:ascii="Cambria Math" w:hAnsi="Cambria Math" w:eastAsia="宋体" w:cstheme="minorBidi"/>
                          <w:i/>
                          <w:kern w:val="2"/>
                          <w:szCs w:val="24"/>
                        </w:rPr>
                      </m:ctrlPr>
                    </m:e>
                    <m:sub>
                      <m:r>
                        <m:rPr/>
                        <w:rPr>
                          <w:rFonts w:ascii="Cambria Math" w:hAnsi="Cambria Math" w:eastAsia="宋体" w:cstheme="minorBidi"/>
                          <w:kern w:val="2"/>
                          <w:szCs w:val="24"/>
                        </w:rPr>
                        <m:t>t</m:t>
                      </m:r>
                      <m:ctrlPr>
                        <w:rPr>
                          <w:rFonts w:ascii="Cambria Math" w:hAnsi="Cambria Math" w:eastAsia="宋体" w:cstheme="minorBidi"/>
                          <w:i/>
                          <w:kern w:val="2"/>
                          <w:szCs w:val="24"/>
                        </w:rPr>
                      </m:ctrlPr>
                    </m:sub>
                  </m:sSub>
                  <m:r>
                    <m:rPr/>
                    <w:rPr>
                      <w:rFonts w:ascii="Cambria Math" w:hAnsi="Cambria Math" w:eastAsia="宋体" w:cstheme="minorBidi"/>
                      <w:kern w:val="2"/>
                      <w:szCs w:val="24"/>
                    </w:rPr>
                    <m:t>(</m:t>
                  </m:r>
                  <m:sSub>
                    <m:sSubPr>
                      <m:ctrlPr>
                        <w:rPr>
                          <w:rFonts w:ascii="Cambria Math" w:hAnsi="Cambria Math" w:eastAsia="宋体" w:cstheme="minorBidi"/>
                          <w:b/>
                          <w:i/>
                          <w:kern w:val="2"/>
                          <w:szCs w:val="24"/>
                        </w:rPr>
                      </m:ctrlPr>
                    </m:sSubPr>
                    <m:e>
                      <m:r>
                        <m:rPr>
                          <m:sty m:val="bi"/>
                        </m:rPr>
                        <w:rPr>
                          <w:rFonts w:hint="eastAsia" w:ascii="Cambria Math" w:hAnsi="Cambria Math" w:eastAsia="宋体" w:cstheme="minorBidi"/>
                          <w:kern w:val="2"/>
                          <w:szCs w:val="24"/>
                        </w:rPr>
                        <m:t>c</m:t>
                      </m:r>
                      <m:ctrlPr>
                        <w:rPr>
                          <w:rFonts w:ascii="Cambria Math" w:hAnsi="Cambria Math" w:eastAsia="宋体" w:cstheme="minorBidi"/>
                          <w:b/>
                          <w:i/>
                          <w:kern w:val="2"/>
                          <w:szCs w:val="24"/>
                        </w:rPr>
                      </m:ctrlPr>
                    </m:e>
                    <m:sub>
                      <m:r>
                        <m:rPr/>
                        <w:rPr>
                          <w:rFonts w:hint="eastAsia" w:ascii="Cambria Math" w:hAnsi="Cambria Math" w:eastAsia="宋体" w:cstheme="minorBidi"/>
                          <w:kern w:val="2"/>
                          <w:szCs w:val="24"/>
                        </w:rPr>
                        <m:t>k</m:t>
                      </m:r>
                      <m:ctrlPr>
                        <w:rPr>
                          <w:rFonts w:ascii="Cambria Math" w:hAnsi="Cambria Math" w:eastAsia="宋体" w:cstheme="minorBidi"/>
                          <w:b/>
                          <w:i/>
                          <w:kern w:val="2"/>
                          <w:szCs w:val="24"/>
                        </w:rPr>
                      </m:ctrlPr>
                    </m:sub>
                  </m:sSub>
                  <m:r>
                    <m:rPr/>
                    <w:rPr>
                      <w:rFonts w:ascii="Cambria Math" w:hAnsi="Cambria Math" w:eastAsia="宋体" w:cstheme="minorBidi"/>
                      <w:kern w:val="2"/>
                      <w:szCs w:val="24"/>
                    </w:rPr>
                    <m:t>)}</m:t>
                  </m:r>
                  <m:ctrlPr>
                    <w:rPr>
                      <w:rFonts w:ascii="Cambria Math" w:hAnsi="Cambria Math" w:eastAsia="宋体" w:cstheme="minorBidi"/>
                      <w:i/>
                      <w:kern w:val="2"/>
                      <w:szCs w:val="24"/>
                    </w:rPr>
                  </m:ctrlPr>
                </m:den>
              </m:f>
            </m:oMath>
            <w:r>
              <w:rPr>
                <w:rFonts w:hint="eastAsia" w:eastAsia="宋体" w:cstheme="minorBidi"/>
                <w:kern w:val="2"/>
                <w:szCs w:val="24"/>
              </w:rPr>
              <w:t xml:space="preserve"> </w:t>
            </w:r>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6</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kern w:val="2"/>
          <w:szCs w:val="24"/>
        </w:rPr>
      </w:pPr>
      <w:r>
        <w:rPr>
          <w:i/>
          <w:kern w:val="2"/>
          <w:szCs w:val="24"/>
        </w:rPr>
        <w:t>K</w:t>
      </w:r>
      <w:r>
        <w:rPr>
          <w:kern w:val="2"/>
          <w:szCs w:val="24"/>
        </w:rPr>
        <w:t xml:space="preserve"> is the total number of numerical model grid cells, </w:t>
      </w:r>
      <m:oMath>
        <m:sSub>
          <m:sSubPr>
            <m:ctrlPr>
              <w:rPr>
                <w:rFonts w:ascii="Cambria Math" w:hAnsi="Cambria Math"/>
                <w:i/>
                <w:kern w:val="2"/>
                <w:szCs w:val="24"/>
              </w:rPr>
            </m:ctrlPr>
          </m:sSubPr>
          <m:e>
            <m:r>
              <m:rPr/>
              <w:rPr>
                <w:rFonts w:ascii="Cambria Math" w:hAnsi="Cambria Math"/>
                <w:kern w:val="2"/>
                <w:szCs w:val="24"/>
              </w:rPr>
              <m:t>ϕ</m:t>
            </m:r>
            <m:ctrlPr>
              <w:rPr>
                <w:rFonts w:ascii="Cambria Math" w:hAnsi="Cambria Math"/>
                <w:i/>
                <w:kern w:val="2"/>
                <w:szCs w:val="24"/>
              </w:rPr>
            </m:ctrlPr>
          </m:e>
          <m:sub>
            <m:r>
              <m:rPr/>
              <w:rPr>
                <w:rFonts w:ascii="Cambria Math" w:hAnsi="Cambria Math"/>
                <w:kern w:val="2"/>
                <w:szCs w:val="24"/>
              </w:rPr>
              <m:t>ω</m:t>
            </m:r>
            <m:ctrlPr>
              <w:rPr>
                <w:rFonts w:ascii="Cambria Math" w:hAnsi="Cambria Math"/>
                <w:i/>
                <w:kern w:val="2"/>
                <w:szCs w:val="24"/>
              </w:rPr>
            </m:ctrlPr>
          </m:sub>
        </m:sSub>
      </m:oMath>
      <w:r>
        <w:rPr>
          <w:rFonts w:hint="eastAsia"/>
          <w:kern w:val="2"/>
          <w:szCs w:val="24"/>
        </w:rPr>
        <w:t xml:space="preserve"> is</w:t>
      </w:r>
      <w:r>
        <w:rPr>
          <w:kern w:val="2"/>
          <w:szCs w:val="24"/>
        </w:rPr>
        <w:t xml:space="preserve"> a decay parameter, </w:t>
      </w:r>
      <w:r>
        <w:rPr>
          <w:b/>
          <w:i/>
          <w:kern w:val="2"/>
          <w:szCs w:val="24"/>
        </w:rPr>
        <w:t>c</w:t>
      </w:r>
      <w:r>
        <w:rPr>
          <w:i/>
          <w:kern w:val="2"/>
          <w:szCs w:val="24"/>
          <w:vertAlign w:val="subscript"/>
        </w:rPr>
        <w:t>k</w:t>
      </w:r>
      <w:r>
        <w:rPr>
          <w:i/>
          <w:kern w:val="2"/>
          <w:szCs w:val="24"/>
        </w:rPr>
        <w:t xml:space="preserve"> </w:t>
      </w:r>
      <w:r>
        <w:rPr>
          <w:kern w:val="2"/>
          <w:szCs w:val="24"/>
        </w:rPr>
        <w:t xml:space="preserve">is the centroid for the </w:t>
      </w:r>
      <w:r>
        <w:rPr>
          <w:i/>
          <w:kern w:val="2"/>
          <w:szCs w:val="24"/>
        </w:rPr>
        <w:t>k</w:t>
      </w:r>
      <w:r>
        <w:rPr>
          <w:i/>
          <w:kern w:val="2"/>
          <w:szCs w:val="24"/>
          <w:vertAlign w:val="superscript"/>
        </w:rPr>
        <w:t>th</w:t>
      </w:r>
      <w:r>
        <w:rPr>
          <w:kern w:val="2"/>
          <w:szCs w:val="24"/>
        </w:rPr>
        <w:t xml:space="preserve"> grid cell, and </w:t>
      </w:r>
      <w:r>
        <w:rPr>
          <w:i/>
          <w:kern w:val="2"/>
          <w:szCs w:val="24"/>
        </w:rPr>
        <w:t>Q</w:t>
      </w:r>
      <w:r>
        <w:rPr>
          <w:i/>
          <w:kern w:val="2"/>
          <w:szCs w:val="24"/>
          <w:vertAlign w:val="subscript"/>
        </w:rPr>
        <w:t>t</w:t>
      </w:r>
      <w:r>
        <w:rPr>
          <w:i/>
          <w:kern w:val="2"/>
          <w:szCs w:val="24"/>
        </w:rPr>
        <w:t>(</w:t>
      </w:r>
      <w:r>
        <w:rPr>
          <w:b/>
          <w:i/>
          <w:kern w:val="2"/>
          <w:szCs w:val="24"/>
        </w:rPr>
        <w:t>s</w:t>
      </w:r>
      <w:r>
        <w:rPr>
          <w:i/>
          <w:kern w:val="2"/>
          <w:szCs w:val="24"/>
        </w:rPr>
        <w:t>)</w:t>
      </w:r>
      <w:r>
        <w:rPr>
          <w:kern w:val="2"/>
          <w:szCs w:val="24"/>
        </w:rPr>
        <w:t xml:space="preserve"> is a mean zero Gaussian process with covariance </w:t>
      </w:r>
      <w:r>
        <w:rPr>
          <w:rFonts w:ascii="CMR12" w:hAnsi="CMR12"/>
          <w:color w:val="000000"/>
          <w:szCs w:val="24"/>
        </w:rPr>
        <w:t>function</w:t>
      </w:r>
      <w:r>
        <w:t xml:space="preserve"> </w:t>
      </w:r>
      <m:oMath>
        <m:sSub>
          <m:sSubPr>
            <m:ctrlPr>
              <w:rPr>
                <w:rFonts w:ascii="Cambria Math" w:hAnsi="Cambria Math"/>
                <w:kern w:val="2"/>
                <w:szCs w:val="24"/>
                <w:vertAlign w:val="subscript"/>
              </w:rPr>
            </m:ctrlPr>
          </m:sSubPr>
          <m:e>
            <m:r>
              <m:rPr>
                <m:scr m:val="double-struck"/>
              </m:rPr>
              <w:rPr>
                <w:rFonts w:ascii="Cambria Math" w:hAnsi="Cambria Math"/>
                <w:kern w:val="2"/>
                <w:szCs w:val="24"/>
                <w:vertAlign w:val="subscript"/>
              </w:rPr>
              <m:t>ℂ</m:t>
            </m:r>
            <m:ctrlPr>
              <w:rPr>
                <w:rFonts w:ascii="Cambria Math" w:hAnsi="Cambria Math"/>
                <w:kern w:val="2"/>
                <w:szCs w:val="24"/>
                <w:vertAlign w:val="subscript"/>
              </w:rPr>
            </m:ctrlPr>
          </m:e>
          <m:sub>
            <m:r>
              <m:rPr/>
              <w:rPr>
                <w:rFonts w:ascii="Cambria Math" w:hAnsi="Cambria Math"/>
                <w:kern w:val="2"/>
                <w:szCs w:val="24"/>
                <w:vertAlign w:val="subscript"/>
              </w:rPr>
              <m:t>Q</m:t>
            </m:r>
            <m:ctrlPr>
              <w:rPr>
                <w:rFonts w:ascii="Cambria Math" w:hAnsi="Cambria Math"/>
                <w:kern w:val="2"/>
                <w:szCs w:val="24"/>
                <w:vertAlign w:val="subscript"/>
              </w:rPr>
            </m:ctrlPr>
          </m:sub>
        </m:sSub>
        <m:d>
          <m:dPr>
            <m:ctrlPr>
              <w:rPr>
                <w:rFonts w:ascii="Cambria Math" w:hAnsi="Cambria Math"/>
                <w:i/>
                <w:kern w:val="2"/>
                <w:szCs w:val="24"/>
                <w:vertAlign w:val="subscript"/>
              </w:rPr>
            </m:ctrlPr>
          </m:dPr>
          <m:e>
            <m:r>
              <m:rPr>
                <m:sty m:val="bi"/>
              </m:rPr>
              <w:rPr>
                <w:rFonts w:ascii="Cambria Math" w:hAnsi="Cambria Math"/>
                <w:kern w:val="2"/>
                <w:szCs w:val="24"/>
                <w:vertAlign w:val="subscript"/>
              </w:rPr>
              <m:t>h</m:t>
            </m:r>
            <m:r>
              <m:rPr/>
              <w:rPr>
                <w:rFonts w:ascii="Cambria Math" w:hAnsi="Cambria Math"/>
                <w:kern w:val="2"/>
                <w:szCs w:val="24"/>
                <w:vertAlign w:val="subscript"/>
              </w:rPr>
              <m:t>,u</m:t>
            </m:r>
            <m:ctrlPr>
              <w:rPr>
                <w:rFonts w:ascii="Cambria Math" w:hAnsi="Cambria Math"/>
                <w:i/>
                <w:kern w:val="2"/>
                <w:szCs w:val="24"/>
                <w:vertAlign w:val="subscript"/>
              </w:rPr>
            </m:ctrlPr>
          </m:e>
          <m:e>
            <m:sSub>
              <m:sSubPr>
                <m:ctrlPr>
                  <w:rPr>
                    <w:rFonts w:ascii="Cambria Math" w:hAnsi="Cambria Math"/>
                    <w:i/>
                    <w:kern w:val="2"/>
                    <w:szCs w:val="24"/>
                    <w:vertAlign w:val="subscript"/>
                  </w:rPr>
                </m:ctrlPr>
              </m:sSubPr>
              <m:e>
                <m:r>
                  <m:rPr/>
                  <w:rPr>
                    <w:rFonts w:ascii="Cambria Math" w:hAnsi="Cambria Math"/>
                    <w:kern w:val="2"/>
                    <w:szCs w:val="24"/>
                    <w:vertAlign w:val="subscript"/>
                  </w:rPr>
                  <m:t>ϕ</m:t>
                </m:r>
                <m:ctrlPr>
                  <w:rPr>
                    <w:rFonts w:ascii="Cambria Math" w:hAnsi="Cambria Math"/>
                    <w:i/>
                    <w:kern w:val="2"/>
                    <w:szCs w:val="24"/>
                    <w:vertAlign w:val="subscript"/>
                  </w:rPr>
                </m:ctrlPr>
              </m:e>
              <m:sub>
                <m:r>
                  <m:rPr/>
                  <w:rPr>
                    <w:rFonts w:ascii="Cambria Math" w:hAnsi="Cambria Math"/>
                    <w:kern w:val="2"/>
                    <w:szCs w:val="24"/>
                    <w:vertAlign w:val="subscript"/>
                  </w:rPr>
                  <m:t>Q</m:t>
                </m:r>
                <m:ctrlPr>
                  <w:rPr>
                    <w:rFonts w:ascii="Cambria Math" w:hAnsi="Cambria Math"/>
                    <w:i/>
                    <w:kern w:val="2"/>
                    <w:szCs w:val="24"/>
                    <w:vertAlign w:val="subscript"/>
                  </w:rPr>
                </m:ctrlPr>
              </m:sub>
            </m:sSub>
            <m:ctrlPr>
              <w:rPr>
                <w:rFonts w:ascii="Cambria Math" w:hAnsi="Cambria Math"/>
                <w:i/>
                <w:kern w:val="2"/>
                <w:szCs w:val="24"/>
                <w:vertAlign w:val="subscript"/>
              </w:rPr>
            </m:ctrlPr>
          </m:e>
        </m:d>
      </m:oMath>
      <w:r>
        <w:rPr>
          <w:kern w:val="2"/>
          <w:szCs w:val="24"/>
        </w:rPr>
        <w:t xml:space="preserve"> which is defined similarly to (4). </w:t>
      </w:r>
      <w:r>
        <w:rPr>
          <w:rFonts w:ascii="CMR12" w:hAnsi="CMR12"/>
          <w:color w:val="000000"/>
          <w:szCs w:val="24"/>
        </w:rPr>
        <w:t>In this way</w:t>
      </w:r>
      <w:r>
        <w:t xml:space="preserve"> </w:t>
      </w:r>
      <m:oMath>
        <m:r>
          <m:rPr>
            <m:sty m:val="p"/>
          </m:rPr>
          <w:rPr>
            <w:rFonts w:ascii="Cambria Math" w:hAnsi="Cambria Math"/>
            <w:kern w:val="2"/>
            <w:szCs w:val="24"/>
          </w:rPr>
          <m:t>exp⁡</m:t>
        </m:r>
        <m:r>
          <m:rPr/>
          <w:rPr>
            <w:rFonts w:ascii="Cambria Math" w:hAnsi="Cambria Math"/>
            <w:kern w:val="2"/>
            <w:szCs w:val="24"/>
          </w:rPr>
          <m:t>{</m:t>
        </m:r>
        <m:sSub>
          <m:sSubPr>
            <m:ctrlPr>
              <w:rPr>
                <w:rFonts w:ascii="Cambria Math" w:hAnsi="Cambria Math"/>
                <w:i/>
                <w:kern w:val="2"/>
                <w:szCs w:val="24"/>
              </w:rPr>
            </m:ctrlPr>
          </m:sSubPr>
          <m:e>
            <m:r>
              <m:rPr/>
              <w:rPr>
                <w:rFonts w:hint="eastAsia" w:ascii="Cambria Math" w:hAnsi="Cambria Math"/>
                <w:kern w:val="2"/>
                <w:szCs w:val="24"/>
              </w:rPr>
              <m:t>Q</m:t>
            </m:r>
            <m:ctrlPr>
              <w:rPr>
                <w:rFonts w:ascii="Cambria Math" w:hAnsi="Cambria Math"/>
                <w:i/>
                <w:kern w:val="2"/>
                <w:szCs w:val="24"/>
              </w:rPr>
            </m:ctrlPr>
          </m:e>
          <m:sub>
            <m:r>
              <m:rPr/>
              <w:rPr>
                <w:rFonts w:hint="eastAsia" w:ascii="Cambria Math" w:hAnsi="Cambria Math"/>
                <w:kern w:val="2"/>
                <w:szCs w:val="24"/>
              </w:rPr>
              <m:t>t</m:t>
            </m:r>
            <m:ctrlPr>
              <w:rPr>
                <w:rFonts w:ascii="Cambria Math" w:hAnsi="Cambria Math"/>
                <w:i/>
                <w:kern w:val="2"/>
                <w:szCs w:val="24"/>
              </w:rPr>
            </m:ctrlPr>
          </m:sub>
        </m:sSub>
        <m:d>
          <m:dPr>
            <m:ctrlPr>
              <w:rPr>
                <w:rFonts w:ascii="Cambria Math" w:hAnsi="Cambria Math"/>
                <w:i/>
                <w:kern w:val="2"/>
                <w:szCs w:val="24"/>
              </w:rPr>
            </m:ctrlPr>
          </m:dPr>
          <m:e>
            <m:sSub>
              <m:sSubPr>
                <m:ctrlPr>
                  <w:rPr>
                    <w:rFonts w:ascii="Cambria Math" w:hAnsi="Cambria Math"/>
                    <w:b/>
                    <w:i/>
                    <w:kern w:val="2"/>
                    <w:szCs w:val="24"/>
                  </w:rPr>
                </m:ctrlPr>
              </m:sSubPr>
              <m:e>
                <m:r>
                  <m:rPr>
                    <m:sty m:val="bi"/>
                  </m:rPr>
                  <w:rPr>
                    <w:rFonts w:hint="eastAsia" w:ascii="Cambria Math" w:hAnsi="Cambria Math"/>
                    <w:kern w:val="2"/>
                    <w:szCs w:val="24"/>
                  </w:rPr>
                  <m:t>c</m:t>
                </m:r>
                <m:ctrlPr>
                  <w:rPr>
                    <w:rFonts w:ascii="Cambria Math" w:hAnsi="Cambria Math"/>
                    <w:b/>
                    <w:i/>
                    <w:kern w:val="2"/>
                    <w:szCs w:val="24"/>
                  </w:rPr>
                </m:ctrlPr>
              </m:e>
              <m:sub>
                <m:r>
                  <m:rPr/>
                  <w:rPr>
                    <w:rFonts w:hint="eastAsia" w:ascii="Cambria Math" w:hAnsi="Cambria Math"/>
                    <w:kern w:val="2"/>
                    <w:szCs w:val="24"/>
                  </w:rPr>
                  <m:t>k</m:t>
                </m:r>
                <m:ctrlPr>
                  <w:rPr>
                    <w:rFonts w:ascii="Cambria Math" w:hAnsi="Cambria Math"/>
                    <w:b/>
                    <w:i/>
                    <w:kern w:val="2"/>
                    <w:szCs w:val="24"/>
                  </w:rPr>
                </m:ctrlPr>
              </m:sub>
            </m:sSub>
            <m:ctrlPr>
              <w:rPr>
                <w:rFonts w:ascii="Cambria Math" w:hAnsi="Cambria Math"/>
                <w:i/>
                <w:kern w:val="2"/>
                <w:szCs w:val="24"/>
              </w:rPr>
            </m:ctrlPr>
          </m:e>
        </m:d>
        <m:r>
          <m:rPr/>
          <w:rPr>
            <w:rFonts w:hint="eastAsia" w:ascii="Cambria Math" w:hAnsi="Cambria Math"/>
            <w:kern w:val="2"/>
            <w:szCs w:val="24"/>
          </w:rPr>
          <m:t>}</m:t>
        </m:r>
      </m:oMath>
      <w:r>
        <w:rPr>
          <w:kern w:val="2"/>
          <w:szCs w:val="24"/>
        </w:rPr>
        <w:t xml:space="preserve"> defines the </w:t>
      </w:r>
      <w:r>
        <w:rPr>
          <w:rFonts w:ascii="CMR12" w:hAnsi="CMR12"/>
          <w:color w:val="000000"/>
          <w:szCs w:val="24"/>
        </w:rPr>
        <w:t>multiplicative increase to the spatial weight given by</w:t>
      </w:r>
      <w:r>
        <w:t xml:space="preserve"> </w:t>
      </w:r>
      <m:oMath>
        <m:r>
          <m:rPr>
            <m:sty m:val="p"/>
          </m:rPr>
          <w:rPr>
            <w:rFonts w:ascii="Cambria Math" w:hAnsi="Cambria Math"/>
            <w:kern w:val="2"/>
            <w:szCs w:val="24"/>
          </w:rPr>
          <m:t>exp⁡</m:t>
        </m:r>
        <m:r>
          <m:rPr/>
          <w:rPr>
            <w:rFonts w:ascii="Cambria Math" w:hAnsi="Cambria Math"/>
            <w:kern w:val="2"/>
            <w:szCs w:val="24"/>
          </w:rPr>
          <m:t>{−</m:t>
        </m:r>
        <m:sSub>
          <m:sSubPr>
            <m:ctrlPr>
              <w:rPr>
                <w:rFonts w:ascii="Cambria Math" w:hAnsi="Cambria Math"/>
                <w:i/>
                <w:kern w:val="2"/>
                <w:szCs w:val="24"/>
              </w:rPr>
            </m:ctrlPr>
          </m:sSubPr>
          <m:e>
            <m:r>
              <m:rPr/>
              <w:rPr>
                <w:rFonts w:ascii="Cambria Math" w:hAnsi="Cambria Math"/>
                <w:kern w:val="2"/>
                <w:szCs w:val="24"/>
              </w:rPr>
              <m:t>ϕ</m:t>
            </m:r>
            <m:ctrlPr>
              <w:rPr>
                <w:rFonts w:ascii="Cambria Math" w:hAnsi="Cambria Math"/>
                <w:i/>
                <w:kern w:val="2"/>
                <w:szCs w:val="24"/>
              </w:rPr>
            </m:ctrlPr>
          </m:e>
          <m:sub>
            <m:r>
              <m:rPr/>
              <w:rPr>
                <w:rFonts w:ascii="Cambria Math" w:hAnsi="Cambria Math"/>
                <w:kern w:val="2"/>
                <w:szCs w:val="24"/>
              </w:rPr>
              <m:t>ω</m:t>
            </m:r>
            <m:ctrlPr>
              <w:rPr>
                <w:rFonts w:ascii="Cambria Math" w:hAnsi="Cambria Math"/>
                <w:i/>
                <w:kern w:val="2"/>
                <w:szCs w:val="24"/>
              </w:rPr>
            </m:ctrlPr>
          </m:sub>
        </m:sSub>
        <m:r>
          <m:rPr/>
          <w:rPr>
            <w:rFonts w:hint="eastAsia" w:ascii="Cambria Math" w:hAnsi="Cambria Math"/>
            <w:kern w:val="2"/>
            <w:szCs w:val="24"/>
          </w:rPr>
          <m:t>‖</m:t>
        </m:r>
        <m:r>
          <m:rPr>
            <m:sty m:val="bi"/>
          </m:rPr>
          <w:rPr>
            <w:rFonts w:ascii="Cambria Math" w:hAnsi="Cambria Math"/>
            <w:kern w:val="2"/>
            <w:szCs w:val="24"/>
          </w:rPr>
          <m:t>s</m:t>
        </m:r>
        <m:r>
          <m:rPr/>
          <w:rPr>
            <w:rFonts w:ascii="Cambria Math" w:hAnsi="Cambria Math"/>
            <w:kern w:val="2"/>
            <w:szCs w:val="24"/>
          </w:rPr>
          <m:t>−</m:t>
        </m:r>
        <m:sSub>
          <m:sSubPr>
            <m:ctrlPr>
              <w:rPr>
                <w:rFonts w:ascii="Cambria Math" w:hAnsi="Cambria Math"/>
                <w:b/>
                <w:i/>
                <w:kern w:val="2"/>
                <w:szCs w:val="24"/>
              </w:rPr>
            </m:ctrlPr>
          </m:sSubPr>
          <m:e>
            <m:r>
              <m:rPr>
                <m:sty m:val="bi"/>
              </m:rPr>
              <w:rPr>
                <w:rFonts w:ascii="Cambria Math" w:hAnsi="Cambria Math"/>
                <w:kern w:val="2"/>
                <w:szCs w:val="24"/>
              </w:rPr>
              <m:t>c</m:t>
            </m:r>
            <m:ctrlPr>
              <w:rPr>
                <w:rFonts w:ascii="Cambria Math" w:hAnsi="Cambria Math"/>
                <w:b/>
                <w:i/>
                <w:kern w:val="2"/>
                <w:szCs w:val="24"/>
              </w:rPr>
            </m:ctrlPr>
          </m:e>
          <m:sub>
            <m:r>
              <m:rPr/>
              <w:rPr>
                <w:rFonts w:ascii="Cambria Math" w:hAnsi="Cambria Math"/>
                <w:kern w:val="2"/>
                <w:szCs w:val="24"/>
              </w:rPr>
              <m:t>k</m:t>
            </m:r>
            <m:ctrlPr>
              <w:rPr>
                <w:rFonts w:ascii="Cambria Math" w:hAnsi="Cambria Math"/>
                <w:b/>
                <w:i/>
                <w:kern w:val="2"/>
                <w:szCs w:val="24"/>
              </w:rPr>
            </m:ctrlPr>
          </m:sub>
        </m:sSub>
        <m:r>
          <m:rPr/>
          <w:rPr>
            <w:rFonts w:hint="eastAsia" w:ascii="Cambria Math" w:hAnsi="Cambria Math"/>
            <w:kern w:val="2"/>
            <w:szCs w:val="24"/>
          </w:rPr>
          <m:t>‖</m:t>
        </m:r>
        <m:r>
          <m:rPr/>
          <w:rPr>
            <w:rFonts w:ascii="Cambria Math" w:hAnsi="Cambria Math"/>
            <w:kern w:val="2"/>
            <w:szCs w:val="24"/>
          </w:rPr>
          <m:t>}</m:t>
        </m:r>
      </m:oMath>
      <w:r>
        <w:rPr>
          <w:rFonts w:hint="eastAsia"/>
          <w:kern w:val="2"/>
          <w:szCs w:val="24"/>
        </w:rPr>
        <w:t>.</w:t>
      </w:r>
    </w:p>
    <w:p>
      <w:pPr>
        <w:widowControl w:val="0"/>
        <w:jc w:val="both"/>
      </w:pPr>
      <m:oMath>
        <m:sSub>
          <m:sSubPr>
            <m:ctrlPr>
              <w:rPr>
                <w:rFonts w:ascii="Cambria Math" w:hAnsi="Cambria Math"/>
                <w:i/>
                <w:kern w:val="2"/>
                <w:szCs w:val="24"/>
              </w:rPr>
            </m:ctrlPr>
          </m:sSubPr>
          <m:e>
            <m:r>
              <m:rPr/>
              <w:rPr>
                <w:rFonts w:ascii="Cambria Math" w:hAnsi="Cambria Math"/>
                <w:kern w:val="2"/>
                <w:szCs w:val="24"/>
              </w:rPr>
              <m:t>ϵ</m:t>
            </m:r>
            <m:ctrlPr>
              <w:rPr>
                <w:rFonts w:ascii="Cambria Math" w:hAnsi="Cambria Math"/>
                <w:i/>
                <w:kern w:val="2"/>
                <w:szCs w:val="24"/>
              </w:rPr>
            </m:ctrlPr>
          </m:e>
          <m:sub>
            <m:r>
              <m:rPr/>
              <w:rPr>
                <w:rFonts w:ascii="Cambria Math" w:hAnsi="Cambria Math"/>
                <w:kern w:val="2"/>
                <w:szCs w:val="24"/>
              </w:rPr>
              <m:t>t</m:t>
            </m:r>
            <m:ctrlPr>
              <w:rPr>
                <w:rFonts w:ascii="Cambria Math" w:hAnsi="Cambria Math"/>
                <w:i/>
                <w:kern w:val="2"/>
                <w:szCs w:val="24"/>
              </w:rPr>
            </m:ctrlPr>
          </m:sub>
        </m:sSub>
        <m:r>
          <m:rPr/>
          <w:rPr>
            <w:rFonts w:ascii="Cambria Math" w:hAnsi="Cambria Math"/>
            <w:kern w:val="2"/>
            <w:szCs w:val="24"/>
          </w:rPr>
          <m:t>(</m:t>
        </m:r>
        <m:r>
          <m:rPr>
            <m:sty m:val="bi"/>
          </m:rPr>
          <w:rPr>
            <w:rFonts w:ascii="Cambria Math" w:hAnsi="Cambria Math"/>
            <w:kern w:val="2"/>
            <w:szCs w:val="24"/>
          </w:rPr>
          <m:t>s</m:t>
        </m:r>
        <m:r>
          <m:rPr/>
          <w:rPr>
            <w:rFonts w:ascii="Cambria Math" w:hAnsi="Cambria Math"/>
            <w:kern w:val="2"/>
            <w:szCs w:val="24"/>
          </w:rPr>
          <m:t>)</m:t>
        </m:r>
      </m:oMath>
      <w:r>
        <w:rPr>
          <w:rFonts w:hint="eastAsia"/>
          <w:kern w:val="2"/>
          <w:szCs w:val="24"/>
        </w:rPr>
        <w:t xml:space="preserve"> </w:t>
      </w:r>
      <w:r>
        <w:rPr>
          <w:rFonts w:ascii="CMR12" w:hAnsi="CMR12"/>
          <w:color w:val="000000"/>
          <w:szCs w:val="24"/>
        </w:rPr>
        <w:t xml:space="preserve">is a white noise Gaussian process with variance </w:t>
      </w:r>
      <m:oMath>
        <m:sSubSup>
          <m:sSubSupPr>
            <m:ctrlPr>
              <w:rPr>
                <w:rFonts w:ascii="Cambria Math" w:hAnsi="Cambria Math"/>
                <w:color w:val="000000"/>
                <w:szCs w:val="24"/>
              </w:rPr>
            </m:ctrlPr>
          </m:sSubSupPr>
          <m:e>
            <m:r>
              <m:rPr/>
              <w:rPr>
                <w:rFonts w:ascii="Cambria Math" w:hAnsi="Cambria Math"/>
                <w:color w:val="000000"/>
                <w:szCs w:val="24"/>
              </w:rPr>
              <m:t>τ</m:t>
            </m:r>
            <m:ctrlPr>
              <w:rPr>
                <w:rFonts w:ascii="Cambria Math" w:hAnsi="Cambria Math"/>
                <w:color w:val="000000"/>
                <w:szCs w:val="24"/>
              </w:rPr>
            </m:ctrlPr>
          </m:e>
          <m:sub>
            <m:r>
              <m:rPr/>
              <w:rPr>
                <w:rFonts w:ascii="Cambria Math" w:hAnsi="Cambria Math"/>
                <w:color w:val="000000"/>
                <w:szCs w:val="24"/>
              </w:rPr>
              <m:t>t</m:t>
            </m:r>
            <m:ctrlPr>
              <w:rPr>
                <w:rFonts w:ascii="Cambria Math" w:hAnsi="Cambria Math"/>
                <w:color w:val="000000"/>
                <w:szCs w:val="24"/>
              </w:rPr>
            </m:ctrlPr>
          </m:sub>
          <m:sup>
            <m:r>
              <m:rPr/>
              <w:rPr>
                <w:rFonts w:ascii="Cambria Math" w:hAnsi="Cambria Math"/>
                <w:color w:val="000000"/>
                <w:szCs w:val="24"/>
              </w:rPr>
              <m:t>2</m:t>
            </m:r>
            <m:ctrlPr>
              <w:rPr>
                <w:rFonts w:ascii="Cambria Math" w:hAnsi="Cambria Math"/>
                <w:color w:val="000000"/>
                <w:szCs w:val="24"/>
              </w:rPr>
            </m:ctrlPr>
          </m:sup>
        </m:sSubSup>
      </m:oMath>
      <w:r>
        <w:rPr>
          <w:rFonts w:ascii="CMR12" w:hAnsi="CMR12"/>
          <w:color w:val="000000"/>
          <w:szCs w:val="24"/>
        </w:rPr>
        <w:t>.</w:t>
      </w:r>
      <w:r>
        <w:t xml:space="preserve"> </w:t>
      </w:r>
    </w:p>
    <w:p>
      <w:pPr>
        <w:widowControl w:val="0"/>
        <w:ind w:firstLine="540"/>
        <w:jc w:val="both"/>
        <w:rPr>
          <w:kern w:val="2"/>
          <w:szCs w:val="24"/>
        </w:rPr>
      </w:pPr>
      <w:r>
        <w:rPr>
          <w:kern w:val="2"/>
          <w:szCs w:val="24"/>
        </w:rPr>
        <w:t xml:space="preserve">The various parameters of DS and how the estimation of these parameters </w:t>
      </w:r>
      <w:r>
        <w:rPr>
          <w:rFonts w:hint="eastAsia"/>
          <w:kern w:val="2"/>
          <w:szCs w:val="24"/>
        </w:rPr>
        <w:t>are</w:t>
      </w:r>
      <w:r>
        <w:rPr>
          <w:kern w:val="2"/>
          <w:szCs w:val="24"/>
        </w:rPr>
        <w:t xml:space="preserve"> </w:t>
      </w:r>
      <w:r>
        <w:rPr>
          <w:rFonts w:ascii="CMR12" w:hAnsi="CMR12"/>
          <w:color w:val="000000"/>
          <w:szCs w:val="24"/>
        </w:rPr>
        <w:t>described below</w:t>
      </w:r>
      <w:r>
        <w:rPr>
          <w:kern w:val="2"/>
          <w:szCs w:val="24"/>
        </w:rPr>
        <w:t xml:space="preserve">: </w:t>
      </w:r>
    </w:p>
    <w:p>
      <w:pPr>
        <w:pStyle w:val="31"/>
        <w:numPr>
          <w:ilvl w:val="0"/>
          <w:numId w:val="43"/>
        </w:numPr>
        <w:ind w:firstLineChars="0"/>
        <w:rPr>
          <w:rFonts w:ascii="CMR12" w:hAnsi="CMR12"/>
          <w:color w:val="000000"/>
          <w:sz w:val="24"/>
          <w:szCs w:val="24"/>
        </w:rPr>
      </w:pPr>
      <w:r>
        <w:rPr>
          <w:rFonts w:ascii="CMR12" w:hAnsi="CMR12"/>
          <w:color w:val="000000"/>
          <w:sz w:val="24"/>
          <w:szCs w:val="24"/>
        </w:rPr>
        <w:t>(</w:t>
      </w:r>
      <m:oMath>
        <m:sSubSup>
          <m:sSubSupPr>
            <m:ctrlPr>
              <w:rPr>
                <w:rFonts w:ascii="Cambria Math" w:hAnsi="Cambria Math"/>
                <w:color w:val="000000"/>
                <w:sz w:val="24"/>
                <w:szCs w:val="24"/>
              </w:rPr>
            </m:ctrlPr>
          </m:sSubSupPr>
          <m:e>
            <m:r>
              <m:rPr/>
              <w:rPr>
                <w:rFonts w:hint="eastAsia" w:ascii="Cambria Math" w:hAnsi="Cambria Math"/>
                <w:color w:val="000000"/>
                <w:sz w:val="24"/>
                <w:szCs w:val="24"/>
              </w:rPr>
              <m:t>τ</m:t>
            </m:r>
            <m:ctrlPr>
              <w:rPr>
                <w:rFonts w:ascii="Cambria Math" w:hAnsi="Cambria Math"/>
                <w:color w:val="000000"/>
                <w:sz w:val="24"/>
                <w:szCs w:val="24"/>
              </w:rPr>
            </m:ctrlPr>
          </m:e>
          <m:sub>
            <m:r>
              <m:rPr/>
              <w:rPr>
                <w:rFonts w:hint="eastAsia" w:ascii="Cambria Math" w:hAnsi="Cambria Math"/>
                <w:color w:val="000000"/>
                <w:sz w:val="24"/>
                <w:szCs w:val="24"/>
              </w:rPr>
              <m:t>t</m:t>
            </m:r>
            <m:ctrlPr>
              <w:rPr>
                <w:rFonts w:ascii="Cambria Math" w:hAnsi="Cambria Math"/>
                <w:color w:val="000000"/>
                <w:sz w:val="24"/>
                <w:szCs w:val="24"/>
              </w:rPr>
            </m:ctrlPr>
          </m:sub>
          <m:sup>
            <m:r>
              <m:rPr/>
              <w:rPr>
                <w:rFonts w:hint="eastAsia" w:ascii="Cambria Math" w:hAnsi="Cambria Math"/>
                <w:color w:val="000000"/>
                <w:sz w:val="24"/>
                <w:szCs w:val="24"/>
              </w:rPr>
              <m:t>2</m:t>
            </m:r>
            <m:ctrlPr>
              <w:rPr>
                <w:rFonts w:ascii="Cambria Math" w:hAnsi="Cambria Math"/>
                <w:color w:val="000000"/>
                <w:sz w:val="24"/>
                <w:szCs w:val="24"/>
              </w:rPr>
            </m:ctrlPr>
          </m:sup>
        </m:sSubSup>
      </m:oMath>
      <w:r>
        <w:rPr>
          <w:rFonts w:ascii="CMMI12" w:hAnsi="CMMI12"/>
          <w:i/>
          <w:iCs/>
          <w:color w:val="000000"/>
          <w:sz w:val="24"/>
          <w:szCs w:val="24"/>
        </w:rPr>
        <w:t>,</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oMath>
      <w:r>
        <w:rPr>
          <w:rFonts w:ascii="CMMI12" w:hAnsi="CMMI12"/>
          <w:i/>
          <w:iCs/>
          <w:color w:val="000000"/>
          <w:sz w:val="24"/>
          <w:szCs w:val="24"/>
        </w:rPr>
        <w:t>,</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1</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oMath>
      <w:r>
        <w:rPr>
          <w:rFonts w:ascii="CMR12" w:hAnsi="CMR12"/>
          <w:color w:val="000000"/>
          <w:sz w:val="24"/>
          <w:szCs w:val="24"/>
        </w:rPr>
        <w:t>)</w:t>
      </w:r>
      <w:r>
        <w:rPr>
          <w:rFonts w:ascii="Times New Roman" w:hAnsi="Times New Roman"/>
          <w:sz w:val="24"/>
          <w:szCs w:val="24"/>
        </w:rPr>
        <w:t>. Vague conjugate prior distributions are assumed for these parameters.</w:t>
      </w:r>
      <w:r>
        <w:t xml:space="preserve"> </w:t>
      </w:r>
      <w:r>
        <w:rPr>
          <w:rFonts w:ascii="Times New Roman" w:hAnsi="Times New Roman"/>
          <w:sz w:val="24"/>
          <w:szCs w:val="24"/>
        </w:rPr>
        <w:t xml:space="preserve">Additionally,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oMath>
      <w:r>
        <w:rPr>
          <w:rFonts w:hint="eastAsia" w:ascii="Times New Roman" w:hAnsi="Times New Roman"/>
          <w:color w:val="000000"/>
          <w:sz w:val="24"/>
          <w:szCs w:val="24"/>
        </w:rPr>
        <w:t xml:space="preserve"> </w:t>
      </w:r>
      <w:r>
        <w:rPr>
          <w:rFonts w:ascii="Times New Roman" w:hAnsi="Times New Roman"/>
          <w:sz w:val="24"/>
          <w:szCs w:val="24"/>
        </w:rPr>
        <w:t xml:space="preserve">and </w:t>
      </w:r>
      <m:oMath>
        <m:r>
          <m:rPr>
            <m:sty m:val="p"/>
          </m:rPr>
          <w:rPr>
            <w:rFonts w:ascii="Cambria Math" w:hAnsi="Cambria Math"/>
            <w:sz w:val="24"/>
            <w:szCs w:val="24"/>
          </w:rPr>
          <m:t>{</m:t>
        </m:r>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1</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oMath>
      <w:r>
        <w:rPr>
          <w:rFonts w:ascii="Times New Roman" w:hAnsi="Times New Roman"/>
          <w:sz w:val="24"/>
          <w:szCs w:val="24"/>
        </w:rPr>
        <w:t xml:space="preserve"> are assumed to be independent in time. Thus, conditional on </w:t>
      </w:r>
      <m:oMath>
        <m:r>
          <m:rPr>
            <m:sty m:val="p"/>
          </m:rP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m:rPr/>
                  <w:rPr>
                    <w:rFonts w:ascii="Cambria Math" w:hAnsi="Cambria Math"/>
                    <w:sz w:val="24"/>
                    <w:szCs w:val="24"/>
                  </w:rPr>
                  <m:t>X</m:t>
                </m:r>
                <m:ctrlPr>
                  <w:rPr>
                    <w:rFonts w:ascii="Cambria Math" w:hAnsi="Cambria Math"/>
                    <w:i/>
                    <w:sz w:val="24"/>
                    <w:szCs w:val="24"/>
                  </w:rPr>
                </m:ctrlPr>
              </m:e>
            </m:acc>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r>
              <m:rPr>
                <m:sty m:val="bi"/>
              </m:rPr>
              <w:rPr>
                <w:rFonts w:ascii="Cambria Math" w:hAnsi="Cambria Math"/>
                <w:sz w:val="24"/>
                <w:szCs w:val="24"/>
              </w:rPr>
              <m:t>s</m:t>
            </m:r>
            <m:ctrlPr>
              <w:rPr>
                <w:rFonts w:ascii="Cambria Math" w:hAnsi="Cambria Math"/>
                <w:i/>
                <w:sz w:val="24"/>
                <w:szCs w:val="24"/>
              </w:rPr>
            </m:ctrlPr>
          </m:e>
        </m:d>
        <m:r>
          <m:rPr/>
          <w:rPr>
            <w:rFonts w:ascii="Cambria Math" w:hAnsi="Cambria Math"/>
            <w:sz w:val="24"/>
            <w:szCs w:val="24"/>
          </w:rPr>
          <m:t>}</m:t>
        </m:r>
      </m:oMath>
      <w:r>
        <w:rPr>
          <w:rFonts w:ascii="Times New Roman" w:hAnsi="Times New Roman"/>
          <w:sz w:val="24"/>
          <w:szCs w:val="24"/>
        </w:rPr>
        <w:t>,</w:t>
      </w:r>
      <w:r>
        <w:rPr>
          <w:rFonts w:ascii="CMR12" w:hAnsi="CMR12"/>
          <w:color w:val="000000"/>
          <w:sz w:val="24"/>
          <w:szCs w:val="24"/>
        </w:rPr>
        <w:t xml:space="preserve"> (</w:t>
      </w:r>
      <m:oMath>
        <m:sSubSup>
          <m:sSubSupPr>
            <m:ctrlPr>
              <w:rPr>
                <w:rFonts w:ascii="Cambria Math" w:hAnsi="Cambria Math"/>
                <w:color w:val="000000"/>
                <w:sz w:val="24"/>
                <w:szCs w:val="24"/>
              </w:rPr>
            </m:ctrlPr>
          </m:sSubSupPr>
          <m:e>
            <m:r>
              <m:rPr/>
              <w:rPr>
                <w:rFonts w:hint="eastAsia" w:ascii="Cambria Math" w:hAnsi="Cambria Math"/>
                <w:color w:val="000000"/>
                <w:sz w:val="24"/>
                <w:szCs w:val="24"/>
              </w:rPr>
              <m:t>τ</m:t>
            </m:r>
            <m:ctrlPr>
              <w:rPr>
                <w:rFonts w:ascii="Cambria Math" w:hAnsi="Cambria Math"/>
                <w:color w:val="000000"/>
                <w:sz w:val="24"/>
                <w:szCs w:val="24"/>
              </w:rPr>
            </m:ctrlPr>
          </m:e>
          <m:sub>
            <m:r>
              <m:rPr/>
              <w:rPr>
                <w:rFonts w:hint="eastAsia" w:ascii="Cambria Math" w:hAnsi="Cambria Math"/>
                <w:color w:val="000000"/>
                <w:sz w:val="24"/>
                <w:szCs w:val="24"/>
              </w:rPr>
              <m:t>t</m:t>
            </m:r>
            <m:ctrlPr>
              <w:rPr>
                <w:rFonts w:ascii="Cambria Math" w:hAnsi="Cambria Math"/>
                <w:color w:val="000000"/>
                <w:sz w:val="24"/>
                <w:szCs w:val="24"/>
              </w:rPr>
            </m:ctrlPr>
          </m:sub>
          <m:sup>
            <m:r>
              <m:rPr/>
              <w:rPr>
                <w:rFonts w:hint="eastAsia" w:ascii="Cambria Math" w:hAnsi="Cambria Math"/>
                <w:color w:val="000000"/>
                <w:sz w:val="24"/>
                <w:szCs w:val="24"/>
              </w:rPr>
              <m:t>2</m:t>
            </m:r>
            <m:ctrlPr>
              <w:rPr>
                <w:rFonts w:ascii="Cambria Math" w:hAnsi="Cambria Math"/>
                <w:color w:val="000000"/>
                <w:sz w:val="24"/>
                <w:szCs w:val="24"/>
              </w:rPr>
            </m:ctrlPr>
          </m:sup>
        </m:sSubSup>
      </m:oMath>
      <w:r>
        <w:rPr>
          <w:rFonts w:ascii="CMMI12" w:hAnsi="CMMI12"/>
          <w:i/>
          <w:iCs/>
          <w:color w:val="000000"/>
          <w:sz w:val="24"/>
          <w:szCs w:val="24"/>
        </w:rPr>
        <w:t>,</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oMath>
      <w:r>
        <w:rPr>
          <w:rFonts w:ascii="CMMI12" w:hAnsi="CMMI12"/>
          <w:i/>
          <w:iCs/>
          <w:color w:val="000000"/>
          <w:sz w:val="24"/>
          <w:szCs w:val="24"/>
        </w:rPr>
        <w:t>,</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1</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oMath>
      <w:r>
        <w:rPr>
          <w:rFonts w:ascii="CMR12" w:hAnsi="CMR12"/>
          <w:color w:val="000000"/>
          <w:sz w:val="24"/>
          <w:szCs w:val="24"/>
        </w:rPr>
        <w:t xml:space="preserve">) can be sampled via composition by first sampling </w:t>
      </w:r>
      <m:oMath>
        <m:sSubSup>
          <m:sSubSupPr>
            <m:ctrlPr>
              <w:rPr>
                <w:rFonts w:ascii="Cambria Math" w:hAnsi="Cambria Math"/>
                <w:color w:val="000000"/>
                <w:sz w:val="24"/>
                <w:szCs w:val="24"/>
              </w:rPr>
            </m:ctrlPr>
          </m:sSubSupPr>
          <m:e>
            <m:r>
              <m:rPr/>
              <w:rPr>
                <w:rFonts w:hint="eastAsia" w:ascii="Cambria Math" w:hAnsi="Cambria Math"/>
                <w:color w:val="000000"/>
                <w:sz w:val="24"/>
                <w:szCs w:val="24"/>
              </w:rPr>
              <m:t>τ</m:t>
            </m:r>
            <m:ctrlPr>
              <w:rPr>
                <w:rFonts w:ascii="Cambria Math" w:hAnsi="Cambria Math"/>
                <w:color w:val="000000"/>
                <w:sz w:val="24"/>
                <w:szCs w:val="24"/>
              </w:rPr>
            </m:ctrlPr>
          </m:e>
          <m:sub>
            <m:r>
              <m:rPr/>
              <w:rPr>
                <w:rFonts w:hint="eastAsia" w:ascii="Cambria Math" w:hAnsi="Cambria Math"/>
                <w:color w:val="000000"/>
                <w:sz w:val="24"/>
                <w:szCs w:val="24"/>
              </w:rPr>
              <m:t>t</m:t>
            </m:r>
            <m:ctrlPr>
              <w:rPr>
                <w:rFonts w:ascii="Cambria Math" w:hAnsi="Cambria Math"/>
                <w:color w:val="000000"/>
                <w:sz w:val="24"/>
                <w:szCs w:val="24"/>
              </w:rPr>
            </m:ctrlPr>
          </m:sub>
          <m:sup>
            <m:r>
              <m:rPr/>
              <w:rPr>
                <w:rFonts w:hint="eastAsia" w:ascii="Cambria Math" w:hAnsi="Cambria Math"/>
                <w:color w:val="000000"/>
                <w:sz w:val="24"/>
                <w:szCs w:val="24"/>
              </w:rPr>
              <m:t>2</m:t>
            </m:r>
            <m:ctrlPr>
              <w:rPr>
                <w:rFonts w:ascii="Cambria Math" w:hAnsi="Cambria Math"/>
                <w:color w:val="000000"/>
                <w:sz w:val="24"/>
                <w:szCs w:val="24"/>
              </w:rPr>
            </m:ctrlPr>
          </m:sup>
        </m:sSubSup>
      </m:oMath>
      <w:r>
        <w:rPr>
          <w:rFonts w:ascii="CMR12" w:hAnsi="CMR12"/>
          <w:color w:val="000000"/>
          <w:sz w:val="24"/>
          <w:szCs w:val="24"/>
        </w:rPr>
        <w:t xml:space="preserve"> then sampling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m:sty m:val="p"/>
          </m:rPr>
          <w:rPr>
            <w:rFonts w:ascii="Cambria Math" w:hAnsi="Cambria Math"/>
            <w:color w:val="000000"/>
            <w:sz w:val="24"/>
            <w:szCs w:val="24"/>
          </w:rPr>
          <m:t xml:space="preserve">, </m:t>
        </m:r>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1</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oMath>
      <w:r>
        <w:rPr>
          <w:rFonts w:ascii="CMR12" w:hAnsi="CMR12"/>
          <w:color w:val="000000"/>
          <w:sz w:val="24"/>
          <w:szCs w:val="24"/>
        </w:rPr>
        <w:t xml:space="preserve"> conditional on the obtained value of </w:t>
      </w:r>
      <m:oMath>
        <m:sSubSup>
          <m:sSubSupPr>
            <m:ctrlPr>
              <w:rPr>
                <w:rFonts w:ascii="Cambria Math" w:hAnsi="Cambria Math"/>
                <w:color w:val="000000"/>
                <w:sz w:val="24"/>
                <w:szCs w:val="24"/>
              </w:rPr>
            </m:ctrlPr>
          </m:sSubSupPr>
          <m:e>
            <m:r>
              <m:rPr/>
              <w:rPr>
                <w:rFonts w:hint="eastAsia" w:ascii="Cambria Math" w:hAnsi="Cambria Math"/>
                <w:color w:val="000000"/>
                <w:sz w:val="24"/>
                <w:szCs w:val="24"/>
              </w:rPr>
              <m:t>τ</m:t>
            </m:r>
            <m:ctrlPr>
              <w:rPr>
                <w:rFonts w:ascii="Cambria Math" w:hAnsi="Cambria Math"/>
                <w:color w:val="000000"/>
                <w:sz w:val="24"/>
                <w:szCs w:val="24"/>
              </w:rPr>
            </m:ctrlPr>
          </m:e>
          <m:sub>
            <m:r>
              <m:rPr/>
              <w:rPr>
                <w:rFonts w:hint="eastAsia" w:ascii="Cambria Math" w:hAnsi="Cambria Math"/>
                <w:color w:val="000000"/>
                <w:sz w:val="24"/>
                <w:szCs w:val="24"/>
              </w:rPr>
              <m:t>t</m:t>
            </m:r>
            <m:ctrlPr>
              <w:rPr>
                <w:rFonts w:ascii="Cambria Math" w:hAnsi="Cambria Math"/>
                <w:color w:val="000000"/>
                <w:sz w:val="24"/>
                <w:szCs w:val="24"/>
              </w:rPr>
            </m:ctrlPr>
          </m:sub>
          <m:sup>
            <m:r>
              <m:rPr/>
              <w:rPr>
                <w:rFonts w:hint="eastAsia" w:ascii="Cambria Math" w:hAnsi="Cambria Math"/>
                <w:color w:val="000000"/>
                <w:sz w:val="24"/>
                <w:szCs w:val="24"/>
              </w:rPr>
              <m:t>2</m:t>
            </m:r>
            <m:ctrlPr>
              <w:rPr>
                <w:rFonts w:ascii="Cambria Math" w:hAnsi="Cambria Math"/>
                <w:color w:val="000000"/>
                <w:sz w:val="24"/>
                <w:szCs w:val="24"/>
              </w:rPr>
            </m:ctrlPr>
          </m:sup>
        </m:sSubSup>
      </m:oMath>
      <w:r>
        <w:rPr>
          <w:rFonts w:ascii="CMR12" w:hAnsi="CMR12"/>
          <w:color w:val="000000"/>
          <w:sz w:val="24"/>
          <w:szCs w:val="24"/>
        </w:rPr>
        <w:t>.</w:t>
      </w:r>
    </w:p>
    <w:p>
      <w:pPr>
        <w:pStyle w:val="31"/>
        <w:numPr>
          <w:ilvl w:val="0"/>
          <w:numId w:val="43"/>
        </w:numPr>
        <w:ind w:firstLineChars="0"/>
        <w:rPr>
          <w:rFonts w:ascii="Times New Roman" w:hAnsi="Times New Roman"/>
          <w:sz w:val="24"/>
          <w:szCs w:val="24"/>
        </w:rPr>
      </w:pP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r>
          <m:rPr>
            <m:sty m:val="bi"/>
          </m:rPr>
          <w:rPr>
            <w:rFonts w:hint="eastAsia" w:ascii="Cambria Math" w:hAnsi="Cambria Math"/>
            <w:color w:val="000000"/>
            <w:sz w:val="24"/>
            <w:szCs w:val="24"/>
          </w:rPr>
          <m:t>s</m:t>
        </m:r>
        <m:r>
          <m:rPr/>
          <w:rPr>
            <w:rFonts w:ascii="Cambria Math" w:hAnsi="Cambria Math"/>
            <w:color w:val="000000"/>
            <w:sz w:val="24"/>
            <w:szCs w:val="24"/>
          </w:rPr>
          <m:t>)}</m:t>
        </m:r>
      </m:oMath>
      <w:r>
        <w:rPr>
          <w:rFonts w:ascii="Times New Roman" w:hAnsi="Times New Roman"/>
          <w:sz w:val="24"/>
          <w:szCs w:val="24"/>
        </w:rPr>
        <w:t xml:space="preserve">. The prior distribution for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r>
          <m:rPr>
            <m:sty m:val="bi"/>
          </m:rPr>
          <w:rPr>
            <w:rFonts w:ascii="Cambria Math" w:hAnsi="Cambria Math"/>
            <w:color w:val="000000"/>
            <w:sz w:val="24"/>
            <w:szCs w:val="24"/>
          </w:rPr>
          <m:t>s</m:t>
        </m:r>
        <m:r>
          <m:rPr/>
          <w:rPr>
            <w:rFonts w:ascii="Cambria Math" w:hAnsi="Cambria Math"/>
            <w:color w:val="000000"/>
            <w:sz w:val="24"/>
            <w:szCs w:val="24"/>
          </w:rPr>
          <m:t>)</m:t>
        </m:r>
      </m:oMath>
      <w:r>
        <w:rPr>
          <w:rFonts w:ascii="Times New Roman" w:hAnsi="Times New Roman"/>
          <w:sz w:val="24"/>
          <w:szCs w:val="24"/>
        </w:rPr>
        <w:t xml:space="preserve">, as stated above, is a mean zero Gaussian process with exponential covariance function and decay parameter </w:t>
      </w:r>
      <m:oMath>
        <m:sSub>
          <m:sSubPr>
            <m:ctrlPr>
              <w:rPr>
                <w:rFonts w:ascii="Cambria Math" w:hAnsi="Cambria Math"/>
                <w:i/>
                <w:sz w:val="24"/>
                <w:szCs w:val="24"/>
                <w:vertAlign w:val="subscript"/>
              </w:rPr>
            </m:ctrlPr>
          </m:sSubPr>
          <m:e>
            <m:r>
              <m:rPr/>
              <w:rPr>
                <w:rFonts w:hint="eastAsia" w:ascii="Cambria Math" w:hAnsi="Cambria Math"/>
                <w:sz w:val="24"/>
                <w:szCs w:val="24"/>
                <w:vertAlign w:val="subscript"/>
              </w:rPr>
              <m:t>ϕ</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hint="eastAsia" w:ascii="Cambria Math" w:hAnsi="Cambria Math"/>
                    <w:sz w:val="24"/>
                    <w:szCs w:val="24"/>
                    <w:vertAlign w:val="subscript"/>
                  </w:rPr>
                  <m:t>β</m:t>
                </m:r>
                <m:ctrlPr>
                  <w:rPr>
                    <w:rFonts w:ascii="Cambria Math" w:hAnsi="Cambria Math"/>
                    <w:i/>
                    <w:sz w:val="24"/>
                    <w:szCs w:val="24"/>
                    <w:vertAlign w:val="subscript"/>
                  </w:rPr>
                </m:ctrlPr>
              </m:e>
              <m:sub>
                <m:r>
                  <m:rPr/>
                  <w:rPr>
                    <w:rFonts w:hint="eastAsia" w:ascii="Cambria Math" w:hAnsi="Cambria Math"/>
                    <w:sz w:val="24"/>
                    <w:szCs w:val="24"/>
                    <w:vertAlign w:val="subscript"/>
                  </w:rPr>
                  <m:t>0</m:t>
                </m:r>
                <m:ctrlPr>
                  <w:rPr>
                    <w:rFonts w:ascii="Cambria Math" w:hAnsi="Cambria Math"/>
                    <w:i/>
                    <w:sz w:val="24"/>
                    <w:szCs w:val="24"/>
                    <w:vertAlign w:val="subscript"/>
                  </w:rPr>
                </m:ctrlPr>
              </m:sub>
            </m:sSub>
            <m:r>
              <m:rPr/>
              <w:rPr>
                <w:rFonts w:ascii="Cambria Math" w:hAnsi="Cambria Math"/>
                <w:sz w:val="24"/>
                <w:szCs w:val="24"/>
                <w:vertAlign w:val="subscript"/>
              </w:rPr>
              <m:t>,t</m:t>
            </m:r>
            <m:ctrlPr>
              <w:rPr>
                <w:rFonts w:ascii="Cambria Math" w:hAnsi="Cambria Math"/>
                <w:i/>
                <w:sz w:val="24"/>
                <w:szCs w:val="24"/>
                <w:vertAlign w:val="subscript"/>
              </w:rPr>
            </m:ctrlPr>
          </m:sub>
        </m:sSub>
      </m:oMath>
      <w:r>
        <w:rPr>
          <w:rFonts w:ascii="Times New Roman" w:hAnsi="Times New Roman"/>
          <w:sz w:val="24"/>
          <w:szCs w:val="24"/>
        </w:rPr>
        <w:t>.</w:t>
      </w:r>
      <w:r>
        <w:t xml:space="preserve"> </w:t>
      </w:r>
      <w:r>
        <w:rPr>
          <w:rFonts w:ascii="Times New Roman" w:hAnsi="Times New Roman"/>
          <w:sz w:val="24"/>
          <w:szCs w:val="24"/>
        </w:rPr>
        <w:t xml:space="preserve">Conditional on all the parameters, the entire vector of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r>
          <m:rPr>
            <m:sty m:val="bi"/>
          </m:rPr>
          <w:rPr>
            <w:rFonts w:ascii="Cambria Math" w:hAnsi="Cambria Math"/>
            <w:color w:val="000000"/>
            <w:sz w:val="24"/>
            <w:szCs w:val="24"/>
          </w:rPr>
          <m:t>s</m:t>
        </m:r>
        <m:r>
          <m:rPr/>
          <w:rPr>
            <w:rFonts w:ascii="Cambria Math" w:hAnsi="Cambria Math"/>
            <w:color w:val="000000"/>
            <w:sz w:val="24"/>
            <w:szCs w:val="24"/>
          </w:rPr>
          <m:t>)}</m:t>
        </m:r>
      </m:oMath>
      <w:r>
        <w:rPr>
          <w:rFonts w:ascii="Times New Roman" w:hAnsi="Times New Roman"/>
          <w:sz w:val="24"/>
          <w:szCs w:val="24"/>
        </w:rPr>
        <w:t xml:space="preserve"> can be sampled from its Gaussian complete conditional distribution.</w:t>
      </w:r>
    </w:p>
    <w:p>
      <w:pPr>
        <w:pStyle w:val="31"/>
        <w:numPr>
          <w:ilvl w:val="0"/>
          <w:numId w:val="43"/>
        </w:numPr>
        <w:ind w:firstLineChars="0"/>
        <w:rPr>
          <w:rFonts w:ascii="Times New Roman" w:hAnsi="Times New Roman"/>
          <w:sz w:val="24"/>
          <w:szCs w:val="24"/>
        </w:rPr>
      </w:pPr>
      <m:oMath>
        <m:sSubSup>
          <m:sSubSupPr>
            <m:ctrlPr>
              <w:rPr>
                <w:rFonts w:ascii="Cambria Math" w:hAnsi="Cambria Math"/>
                <w:i/>
                <w:sz w:val="24"/>
                <w:szCs w:val="24"/>
                <w:vertAlign w:val="subscript"/>
              </w:rPr>
            </m:ctrlPr>
          </m:sSubSupPr>
          <m:e>
            <m:r>
              <m:rPr/>
              <w:rPr>
                <w:rFonts w:ascii="Cambria Math" w:hAnsi="Cambria Math"/>
                <w:sz w:val="24"/>
                <w:szCs w:val="24"/>
                <w:vertAlign w:val="subscript"/>
              </w:rPr>
              <m:t>σ</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ascii="Cambria Math" w:hAnsi="Cambria Math"/>
                    <w:sz w:val="24"/>
                    <w:szCs w:val="24"/>
                    <w:vertAlign w:val="subscript"/>
                  </w:rPr>
                  <m:t>β</m:t>
                </m:r>
                <m:ctrlPr>
                  <w:rPr>
                    <w:rFonts w:ascii="Cambria Math" w:hAnsi="Cambria Math"/>
                    <w:i/>
                    <w:sz w:val="24"/>
                    <w:szCs w:val="24"/>
                    <w:vertAlign w:val="subscript"/>
                  </w:rPr>
                </m:ctrlPr>
              </m:e>
              <m:sub>
                <m:r>
                  <m:rPr/>
                  <w:rPr>
                    <w:rFonts w:ascii="Cambria Math" w:hAnsi="Cambria Math"/>
                    <w:sz w:val="24"/>
                    <w:szCs w:val="24"/>
                    <w:vertAlign w:val="subscript"/>
                  </w:rPr>
                  <m:t>0</m:t>
                </m:r>
                <m:ctrlPr>
                  <w:rPr>
                    <w:rFonts w:ascii="Cambria Math" w:hAnsi="Cambria Math"/>
                    <w:i/>
                    <w:sz w:val="24"/>
                    <w:szCs w:val="24"/>
                    <w:vertAlign w:val="subscript"/>
                  </w:rPr>
                </m:ctrlPr>
              </m:sub>
            </m:sSub>
            <m:r>
              <m:rPr/>
              <w:rPr>
                <w:rFonts w:ascii="Cambria Math" w:hAnsi="Cambria Math"/>
                <w:sz w:val="24"/>
                <w:szCs w:val="24"/>
                <w:vertAlign w:val="subscript"/>
              </w:rPr>
              <m:t>,t</m:t>
            </m:r>
            <m:ctrlPr>
              <w:rPr>
                <w:rFonts w:ascii="Cambria Math" w:hAnsi="Cambria Math"/>
                <w:i/>
                <w:sz w:val="24"/>
                <w:szCs w:val="24"/>
                <w:vertAlign w:val="subscript"/>
              </w:rPr>
            </m:ctrlPr>
          </m:sub>
          <m:sup>
            <m:r>
              <m:rPr/>
              <w:rPr>
                <w:rFonts w:ascii="Cambria Math" w:hAnsi="Cambria Math"/>
                <w:sz w:val="24"/>
                <w:szCs w:val="24"/>
                <w:vertAlign w:val="subscript"/>
              </w:rPr>
              <m:t>2</m:t>
            </m:r>
            <m:ctrlPr>
              <w:rPr>
                <w:rFonts w:ascii="Cambria Math" w:hAnsi="Cambria Math"/>
                <w:i/>
                <w:sz w:val="24"/>
                <w:szCs w:val="24"/>
                <w:vertAlign w:val="subscript"/>
              </w:rPr>
            </m:ctrlPr>
          </m:sup>
        </m:sSubSup>
      </m:oMath>
      <w:r>
        <w:rPr>
          <w:rFonts w:hint="eastAsia" w:ascii="Times New Roman" w:hAnsi="Times New Roman"/>
          <w:sz w:val="24"/>
          <w:szCs w:val="24"/>
        </w:rPr>
        <w:t xml:space="preserve">. Using the conjugate inverse gamma distribution, </w:t>
      </w:r>
      <m:oMath>
        <m:sSubSup>
          <m:sSubSupPr>
            <m:ctrlPr>
              <w:rPr>
                <w:rFonts w:ascii="Cambria Math" w:hAnsi="Cambria Math"/>
                <w:i/>
                <w:sz w:val="24"/>
                <w:szCs w:val="24"/>
                <w:vertAlign w:val="subscript"/>
              </w:rPr>
            </m:ctrlPr>
          </m:sSubSupPr>
          <m:e>
            <m:r>
              <m:rPr/>
              <w:rPr>
                <w:rFonts w:ascii="Cambria Math" w:hAnsi="Cambria Math"/>
                <w:sz w:val="24"/>
                <w:szCs w:val="24"/>
                <w:vertAlign w:val="subscript"/>
              </w:rPr>
              <m:t>σ</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ascii="Cambria Math" w:hAnsi="Cambria Math"/>
                    <w:sz w:val="24"/>
                    <w:szCs w:val="24"/>
                    <w:vertAlign w:val="subscript"/>
                  </w:rPr>
                  <m:t>β</m:t>
                </m:r>
                <m:ctrlPr>
                  <w:rPr>
                    <w:rFonts w:ascii="Cambria Math" w:hAnsi="Cambria Math"/>
                    <w:i/>
                    <w:sz w:val="24"/>
                    <w:szCs w:val="24"/>
                    <w:vertAlign w:val="subscript"/>
                  </w:rPr>
                </m:ctrlPr>
              </m:e>
              <m:sub>
                <m:r>
                  <m:rPr/>
                  <w:rPr>
                    <w:rFonts w:ascii="Cambria Math" w:hAnsi="Cambria Math"/>
                    <w:sz w:val="24"/>
                    <w:szCs w:val="24"/>
                    <w:vertAlign w:val="subscript"/>
                  </w:rPr>
                  <m:t>0</m:t>
                </m:r>
                <m:ctrlPr>
                  <w:rPr>
                    <w:rFonts w:ascii="Cambria Math" w:hAnsi="Cambria Math"/>
                    <w:i/>
                    <w:sz w:val="24"/>
                    <w:szCs w:val="24"/>
                    <w:vertAlign w:val="subscript"/>
                  </w:rPr>
                </m:ctrlPr>
              </m:sub>
            </m:sSub>
            <m:r>
              <m:rPr/>
              <w:rPr>
                <w:rFonts w:ascii="Cambria Math" w:hAnsi="Cambria Math"/>
                <w:sz w:val="24"/>
                <w:szCs w:val="24"/>
                <w:vertAlign w:val="subscript"/>
              </w:rPr>
              <m:t>,t</m:t>
            </m:r>
            <m:ctrlPr>
              <w:rPr>
                <w:rFonts w:ascii="Cambria Math" w:hAnsi="Cambria Math"/>
                <w:i/>
                <w:sz w:val="24"/>
                <w:szCs w:val="24"/>
                <w:vertAlign w:val="subscript"/>
              </w:rPr>
            </m:ctrlPr>
          </m:sub>
          <m:sup>
            <m:r>
              <m:rPr/>
              <w:rPr>
                <w:rFonts w:ascii="Cambria Math" w:hAnsi="Cambria Math"/>
                <w:sz w:val="24"/>
                <w:szCs w:val="24"/>
                <w:vertAlign w:val="subscript"/>
              </w:rPr>
              <m:t>2</m:t>
            </m:r>
            <m:ctrlPr>
              <w:rPr>
                <w:rFonts w:ascii="Cambria Math" w:hAnsi="Cambria Math"/>
                <w:i/>
                <w:sz w:val="24"/>
                <w:szCs w:val="24"/>
                <w:vertAlign w:val="subscript"/>
              </w:rPr>
            </m:ctrlPr>
          </m:sup>
        </m:sSubSup>
      </m:oMath>
      <w:r>
        <w:rPr>
          <w:rFonts w:hint="eastAsia" w:ascii="Times New Roman" w:hAnsi="Times New Roman"/>
          <w:sz w:val="24"/>
          <w:szCs w:val="24"/>
        </w:rPr>
        <w:t xml:space="preserve"> can be drawn directly from its comp</w:t>
      </w:r>
      <w:r>
        <w:rPr>
          <w:rFonts w:ascii="Times New Roman" w:hAnsi="Times New Roman"/>
          <w:sz w:val="24"/>
          <w:szCs w:val="24"/>
        </w:rPr>
        <w:t>lete conditional distribution.</w:t>
      </w:r>
    </w:p>
    <w:p>
      <w:pPr>
        <w:pStyle w:val="31"/>
        <w:numPr>
          <w:ilvl w:val="0"/>
          <w:numId w:val="43"/>
        </w:numPr>
        <w:ind w:firstLineChars="0"/>
        <w:rPr>
          <w:rFonts w:ascii="Times New Roman" w:hAnsi="Times New Roman"/>
          <w:sz w:val="24"/>
          <w:szCs w:val="24"/>
        </w:rPr>
      </w:pPr>
      <m:oMath>
        <m:sSub>
          <m:sSubPr>
            <m:ctrlPr>
              <w:rPr>
                <w:rFonts w:ascii="Cambria Math" w:hAnsi="Cambria Math"/>
                <w:i/>
                <w:sz w:val="24"/>
                <w:szCs w:val="24"/>
                <w:vertAlign w:val="subscript"/>
              </w:rPr>
            </m:ctrlPr>
          </m:sSubPr>
          <m:e>
            <m:r>
              <m:rPr/>
              <w:rPr>
                <w:rFonts w:hint="eastAsia" w:ascii="Cambria Math" w:hAnsi="Cambria Math"/>
                <w:sz w:val="24"/>
                <w:szCs w:val="24"/>
                <w:vertAlign w:val="subscript"/>
              </w:rPr>
              <m:t>ϕ</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hint="eastAsia" w:ascii="Cambria Math" w:hAnsi="Cambria Math"/>
                    <w:sz w:val="24"/>
                    <w:szCs w:val="24"/>
                    <w:vertAlign w:val="subscript"/>
                  </w:rPr>
                  <m:t>β</m:t>
                </m:r>
                <m:ctrlPr>
                  <w:rPr>
                    <w:rFonts w:ascii="Cambria Math" w:hAnsi="Cambria Math"/>
                    <w:i/>
                    <w:sz w:val="24"/>
                    <w:szCs w:val="24"/>
                    <w:vertAlign w:val="subscript"/>
                  </w:rPr>
                </m:ctrlPr>
              </m:e>
              <m:sub>
                <m:r>
                  <m:rPr/>
                  <w:rPr>
                    <w:rFonts w:hint="eastAsia" w:ascii="Cambria Math" w:hAnsi="Cambria Math"/>
                    <w:sz w:val="24"/>
                    <w:szCs w:val="24"/>
                    <w:vertAlign w:val="subscript"/>
                  </w:rPr>
                  <m:t>0</m:t>
                </m:r>
                <m:ctrlPr>
                  <w:rPr>
                    <w:rFonts w:ascii="Cambria Math" w:hAnsi="Cambria Math"/>
                    <w:i/>
                    <w:sz w:val="24"/>
                    <w:szCs w:val="24"/>
                    <w:vertAlign w:val="subscript"/>
                  </w:rPr>
                </m:ctrlPr>
              </m:sub>
            </m:sSub>
            <m:r>
              <m:rPr/>
              <w:rPr>
                <w:rFonts w:hint="eastAsia" w:ascii="Cambria Math" w:hAnsi="Cambria Math"/>
                <w:sz w:val="24"/>
                <w:szCs w:val="24"/>
                <w:vertAlign w:val="subscript"/>
              </w:rPr>
              <m:t>,</m:t>
            </m:r>
            <m:r>
              <m:rPr/>
              <w:rPr>
                <w:rFonts w:ascii="Cambria Math" w:hAnsi="Cambria Math"/>
                <w:sz w:val="24"/>
                <w:szCs w:val="24"/>
                <w:vertAlign w:val="subscript"/>
              </w:rPr>
              <m:t>t</m:t>
            </m:r>
            <m:ctrlPr>
              <w:rPr>
                <w:rFonts w:ascii="Cambria Math" w:hAnsi="Cambria Math"/>
                <w:i/>
                <w:sz w:val="24"/>
                <w:szCs w:val="24"/>
                <w:vertAlign w:val="subscript"/>
              </w:rPr>
            </m:ctrlPr>
          </m:sub>
        </m:sSub>
      </m:oMath>
      <w:r>
        <w:rPr>
          <w:rFonts w:ascii="Times New Roman" w:hAnsi="Times New Roman"/>
          <w:sz w:val="24"/>
          <w:szCs w:val="24"/>
        </w:rPr>
        <w:t xml:space="preserve">. This parameter represents the rate of decay of the spatial correlation in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r>
          <m:rPr>
            <m:sty m:val="bi"/>
          </m:rPr>
          <w:rPr>
            <w:rFonts w:ascii="Cambria Math" w:hAnsi="Cambria Math"/>
            <w:color w:val="000000"/>
            <w:sz w:val="24"/>
            <w:szCs w:val="24"/>
          </w:rPr>
          <m:t>s</m:t>
        </m:r>
        <m:r>
          <m:rPr/>
          <w:rPr>
            <w:rFonts w:ascii="Cambria Math" w:hAnsi="Cambria Math"/>
            <w:color w:val="000000"/>
            <w:sz w:val="24"/>
            <w:szCs w:val="24"/>
          </w:rPr>
          <m:t>)}</m:t>
        </m:r>
      </m:oMath>
      <w:r>
        <w:rPr>
          <w:rFonts w:ascii="Times New Roman" w:hAnsi="Times New Roman"/>
          <w:sz w:val="24"/>
          <w:szCs w:val="24"/>
        </w:rPr>
        <w:t xml:space="preserve">. Specifically, as </w:t>
      </w:r>
      <m:oMath>
        <m:sSub>
          <m:sSubPr>
            <m:ctrlPr>
              <w:rPr>
                <w:rFonts w:ascii="Cambria Math" w:hAnsi="Cambria Math"/>
                <w:i/>
                <w:sz w:val="24"/>
                <w:szCs w:val="24"/>
                <w:vertAlign w:val="subscript"/>
              </w:rPr>
            </m:ctrlPr>
          </m:sSubPr>
          <m:e>
            <m:r>
              <m:rPr/>
              <w:rPr>
                <w:rFonts w:ascii="Cambria Math" w:hAnsi="Cambria Math"/>
                <w:sz w:val="24"/>
                <w:szCs w:val="24"/>
                <w:vertAlign w:val="subscript"/>
              </w:rPr>
              <m:t>ϕ</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ascii="Cambria Math" w:hAnsi="Cambria Math"/>
                    <w:sz w:val="24"/>
                    <w:szCs w:val="24"/>
                    <w:vertAlign w:val="subscript"/>
                  </w:rPr>
                  <m:t>β</m:t>
                </m:r>
                <m:ctrlPr>
                  <w:rPr>
                    <w:rFonts w:ascii="Cambria Math" w:hAnsi="Cambria Math"/>
                    <w:i/>
                    <w:sz w:val="24"/>
                    <w:szCs w:val="24"/>
                    <w:vertAlign w:val="subscript"/>
                  </w:rPr>
                </m:ctrlPr>
              </m:e>
              <m:sub>
                <m:r>
                  <m:rPr/>
                  <w:rPr>
                    <w:rFonts w:ascii="Cambria Math" w:hAnsi="Cambria Math"/>
                    <w:sz w:val="24"/>
                    <w:szCs w:val="24"/>
                    <w:vertAlign w:val="subscript"/>
                  </w:rPr>
                  <m:t>0</m:t>
                </m:r>
                <m:ctrlPr>
                  <w:rPr>
                    <w:rFonts w:ascii="Cambria Math" w:hAnsi="Cambria Math"/>
                    <w:i/>
                    <w:sz w:val="24"/>
                    <w:szCs w:val="24"/>
                    <w:vertAlign w:val="subscript"/>
                  </w:rPr>
                </m:ctrlPr>
              </m:sub>
            </m:sSub>
            <m:r>
              <m:rPr/>
              <w:rPr>
                <w:rFonts w:hint="eastAsia" w:ascii="Cambria Math" w:hAnsi="Cambria Math"/>
                <w:sz w:val="24"/>
                <w:szCs w:val="24"/>
                <w:vertAlign w:val="subscript"/>
              </w:rPr>
              <m:t>,</m:t>
            </m:r>
            <m:r>
              <m:rPr/>
              <w:rPr>
                <w:rFonts w:ascii="Cambria Math" w:hAnsi="Cambria Math"/>
                <w:sz w:val="24"/>
                <w:szCs w:val="24"/>
                <w:vertAlign w:val="subscript"/>
              </w:rPr>
              <m:t>t</m:t>
            </m:r>
            <m:ctrlPr>
              <w:rPr>
                <w:rFonts w:ascii="Cambria Math" w:hAnsi="Cambria Math"/>
                <w:i/>
                <w:sz w:val="24"/>
                <w:szCs w:val="24"/>
                <w:vertAlign w:val="subscript"/>
              </w:rPr>
            </m:ctrlPr>
          </m:sub>
        </m:sSub>
      </m:oMath>
      <w:r>
        <w:rPr>
          <w:rFonts w:ascii="Times New Roman" w:hAnsi="Times New Roman"/>
          <w:sz w:val="24"/>
          <w:szCs w:val="24"/>
        </w:rPr>
        <w:t xml:space="preserve"> increases, the spatial correlation of </w:t>
      </w:r>
      <m:oMath>
        <m:sSub>
          <m:sSubPr>
            <m:ctrlPr>
              <w:rPr>
                <w:rFonts w:ascii="Cambria Math" w:hAnsi="Cambria Math"/>
                <w:color w:val="000000"/>
                <w:sz w:val="24"/>
                <w:szCs w:val="24"/>
              </w:rPr>
            </m:ctrlPr>
          </m:sSubPr>
          <m:e>
            <m:r>
              <m:rPr/>
              <w:rPr>
                <w:rFonts w:ascii="Cambria Math" w:hAnsi="Cambria Math"/>
                <w:color w:val="000000"/>
                <w:sz w:val="24"/>
                <w:szCs w:val="24"/>
              </w:rPr>
              <m:t>{β</m:t>
            </m:r>
            <m:ctrlPr>
              <w:rPr>
                <w:rFonts w:ascii="Cambria Math" w:hAnsi="Cambria Math"/>
                <w:color w:val="000000"/>
                <w:sz w:val="24"/>
                <w:szCs w:val="24"/>
              </w:rPr>
            </m:ctrlPr>
          </m:e>
          <m:sub>
            <m:r>
              <m:rPr/>
              <w:rPr>
                <w:rFonts w:ascii="Cambria Math" w:hAnsi="Cambria Math"/>
                <w:color w:val="000000"/>
                <w:sz w:val="24"/>
                <w:szCs w:val="24"/>
              </w:rPr>
              <m:t>0</m:t>
            </m:r>
            <m:r>
              <m:rPr/>
              <w:rPr>
                <w:rFonts w:hint="eastAsia" w:ascii="Cambria Math" w:hAnsi="Cambria Math"/>
                <w:color w:val="000000"/>
                <w:sz w:val="24"/>
                <w:szCs w:val="24"/>
              </w:rPr>
              <m:t>,</m:t>
            </m:r>
            <m:r>
              <m:rPr/>
              <w:rPr>
                <w:rFonts w:ascii="Cambria Math" w:hAnsi="Cambria Math"/>
                <w:color w:val="000000"/>
                <w:sz w:val="24"/>
                <w:szCs w:val="24"/>
              </w:rPr>
              <m:t>t</m:t>
            </m:r>
            <m:ctrlPr>
              <w:rPr>
                <w:rFonts w:ascii="Cambria Math" w:hAnsi="Cambria Math"/>
                <w:color w:val="000000"/>
                <w:sz w:val="24"/>
                <w:szCs w:val="24"/>
              </w:rPr>
            </m:ctrlPr>
          </m:sub>
        </m:sSub>
        <m:r>
          <m:rPr/>
          <w:rPr>
            <w:rFonts w:ascii="Cambria Math" w:hAnsi="Cambria Math"/>
            <w:color w:val="000000"/>
            <w:sz w:val="24"/>
            <w:szCs w:val="24"/>
          </w:rPr>
          <m:t>(</m:t>
        </m:r>
        <m:r>
          <m:rPr>
            <m:sty m:val="bi"/>
          </m:rPr>
          <w:rPr>
            <w:rFonts w:ascii="Cambria Math" w:hAnsi="Cambria Math"/>
            <w:color w:val="000000"/>
            <w:sz w:val="24"/>
            <w:szCs w:val="24"/>
          </w:rPr>
          <m:t>s</m:t>
        </m:r>
        <m:r>
          <m:rPr/>
          <w:rPr>
            <w:rFonts w:ascii="Cambria Math" w:hAnsi="Cambria Math"/>
            <w:color w:val="000000"/>
            <w:sz w:val="24"/>
            <w:szCs w:val="24"/>
          </w:rPr>
          <m:t>)}</m:t>
        </m:r>
      </m:oMath>
      <w:r>
        <w:rPr>
          <w:rFonts w:hint="eastAsia" w:ascii="Times New Roman" w:hAnsi="Times New Roman"/>
          <w:color w:val="000000"/>
          <w:sz w:val="24"/>
          <w:szCs w:val="24"/>
        </w:rPr>
        <w:t xml:space="preserve"> </w:t>
      </w:r>
      <w:r>
        <w:rPr>
          <w:rFonts w:ascii="Times New Roman" w:hAnsi="Times New Roman"/>
          <w:sz w:val="24"/>
          <w:szCs w:val="24"/>
        </w:rPr>
        <w:t>decreases. Since decay parameters for the spatial process are particularly difficult to estimate</w:t>
      </w:r>
      <w:r>
        <w:rPr>
          <w:vertAlign w:val="superscript"/>
        </w:rPr>
        <w:fldChar w:fldCharType="begin"/>
      </w:r>
      <w:r>
        <w:rPr>
          <w:vertAlign w:val="superscript"/>
        </w:rPr>
        <w:instrText xml:space="preserve"> REF _Ref510550281 \r \h  \* MERGEFORMAT </w:instrText>
      </w:r>
      <w:r>
        <w:rPr>
          <w:vertAlign w:val="superscript"/>
        </w:rPr>
        <w:fldChar w:fldCharType="separate"/>
      </w:r>
      <w:r>
        <w:rPr>
          <w:vertAlign w:val="superscript"/>
        </w:rPr>
        <w:t>1</w:t>
      </w:r>
      <w:r>
        <w:rPr>
          <w:vertAlign w:val="superscript"/>
        </w:rPr>
        <w:fldChar w:fldCharType="end"/>
      </w:r>
      <w:r>
        <w:rPr>
          <w:rFonts w:ascii="Times New Roman" w:hAnsi="Times New Roman"/>
          <w:sz w:val="24"/>
          <w:szCs w:val="24"/>
        </w:rPr>
        <w:t xml:space="preserve">, a grid search for the spatial range with discrete prior which places mass at (10; 20;  ; 90) percent of the maximum observed distance between </w:t>
      </w:r>
      <m:oMath>
        <m:sSub>
          <m:sSubPr>
            <m:ctrlPr>
              <w:rPr>
                <w:rFonts w:ascii="Cambria Math" w:hAnsi="Cambria Math"/>
                <w:sz w:val="24"/>
                <w:szCs w:val="24"/>
              </w:rPr>
            </m:ctrlPr>
          </m:sSubPr>
          <m:e>
            <m:r>
              <m:rPr/>
              <w:rPr>
                <w:rFonts w:ascii="Cambria Math" w:hAnsi="Cambria Math"/>
                <w:sz w:val="24"/>
                <w:szCs w:val="24"/>
              </w:rPr>
              <m:t>Y</m:t>
            </m:r>
            <m:ctrlPr>
              <w:rPr>
                <w:rFonts w:ascii="Cambria Math" w:hAnsi="Cambria Math"/>
                <w:sz w:val="24"/>
                <w:szCs w:val="24"/>
              </w:rPr>
            </m:ctrlPr>
          </m:e>
          <m:sub>
            <m:r>
              <m:rPr/>
              <w:rPr>
                <w:rFonts w:ascii="Cambria Math" w:hAnsi="Cambria Math"/>
                <w:sz w:val="24"/>
                <w:szCs w:val="24"/>
              </w:rPr>
              <m:t>t</m:t>
            </m:r>
            <m:ctrlPr>
              <w:rPr>
                <w:rFonts w:ascii="Cambria Math" w:hAnsi="Cambria Math"/>
                <w:sz w:val="24"/>
                <w:szCs w:val="24"/>
              </w:rPr>
            </m:ctrlPr>
          </m:sub>
        </m:sSub>
        <m:d>
          <m:dPr>
            <m:ctrlPr>
              <w:rPr>
                <w:rFonts w:ascii="Cambria Math" w:hAnsi="Cambria Math"/>
                <w:i/>
                <w:sz w:val="24"/>
                <w:szCs w:val="24"/>
              </w:rPr>
            </m:ctrlPr>
          </m:dPr>
          <m:e>
            <m:r>
              <m:rPr>
                <m:sty m:val="bi"/>
              </m:rPr>
              <w:rPr>
                <w:rFonts w:ascii="Cambria Math" w:hAnsi="Cambria Math"/>
                <w:sz w:val="24"/>
                <w:szCs w:val="24"/>
              </w:rPr>
              <m:t>s</m:t>
            </m:r>
            <m:ctrlPr>
              <w:rPr>
                <w:rFonts w:ascii="Cambria Math" w:hAnsi="Cambria Math"/>
                <w:i/>
                <w:sz w:val="24"/>
                <w:szCs w:val="24"/>
              </w:rPr>
            </m:ctrlPr>
          </m:e>
        </m:d>
      </m:oMath>
      <w:r>
        <w:rPr>
          <w:rFonts w:ascii="Times New Roman" w:hAnsi="Times New Roman"/>
          <w:i/>
          <w:sz w:val="24"/>
          <w:szCs w:val="24"/>
        </w:rPr>
        <w:t xml:space="preserve"> </w:t>
      </w:r>
      <w:r>
        <w:rPr>
          <w:rFonts w:ascii="Times New Roman" w:hAnsi="Times New Roman"/>
          <w:sz w:val="24"/>
          <w:szCs w:val="24"/>
        </w:rPr>
        <w:t>and</w:t>
      </w:r>
      <w:r>
        <w:rPr>
          <w:rFonts w:ascii="Times New Roman" w:hAnsi="Times New Roman"/>
          <w:i/>
          <w:sz w:val="24"/>
          <w:szCs w:val="24"/>
        </w:rPr>
        <w:t xml:space="preserve"> </w:t>
      </w:r>
      <m:oMath>
        <m:sSub>
          <m:sSubPr>
            <m:ctrlPr>
              <w:rPr>
                <w:rFonts w:ascii="Cambria Math" w:hAnsi="Cambria Math"/>
                <w:sz w:val="24"/>
                <w:szCs w:val="24"/>
              </w:rPr>
            </m:ctrlPr>
          </m:sSubPr>
          <m:e>
            <m:r>
              <m:rPr/>
              <w:rPr>
                <w:rFonts w:hint="eastAsia" w:ascii="Cambria Math" w:hAnsi="Cambria Math"/>
                <w:sz w:val="24"/>
                <w:szCs w:val="24"/>
              </w:rPr>
              <m:t>Y</m:t>
            </m:r>
            <m:ctrlPr>
              <w:rPr>
                <w:rFonts w:ascii="Cambria Math" w:hAnsi="Cambria Math"/>
                <w:sz w:val="24"/>
                <w:szCs w:val="24"/>
              </w:rPr>
            </m:ctrlPr>
          </m:e>
          <m:sub>
            <m:r>
              <m:rPr/>
              <w:rPr>
                <w:rFonts w:hint="eastAsia" w:ascii="Cambria Math" w:hAnsi="Cambria Math"/>
                <w:sz w:val="24"/>
                <w:szCs w:val="24"/>
              </w:rPr>
              <m:t>t</m:t>
            </m:r>
            <m:ctrlPr>
              <w:rPr>
                <w:rFonts w:ascii="Cambria Math" w:hAnsi="Cambria Math"/>
                <w:sz w:val="24"/>
                <w:szCs w:val="24"/>
              </w:rPr>
            </m:ctrlPr>
          </m:sub>
        </m:sSub>
        <m:d>
          <m:dPr>
            <m:ctrlPr>
              <w:rPr>
                <w:rFonts w:ascii="Cambria Math" w:hAnsi="Cambria Math"/>
                <w:i/>
                <w:sz w:val="24"/>
                <w:szCs w:val="24"/>
              </w:rPr>
            </m:ctrlPr>
          </m:dPr>
          <m:e>
            <m:r>
              <m:rPr>
                <m:sty m:val="bi"/>
              </m:rPr>
              <w:rPr>
                <w:rFonts w:hint="eastAsia" w:ascii="Cambria Math" w:hAnsi="Cambria Math"/>
                <w:sz w:val="24"/>
                <w:szCs w:val="24"/>
              </w:rPr>
              <m:t>s</m:t>
            </m:r>
            <m:r>
              <m:rPr/>
              <w:rPr>
                <w:rFonts w:hint="eastAsia" w:ascii="Cambria Math" w:hAnsi="Cambria Math"/>
                <w:sz w:val="24"/>
                <w:szCs w:val="24"/>
              </w:rPr>
              <m:t>'</m:t>
            </m:r>
            <m:ctrlPr>
              <w:rPr>
                <w:rFonts w:ascii="Cambria Math" w:hAnsi="Cambria Math"/>
                <w:i/>
                <w:sz w:val="24"/>
                <w:szCs w:val="24"/>
              </w:rPr>
            </m:ctrlPr>
          </m:e>
        </m:d>
      </m:oMath>
      <w:r>
        <w:rPr>
          <w:rFonts w:ascii="Times New Roman" w:hAnsi="Times New Roman"/>
          <w:sz w:val="24"/>
          <w:szCs w:val="24"/>
        </w:rPr>
        <w:t xml:space="preserve"> is used. After performing the grid search, </w:t>
      </w:r>
      <m:oMath>
        <m:sSub>
          <m:sSubPr>
            <m:ctrlPr>
              <w:rPr>
                <w:rFonts w:ascii="Cambria Math" w:hAnsi="Cambria Math"/>
                <w:i/>
                <w:sz w:val="24"/>
                <w:szCs w:val="24"/>
                <w:vertAlign w:val="subscript"/>
              </w:rPr>
            </m:ctrlPr>
          </m:sSubPr>
          <m:e>
            <m:r>
              <m:rPr/>
              <w:rPr>
                <w:rFonts w:ascii="Cambria Math" w:hAnsi="Cambria Math"/>
                <w:sz w:val="24"/>
                <w:szCs w:val="24"/>
                <w:vertAlign w:val="subscript"/>
              </w:rPr>
              <m:t>ϕ</m:t>
            </m:r>
            <m:ctrlPr>
              <w:rPr>
                <w:rFonts w:ascii="Cambria Math" w:hAnsi="Cambria Math"/>
                <w:i/>
                <w:sz w:val="24"/>
                <w:szCs w:val="24"/>
                <w:vertAlign w:val="subscript"/>
              </w:rPr>
            </m:ctrlPr>
          </m:e>
          <m:sub>
            <m:sSub>
              <m:sSubPr>
                <m:ctrlPr>
                  <w:rPr>
                    <w:rFonts w:ascii="Cambria Math" w:hAnsi="Cambria Math"/>
                    <w:i/>
                    <w:sz w:val="24"/>
                    <w:szCs w:val="24"/>
                    <w:vertAlign w:val="subscript"/>
                  </w:rPr>
                </m:ctrlPr>
              </m:sSubPr>
              <m:e>
                <m:r>
                  <m:rPr/>
                  <w:rPr>
                    <w:rFonts w:ascii="Cambria Math" w:hAnsi="Cambria Math"/>
                    <w:sz w:val="24"/>
                    <w:szCs w:val="24"/>
                    <w:vertAlign w:val="subscript"/>
                  </w:rPr>
                  <m:t>β</m:t>
                </m:r>
                <m:ctrlPr>
                  <w:rPr>
                    <w:rFonts w:ascii="Cambria Math" w:hAnsi="Cambria Math"/>
                    <w:i/>
                    <w:sz w:val="24"/>
                    <w:szCs w:val="24"/>
                    <w:vertAlign w:val="subscript"/>
                  </w:rPr>
                </m:ctrlPr>
              </m:e>
              <m:sub>
                <m:r>
                  <m:rPr/>
                  <w:rPr>
                    <w:rFonts w:ascii="Cambria Math" w:hAnsi="Cambria Math"/>
                    <w:sz w:val="24"/>
                    <w:szCs w:val="24"/>
                    <w:vertAlign w:val="subscript"/>
                  </w:rPr>
                  <m:t>0</m:t>
                </m:r>
                <m:ctrlPr>
                  <w:rPr>
                    <w:rFonts w:ascii="Cambria Math" w:hAnsi="Cambria Math"/>
                    <w:i/>
                    <w:sz w:val="24"/>
                    <w:szCs w:val="24"/>
                    <w:vertAlign w:val="subscript"/>
                  </w:rPr>
                </m:ctrlPr>
              </m:sub>
            </m:sSub>
            <m:r>
              <m:rPr/>
              <w:rPr>
                <w:rFonts w:hint="eastAsia" w:ascii="Cambria Math" w:hAnsi="Cambria Math"/>
                <w:sz w:val="24"/>
                <w:szCs w:val="24"/>
                <w:vertAlign w:val="subscript"/>
              </w:rPr>
              <m:t>,</m:t>
            </m:r>
            <m:r>
              <m:rPr/>
              <w:rPr>
                <w:rFonts w:ascii="Cambria Math" w:hAnsi="Cambria Math"/>
                <w:sz w:val="24"/>
                <w:szCs w:val="24"/>
                <w:vertAlign w:val="subscript"/>
              </w:rPr>
              <m:t>t</m:t>
            </m:r>
            <m:ctrlPr>
              <w:rPr>
                <w:rFonts w:ascii="Cambria Math" w:hAnsi="Cambria Math"/>
                <w:i/>
                <w:sz w:val="24"/>
                <w:szCs w:val="24"/>
                <w:vertAlign w:val="subscript"/>
              </w:rPr>
            </m:ctrlPr>
          </m:sub>
        </m:sSub>
      </m:oMath>
      <w:r>
        <w:rPr>
          <w:rFonts w:hint="eastAsia" w:ascii="Times New Roman" w:hAnsi="Times New Roman"/>
          <w:sz w:val="24"/>
          <w:szCs w:val="24"/>
          <w:vertAlign w:val="subscript"/>
        </w:rPr>
        <w:t xml:space="preserve"> </w:t>
      </w:r>
      <w:r>
        <w:rPr>
          <w:rFonts w:ascii="Times New Roman" w:hAnsi="Times New Roman"/>
          <w:sz w:val="24"/>
          <w:szCs w:val="24"/>
        </w:rPr>
        <w:t>is fixed at the most likely value (from the grid search) for the remainder of the MCMC algorithm.</w:t>
      </w:r>
    </w:p>
    <w:p>
      <w:pPr>
        <w:pStyle w:val="31"/>
        <w:numPr>
          <w:ilvl w:val="0"/>
          <w:numId w:val="43"/>
        </w:numPr>
        <w:ind w:firstLineChars="0"/>
        <w:rPr>
          <w:rFonts w:ascii="Times New Roman" w:hAnsi="Times New Roman"/>
          <w:sz w:val="24"/>
          <w:szCs w:val="24"/>
        </w:rPr>
      </w:pPr>
      <m:oMath>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ϕ</m:t>
            </m:r>
            <m:ctrlPr>
              <w:rPr>
                <w:rFonts w:ascii="Cambria Math" w:hAnsi="Cambria Math"/>
                <w:i/>
                <w:sz w:val="24"/>
                <w:szCs w:val="24"/>
              </w:rPr>
            </m:ctrlPr>
          </m:e>
          <m:sub>
            <m:r>
              <m:rPr/>
              <w:rPr>
                <w:rFonts w:hint="eastAsia" w:ascii="Cambria Math" w:hAnsi="Cambria Math"/>
                <w:sz w:val="24"/>
                <w:szCs w:val="24"/>
              </w:rPr>
              <m:t>ω</m:t>
            </m:r>
            <m:ctrlPr>
              <w:rPr>
                <w:rFonts w:ascii="Cambria Math" w:hAnsi="Cambria Math"/>
                <w:i/>
                <w:sz w:val="24"/>
                <w:szCs w:val="24"/>
              </w:rPr>
            </m:ctrlPr>
          </m:sub>
        </m:sSub>
        <m:r>
          <m:rPr/>
          <w:rPr>
            <w:rFonts w:hint="eastAsia" w:ascii="Cambria Math" w:hAnsi="Cambria Math"/>
            <w:sz w:val="24"/>
            <w:szCs w:val="24"/>
          </w:rPr>
          <m:t>,</m:t>
        </m:r>
        <m:sSub>
          <m:sSubPr>
            <m:ctrlPr>
              <w:rPr>
                <w:rFonts w:ascii="Cambria Math" w:hAnsi="Cambria Math"/>
                <w:i/>
                <w:sz w:val="24"/>
                <w:szCs w:val="24"/>
                <w:vertAlign w:val="subscript"/>
              </w:rPr>
            </m:ctrlPr>
          </m:sSubPr>
          <m:e>
            <m:r>
              <m:rPr/>
              <w:rPr>
                <w:rFonts w:hint="eastAsia" w:ascii="Cambria Math" w:hAnsi="Cambria Math"/>
                <w:sz w:val="24"/>
                <w:szCs w:val="24"/>
                <w:vertAlign w:val="subscript"/>
              </w:rPr>
              <m:t>ϕ</m:t>
            </m:r>
            <m:ctrlPr>
              <w:rPr>
                <w:rFonts w:ascii="Cambria Math" w:hAnsi="Cambria Math"/>
                <w:i/>
                <w:sz w:val="24"/>
                <w:szCs w:val="24"/>
                <w:vertAlign w:val="subscript"/>
              </w:rPr>
            </m:ctrlPr>
          </m:e>
          <m:sub>
            <m:r>
              <m:rPr/>
              <w:rPr>
                <w:rFonts w:hint="eastAsia" w:ascii="Cambria Math" w:hAnsi="Cambria Math"/>
                <w:sz w:val="24"/>
                <w:szCs w:val="24"/>
                <w:vertAlign w:val="subscript"/>
              </w:rPr>
              <m:t>Q</m:t>
            </m:r>
            <m:ctrlPr>
              <w:rPr>
                <w:rFonts w:ascii="Cambria Math" w:hAnsi="Cambria Math"/>
                <w:i/>
                <w:sz w:val="24"/>
                <w:szCs w:val="24"/>
                <w:vertAlign w:val="subscript"/>
              </w:rPr>
            </m:ctrlPr>
          </m:sub>
        </m:sSub>
        <m:r>
          <m:rPr/>
          <w:rPr>
            <w:rFonts w:hint="eastAsia" w:ascii="Cambria Math" w:hAnsi="Cambria Math"/>
            <w:sz w:val="24"/>
            <w:szCs w:val="24"/>
            <w:vertAlign w:val="subscript"/>
          </w:rPr>
          <m:t>)</m:t>
        </m:r>
      </m:oMath>
      <w:r>
        <w:rPr>
          <w:rFonts w:ascii="Times New Roman" w:hAnsi="Times New Roman"/>
          <w:sz w:val="24"/>
          <w:szCs w:val="24"/>
        </w:rPr>
        <w:t xml:space="preserve">. These parameters represent the decay parameters for the weights </w:t>
      </w:r>
      <m:oMath>
        <m:sSub>
          <m:sSubPr>
            <m:ctrlPr>
              <w:rPr>
                <w:rFonts w:ascii="Cambria Math" w:hAnsi="Cambria Math"/>
                <w:i/>
                <w:sz w:val="24"/>
                <w:szCs w:val="24"/>
              </w:rPr>
            </m:ctrlPr>
          </m:sSubPr>
          <m:e>
            <m:r>
              <m:rPr/>
              <w:rPr>
                <w:rFonts w:hint="eastAsia" w:ascii="Cambria Math" w:hAnsi="Cambria Math"/>
                <w:sz w:val="24"/>
                <w:szCs w:val="24"/>
              </w:rPr>
              <m:t>ω</m:t>
            </m:r>
            <m:ctrlPr>
              <w:rPr>
                <w:rFonts w:ascii="Cambria Math" w:hAnsi="Cambria Math"/>
                <w:i/>
                <w:sz w:val="24"/>
                <w:szCs w:val="24"/>
              </w:rPr>
            </m:ctrlPr>
          </m:e>
          <m:sub>
            <m:r>
              <m:rPr/>
              <w:rPr>
                <w:rFonts w:hint="eastAsia" w:ascii="Cambria Math" w:hAnsi="Cambria Math"/>
                <w:sz w:val="24"/>
                <w:szCs w:val="24"/>
              </w:rPr>
              <m:t>k,t</m:t>
            </m:r>
            <m:ctrlPr>
              <w:rPr>
                <w:rFonts w:ascii="Cambria Math" w:hAnsi="Cambria Math"/>
                <w:i/>
                <w:sz w:val="24"/>
                <w:szCs w:val="24"/>
              </w:rPr>
            </m:ctrlPr>
          </m:sub>
        </m:sSub>
        <m:d>
          <m:dPr>
            <m:ctrlPr>
              <w:rPr>
                <w:rFonts w:ascii="Cambria Math" w:hAnsi="Cambria Math"/>
                <w:i/>
                <w:sz w:val="24"/>
                <w:szCs w:val="24"/>
              </w:rPr>
            </m:ctrlPr>
          </m:dPr>
          <m:e>
            <m:r>
              <m:rPr>
                <m:sty m:val="bi"/>
              </m:rPr>
              <w:rPr>
                <w:rFonts w:hint="eastAsia" w:ascii="Cambria Math" w:hAnsi="Cambria Math"/>
                <w:sz w:val="24"/>
                <w:szCs w:val="24"/>
              </w:rPr>
              <m:t>s</m:t>
            </m:r>
            <m:ctrlPr>
              <w:rPr>
                <w:rFonts w:ascii="Cambria Math" w:hAnsi="Cambria Math"/>
                <w:i/>
                <w:sz w:val="24"/>
                <w:szCs w:val="24"/>
              </w:rPr>
            </m:ctrlPr>
          </m:e>
        </m:d>
      </m:oMath>
      <w:r>
        <w:rPr>
          <w:rFonts w:ascii="Times New Roman" w:hAnsi="Times New Roman"/>
          <w:sz w:val="24"/>
          <w:szCs w:val="24"/>
        </w:rPr>
        <w:t xml:space="preserve"> used to weight various neighboring numerical model grid cell observations. As very little information about these parameters is available</w:t>
      </w:r>
      <w:r>
        <w:rPr>
          <w:vertAlign w:val="superscript"/>
        </w:rPr>
        <w:fldChar w:fldCharType="begin"/>
      </w:r>
      <w:r>
        <w:rPr>
          <w:vertAlign w:val="superscript"/>
        </w:rPr>
        <w:instrText xml:space="preserve"> REF _Ref510550300 \r \h  \* MERGEFORMAT </w:instrText>
      </w:r>
      <w:r>
        <w:rPr>
          <w:vertAlign w:val="superscript"/>
        </w:rPr>
        <w:fldChar w:fldCharType="separate"/>
      </w:r>
      <w:r>
        <w:rPr>
          <w:vertAlign w:val="superscript"/>
        </w:rPr>
        <w:t>2</w:t>
      </w:r>
      <w:r>
        <w:rPr>
          <w:vertAlign w:val="superscript"/>
        </w:rPr>
        <w:fldChar w:fldCharType="end"/>
      </w:r>
      <w:r>
        <w:rPr>
          <w:rFonts w:ascii="Times New Roman" w:hAnsi="Times New Roman"/>
          <w:sz w:val="24"/>
          <w:szCs w:val="24"/>
          <w:vertAlign w:val="superscript"/>
        </w:rPr>
        <w:t xml:space="preserve"> </w:t>
      </w:r>
      <w:r>
        <w:rPr>
          <w:rFonts w:ascii="Times New Roman" w:hAnsi="Times New Roman"/>
          <w:sz w:val="24"/>
          <w:szCs w:val="24"/>
          <w:vertAlign w:val="subscript"/>
        </w:rPr>
        <w:t>,</w:t>
      </w:r>
      <m:oMath>
        <m:r>
          <m:rPr/>
          <w:rPr>
            <w:rFonts w:ascii="Cambria Math" w:hAnsi="Cambria Math"/>
            <w:sz w:val="24"/>
            <w:szCs w:val="24"/>
          </w:rPr>
          <m:t xml:space="preserve"> </m:t>
        </m:r>
        <m:sSub>
          <m:sSubPr>
            <m:ctrlPr>
              <w:rPr>
                <w:rFonts w:ascii="Cambria Math" w:hAnsi="Cambria Math"/>
                <w:i/>
                <w:sz w:val="24"/>
                <w:szCs w:val="24"/>
              </w:rPr>
            </m:ctrlPr>
          </m:sSubPr>
          <m:e>
            <m:r>
              <m:rPr/>
              <w:rPr>
                <w:rFonts w:ascii="Cambria Math" w:hAnsi="Cambria Math"/>
                <w:sz w:val="24"/>
                <w:szCs w:val="24"/>
              </w:rPr>
              <m:t>ϕ</m:t>
            </m:r>
            <m:ctrlPr>
              <w:rPr>
                <w:rFonts w:ascii="Cambria Math" w:hAnsi="Cambria Math"/>
                <w:i/>
                <w:sz w:val="24"/>
                <w:szCs w:val="24"/>
              </w:rPr>
            </m:ctrlPr>
          </m:e>
          <m:sub>
            <m:r>
              <m:rPr/>
              <w:rPr>
                <w:rFonts w:ascii="Cambria Math" w:hAnsi="Cambria Math"/>
                <w:sz w:val="24"/>
                <w:szCs w:val="24"/>
              </w:rPr>
              <m:t>ω</m:t>
            </m:r>
            <m:ctrlPr>
              <w:rPr>
                <w:rFonts w:ascii="Cambria Math" w:hAnsi="Cambria Math"/>
                <w:i/>
                <w:sz w:val="24"/>
                <w:szCs w:val="24"/>
              </w:rPr>
            </m:ctrlPr>
          </m:sub>
        </m:sSub>
      </m:oMath>
      <w:r>
        <w:rPr>
          <w:rFonts w:hint="eastAsia" w:ascii="Times New Roman" w:hAnsi="Times New Roman"/>
          <w:sz w:val="24"/>
          <w:szCs w:val="24"/>
        </w:rPr>
        <w:t xml:space="preserve"> and </w:t>
      </w:r>
      <m:oMath>
        <m:sSub>
          <m:sSubPr>
            <m:ctrlPr>
              <w:rPr>
                <w:rFonts w:ascii="Cambria Math" w:hAnsi="Cambria Math"/>
                <w:i/>
                <w:sz w:val="24"/>
                <w:szCs w:val="24"/>
                <w:vertAlign w:val="subscript"/>
              </w:rPr>
            </m:ctrlPr>
          </m:sSubPr>
          <m:e>
            <m:r>
              <m:rPr/>
              <w:rPr>
                <w:rFonts w:ascii="Cambria Math" w:hAnsi="Cambria Math"/>
                <w:sz w:val="24"/>
                <w:szCs w:val="24"/>
                <w:vertAlign w:val="subscript"/>
              </w:rPr>
              <m:t>ϕ</m:t>
            </m:r>
            <m:ctrlPr>
              <w:rPr>
                <w:rFonts w:ascii="Cambria Math" w:hAnsi="Cambria Math"/>
                <w:i/>
                <w:sz w:val="24"/>
                <w:szCs w:val="24"/>
                <w:vertAlign w:val="subscript"/>
              </w:rPr>
            </m:ctrlPr>
          </m:e>
          <m:sub>
            <m:r>
              <m:rPr/>
              <w:rPr>
                <w:rFonts w:ascii="Cambria Math" w:hAnsi="Cambria Math"/>
                <w:sz w:val="24"/>
                <w:szCs w:val="24"/>
                <w:vertAlign w:val="subscript"/>
              </w:rPr>
              <m:t>Q</m:t>
            </m:r>
            <m:ctrlPr>
              <w:rPr>
                <w:rFonts w:ascii="Cambria Math" w:hAnsi="Cambria Math"/>
                <w:i/>
                <w:sz w:val="24"/>
                <w:szCs w:val="24"/>
                <w:vertAlign w:val="subscript"/>
              </w:rPr>
            </m:ctrlPr>
          </m:sub>
        </m:sSub>
      </m:oMath>
      <w:r>
        <w:rPr>
          <w:rFonts w:hint="eastAsia" w:ascii="Times New Roman" w:hAnsi="Times New Roman"/>
          <w:sz w:val="24"/>
          <w:szCs w:val="24"/>
        </w:rPr>
        <w:t xml:space="preserve"> are fixed such that the weights (</w:t>
      </w:r>
      <w:r>
        <w:rPr>
          <w:rFonts w:ascii="Times New Roman" w:hAnsi="Times New Roman"/>
          <w:sz w:val="24"/>
          <w:szCs w:val="24"/>
        </w:rPr>
        <w:t>correlation</w:t>
      </w:r>
      <w:r>
        <w:rPr>
          <w:rFonts w:hint="eastAsia" w:ascii="Times New Roman" w:hAnsi="Times New Roman"/>
          <w:sz w:val="24"/>
          <w:szCs w:val="24"/>
        </w:rPr>
        <w:t>)</w:t>
      </w:r>
      <w:r>
        <w:rPr>
          <w:rFonts w:ascii="Times New Roman" w:hAnsi="Times New Roman"/>
          <w:sz w:val="24"/>
          <w:szCs w:val="24"/>
        </w:rPr>
        <w:t xml:space="preserve"> are essentially zero beyond a distance of three grid cells.</w:t>
      </w:r>
    </w:p>
    <w:p>
      <w:pPr>
        <w:pStyle w:val="31"/>
        <w:numPr>
          <w:ilvl w:val="0"/>
          <w:numId w:val="43"/>
        </w:numPr>
        <w:ind w:firstLineChars="0"/>
        <w:rPr>
          <w:rFonts w:ascii="Times New Roman" w:hAnsi="Times New Roman"/>
          <w:sz w:val="24"/>
          <w:szCs w:val="24"/>
        </w:rPr>
      </w:pPr>
      <m:oMath>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Q</m:t>
            </m:r>
            <m:ctrlPr>
              <w:rPr>
                <w:rFonts w:ascii="Cambria Math" w:hAnsi="Cambria Math"/>
                <w:i/>
                <w:sz w:val="24"/>
                <w:szCs w:val="24"/>
              </w:rPr>
            </m:ctrlPr>
          </m:e>
          <m:sub>
            <m:r>
              <m:rPr/>
              <w:rPr>
                <w:rFonts w:hint="eastAsia"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hint="eastAsia" w:ascii="Cambria Math" w:hAnsi="Cambria Math"/>
                    <w:sz w:val="24"/>
                    <w:szCs w:val="24"/>
                  </w:rPr>
                  <m:t>c</m:t>
                </m:r>
                <m:ctrlPr>
                  <w:rPr>
                    <w:rFonts w:ascii="Cambria Math" w:hAnsi="Cambria Math"/>
                    <w:b/>
                    <w:i/>
                    <w:sz w:val="24"/>
                    <w:szCs w:val="24"/>
                  </w:rPr>
                </m:ctrlPr>
              </m:e>
              <m:sub>
                <m:r>
                  <m:rPr/>
                  <w:rPr>
                    <w:rFonts w:hint="eastAsia"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r>
          <m:rPr/>
          <w:rPr>
            <w:rFonts w:hint="eastAsia" w:ascii="Cambria Math" w:hAnsi="Cambria Math"/>
            <w:sz w:val="24"/>
            <w:szCs w:val="24"/>
          </w:rPr>
          <m:t>}</m:t>
        </m:r>
      </m:oMath>
      <w:r>
        <w:rPr>
          <w:rFonts w:ascii="Times New Roman" w:hAnsi="Times New Roman"/>
          <w:sz w:val="24"/>
          <w:szCs w:val="24"/>
        </w:rPr>
        <w:t xml:space="preserve">. Each </w:t>
      </w:r>
      <m:oMath>
        <m:sSub>
          <m:sSubPr>
            <m:ctrlPr>
              <w:rPr>
                <w:rFonts w:ascii="Cambria Math" w:hAnsi="Cambria Math"/>
                <w:i/>
                <w:sz w:val="24"/>
                <w:szCs w:val="24"/>
              </w:rPr>
            </m:ctrlPr>
          </m:sSubPr>
          <m:e>
            <m:r>
              <m:rPr/>
              <w:rPr>
                <w:rFonts w:hint="eastAsia" w:ascii="Cambria Math" w:hAnsi="Cambria Math"/>
                <w:sz w:val="24"/>
                <w:szCs w:val="24"/>
              </w:rPr>
              <m:t>Q</m:t>
            </m:r>
            <m:ctrlPr>
              <w:rPr>
                <w:rFonts w:ascii="Cambria Math" w:hAnsi="Cambria Math"/>
                <w:i/>
                <w:sz w:val="24"/>
                <w:szCs w:val="24"/>
              </w:rPr>
            </m:ctrlPr>
          </m:e>
          <m:sub>
            <m:r>
              <m:rPr/>
              <w:rPr>
                <w:rFonts w:hint="eastAsia"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hint="eastAsia" w:ascii="Cambria Math" w:hAnsi="Cambria Math"/>
                    <w:sz w:val="24"/>
                    <w:szCs w:val="24"/>
                  </w:rPr>
                  <m:t>c</m:t>
                </m:r>
                <m:ctrlPr>
                  <w:rPr>
                    <w:rFonts w:ascii="Cambria Math" w:hAnsi="Cambria Math"/>
                    <w:b/>
                    <w:i/>
                    <w:sz w:val="24"/>
                    <w:szCs w:val="24"/>
                  </w:rPr>
                </m:ctrlPr>
              </m:e>
              <m:sub>
                <m:r>
                  <m:rPr/>
                  <w:rPr>
                    <w:rFonts w:hint="eastAsia"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oMath>
      <w:r>
        <w:rPr>
          <w:rFonts w:ascii="Times New Roman" w:hAnsi="Times New Roman"/>
          <w:sz w:val="24"/>
          <w:szCs w:val="24"/>
        </w:rPr>
        <w:t xml:space="preserve"> defines a multiplicative increase in the weight assigned to the numerical model value </w:t>
      </w:r>
      <m:oMath>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B</m:t>
            </m:r>
            <m:ctrlPr>
              <w:rPr>
                <w:rFonts w:ascii="Cambria Math" w:hAnsi="Cambria Math"/>
                <w:i/>
                <w:sz w:val="24"/>
                <w:szCs w:val="24"/>
              </w:rPr>
            </m:ctrlPr>
          </m:e>
          <m:sub>
            <m:r>
              <m:rPr/>
              <w:rPr>
                <w:rFonts w:ascii="Cambria Math" w:hAnsi="Cambria Math"/>
                <w:sz w:val="24"/>
                <w:szCs w:val="24"/>
              </w:rPr>
              <m:t>k</m:t>
            </m:r>
            <m:ctrlPr>
              <w:rPr>
                <w:rFonts w:ascii="Cambria Math" w:hAnsi="Cambria Math"/>
                <w:i/>
                <w:sz w:val="24"/>
                <w:szCs w:val="24"/>
              </w:rPr>
            </m:ctrlPr>
          </m:sub>
        </m:sSub>
        <m:r>
          <m:rPr/>
          <w:rPr>
            <w:rFonts w:ascii="Cambria Math" w:hAnsi="Cambria Math"/>
            <w:sz w:val="24"/>
            <w:szCs w:val="24"/>
          </w:rPr>
          <m:t>)</m:t>
        </m:r>
      </m:oMath>
      <w:r>
        <w:rPr>
          <w:rFonts w:hint="eastAsia" w:ascii="Times New Roman" w:hAnsi="Times New Roman"/>
          <w:sz w:val="24"/>
          <w:szCs w:val="24"/>
        </w:rPr>
        <w:t xml:space="preserve">. </w:t>
      </w:r>
      <w:r>
        <w:rPr>
          <w:rFonts w:ascii="Times New Roman" w:hAnsi="Times New Roman"/>
          <w:sz w:val="24"/>
          <w:szCs w:val="24"/>
        </w:rPr>
        <w:t xml:space="preserve">Intuitively, if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is large then </w:t>
      </w:r>
      <m:oMath>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B</m:t>
            </m:r>
            <m:ctrlPr>
              <w:rPr>
                <w:rFonts w:ascii="Cambria Math" w:hAnsi="Cambria Math"/>
                <w:i/>
                <w:sz w:val="24"/>
                <w:szCs w:val="24"/>
              </w:rPr>
            </m:ctrlPr>
          </m:e>
          <m:sub>
            <m:r>
              <m:rPr/>
              <w:rPr>
                <w:rFonts w:ascii="Cambria Math" w:hAnsi="Cambria Math"/>
                <w:sz w:val="24"/>
                <w:szCs w:val="24"/>
              </w:rPr>
              <m:t>k</m:t>
            </m:r>
            <m:ctrlPr>
              <w:rPr>
                <w:rFonts w:ascii="Cambria Math" w:hAnsi="Cambria Math"/>
                <w:i/>
                <w:sz w:val="24"/>
                <w:szCs w:val="24"/>
              </w:rPr>
            </m:ctrlPr>
          </m:sub>
        </m:sSub>
        <m:r>
          <m:rPr/>
          <w:rPr>
            <w:rFonts w:ascii="Cambria Math" w:hAnsi="Cambria Math"/>
            <w:sz w:val="24"/>
            <w:szCs w:val="24"/>
          </w:rPr>
          <m:t>)</m:t>
        </m:r>
      </m:oMath>
      <w:r>
        <w:rPr>
          <w:rFonts w:hint="eastAsia" w:ascii="Times New Roman" w:hAnsi="Times New Roman"/>
          <w:sz w:val="24"/>
          <w:szCs w:val="24"/>
        </w:rPr>
        <w:t xml:space="preserve"> will have a large effect on </w:t>
      </w:r>
      <m:oMath>
        <m:sSub>
          <m:sSubPr>
            <m:ctrlPr>
              <w:rPr>
                <w:rFonts w:ascii="Cambria Math" w:hAnsi="Cambria Math"/>
                <w:sz w:val="24"/>
                <w:szCs w:val="24"/>
              </w:rPr>
            </m:ctrlPr>
          </m:sSubPr>
          <m:e>
            <m:r>
              <m:rPr/>
              <w:rPr>
                <w:rFonts w:ascii="Cambria Math" w:hAnsi="Cambria Math"/>
                <w:sz w:val="24"/>
                <w:szCs w:val="24"/>
              </w:rPr>
              <m:t>Y</m:t>
            </m:r>
            <m:ctrlPr>
              <w:rPr>
                <w:rFonts w:ascii="Cambria Math" w:hAnsi="Cambria Math"/>
                <w:sz w:val="24"/>
                <w:szCs w:val="24"/>
              </w:rPr>
            </m:ctrlPr>
          </m:e>
          <m:sub>
            <m:r>
              <m:rPr/>
              <w:rPr>
                <w:rFonts w:ascii="Cambria Math" w:hAnsi="Cambria Math"/>
                <w:sz w:val="24"/>
                <w:szCs w:val="24"/>
              </w:rPr>
              <m:t>t</m:t>
            </m:r>
            <m:ctrlPr>
              <w:rPr>
                <w:rFonts w:ascii="Cambria Math" w:hAnsi="Cambria Math"/>
                <w:sz w:val="24"/>
                <w:szCs w:val="24"/>
              </w:rPr>
            </m:ctrlPr>
          </m:sub>
        </m:sSub>
        <m:d>
          <m:dPr>
            <m:ctrlPr>
              <w:rPr>
                <w:rFonts w:ascii="Cambria Math" w:hAnsi="Cambria Math"/>
                <w:i/>
                <w:sz w:val="24"/>
                <w:szCs w:val="24"/>
              </w:rPr>
            </m:ctrlPr>
          </m:dPr>
          <m:e>
            <m:r>
              <m:rPr>
                <m:sty m:val="bi"/>
              </m:rPr>
              <w:rPr>
                <w:rFonts w:ascii="Cambria Math" w:hAnsi="Cambria Math"/>
                <w:sz w:val="24"/>
                <w:szCs w:val="24"/>
              </w:rPr>
              <m:t>s</m:t>
            </m:r>
            <m:ctrlPr>
              <w:rPr>
                <w:rFonts w:ascii="Cambria Math" w:hAnsi="Cambria Math"/>
                <w:i/>
                <w:sz w:val="24"/>
                <w:szCs w:val="24"/>
              </w:rPr>
            </m:ctrlPr>
          </m:e>
        </m:d>
      </m:oMath>
      <w:r>
        <w:rPr>
          <w:rFonts w:hint="eastAsia" w:ascii="Times New Roman" w:hAnsi="Times New Roman"/>
          <w:sz w:val="24"/>
          <w:szCs w:val="24"/>
        </w:rPr>
        <w:t xml:space="preserve">. </w:t>
      </w:r>
      <w:r>
        <w:rPr>
          <w:rFonts w:ascii="Times New Roman" w:hAnsi="Times New Roman"/>
          <w:sz w:val="24"/>
          <w:szCs w:val="24"/>
        </w:rPr>
        <w:t xml:space="preserve">Notice that there is one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for each </w:t>
      </w:r>
      <w:r>
        <w:rPr>
          <w:rFonts w:ascii="Times New Roman" w:hAnsi="Times New Roman"/>
          <w:sz w:val="24"/>
          <w:szCs w:val="24"/>
        </w:rPr>
        <w:t xml:space="preserve">CMAQ centroid. This represents, potentially, a very large number of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w:t>
      </w:r>
      <w:r>
        <w:rPr>
          <w:rFonts w:ascii="Times New Roman" w:hAnsi="Times New Roman"/>
          <w:sz w:val="24"/>
          <w:szCs w:val="24"/>
        </w:rPr>
        <w:t>As such, predictive process</w:t>
      </w:r>
      <w:r>
        <w:rPr>
          <w:vertAlign w:val="superscript"/>
        </w:rPr>
        <w:fldChar w:fldCharType="begin"/>
      </w:r>
      <w:r>
        <w:rPr>
          <w:vertAlign w:val="superscript"/>
        </w:rPr>
        <w:instrText xml:space="preserve"> REF _Ref510550309 \r \h  \* MERGEFORMAT </w:instrText>
      </w:r>
      <w:r>
        <w:rPr>
          <w:vertAlign w:val="superscript"/>
        </w:rPr>
        <w:fldChar w:fldCharType="separate"/>
      </w:r>
      <w:r>
        <w:rPr>
          <w:vertAlign w:val="superscript"/>
        </w:rPr>
        <w:t>3</w:t>
      </w:r>
      <w:r>
        <w:rPr>
          <w:vertAlign w:val="superscript"/>
        </w:rPr>
        <w:fldChar w:fldCharType="end"/>
      </w:r>
      <w:r>
        <w:t xml:space="preserve"> </w:t>
      </w:r>
      <w:r>
        <w:rPr>
          <w:rFonts w:ascii="Times New Roman" w:hAnsi="Times New Roman"/>
          <w:sz w:val="24"/>
          <w:szCs w:val="24"/>
        </w:rPr>
        <w:t xml:space="preserve">are used to reduce the dimensionality. Specifically,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r>
          <m:rPr>
            <m:sty m:val="p"/>
            <m:scr m:val="double-struck"/>
          </m:rPr>
          <w:rPr>
            <w:rFonts w:ascii="Cambria Math" w:hAnsi="Cambria Math"/>
            <w:sz w:val="24"/>
            <w:szCs w:val="24"/>
          </w:rPr>
          <m:t>≡E(</m:t>
        </m:r>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hint="eastAsia"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r>
          <m:rPr>
            <m:sty m:val="p"/>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acc>
              <m:accPr>
                <m:chr m:val="̈"/>
                <m:ctrlPr>
                  <w:rPr>
                    <w:rFonts w:ascii="Cambria Math" w:hAnsi="Cambria Math"/>
                    <w:b/>
                    <w:i/>
                    <w:sz w:val="24"/>
                    <w:szCs w:val="24"/>
                  </w:rPr>
                </m:ctrlPr>
              </m:accPr>
              <m:e>
                <m:sSub>
                  <m:sSubPr>
                    <m:ctrlPr>
                      <w:rPr>
                        <w:rFonts w:ascii="Cambria Math" w:hAnsi="Cambria Math"/>
                        <w:b/>
                        <w:i/>
                        <w:sz w:val="24"/>
                        <w:szCs w:val="24"/>
                      </w:rPr>
                    </m:ctrlPr>
                  </m:sSubPr>
                  <m:e>
                    <m:r>
                      <m:rPr>
                        <m:sty m:val="bi"/>
                      </m:rPr>
                      <w:rPr>
                        <w:rFonts w:hint="eastAsia" w:ascii="Cambria Math" w:hAnsi="Cambria Math"/>
                        <w:sz w:val="24"/>
                        <w:szCs w:val="24"/>
                      </w:rPr>
                      <m:t>c</m:t>
                    </m:r>
                    <m:ctrlPr>
                      <w:rPr>
                        <w:rFonts w:ascii="Cambria Math" w:hAnsi="Cambria Math"/>
                        <w:b/>
                        <w:i/>
                        <w:sz w:val="24"/>
                        <w:szCs w:val="24"/>
                      </w:rPr>
                    </m:ctrlPr>
                  </m:e>
                  <m:sub>
                    <m:r>
                      <m:rPr/>
                      <w:rPr>
                        <w:rFonts w:hint="eastAsia" w:ascii="Cambria Math" w:hAnsi="Cambria Math"/>
                        <w:sz w:val="24"/>
                        <w:szCs w:val="24"/>
                      </w:rPr>
                      <m:t>j</m:t>
                    </m:r>
                    <m:ctrlPr>
                      <w:rPr>
                        <w:rFonts w:ascii="Cambria Math" w:hAnsi="Cambria Math"/>
                        <w:b/>
                        <w:i/>
                        <w:sz w:val="24"/>
                        <w:szCs w:val="24"/>
                      </w:rPr>
                    </m:ctrlPr>
                  </m:sub>
                </m:sSub>
                <m:ctrlPr>
                  <w:rPr>
                    <w:rFonts w:ascii="Cambria Math" w:hAnsi="Cambria Math"/>
                    <w:b/>
                    <w:i/>
                    <w:sz w:val="24"/>
                    <w:szCs w:val="24"/>
                  </w:rPr>
                </m:ctrlPr>
              </m:e>
            </m:acc>
            <m:ctrlPr>
              <w:rPr>
                <w:rFonts w:ascii="Cambria Math" w:hAnsi="Cambria Math"/>
                <w:i/>
                <w:sz w:val="24"/>
                <w:szCs w:val="24"/>
              </w:rPr>
            </m:ctrlPr>
          </m:e>
        </m:d>
        <m:r>
          <m:rPr>
            <m:sty m:val="p"/>
          </m:rPr>
          <w:rPr>
            <w:rFonts w:ascii="Cambria Math" w:hAnsi="Cambria Math"/>
            <w:sz w:val="24"/>
            <w:szCs w:val="24"/>
          </w:rPr>
          <m:t>)</m:t>
        </m:r>
      </m:oMath>
      <w:r>
        <w:rPr>
          <w:rFonts w:hint="eastAsia" w:ascii="Times New Roman" w:hAnsi="Times New Roman"/>
          <w:sz w:val="24"/>
          <w:szCs w:val="24"/>
        </w:rPr>
        <w:t xml:space="preserve"> where </w:t>
      </w:r>
      <w:r>
        <w:rPr>
          <w:rFonts w:ascii="Times New Roman" w:hAnsi="Times New Roman"/>
          <w:sz w:val="24"/>
          <w:szCs w:val="24"/>
        </w:rPr>
        <w:t>the {</w:t>
      </w:r>
      <w:r>
        <w:rPr>
          <w:rFonts w:ascii="Times New Roman" w:hAnsi="Times New Roman"/>
          <w:b/>
          <w:i/>
          <w:sz w:val="24"/>
          <w:szCs w:val="24"/>
        </w:rPr>
        <w:t>b</w:t>
      </w:r>
      <w:r>
        <w:rPr>
          <w:rFonts w:ascii="Times New Roman" w:hAnsi="Times New Roman"/>
          <w:i/>
          <w:sz w:val="24"/>
          <w:szCs w:val="24"/>
          <w:vertAlign w:val="subscript"/>
        </w:rPr>
        <w:t>j</w:t>
      </w:r>
      <w:r>
        <w:rPr>
          <w:rFonts w:ascii="Times New Roman" w:hAnsi="Times New Roman"/>
          <w:sz w:val="24"/>
          <w:szCs w:val="24"/>
        </w:rPr>
        <w:t xml:space="preserve">} are a set of sparsely chosen locations with the number of </w:t>
      </w:r>
      <w:r>
        <w:rPr>
          <w:rFonts w:ascii="Times New Roman" w:hAnsi="Times New Roman"/>
          <w:b/>
          <w:i/>
          <w:sz w:val="24"/>
          <w:szCs w:val="24"/>
        </w:rPr>
        <w:t>b</w:t>
      </w:r>
      <w:r>
        <w:rPr>
          <w:rFonts w:ascii="Times New Roman" w:hAnsi="Times New Roman"/>
          <w:i/>
          <w:sz w:val="24"/>
          <w:szCs w:val="24"/>
          <w:vertAlign w:val="subscript"/>
        </w:rPr>
        <w:t>j</w:t>
      </w:r>
      <w:r>
        <w:rPr>
          <w:rFonts w:ascii="Times New Roman" w:hAnsi="Times New Roman"/>
          <w:sz w:val="24"/>
          <w:szCs w:val="24"/>
        </w:rPr>
        <w:t xml:space="preserve"> being </w:t>
      </w:r>
      <w:r>
        <w:rPr>
          <w:rFonts w:ascii="CMR12" w:hAnsi="CMR12"/>
          <w:color w:val="000000"/>
          <w:sz w:val="24"/>
          <w:szCs w:val="24"/>
        </w:rPr>
        <w:t>substantially less than the number of</w:t>
      </w:r>
      <w:r>
        <w:t xml:space="preserve"> </w:t>
      </w:r>
      <w:r>
        <w:rPr>
          <w:rFonts w:ascii="Times New Roman" w:hAnsi="Times New Roman"/>
          <w:b/>
          <w:i/>
          <w:sz w:val="24"/>
          <w:szCs w:val="24"/>
        </w:rPr>
        <w:t>c</w:t>
      </w:r>
      <w:r>
        <w:rPr>
          <w:rFonts w:ascii="Times New Roman" w:hAnsi="Times New Roman"/>
          <w:i/>
          <w:sz w:val="24"/>
          <w:szCs w:val="24"/>
          <w:vertAlign w:val="subscript"/>
        </w:rPr>
        <w:t>k</w:t>
      </w:r>
      <w:r>
        <w:rPr>
          <w:rFonts w:ascii="Times New Roman" w:hAnsi="Times New Roman"/>
          <w:sz w:val="24"/>
          <w:szCs w:val="24"/>
        </w:rPr>
        <w:t xml:space="preserve">. In this way, all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c</m:t>
                </m:r>
                <m:ctrlPr>
                  <w:rPr>
                    <w:rFonts w:ascii="Cambria Math" w:hAnsi="Cambria Math"/>
                    <w:b/>
                    <w:i/>
                    <w:sz w:val="24"/>
                    <w:szCs w:val="24"/>
                  </w:rPr>
                </m:ctrlPr>
              </m:e>
              <m:sub>
                <m:r>
                  <m:rPr/>
                  <w:rPr>
                    <w:rFonts w:ascii="Cambria Math" w:hAnsi="Cambria Math"/>
                    <w:sz w:val="24"/>
                    <w:szCs w:val="24"/>
                  </w:rPr>
                  <m:t>k</m:t>
                </m:r>
                <m:ctrlPr>
                  <w:rPr>
                    <w:rFonts w:ascii="Cambria Math" w:hAnsi="Cambria Math"/>
                    <w:b/>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ca</w:t>
      </w:r>
      <w:r>
        <w:rPr>
          <w:rFonts w:ascii="Times New Roman" w:hAnsi="Times New Roman"/>
          <w:sz w:val="24"/>
          <w:szCs w:val="24"/>
        </w:rPr>
        <w:t xml:space="preserve">n be updated by updating relatively few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b</m:t>
                </m:r>
                <m:ctrlPr>
                  <w:rPr>
                    <w:rFonts w:ascii="Cambria Math" w:hAnsi="Cambria Math"/>
                    <w:b/>
                    <w:i/>
                    <w:sz w:val="24"/>
                    <w:szCs w:val="24"/>
                  </w:rPr>
                </m:ctrlPr>
              </m:e>
              <m:sub>
                <m:r>
                  <m:rPr/>
                  <w:rPr>
                    <w:rFonts w:ascii="Cambria Math" w:hAnsi="Cambria Math"/>
                    <w:sz w:val="24"/>
                    <w:szCs w:val="24"/>
                  </w:rPr>
                  <m:t>j</m:t>
                </m:r>
                <m:ctrlPr>
                  <w:rPr>
                    <w:rFonts w:ascii="Cambria Math" w:hAnsi="Cambria Math"/>
                    <w:b/>
                    <w:i/>
                    <w:sz w:val="24"/>
                    <w:szCs w:val="24"/>
                  </w:rPr>
                </m:ctrlPr>
              </m:sub>
            </m:sSub>
            <m:ctrlPr>
              <w:rPr>
                <w:rFonts w:ascii="Cambria Math" w:hAnsi="Cambria Math"/>
                <w:i/>
                <w:sz w:val="24"/>
                <w:szCs w:val="24"/>
              </w:rPr>
            </m:ctrlPr>
          </m:e>
        </m:d>
      </m:oMath>
      <w:r>
        <w:rPr>
          <w:rFonts w:hint="eastAsia" w:ascii="Times New Roman" w:hAnsi="Times New Roman"/>
          <w:sz w:val="24"/>
          <w:szCs w:val="24"/>
        </w:rPr>
        <w:t xml:space="preserve">. </w:t>
      </w:r>
      <w:r>
        <w:rPr>
          <w:rFonts w:ascii="Times New Roman" w:hAnsi="Times New Roman"/>
          <w:sz w:val="24"/>
          <w:szCs w:val="24"/>
        </w:rPr>
        <w:t xml:space="preserve">To update </w:t>
      </w:r>
      <m:oMath>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b</m:t>
                </m:r>
                <m:ctrlPr>
                  <w:rPr>
                    <w:rFonts w:ascii="Cambria Math" w:hAnsi="Cambria Math"/>
                    <w:b/>
                    <w:i/>
                    <w:sz w:val="24"/>
                    <w:szCs w:val="24"/>
                  </w:rPr>
                </m:ctrlPr>
              </m:e>
              <m:sub>
                <m:r>
                  <m:rPr/>
                  <w:rPr>
                    <w:rFonts w:ascii="Cambria Math" w:hAnsi="Cambria Math"/>
                    <w:sz w:val="24"/>
                    <w:szCs w:val="24"/>
                  </w:rPr>
                  <m:t>j</m:t>
                </m:r>
                <m:ctrlPr>
                  <w:rPr>
                    <w:rFonts w:ascii="Cambria Math" w:hAnsi="Cambria Math"/>
                    <w:b/>
                    <w:i/>
                    <w:sz w:val="24"/>
                    <w:szCs w:val="24"/>
                  </w:rPr>
                </m:ctrlPr>
              </m:sub>
            </m:sSub>
            <m:ctrlPr>
              <w:rPr>
                <w:rFonts w:ascii="Cambria Math" w:hAnsi="Cambria Math"/>
                <w:i/>
                <w:sz w:val="24"/>
                <w:szCs w:val="24"/>
              </w:rPr>
            </m:ctrlPr>
          </m:e>
        </m:d>
        <m:r>
          <m:rPr/>
          <w:rPr>
            <w:rFonts w:ascii="Cambria Math" w:hAnsi="Cambria Math"/>
            <w:sz w:val="24"/>
            <w:szCs w:val="24"/>
          </w:rPr>
          <m:t>}</m:t>
        </m:r>
      </m:oMath>
      <w:r>
        <w:rPr>
          <w:rFonts w:hint="eastAsia" w:ascii="Times New Roman" w:hAnsi="Times New Roman"/>
          <w:sz w:val="24"/>
          <w:szCs w:val="24"/>
        </w:rPr>
        <w:t>, a Metropolis-Hastings step is used with proposal distribution equal to the prior distribution.</w:t>
      </w:r>
    </w:p>
    <w:p>
      <w:pPr>
        <w:pStyle w:val="31"/>
        <w:numPr>
          <w:ilvl w:val="0"/>
          <w:numId w:val="42"/>
        </w:numPr>
        <w:ind w:left="0" w:firstLine="0" w:firstLineChars="0"/>
        <w:rPr>
          <w:rFonts w:ascii="Times New Roman" w:hAnsi="Times New Roman"/>
          <w:sz w:val="24"/>
          <w:szCs w:val="24"/>
        </w:rPr>
      </w:pPr>
      <w:r>
        <w:rPr>
          <w:rFonts w:ascii="Times New Roman" w:hAnsi="Times New Roman"/>
          <w:b/>
          <w:sz w:val="24"/>
          <w:szCs w:val="24"/>
        </w:rPr>
        <w:t xml:space="preserve">Weighting Voronoi Neighbor Averaging (wVNA): </w:t>
      </w:r>
      <w:r>
        <w:rPr>
          <w:rFonts w:ascii="Times New Roman" w:hAnsi="Times New Roman"/>
          <w:sz w:val="24"/>
          <w:szCs w:val="24"/>
        </w:rPr>
        <w:t>The wVNA interpolation method combin</w:t>
      </w:r>
      <w:r>
        <w:rPr>
          <w:rFonts w:hint="eastAsia" w:ascii="Times New Roman" w:hAnsi="Times New Roman"/>
          <w:sz w:val="24"/>
          <w:szCs w:val="24"/>
        </w:rPr>
        <w:t>es</w:t>
      </w:r>
      <w:r>
        <w:rPr>
          <w:rFonts w:ascii="Times New Roman" w:hAnsi="Times New Roman"/>
          <w:sz w:val="24"/>
          <w:szCs w:val="24"/>
        </w:rPr>
        <w:t xml:space="preserve"> the VNA and eVNA methods by setting the weights of VNA and eVNA.</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r>
                <m:rPr>
                  <m:sty m:val="p"/>
                </m:rPr>
                <w:rPr>
                  <w:rFonts w:ascii="Cambria Math" w:hAnsi="Cambria Math" w:eastAsia="宋体" w:cstheme="minorBidi"/>
                  <w:kern w:val="2"/>
                  <w:szCs w:val="24"/>
                </w:rPr>
                <m:t>w</m:t>
              </m:r>
              <m:r>
                <m:rPr>
                  <m:sty m:val="p"/>
                </m:rPr>
                <w:rPr>
                  <w:rFonts w:hint="eastAsia" w:ascii="Cambria Math" w:hAnsi="Cambria Math" w:eastAsia="宋体" w:cstheme="minorBidi"/>
                  <w:kern w:val="2"/>
                  <w:szCs w:val="24"/>
                </w:rPr>
                <m:t>VNA</m:t>
              </m:r>
              <m:r>
                <m:rPr/>
                <w:rPr>
                  <w:rFonts w:ascii="Cambria Math" w:hAnsi="Cambria Math" w:eastAsia="宋体" w:cstheme="minorBidi"/>
                  <w:kern w:val="2"/>
                  <w:szCs w:val="24"/>
                </w:rPr>
                <m:t>=</m:t>
              </m:r>
              <m:r>
                <m:rPr/>
                <w:rPr>
                  <w:rFonts w:hint="eastAsia" w:ascii="Cambria Math" w:hAnsi="Cambria Math" w:eastAsia="宋体" w:cstheme="minorBidi"/>
                  <w:kern w:val="2"/>
                  <w:szCs w:val="24"/>
                </w:rPr>
                <m:t>w</m:t>
              </m:r>
              <m:r>
                <m:rPr/>
                <w:rPr>
                  <w:rFonts w:ascii="Cambria Math" w:hAnsi="Cambria Math" w:eastAsia="宋体" w:cstheme="minorBidi"/>
                  <w:kern w:val="2"/>
                  <w:szCs w:val="24"/>
                </w:rPr>
                <m:t>×eVNA+(1−w)×VNA</m:t>
              </m:r>
            </m:oMath>
            <w:r>
              <w:rPr>
                <w:rFonts w:hint="eastAsia" w:eastAsia="宋体" w:cstheme="minorBidi"/>
                <w:kern w:val="2"/>
                <w:szCs w:val="24"/>
              </w:rPr>
              <w:t xml:space="preserve"> </w:t>
            </w:r>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7</w:t>
            </w:r>
            <w:r>
              <w:rPr>
                <w:rFonts w:eastAsia="宋体" w:cstheme="minorBidi"/>
                <w:color w:val="000000"/>
                <w:kern w:val="2"/>
                <w:szCs w:val="24"/>
              </w:rPr>
              <w:fldChar w:fldCharType="end"/>
            </w:r>
            <w:r>
              <w:rPr>
                <w:rFonts w:eastAsia="宋体" w:cs="Times New Roman"/>
                <w:color w:val="000000"/>
                <w:kern w:val="2"/>
                <w:szCs w:val="24"/>
              </w:rPr>
              <w:t>)</w:t>
            </w:r>
          </w:p>
        </w:tc>
      </w:tr>
    </w:tbl>
    <w:p>
      <w:pPr>
        <w:widowControl w:val="0"/>
        <w:jc w:val="both"/>
        <w:rPr>
          <w:szCs w:val="24"/>
        </w:rPr>
      </w:pPr>
      <w:r>
        <w:rPr>
          <w:szCs w:val="24"/>
        </w:rPr>
        <w:t>where:</w:t>
      </w:r>
    </w:p>
    <w:p>
      <w:pPr>
        <w:widowControl w:val="0"/>
        <w:jc w:val="both"/>
        <w:rPr>
          <w:szCs w:val="24"/>
        </w:rPr>
      </w:pPr>
      <w:r>
        <w:rPr>
          <w:szCs w:val="24"/>
        </w:rPr>
        <w:t xml:space="preserve">w </w:t>
      </w:r>
      <w:r>
        <w:rPr>
          <w:rFonts w:hint="eastAsia"/>
          <w:szCs w:val="24"/>
        </w:rPr>
        <w:t>is</w:t>
      </w:r>
      <w:r>
        <w:rPr>
          <w:szCs w:val="24"/>
        </w:rPr>
        <w:t xml:space="preserve"> the weight coefficient, when  </w:t>
      </w:r>
      <m:oMath>
        <m:r>
          <m:rPr/>
          <w:rPr>
            <w:rFonts w:hint="eastAsia" w:ascii="Cambria Math" w:hAnsi="Cambria Math"/>
            <w:kern w:val="2"/>
            <w:szCs w:val="24"/>
          </w:rPr>
          <m:t>w</m:t>
        </m:r>
      </m:oMath>
      <w:r>
        <w:rPr>
          <w:szCs w:val="24"/>
        </w:rPr>
        <w:t xml:space="preserve"> = 0,  </w:t>
      </w:r>
      <m:oMath>
        <m:r>
          <m:rPr/>
          <w:rPr>
            <w:rFonts w:hint="eastAsia" w:ascii="Cambria Math" w:hAnsi="Cambria Math"/>
            <w:kern w:val="2"/>
            <w:szCs w:val="24"/>
          </w:rPr>
          <m:t>wVNA</m:t>
        </m:r>
      </m:oMath>
      <w:r>
        <w:rPr>
          <w:szCs w:val="24"/>
        </w:rPr>
        <w:t xml:space="preserve"> = </w:t>
      </w:r>
      <m:oMath>
        <m:r>
          <m:rPr>
            <m:sty m:val="p"/>
          </m:rPr>
          <w:rPr>
            <w:rFonts w:ascii="Cambria Math" w:hAnsi="Cambria Math"/>
            <w:szCs w:val="24"/>
          </w:rPr>
          <m:t>VNA</m:t>
        </m:r>
      </m:oMath>
      <w:r>
        <w:rPr>
          <w:szCs w:val="24"/>
        </w:rPr>
        <w:t xml:space="preserve">, when  </w:t>
      </w:r>
      <m:oMath>
        <m:r>
          <m:rPr/>
          <w:rPr>
            <w:rFonts w:hint="eastAsia" w:ascii="Cambria Math" w:hAnsi="Cambria Math"/>
            <w:kern w:val="2"/>
            <w:szCs w:val="24"/>
          </w:rPr>
          <m:t>w</m:t>
        </m:r>
      </m:oMath>
      <w:r>
        <w:rPr>
          <w:szCs w:val="24"/>
        </w:rPr>
        <w:t xml:space="preserve"> = 1,  </w:t>
      </w:r>
      <m:oMath>
        <m:r>
          <m:rPr/>
          <w:rPr>
            <w:rFonts w:hint="eastAsia" w:ascii="Cambria Math" w:hAnsi="Cambria Math"/>
            <w:kern w:val="2"/>
            <w:szCs w:val="24"/>
          </w:rPr>
          <m:t>w</m:t>
        </m:r>
        <m:r>
          <m:rPr/>
          <w:rPr>
            <w:rFonts w:ascii="Cambria Math" w:hAnsi="Cambria Math"/>
            <w:kern w:val="2"/>
            <w:szCs w:val="24"/>
          </w:rPr>
          <m:t>VNA</m:t>
        </m:r>
      </m:oMath>
      <w:r>
        <w:rPr>
          <w:szCs w:val="24"/>
        </w:rPr>
        <w:t xml:space="preserve"> = </w:t>
      </w:r>
      <m:oMath>
        <m:r>
          <m:rPr>
            <m:sty m:val="p"/>
          </m:rPr>
          <w:rPr>
            <w:rFonts w:ascii="Cambria Math" w:hAnsi="Cambria Math"/>
            <w:szCs w:val="24"/>
          </w:rPr>
          <m:t>eVNA</m:t>
        </m:r>
      </m:oMath>
      <w:r>
        <w:rPr>
          <w:szCs w:val="24"/>
        </w:rPr>
        <w:t>.</w:t>
      </w:r>
    </w:p>
    <w:p>
      <w:pPr>
        <w:pStyle w:val="31"/>
        <w:numPr>
          <w:ilvl w:val="0"/>
          <w:numId w:val="42"/>
        </w:numPr>
        <w:ind w:left="0" w:firstLine="0" w:firstLineChars="0"/>
        <w:rPr>
          <w:rFonts w:ascii="Times New Roman" w:hAnsi="Times New Roman"/>
          <w:sz w:val="24"/>
          <w:szCs w:val="24"/>
        </w:rPr>
      </w:pPr>
      <w:r>
        <w:rPr>
          <w:rFonts w:ascii="Times New Roman" w:hAnsi="Times New Roman"/>
          <w:b/>
          <w:sz w:val="24"/>
          <w:szCs w:val="24"/>
        </w:rPr>
        <w:t xml:space="preserve">Nearest Site (NS): </w:t>
      </w:r>
      <w:r>
        <w:rPr>
          <w:rFonts w:ascii="Times New Roman" w:hAnsi="Times New Roman"/>
          <w:sz w:val="24"/>
          <w:szCs w:val="24"/>
        </w:rPr>
        <w:t xml:space="preserve">The Nearest Site interpolation method is a deterministic spatial interpolation method that chooses the single closest monitor and applies that value as the grid cell value. </w:t>
      </w:r>
    </w:p>
    <w:tbl>
      <w:tblPr>
        <w:tblStyle w:val="47"/>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32"/>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6232" w:type="dxa"/>
          </w:tcPr>
          <w:p>
            <w:pPr>
              <w:spacing w:after="120" w:afterLines="50"/>
              <w:jc w:val="center"/>
              <w:rPr>
                <w:rFonts w:eastAsia="宋体" w:cs="Times New Roman"/>
                <w:i/>
                <w:color w:val="000000"/>
                <w:kern w:val="2"/>
                <w:szCs w:val="24"/>
              </w:rPr>
            </w:pPr>
            <m:oMath>
              <m:sSub>
                <m:sSubPr>
                  <m:ctrlPr>
                    <w:rPr>
                      <w:rFonts w:ascii="Cambria Math" w:hAnsi="Cambria Math" w:eastAsia="宋体" w:cstheme="minorBidi"/>
                      <w:kern w:val="2"/>
                      <w:sz w:val="21"/>
                    </w:rPr>
                  </m:ctrlPr>
                </m:sSubPr>
                <m:e>
                  <m:r>
                    <m:rPr/>
                    <w:rPr>
                      <w:rFonts w:ascii="Cambria Math" w:hAnsi="Cambria Math" w:eastAsia="宋体" w:cstheme="minorBidi"/>
                      <w:kern w:val="2"/>
                    </w:rPr>
                    <m:t xml:space="preserve"> Model</m:t>
                  </m:r>
                  <m:ctrlPr>
                    <w:rPr>
                      <w:rFonts w:ascii="Cambria Math" w:hAnsi="Cambria Math" w:eastAsia="宋体" w:cstheme="minorBidi"/>
                      <w:i/>
                      <w:kern w:val="2"/>
                      <w:sz w:val="21"/>
                    </w:rPr>
                  </m:ctrlPr>
                </m:e>
                <m:sub>
                  <m:r>
                    <m:rPr/>
                    <w:rPr>
                      <w:rFonts w:ascii="Cambria Math" w:hAnsi="Cambria Math" w:eastAsia="宋体" w:cstheme="minorBidi"/>
                      <w:kern w:val="2"/>
                    </w:rPr>
                    <m:t>E</m:t>
                  </m:r>
                  <m:ctrlPr>
                    <w:rPr>
                      <w:rFonts w:ascii="Cambria Math" w:hAnsi="Cambria Math" w:eastAsia="宋体" w:cstheme="minorBidi"/>
                      <w:kern w:val="2"/>
                      <w:sz w:val="21"/>
                    </w:rPr>
                  </m:ctrlPr>
                </m:sub>
              </m:sSub>
              <m:r>
                <m:rPr/>
                <w:rPr>
                  <w:rFonts w:ascii="Cambria Math" w:hAnsi="Cambria Math" w:eastAsia="宋体" w:cstheme="minorBidi"/>
                  <w:kern w:val="2"/>
                </w:rPr>
                <m:t>=</m:t>
              </m:r>
              <m:sSub>
                <m:sSubPr>
                  <m:ctrlPr>
                    <w:rPr>
                      <w:rFonts w:ascii="Cambria Math" w:hAnsi="Cambria Math" w:eastAsia="宋体" w:cstheme="minorBidi"/>
                      <w:i/>
                      <w:kern w:val="2"/>
                      <w:sz w:val="21"/>
                    </w:rPr>
                  </m:ctrlPr>
                </m:sSubPr>
                <m:e>
                  <m:r>
                    <m:rPr/>
                    <w:rPr>
                      <w:rFonts w:ascii="Cambria Math" w:hAnsi="Cambria Math" w:eastAsia="宋体" w:cstheme="minorBidi"/>
                      <w:kern w:val="2"/>
                    </w:rPr>
                    <m:t>Monitor</m:t>
                  </m:r>
                  <m:ctrlPr>
                    <w:rPr>
                      <w:rFonts w:ascii="Cambria Math" w:hAnsi="Cambria Math" w:eastAsia="宋体" w:cstheme="minorBidi"/>
                      <w:i/>
                      <w:kern w:val="2"/>
                      <w:sz w:val="21"/>
                    </w:rPr>
                  </m:ctrlPr>
                </m:e>
                <m:sub>
                  <m:r>
                    <m:rPr/>
                    <w:rPr>
                      <w:rFonts w:ascii="Cambria Math" w:hAnsi="Cambria Math" w:eastAsia="宋体" w:cstheme="minorBidi"/>
                      <w:kern w:val="2"/>
                    </w:rPr>
                    <m:t>nearest</m:t>
                  </m:r>
                  <m:ctrlPr>
                    <w:rPr>
                      <w:rFonts w:ascii="Cambria Math" w:hAnsi="Cambria Math" w:eastAsia="宋体" w:cstheme="minorBidi"/>
                      <w:i/>
                      <w:kern w:val="2"/>
                      <w:sz w:val="21"/>
                    </w:rPr>
                  </m:ctrlPr>
                </m:sub>
              </m:sSub>
            </m:oMath>
            <w:r>
              <w:rPr>
                <w:rFonts w:hint="eastAsia" w:eastAsia="宋体" w:cstheme="minorBidi"/>
                <w:kern w:val="2"/>
                <w:szCs w:val="24"/>
              </w:rPr>
              <w:t xml:space="preserve"> </w:t>
            </w:r>
            <w:r>
              <w:rPr>
                <w:rFonts w:eastAsia="宋体" w:cs="Times New Roman"/>
                <w:i/>
                <w:kern w:val="2"/>
                <w:szCs w:val="28"/>
              </w:rPr>
              <w:t xml:space="preserve"> </w:t>
            </w:r>
          </w:p>
        </w:tc>
        <w:tc>
          <w:tcPr>
            <w:tcW w:w="2064" w:type="dxa"/>
          </w:tcPr>
          <w:p>
            <w:pPr>
              <w:tabs>
                <w:tab w:val="center" w:pos="4800"/>
                <w:tab w:val="right" w:pos="9600"/>
              </w:tabs>
              <w:spacing w:after="120" w:afterLines="50"/>
              <w:jc w:val="right"/>
              <w:rPr>
                <w:rFonts w:eastAsia="宋体" w:cs="Times New Roman"/>
                <w:color w:val="000000"/>
                <w:kern w:val="2"/>
                <w:szCs w:val="24"/>
              </w:rPr>
            </w:pPr>
            <w:r>
              <w:rPr>
                <w:rFonts w:eastAsia="宋体" w:cs="Times New Roman"/>
                <w:color w:val="000000"/>
                <w:kern w:val="2"/>
                <w:szCs w:val="24"/>
              </w:rPr>
              <w:t>(</w:t>
            </w:r>
            <w:r>
              <w:rPr>
                <w:rFonts w:eastAsia="宋体" w:cstheme="minorBidi"/>
                <w:color w:val="000000"/>
                <w:kern w:val="2"/>
                <w:szCs w:val="24"/>
              </w:rPr>
              <w:fldChar w:fldCharType="begin"/>
            </w:r>
            <w:r>
              <w:rPr>
                <w:rFonts w:eastAsia="宋体" w:cs="Times New Roman"/>
                <w:color w:val="000000"/>
                <w:kern w:val="2"/>
                <w:szCs w:val="24"/>
              </w:rPr>
              <w:instrText xml:space="preserve"> SEQ 公式 \* ARABIC </w:instrText>
            </w:r>
            <w:r>
              <w:rPr>
                <w:rFonts w:eastAsia="宋体" w:cstheme="minorBidi"/>
                <w:color w:val="000000"/>
                <w:kern w:val="2"/>
                <w:szCs w:val="24"/>
              </w:rPr>
              <w:fldChar w:fldCharType="separate"/>
            </w:r>
            <w:r>
              <w:rPr>
                <w:rFonts w:eastAsia="宋体" w:cs="Times New Roman"/>
                <w:color w:val="000000"/>
                <w:kern w:val="2"/>
                <w:szCs w:val="24"/>
              </w:rPr>
              <w:t>8</w:t>
            </w:r>
            <w:r>
              <w:rPr>
                <w:rFonts w:eastAsia="宋体" w:cstheme="minorBidi"/>
                <w:color w:val="000000"/>
                <w:kern w:val="2"/>
                <w:szCs w:val="24"/>
              </w:rPr>
              <w:fldChar w:fldCharType="end"/>
            </w:r>
            <w:r>
              <w:rPr>
                <w:rFonts w:eastAsia="宋体" w:cs="Times New Roman"/>
                <w:color w:val="000000"/>
                <w:kern w:val="2"/>
                <w:szCs w:val="24"/>
              </w:rPr>
              <w:t>)</w:t>
            </w:r>
          </w:p>
        </w:tc>
      </w:tr>
    </w:tbl>
    <w:p>
      <w:pPr>
        <w:pStyle w:val="31"/>
        <w:ind w:firstLine="0" w:firstLineChars="0"/>
        <w:rPr>
          <w:rFonts w:ascii="Times New Roman" w:hAnsi="Times New Roman"/>
          <w:sz w:val="24"/>
          <w:szCs w:val="24"/>
        </w:rPr>
      </w:pPr>
      <w:r>
        <w:rPr>
          <w:rFonts w:ascii="Times New Roman" w:hAnsi="Times New Roman"/>
          <w:sz w:val="24"/>
          <w:szCs w:val="24"/>
        </w:rPr>
        <w:t>where:</w:t>
      </w:r>
    </w:p>
    <w:p>
      <w:pPr>
        <w:pStyle w:val="31"/>
        <w:ind w:firstLine="0" w:firstLineChars="0"/>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Monitor</m:t>
            </m:r>
            <m:ctrlPr>
              <w:rPr>
                <w:rFonts w:ascii="Cambria Math" w:hAnsi="Cambria Math"/>
                <w:sz w:val="24"/>
                <w:szCs w:val="24"/>
              </w:rPr>
            </m:ctrlPr>
          </m:e>
          <m:sub>
            <m:r>
              <m:rPr>
                <m:sty m:val="p"/>
              </m:rPr>
              <w:rPr>
                <w:rFonts w:ascii="Cambria Math" w:hAnsi="Cambria Math"/>
                <w:sz w:val="24"/>
                <w:szCs w:val="24"/>
              </w:rPr>
              <m:t>nearest</m:t>
            </m:r>
            <m:ctrlPr>
              <w:rPr>
                <w:rFonts w:ascii="Cambria Math" w:hAnsi="Cambria Math"/>
                <w:sz w:val="24"/>
                <w:szCs w:val="24"/>
              </w:rPr>
            </m:ctrlPr>
          </m:sub>
        </m:sSub>
        <m:r>
          <m:rPr>
            <m:sty m:val="p"/>
          </m:rPr>
          <w:rPr>
            <w:rFonts w:ascii="Cambria Math" w:hAnsi="Cambria Math"/>
            <w:sz w:val="24"/>
            <w:szCs w:val="24"/>
          </w:rPr>
          <m:t>=</m:t>
        </m:r>
      </m:oMath>
      <w:r>
        <w:rPr>
          <w:rFonts w:ascii="Times New Roman" w:hAnsi="Times New Roman"/>
          <w:sz w:val="24"/>
          <w:szCs w:val="24"/>
        </w:rPr>
        <w:t>the nearest monitor s species/PM</w:t>
      </w:r>
      <w:r>
        <w:rPr>
          <w:rFonts w:ascii="Times New Roman" w:hAnsi="Times New Roman"/>
          <w:sz w:val="24"/>
          <w:szCs w:val="24"/>
          <w:vertAlign w:val="subscript"/>
        </w:rPr>
        <w:t>2.5</w:t>
      </w:r>
      <w:r>
        <w:rPr>
          <w:rFonts w:ascii="Times New Roman" w:hAnsi="Times New Roman"/>
          <w:sz w:val="24"/>
          <w:szCs w:val="24"/>
        </w:rPr>
        <w:t xml:space="preserve"> concentration to cell E,</w:t>
      </w:r>
      <m:oMath>
        <m:sSub>
          <m:sSubPr>
            <m:ctrlPr>
              <w:rPr>
                <w:rFonts w:ascii="Cambria Math" w:hAnsi="Cambria Math"/>
                <w:sz w:val="24"/>
                <w:szCs w:val="24"/>
              </w:rPr>
            </m:ctrlPr>
          </m:sSubPr>
          <m:e>
            <m:r>
              <m:rPr>
                <m:sty m:val="p"/>
              </m:rPr>
              <w:rPr>
                <w:rFonts w:ascii="Cambria Math" w:hAnsi="Cambria Math"/>
                <w:sz w:val="24"/>
                <w:szCs w:val="24"/>
              </w:rPr>
              <m:t xml:space="preserve">  Model</m:t>
            </m:r>
            <m:ctrlPr>
              <w:rPr>
                <w:rFonts w:ascii="Cambria Math" w:hAnsi="Cambria Math"/>
                <w:sz w:val="24"/>
                <w:szCs w:val="24"/>
              </w:rPr>
            </m:ctrlPr>
          </m:e>
          <m:sub>
            <m:r>
              <m:rPr>
                <m:sty m:val="p"/>
              </m:rPr>
              <w:rPr>
                <w:rFonts w:ascii="Cambria Math" w:hAnsi="Cambria Math"/>
                <w:sz w:val="24"/>
                <w:szCs w:val="24"/>
              </w:rPr>
              <m:t>E</m:t>
            </m:r>
            <m:ctrlPr>
              <w:rPr>
                <w:rFonts w:ascii="Cambria Math" w:hAnsi="Cambria Math"/>
                <w:sz w:val="24"/>
                <w:szCs w:val="24"/>
              </w:rPr>
            </m:ctrlPr>
          </m:sub>
        </m:sSub>
      </m:oMath>
      <w:r>
        <w:rPr>
          <w:rFonts w:ascii="Times New Roman" w:hAnsi="Times New Roman"/>
          <w:sz w:val="24"/>
          <w:szCs w:val="24"/>
        </w:rPr>
        <w:t xml:space="preserve"> = modeled species/PM</w:t>
      </w:r>
      <w:r>
        <w:rPr>
          <w:rFonts w:ascii="Times New Roman" w:hAnsi="Times New Roman"/>
          <w:sz w:val="24"/>
          <w:szCs w:val="24"/>
          <w:vertAlign w:val="subscript"/>
        </w:rPr>
        <w:t>2.5</w:t>
      </w:r>
      <w:r>
        <w:rPr>
          <w:rFonts w:ascii="Times New Roman" w:hAnsi="Times New Roman"/>
          <w:sz w:val="24"/>
          <w:szCs w:val="24"/>
        </w:rPr>
        <w:t xml:space="preserve"> concentration at cell E.</w:t>
      </w:r>
    </w:p>
    <w:p>
      <w:pPr>
        <w:ind w:firstLine="240" w:firstLineChars="100"/>
        <w:rPr>
          <w:szCs w:val="24"/>
        </w:rPr>
      </w:pPr>
      <w:r>
        <w:rPr>
          <w:szCs w:val="24"/>
        </w:rPr>
        <w:br w:type="page"/>
      </w:r>
    </w:p>
    <w:p>
      <w:pPr>
        <w:pStyle w:val="2"/>
        <w:rPr>
          <w:szCs w:val="32"/>
        </w:rPr>
      </w:pPr>
      <w:bookmarkStart w:id="276" w:name="_Toc122981776"/>
      <w:r>
        <w:rPr>
          <w:rFonts w:hint="eastAsia"/>
          <w:szCs w:val="32"/>
        </w:rPr>
        <w:t>Reference</w:t>
      </w:r>
      <w:r>
        <w:rPr>
          <w:szCs w:val="32"/>
        </w:rPr>
        <w:t>s</w:t>
      </w:r>
      <w:bookmarkEnd w:id="276"/>
    </w:p>
    <w:p>
      <w:pPr>
        <w:pStyle w:val="31"/>
        <w:numPr>
          <w:ilvl w:val="0"/>
          <w:numId w:val="44"/>
        </w:numPr>
        <w:ind w:left="357" w:hanging="357" w:firstLineChars="0"/>
        <w:contextualSpacing/>
        <w:rPr>
          <w:rFonts w:ascii="Times New Roman" w:hAnsi="Times New Roman"/>
          <w:sz w:val="24"/>
          <w:szCs w:val="24"/>
          <w:lang w:val="nb-NO"/>
        </w:rPr>
      </w:pPr>
      <w:bookmarkStart w:id="277" w:name="_Ref510550281"/>
      <w:r>
        <w:rPr>
          <w:rFonts w:ascii="Times New Roman" w:hAnsi="Times New Roman"/>
          <w:sz w:val="24"/>
          <w:szCs w:val="24"/>
          <w:lang w:val="nb-NO"/>
        </w:rPr>
        <w:t xml:space="preserve">Zhang, H., Inconsistent Estimation and Asymptotically Equal Interpolations in Model-Based Geostatistics. </w:t>
      </w:r>
      <w:r>
        <w:rPr>
          <w:rFonts w:ascii="Times New Roman" w:hAnsi="Times New Roman"/>
          <w:i/>
          <w:sz w:val="24"/>
          <w:szCs w:val="24"/>
          <w:lang w:val="nb-NO"/>
        </w:rPr>
        <w:t>Journal of the American Statistical Association</w:t>
      </w:r>
      <w:r>
        <w:rPr>
          <w:rFonts w:ascii="Times New Roman" w:hAnsi="Times New Roman"/>
          <w:sz w:val="24"/>
          <w:szCs w:val="24"/>
          <w:lang w:val="nb-NO"/>
        </w:rPr>
        <w:t xml:space="preserve"> </w:t>
      </w:r>
      <w:r>
        <w:rPr>
          <w:rFonts w:ascii="Times New Roman" w:hAnsi="Times New Roman"/>
          <w:b/>
          <w:sz w:val="24"/>
          <w:szCs w:val="24"/>
          <w:lang w:val="nb-NO"/>
        </w:rPr>
        <w:t>2004</w:t>
      </w:r>
      <w:r>
        <w:rPr>
          <w:rFonts w:ascii="Times New Roman" w:hAnsi="Times New Roman"/>
          <w:sz w:val="24"/>
          <w:szCs w:val="24"/>
          <w:lang w:val="nb-NO"/>
        </w:rPr>
        <w:t>, 99, 250-261.</w:t>
      </w:r>
      <w:bookmarkEnd w:id="277"/>
    </w:p>
    <w:p>
      <w:pPr>
        <w:pStyle w:val="31"/>
        <w:widowControl/>
        <w:numPr>
          <w:ilvl w:val="0"/>
          <w:numId w:val="44"/>
        </w:numPr>
        <w:ind w:left="357" w:hanging="357" w:firstLineChars="0"/>
        <w:rPr>
          <w:rFonts w:ascii="Times New Roman" w:hAnsi="Times New Roman"/>
          <w:b/>
          <w:sz w:val="24"/>
          <w:szCs w:val="24"/>
        </w:rPr>
      </w:pPr>
      <w:bookmarkStart w:id="278" w:name="_Ref510550300"/>
      <w:r>
        <w:rPr>
          <w:rFonts w:ascii="Times New Roman" w:hAnsi="Times New Roman"/>
          <w:iCs/>
          <w:sz w:val="24"/>
          <w:szCs w:val="24"/>
        </w:rPr>
        <w:t xml:space="preserve">Berrocal, V.J., Gelfand, A.E., Holland, D.M., Space-Time Data fusion Under Error in Computer Model Output: An Application to Modeling Air Quality. </w:t>
      </w:r>
      <w:r>
        <w:rPr>
          <w:rFonts w:ascii="Times New Roman" w:hAnsi="Times New Roman"/>
          <w:i/>
          <w:iCs/>
          <w:sz w:val="24"/>
          <w:szCs w:val="24"/>
        </w:rPr>
        <w:t>Biometrics</w:t>
      </w:r>
      <w:r>
        <w:rPr>
          <w:rFonts w:ascii="Times New Roman" w:hAnsi="Times New Roman"/>
          <w:iCs/>
          <w:sz w:val="24"/>
          <w:szCs w:val="24"/>
        </w:rPr>
        <w:t xml:space="preserve"> </w:t>
      </w:r>
      <w:r>
        <w:rPr>
          <w:rFonts w:ascii="Times New Roman" w:hAnsi="Times New Roman"/>
          <w:b/>
          <w:iCs/>
          <w:sz w:val="24"/>
          <w:szCs w:val="24"/>
        </w:rPr>
        <w:t>2012</w:t>
      </w:r>
      <w:r>
        <w:rPr>
          <w:rFonts w:ascii="Times New Roman" w:hAnsi="Times New Roman"/>
          <w:iCs/>
          <w:sz w:val="24"/>
          <w:szCs w:val="24"/>
        </w:rPr>
        <w:t>, 68, 837-848.</w:t>
      </w:r>
      <w:bookmarkEnd w:id="278"/>
    </w:p>
    <w:p>
      <w:pPr>
        <w:pStyle w:val="31"/>
        <w:widowControl/>
        <w:numPr>
          <w:ilvl w:val="0"/>
          <w:numId w:val="44"/>
        </w:numPr>
        <w:ind w:left="357" w:hanging="357" w:firstLineChars="0"/>
        <w:rPr>
          <w:rFonts w:ascii="Times New Roman" w:hAnsi="Times New Roman"/>
          <w:b/>
          <w:sz w:val="24"/>
          <w:szCs w:val="24"/>
        </w:rPr>
      </w:pPr>
      <w:bookmarkStart w:id="279" w:name="_Ref510550309"/>
      <w:r>
        <w:rPr>
          <w:rFonts w:ascii="Times New Roman" w:hAnsi="Times New Roman"/>
          <w:sz w:val="24"/>
          <w:szCs w:val="24"/>
          <w:lang w:val="nb-NO"/>
        </w:rPr>
        <w:t xml:space="preserve">Finley, A.O., Sang, H., Banerjee, S., Gelfand, A.E., Improving the performance of predictive process modeling for large datasets. </w:t>
      </w:r>
      <w:r>
        <w:rPr>
          <w:rFonts w:ascii="Times New Roman" w:hAnsi="Times New Roman"/>
          <w:i/>
          <w:sz w:val="24"/>
          <w:szCs w:val="24"/>
          <w:lang w:val="nb-NO"/>
        </w:rPr>
        <w:t>Computational statistics &amp; data analysis</w:t>
      </w:r>
      <w:r>
        <w:rPr>
          <w:rFonts w:ascii="Times New Roman" w:hAnsi="Times New Roman"/>
          <w:sz w:val="24"/>
          <w:szCs w:val="24"/>
          <w:lang w:val="nb-NO"/>
        </w:rPr>
        <w:t xml:space="preserve"> </w:t>
      </w:r>
      <w:r>
        <w:rPr>
          <w:rFonts w:ascii="Times New Roman" w:hAnsi="Times New Roman"/>
          <w:b/>
          <w:sz w:val="24"/>
          <w:szCs w:val="24"/>
          <w:lang w:val="nb-NO"/>
        </w:rPr>
        <w:t>2009</w:t>
      </w:r>
      <w:r>
        <w:rPr>
          <w:rFonts w:ascii="Times New Roman" w:hAnsi="Times New Roman"/>
          <w:sz w:val="24"/>
          <w:szCs w:val="24"/>
          <w:lang w:val="nb-NO"/>
        </w:rPr>
        <w:t>, 53, 2873-2884.</w:t>
      </w:r>
      <w:bookmarkEnd w:id="11"/>
      <w:bookmarkEnd w:id="279"/>
    </w:p>
    <w:p>
      <w:pPr>
        <w:jc w:val="both"/>
        <w:rPr>
          <w:szCs w:val="24"/>
        </w:rPr>
      </w:pPr>
    </w:p>
    <w:sectPr>
      <w:footerReference r:id="rId13" w:type="default"/>
      <w:pgSz w:w="11906" w:h="16838"/>
      <w:pgMar w:top="1440" w:right="1800" w:bottom="1440" w:left="180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CMR12">
    <w:altName w:val="Times New Roman"/>
    <w:panose1 w:val="00000000000000000000"/>
    <w:charset w:val="00"/>
    <w:family w:val="auto"/>
    <w:pitch w:val="default"/>
    <w:sig w:usb0="00000000" w:usb1="00000000" w:usb2="00000000" w:usb3="00000000" w:csb0="00000001" w:csb1="00000000"/>
  </w:font>
  <w:font w:name="CMMIB10">
    <w:altName w:val="Times New Roman"/>
    <w:panose1 w:val="00000000000000000000"/>
    <w:charset w:val="00"/>
    <w:family w:val="auto"/>
    <w:pitch w:val="default"/>
    <w:sig w:usb0="00000000" w:usb1="00000000" w:usb2="00000000" w:usb3="00000000" w:csb0="00000001" w:csb1="00000000"/>
  </w:font>
  <w:font w:name="CMMI12">
    <w:altName w:val="Times New Roman"/>
    <w:panose1 w:val="00000000000000000000"/>
    <w:charset w:val="00"/>
    <w:family w:val="auto"/>
    <w:pitch w:val="default"/>
    <w:sig w:usb0="00000000" w:usb1="00000000" w:usb2="00000000" w:usb3="00000000" w:csb0="00000001" w:csb1="00000000"/>
  </w:font>
  <w:font w:name="Adobe 楷体 Std R">
    <w:altName w:val="宋体"/>
    <w:panose1 w:val="00000000000000000000"/>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953683943"/>
      <w:docPartObj>
        <w:docPartGallery w:val="AutoText"/>
      </w:docPartObj>
    </w:sdtPr>
    <w:sdtEndPr>
      <w:rPr>
        <w:rStyle w:val="22"/>
      </w:rPr>
    </w:sdtEndPr>
    <w:sdtContent>
      <w:p>
        <w:pPr>
          <w:pStyle w:val="11"/>
          <w:framePr w:wrap="auto" w:vAnchor="text" w:hAnchor="margin" w:xAlign="center" w:y="1"/>
          <w:rPr>
            <w:rStyle w:val="22"/>
          </w:rPr>
        </w:pPr>
        <w:r>
          <w:rPr>
            <w:rStyle w:val="22"/>
          </w:rPr>
          <w:fldChar w:fldCharType="begin"/>
        </w:r>
        <w:r>
          <w:rPr>
            <w:rStyle w:val="22"/>
          </w:rPr>
          <w:instrText xml:space="preserve"> PAGE </w:instrText>
        </w:r>
        <w:r>
          <w:rPr>
            <w:rStyle w:val="22"/>
          </w:rP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005"/>
        <w:tab w:val="right" w:pos="9360"/>
      </w:tabs>
      <w:rPr>
        <w:i/>
        <w:iCs/>
      </w:rPr>
    </w:pPr>
    <w:r>
      <w:rPr>
        <w:i/>
        <w:iCs/>
      </w:rPr>
      <w:t>UNC Institure for the Environment</w:t>
    </w:r>
    <w:r>
      <w:rPr>
        <w:i/>
        <w:iCs/>
        <w:sz w:val="20"/>
      </w:rPr>
      <w:tab/>
    </w:r>
    <w:r>
      <w:rPr>
        <w:i/>
        <w:iCs/>
        <w:sz w:val="20"/>
      </w:rPr>
      <w:tab/>
    </w:r>
    <w:r>
      <w:rPr>
        <w:rStyle w:val="22"/>
      </w:rPr>
      <w:fldChar w:fldCharType="begin"/>
    </w:r>
    <w:r>
      <w:rPr>
        <w:rStyle w:val="22"/>
      </w:rPr>
      <w:instrText xml:space="preserve"> PAGE </w:instrText>
    </w:r>
    <w:r>
      <w:rPr>
        <w:rStyle w:val="22"/>
      </w:rPr>
      <w:fldChar w:fldCharType="separate"/>
    </w:r>
    <w:r>
      <w:rPr>
        <w:rStyle w:val="22"/>
      </w:rPr>
      <w:t>21</w:t>
    </w:r>
    <w:r>
      <w:rPr>
        <w:rStyle w:val="22"/>
      </w:rPr>
      <w:fldChar w:fldCharType="end"/>
    </w:r>
    <w:r>
      <w:rPr>
        <w:rStyle w:val="22"/>
        <w:i/>
        <w:iCs/>
        <w:sz w:val="20"/>
      </w:rPr>
      <w:tab/>
    </w:r>
    <w:r>
      <w:rPr>
        <w:rStyle w:val="22"/>
        <w:i/>
        <w:iCs/>
        <w:sz w:val="20"/>
      </w:rPr>
      <w:t>December 31, 2022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005"/>
        <w:tab w:val="right" w:pos="9360"/>
      </w:tabs>
      <w:rPr>
        <w:i/>
        <w:iCs/>
      </w:rPr>
    </w:pPr>
    <w:r>
      <w:rPr>
        <w:i/>
        <w:iCs/>
      </w:rPr>
      <w:t>UNC–Chapel Hill</w:t>
    </w:r>
    <w:r>
      <w:rPr>
        <w:i/>
        <w:iCs/>
        <w:sz w:val="20"/>
      </w:rPr>
      <w:tab/>
    </w:r>
    <w:r>
      <w:rPr>
        <w:i/>
        <w:iCs/>
        <w:sz w:val="20"/>
      </w:rPr>
      <w:tab/>
    </w:r>
    <w:r>
      <w:rPr>
        <w:rStyle w:val="22"/>
      </w:rPr>
      <w:fldChar w:fldCharType="begin"/>
    </w:r>
    <w:r>
      <w:rPr>
        <w:rStyle w:val="22"/>
      </w:rPr>
      <w:instrText xml:space="preserve"> PAGE </w:instrText>
    </w:r>
    <w:r>
      <w:rPr>
        <w:rStyle w:val="22"/>
      </w:rPr>
      <w:fldChar w:fldCharType="separate"/>
    </w:r>
    <w:r>
      <w:rPr>
        <w:rStyle w:val="22"/>
      </w:rPr>
      <w:t>21</w:t>
    </w:r>
    <w:r>
      <w:rPr>
        <w:rStyle w:val="22"/>
      </w:rPr>
      <w:fldChar w:fldCharType="end"/>
    </w:r>
    <w:r>
      <w:rPr>
        <w:rStyle w:val="22"/>
        <w:i/>
        <w:iCs/>
        <w:sz w:val="20"/>
      </w:rPr>
      <w:tab/>
    </w:r>
    <w:r>
      <w:rPr>
        <w:rStyle w:val="22"/>
        <w:i/>
        <w:iCs/>
      </w:rPr>
      <w:t>Institute for the Environment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sz w:val="28"/>
        <w:szCs w:val="32"/>
      </w:rPr>
      <w:drawing>
        <wp:anchor distT="0" distB="0" distL="114300" distR="114300" simplePos="0" relativeHeight="251660288" behindDoc="0" locked="0" layoutInCell="1" allowOverlap="1">
          <wp:simplePos x="0" y="0"/>
          <wp:positionH relativeFrom="margin">
            <wp:align>left</wp:align>
          </wp:positionH>
          <wp:positionV relativeFrom="paragraph">
            <wp:posOffset>-114935</wp:posOffset>
          </wp:positionV>
          <wp:extent cx="2276475" cy="324485"/>
          <wp:effectExtent l="0" t="0" r="9525" b="0"/>
          <wp:wrapSquare wrapText="bothSides"/>
          <wp:docPr id="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324485"/>
                  </a:xfrm>
                  <a:prstGeom prst="rect">
                    <a:avLst/>
                  </a:prstGeom>
                </pic:spPr>
              </pic:pic>
            </a:graphicData>
          </a:graphic>
        </wp:anchor>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sz w:val="20"/>
      </w:rPr>
    </w:pPr>
    <w:r>
      <w:rPr>
        <w:i/>
        <w:sz w:val="20"/>
        <w:szCs w:val="20"/>
      </w:rPr>
      <w:t>User’s Manual for Data Fusion Tool 2.4</w:t>
    </w:r>
    <w:r>
      <w:rPr>
        <w:i/>
        <w:sz w:val="20"/>
        <w:szCs w:val="20"/>
      </w:rPr>
      <w:tab/>
    </w:r>
    <w:r>
      <w:rPr>
        <w:i/>
        <w:sz w:val="20"/>
        <w:szCs w:val="20"/>
      </w:rPr>
      <w:tab/>
    </w:r>
    <w:r>
      <w:rPr>
        <w:i/>
        <w:sz w:val="20"/>
        <w:szCs w:val="20"/>
      </w:rPr>
      <w:t>EPA Task Order: 68HERH21F0334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b/>
        <w:sz w:val="28"/>
        <w:szCs w:val="32"/>
        <w:lang w:eastAsia="en-US"/>
      </w:rPr>
      <w:drawing>
        <wp:anchor distT="0" distB="0" distL="114300" distR="114300" simplePos="0" relativeHeight="251659264" behindDoc="0" locked="0" layoutInCell="1" allowOverlap="1">
          <wp:simplePos x="0" y="0"/>
          <wp:positionH relativeFrom="margin">
            <wp:posOffset>-66675</wp:posOffset>
          </wp:positionH>
          <wp:positionV relativeFrom="paragraph">
            <wp:posOffset>-361950</wp:posOffset>
          </wp:positionV>
          <wp:extent cx="2276475" cy="324485"/>
          <wp:effectExtent l="0" t="0" r="9525" b="8890"/>
          <wp:wrapSquare wrapText="bothSides"/>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3244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3637A"/>
    <w:multiLevelType w:val="multilevel"/>
    <w:tmpl w:val="05F3637A"/>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8AA11F8"/>
    <w:multiLevelType w:val="multilevel"/>
    <w:tmpl w:val="08AA11F8"/>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727F92"/>
    <w:multiLevelType w:val="multilevel"/>
    <w:tmpl w:val="0D727F92"/>
    <w:lvl w:ilvl="0" w:tentative="0">
      <w:start w:val="1"/>
      <w:numFmt w:val="decimal"/>
      <w:lvlText w:val="%1"/>
      <w:lvlJc w:val="left"/>
      <w:pPr>
        <w:ind w:left="375" w:hanging="375"/>
      </w:pPr>
      <w:rPr>
        <w:rFonts w:hint="default"/>
      </w:rPr>
    </w:lvl>
    <w:lvl w:ilvl="1" w:tentative="0">
      <w:start w:val="1"/>
      <w:numFmt w:val="decimal"/>
      <w:suff w:val="space"/>
      <w:lvlText w:val="%1.%2"/>
      <w:lvlJc w:val="left"/>
      <w:pPr>
        <w:ind w:left="375" w:hanging="375"/>
      </w:pPr>
      <w:rPr>
        <w:rFonts w:hint="default"/>
      </w:rPr>
    </w:lvl>
    <w:lvl w:ilvl="2" w:tentative="0">
      <w:start w:val="1"/>
      <w:numFmt w:val="decimal"/>
      <w:suff w:val="space"/>
      <w:lvlText w:val="%1.%2.%3"/>
      <w:lvlJc w:val="left"/>
      <w:pPr>
        <w:ind w:left="0" w:firstLine="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104723D6"/>
    <w:multiLevelType w:val="multilevel"/>
    <w:tmpl w:val="104723D6"/>
    <w:lvl w:ilvl="0" w:tentative="0">
      <w:start w:val="1"/>
      <w:numFmt w:val="bullet"/>
      <w:suff w:val="nothing"/>
      <w:lvlText w:val=""/>
      <w:lvlJc w:val="left"/>
      <w:pPr>
        <w:ind w:left="7932" w:hanging="420"/>
      </w:pPr>
      <w:rPr>
        <w:rFonts w:hint="default" w:ascii="Wingdings" w:hAnsi="Wingdings"/>
      </w:rPr>
    </w:lvl>
    <w:lvl w:ilvl="1" w:tentative="0">
      <w:start w:val="1"/>
      <w:numFmt w:val="bullet"/>
      <w:lvlText w:val=""/>
      <w:lvlJc w:val="left"/>
      <w:pPr>
        <w:ind w:left="8352" w:hanging="420"/>
      </w:pPr>
      <w:rPr>
        <w:rFonts w:hint="default" w:ascii="Wingdings" w:hAnsi="Wingdings"/>
      </w:rPr>
    </w:lvl>
    <w:lvl w:ilvl="2" w:tentative="0">
      <w:start w:val="1"/>
      <w:numFmt w:val="bullet"/>
      <w:lvlText w:val=""/>
      <w:lvlJc w:val="left"/>
      <w:pPr>
        <w:ind w:left="8772" w:hanging="420"/>
      </w:pPr>
      <w:rPr>
        <w:rFonts w:hint="default" w:ascii="Wingdings" w:hAnsi="Wingdings"/>
      </w:rPr>
    </w:lvl>
    <w:lvl w:ilvl="3" w:tentative="0">
      <w:start w:val="1"/>
      <w:numFmt w:val="bullet"/>
      <w:lvlText w:val=""/>
      <w:lvlJc w:val="left"/>
      <w:pPr>
        <w:ind w:left="9192" w:hanging="420"/>
      </w:pPr>
      <w:rPr>
        <w:rFonts w:hint="default" w:ascii="Wingdings" w:hAnsi="Wingdings"/>
      </w:rPr>
    </w:lvl>
    <w:lvl w:ilvl="4" w:tentative="0">
      <w:start w:val="1"/>
      <w:numFmt w:val="bullet"/>
      <w:lvlText w:val=""/>
      <w:lvlJc w:val="left"/>
      <w:pPr>
        <w:ind w:left="9612" w:hanging="420"/>
      </w:pPr>
      <w:rPr>
        <w:rFonts w:hint="default" w:ascii="Wingdings" w:hAnsi="Wingdings"/>
      </w:rPr>
    </w:lvl>
    <w:lvl w:ilvl="5" w:tentative="0">
      <w:start w:val="1"/>
      <w:numFmt w:val="bullet"/>
      <w:lvlText w:val=""/>
      <w:lvlJc w:val="left"/>
      <w:pPr>
        <w:ind w:left="10032" w:hanging="420"/>
      </w:pPr>
      <w:rPr>
        <w:rFonts w:hint="default" w:ascii="Wingdings" w:hAnsi="Wingdings"/>
      </w:rPr>
    </w:lvl>
    <w:lvl w:ilvl="6" w:tentative="0">
      <w:start w:val="1"/>
      <w:numFmt w:val="bullet"/>
      <w:lvlText w:val=""/>
      <w:lvlJc w:val="left"/>
      <w:pPr>
        <w:ind w:left="10452" w:hanging="420"/>
      </w:pPr>
      <w:rPr>
        <w:rFonts w:hint="default" w:ascii="Wingdings" w:hAnsi="Wingdings"/>
      </w:rPr>
    </w:lvl>
    <w:lvl w:ilvl="7" w:tentative="0">
      <w:start w:val="1"/>
      <w:numFmt w:val="bullet"/>
      <w:lvlText w:val=""/>
      <w:lvlJc w:val="left"/>
      <w:pPr>
        <w:ind w:left="10872" w:hanging="420"/>
      </w:pPr>
      <w:rPr>
        <w:rFonts w:hint="default" w:ascii="Wingdings" w:hAnsi="Wingdings"/>
      </w:rPr>
    </w:lvl>
    <w:lvl w:ilvl="8" w:tentative="0">
      <w:start w:val="1"/>
      <w:numFmt w:val="bullet"/>
      <w:lvlText w:val=""/>
      <w:lvlJc w:val="left"/>
      <w:pPr>
        <w:ind w:left="11292" w:hanging="420"/>
      </w:pPr>
      <w:rPr>
        <w:rFonts w:hint="default" w:ascii="Wingdings" w:hAnsi="Wingdings"/>
      </w:rPr>
    </w:lvl>
  </w:abstractNum>
  <w:abstractNum w:abstractNumId="4">
    <w:nsid w:val="10C63C6E"/>
    <w:multiLevelType w:val="multilevel"/>
    <w:tmpl w:val="10C63C6E"/>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270019E"/>
    <w:multiLevelType w:val="multilevel"/>
    <w:tmpl w:val="1270019E"/>
    <w:lvl w:ilvl="0" w:tentative="0">
      <w:start w:val="1"/>
      <w:numFmt w:val="bullet"/>
      <w:suff w:val="nothing"/>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B2E6438"/>
    <w:multiLevelType w:val="multilevel"/>
    <w:tmpl w:val="1B2E6438"/>
    <w:lvl w:ilvl="0" w:tentative="0">
      <w:start w:val="1"/>
      <w:numFmt w:val="decimal"/>
      <w:pStyle w:val="2"/>
      <w:suff w:val="space"/>
      <w:lvlText w:val="%1"/>
      <w:lvlJc w:val="left"/>
      <w:pPr>
        <w:ind w:left="0" w:firstLine="0"/>
      </w:pPr>
      <w:rPr>
        <w:rFonts w:hint="default" w:ascii="Times New Roman" w:hAnsi="Times New Roman"/>
        <w:b/>
        <w:i w:val="0"/>
        <w:sz w:val="32"/>
      </w:rPr>
    </w:lvl>
    <w:lvl w:ilvl="1" w:tentative="0">
      <w:start w:val="1"/>
      <w:numFmt w:val="decimal"/>
      <w:pStyle w:val="3"/>
      <w:suff w:val="space"/>
      <w:lvlText w:val="%1.%2"/>
      <w:lvlJc w:val="left"/>
      <w:pPr>
        <w:ind w:left="0" w:firstLine="0"/>
      </w:pPr>
      <w:rPr>
        <w:rFonts w:hint="default" w:ascii="Times New Roman" w:hAnsi="Times New Roman"/>
        <w:b/>
        <w:i w:val="0"/>
        <w:sz w:val="28"/>
      </w:rPr>
    </w:lvl>
    <w:lvl w:ilvl="2" w:tentative="0">
      <w:start w:val="1"/>
      <w:numFmt w:val="decimal"/>
      <w:pStyle w:val="4"/>
      <w:suff w:val="space"/>
      <w:lvlText w:val="%1.%2.%3"/>
      <w:lvlJc w:val="left"/>
      <w:pPr>
        <w:ind w:left="0" w:firstLine="0"/>
      </w:pPr>
      <w:rPr>
        <w:rFonts w:hint="default" w:ascii="Times New Roman" w:hAnsi="Times New Roman"/>
        <w:b/>
        <w:i w:val="0"/>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1E40281C"/>
    <w:multiLevelType w:val="multilevel"/>
    <w:tmpl w:val="1E40281C"/>
    <w:lvl w:ilvl="0" w:tentative="0">
      <w:start w:val="1"/>
      <w:numFmt w:val="decimal"/>
      <w:lvlText w:val="%1."/>
      <w:lvlJc w:val="left"/>
      <w:pPr>
        <w:ind w:left="360" w:hanging="360"/>
      </w:pPr>
      <w:rPr>
        <w:rFonts w:hint="default" w:ascii="Times New Roman" w:hAnsi="Times New Roman"/>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0BD1D90"/>
    <w:multiLevelType w:val="multilevel"/>
    <w:tmpl w:val="20BD1D90"/>
    <w:lvl w:ilvl="0" w:tentative="0">
      <w:start w:val="1"/>
      <w:numFmt w:val="bullet"/>
      <w:lvlText w:val=""/>
      <w:lvlJc w:val="left"/>
      <w:pPr>
        <w:ind w:left="661" w:hanging="420"/>
      </w:pPr>
      <w:rPr>
        <w:rFonts w:hint="default" w:ascii="Wingdings" w:hAnsi="Wingdings"/>
      </w:rPr>
    </w:lvl>
    <w:lvl w:ilvl="1" w:tentative="0">
      <w:start w:val="1"/>
      <w:numFmt w:val="bullet"/>
      <w:lvlText w:val=""/>
      <w:lvlJc w:val="left"/>
      <w:pPr>
        <w:ind w:left="1081" w:hanging="420"/>
      </w:pPr>
      <w:rPr>
        <w:rFonts w:hint="default" w:ascii="Wingdings" w:hAnsi="Wingdings"/>
      </w:rPr>
    </w:lvl>
    <w:lvl w:ilvl="2" w:tentative="0">
      <w:start w:val="1"/>
      <w:numFmt w:val="bullet"/>
      <w:lvlText w:val=""/>
      <w:lvlJc w:val="left"/>
      <w:pPr>
        <w:ind w:left="1501" w:hanging="420"/>
      </w:pPr>
      <w:rPr>
        <w:rFonts w:hint="default" w:ascii="Wingdings" w:hAnsi="Wingdings"/>
      </w:rPr>
    </w:lvl>
    <w:lvl w:ilvl="3" w:tentative="0">
      <w:start w:val="1"/>
      <w:numFmt w:val="bullet"/>
      <w:lvlText w:val=""/>
      <w:lvlJc w:val="left"/>
      <w:pPr>
        <w:ind w:left="1921" w:hanging="420"/>
      </w:pPr>
      <w:rPr>
        <w:rFonts w:hint="default" w:ascii="Wingdings" w:hAnsi="Wingdings"/>
      </w:rPr>
    </w:lvl>
    <w:lvl w:ilvl="4" w:tentative="0">
      <w:start w:val="1"/>
      <w:numFmt w:val="bullet"/>
      <w:lvlText w:val=""/>
      <w:lvlJc w:val="left"/>
      <w:pPr>
        <w:ind w:left="2341" w:hanging="420"/>
      </w:pPr>
      <w:rPr>
        <w:rFonts w:hint="default" w:ascii="Wingdings" w:hAnsi="Wingdings"/>
      </w:rPr>
    </w:lvl>
    <w:lvl w:ilvl="5" w:tentative="0">
      <w:start w:val="1"/>
      <w:numFmt w:val="bullet"/>
      <w:lvlText w:val=""/>
      <w:lvlJc w:val="left"/>
      <w:pPr>
        <w:ind w:left="2761" w:hanging="420"/>
      </w:pPr>
      <w:rPr>
        <w:rFonts w:hint="default" w:ascii="Wingdings" w:hAnsi="Wingdings"/>
      </w:rPr>
    </w:lvl>
    <w:lvl w:ilvl="6" w:tentative="0">
      <w:start w:val="1"/>
      <w:numFmt w:val="bullet"/>
      <w:lvlText w:val=""/>
      <w:lvlJc w:val="left"/>
      <w:pPr>
        <w:ind w:left="3181" w:hanging="420"/>
      </w:pPr>
      <w:rPr>
        <w:rFonts w:hint="default" w:ascii="Wingdings" w:hAnsi="Wingdings"/>
      </w:rPr>
    </w:lvl>
    <w:lvl w:ilvl="7" w:tentative="0">
      <w:start w:val="1"/>
      <w:numFmt w:val="bullet"/>
      <w:lvlText w:val=""/>
      <w:lvlJc w:val="left"/>
      <w:pPr>
        <w:ind w:left="3601" w:hanging="420"/>
      </w:pPr>
      <w:rPr>
        <w:rFonts w:hint="default" w:ascii="Wingdings" w:hAnsi="Wingdings"/>
      </w:rPr>
    </w:lvl>
    <w:lvl w:ilvl="8" w:tentative="0">
      <w:start w:val="1"/>
      <w:numFmt w:val="bullet"/>
      <w:lvlText w:val=""/>
      <w:lvlJc w:val="left"/>
      <w:pPr>
        <w:ind w:left="4021" w:hanging="420"/>
      </w:pPr>
      <w:rPr>
        <w:rFonts w:hint="default" w:ascii="Wingdings" w:hAnsi="Wingdings"/>
      </w:rPr>
    </w:lvl>
  </w:abstractNum>
  <w:abstractNum w:abstractNumId="9">
    <w:nsid w:val="230A5F1D"/>
    <w:multiLevelType w:val="multilevel"/>
    <w:tmpl w:val="230A5F1D"/>
    <w:lvl w:ilvl="0" w:tentative="0">
      <w:start w:val="1"/>
      <w:numFmt w:val="decimal"/>
      <w:lvlText w:val="(%1)"/>
      <w:lvlJc w:val="left"/>
      <w:pPr>
        <w:ind w:left="1129" w:hanging="420"/>
      </w:pPr>
      <w:rPr>
        <w:rFonts w:hint="default" w:ascii="Times New Roman" w:hAnsi="Times New Roman" w:cs="Times New Roman"/>
      </w:rPr>
    </w:lvl>
    <w:lvl w:ilvl="1" w:tentative="0">
      <w:start w:val="1"/>
      <w:numFmt w:val="lowerLetter"/>
      <w:lvlText w:val="%2)"/>
      <w:lvlJc w:val="left"/>
      <w:pPr>
        <w:ind w:left="1215" w:hanging="420"/>
      </w:pPr>
    </w:lvl>
    <w:lvl w:ilvl="2" w:tentative="0">
      <w:start w:val="1"/>
      <w:numFmt w:val="lowerRoman"/>
      <w:lvlText w:val="%3."/>
      <w:lvlJc w:val="right"/>
      <w:pPr>
        <w:ind w:left="1635" w:hanging="420"/>
      </w:pPr>
    </w:lvl>
    <w:lvl w:ilvl="3" w:tentative="0">
      <w:start w:val="1"/>
      <w:numFmt w:val="decimal"/>
      <w:lvlText w:val="%4."/>
      <w:lvlJc w:val="left"/>
      <w:pPr>
        <w:ind w:left="2055" w:hanging="420"/>
      </w:pPr>
    </w:lvl>
    <w:lvl w:ilvl="4" w:tentative="0">
      <w:start w:val="1"/>
      <w:numFmt w:val="lowerLetter"/>
      <w:lvlText w:val="%5)"/>
      <w:lvlJc w:val="left"/>
      <w:pPr>
        <w:ind w:left="2475" w:hanging="420"/>
      </w:pPr>
    </w:lvl>
    <w:lvl w:ilvl="5" w:tentative="0">
      <w:start w:val="1"/>
      <w:numFmt w:val="lowerRoman"/>
      <w:lvlText w:val="%6."/>
      <w:lvlJc w:val="right"/>
      <w:pPr>
        <w:ind w:left="2895" w:hanging="420"/>
      </w:pPr>
    </w:lvl>
    <w:lvl w:ilvl="6" w:tentative="0">
      <w:start w:val="1"/>
      <w:numFmt w:val="decimal"/>
      <w:lvlText w:val="%7."/>
      <w:lvlJc w:val="left"/>
      <w:pPr>
        <w:ind w:left="3315" w:hanging="420"/>
      </w:pPr>
    </w:lvl>
    <w:lvl w:ilvl="7" w:tentative="0">
      <w:start w:val="1"/>
      <w:numFmt w:val="lowerLetter"/>
      <w:lvlText w:val="%8)"/>
      <w:lvlJc w:val="left"/>
      <w:pPr>
        <w:ind w:left="3735" w:hanging="420"/>
      </w:pPr>
    </w:lvl>
    <w:lvl w:ilvl="8" w:tentative="0">
      <w:start w:val="1"/>
      <w:numFmt w:val="lowerRoman"/>
      <w:lvlText w:val="%9."/>
      <w:lvlJc w:val="right"/>
      <w:pPr>
        <w:ind w:left="4155" w:hanging="420"/>
      </w:pPr>
    </w:lvl>
  </w:abstractNum>
  <w:abstractNum w:abstractNumId="10">
    <w:nsid w:val="24AB5C23"/>
    <w:multiLevelType w:val="multilevel"/>
    <w:tmpl w:val="24AB5C23"/>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4BD20C9"/>
    <w:multiLevelType w:val="multilevel"/>
    <w:tmpl w:val="24BD20C9"/>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AB52C54"/>
    <w:multiLevelType w:val="multilevel"/>
    <w:tmpl w:val="2AB52C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1275A8E"/>
    <w:multiLevelType w:val="multilevel"/>
    <w:tmpl w:val="31275A8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4130133"/>
    <w:multiLevelType w:val="multilevel"/>
    <w:tmpl w:val="34130133"/>
    <w:lvl w:ilvl="0" w:tentative="0">
      <w:start w:val="1"/>
      <w:numFmt w:val="decimal"/>
      <w:suff w:val="space"/>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47A66EE"/>
    <w:multiLevelType w:val="multilevel"/>
    <w:tmpl w:val="347A66EE"/>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3843149F"/>
    <w:multiLevelType w:val="multilevel"/>
    <w:tmpl w:val="3843149F"/>
    <w:lvl w:ilvl="0" w:tentative="0">
      <w:start w:val="1"/>
      <w:numFmt w:val="bullet"/>
      <w:lvlText w:val=""/>
      <w:lvlJc w:val="left"/>
      <w:pPr>
        <w:ind w:left="960" w:hanging="360"/>
      </w:pPr>
      <w:rPr>
        <w:rFonts w:hint="default" w:ascii="Symbol" w:hAnsi="Symbol"/>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17">
    <w:nsid w:val="38E1508D"/>
    <w:multiLevelType w:val="multilevel"/>
    <w:tmpl w:val="38E1508D"/>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3CF11EC0"/>
    <w:multiLevelType w:val="multilevel"/>
    <w:tmpl w:val="3CF11E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EF16D10"/>
    <w:multiLevelType w:val="multilevel"/>
    <w:tmpl w:val="3EF16D10"/>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409C680C"/>
    <w:multiLevelType w:val="multilevel"/>
    <w:tmpl w:val="409C680C"/>
    <w:lvl w:ilvl="0" w:tentative="0">
      <w:start w:val="1"/>
      <w:numFmt w:val="bullet"/>
      <w:suff w:val="nothing"/>
      <w:lvlText w:val=""/>
      <w:lvlJc w:val="left"/>
      <w:pPr>
        <w:ind w:left="0" w:firstLine="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425F6B42"/>
    <w:multiLevelType w:val="multilevel"/>
    <w:tmpl w:val="425F6B42"/>
    <w:lvl w:ilvl="0" w:tentative="0">
      <w:start w:val="1"/>
      <w:numFmt w:val="bullet"/>
      <w:suff w:val="space"/>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43FC5BF0"/>
    <w:multiLevelType w:val="multilevel"/>
    <w:tmpl w:val="43FC5BF0"/>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4E555369"/>
    <w:multiLevelType w:val="multilevel"/>
    <w:tmpl w:val="4E55536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EFC5098"/>
    <w:multiLevelType w:val="multilevel"/>
    <w:tmpl w:val="4EFC5098"/>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50D94DD6"/>
    <w:multiLevelType w:val="multilevel"/>
    <w:tmpl w:val="50D94DD6"/>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26">
    <w:nsid w:val="530B0B47"/>
    <w:multiLevelType w:val="multilevel"/>
    <w:tmpl w:val="530B0B4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5BB74FC3"/>
    <w:multiLevelType w:val="multilevel"/>
    <w:tmpl w:val="5BB74FC3"/>
    <w:lvl w:ilvl="0" w:tentative="0">
      <w:start w:val="1"/>
      <w:numFmt w:val="bullet"/>
      <w:lvlText w:val=""/>
      <w:lvlJc w:val="left"/>
      <w:pPr>
        <w:ind w:left="661" w:hanging="420"/>
      </w:pPr>
      <w:rPr>
        <w:rFonts w:hint="default" w:ascii="Symbol" w:hAnsi="Symbol"/>
      </w:rPr>
    </w:lvl>
    <w:lvl w:ilvl="1" w:tentative="0">
      <w:start w:val="1"/>
      <w:numFmt w:val="bullet"/>
      <w:lvlText w:val=""/>
      <w:lvlJc w:val="left"/>
      <w:pPr>
        <w:ind w:left="1081" w:hanging="420"/>
      </w:pPr>
      <w:rPr>
        <w:rFonts w:hint="default" w:ascii="Wingdings" w:hAnsi="Wingdings"/>
      </w:rPr>
    </w:lvl>
    <w:lvl w:ilvl="2" w:tentative="0">
      <w:start w:val="1"/>
      <w:numFmt w:val="bullet"/>
      <w:lvlText w:val=""/>
      <w:lvlJc w:val="left"/>
      <w:pPr>
        <w:ind w:left="1501" w:hanging="420"/>
      </w:pPr>
      <w:rPr>
        <w:rFonts w:hint="default" w:ascii="Wingdings" w:hAnsi="Wingdings"/>
      </w:rPr>
    </w:lvl>
    <w:lvl w:ilvl="3" w:tentative="0">
      <w:start w:val="1"/>
      <w:numFmt w:val="bullet"/>
      <w:lvlText w:val=""/>
      <w:lvlJc w:val="left"/>
      <w:pPr>
        <w:ind w:left="1921" w:hanging="420"/>
      </w:pPr>
      <w:rPr>
        <w:rFonts w:hint="default" w:ascii="Wingdings" w:hAnsi="Wingdings"/>
      </w:rPr>
    </w:lvl>
    <w:lvl w:ilvl="4" w:tentative="0">
      <w:start w:val="1"/>
      <w:numFmt w:val="bullet"/>
      <w:lvlText w:val=""/>
      <w:lvlJc w:val="left"/>
      <w:pPr>
        <w:ind w:left="2341" w:hanging="420"/>
      </w:pPr>
      <w:rPr>
        <w:rFonts w:hint="default" w:ascii="Wingdings" w:hAnsi="Wingdings"/>
      </w:rPr>
    </w:lvl>
    <w:lvl w:ilvl="5" w:tentative="0">
      <w:start w:val="1"/>
      <w:numFmt w:val="bullet"/>
      <w:lvlText w:val=""/>
      <w:lvlJc w:val="left"/>
      <w:pPr>
        <w:ind w:left="2761" w:hanging="420"/>
      </w:pPr>
      <w:rPr>
        <w:rFonts w:hint="default" w:ascii="Wingdings" w:hAnsi="Wingdings"/>
      </w:rPr>
    </w:lvl>
    <w:lvl w:ilvl="6" w:tentative="0">
      <w:start w:val="1"/>
      <w:numFmt w:val="bullet"/>
      <w:lvlText w:val=""/>
      <w:lvlJc w:val="left"/>
      <w:pPr>
        <w:ind w:left="3181" w:hanging="420"/>
      </w:pPr>
      <w:rPr>
        <w:rFonts w:hint="default" w:ascii="Wingdings" w:hAnsi="Wingdings"/>
      </w:rPr>
    </w:lvl>
    <w:lvl w:ilvl="7" w:tentative="0">
      <w:start w:val="1"/>
      <w:numFmt w:val="bullet"/>
      <w:lvlText w:val=""/>
      <w:lvlJc w:val="left"/>
      <w:pPr>
        <w:ind w:left="3601" w:hanging="420"/>
      </w:pPr>
      <w:rPr>
        <w:rFonts w:hint="default" w:ascii="Wingdings" w:hAnsi="Wingdings"/>
      </w:rPr>
    </w:lvl>
    <w:lvl w:ilvl="8" w:tentative="0">
      <w:start w:val="1"/>
      <w:numFmt w:val="bullet"/>
      <w:lvlText w:val=""/>
      <w:lvlJc w:val="left"/>
      <w:pPr>
        <w:ind w:left="4021" w:hanging="420"/>
      </w:pPr>
      <w:rPr>
        <w:rFonts w:hint="default" w:ascii="Wingdings" w:hAnsi="Wingdings"/>
      </w:rPr>
    </w:lvl>
  </w:abstractNum>
  <w:abstractNum w:abstractNumId="28">
    <w:nsid w:val="5FF053BB"/>
    <w:multiLevelType w:val="multilevel"/>
    <w:tmpl w:val="5FF053BB"/>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9">
    <w:nsid w:val="606E2856"/>
    <w:multiLevelType w:val="multilevel"/>
    <w:tmpl w:val="606E2856"/>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958" w:hanging="420"/>
      </w:pPr>
      <w:rPr>
        <w:rFonts w:hint="default" w:ascii="Wingdings" w:hAnsi="Wingdings"/>
      </w:rPr>
    </w:lvl>
    <w:lvl w:ilvl="2" w:tentative="0">
      <w:start w:val="1"/>
      <w:numFmt w:val="bullet"/>
      <w:lvlText w:val=""/>
      <w:lvlJc w:val="left"/>
      <w:pPr>
        <w:ind w:left="1378" w:hanging="420"/>
      </w:pPr>
      <w:rPr>
        <w:rFonts w:hint="default" w:ascii="Wingdings" w:hAnsi="Wingdings"/>
      </w:rPr>
    </w:lvl>
    <w:lvl w:ilvl="3" w:tentative="0">
      <w:start w:val="1"/>
      <w:numFmt w:val="bullet"/>
      <w:lvlText w:val=""/>
      <w:lvlJc w:val="left"/>
      <w:pPr>
        <w:ind w:left="1798" w:hanging="420"/>
      </w:pPr>
      <w:rPr>
        <w:rFonts w:hint="default" w:ascii="Wingdings" w:hAnsi="Wingdings"/>
      </w:rPr>
    </w:lvl>
    <w:lvl w:ilvl="4" w:tentative="0">
      <w:start w:val="1"/>
      <w:numFmt w:val="bullet"/>
      <w:lvlText w:val=""/>
      <w:lvlJc w:val="left"/>
      <w:pPr>
        <w:ind w:left="2218" w:hanging="420"/>
      </w:pPr>
      <w:rPr>
        <w:rFonts w:hint="default" w:ascii="Wingdings" w:hAnsi="Wingdings"/>
      </w:rPr>
    </w:lvl>
    <w:lvl w:ilvl="5" w:tentative="0">
      <w:start w:val="1"/>
      <w:numFmt w:val="bullet"/>
      <w:lvlText w:val=""/>
      <w:lvlJc w:val="left"/>
      <w:pPr>
        <w:ind w:left="2638" w:hanging="420"/>
      </w:pPr>
      <w:rPr>
        <w:rFonts w:hint="default" w:ascii="Wingdings" w:hAnsi="Wingdings"/>
      </w:rPr>
    </w:lvl>
    <w:lvl w:ilvl="6" w:tentative="0">
      <w:start w:val="1"/>
      <w:numFmt w:val="bullet"/>
      <w:lvlText w:val=""/>
      <w:lvlJc w:val="left"/>
      <w:pPr>
        <w:ind w:left="3058" w:hanging="420"/>
      </w:pPr>
      <w:rPr>
        <w:rFonts w:hint="default" w:ascii="Wingdings" w:hAnsi="Wingdings"/>
      </w:rPr>
    </w:lvl>
    <w:lvl w:ilvl="7" w:tentative="0">
      <w:start w:val="1"/>
      <w:numFmt w:val="bullet"/>
      <w:lvlText w:val=""/>
      <w:lvlJc w:val="left"/>
      <w:pPr>
        <w:ind w:left="3478" w:hanging="420"/>
      </w:pPr>
      <w:rPr>
        <w:rFonts w:hint="default" w:ascii="Wingdings" w:hAnsi="Wingdings"/>
      </w:rPr>
    </w:lvl>
    <w:lvl w:ilvl="8" w:tentative="0">
      <w:start w:val="1"/>
      <w:numFmt w:val="bullet"/>
      <w:lvlText w:val=""/>
      <w:lvlJc w:val="left"/>
      <w:pPr>
        <w:ind w:left="3898" w:hanging="420"/>
      </w:pPr>
      <w:rPr>
        <w:rFonts w:hint="default" w:ascii="Wingdings" w:hAnsi="Wingdings"/>
      </w:rPr>
    </w:lvl>
  </w:abstractNum>
  <w:abstractNum w:abstractNumId="30">
    <w:nsid w:val="634F10CF"/>
    <w:multiLevelType w:val="multilevel"/>
    <w:tmpl w:val="634F10CF"/>
    <w:lvl w:ilvl="0" w:tentative="0">
      <w:start w:val="1"/>
      <w:numFmt w:val="bullet"/>
      <w:lvlText w:val=""/>
      <w:lvlJc w:val="left"/>
      <w:pPr>
        <w:ind w:left="660" w:hanging="420"/>
      </w:pPr>
      <w:rPr>
        <w:rFonts w:hint="default" w:ascii="Symbol" w:hAnsi="Symbol"/>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31">
    <w:nsid w:val="637F3BCA"/>
    <w:multiLevelType w:val="multilevel"/>
    <w:tmpl w:val="637F3BCA"/>
    <w:lvl w:ilvl="0" w:tentative="0">
      <w:start w:val="1"/>
      <w:numFmt w:val="bullet"/>
      <w:suff w:val="nothing"/>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64AE28CB"/>
    <w:multiLevelType w:val="multilevel"/>
    <w:tmpl w:val="64AE28CB"/>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6A5C15E2"/>
    <w:multiLevelType w:val="multilevel"/>
    <w:tmpl w:val="6A5C15E2"/>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6C054143"/>
    <w:multiLevelType w:val="multilevel"/>
    <w:tmpl w:val="6C054143"/>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6DEB1F07"/>
    <w:multiLevelType w:val="multilevel"/>
    <w:tmpl w:val="6DEB1F07"/>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6E8E7FB6"/>
    <w:multiLevelType w:val="multilevel"/>
    <w:tmpl w:val="6E8E7FB6"/>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958" w:hanging="420"/>
      </w:pPr>
      <w:rPr>
        <w:rFonts w:hint="default" w:ascii="Wingdings" w:hAnsi="Wingdings"/>
      </w:rPr>
    </w:lvl>
    <w:lvl w:ilvl="2" w:tentative="0">
      <w:start w:val="1"/>
      <w:numFmt w:val="bullet"/>
      <w:lvlText w:val=""/>
      <w:lvlJc w:val="left"/>
      <w:pPr>
        <w:ind w:left="1378" w:hanging="420"/>
      </w:pPr>
      <w:rPr>
        <w:rFonts w:hint="default" w:ascii="Wingdings" w:hAnsi="Wingdings"/>
      </w:rPr>
    </w:lvl>
    <w:lvl w:ilvl="3" w:tentative="0">
      <w:start w:val="1"/>
      <w:numFmt w:val="bullet"/>
      <w:lvlText w:val=""/>
      <w:lvlJc w:val="left"/>
      <w:pPr>
        <w:ind w:left="1798" w:hanging="420"/>
      </w:pPr>
      <w:rPr>
        <w:rFonts w:hint="default" w:ascii="Wingdings" w:hAnsi="Wingdings"/>
      </w:rPr>
    </w:lvl>
    <w:lvl w:ilvl="4" w:tentative="0">
      <w:start w:val="1"/>
      <w:numFmt w:val="bullet"/>
      <w:lvlText w:val=""/>
      <w:lvlJc w:val="left"/>
      <w:pPr>
        <w:ind w:left="2218" w:hanging="420"/>
      </w:pPr>
      <w:rPr>
        <w:rFonts w:hint="default" w:ascii="Wingdings" w:hAnsi="Wingdings"/>
      </w:rPr>
    </w:lvl>
    <w:lvl w:ilvl="5" w:tentative="0">
      <w:start w:val="1"/>
      <w:numFmt w:val="bullet"/>
      <w:lvlText w:val=""/>
      <w:lvlJc w:val="left"/>
      <w:pPr>
        <w:ind w:left="2638" w:hanging="420"/>
      </w:pPr>
      <w:rPr>
        <w:rFonts w:hint="default" w:ascii="Wingdings" w:hAnsi="Wingdings"/>
      </w:rPr>
    </w:lvl>
    <w:lvl w:ilvl="6" w:tentative="0">
      <w:start w:val="1"/>
      <w:numFmt w:val="bullet"/>
      <w:lvlText w:val=""/>
      <w:lvlJc w:val="left"/>
      <w:pPr>
        <w:ind w:left="3058" w:hanging="420"/>
      </w:pPr>
      <w:rPr>
        <w:rFonts w:hint="default" w:ascii="Wingdings" w:hAnsi="Wingdings"/>
      </w:rPr>
    </w:lvl>
    <w:lvl w:ilvl="7" w:tentative="0">
      <w:start w:val="1"/>
      <w:numFmt w:val="bullet"/>
      <w:lvlText w:val=""/>
      <w:lvlJc w:val="left"/>
      <w:pPr>
        <w:ind w:left="3478" w:hanging="420"/>
      </w:pPr>
      <w:rPr>
        <w:rFonts w:hint="default" w:ascii="Wingdings" w:hAnsi="Wingdings"/>
      </w:rPr>
    </w:lvl>
    <w:lvl w:ilvl="8" w:tentative="0">
      <w:start w:val="1"/>
      <w:numFmt w:val="bullet"/>
      <w:lvlText w:val=""/>
      <w:lvlJc w:val="left"/>
      <w:pPr>
        <w:ind w:left="3898" w:hanging="420"/>
      </w:pPr>
      <w:rPr>
        <w:rFonts w:hint="default" w:ascii="Wingdings" w:hAnsi="Wingdings"/>
      </w:rPr>
    </w:lvl>
  </w:abstractNum>
  <w:abstractNum w:abstractNumId="37">
    <w:nsid w:val="6F3A43B4"/>
    <w:multiLevelType w:val="multilevel"/>
    <w:tmpl w:val="6F3A43B4"/>
    <w:lvl w:ilvl="0" w:tentative="0">
      <w:start w:val="1"/>
      <w:numFmt w:val="decimal"/>
      <w:lvlText w:val="(%1)"/>
      <w:lvlJc w:val="left"/>
      <w:pPr>
        <w:ind w:left="660" w:hanging="420"/>
      </w:pPr>
      <w:rPr>
        <w:rFonts w:hint="default" w:ascii="Times New Roman" w:hAnsi="Times New Roman"/>
        <w:b w:val="0"/>
        <w:i w:val="0"/>
        <w:sz w:val="24"/>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38">
    <w:nsid w:val="73E906C2"/>
    <w:multiLevelType w:val="multilevel"/>
    <w:tmpl w:val="73E906C2"/>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39">
    <w:nsid w:val="75685559"/>
    <w:multiLevelType w:val="multilevel"/>
    <w:tmpl w:val="75685559"/>
    <w:lvl w:ilvl="0" w:tentative="0">
      <w:start w:val="1"/>
      <w:numFmt w:val="bullet"/>
      <w:suff w:val="nothing"/>
      <w:lvlText w:val=""/>
      <w:lvlJc w:val="left"/>
      <w:pPr>
        <w:ind w:left="0" w:firstLine="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75D713DB"/>
    <w:multiLevelType w:val="multilevel"/>
    <w:tmpl w:val="75D713DB"/>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41">
    <w:nsid w:val="78F92B2D"/>
    <w:multiLevelType w:val="multilevel"/>
    <w:tmpl w:val="78F92B2D"/>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7FDD1F3F"/>
    <w:multiLevelType w:val="multilevel"/>
    <w:tmpl w:val="7FDD1F3F"/>
    <w:lvl w:ilvl="0" w:tentative="0">
      <w:start w:val="1"/>
      <w:numFmt w:val="decimal"/>
      <w:lvlText w:val="(%1)"/>
      <w:lvlJc w:val="left"/>
      <w:pPr>
        <w:ind w:left="1170" w:hanging="420"/>
      </w:pPr>
      <w:rPr>
        <w:rFonts w:hint="default" w:ascii="Times New Roman" w:hAnsi="Times New Roman"/>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2"/>
  </w:num>
  <w:num w:numId="3">
    <w:abstractNumId w:val="42"/>
  </w:num>
  <w:num w:numId="4">
    <w:abstractNumId w:val="9"/>
  </w:num>
  <w:num w:numId="5">
    <w:abstractNumId w:val="16"/>
  </w:num>
  <w:num w:numId="6">
    <w:abstractNumId w:val="23"/>
  </w:num>
  <w:num w:numId="7">
    <w:abstractNumId w:val="39"/>
  </w:num>
  <w:num w:numId="8">
    <w:abstractNumId w:val="13"/>
  </w:num>
  <w:num w:numId="9">
    <w:abstractNumId w:val="29"/>
  </w:num>
  <w:num w:numId="10">
    <w:abstractNumId w:val="36"/>
  </w:num>
  <w:num w:numId="11">
    <w:abstractNumId w:val="25"/>
  </w:num>
  <w:num w:numId="12">
    <w:abstractNumId w:val="11"/>
  </w:num>
  <w:num w:numId="13">
    <w:abstractNumId w:val="31"/>
  </w:num>
  <w:num w:numId="14">
    <w:abstractNumId w:val="22"/>
  </w:num>
  <w:num w:numId="15">
    <w:abstractNumId w:val="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30"/>
  </w:num>
  <w:num w:numId="19">
    <w:abstractNumId w:val="40"/>
  </w:num>
  <w:num w:numId="20">
    <w:abstractNumId w:val="26"/>
  </w:num>
  <w:num w:numId="21">
    <w:abstractNumId w:val="28"/>
  </w:num>
  <w:num w:numId="22">
    <w:abstractNumId w:val="27"/>
  </w:num>
  <w:num w:numId="23">
    <w:abstractNumId w:val="8"/>
  </w:num>
  <w:num w:numId="24">
    <w:abstractNumId w:val="38"/>
  </w:num>
  <w:num w:numId="25">
    <w:abstractNumId w:val="37"/>
  </w:num>
  <w:num w:numId="26">
    <w:abstractNumId w:val="20"/>
  </w:num>
  <w:num w:numId="27">
    <w:abstractNumId w:val="35"/>
  </w:num>
  <w:num w:numId="28">
    <w:abstractNumId w:val="15"/>
  </w:num>
  <w:num w:numId="29">
    <w:abstractNumId w:val="21"/>
  </w:num>
  <w:num w:numId="30">
    <w:abstractNumId w:val="1"/>
  </w:num>
  <w:num w:numId="31">
    <w:abstractNumId w:val="34"/>
  </w:num>
  <w:num w:numId="32">
    <w:abstractNumId w:val="3"/>
  </w:num>
  <w:num w:numId="33">
    <w:abstractNumId w:val="17"/>
  </w:num>
  <w:num w:numId="34">
    <w:abstractNumId w:val="24"/>
  </w:num>
  <w:num w:numId="35">
    <w:abstractNumId w:val="41"/>
  </w:num>
  <w:num w:numId="36">
    <w:abstractNumId w:val="0"/>
  </w:num>
  <w:num w:numId="37">
    <w:abstractNumId w:val="19"/>
  </w:num>
  <w:num w:numId="38">
    <w:abstractNumId w:val="32"/>
  </w:num>
  <w:num w:numId="39">
    <w:abstractNumId w:val="10"/>
  </w:num>
  <w:num w:numId="40">
    <w:abstractNumId w:val="33"/>
  </w:num>
  <w:num w:numId="41">
    <w:abstractNumId w:val="4"/>
  </w:num>
  <w:num w:numId="42">
    <w:abstractNumId w:val="14"/>
  </w:num>
  <w:num w:numId="43">
    <w:abstractNumId w:val="12"/>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wM7c0NTAxNzE0MjFQ0lEKTi0uzszPAykwrAUAWAT5lSwAAAA="/>
    <w:docVar w:name="commondata" w:val="eyJoZGlkIjoiNWUyMTQzNDYyY2Y3NWJlNmU2ZjY3YzQ0MWZiMDMxNWMifQ=="/>
  </w:docVars>
  <w:rsids>
    <w:rsidRoot w:val="00D31D50"/>
    <w:rsid w:val="00000D24"/>
    <w:rsid w:val="000034AC"/>
    <w:rsid w:val="00004BDF"/>
    <w:rsid w:val="000169B1"/>
    <w:rsid w:val="00017B0D"/>
    <w:rsid w:val="000228B3"/>
    <w:rsid w:val="00024B95"/>
    <w:rsid w:val="0002545C"/>
    <w:rsid w:val="00026426"/>
    <w:rsid w:val="00026DCE"/>
    <w:rsid w:val="00031854"/>
    <w:rsid w:val="00034E2A"/>
    <w:rsid w:val="000375A2"/>
    <w:rsid w:val="0004362B"/>
    <w:rsid w:val="0005037B"/>
    <w:rsid w:val="000515CE"/>
    <w:rsid w:val="000626FF"/>
    <w:rsid w:val="00063DAD"/>
    <w:rsid w:val="00066304"/>
    <w:rsid w:val="00066682"/>
    <w:rsid w:val="000810F1"/>
    <w:rsid w:val="00082ECF"/>
    <w:rsid w:val="000845D3"/>
    <w:rsid w:val="00086980"/>
    <w:rsid w:val="000936CF"/>
    <w:rsid w:val="000A0E6A"/>
    <w:rsid w:val="000A2FCA"/>
    <w:rsid w:val="000B02A7"/>
    <w:rsid w:val="000B7DF2"/>
    <w:rsid w:val="000C04C7"/>
    <w:rsid w:val="000C4746"/>
    <w:rsid w:val="000D0E7D"/>
    <w:rsid w:val="000D0FEB"/>
    <w:rsid w:val="000D1520"/>
    <w:rsid w:val="000D4E8B"/>
    <w:rsid w:val="000D67DA"/>
    <w:rsid w:val="000D6E35"/>
    <w:rsid w:val="000D7907"/>
    <w:rsid w:val="000E0FDE"/>
    <w:rsid w:val="000E7346"/>
    <w:rsid w:val="000F1C93"/>
    <w:rsid w:val="000F79E9"/>
    <w:rsid w:val="00101CBC"/>
    <w:rsid w:val="0010666B"/>
    <w:rsid w:val="00106AB6"/>
    <w:rsid w:val="00110B72"/>
    <w:rsid w:val="00113E55"/>
    <w:rsid w:val="001170D2"/>
    <w:rsid w:val="001214E2"/>
    <w:rsid w:val="00122C2E"/>
    <w:rsid w:val="0012434D"/>
    <w:rsid w:val="00125CF6"/>
    <w:rsid w:val="00126476"/>
    <w:rsid w:val="00127A25"/>
    <w:rsid w:val="00130D6E"/>
    <w:rsid w:val="00133432"/>
    <w:rsid w:val="001351D0"/>
    <w:rsid w:val="00135460"/>
    <w:rsid w:val="00137533"/>
    <w:rsid w:val="00137E19"/>
    <w:rsid w:val="00142187"/>
    <w:rsid w:val="001431EF"/>
    <w:rsid w:val="00144112"/>
    <w:rsid w:val="00146594"/>
    <w:rsid w:val="00146AC1"/>
    <w:rsid w:val="00152D8E"/>
    <w:rsid w:val="00154191"/>
    <w:rsid w:val="00157F49"/>
    <w:rsid w:val="00162583"/>
    <w:rsid w:val="001627DB"/>
    <w:rsid w:val="00163FAE"/>
    <w:rsid w:val="00165E91"/>
    <w:rsid w:val="00165FF3"/>
    <w:rsid w:val="001679EE"/>
    <w:rsid w:val="00173CD3"/>
    <w:rsid w:val="0017579E"/>
    <w:rsid w:val="0018329A"/>
    <w:rsid w:val="00183F18"/>
    <w:rsid w:val="00192B6E"/>
    <w:rsid w:val="00192BA9"/>
    <w:rsid w:val="001937F7"/>
    <w:rsid w:val="001953F7"/>
    <w:rsid w:val="001974BC"/>
    <w:rsid w:val="00197DD9"/>
    <w:rsid w:val="001A3CB1"/>
    <w:rsid w:val="001A3F01"/>
    <w:rsid w:val="001A4876"/>
    <w:rsid w:val="001B0DB1"/>
    <w:rsid w:val="001B120E"/>
    <w:rsid w:val="001B19CC"/>
    <w:rsid w:val="001B1A5A"/>
    <w:rsid w:val="001B22BE"/>
    <w:rsid w:val="001B27FC"/>
    <w:rsid w:val="001B618B"/>
    <w:rsid w:val="001C2C67"/>
    <w:rsid w:val="001C508B"/>
    <w:rsid w:val="001C5A3F"/>
    <w:rsid w:val="001D66AD"/>
    <w:rsid w:val="001E1DF4"/>
    <w:rsid w:val="001E358C"/>
    <w:rsid w:val="001E3D89"/>
    <w:rsid w:val="001E4E73"/>
    <w:rsid w:val="001E793F"/>
    <w:rsid w:val="001F28F9"/>
    <w:rsid w:val="001F6678"/>
    <w:rsid w:val="001F7A1E"/>
    <w:rsid w:val="00200AF2"/>
    <w:rsid w:val="002041F6"/>
    <w:rsid w:val="00206F15"/>
    <w:rsid w:val="00207BB1"/>
    <w:rsid w:val="00211BAA"/>
    <w:rsid w:val="002132ED"/>
    <w:rsid w:val="002135CF"/>
    <w:rsid w:val="002168B2"/>
    <w:rsid w:val="00230304"/>
    <w:rsid w:val="0023783A"/>
    <w:rsid w:val="00242785"/>
    <w:rsid w:val="00243CAE"/>
    <w:rsid w:val="00244A19"/>
    <w:rsid w:val="00246877"/>
    <w:rsid w:val="00247175"/>
    <w:rsid w:val="00250CDD"/>
    <w:rsid w:val="00251463"/>
    <w:rsid w:val="00254250"/>
    <w:rsid w:val="002558C4"/>
    <w:rsid w:val="00257ECC"/>
    <w:rsid w:val="00260266"/>
    <w:rsid w:val="00266F71"/>
    <w:rsid w:val="00270A5C"/>
    <w:rsid w:val="002720AA"/>
    <w:rsid w:val="00275C23"/>
    <w:rsid w:val="002762C0"/>
    <w:rsid w:val="00282984"/>
    <w:rsid w:val="002833BE"/>
    <w:rsid w:val="002840D9"/>
    <w:rsid w:val="0028533A"/>
    <w:rsid w:val="00287209"/>
    <w:rsid w:val="0028734B"/>
    <w:rsid w:val="00290678"/>
    <w:rsid w:val="00290A69"/>
    <w:rsid w:val="0029110B"/>
    <w:rsid w:val="0029174F"/>
    <w:rsid w:val="00293686"/>
    <w:rsid w:val="00293F16"/>
    <w:rsid w:val="002943F7"/>
    <w:rsid w:val="00294649"/>
    <w:rsid w:val="00295DB7"/>
    <w:rsid w:val="002A11BF"/>
    <w:rsid w:val="002A198C"/>
    <w:rsid w:val="002A2C52"/>
    <w:rsid w:val="002A319C"/>
    <w:rsid w:val="002A41D8"/>
    <w:rsid w:val="002A4A8B"/>
    <w:rsid w:val="002B43A6"/>
    <w:rsid w:val="002B5A67"/>
    <w:rsid w:val="002B5D3C"/>
    <w:rsid w:val="002B750D"/>
    <w:rsid w:val="002C085C"/>
    <w:rsid w:val="002C2E05"/>
    <w:rsid w:val="002C6761"/>
    <w:rsid w:val="002C726D"/>
    <w:rsid w:val="002D03ED"/>
    <w:rsid w:val="002D36A6"/>
    <w:rsid w:val="002D391C"/>
    <w:rsid w:val="002D7529"/>
    <w:rsid w:val="002E0201"/>
    <w:rsid w:val="002F3F2E"/>
    <w:rsid w:val="00300D56"/>
    <w:rsid w:val="00300FAB"/>
    <w:rsid w:val="00301850"/>
    <w:rsid w:val="00302ECC"/>
    <w:rsid w:val="00322BC3"/>
    <w:rsid w:val="00323B43"/>
    <w:rsid w:val="0032645E"/>
    <w:rsid w:val="0033185B"/>
    <w:rsid w:val="00331A0E"/>
    <w:rsid w:val="00332C33"/>
    <w:rsid w:val="003376BD"/>
    <w:rsid w:val="00342052"/>
    <w:rsid w:val="00345306"/>
    <w:rsid w:val="0035378F"/>
    <w:rsid w:val="00354A11"/>
    <w:rsid w:val="0035585A"/>
    <w:rsid w:val="0035615B"/>
    <w:rsid w:val="00356408"/>
    <w:rsid w:val="00361F87"/>
    <w:rsid w:val="00362662"/>
    <w:rsid w:val="00364968"/>
    <w:rsid w:val="003669A5"/>
    <w:rsid w:val="00367F8C"/>
    <w:rsid w:val="00370005"/>
    <w:rsid w:val="00373CA4"/>
    <w:rsid w:val="00374BD4"/>
    <w:rsid w:val="003769FD"/>
    <w:rsid w:val="00377CCD"/>
    <w:rsid w:val="00380CA9"/>
    <w:rsid w:val="003812C6"/>
    <w:rsid w:val="00381C44"/>
    <w:rsid w:val="0038652F"/>
    <w:rsid w:val="00387802"/>
    <w:rsid w:val="00390FDB"/>
    <w:rsid w:val="003911D2"/>
    <w:rsid w:val="003928FE"/>
    <w:rsid w:val="00392F75"/>
    <w:rsid w:val="00394B00"/>
    <w:rsid w:val="00394BB8"/>
    <w:rsid w:val="00395DE0"/>
    <w:rsid w:val="0039659B"/>
    <w:rsid w:val="003A032A"/>
    <w:rsid w:val="003A2416"/>
    <w:rsid w:val="003A2CA4"/>
    <w:rsid w:val="003A2FEC"/>
    <w:rsid w:val="003A5829"/>
    <w:rsid w:val="003A7407"/>
    <w:rsid w:val="003B0B2C"/>
    <w:rsid w:val="003B1F6B"/>
    <w:rsid w:val="003B4610"/>
    <w:rsid w:val="003B733F"/>
    <w:rsid w:val="003C1ECF"/>
    <w:rsid w:val="003C305A"/>
    <w:rsid w:val="003C3671"/>
    <w:rsid w:val="003D30DD"/>
    <w:rsid w:val="003D37D8"/>
    <w:rsid w:val="003D51F1"/>
    <w:rsid w:val="003D604F"/>
    <w:rsid w:val="003E141E"/>
    <w:rsid w:val="003E17DE"/>
    <w:rsid w:val="003E218F"/>
    <w:rsid w:val="003E46C4"/>
    <w:rsid w:val="003E4DD3"/>
    <w:rsid w:val="003F0881"/>
    <w:rsid w:val="003F28A2"/>
    <w:rsid w:val="003F4BD3"/>
    <w:rsid w:val="003F5672"/>
    <w:rsid w:val="00405B76"/>
    <w:rsid w:val="00410C08"/>
    <w:rsid w:val="004144C0"/>
    <w:rsid w:val="00420001"/>
    <w:rsid w:val="004214EF"/>
    <w:rsid w:val="00423F4B"/>
    <w:rsid w:val="00426133"/>
    <w:rsid w:val="00431208"/>
    <w:rsid w:val="0043129A"/>
    <w:rsid w:val="00431AA7"/>
    <w:rsid w:val="00432A72"/>
    <w:rsid w:val="00432BA7"/>
    <w:rsid w:val="0043452A"/>
    <w:rsid w:val="004358AB"/>
    <w:rsid w:val="004401D0"/>
    <w:rsid w:val="004412F7"/>
    <w:rsid w:val="00443C47"/>
    <w:rsid w:val="00444E1F"/>
    <w:rsid w:val="00445704"/>
    <w:rsid w:val="00447C55"/>
    <w:rsid w:val="004566A7"/>
    <w:rsid w:val="00457A37"/>
    <w:rsid w:val="00460460"/>
    <w:rsid w:val="0046382E"/>
    <w:rsid w:val="0046730C"/>
    <w:rsid w:val="004707E7"/>
    <w:rsid w:val="004717EC"/>
    <w:rsid w:val="004760E2"/>
    <w:rsid w:val="00480122"/>
    <w:rsid w:val="00482A4A"/>
    <w:rsid w:val="00486214"/>
    <w:rsid w:val="00494184"/>
    <w:rsid w:val="00494996"/>
    <w:rsid w:val="004A26BE"/>
    <w:rsid w:val="004B0712"/>
    <w:rsid w:val="004B0EB8"/>
    <w:rsid w:val="004B4FB2"/>
    <w:rsid w:val="004B66B7"/>
    <w:rsid w:val="004B7986"/>
    <w:rsid w:val="004C1EF4"/>
    <w:rsid w:val="004D07C8"/>
    <w:rsid w:val="004D12C0"/>
    <w:rsid w:val="004D1DE2"/>
    <w:rsid w:val="004D5BC1"/>
    <w:rsid w:val="004D7071"/>
    <w:rsid w:val="004E3CBF"/>
    <w:rsid w:val="004E44BF"/>
    <w:rsid w:val="004E66F0"/>
    <w:rsid w:val="004F1652"/>
    <w:rsid w:val="004F2A14"/>
    <w:rsid w:val="004F366A"/>
    <w:rsid w:val="004F4622"/>
    <w:rsid w:val="004F47C1"/>
    <w:rsid w:val="004F528B"/>
    <w:rsid w:val="004F6507"/>
    <w:rsid w:val="00501570"/>
    <w:rsid w:val="005016CB"/>
    <w:rsid w:val="00503BA3"/>
    <w:rsid w:val="00511D65"/>
    <w:rsid w:val="00511FAF"/>
    <w:rsid w:val="005151CE"/>
    <w:rsid w:val="00515563"/>
    <w:rsid w:val="0052011D"/>
    <w:rsid w:val="00522E4D"/>
    <w:rsid w:val="00523D92"/>
    <w:rsid w:val="00527BFE"/>
    <w:rsid w:val="005301AB"/>
    <w:rsid w:val="00531BBE"/>
    <w:rsid w:val="00533CD6"/>
    <w:rsid w:val="00533EB1"/>
    <w:rsid w:val="005342B6"/>
    <w:rsid w:val="00542952"/>
    <w:rsid w:val="00542DF4"/>
    <w:rsid w:val="00551464"/>
    <w:rsid w:val="00554318"/>
    <w:rsid w:val="00554E04"/>
    <w:rsid w:val="0056049B"/>
    <w:rsid w:val="0056141B"/>
    <w:rsid w:val="00563C8F"/>
    <w:rsid w:val="00564DBF"/>
    <w:rsid w:val="005672FE"/>
    <w:rsid w:val="005727ED"/>
    <w:rsid w:val="0057323F"/>
    <w:rsid w:val="00575DC3"/>
    <w:rsid w:val="005770D8"/>
    <w:rsid w:val="005811B1"/>
    <w:rsid w:val="00582378"/>
    <w:rsid w:val="00591A31"/>
    <w:rsid w:val="00591F9F"/>
    <w:rsid w:val="0059304C"/>
    <w:rsid w:val="005A0DCF"/>
    <w:rsid w:val="005A50E3"/>
    <w:rsid w:val="005B222B"/>
    <w:rsid w:val="005B2D1D"/>
    <w:rsid w:val="005B476B"/>
    <w:rsid w:val="005B60CB"/>
    <w:rsid w:val="005C17E6"/>
    <w:rsid w:val="005C2E5A"/>
    <w:rsid w:val="005C3014"/>
    <w:rsid w:val="005C67C3"/>
    <w:rsid w:val="005C6B73"/>
    <w:rsid w:val="005D2014"/>
    <w:rsid w:val="005D5DE5"/>
    <w:rsid w:val="005D6D6E"/>
    <w:rsid w:val="005D7A86"/>
    <w:rsid w:val="005E4EB6"/>
    <w:rsid w:val="005E77BD"/>
    <w:rsid w:val="005F1169"/>
    <w:rsid w:val="005F266A"/>
    <w:rsid w:val="005F540A"/>
    <w:rsid w:val="00603902"/>
    <w:rsid w:val="00605B87"/>
    <w:rsid w:val="00605CEE"/>
    <w:rsid w:val="0060751D"/>
    <w:rsid w:val="00607EDC"/>
    <w:rsid w:val="0061200D"/>
    <w:rsid w:val="00615B84"/>
    <w:rsid w:val="00616C88"/>
    <w:rsid w:val="00622B46"/>
    <w:rsid w:val="006270D5"/>
    <w:rsid w:val="0063260A"/>
    <w:rsid w:val="00636BB4"/>
    <w:rsid w:val="00637B46"/>
    <w:rsid w:val="006424F9"/>
    <w:rsid w:val="00644E1B"/>
    <w:rsid w:val="0064627A"/>
    <w:rsid w:val="00647BA3"/>
    <w:rsid w:val="00650DD0"/>
    <w:rsid w:val="00651CF0"/>
    <w:rsid w:val="006534CE"/>
    <w:rsid w:val="006536F5"/>
    <w:rsid w:val="00654033"/>
    <w:rsid w:val="00655218"/>
    <w:rsid w:val="00655E84"/>
    <w:rsid w:val="0065772A"/>
    <w:rsid w:val="006661BE"/>
    <w:rsid w:val="006705D8"/>
    <w:rsid w:val="006712E3"/>
    <w:rsid w:val="0067542D"/>
    <w:rsid w:val="00676391"/>
    <w:rsid w:val="00676EE2"/>
    <w:rsid w:val="006779C4"/>
    <w:rsid w:val="00677DE8"/>
    <w:rsid w:val="0068176F"/>
    <w:rsid w:val="00683EB0"/>
    <w:rsid w:val="00684092"/>
    <w:rsid w:val="006843A0"/>
    <w:rsid w:val="00684FF8"/>
    <w:rsid w:val="006920E2"/>
    <w:rsid w:val="00692F11"/>
    <w:rsid w:val="00693FDF"/>
    <w:rsid w:val="006975A5"/>
    <w:rsid w:val="006A1983"/>
    <w:rsid w:val="006B1364"/>
    <w:rsid w:val="006B2C65"/>
    <w:rsid w:val="006B7689"/>
    <w:rsid w:val="006C18F5"/>
    <w:rsid w:val="006C275B"/>
    <w:rsid w:val="006C3358"/>
    <w:rsid w:val="006C51D9"/>
    <w:rsid w:val="006D031E"/>
    <w:rsid w:val="006D0B04"/>
    <w:rsid w:val="006D188B"/>
    <w:rsid w:val="006D29BA"/>
    <w:rsid w:val="006D34A0"/>
    <w:rsid w:val="006D3D59"/>
    <w:rsid w:val="006D463E"/>
    <w:rsid w:val="006D661C"/>
    <w:rsid w:val="006E05DA"/>
    <w:rsid w:val="006E0A6B"/>
    <w:rsid w:val="006E423B"/>
    <w:rsid w:val="006E7DCD"/>
    <w:rsid w:val="006F142E"/>
    <w:rsid w:val="006F224D"/>
    <w:rsid w:val="006F2714"/>
    <w:rsid w:val="006F4ECD"/>
    <w:rsid w:val="006F5C4D"/>
    <w:rsid w:val="006F5E28"/>
    <w:rsid w:val="006F5F9D"/>
    <w:rsid w:val="006F72A0"/>
    <w:rsid w:val="006F7485"/>
    <w:rsid w:val="006F7ABA"/>
    <w:rsid w:val="007002A7"/>
    <w:rsid w:val="0070195A"/>
    <w:rsid w:val="0070371F"/>
    <w:rsid w:val="00707AA9"/>
    <w:rsid w:val="00710E66"/>
    <w:rsid w:val="00713244"/>
    <w:rsid w:val="007137E5"/>
    <w:rsid w:val="00714BC5"/>
    <w:rsid w:val="007237D3"/>
    <w:rsid w:val="007250ED"/>
    <w:rsid w:val="00725E92"/>
    <w:rsid w:val="00733305"/>
    <w:rsid w:val="00733A1E"/>
    <w:rsid w:val="00743492"/>
    <w:rsid w:val="00757F4E"/>
    <w:rsid w:val="0076178C"/>
    <w:rsid w:val="0076217D"/>
    <w:rsid w:val="00765012"/>
    <w:rsid w:val="00765D1B"/>
    <w:rsid w:val="00767F01"/>
    <w:rsid w:val="00770089"/>
    <w:rsid w:val="00771D84"/>
    <w:rsid w:val="007777B6"/>
    <w:rsid w:val="007800A1"/>
    <w:rsid w:val="00787432"/>
    <w:rsid w:val="00790D24"/>
    <w:rsid w:val="00791617"/>
    <w:rsid w:val="0079206C"/>
    <w:rsid w:val="00796A3E"/>
    <w:rsid w:val="007A0D9A"/>
    <w:rsid w:val="007A28E5"/>
    <w:rsid w:val="007B66A0"/>
    <w:rsid w:val="007B791C"/>
    <w:rsid w:val="007B7F5D"/>
    <w:rsid w:val="007C0110"/>
    <w:rsid w:val="007C0E54"/>
    <w:rsid w:val="007C25E4"/>
    <w:rsid w:val="007C75BF"/>
    <w:rsid w:val="007D10E8"/>
    <w:rsid w:val="007D62BA"/>
    <w:rsid w:val="007D6824"/>
    <w:rsid w:val="007D73A5"/>
    <w:rsid w:val="007E2AC3"/>
    <w:rsid w:val="007E4FB9"/>
    <w:rsid w:val="007F272D"/>
    <w:rsid w:val="0080056C"/>
    <w:rsid w:val="008022A8"/>
    <w:rsid w:val="00803A1C"/>
    <w:rsid w:val="00803FF0"/>
    <w:rsid w:val="0080615F"/>
    <w:rsid w:val="0081021A"/>
    <w:rsid w:val="008104D2"/>
    <w:rsid w:val="00811954"/>
    <w:rsid w:val="00811F2E"/>
    <w:rsid w:val="00812FBC"/>
    <w:rsid w:val="0081607C"/>
    <w:rsid w:val="00821656"/>
    <w:rsid w:val="008251E6"/>
    <w:rsid w:val="0082532F"/>
    <w:rsid w:val="00831623"/>
    <w:rsid w:val="00833B18"/>
    <w:rsid w:val="008341F9"/>
    <w:rsid w:val="00834E8F"/>
    <w:rsid w:val="0083586C"/>
    <w:rsid w:val="0083662A"/>
    <w:rsid w:val="008369A0"/>
    <w:rsid w:val="00837293"/>
    <w:rsid w:val="0084000D"/>
    <w:rsid w:val="00841226"/>
    <w:rsid w:val="008418FC"/>
    <w:rsid w:val="00842025"/>
    <w:rsid w:val="008435F6"/>
    <w:rsid w:val="00843EB9"/>
    <w:rsid w:val="00852D52"/>
    <w:rsid w:val="00860A67"/>
    <w:rsid w:val="008613D0"/>
    <w:rsid w:val="008617F4"/>
    <w:rsid w:val="008620A5"/>
    <w:rsid w:val="00862134"/>
    <w:rsid w:val="00862784"/>
    <w:rsid w:val="00865FD7"/>
    <w:rsid w:val="00867F42"/>
    <w:rsid w:val="0087154F"/>
    <w:rsid w:val="00881114"/>
    <w:rsid w:val="00881FC1"/>
    <w:rsid w:val="00884BE7"/>
    <w:rsid w:val="008855EC"/>
    <w:rsid w:val="00885F00"/>
    <w:rsid w:val="008878D3"/>
    <w:rsid w:val="008908E9"/>
    <w:rsid w:val="00894BA2"/>
    <w:rsid w:val="008960B7"/>
    <w:rsid w:val="00897179"/>
    <w:rsid w:val="00897E01"/>
    <w:rsid w:val="008A3025"/>
    <w:rsid w:val="008B116F"/>
    <w:rsid w:val="008B181D"/>
    <w:rsid w:val="008B563D"/>
    <w:rsid w:val="008B715A"/>
    <w:rsid w:val="008B7726"/>
    <w:rsid w:val="008C1987"/>
    <w:rsid w:val="008C4617"/>
    <w:rsid w:val="008C7AF8"/>
    <w:rsid w:val="008D1CB5"/>
    <w:rsid w:val="008D3FC8"/>
    <w:rsid w:val="008D778B"/>
    <w:rsid w:val="008E1804"/>
    <w:rsid w:val="008E48A7"/>
    <w:rsid w:val="008E501D"/>
    <w:rsid w:val="008E67A9"/>
    <w:rsid w:val="008E7B93"/>
    <w:rsid w:val="008F0833"/>
    <w:rsid w:val="008F287E"/>
    <w:rsid w:val="008F6454"/>
    <w:rsid w:val="0090121A"/>
    <w:rsid w:val="00905CDA"/>
    <w:rsid w:val="009074CA"/>
    <w:rsid w:val="00913321"/>
    <w:rsid w:val="0091495C"/>
    <w:rsid w:val="00914ECB"/>
    <w:rsid w:val="009327E4"/>
    <w:rsid w:val="00932D42"/>
    <w:rsid w:val="00937807"/>
    <w:rsid w:val="009537F7"/>
    <w:rsid w:val="00955938"/>
    <w:rsid w:val="009559AB"/>
    <w:rsid w:val="009675B3"/>
    <w:rsid w:val="009679BB"/>
    <w:rsid w:val="009738AC"/>
    <w:rsid w:val="00981B5E"/>
    <w:rsid w:val="00982D2F"/>
    <w:rsid w:val="00983811"/>
    <w:rsid w:val="00985C5E"/>
    <w:rsid w:val="00985F47"/>
    <w:rsid w:val="0098746A"/>
    <w:rsid w:val="009878E9"/>
    <w:rsid w:val="0099078A"/>
    <w:rsid w:val="00991949"/>
    <w:rsid w:val="0099343E"/>
    <w:rsid w:val="00997902"/>
    <w:rsid w:val="009A32D4"/>
    <w:rsid w:val="009A3E3C"/>
    <w:rsid w:val="009C08DB"/>
    <w:rsid w:val="009C2A82"/>
    <w:rsid w:val="009C6259"/>
    <w:rsid w:val="009D0379"/>
    <w:rsid w:val="009D27B3"/>
    <w:rsid w:val="009D2DB4"/>
    <w:rsid w:val="009E0B33"/>
    <w:rsid w:val="009E3637"/>
    <w:rsid w:val="009E4652"/>
    <w:rsid w:val="009E4D69"/>
    <w:rsid w:val="009E69DD"/>
    <w:rsid w:val="009F1516"/>
    <w:rsid w:val="00A00CBA"/>
    <w:rsid w:val="00A02699"/>
    <w:rsid w:val="00A02E73"/>
    <w:rsid w:val="00A111CE"/>
    <w:rsid w:val="00A12905"/>
    <w:rsid w:val="00A13CA4"/>
    <w:rsid w:val="00A162D7"/>
    <w:rsid w:val="00A166AF"/>
    <w:rsid w:val="00A1708F"/>
    <w:rsid w:val="00A20253"/>
    <w:rsid w:val="00A26D98"/>
    <w:rsid w:val="00A2731B"/>
    <w:rsid w:val="00A3779D"/>
    <w:rsid w:val="00A37EB8"/>
    <w:rsid w:val="00A40DEA"/>
    <w:rsid w:val="00A464F8"/>
    <w:rsid w:val="00A46E59"/>
    <w:rsid w:val="00A47BE4"/>
    <w:rsid w:val="00A545D5"/>
    <w:rsid w:val="00A56EFA"/>
    <w:rsid w:val="00A5784C"/>
    <w:rsid w:val="00A6099E"/>
    <w:rsid w:val="00A64AE6"/>
    <w:rsid w:val="00A65663"/>
    <w:rsid w:val="00A675DA"/>
    <w:rsid w:val="00A714E6"/>
    <w:rsid w:val="00A72E27"/>
    <w:rsid w:val="00A743AB"/>
    <w:rsid w:val="00A7476A"/>
    <w:rsid w:val="00A75859"/>
    <w:rsid w:val="00A75AD0"/>
    <w:rsid w:val="00A76C2E"/>
    <w:rsid w:val="00A81179"/>
    <w:rsid w:val="00A81180"/>
    <w:rsid w:val="00A83125"/>
    <w:rsid w:val="00A8646A"/>
    <w:rsid w:val="00A86779"/>
    <w:rsid w:val="00A90335"/>
    <w:rsid w:val="00A90417"/>
    <w:rsid w:val="00A93D53"/>
    <w:rsid w:val="00A9564B"/>
    <w:rsid w:val="00AA15C8"/>
    <w:rsid w:val="00AA214C"/>
    <w:rsid w:val="00AA5E3F"/>
    <w:rsid w:val="00AB15EF"/>
    <w:rsid w:val="00AB36FA"/>
    <w:rsid w:val="00AB57A2"/>
    <w:rsid w:val="00AC28D3"/>
    <w:rsid w:val="00AC2CE7"/>
    <w:rsid w:val="00AC7825"/>
    <w:rsid w:val="00AD1B51"/>
    <w:rsid w:val="00AD4480"/>
    <w:rsid w:val="00AD585C"/>
    <w:rsid w:val="00AE0E89"/>
    <w:rsid w:val="00AE3A7E"/>
    <w:rsid w:val="00AE5D24"/>
    <w:rsid w:val="00AE75DA"/>
    <w:rsid w:val="00AF04B7"/>
    <w:rsid w:val="00AF1C82"/>
    <w:rsid w:val="00AF4817"/>
    <w:rsid w:val="00AF7A08"/>
    <w:rsid w:val="00B0264F"/>
    <w:rsid w:val="00B04E7C"/>
    <w:rsid w:val="00B04FDE"/>
    <w:rsid w:val="00B061F4"/>
    <w:rsid w:val="00B06D87"/>
    <w:rsid w:val="00B07478"/>
    <w:rsid w:val="00B07822"/>
    <w:rsid w:val="00B10489"/>
    <w:rsid w:val="00B12EFA"/>
    <w:rsid w:val="00B142C1"/>
    <w:rsid w:val="00B22932"/>
    <w:rsid w:val="00B26932"/>
    <w:rsid w:val="00B30006"/>
    <w:rsid w:val="00B3288E"/>
    <w:rsid w:val="00B34577"/>
    <w:rsid w:val="00B40C42"/>
    <w:rsid w:val="00B40E96"/>
    <w:rsid w:val="00B419D1"/>
    <w:rsid w:val="00B45333"/>
    <w:rsid w:val="00B46606"/>
    <w:rsid w:val="00B477B2"/>
    <w:rsid w:val="00B538AE"/>
    <w:rsid w:val="00B55137"/>
    <w:rsid w:val="00B56339"/>
    <w:rsid w:val="00B60C88"/>
    <w:rsid w:val="00B64987"/>
    <w:rsid w:val="00B64CAD"/>
    <w:rsid w:val="00B64CF7"/>
    <w:rsid w:val="00B66B17"/>
    <w:rsid w:val="00B71B03"/>
    <w:rsid w:val="00B726C9"/>
    <w:rsid w:val="00B7338C"/>
    <w:rsid w:val="00B82056"/>
    <w:rsid w:val="00B84070"/>
    <w:rsid w:val="00B861D2"/>
    <w:rsid w:val="00B87B7E"/>
    <w:rsid w:val="00B93436"/>
    <w:rsid w:val="00B95252"/>
    <w:rsid w:val="00BA0530"/>
    <w:rsid w:val="00BA2D6C"/>
    <w:rsid w:val="00BA3676"/>
    <w:rsid w:val="00BA46D4"/>
    <w:rsid w:val="00BA72BC"/>
    <w:rsid w:val="00BB126A"/>
    <w:rsid w:val="00BB24CE"/>
    <w:rsid w:val="00BB58FE"/>
    <w:rsid w:val="00BB6761"/>
    <w:rsid w:val="00BC1D3B"/>
    <w:rsid w:val="00BC3E0D"/>
    <w:rsid w:val="00BC4E72"/>
    <w:rsid w:val="00BD4901"/>
    <w:rsid w:val="00BD583F"/>
    <w:rsid w:val="00BD648A"/>
    <w:rsid w:val="00BE3EE7"/>
    <w:rsid w:val="00BE63A9"/>
    <w:rsid w:val="00BE77A8"/>
    <w:rsid w:val="00BF269C"/>
    <w:rsid w:val="00BF5CE6"/>
    <w:rsid w:val="00BF78D2"/>
    <w:rsid w:val="00C003A4"/>
    <w:rsid w:val="00C03FDB"/>
    <w:rsid w:val="00C0488F"/>
    <w:rsid w:val="00C07B41"/>
    <w:rsid w:val="00C10F61"/>
    <w:rsid w:val="00C166F6"/>
    <w:rsid w:val="00C178B1"/>
    <w:rsid w:val="00C22ABE"/>
    <w:rsid w:val="00C252AE"/>
    <w:rsid w:val="00C31522"/>
    <w:rsid w:val="00C41C79"/>
    <w:rsid w:val="00C429D6"/>
    <w:rsid w:val="00C468E6"/>
    <w:rsid w:val="00C46DF2"/>
    <w:rsid w:val="00C51216"/>
    <w:rsid w:val="00C556C4"/>
    <w:rsid w:val="00C558F5"/>
    <w:rsid w:val="00C55AFD"/>
    <w:rsid w:val="00C6300A"/>
    <w:rsid w:val="00C63BB7"/>
    <w:rsid w:val="00C65BF8"/>
    <w:rsid w:val="00C664E9"/>
    <w:rsid w:val="00C76127"/>
    <w:rsid w:val="00C772A3"/>
    <w:rsid w:val="00C77BFD"/>
    <w:rsid w:val="00C937D2"/>
    <w:rsid w:val="00C93AF2"/>
    <w:rsid w:val="00C948A9"/>
    <w:rsid w:val="00CA685E"/>
    <w:rsid w:val="00CA7A85"/>
    <w:rsid w:val="00CB00AA"/>
    <w:rsid w:val="00CB70A8"/>
    <w:rsid w:val="00CB748B"/>
    <w:rsid w:val="00CB748D"/>
    <w:rsid w:val="00CB7DF4"/>
    <w:rsid w:val="00CC6468"/>
    <w:rsid w:val="00CD3127"/>
    <w:rsid w:val="00CD46A6"/>
    <w:rsid w:val="00CD48D1"/>
    <w:rsid w:val="00CD7A69"/>
    <w:rsid w:val="00CE5508"/>
    <w:rsid w:val="00CE6E20"/>
    <w:rsid w:val="00CE74CB"/>
    <w:rsid w:val="00CF32A7"/>
    <w:rsid w:val="00CF56EC"/>
    <w:rsid w:val="00CF78C8"/>
    <w:rsid w:val="00D00B6B"/>
    <w:rsid w:val="00D02B8C"/>
    <w:rsid w:val="00D02FBC"/>
    <w:rsid w:val="00D03706"/>
    <w:rsid w:val="00D049A0"/>
    <w:rsid w:val="00D066FB"/>
    <w:rsid w:val="00D13078"/>
    <w:rsid w:val="00D15A3D"/>
    <w:rsid w:val="00D17C0E"/>
    <w:rsid w:val="00D17F5E"/>
    <w:rsid w:val="00D23874"/>
    <w:rsid w:val="00D2389A"/>
    <w:rsid w:val="00D2416C"/>
    <w:rsid w:val="00D31D50"/>
    <w:rsid w:val="00D31D5F"/>
    <w:rsid w:val="00D32FE4"/>
    <w:rsid w:val="00D332C3"/>
    <w:rsid w:val="00D33620"/>
    <w:rsid w:val="00D35120"/>
    <w:rsid w:val="00D368C7"/>
    <w:rsid w:val="00D41641"/>
    <w:rsid w:val="00D4173F"/>
    <w:rsid w:val="00D6307D"/>
    <w:rsid w:val="00D634BF"/>
    <w:rsid w:val="00D706D7"/>
    <w:rsid w:val="00D71257"/>
    <w:rsid w:val="00D72462"/>
    <w:rsid w:val="00D72BA1"/>
    <w:rsid w:val="00D74D76"/>
    <w:rsid w:val="00D82001"/>
    <w:rsid w:val="00D85102"/>
    <w:rsid w:val="00D91C48"/>
    <w:rsid w:val="00D92455"/>
    <w:rsid w:val="00DA0CB8"/>
    <w:rsid w:val="00DA7C47"/>
    <w:rsid w:val="00DB0EB8"/>
    <w:rsid w:val="00DB4A85"/>
    <w:rsid w:val="00DC7A1E"/>
    <w:rsid w:val="00DD24FD"/>
    <w:rsid w:val="00DD46B8"/>
    <w:rsid w:val="00DD5BEE"/>
    <w:rsid w:val="00DE2FF8"/>
    <w:rsid w:val="00DE5409"/>
    <w:rsid w:val="00DE54D9"/>
    <w:rsid w:val="00DE56E1"/>
    <w:rsid w:val="00DF7097"/>
    <w:rsid w:val="00E043F6"/>
    <w:rsid w:val="00E04B64"/>
    <w:rsid w:val="00E0538D"/>
    <w:rsid w:val="00E106EB"/>
    <w:rsid w:val="00E107B8"/>
    <w:rsid w:val="00E11E5D"/>
    <w:rsid w:val="00E12CF1"/>
    <w:rsid w:val="00E1307B"/>
    <w:rsid w:val="00E14F93"/>
    <w:rsid w:val="00E15BBF"/>
    <w:rsid w:val="00E16AA1"/>
    <w:rsid w:val="00E174A7"/>
    <w:rsid w:val="00E216C8"/>
    <w:rsid w:val="00E23CDB"/>
    <w:rsid w:val="00E24319"/>
    <w:rsid w:val="00E25C22"/>
    <w:rsid w:val="00E2640D"/>
    <w:rsid w:val="00E3453C"/>
    <w:rsid w:val="00E417C3"/>
    <w:rsid w:val="00E4437E"/>
    <w:rsid w:val="00E44D49"/>
    <w:rsid w:val="00E4541B"/>
    <w:rsid w:val="00E5002F"/>
    <w:rsid w:val="00E51648"/>
    <w:rsid w:val="00E522C1"/>
    <w:rsid w:val="00E53953"/>
    <w:rsid w:val="00E53BF7"/>
    <w:rsid w:val="00E54F53"/>
    <w:rsid w:val="00E5627B"/>
    <w:rsid w:val="00E6064F"/>
    <w:rsid w:val="00E611F0"/>
    <w:rsid w:val="00E64E91"/>
    <w:rsid w:val="00E67CF0"/>
    <w:rsid w:val="00E719BB"/>
    <w:rsid w:val="00E73FB1"/>
    <w:rsid w:val="00E75D20"/>
    <w:rsid w:val="00E8418C"/>
    <w:rsid w:val="00E94729"/>
    <w:rsid w:val="00E965BE"/>
    <w:rsid w:val="00EA2905"/>
    <w:rsid w:val="00EA6977"/>
    <w:rsid w:val="00EB1522"/>
    <w:rsid w:val="00EB197F"/>
    <w:rsid w:val="00EB5B88"/>
    <w:rsid w:val="00EB63D4"/>
    <w:rsid w:val="00EB6411"/>
    <w:rsid w:val="00EC02C3"/>
    <w:rsid w:val="00EC1E99"/>
    <w:rsid w:val="00EC2B64"/>
    <w:rsid w:val="00EC3FC9"/>
    <w:rsid w:val="00EC6128"/>
    <w:rsid w:val="00ED0189"/>
    <w:rsid w:val="00ED1C10"/>
    <w:rsid w:val="00ED4FE3"/>
    <w:rsid w:val="00ED79DE"/>
    <w:rsid w:val="00EE5C76"/>
    <w:rsid w:val="00EF2D16"/>
    <w:rsid w:val="00EF78F5"/>
    <w:rsid w:val="00EF7EA3"/>
    <w:rsid w:val="00F01FA2"/>
    <w:rsid w:val="00F037EA"/>
    <w:rsid w:val="00F05A5E"/>
    <w:rsid w:val="00F20390"/>
    <w:rsid w:val="00F2151D"/>
    <w:rsid w:val="00F220DC"/>
    <w:rsid w:val="00F25628"/>
    <w:rsid w:val="00F26710"/>
    <w:rsid w:val="00F3383D"/>
    <w:rsid w:val="00F3420A"/>
    <w:rsid w:val="00F379A1"/>
    <w:rsid w:val="00F41A34"/>
    <w:rsid w:val="00F43BA3"/>
    <w:rsid w:val="00F43D5E"/>
    <w:rsid w:val="00F45F19"/>
    <w:rsid w:val="00F46337"/>
    <w:rsid w:val="00F6049A"/>
    <w:rsid w:val="00F62739"/>
    <w:rsid w:val="00F63565"/>
    <w:rsid w:val="00F64B9B"/>
    <w:rsid w:val="00F65D56"/>
    <w:rsid w:val="00F673C1"/>
    <w:rsid w:val="00F70DAE"/>
    <w:rsid w:val="00F74A48"/>
    <w:rsid w:val="00F81ABE"/>
    <w:rsid w:val="00F8490C"/>
    <w:rsid w:val="00F900A7"/>
    <w:rsid w:val="00F9055E"/>
    <w:rsid w:val="00F94A8B"/>
    <w:rsid w:val="00F957C2"/>
    <w:rsid w:val="00F95ABD"/>
    <w:rsid w:val="00FA29BA"/>
    <w:rsid w:val="00FA2CEF"/>
    <w:rsid w:val="00FA43E7"/>
    <w:rsid w:val="00FA48AF"/>
    <w:rsid w:val="00FA5B33"/>
    <w:rsid w:val="00FB71F1"/>
    <w:rsid w:val="00FC1CC3"/>
    <w:rsid w:val="00FC1D27"/>
    <w:rsid w:val="00FC4679"/>
    <w:rsid w:val="00FC64E8"/>
    <w:rsid w:val="00FC7352"/>
    <w:rsid w:val="00FD1D44"/>
    <w:rsid w:val="00FD3D78"/>
    <w:rsid w:val="00FD6DA0"/>
    <w:rsid w:val="00FD7306"/>
    <w:rsid w:val="00FD7795"/>
    <w:rsid w:val="00FD7F6E"/>
    <w:rsid w:val="00FE2E53"/>
    <w:rsid w:val="00FE5496"/>
    <w:rsid w:val="00FF2086"/>
    <w:rsid w:val="13E94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微软雅黑" w:cs="Times New Roman"/>
      <w:sz w:val="24"/>
      <w:szCs w:val="22"/>
      <w:lang w:val="en-US" w:eastAsia="zh-CN" w:bidi="ar-SA"/>
    </w:rPr>
  </w:style>
  <w:style w:type="paragraph" w:styleId="2">
    <w:name w:val="heading 1"/>
    <w:basedOn w:val="1"/>
    <w:next w:val="1"/>
    <w:link w:val="28"/>
    <w:qFormat/>
    <w:uiPriority w:val="9"/>
    <w:pPr>
      <w:keepNext/>
      <w:keepLines/>
      <w:widowControl w:val="0"/>
      <w:numPr>
        <w:ilvl w:val="0"/>
        <w:numId w:val="1"/>
      </w:numPr>
      <w:adjustRightInd/>
      <w:snapToGrid/>
      <w:jc w:val="both"/>
      <w:outlineLvl w:val="0"/>
    </w:pPr>
    <w:rPr>
      <w:rFonts w:eastAsia="宋体"/>
      <w:b/>
      <w:bCs/>
      <w:kern w:val="44"/>
      <w:sz w:val="32"/>
      <w:szCs w:val="44"/>
    </w:rPr>
  </w:style>
  <w:style w:type="paragraph" w:styleId="3">
    <w:name w:val="heading 2"/>
    <w:basedOn w:val="1"/>
    <w:next w:val="1"/>
    <w:link w:val="30"/>
    <w:unhideWhenUsed/>
    <w:qFormat/>
    <w:uiPriority w:val="9"/>
    <w:pPr>
      <w:keepNext/>
      <w:keepLines/>
      <w:widowControl w:val="0"/>
      <w:numPr>
        <w:ilvl w:val="1"/>
        <w:numId w:val="1"/>
      </w:numPr>
      <w:adjustRightInd/>
      <w:snapToGrid/>
      <w:jc w:val="both"/>
      <w:outlineLvl w:val="1"/>
    </w:pPr>
    <w:rPr>
      <w:rFonts w:eastAsia="宋体"/>
      <w:b/>
      <w:bCs/>
      <w:kern w:val="2"/>
      <w:sz w:val="28"/>
      <w:szCs w:val="32"/>
    </w:rPr>
  </w:style>
  <w:style w:type="paragraph" w:styleId="4">
    <w:name w:val="heading 3"/>
    <w:basedOn w:val="1"/>
    <w:next w:val="1"/>
    <w:link w:val="32"/>
    <w:unhideWhenUsed/>
    <w:qFormat/>
    <w:uiPriority w:val="9"/>
    <w:pPr>
      <w:keepNext/>
      <w:keepLines/>
      <w:widowControl w:val="0"/>
      <w:numPr>
        <w:ilvl w:val="2"/>
        <w:numId w:val="1"/>
      </w:numPr>
      <w:adjustRightInd/>
      <w:snapToGrid/>
      <w:jc w:val="both"/>
      <w:outlineLvl w:val="2"/>
    </w:pPr>
    <w:rPr>
      <w:rFonts w:eastAsia="宋体"/>
      <w:b/>
      <w:bCs/>
      <w:kern w:val="2"/>
      <w:szCs w:val="32"/>
    </w:rPr>
  </w:style>
  <w:style w:type="paragraph" w:styleId="5">
    <w:name w:val="heading 4"/>
    <w:basedOn w:val="1"/>
    <w:next w:val="1"/>
    <w:link w:val="37"/>
    <w:unhideWhenUsed/>
    <w:qFormat/>
    <w:uiPriority w:val="9"/>
    <w:pPr>
      <w:keepNext/>
      <w:keepLines/>
      <w:widowControl w:val="0"/>
      <w:adjustRightInd/>
      <w:snapToGrid/>
      <w:spacing w:before="280" w:after="290" w:line="376" w:lineRule="auto"/>
      <w:jc w:val="both"/>
      <w:outlineLvl w:val="3"/>
    </w:pPr>
    <w:rPr>
      <w:rFonts w:ascii="Cambria" w:hAnsi="Cambria" w:eastAsia="宋体"/>
      <w:b/>
      <w:bCs/>
      <w:kern w:val="2"/>
      <w:sz w:val="28"/>
      <w:szCs w:val="28"/>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caption"/>
    <w:basedOn w:val="1"/>
    <w:next w:val="1"/>
    <w:unhideWhenUsed/>
    <w:qFormat/>
    <w:uiPriority w:val="35"/>
    <w:pPr>
      <w:widowControl w:val="0"/>
      <w:adjustRightInd/>
      <w:snapToGrid/>
      <w:jc w:val="both"/>
    </w:pPr>
    <w:rPr>
      <w:rFonts w:ascii="Cambria" w:hAnsi="Cambria" w:eastAsia="黑体"/>
      <w:kern w:val="2"/>
      <w:sz w:val="20"/>
      <w:szCs w:val="20"/>
    </w:rPr>
  </w:style>
  <w:style w:type="paragraph" w:styleId="7">
    <w:name w:val="Document Map"/>
    <w:basedOn w:val="1"/>
    <w:link w:val="29"/>
    <w:semiHidden/>
    <w:unhideWhenUsed/>
    <w:uiPriority w:val="99"/>
    <w:rPr>
      <w:rFonts w:ascii="宋体" w:eastAsia="宋体"/>
      <w:sz w:val="18"/>
      <w:szCs w:val="18"/>
    </w:rPr>
  </w:style>
  <w:style w:type="paragraph" w:styleId="8">
    <w:name w:val="annotation text"/>
    <w:basedOn w:val="1"/>
    <w:link w:val="45"/>
    <w:unhideWhenUsed/>
    <w:uiPriority w:val="99"/>
    <w:rPr>
      <w:sz w:val="20"/>
      <w:szCs w:val="20"/>
    </w:rPr>
  </w:style>
  <w:style w:type="paragraph" w:styleId="9">
    <w:name w:val="toc 3"/>
    <w:basedOn w:val="1"/>
    <w:next w:val="1"/>
    <w:unhideWhenUsed/>
    <w:qFormat/>
    <w:uiPriority w:val="39"/>
    <w:pPr>
      <w:ind w:left="440"/>
    </w:pPr>
  </w:style>
  <w:style w:type="paragraph" w:styleId="10">
    <w:name w:val="Balloon Text"/>
    <w:basedOn w:val="1"/>
    <w:link w:val="33"/>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pPr>
    <w:rPr>
      <w:sz w:val="18"/>
      <w:szCs w:val="18"/>
    </w:rPr>
  </w:style>
  <w:style w:type="paragraph" w:styleId="12">
    <w:name w:val="header"/>
    <w:basedOn w:val="1"/>
    <w:link w:val="26"/>
    <w:unhideWhenUsed/>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uiPriority w:val="39"/>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unhideWhenUsed/>
    <w:uiPriority w:val="39"/>
    <w:pPr>
      <w:ind w:left="220"/>
    </w:pPr>
  </w:style>
  <w:style w:type="paragraph" w:styleId="16">
    <w:name w:val="Normal (Web)"/>
    <w:basedOn w:val="1"/>
    <w:semiHidden/>
    <w:unhideWhenUsed/>
    <w:uiPriority w:val="99"/>
    <w:pPr>
      <w:adjustRightInd/>
      <w:snapToGrid/>
      <w:spacing w:before="100" w:beforeAutospacing="1" w:after="100" w:afterAutospacing="1"/>
    </w:pPr>
    <w:rPr>
      <w:rFonts w:eastAsia="Times New Roman"/>
      <w:szCs w:val="24"/>
    </w:rPr>
  </w:style>
  <w:style w:type="paragraph" w:styleId="17">
    <w:name w:val="Title"/>
    <w:basedOn w:val="1"/>
    <w:next w:val="1"/>
    <w:link w:val="43"/>
    <w:qFormat/>
    <w:uiPriority w:val="10"/>
    <w:pPr>
      <w:widowControl w:val="0"/>
      <w:adjustRightInd/>
      <w:snapToGrid/>
      <w:spacing w:before="120"/>
      <w:contextualSpacing/>
      <w:jc w:val="both"/>
    </w:pPr>
    <w:rPr>
      <w:rFonts w:ascii="Cambria" w:hAnsi="Cambria" w:eastAsia="MS Gothic"/>
      <w:spacing w:val="-10"/>
      <w:kern w:val="28"/>
      <w:sz w:val="56"/>
      <w:szCs w:val="56"/>
    </w:rPr>
  </w:style>
  <w:style w:type="paragraph" w:styleId="18">
    <w:name w:val="annotation subject"/>
    <w:basedOn w:val="8"/>
    <w:next w:val="8"/>
    <w:link w:val="46"/>
    <w:semiHidden/>
    <w:unhideWhenUsed/>
    <w:uiPriority w:val="99"/>
    <w:rPr>
      <w:b/>
      <w:bCs/>
    </w:rPr>
  </w:style>
  <w:style w:type="table" w:styleId="20">
    <w:name w:val="Table Grid"/>
    <w:basedOn w:val="19"/>
    <w:uiPriority w:val="59"/>
    <w:rPr>
      <w:rFonts w:eastAsia="宋体"/>
      <w:kern w:val="2"/>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page number"/>
    <w:uiPriority w:val="99"/>
    <w:rPr>
      <w:rFonts w:cs="Times New Roman"/>
    </w:rPr>
  </w:style>
  <w:style w:type="character" w:styleId="23">
    <w:name w:val="FollowedHyperlink"/>
    <w:semiHidden/>
    <w:unhideWhenUsed/>
    <w:uiPriority w:val="99"/>
    <w:rPr>
      <w:color w:val="954F72"/>
      <w:u w:val="single"/>
    </w:rPr>
  </w:style>
  <w:style w:type="character" w:styleId="24">
    <w:name w:val="Hyperlink"/>
    <w:unhideWhenUsed/>
    <w:qFormat/>
    <w:uiPriority w:val="99"/>
    <w:rPr>
      <w:color w:val="0000FF"/>
      <w:u w:val="single"/>
    </w:rPr>
  </w:style>
  <w:style w:type="character" w:styleId="25">
    <w:name w:val="annotation reference"/>
    <w:basedOn w:val="21"/>
    <w:semiHidden/>
    <w:unhideWhenUsed/>
    <w:qFormat/>
    <w:uiPriority w:val="99"/>
    <w:rPr>
      <w:sz w:val="16"/>
      <w:szCs w:val="16"/>
    </w:rPr>
  </w:style>
  <w:style w:type="character" w:customStyle="1" w:styleId="26">
    <w:name w:val="页眉 字符"/>
    <w:link w:val="12"/>
    <w:uiPriority w:val="99"/>
    <w:rPr>
      <w:rFonts w:ascii="Tahoma" w:hAnsi="Tahoma"/>
      <w:sz w:val="18"/>
      <w:szCs w:val="18"/>
    </w:rPr>
  </w:style>
  <w:style w:type="character" w:customStyle="1" w:styleId="27">
    <w:name w:val="页脚 字符"/>
    <w:link w:val="11"/>
    <w:uiPriority w:val="99"/>
    <w:rPr>
      <w:rFonts w:ascii="Tahoma" w:hAnsi="Tahoma"/>
      <w:sz w:val="18"/>
      <w:szCs w:val="18"/>
    </w:rPr>
  </w:style>
  <w:style w:type="character" w:customStyle="1" w:styleId="28">
    <w:name w:val="标题 1 字符"/>
    <w:link w:val="2"/>
    <w:uiPriority w:val="9"/>
    <w:rPr>
      <w:rFonts w:ascii="Times New Roman" w:hAnsi="Times New Roman" w:eastAsia="宋体"/>
      <w:b/>
      <w:bCs/>
      <w:kern w:val="44"/>
      <w:sz w:val="32"/>
      <w:szCs w:val="44"/>
    </w:rPr>
  </w:style>
  <w:style w:type="character" w:customStyle="1" w:styleId="29">
    <w:name w:val="文档结构图 字符"/>
    <w:link w:val="7"/>
    <w:semiHidden/>
    <w:uiPriority w:val="99"/>
    <w:rPr>
      <w:rFonts w:ascii="宋体" w:hAnsi="Tahoma" w:eastAsia="宋体"/>
      <w:sz w:val="18"/>
      <w:szCs w:val="18"/>
    </w:rPr>
  </w:style>
  <w:style w:type="character" w:customStyle="1" w:styleId="30">
    <w:name w:val="标题 2 字符"/>
    <w:link w:val="3"/>
    <w:uiPriority w:val="9"/>
    <w:rPr>
      <w:rFonts w:ascii="Times New Roman" w:hAnsi="Times New Roman" w:eastAsia="宋体"/>
      <w:b/>
      <w:bCs/>
      <w:kern w:val="2"/>
      <w:sz w:val="28"/>
      <w:szCs w:val="32"/>
    </w:rPr>
  </w:style>
  <w:style w:type="paragraph" w:styleId="31">
    <w:name w:val="List Paragraph"/>
    <w:basedOn w:val="1"/>
    <w:link w:val="44"/>
    <w:qFormat/>
    <w:uiPriority w:val="34"/>
    <w:pPr>
      <w:widowControl w:val="0"/>
      <w:adjustRightInd/>
      <w:snapToGrid/>
      <w:ind w:firstLine="420" w:firstLineChars="200"/>
      <w:jc w:val="both"/>
    </w:pPr>
    <w:rPr>
      <w:rFonts w:ascii="Calibri" w:hAnsi="Calibri" w:eastAsia="宋体"/>
      <w:kern w:val="2"/>
      <w:sz w:val="21"/>
    </w:rPr>
  </w:style>
  <w:style w:type="character" w:customStyle="1" w:styleId="32">
    <w:name w:val="标题 3 字符"/>
    <w:link w:val="4"/>
    <w:uiPriority w:val="9"/>
    <w:rPr>
      <w:rFonts w:ascii="Times New Roman" w:hAnsi="Times New Roman" w:eastAsia="宋体"/>
      <w:b/>
      <w:bCs/>
      <w:kern w:val="2"/>
      <w:sz w:val="24"/>
      <w:szCs w:val="32"/>
    </w:rPr>
  </w:style>
  <w:style w:type="character" w:customStyle="1" w:styleId="33">
    <w:name w:val="批注框文本 字符"/>
    <w:link w:val="10"/>
    <w:semiHidden/>
    <w:uiPriority w:val="99"/>
    <w:rPr>
      <w:rFonts w:ascii="Tahoma" w:hAnsi="Tahoma"/>
      <w:sz w:val="18"/>
      <w:szCs w:val="18"/>
    </w:rPr>
  </w:style>
  <w:style w:type="table" w:customStyle="1" w:styleId="34">
    <w:name w:val="浅色底纹1"/>
    <w:basedOn w:val="19"/>
    <w:uiPriority w:val="60"/>
    <w:rPr>
      <w:rFonts w:eastAsia="宋体"/>
      <w:color w:val="000000"/>
      <w:kern w:val="2"/>
      <w:sz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35">
    <w:name w:val="EndNote Bibliography"/>
    <w:basedOn w:val="1"/>
    <w:link w:val="36"/>
    <w:uiPriority w:val="0"/>
    <w:pPr>
      <w:widowControl w:val="0"/>
      <w:adjustRightInd/>
      <w:snapToGrid/>
      <w:jc w:val="both"/>
    </w:pPr>
    <w:rPr>
      <w:rFonts w:ascii="Calibri" w:hAnsi="Calibri" w:eastAsia="宋体"/>
      <w:kern w:val="2"/>
      <w:sz w:val="20"/>
    </w:rPr>
  </w:style>
  <w:style w:type="character" w:customStyle="1" w:styleId="36">
    <w:name w:val="EndNote Bibliography Char"/>
    <w:link w:val="35"/>
    <w:qFormat/>
    <w:uiPriority w:val="0"/>
    <w:rPr>
      <w:rFonts w:ascii="Calibri" w:hAnsi="Calibri" w:eastAsia="宋体"/>
      <w:kern w:val="2"/>
      <w:sz w:val="20"/>
    </w:rPr>
  </w:style>
  <w:style w:type="character" w:customStyle="1" w:styleId="37">
    <w:name w:val="标题 4 字符"/>
    <w:link w:val="5"/>
    <w:qFormat/>
    <w:uiPriority w:val="9"/>
    <w:rPr>
      <w:rFonts w:ascii="Cambria" w:hAnsi="Cambria" w:eastAsia="宋体" w:cs="Times New Roman"/>
      <w:b/>
      <w:bCs/>
      <w:kern w:val="2"/>
      <w:sz w:val="28"/>
      <w:szCs w:val="28"/>
    </w:rPr>
  </w:style>
  <w:style w:type="character" w:customStyle="1" w:styleId="38">
    <w:name w:val="f_hyperlink"/>
    <w:basedOn w:val="21"/>
    <w:qFormat/>
    <w:uiPriority w:val="0"/>
  </w:style>
  <w:style w:type="character" w:customStyle="1" w:styleId="39">
    <w:name w:val="f_listparagraph"/>
    <w:basedOn w:val="21"/>
    <w:qFormat/>
    <w:uiPriority w:val="0"/>
  </w:style>
  <w:style w:type="character" w:styleId="40">
    <w:name w:val="Placeholder Text"/>
    <w:semiHidden/>
    <w:uiPriority w:val="99"/>
    <w:rPr>
      <w:color w:val="808080"/>
    </w:rPr>
  </w:style>
  <w:style w:type="character" w:customStyle="1" w:styleId="41">
    <w:name w:val="apple-converted-space"/>
    <w:qFormat/>
    <w:uiPriority w:val="0"/>
  </w:style>
  <w:style w:type="paragraph" w:customStyle="1" w:styleId="42">
    <w:name w:val="TOC Heading"/>
    <w:basedOn w:val="2"/>
    <w:next w:val="1"/>
    <w:unhideWhenUsed/>
    <w:qFormat/>
    <w:uiPriority w:val="39"/>
    <w:pPr>
      <w:widowControl/>
      <w:spacing w:before="240" w:line="259" w:lineRule="auto"/>
      <w:jc w:val="left"/>
      <w:outlineLvl w:val="9"/>
    </w:pPr>
    <w:rPr>
      <w:rFonts w:ascii="Calibri Light" w:hAnsi="Calibri Light" w:eastAsia="等线 Light"/>
      <w:b w:val="0"/>
      <w:bCs w:val="0"/>
      <w:color w:val="2F5496"/>
      <w:kern w:val="0"/>
      <w:szCs w:val="32"/>
      <w:lang w:eastAsia="en-US"/>
    </w:rPr>
  </w:style>
  <w:style w:type="character" w:customStyle="1" w:styleId="43">
    <w:name w:val="标题 字符"/>
    <w:link w:val="17"/>
    <w:uiPriority w:val="10"/>
    <w:rPr>
      <w:rFonts w:ascii="Cambria" w:hAnsi="Cambria" w:eastAsia="MS Gothic"/>
      <w:spacing w:val="-10"/>
      <w:kern w:val="28"/>
      <w:sz w:val="56"/>
      <w:szCs w:val="56"/>
    </w:rPr>
  </w:style>
  <w:style w:type="character" w:customStyle="1" w:styleId="44">
    <w:name w:val="列表段落 字符"/>
    <w:link w:val="31"/>
    <w:uiPriority w:val="34"/>
    <w:rPr>
      <w:rFonts w:eastAsia="宋体"/>
      <w:kern w:val="2"/>
      <w:sz w:val="21"/>
      <w:szCs w:val="22"/>
    </w:rPr>
  </w:style>
  <w:style w:type="character" w:customStyle="1" w:styleId="45">
    <w:name w:val="批注文字 字符"/>
    <w:basedOn w:val="21"/>
    <w:link w:val="8"/>
    <w:uiPriority w:val="99"/>
    <w:rPr>
      <w:rFonts w:ascii="Tahoma" w:hAnsi="Tahoma"/>
    </w:rPr>
  </w:style>
  <w:style w:type="character" w:customStyle="1" w:styleId="46">
    <w:name w:val="批注主题 字符"/>
    <w:basedOn w:val="45"/>
    <w:link w:val="18"/>
    <w:semiHidden/>
    <w:qFormat/>
    <w:uiPriority w:val="99"/>
    <w:rPr>
      <w:rFonts w:ascii="Tahoma" w:hAnsi="Tahoma"/>
      <w:b/>
      <w:bCs/>
    </w:rPr>
  </w:style>
  <w:style w:type="table" w:customStyle="1" w:styleId="47">
    <w:name w:val="网格型42"/>
    <w:basedOn w:val="19"/>
    <w:qFormat/>
    <w:uiPriority w:val="39"/>
    <w:rPr>
      <w:rFonts w:ascii="Times New Roman" w:hAnsi="Times New Roman" w:eastAsia="宋体" w:cstheme="minorBidi"/>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Unresolved Mention1"/>
    <w:basedOn w:val="21"/>
    <w:semiHidden/>
    <w:unhideWhenUsed/>
    <w:qFormat/>
    <w:uiPriority w:val="99"/>
    <w:rPr>
      <w:color w:val="605E5C"/>
      <w:shd w:val="clear" w:color="auto" w:fill="E1DFDD"/>
    </w:rPr>
  </w:style>
  <w:style w:type="paragraph" w:customStyle="1" w:styleId="49">
    <w:name w:val="正文格式"/>
    <w:qFormat/>
    <w:uiPriority w:val="99"/>
    <w:pPr>
      <w:spacing w:line="440" w:lineRule="atLeas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50">
    <w:name w:val="Revision"/>
    <w:hidden/>
    <w:semiHidden/>
    <w:uiPriority w:val="99"/>
    <w:rPr>
      <w:rFonts w:ascii="Times New Roman" w:hAnsi="Times New Roman" w:eastAsia="微软雅黑" w:cs="Times New Roman"/>
      <w:sz w:val="24"/>
      <w:szCs w:val="22"/>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5.xml"/><Relationship Id="rId9" Type="http://schemas.openxmlformats.org/officeDocument/2006/relationships/header" Target="header2.xml"/><Relationship Id="rId89" Type="http://schemas.openxmlformats.org/officeDocument/2006/relationships/customXml" Target="../customXml/item4.xml"/><Relationship Id="rId88" Type="http://schemas.openxmlformats.org/officeDocument/2006/relationships/customXml" Target="../customXml/item3.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2961B9C0BAE4944B872F422FE495CB6" ma:contentTypeVersion="13" ma:contentTypeDescription="Create a new document." ma:contentTypeScope="" ma:versionID="03577c0596065c0eaf269c2b387b3836">
  <xsd:schema xmlns:xsd="http://www.w3.org/2001/XMLSchema" xmlns:xs="http://www.w3.org/2001/XMLSchema" xmlns:p="http://schemas.microsoft.com/office/2006/metadata/properties" xmlns:ns2="5eb56300-0ed2-405a-9b8c-e800ef279349" xmlns:ns3="0f2c4289-518d-43cd-8b7a-220086d39f76" targetNamespace="http://schemas.microsoft.com/office/2006/metadata/properties" ma:root="true" ma:fieldsID="b6a421aa4ee4e3b71938bbd3eb0af653" ns2:_="" ns3:_="">
    <xsd:import namespace="5eb56300-0ed2-405a-9b8c-e800ef279349"/>
    <xsd:import namespace="0f2c4289-518d-43cd-8b7a-220086d39f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56300-0ed2-405a-9b8c-e800ef279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c4289-518d-43cd-8b7a-220086d39f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14a461d-e599-45c5-b0cf-60a778ebca56}" ma:internalName="TaxCatchAll" ma:showField="CatchAllData" ma:web="0f2c4289-518d-43cd-8b7a-220086d3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TaxCatchAll xmlns="0f2c4289-518d-43cd-8b7a-220086d39f76" xsi:nil="true"/>
    <lcf76f155ced4ddcb4097134ff3c332f xmlns="5eb56300-0ed2-405a-9b8c-e800ef279349">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67FD1-9AD4-4ED8-9F5E-E8914ACE7867}"/>
</file>

<file path=customXml/itemProps3.xml><?xml version="1.0" encoding="utf-8"?>
<ds:datastoreItem xmlns:ds="http://schemas.openxmlformats.org/officeDocument/2006/customXml" ds:itemID="{C1274CD2-DA44-472B-A8E2-664949B1AF4F}">
  <ds:schemaRefs/>
</ds:datastoreItem>
</file>

<file path=customXml/itemProps4.xml><?xml version="1.0" encoding="utf-8"?>
<ds:datastoreItem xmlns:ds="http://schemas.openxmlformats.org/officeDocument/2006/customXml" ds:itemID="{20242EDC-C448-49E5-8856-3F47A80AA172}">
  <ds:schemaRefs/>
</ds:datastoreItem>
</file>

<file path=customXml/itemProps5.xml><?xml version="1.0" encoding="utf-8"?>
<ds:datastoreItem xmlns:ds="http://schemas.openxmlformats.org/officeDocument/2006/customXml" ds:itemID="{E236CD0C-355E-477D-B751-344D00A915EC}">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11412</Words>
  <Characters>54891</Characters>
  <Lines>548</Lines>
  <Paragraphs>154</Paragraphs>
  <TotalTime>4</TotalTime>
  <ScaleCrop>false</ScaleCrop>
  <LinksUpToDate>false</LinksUpToDate>
  <CharactersWithSpaces>65147</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忽而今夏</dc:creator>
  <cp:lastModifiedBy>hyy</cp:lastModifiedBy>
  <cp:revision>369</cp:revision>
  <cp:lastPrinted>2022-09-01T02:24:00Z</cp:lastPrinted>
  <dcterms:created xsi:type="dcterms:W3CDTF">2020-03-14T02:34:00Z</dcterms:created>
  <dcterms:modified xsi:type="dcterms:W3CDTF">2022-12-29T02:28:26Z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0x01010012961B9C0BAE4944B872F422FE495CB6</vt:lpwstr>
  </property>
  <property fmtid="{D5CDD505-2E9C-101B-9397-08002B2CF9AE}" pid="3" name="MediaServiceImageTags">
    <vt:lpwstr/>
  </property>
  <property fmtid="{D5CDD505-2E9C-101B-9397-08002B2CF9AE}" pid="4" name="KSOProductBuildVer">
    <vt:lpwstr>2052-11.1.0.13607</vt:lpwstr>
  </property>
  <property fmtid="{D5CDD505-2E9C-101B-9397-08002B2CF9AE}" pid="5" name="ICV">
    <vt:lpwstr>FA0EDBD8D02B4445B2D8F15BC2D0C8B1</vt:lpwstr>
  </property>
</Properties>
</file>