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99C" w:rsidRDefault="00AC499C">
      <w:pPr>
        <w:spacing w:after="0"/>
        <w:rPr>
          <w:rFonts w:ascii="Times New Roman" w:hAnsi="Times New Roman" w:cs="Times New Roman"/>
          <w:b/>
          <w:color w:val="000000"/>
          <w:sz w:val="24"/>
          <w:szCs w:val="24"/>
        </w:rPr>
      </w:pPr>
    </w:p>
    <w:p w:rsidR="00AC499C" w:rsidRDefault="00AC499C">
      <w:pPr>
        <w:spacing w:after="0"/>
        <w:rPr>
          <w:rFonts w:ascii="Times New Roman" w:hAnsi="Times New Roman" w:cs="Times New Roman"/>
          <w:b/>
          <w:color w:val="000000"/>
          <w:sz w:val="24"/>
          <w:szCs w:val="24"/>
        </w:rPr>
      </w:pPr>
      <w:r w:rsidRPr="00AC499C">
        <w:rPr>
          <w:rFonts w:ascii="Times New Roman" w:hAnsi="Times New Roman" w:cs="Times New Roman"/>
          <w:b/>
          <w:noProof/>
          <w:color w:val="000000"/>
          <w:sz w:val="24"/>
          <w:szCs w:val="24"/>
        </w:rPr>
        <w:drawing>
          <wp:anchor distT="0" distB="0" distL="114300" distR="114300" simplePos="0" relativeHeight="251659264" behindDoc="1" locked="1" layoutInCell="1" allowOverlap="1">
            <wp:simplePos x="0" y="0"/>
            <wp:positionH relativeFrom="column">
              <wp:posOffset>2105545</wp:posOffset>
            </wp:positionH>
            <wp:positionV relativeFrom="paragraph">
              <wp:posOffset>-700059</wp:posOffset>
            </wp:positionV>
            <wp:extent cx="1435677" cy="789709"/>
            <wp:effectExtent l="19050" t="0" r="0" b="0"/>
            <wp:wrapNone/>
            <wp:docPr id="1" name="Picture 1" descr="Austin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stin_Letterhead"/>
                    <pic:cNvPicPr>
                      <a:picLocks noChangeAspect="1" noChangeArrowheads="1"/>
                    </pic:cNvPicPr>
                  </pic:nvPicPr>
                  <pic:blipFill>
                    <a:blip r:embed="rId8" cstate="print"/>
                    <a:srcRect l="38725" t="3693" r="42770" b="88447"/>
                    <a:stretch>
                      <a:fillRect/>
                    </a:stretch>
                  </pic:blipFill>
                  <pic:spPr bwMode="auto">
                    <a:xfrm>
                      <a:off x="0" y="0"/>
                      <a:ext cx="1435100" cy="789305"/>
                    </a:xfrm>
                    <a:prstGeom prst="rect">
                      <a:avLst/>
                    </a:prstGeom>
                    <a:noFill/>
                    <a:ln w="9525">
                      <a:noFill/>
                      <a:miter lim="800000"/>
                      <a:headEnd/>
                      <a:tailEnd/>
                    </a:ln>
                  </pic:spPr>
                </pic:pic>
              </a:graphicData>
            </a:graphic>
          </wp:anchor>
        </w:drawing>
      </w:r>
    </w:p>
    <w:p w:rsidR="00AC499C" w:rsidRPr="00AC499C" w:rsidRDefault="00AC499C" w:rsidP="00AC499C">
      <w:pPr>
        <w:spacing w:after="0" w:line="216" w:lineRule="auto"/>
        <w:jc w:val="both"/>
        <w:rPr>
          <w:rFonts w:ascii="Times New Roman" w:eastAsia="Times New Roman" w:hAnsi="Times New Roman" w:cs="Times New Roman"/>
          <w:b/>
          <w:snapToGrid w:val="0"/>
          <w:color w:val="000000"/>
          <w:szCs w:val="20"/>
        </w:rPr>
      </w:pPr>
    </w:p>
    <w:p w:rsidR="00AC499C" w:rsidRPr="00AC499C" w:rsidRDefault="00AC499C" w:rsidP="00AC499C">
      <w:pPr>
        <w:spacing w:after="0" w:line="216" w:lineRule="auto"/>
        <w:jc w:val="both"/>
        <w:rPr>
          <w:rFonts w:ascii="Times New Roman" w:eastAsia="Times New Roman" w:hAnsi="Times New Roman" w:cs="Times New Roman"/>
          <w:b/>
          <w:snapToGrid w:val="0"/>
          <w:color w:val="000000"/>
          <w:sz w:val="24"/>
          <w:szCs w:val="24"/>
        </w:rPr>
      </w:pPr>
      <w:r w:rsidRPr="00AC499C">
        <w:rPr>
          <w:rFonts w:ascii="Times New Roman" w:eastAsia="Times New Roman" w:hAnsi="Times New Roman" w:cs="Times New Roman"/>
          <w:b/>
          <w:snapToGrid w:val="0"/>
          <w:color w:val="000000"/>
          <w:sz w:val="24"/>
          <w:szCs w:val="24"/>
        </w:rPr>
        <w:t>MEMORANDUM</w:t>
      </w:r>
    </w:p>
    <w:p w:rsidR="00AC499C" w:rsidRPr="00AC499C" w:rsidRDefault="00AC499C" w:rsidP="00AC499C">
      <w:pPr>
        <w:spacing w:after="0" w:line="216" w:lineRule="auto"/>
        <w:jc w:val="both"/>
        <w:rPr>
          <w:rFonts w:ascii="Times New Roman" w:eastAsia="Times New Roman" w:hAnsi="Times New Roman" w:cs="Times New Roman"/>
          <w:snapToGrid w:val="0"/>
          <w:color w:val="000000"/>
          <w:szCs w:val="20"/>
        </w:rPr>
      </w:pPr>
    </w:p>
    <w:p w:rsidR="00AC499C" w:rsidRPr="00AC499C" w:rsidRDefault="00AC499C" w:rsidP="00AC499C">
      <w:pPr>
        <w:spacing w:after="0" w:line="216" w:lineRule="auto"/>
        <w:jc w:val="both"/>
        <w:rPr>
          <w:rFonts w:ascii="Times New Roman" w:eastAsia="Times New Roman" w:hAnsi="Times New Roman" w:cs="Times New Roman"/>
          <w:snapToGrid w:val="0"/>
          <w:color w:val="000000"/>
          <w:szCs w:val="20"/>
        </w:rPr>
      </w:pP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r w:rsidRPr="00AC499C">
        <w:rPr>
          <w:rFonts w:ascii="Times New Roman" w:eastAsia="Times New Roman" w:hAnsi="Times New Roman" w:cs="Times New Roman"/>
          <w:b/>
          <w:snapToGrid w:val="0"/>
          <w:color w:val="000000"/>
          <w:sz w:val="24"/>
          <w:szCs w:val="24"/>
        </w:rPr>
        <w:t>TO:</w:t>
      </w:r>
      <w:r w:rsidRPr="00AC499C">
        <w:rPr>
          <w:rFonts w:ascii="Times New Roman" w:eastAsia="Times New Roman" w:hAnsi="Times New Roman" w:cs="Times New Roman"/>
          <w:snapToGrid w:val="0"/>
          <w:color w:val="000000"/>
          <w:sz w:val="24"/>
          <w:szCs w:val="24"/>
        </w:rPr>
        <w:t xml:space="preserve"> </w:t>
      </w:r>
      <w:r w:rsidRPr="00AC499C">
        <w:rPr>
          <w:rFonts w:ascii="Times New Roman" w:eastAsia="Times New Roman" w:hAnsi="Times New Roman" w:cs="Times New Roman"/>
          <w:snapToGrid w:val="0"/>
          <w:color w:val="000000"/>
          <w:sz w:val="24"/>
          <w:szCs w:val="24"/>
        </w:rPr>
        <w:tab/>
      </w:r>
      <w:r w:rsidRPr="00AC499C">
        <w:rPr>
          <w:rFonts w:ascii="Times New Roman" w:eastAsia="Times New Roman" w:hAnsi="Times New Roman" w:cs="Times New Roman"/>
          <w:snapToGrid w:val="0"/>
          <w:color w:val="000000"/>
          <w:sz w:val="24"/>
          <w:szCs w:val="24"/>
        </w:rPr>
        <w:tab/>
        <w:t>Laur</w:t>
      </w:r>
      <w:r>
        <w:rPr>
          <w:rFonts w:ascii="Times New Roman" w:eastAsia="Times New Roman" w:hAnsi="Times New Roman" w:cs="Times New Roman"/>
          <w:snapToGrid w:val="0"/>
          <w:color w:val="000000"/>
          <w:sz w:val="24"/>
          <w:szCs w:val="24"/>
        </w:rPr>
        <w:t>e</w:t>
      </w:r>
      <w:r w:rsidRPr="00AC499C">
        <w:rPr>
          <w:rFonts w:ascii="Times New Roman" w:eastAsia="Times New Roman" w:hAnsi="Times New Roman" w:cs="Times New Roman"/>
          <w:snapToGrid w:val="0"/>
          <w:color w:val="000000"/>
          <w:sz w:val="24"/>
          <w:szCs w:val="24"/>
        </w:rPr>
        <w:t>l Driver/US EPA</w:t>
      </w: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r w:rsidRPr="00AC499C">
        <w:rPr>
          <w:rFonts w:ascii="Times New Roman" w:eastAsia="Times New Roman" w:hAnsi="Times New Roman" w:cs="Times New Roman"/>
          <w:b/>
          <w:snapToGrid w:val="0"/>
          <w:color w:val="000000"/>
          <w:sz w:val="24"/>
          <w:szCs w:val="24"/>
        </w:rPr>
        <w:t>FROM:</w:t>
      </w:r>
      <w:r w:rsidRPr="00AC499C">
        <w:rPr>
          <w:rFonts w:ascii="Times New Roman" w:eastAsia="Times New Roman" w:hAnsi="Times New Roman" w:cs="Times New Roman"/>
          <w:snapToGrid w:val="0"/>
          <w:color w:val="000000"/>
          <w:sz w:val="24"/>
          <w:szCs w:val="24"/>
        </w:rPr>
        <w:t xml:space="preserve"> </w:t>
      </w:r>
      <w:r w:rsidRPr="00AC499C">
        <w:rPr>
          <w:rFonts w:ascii="Times New Roman" w:eastAsia="Times New Roman" w:hAnsi="Times New Roman" w:cs="Times New Roman"/>
          <w:snapToGrid w:val="0"/>
          <w:color w:val="000000"/>
          <w:sz w:val="24"/>
          <w:szCs w:val="24"/>
        </w:rPr>
        <w:tab/>
        <w:t>Heather Perez and Richard Billings/ERG</w:t>
      </w: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r w:rsidRPr="00AC499C">
        <w:rPr>
          <w:rFonts w:ascii="Times New Roman" w:eastAsia="Times New Roman" w:hAnsi="Times New Roman" w:cs="Times New Roman"/>
          <w:b/>
          <w:snapToGrid w:val="0"/>
          <w:color w:val="000000"/>
          <w:sz w:val="24"/>
          <w:szCs w:val="24"/>
        </w:rPr>
        <w:t>DATE:</w:t>
      </w:r>
      <w:r w:rsidRPr="00AC499C">
        <w:rPr>
          <w:rFonts w:ascii="Times New Roman" w:eastAsia="Times New Roman" w:hAnsi="Times New Roman" w:cs="Times New Roman"/>
          <w:snapToGrid w:val="0"/>
          <w:color w:val="000000"/>
          <w:sz w:val="24"/>
          <w:szCs w:val="24"/>
        </w:rPr>
        <w:tab/>
        <w:t>August 22, 2012</w:t>
      </w: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p>
    <w:p w:rsidR="00AC499C" w:rsidRPr="00AC499C" w:rsidRDefault="00AC499C" w:rsidP="00AC499C">
      <w:pPr>
        <w:pBdr>
          <w:bottom w:val="single" w:sz="4" w:space="1" w:color="auto"/>
        </w:pBdr>
        <w:spacing w:after="0" w:line="240" w:lineRule="auto"/>
        <w:rPr>
          <w:rFonts w:ascii="Times New Roman" w:eastAsia="Times New Roman" w:hAnsi="Times New Roman" w:cs="Times New Roman"/>
          <w:snapToGrid w:val="0"/>
          <w:color w:val="000000"/>
          <w:sz w:val="24"/>
          <w:szCs w:val="24"/>
        </w:rPr>
      </w:pPr>
      <w:r w:rsidRPr="00AC499C">
        <w:rPr>
          <w:rFonts w:ascii="Times New Roman" w:eastAsia="Times New Roman" w:hAnsi="Times New Roman" w:cs="Times New Roman"/>
          <w:b/>
          <w:snapToGrid w:val="0"/>
          <w:color w:val="000000"/>
          <w:sz w:val="24"/>
          <w:szCs w:val="24"/>
        </w:rPr>
        <w:t>SUBJECT:</w:t>
      </w:r>
      <w:r w:rsidRPr="00AC499C">
        <w:rPr>
          <w:rFonts w:ascii="Times New Roman" w:eastAsia="Times New Roman" w:hAnsi="Times New Roman" w:cs="Times New Roman"/>
          <w:snapToGrid w:val="0"/>
          <w:color w:val="000000"/>
          <w:sz w:val="24"/>
          <w:szCs w:val="24"/>
        </w:rPr>
        <w:tab/>
        <w:t xml:space="preserve"> </w:t>
      </w:r>
      <w:r w:rsidR="00FC67C8" w:rsidRPr="00AC499C">
        <w:rPr>
          <w:rFonts w:ascii="Times New Roman" w:hAnsi="Times New Roman" w:cs="Times New Roman"/>
          <w:bCs/>
          <w:color w:val="000000"/>
          <w:sz w:val="24"/>
          <w:szCs w:val="24"/>
        </w:rPr>
        <w:t>Category 1 / Category 2 Commercial Marine Activity</w:t>
      </w:r>
      <w:r w:rsidR="00FC67C8">
        <w:rPr>
          <w:rFonts w:ascii="Times New Roman" w:hAnsi="Times New Roman" w:cs="Times New Roman"/>
          <w:bCs/>
          <w:color w:val="000000"/>
          <w:sz w:val="24"/>
          <w:szCs w:val="24"/>
        </w:rPr>
        <w:t xml:space="preserve"> Spatial Allocation</w:t>
      </w:r>
    </w:p>
    <w:p w:rsidR="00AC499C" w:rsidRPr="00AC499C" w:rsidRDefault="00AC499C" w:rsidP="00AC499C">
      <w:pPr>
        <w:spacing w:after="0" w:line="240" w:lineRule="auto"/>
        <w:rPr>
          <w:rFonts w:ascii="Times New Roman" w:eastAsia="Times New Roman" w:hAnsi="Times New Roman" w:cs="Times New Roman"/>
          <w:snapToGrid w:val="0"/>
          <w:color w:val="000000"/>
          <w:sz w:val="24"/>
          <w:szCs w:val="24"/>
        </w:rPr>
      </w:pPr>
    </w:p>
    <w:p w:rsidR="00DC7D1E" w:rsidRDefault="004961D2" w:rsidP="000A436F">
      <w:pPr>
        <w:pStyle w:val="ListParagraph"/>
        <w:numPr>
          <w:ilvl w:val="0"/>
          <w:numId w:val="2"/>
        </w:numPr>
        <w:spacing w:after="0"/>
        <w:ind w:left="720" w:hanging="720"/>
        <w:rPr>
          <w:rFonts w:ascii="Times New Roman" w:hAnsi="Times New Roman" w:cs="Times New Roman"/>
          <w:b/>
          <w:color w:val="000000"/>
          <w:sz w:val="24"/>
          <w:szCs w:val="24"/>
        </w:rPr>
      </w:pPr>
      <w:r w:rsidRPr="004961D2">
        <w:rPr>
          <w:rFonts w:ascii="Times New Roman" w:hAnsi="Times New Roman" w:cs="Times New Roman"/>
          <w:b/>
          <w:color w:val="000000"/>
          <w:sz w:val="24"/>
          <w:szCs w:val="24"/>
        </w:rPr>
        <w:t>I</w:t>
      </w:r>
      <w:r w:rsidR="000A436F">
        <w:rPr>
          <w:rFonts w:ascii="Times New Roman" w:hAnsi="Times New Roman" w:cs="Times New Roman"/>
          <w:b/>
          <w:color w:val="000000"/>
          <w:sz w:val="24"/>
          <w:szCs w:val="24"/>
        </w:rPr>
        <w:t>ntroduction</w:t>
      </w:r>
    </w:p>
    <w:p w:rsidR="00DC7D1E" w:rsidRPr="00AC499C" w:rsidRDefault="00DC7D1E" w:rsidP="00AC499C">
      <w:pPr>
        <w:spacing w:after="0"/>
        <w:rPr>
          <w:rFonts w:ascii="Times New Roman" w:hAnsi="Times New Roman" w:cs="Times New Roman"/>
          <w:b/>
          <w:color w:val="000000"/>
          <w:sz w:val="24"/>
          <w:szCs w:val="24"/>
        </w:rPr>
      </w:pPr>
    </w:p>
    <w:p w:rsidR="00AA3F38" w:rsidRPr="00AC499C" w:rsidRDefault="00AA3F38" w:rsidP="00AC499C">
      <w:pPr>
        <w:spacing w:after="0" w:line="240" w:lineRule="auto"/>
        <w:ind w:firstLine="720"/>
        <w:rPr>
          <w:rFonts w:ascii="Times New Roman" w:hAnsi="Times New Roman" w:cs="Times New Roman"/>
          <w:color w:val="000000"/>
          <w:sz w:val="24"/>
          <w:szCs w:val="24"/>
        </w:rPr>
      </w:pPr>
      <w:r w:rsidRPr="00AC499C">
        <w:rPr>
          <w:rFonts w:ascii="Times New Roman" w:hAnsi="Times New Roman" w:cs="Times New Roman"/>
          <w:color w:val="000000"/>
          <w:sz w:val="24"/>
          <w:szCs w:val="24"/>
        </w:rPr>
        <w:t>The U.S. Environmental Protection Agency (EPA), issued Work Assignment 2-04, “</w:t>
      </w:r>
      <w:r w:rsidRPr="00AC499C">
        <w:rPr>
          <w:rFonts w:ascii="Times New Roman" w:hAnsi="Times New Roman" w:cs="Times New Roman"/>
          <w:bCs/>
          <w:color w:val="000000"/>
          <w:sz w:val="24"/>
          <w:szCs w:val="24"/>
        </w:rPr>
        <w:t>Improving C</w:t>
      </w:r>
      <w:r w:rsidR="00BA6C0A" w:rsidRPr="00AC499C">
        <w:rPr>
          <w:rFonts w:ascii="Times New Roman" w:hAnsi="Times New Roman" w:cs="Times New Roman"/>
          <w:bCs/>
          <w:color w:val="000000"/>
          <w:sz w:val="24"/>
          <w:szCs w:val="24"/>
        </w:rPr>
        <w:t xml:space="preserve">ategory </w:t>
      </w:r>
      <w:r w:rsidRPr="00AC499C">
        <w:rPr>
          <w:rFonts w:ascii="Times New Roman" w:hAnsi="Times New Roman" w:cs="Times New Roman"/>
          <w:bCs/>
          <w:color w:val="000000"/>
          <w:sz w:val="24"/>
          <w:szCs w:val="24"/>
        </w:rPr>
        <w:t>1</w:t>
      </w:r>
      <w:r w:rsidR="00BA6C0A" w:rsidRPr="00AC499C">
        <w:rPr>
          <w:rFonts w:ascii="Times New Roman" w:hAnsi="Times New Roman" w:cs="Times New Roman"/>
          <w:bCs/>
          <w:color w:val="000000"/>
          <w:sz w:val="24"/>
          <w:szCs w:val="24"/>
        </w:rPr>
        <w:t xml:space="preserve"> </w:t>
      </w:r>
      <w:r w:rsidRPr="00AC499C">
        <w:rPr>
          <w:rFonts w:ascii="Times New Roman" w:hAnsi="Times New Roman" w:cs="Times New Roman"/>
          <w:bCs/>
          <w:color w:val="000000"/>
          <w:sz w:val="24"/>
          <w:szCs w:val="24"/>
        </w:rPr>
        <w:t>/</w:t>
      </w:r>
      <w:r w:rsidR="00BA6C0A" w:rsidRPr="00AC499C">
        <w:rPr>
          <w:rFonts w:ascii="Times New Roman" w:hAnsi="Times New Roman" w:cs="Times New Roman"/>
          <w:bCs/>
          <w:color w:val="000000"/>
          <w:sz w:val="24"/>
          <w:szCs w:val="24"/>
        </w:rPr>
        <w:t xml:space="preserve"> </w:t>
      </w:r>
      <w:r w:rsidRPr="00AC499C">
        <w:rPr>
          <w:rFonts w:ascii="Times New Roman" w:hAnsi="Times New Roman" w:cs="Times New Roman"/>
          <w:bCs/>
          <w:color w:val="000000"/>
          <w:sz w:val="24"/>
          <w:szCs w:val="24"/>
        </w:rPr>
        <w:t>C</w:t>
      </w:r>
      <w:r w:rsidR="00BA6C0A" w:rsidRPr="00AC499C">
        <w:rPr>
          <w:rFonts w:ascii="Times New Roman" w:hAnsi="Times New Roman" w:cs="Times New Roman"/>
          <w:bCs/>
          <w:color w:val="000000"/>
          <w:sz w:val="24"/>
          <w:szCs w:val="24"/>
        </w:rPr>
        <w:t xml:space="preserve">ategory </w:t>
      </w:r>
      <w:r w:rsidRPr="00AC499C">
        <w:rPr>
          <w:rFonts w:ascii="Times New Roman" w:hAnsi="Times New Roman" w:cs="Times New Roman"/>
          <w:bCs/>
          <w:color w:val="000000"/>
          <w:sz w:val="24"/>
          <w:szCs w:val="24"/>
        </w:rPr>
        <w:t>2 Commercial Marine Activity and Emission Estimates</w:t>
      </w:r>
      <w:r w:rsidRPr="00AC499C">
        <w:rPr>
          <w:rFonts w:ascii="Times New Roman" w:hAnsi="Times New Roman" w:cs="Times New Roman"/>
          <w:color w:val="000000"/>
          <w:sz w:val="24"/>
          <w:szCs w:val="24"/>
        </w:rPr>
        <w:t xml:space="preserve">” under EPA Contract Number EPA-EP-D-11-006, to Eastern Research Group, Inc. (ERG) to support the development of the 2011 commercial marine vessel and aircraft components of the National Emission Inventory (NEI). </w:t>
      </w:r>
    </w:p>
    <w:p w:rsidR="00AC499C" w:rsidRDefault="00AC499C" w:rsidP="00AC499C">
      <w:pPr>
        <w:spacing w:after="0" w:line="240" w:lineRule="auto"/>
        <w:rPr>
          <w:rFonts w:ascii="Times New Roman" w:hAnsi="Times New Roman"/>
          <w:sz w:val="24"/>
          <w:szCs w:val="24"/>
        </w:rPr>
      </w:pPr>
    </w:p>
    <w:p w:rsidR="00BA6C0A" w:rsidRPr="00AC499C" w:rsidRDefault="00BA6C0A" w:rsidP="00AC499C">
      <w:pPr>
        <w:spacing w:after="0" w:line="240" w:lineRule="auto"/>
        <w:ind w:firstLine="720"/>
        <w:rPr>
          <w:rFonts w:ascii="Times New Roman" w:hAnsi="Times New Roman"/>
          <w:sz w:val="24"/>
          <w:szCs w:val="24"/>
        </w:rPr>
      </w:pPr>
      <w:r w:rsidRPr="00AC499C">
        <w:rPr>
          <w:rFonts w:ascii="Times New Roman" w:hAnsi="Times New Roman"/>
          <w:sz w:val="24"/>
          <w:szCs w:val="24"/>
        </w:rPr>
        <w:t>Comparison of the marine vessel component of the 2008 NEI with those developed by several large ports has shown that the NEI estimates for vessels equipped with Category 1 and 2 (C1/C2) propulsion engines are roughly an order of magnitude larger than estimates developed for local port authority inventories. EPA suspects that these differences are the result of the simplistic method of spatially allocating commercial C1/C2 emissions from national totals to local areas. In the case of commercial Cl/C2, these allocations assigned 75% of emissions to in</w:t>
      </w:r>
      <w:r w:rsidR="00874CE1">
        <w:rPr>
          <w:rFonts w:ascii="Times New Roman" w:hAnsi="Times New Roman"/>
          <w:sz w:val="24"/>
          <w:szCs w:val="24"/>
        </w:rPr>
        <w:noBreakHyphen/>
      </w:r>
      <w:r w:rsidRPr="00AC499C">
        <w:rPr>
          <w:rFonts w:ascii="Times New Roman" w:hAnsi="Times New Roman"/>
          <w:sz w:val="24"/>
          <w:szCs w:val="24"/>
        </w:rPr>
        <w:t>port and 25% underway. The in-port emissions were allocated to the 150 largest ports only on the basis of the cargo tonnage of these ports.</w:t>
      </w:r>
    </w:p>
    <w:p w:rsidR="00AC499C" w:rsidRDefault="00AC499C" w:rsidP="00AC499C">
      <w:pPr>
        <w:spacing w:after="0" w:line="240" w:lineRule="auto"/>
        <w:rPr>
          <w:rFonts w:ascii="Times New Roman" w:hAnsi="Times New Roman"/>
          <w:sz w:val="24"/>
          <w:szCs w:val="24"/>
        </w:rPr>
      </w:pPr>
    </w:p>
    <w:p w:rsidR="00BA6C0A" w:rsidRDefault="00BA6C0A" w:rsidP="00AC499C">
      <w:pPr>
        <w:spacing w:after="0" w:line="240" w:lineRule="auto"/>
        <w:ind w:firstLine="720"/>
        <w:rPr>
          <w:rFonts w:ascii="Times New Roman" w:hAnsi="Times New Roman"/>
          <w:sz w:val="24"/>
          <w:szCs w:val="24"/>
        </w:rPr>
      </w:pPr>
      <w:r w:rsidRPr="00AC499C">
        <w:rPr>
          <w:rFonts w:ascii="Times New Roman" w:hAnsi="Times New Roman"/>
          <w:sz w:val="24"/>
          <w:szCs w:val="24"/>
        </w:rPr>
        <w:t>The purpose of this WA is to apply the previous work done by ERG and reported in "</w:t>
      </w:r>
      <w:r w:rsidRPr="00AC499C">
        <w:rPr>
          <w:rFonts w:ascii="Times New Roman" w:hAnsi="Times New Roman"/>
          <w:i/>
          <w:sz w:val="24"/>
          <w:szCs w:val="24"/>
        </w:rPr>
        <w:t>Category 2 Vessel Census, Activity, and Spatial Allocation Assessment and Category 1 and Category 2 In-port/At-sea Splits,"</w:t>
      </w:r>
      <w:r w:rsidRPr="00AC499C">
        <w:rPr>
          <w:rFonts w:ascii="Times New Roman" w:hAnsi="Times New Roman"/>
          <w:sz w:val="24"/>
          <w:szCs w:val="24"/>
        </w:rPr>
        <w:t xml:space="preserve"> (Census Report) February 16, 2007, and the accompanying database to produce spatial allocation factors that more appropriate assign activity and emissions to ports and shipping lanes for NEI. </w:t>
      </w:r>
      <w:r w:rsidR="00E84679" w:rsidRPr="00AC499C">
        <w:rPr>
          <w:rFonts w:ascii="Times New Roman" w:hAnsi="Times New Roman"/>
          <w:sz w:val="24"/>
          <w:szCs w:val="24"/>
        </w:rPr>
        <w:t>It is believed that the data compiled in this report more accurately represent port and underway activi</w:t>
      </w:r>
      <w:r w:rsidR="00DC7D1E" w:rsidRPr="00AC499C">
        <w:rPr>
          <w:rFonts w:ascii="Times New Roman" w:hAnsi="Times New Roman"/>
          <w:sz w:val="24"/>
          <w:szCs w:val="24"/>
        </w:rPr>
        <w:t>t</w:t>
      </w:r>
      <w:r w:rsidR="00AC499C">
        <w:rPr>
          <w:rFonts w:ascii="Times New Roman" w:hAnsi="Times New Roman"/>
          <w:sz w:val="24"/>
          <w:szCs w:val="24"/>
        </w:rPr>
        <w:t>i</w:t>
      </w:r>
      <w:r w:rsidR="00E84679" w:rsidRPr="00AC499C">
        <w:rPr>
          <w:rFonts w:ascii="Times New Roman" w:hAnsi="Times New Roman"/>
          <w:sz w:val="24"/>
          <w:szCs w:val="24"/>
        </w:rPr>
        <w:t>es as noted in Table 1</w:t>
      </w:r>
      <w:r w:rsidR="00AC499C">
        <w:rPr>
          <w:rFonts w:ascii="Times New Roman" w:hAnsi="Times New Roman"/>
          <w:sz w:val="24"/>
          <w:szCs w:val="24"/>
        </w:rPr>
        <w:t>.</w:t>
      </w:r>
    </w:p>
    <w:p w:rsidR="00AC499C" w:rsidRDefault="00AC499C" w:rsidP="00AC499C">
      <w:pPr>
        <w:spacing w:after="0" w:line="240" w:lineRule="auto"/>
        <w:rPr>
          <w:rFonts w:ascii="Times New Roman" w:hAnsi="Times New Roman"/>
          <w:sz w:val="24"/>
          <w:szCs w:val="24"/>
        </w:rPr>
      </w:pPr>
    </w:p>
    <w:tbl>
      <w:tblPr>
        <w:tblStyle w:val="TableGrid"/>
        <w:tblW w:w="9630" w:type="dxa"/>
        <w:tblInd w:w="288" w:type="dxa"/>
        <w:tblLayout w:type="fixed"/>
        <w:tblLook w:val="04A0"/>
      </w:tblPr>
      <w:tblGrid>
        <w:gridCol w:w="1350"/>
        <w:gridCol w:w="1350"/>
        <w:gridCol w:w="1260"/>
        <w:gridCol w:w="1800"/>
        <w:gridCol w:w="1980"/>
        <w:gridCol w:w="1890"/>
      </w:tblGrid>
      <w:tr w:rsidR="00010463" w:rsidTr="00874CE1">
        <w:trPr>
          <w:tblHeader/>
        </w:trPr>
        <w:tc>
          <w:tcPr>
            <w:tcW w:w="9630" w:type="dxa"/>
            <w:gridSpan w:val="6"/>
            <w:tcBorders>
              <w:top w:val="nil"/>
              <w:left w:val="nil"/>
              <w:bottom w:val="double" w:sz="4" w:space="0" w:color="auto"/>
              <w:right w:val="nil"/>
            </w:tcBorders>
            <w:vAlign w:val="center"/>
          </w:tcPr>
          <w:p w:rsidR="00010463" w:rsidRPr="00FC67C8" w:rsidRDefault="00FC67C8" w:rsidP="00010463">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1. </w:t>
            </w:r>
            <w:r w:rsidRPr="00FC67C8">
              <w:rPr>
                <w:rFonts w:ascii="Times New Roman" w:hAnsi="Times New Roman"/>
                <w:b/>
                <w:sz w:val="24"/>
                <w:szCs w:val="24"/>
              </w:rPr>
              <w:t>Category 1 and Category 2 In-port/At-sea Splits from 2007 Census Report</w:t>
            </w:r>
          </w:p>
          <w:p w:rsidR="00010463" w:rsidRPr="000A436F" w:rsidRDefault="00010463" w:rsidP="00010463">
            <w:pPr>
              <w:jc w:val="center"/>
              <w:rPr>
                <w:rFonts w:ascii="Times New Roman" w:eastAsia="Times New Roman" w:hAnsi="Times New Roman" w:cs="Times New Roman"/>
                <w:b/>
                <w:bCs/>
                <w:color w:val="000000"/>
              </w:rPr>
            </w:pPr>
          </w:p>
        </w:tc>
      </w:tr>
      <w:tr w:rsidR="00010463" w:rsidTr="00874CE1">
        <w:trPr>
          <w:tblHeader/>
        </w:trPr>
        <w:tc>
          <w:tcPr>
            <w:tcW w:w="1350" w:type="dxa"/>
            <w:tcBorders>
              <w:top w:val="double" w:sz="4" w:space="0" w:color="auto"/>
              <w:left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Type</w:t>
            </w:r>
          </w:p>
        </w:tc>
        <w:tc>
          <w:tcPr>
            <w:tcW w:w="1350" w:type="dxa"/>
            <w:tcBorders>
              <w:top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In port %</w:t>
            </w:r>
          </w:p>
        </w:tc>
        <w:tc>
          <w:tcPr>
            <w:tcW w:w="1260" w:type="dxa"/>
            <w:tcBorders>
              <w:top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At Sea %</w:t>
            </w:r>
          </w:p>
        </w:tc>
        <w:tc>
          <w:tcPr>
            <w:tcW w:w="1800" w:type="dxa"/>
            <w:tcBorders>
              <w:top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Port Activity</w:t>
            </w:r>
          </w:p>
        </w:tc>
        <w:tc>
          <w:tcPr>
            <w:tcW w:w="1980" w:type="dxa"/>
            <w:tcBorders>
              <w:top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Sea Activity</w:t>
            </w:r>
          </w:p>
        </w:tc>
        <w:tc>
          <w:tcPr>
            <w:tcW w:w="1890" w:type="dxa"/>
            <w:tcBorders>
              <w:top w:val="double" w:sz="4" w:space="0" w:color="auto"/>
              <w:right w:val="double" w:sz="4" w:space="0" w:color="auto"/>
            </w:tcBorders>
            <w:shd w:val="clear" w:color="auto" w:fill="E7FFE7"/>
            <w:vAlign w:val="center"/>
          </w:tcPr>
          <w:p w:rsidR="00010463" w:rsidRPr="000A436F" w:rsidRDefault="00010463" w:rsidP="00010463">
            <w:pPr>
              <w:jc w:val="center"/>
              <w:rPr>
                <w:rFonts w:ascii="Times New Roman" w:eastAsia="Times New Roman" w:hAnsi="Times New Roman" w:cs="Times New Roman"/>
                <w:b/>
                <w:bCs/>
              </w:rPr>
            </w:pPr>
            <w:r w:rsidRPr="000A436F">
              <w:rPr>
                <w:rFonts w:ascii="Times New Roman" w:eastAsia="Times New Roman" w:hAnsi="Times New Roman" w:cs="Times New Roman"/>
                <w:b/>
                <w:bCs/>
                <w:color w:val="000000"/>
              </w:rPr>
              <w:t>Total Activity</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Deepwater</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0.01</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0.99</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26,661,592.13</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2,639,497,621.30</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2,666,159,213.43</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Ferries</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0.65</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0.35</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951,790,535.43</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512,502,596.00</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1,464,293,131.43</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Fishing</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0.05</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0.95</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170,642,038.79</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3,242,198,737.03</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3,412,840,775.82</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Government</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0.59</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0.41</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850,445,219.50</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590,987,355.93</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1,441,432,575.43</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GreatLake</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0.01</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0.99</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13,932,438.55</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1,379,311,416.06</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1,393,243,854.61</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Offshore</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0.04</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0.96</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592,889,591.96</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14,229,350,206.98</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14,822,239,798.93</w:t>
            </w:r>
          </w:p>
        </w:tc>
      </w:tr>
      <w:tr w:rsidR="00010463" w:rsidTr="00874CE1">
        <w:tc>
          <w:tcPr>
            <w:tcW w:w="1350" w:type="dxa"/>
            <w:tcBorders>
              <w:left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lastRenderedPageBreak/>
              <w:t>Research</w:t>
            </w:r>
          </w:p>
        </w:tc>
        <w:tc>
          <w:tcPr>
            <w:tcW w:w="135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0.01</w:t>
            </w:r>
          </w:p>
        </w:tc>
        <w:tc>
          <w:tcPr>
            <w:tcW w:w="126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0.99</w:t>
            </w:r>
          </w:p>
        </w:tc>
        <w:tc>
          <w:tcPr>
            <w:tcW w:w="180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5,754,084.17</w:t>
            </w:r>
          </w:p>
        </w:tc>
        <w:tc>
          <w:tcPr>
            <w:tcW w:w="1980" w:type="dxa"/>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569,654,333.04</w:t>
            </w:r>
          </w:p>
        </w:tc>
        <w:tc>
          <w:tcPr>
            <w:tcW w:w="1890" w:type="dxa"/>
            <w:tcBorders>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575,408,417.22</w:t>
            </w:r>
          </w:p>
        </w:tc>
      </w:tr>
      <w:tr w:rsidR="00010463" w:rsidTr="00874CE1">
        <w:tc>
          <w:tcPr>
            <w:tcW w:w="1350" w:type="dxa"/>
            <w:tcBorders>
              <w:left w:val="double" w:sz="4" w:space="0" w:color="auto"/>
              <w:bottom w:val="double" w:sz="4" w:space="0" w:color="auto"/>
            </w:tcBorders>
          </w:tcPr>
          <w:p w:rsidR="00010463" w:rsidRPr="000A436F" w:rsidRDefault="00010463" w:rsidP="00010463">
            <w:pPr>
              <w:rPr>
                <w:rFonts w:ascii="Times New Roman" w:eastAsia="Times New Roman" w:hAnsi="Times New Roman" w:cs="Times New Roman"/>
              </w:rPr>
            </w:pPr>
            <w:r w:rsidRPr="000A436F">
              <w:rPr>
                <w:rFonts w:ascii="Times New Roman" w:eastAsia="Times New Roman" w:hAnsi="Times New Roman" w:cs="Times New Roman"/>
                <w:color w:val="000000"/>
              </w:rPr>
              <w:t>Tugs</w:t>
            </w:r>
          </w:p>
        </w:tc>
        <w:tc>
          <w:tcPr>
            <w:tcW w:w="1350" w:type="dxa"/>
            <w:tcBorders>
              <w:bottom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0.17</w:t>
            </w:r>
          </w:p>
        </w:tc>
        <w:tc>
          <w:tcPr>
            <w:tcW w:w="1260" w:type="dxa"/>
            <w:tcBorders>
              <w:bottom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0.83</w:t>
            </w:r>
          </w:p>
        </w:tc>
        <w:tc>
          <w:tcPr>
            <w:tcW w:w="1800" w:type="dxa"/>
            <w:tcBorders>
              <w:bottom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1,346,461,152.91</w:t>
            </w:r>
          </w:p>
        </w:tc>
        <w:tc>
          <w:tcPr>
            <w:tcW w:w="1980" w:type="dxa"/>
            <w:tcBorders>
              <w:bottom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6,573,898,570.10</w:t>
            </w:r>
          </w:p>
        </w:tc>
        <w:tc>
          <w:tcPr>
            <w:tcW w:w="1890" w:type="dxa"/>
            <w:tcBorders>
              <w:bottom w:val="double" w:sz="4" w:space="0" w:color="auto"/>
              <w:right w:val="double" w:sz="4" w:space="0" w:color="auto"/>
            </w:tcBorders>
          </w:tcPr>
          <w:p w:rsidR="00010463" w:rsidRPr="000A436F" w:rsidRDefault="00010463" w:rsidP="00010463">
            <w:pPr>
              <w:jc w:val="right"/>
              <w:rPr>
                <w:rFonts w:ascii="Times New Roman" w:eastAsia="Times New Roman" w:hAnsi="Times New Roman" w:cs="Times New Roman"/>
              </w:rPr>
            </w:pPr>
            <w:r w:rsidRPr="000A436F">
              <w:rPr>
                <w:rFonts w:ascii="Times New Roman" w:eastAsia="Times New Roman" w:hAnsi="Times New Roman" w:cs="Times New Roman"/>
                <w:color w:val="000000"/>
              </w:rPr>
              <w:t>7,920,359,723.01</w:t>
            </w:r>
          </w:p>
        </w:tc>
      </w:tr>
    </w:tbl>
    <w:p w:rsidR="00AC499C" w:rsidRDefault="00AC499C" w:rsidP="00F86886">
      <w:pPr>
        <w:rPr>
          <w:rFonts w:ascii="Times New Roman" w:hAnsi="Times New Roman" w:cs="Times New Roman"/>
          <w:sz w:val="24"/>
          <w:szCs w:val="24"/>
        </w:rPr>
      </w:pPr>
    </w:p>
    <w:p w:rsidR="00F86886" w:rsidRDefault="00F86886" w:rsidP="000A436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Section 2</w:t>
      </w:r>
      <w:r w:rsidR="000A436F">
        <w:rPr>
          <w:rFonts w:ascii="Times New Roman" w:hAnsi="Times New Roman" w:cs="Times New Roman"/>
          <w:sz w:val="24"/>
          <w:szCs w:val="24"/>
        </w:rPr>
        <w:t>.0</w:t>
      </w:r>
      <w:r>
        <w:rPr>
          <w:rFonts w:ascii="Times New Roman" w:hAnsi="Times New Roman" w:cs="Times New Roman"/>
          <w:sz w:val="24"/>
          <w:szCs w:val="24"/>
        </w:rPr>
        <w:t xml:space="preserve"> describes the methodology used to develop the spatial allocation data for C1/C2 vessels, and Section 3</w:t>
      </w:r>
      <w:r w:rsidR="000A436F">
        <w:rPr>
          <w:rFonts w:ascii="Times New Roman" w:hAnsi="Times New Roman" w:cs="Times New Roman"/>
          <w:sz w:val="24"/>
          <w:szCs w:val="24"/>
        </w:rPr>
        <w:t>.0</w:t>
      </w:r>
      <w:r>
        <w:rPr>
          <w:rFonts w:ascii="Times New Roman" w:hAnsi="Times New Roman" w:cs="Times New Roman"/>
          <w:sz w:val="24"/>
          <w:szCs w:val="24"/>
        </w:rPr>
        <w:t xml:space="preserve"> provides the references used in this study.</w:t>
      </w:r>
    </w:p>
    <w:p w:rsidR="00F86886" w:rsidRDefault="00F86886" w:rsidP="000A436F">
      <w:pPr>
        <w:spacing w:after="0" w:line="240" w:lineRule="auto"/>
        <w:rPr>
          <w:rFonts w:ascii="Times New Roman" w:hAnsi="Times New Roman" w:cs="Times New Roman"/>
          <w:sz w:val="24"/>
          <w:szCs w:val="24"/>
        </w:rPr>
      </w:pPr>
    </w:p>
    <w:p w:rsidR="00084EE9" w:rsidRPr="00BA6C0A" w:rsidRDefault="004961D2">
      <w:pPr>
        <w:rPr>
          <w:rFonts w:ascii="Times New Roman" w:hAnsi="Times New Roman" w:cs="Times New Roman"/>
          <w:b/>
          <w:sz w:val="24"/>
          <w:szCs w:val="24"/>
        </w:rPr>
      </w:pPr>
      <w:r w:rsidRPr="004961D2">
        <w:rPr>
          <w:rFonts w:ascii="Times New Roman" w:hAnsi="Times New Roman" w:cs="Times New Roman"/>
          <w:b/>
          <w:sz w:val="24"/>
          <w:szCs w:val="24"/>
        </w:rPr>
        <w:t>2.0</w:t>
      </w:r>
      <w:r w:rsidR="000A436F">
        <w:rPr>
          <w:rFonts w:ascii="Times New Roman" w:hAnsi="Times New Roman" w:cs="Times New Roman"/>
          <w:b/>
          <w:sz w:val="24"/>
          <w:szCs w:val="24"/>
        </w:rPr>
        <w:tab/>
      </w:r>
      <w:r w:rsidRPr="004961D2">
        <w:rPr>
          <w:rFonts w:ascii="Times New Roman" w:hAnsi="Times New Roman" w:cs="Times New Roman"/>
          <w:b/>
          <w:sz w:val="24"/>
          <w:szCs w:val="24"/>
        </w:rPr>
        <w:t>Development of Category 1 / Category 2 Spatial Allocation Data Set</w:t>
      </w:r>
    </w:p>
    <w:p w:rsidR="007D795F" w:rsidRDefault="00DF7C3B" w:rsidP="000A436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7D795F">
        <w:rPr>
          <w:rFonts w:ascii="Times New Roman" w:hAnsi="Times New Roman" w:cs="Times New Roman"/>
          <w:sz w:val="24"/>
          <w:szCs w:val="24"/>
        </w:rPr>
        <w:t xml:space="preserve">Category 1/Category 2 (C1/C2) </w:t>
      </w:r>
      <w:r w:rsidR="00C2690F">
        <w:rPr>
          <w:rFonts w:ascii="Times New Roman" w:hAnsi="Times New Roman" w:cs="Times New Roman"/>
          <w:sz w:val="24"/>
          <w:szCs w:val="24"/>
        </w:rPr>
        <w:t>C</w:t>
      </w:r>
      <w:r>
        <w:rPr>
          <w:rFonts w:ascii="Times New Roman" w:hAnsi="Times New Roman" w:cs="Times New Roman"/>
          <w:sz w:val="24"/>
          <w:szCs w:val="24"/>
        </w:rPr>
        <w:t xml:space="preserve">ensus </w:t>
      </w:r>
      <w:r w:rsidR="00C2690F">
        <w:rPr>
          <w:rFonts w:ascii="Times New Roman" w:hAnsi="Times New Roman" w:cs="Times New Roman"/>
          <w:sz w:val="24"/>
          <w:szCs w:val="24"/>
        </w:rPr>
        <w:t>R</w:t>
      </w:r>
      <w:r>
        <w:rPr>
          <w:rFonts w:ascii="Times New Roman" w:hAnsi="Times New Roman" w:cs="Times New Roman"/>
          <w:sz w:val="24"/>
          <w:szCs w:val="24"/>
        </w:rPr>
        <w:t xml:space="preserve">eport </w:t>
      </w:r>
      <w:r w:rsidR="007D795F">
        <w:rPr>
          <w:rFonts w:ascii="Times New Roman" w:hAnsi="Times New Roman" w:cs="Times New Roman"/>
          <w:sz w:val="24"/>
          <w:szCs w:val="24"/>
        </w:rPr>
        <w:t xml:space="preserve">provides an estimate of port and underway horsepower hours </w:t>
      </w:r>
      <w:r>
        <w:rPr>
          <w:rFonts w:ascii="Times New Roman" w:hAnsi="Times New Roman" w:cs="Times New Roman"/>
          <w:sz w:val="24"/>
          <w:szCs w:val="24"/>
        </w:rPr>
        <w:t>by vessel type</w:t>
      </w:r>
      <w:r w:rsidR="00F86886">
        <w:rPr>
          <w:rFonts w:ascii="Times New Roman" w:hAnsi="Times New Roman" w:cs="Times New Roman"/>
          <w:sz w:val="24"/>
          <w:szCs w:val="24"/>
        </w:rPr>
        <w:t>, as noted in Figure 1</w:t>
      </w:r>
      <w:r w:rsidR="00C2690F">
        <w:rPr>
          <w:rFonts w:ascii="Times New Roman" w:hAnsi="Times New Roman" w:cs="Times New Roman"/>
          <w:sz w:val="24"/>
          <w:szCs w:val="24"/>
        </w:rPr>
        <w:t>. In the study,</w:t>
      </w:r>
      <w:r w:rsidR="007D795F">
        <w:rPr>
          <w:rFonts w:ascii="Times New Roman" w:hAnsi="Times New Roman" w:cs="Times New Roman"/>
          <w:sz w:val="24"/>
          <w:szCs w:val="24"/>
        </w:rPr>
        <w:t xml:space="preserve"> these estimates of activity were assigned to an appropriate grid or shipping lane based on vessel type and available traffic data</w:t>
      </w:r>
      <w:r>
        <w:rPr>
          <w:rFonts w:ascii="Times New Roman" w:hAnsi="Times New Roman" w:cs="Times New Roman"/>
          <w:sz w:val="24"/>
          <w:szCs w:val="24"/>
        </w:rPr>
        <w:t>.</w:t>
      </w:r>
    </w:p>
    <w:p w:rsidR="00AC499C" w:rsidRDefault="00AC499C" w:rsidP="00AC499C">
      <w:pPr>
        <w:spacing w:after="0" w:line="240" w:lineRule="auto"/>
        <w:rPr>
          <w:rFonts w:ascii="Times New Roman" w:hAnsi="Times New Roman" w:cs="Times New Roman"/>
          <w:sz w:val="24"/>
          <w:szCs w:val="24"/>
        </w:rPr>
      </w:pPr>
    </w:p>
    <w:p w:rsidR="007D795F" w:rsidRDefault="00DC7D1E" w:rsidP="000A436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57309" cy="4686300"/>
            <wp:effectExtent l="38100" t="19050" r="24191"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357309" cy="4686300"/>
                    </a:xfrm>
                    <a:prstGeom prst="rect">
                      <a:avLst/>
                    </a:prstGeom>
                    <a:noFill/>
                    <a:ln w="9525">
                      <a:solidFill>
                        <a:schemeClr val="accent1"/>
                      </a:solidFill>
                      <a:miter lim="800000"/>
                      <a:headEnd/>
                      <a:tailEnd/>
                    </a:ln>
                  </pic:spPr>
                </pic:pic>
              </a:graphicData>
            </a:graphic>
          </wp:inline>
        </w:drawing>
      </w:r>
    </w:p>
    <w:p w:rsidR="00E84679" w:rsidRPr="000A436F" w:rsidRDefault="00E84679" w:rsidP="000A436F">
      <w:pPr>
        <w:jc w:val="center"/>
        <w:rPr>
          <w:rFonts w:ascii="Times New Roman" w:hAnsi="Times New Roman" w:cs="Times New Roman"/>
          <w:b/>
          <w:sz w:val="24"/>
          <w:szCs w:val="24"/>
        </w:rPr>
      </w:pPr>
      <w:r w:rsidRPr="000A436F">
        <w:rPr>
          <w:rFonts w:ascii="Times New Roman" w:hAnsi="Times New Roman" w:cs="Times New Roman"/>
          <w:b/>
          <w:sz w:val="24"/>
          <w:szCs w:val="24"/>
        </w:rPr>
        <w:t>Figure 1</w:t>
      </w:r>
      <w:r w:rsidR="000A436F">
        <w:rPr>
          <w:rFonts w:ascii="Times New Roman" w:hAnsi="Times New Roman" w:cs="Times New Roman"/>
          <w:b/>
          <w:sz w:val="24"/>
          <w:szCs w:val="24"/>
        </w:rPr>
        <w:t>.</w:t>
      </w:r>
      <w:r w:rsidRPr="000A436F">
        <w:rPr>
          <w:rFonts w:ascii="Times New Roman" w:hAnsi="Times New Roman" w:cs="Times New Roman"/>
          <w:b/>
          <w:sz w:val="24"/>
          <w:szCs w:val="24"/>
        </w:rPr>
        <w:t xml:space="preserve"> Example Data file from C1/C2 Census Report</w:t>
      </w:r>
    </w:p>
    <w:p w:rsidR="00E84679" w:rsidRDefault="00E84679" w:rsidP="00874CE1">
      <w:pPr>
        <w:keepNext/>
        <w:keepLines/>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activity for port and underway operations for all C1/C2 vessel types were aggregated and used as a weight factor for each allocation block and vessel operations using the following equation:</w:t>
      </w:r>
    </w:p>
    <w:p w:rsidR="00E84679" w:rsidRPr="004020AD" w:rsidRDefault="00E84679" w:rsidP="00874CE1">
      <w:pPr>
        <w:keepNext/>
        <w:keepLines/>
        <w:spacing w:after="0" w:line="240" w:lineRule="auto"/>
        <w:rPr>
          <w:rFonts w:ascii="Times New Roman Bold" w:hAnsi="Times New Roman Bold" w:cs="Times New Roman"/>
          <w:b/>
          <w:color w:val="000000" w:themeColor="text1"/>
          <w:sz w:val="24"/>
          <w:szCs w:val="24"/>
        </w:rPr>
      </w:pPr>
    </w:p>
    <w:p w:rsidR="00E84679" w:rsidRPr="00010463" w:rsidRDefault="00DC7D1E" w:rsidP="00874CE1">
      <w:pPr>
        <w:keepNext/>
        <w:keepLines/>
        <w:spacing w:after="0" w:line="240" w:lineRule="auto"/>
        <w:jc w:val="center"/>
        <w:rPr>
          <w:rFonts w:ascii="Times New Roman" w:hAnsi="Times New Roman" w:cs="Times New Roman"/>
          <w:color w:val="000000" w:themeColor="text1"/>
          <w:sz w:val="24"/>
          <w:szCs w:val="24"/>
        </w:rPr>
      </w:pPr>
      <w:r w:rsidRPr="00010463">
        <w:rPr>
          <w:rFonts w:ascii="Times New Roman" w:hAnsi="Times New Roman" w:cs="Times New Roman"/>
          <w:color w:val="000000" w:themeColor="text1"/>
          <w:sz w:val="24"/>
          <w:szCs w:val="24"/>
        </w:rPr>
        <w:t>SA</w:t>
      </w:r>
      <w:r w:rsidRPr="00010463">
        <w:rPr>
          <w:rFonts w:ascii="Times New Roman" w:hAnsi="Times New Roman" w:cs="Times New Roman"/>
          <w:color w:val="000000" w:themeColor="text1"/>
          <w:sz w:val="24"/>
          <w:szCs w:val="24"/>
          <w:vertAlign w:val="subscript"/>
        </w:rPr>
        <w:t>iJ</w:t>
      </w:r>
      <w:r w:rsidRPr="00010463">
        <w:rPr>
          <w:rFonts w:ascii="Times New Roman" w:hAnsi="Times New Roman" w:cs="Times New Roman"/>
          <w:color w:val="000000" w:themeColor="text1"/>
          <w:sz w:val="24"/>
          <w:szCs w:val="24"/>
        </w:rPr>
        <w:t xml:space="preserve"> </w:t>
      </w:r>
      <w:r w:rsidR="00010463">
        <w:rPr>
          <w:rFonts w:ascii="Times New Roman" w:hAnsi="Times New Roman" w:cs="Times New Roman"/>
          <w:color w:val="000000" w:themeColor="text1"/>
          <w:sz w:val="24"/>
          <w:szCs w:val="24"/>
        </w:rPr>
        <w:t xml:space="preserve"> </w:t>
      </w:r>
      <w:r w:rsidRPr="00010463">
        <w:rPr>
          <w:rFonts w:ascii="Times New Roman" w:hAnsi="Times New Roman" w:cs="Times New Roman"/>
          <w:color w:val="000000" w:themeColor="text1"/>
          <w:sz w:val="24"/>
          <w:szCs w:val="24"/>
        </w:rPr>
        <w:t>=</w:t>
      </w:r>
      <w:r w:rsidR="00010463">
        <w:rPr>
          <w:rFonts w:ascii="Times New Roman" w:hAnsi="Times New Roman" w:cs="Times New Roman"/>
          <w:color w:val="000000" w:themeColor="text1"/>
          <w:sz w:val="24"/>
          <w:szCs w:val="24"/>
        </w:rPr>
        <w:t xml:space="preserve"> </w:t>
      </w:r>
      <w:r w:rsidRPr="00010463">
        <w:rPr>
          <w:rFonts w:ascii="Times New Roman" w:hAnsi="Times New Roman" w:cs="Times New Roman"/>
          <w:color w:val="000000" w:themeColor="text1"/>
          <w:sz w:val="24"/>
          <w:szCs w:val="24"/>
        </w:rPr>
        <w:t xml:space="preserve"> A</w:t>
      </w:r>
      <w:r w:rsidRPr="00010463">
        <w:rPr>
          <w:rFonts w:ascii="Times New Roman" w:hAnsi="Times New Roman" w:cs="Times New Roman"/>
          <w:color w:val="000000" w:themeColor="text1"/>
          <w:sz w:val="24"/>
          <w:szCs w:val="24"/>
          <w:vertAlign w:val="subscript"/>
        </w:rPr>
        <w:t>iJ</w:t>
      </w:r>
      <w:r w:rsidRPr="00010463">
        <w:rPr>
          <w:rFonts w:ascii="Times New Roman" w:hAnsi="Times New Roman" w:cs="Times New Roman"/>
          <w:color w:val="000000" w:themeColor="text1"/>
          <w:sz w:val="24"/>
          <w:szCs w:val="24"/>
        </w:rPr>
        <w:t>/∑A</w:t>
      </w:r>
      <w:r w:rsidRPr="00010463">
        <w:rPr>
          <w:rFonts w:ascii="Times New Roman" w:hAnsi="Times New Roman" w:cs="Times New Roman"/>
          <w:color w:val="000000" w:themeColor="text1"/>
          <w:sz w:val="24"/>
          <w:szCs w:val="24"/>
          <w:vertAlign w:val="subscript"/>
        </w:rPr>
        <w:t>iJ</w:t>
      </w:r>
    </w:p>
    <w:p w:rsidR="004020AD" w:rsidRDefault="004020AD" w:rsidP="004020AD">
      <w:pPr>
        <w:spacing w:after="0" w:line="240" w:lineRule="auto"/>
        <w:rPr>
          <w:rFonts w:ascii="Times New Roman" w:hAnsi="Times New Roman" w:cs="Times New Roman"/>
          <w:sz w:val="24"/>
          <w:szCs w:val="24"/>
        </w:rPr>
      </w:pPr>
    </w:p>
    <w:p w:rsidR="00E84679" w:rsidRDefault="00DC7D1E">
      <w:pPr>
        <w:rPr>
          <w:rFonts w:ascii="Times New Roman" w:hAnsi="Times New Roman" w:cs="Times New Roman"/>
          <w:sz w:val="24"/>
          <w:szCs w:val="24"/>
        </w:rPr>
      </w:pPr>
      <w:r>
        <w:rPr>
          <w:rFonts w:ascii="Times New Roman" w:hAnsi="Times New Roman" w:cs="Times New Roman"/>
          <w:sz w:val="24"/>
          <w:szCs w:val="24"/>
        </w:rPr>
        <w:t>Where:</w:t>
      </w:r>
    </w:p>
    <w:p w:rsidR="00DC7D1E" w:rsidRDefault="00DC7D1E" w:rsidP="00010463">
      <w:p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SA</w:t>
      </w:r>
      <w:r w:rsidRPr="00DC7D1E">
        <w:rPr>
          <w:rFonts w:ascii="Times New Roman" w:hAnsi="Times New Roman" w:cs="Times New Roman"/>
          <w:sz w:val="24"/>
          <w:szCs w:val="24"/>
          <w:vertAlign w:val="subscript"/>
        </w:rPr>
        <w:t>iJ</w:t>
      </w:r>
      <w:r>
        <w:rPr>
          <w:rFonts w:ascii="Times New Roman" w:hAnsi="Times New Roman" w:cs="Times New Roman"/>
          <w:sz w:val="24"/>
          <w:szCs w:val="24"/>
        </w:rPr>
        <w:t xml:space="preserve"> </w:t>
      </w:r>
      <w:r w:rsidR="004020AD">
        <w:rPr>
          <w:rFonts w:ascii="Times New Roman" w:hAnsi="Times New Roman" w:cs="Times New Roman"/>
          <w:sz w:val="24"/>
          <w:szCs w:val="24"/>
        </w:rPr>
        <w:tab/>
      </w:r>
      <w:r>
        <w:rPr>
          <w:rFonts w:ascii="Times New Roman" w:hAnsi="Times New Roman" w:cs="Times New Roman"/>
          <w:sz w:val="24"/>
          <w:szCs w:val="24"/>
        </w:rPr>
        <w:t>= Spatial activity factor for vessel type</w:t>
      </w:r>
      <w:r w:rsidRPr="00DC7D1E">
        <w:rPr>
          <w:rFonts w:ascii="Times New Roman" w:hAnsi="Times New Roman" w:cs="Times New Roman"/>
          <w:i/>
          <w:sz w:val="24"/>
          <w:szCs w:val="24"/>
        </w:rPr>
        <w:t xml:space="preserve"> i</w:t>
      </w:r>
      <w:r>
        <w:rPr>
          <w:rFonts w:ascii="Times New Roman" w:hAnsi="Times New Roman" w:cs="Times New Roman"/>
          <w:sz w:val="24"/>
          <w:szCs w:val="24"/>
        </w:rPr>
        <w:t xml:space="preserve"> operating in block </w:t>
      </w:r>
      <w:r w:rsidRPr="00DC7D1E">
        <w:rPr>
          <w:rFonts w:ascii="Times New Roman" w:hAnsi="Times New Roman" w:cs="Times New Roman"/>
          <w:i/>
          <w:sz w:val="24"/>
          <w:szCs w:val="24"/>
        </w:rPr>
        <w:t>J</w:t>
      </w:r>
    </w:p>
    <w:p w:rsidR="00DC7D1E" w:rsidRDefault="00DC7D1E" w:rsidP="004020A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w:t>
      </w:r>
      <w:r w:rsidRPr="00DC7D1E">
        <w:rPr>
          <w:rFonts w:ascii="Times New Roman" w:hAnsi="Times New Roman" w:cs="Times New Roman"/>
          <w:sz w:val="24"/>
          <w:szCs w:val="24"/>
          <w:vertAlign w:val="subscript"/>
        </w:rPr>
        <w:t>iJ</w:t>
      </w:r>
      <w:r>
        <w:rPr>
          <w:rFonts w:ascii="Times New Roman" w:hAnsi="Times New Roman" w:cs="Times New Roman"/>
          <w:sz w:val="24"/>
          <w:szCs w:val="24"/>
        </w:rPr>
        <w:t xml:space="preserve"> </w:t>
      </w:r>
      <w:r w:rsidR="004020AD">
        <w:rPr>
          <w:rFonts w:ascii="Times New Roman" w:hAnsi="Times New Roman" w:cs="Times New Roman"/>
          <w:sz w:val="24"/>
          <w:szCs w:val="24"/>
        </w:rPr>
        <w:tab/>
      </w:r>
      <w:r>
        <w:rPr>
          <w:rFonts w:ascii="Times New Roman" w:hAnsi="Times New Roman" w:cs="Times New Roman"/>
          <w:sz w:val="24"/>
          <w:szCs w:val="24"/>
        </w:rPr>
        <w:t>= Census Report a</w:t>
      </w:r>
      <w:r w:rsidR="004020AD">
        <w:rPr>
          <w:rFonts w:ascii="Times New Roman" w:hAnsi="Times New Roman" w:cs="Times New Roman"/>
          <w:sz w:val="24"/>
          <w:szCs w:val="24"/>
        </w:rPr>
        <w:t>ctiv</w:t>
      </w:r>
      <w:r>
        <w:rPr>
          <w:rFonts w:ascii="Times New Roman" w:hAnsi="Times New Roman" w:cs="Times New Roman"/>
          <w:sz w:val="24"/>
          <w:szCs w:val="24"/>
        </w:rPr>
        <w:t>ity for vessel type i in block J</w:t>
      </w:r>
    </w:p>
    <w:p w:rsidR="00DC7D1E" w:rsidRDefault="00DC7D1E" w:rsidP="004020A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 </w:t>
      </w:r>
      <w:r w:rsidR="004020AD">
        <w:rPr>
          <w:rFonts w:ascii="Times New Roman" w:hAnsi="Times New Roman" w:cs="Times New Roman"/>
          <w:sz w:val="24"/>
          <w:szCs w:val="24"/>
        </w:rPr>
        <w:tab/>
      </w:r>
      <w:r>
        <w:rPr>
          <w:rFonts w:ascii="Times New Roman" w:hAnsi="Times New Roman" w:cs="Times New Roman"/>
          <w:sz w:val="24"/>
          <w:szCs w:val="24"/>
        </w:rPr>
        <w:t>= Vessel type (e.g., tug, ferry, fishing) and operation (i.e., port, underway)</w:t>
      </w:r>
    </w:p>
    <w:p w:rsidR="00DC7D1E" w:rsidRDefault="00DC7D1E" w:rsidP="004020A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J </w:t>
      </w:r>
      <w:r w:rsidR="004020AD">
        <w:rPr>
          <w:rFonts w:ascii="Times New Roman" w:hAnsi="Times New Roman" w:cs="Times New Roman"/>
          <w:sz w:val="24"/>
          <w:szCs w:val="24"/>
        </w:rPr>
        <w:tab/>
      </w:r>
      <w:r>
        <w:rPr>
          <w:rFonts w:ascii="Times New Roman" w:hAnsi="Times New Roman" w:cs="Times New Roman"/>
          <w:sz w:val="24"/>
          <w:szCs w:val="24"/>
        </w:rPr>
        <w:t>= Specific spatial block</w:t>
      </w:r>
    </w:p>
    <w:p w:rsidR="00E84679" w:rsidRDefault="00E84679" w:rsidP="004020AD">
      <w:pPr>
        <w:spacing w:after="0" w:line="240" w:lineRule="auto"/>
        <w:rPr>
          <w:rFonts w:ascii="Times New Roman" w:hAnsi="Times New Roman" w:cs="Times New Roman"/>
          <w:sz w:val="24"/>
          <w:szCs w:val="24"/>
        </w:rPr>
      </w:pPr>
    </w:p>
    <w:p w:rsidR="00DF7C3B" w:rsidRDefault="00DF7C3B" w:rsidP="0001046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shapefile created for the census report served as the starting point for developing the NEI EIS shapefile; as a result, the shape IDs from the </w:t>
      </w:r>
      <w:r w:rsidR="007D795F">
        <w:rPr>
          <w:rFonts w:ascii="Times New Roman" w:hAnsi="Times New Roman" w:cs="Times New Roman"/>
          <w:sz w:val="24"/>
          <w:szCs w:val="24"/>
        </w:rPr>
        <w:t xml:space="preserve">C1/C2 </w:t>
      </w:r>
      <w:r>
        <w:rPr>
          <w:rFonts w:ascii="Times New Roman" w:hAnsi="Times New Roman" w:cs="Times New Roman"/>
          <w:sz w:val="24"/>
          <w:szCs w:val="24"/>
        </w:rPr>
        <w:t>dataset were easily matched to shape IDs in the EIS dataset</w:t>
      </w:r>
      <w:r w:rsidR="00C2690F">
        <w:rPr>
          <w:rFonts w:ascii="Times New Roman" w:hAnsi="Times New Roman" w:cs="Times New Roman"/>
          <w:sz w:val="24"/>
          <w:szCs w:val="24"/>
        </w:rPr>
        <w:t>;</w:t>
      </w:r>
      <w:r w:rsidR="007D795F">
        <w:rPr>
          <w:rFonts w:ascii="Times New Roman" w:hAnsi="Times New Roman" w:cs="Times New Roman"/>
          <w:sz w:val="24"/>
          <w:szCs w:val="24"/>
        </w:rPr>
        <w:t xml:space="preserve"> this allowed us</w:t>
      </w:r>
      <w:r w:rsidR="00C2690F">
        <w:rPr>
          <w:rFonts w:ascii="Times New Roman" w:hAnsi="Times New Roman" w:cs="Times New Roman"/>
          <w:sz w:val="24"/>
          <w:szCs w:val="24"/>
        </w:rPr>
        <w:t xml:space="preserve"> </w:t>
      </w:r>
      <w:r>
        <w:rPr>
          <w:rFonts w:ascii="Times New Roman" w:hAnsi="Times New Roman" w:cs="Times New Roman"/>
          <w:sz w:val="24"/>
          <w:szCs w:val="24"/>
        </w:rPr>
        <w:t>to preserve the vessel-specific spatial allocations</w:t>
      </w:r>
      <w:r w:rsidR="00C2690F">
        <w:rPr>
          <w:rFonts w:ascii="Times New Roman" w:hAnsi="Times New Roman" w:cs="Times New Roman"/>
          <w:sz w:val="24"/>
          <w:szCs w:val="24"/>
        </w:rPr>
        <w:t xml:space="preserve"> developed in the Census Report</w:t>
      </w:r>
      <w:r w:rsidR="00874CE1">
        <w:rPr>
          <w:rFonts w:ascii="Times New Roman" w:hAnsi="Times New Roman" w:cs="Times New Roman"/>
          <w:sz w:val="24"/>
          <w:szCs w:val="24"/>
        </w:rPr>
        <w:t xml:space="preserve">. </w:t>
      </w:r>
      <w:r>
        <w:rPr>
          <w:rFonts w:ascii="Times New Roman" w:hAnsi="Times New Roman" w:cs="Times New Roman"/>
          <w:sz w:val="24"/>
          <w:szCs w:val="24"/>
        </w:rPr>
        <w:t xml:space="preserve">A few additional revisions were necessary to </w:t>
      </w:r>
      <w:r w:rsidR="00C2690F">
        <w:rPr>
          <w:rFonts w:ascii="Times New Roman" w:hAnsi="Times New Roman" w:cs="Times New Roman"/>
          <w:sz w:val="24"/>
          <w:szCs w:val="24"/>
        </w:rPr>
        <w:t>ensure that the Census Report data could be used for EIS data submittals</w:t>
      </w:r>
      <w:r w:rsidR="004020AD">
        <w:rPr>
          <w:rFonts w:ascii="Times New Roman" w:hAnsi="Times New Roman" w:cs="Times New Roman"/>
          <w:sz w:val="24"/>
          <w:szCs w:val="24"/>
        </w:rPr>
        <w:t>.</w:t>
      </w:r>
    </w:p>
    <w:p w:rsidR="004020AD" w:rsidRDefault="004020AD" w:rsidP="004020AD">
      <w:pPr>
        <w:spacing w:after="0" w:line="240" w:lineRule="auto"/>
        <w:rPr>
          <w:rFonts w:ascii="Times New Roman" w:hAnsi="Times New Roman" w:cs="Times New Roman"/>
          <w:sz w:val="24"/>
          <w:szCs w:val="24"/>
        </w:rPr>
      </w:pPr>
    </w:p>
    <w:p w:rsidR="00C2690F" w:rsidRDefault="00DF7C3B" w:rsidP="00010463">
      <w:pPr>
        <w:pStyle w:val="ListParagraph"/>
        <w:numPr>
          <w:ilvl w:val="0"/>
          <w:numId w:val="1"/>
        </w:numPr>
        <w:spacing w:after="0" w:line="240" w:lineRule="auto"/>
        <w:ind w:left="1170" w:hanging="450"/>
        <w:rPr>
          <w:rFonts w:ascii="Times New Roman" w:hAnsi="Times New Roman" w:cs="Times New Roman"/>
          <w:sz w:val="24"/>
          <w:szCs w:val="24"/>
        </w:rPr>
      </w:pPr>
      <w:r w:rsidRPr="001B733A">
        <w:rPr>
          <w:rFonts w:ascii="Times New Roman" w:hAnsi="Times New Roman" w:cs="Times New Roman"/>
          <w:sz w:val="24"/>
          <w:szCs w:val="24"/>
        </w:rPr>
        <w:t xml:space="preserve">Underway </w:t>
      </w:r>
      <w:r w:rsidR="00C2690F">
        <w:rPr>
          <w:rFonts w:ascii="Times New Roman" w:hAnsi="Times New Roman" w:cs="Times New Roman"/>
          <w:sz w:val="24"/>
          <w:szCs w:val="24"/>
        </w:rPr>
        <w:t xml:space="preserve">activity </w:t>
      </w:r>
      <w:r w:rsidRPr="001B733A">
        <w:rPr>
          <w:rFonts w:ascii="Times New Roman" w:hAnsi="Times New Roman" w:cs="Times New Roman"/>
          <w:sz w:val="24"/>
          <w:szCs w:val="24"/>
        </w:rPr>
        <w:t>in federal waters w</w:t>
      </w:r>
      <w:r w:rsidR="001F08AB">
        <w:rPr>
          <w:rFonts w:ascii="Times New Roman" w:hAnsi="Times New Roman" w:cs="Times New Roman"/>
          <w:sz w:val="24"/>
          <w:szCs w:val="24"/>
        </w:rPr>
        <w:t>as</w:t>
      </w:r>
      <w:r w:rsidRPr="001B733A">
        <w:rPr>
          <w:rFonts w:ascii="Times New Roman" w:hAnsi="Times New Roman" w:cs="Times New Roman"/>
          <w:sz w:val="24"/>
          <w:szCs w:val="24"/>
        </w:rPr>
        <w:t xml:space="preserve"> allocated </w:t>
      </w:r>
      <w:r w:rsidR="00C2690F">
        <w:rPr>
          <w:rFonts w:ascii="Times New Roman" w:hAnsi="Times New Roman" w:cs="Times New Roman"/>
          <w:sz w:val="24"/>
          <w:szCs w:val="24"/>
        </w:rPr>
        <w:t xml:space="preserve">in the Census Report </w:t>
      </w:r>
      <w:r w:rsidRPr="001B733A">
        <w:rPr>
          <w:rFonts w:ascii="Times New Roman" w:hAnsi="Times New Roman" w:cs="Times New Roman"/>
          <w:sz w:val="24"/>
          <w:szCs w:val="24"/>
        </w:rPr>
        <w:t>to lease block polygons from the Bureau of Ocean Energy Management</w:t>
      </w:r>
      <w:r w:rsidR="00874CE1">
        <w:rPr>
          <w:rFonts w:ascii="Times New Roman" w:hAnsi="Times New Roman" w:cs="Times New Roman"/>
          <w:sz w:val="24"/>
          <w:szCs w:val="24"/>
        </w:rPr>
        <w:t xml:space="preserve">. </w:t>
      </w:r>
      <w:r w:rsidR="001B733A" w:rsidRPr="001B733A">
        <w:rPr>
          <w:rFonts w:ascii="Times New Roman" w:hAnsi="Times New Roman" w:cs="Times New Roman"/>
          <w:sz w:val="24"/>
          <w:szCs w:val="24"/>
        </w:rPr>
        <w:t xml:space="preserve">These </w:t>
      </w:r>
      <w:r w:rsidR="00C2690F">
        <w:rPr>
          <w:rFonts w:ascii="Times New Roman" w:hAnsi="Times New Roman" w:cs="Times New Roman"/>
          <w:sz w:val="24"/>
          <w:szCs w:val="24"/>
        </w:rPr>
        <w:t>activity data</w:t>
      </w:r>
      <w:r w:rsidR="00C2690F" w:rsidRPr="001B733A">
        <w:rPr>
          <w:rFonts w:ascii="Times New Roman" w:hAnsi="Times New Roman" w:cs="Times New Roman"/>
          <w:sz w:val="24"/>
          <w:szCs w:val="24"/>
        </w:rPr>
        <w:t xml:space="preserve"> </w:t>
      </w:r>
      <w:r w:rsidR="001B733A" w:rsidRPr="001B733A">
        <w:rPr>
          <w:rFonts w:ascii="Times New Roman" w:hAnsi="Times New Roman" w:cs="Times New Roman"/>
          <w:sz w:val="24"/>
          <w:szCs w:val="24"/>
        </w:rPr>
        <w:t>were summed into the large polygons used to represent federal waters in the NEI.</w:t>
      </w:r>
    </w:p>
    <w:p w:rsidR="004020AD" w:rsidRPr="004020AD" w:rsidRDefault="004020AD" w:rsidP="00874CE1">
      <w:pPr>
        <w:spacing w:after="0" w:line="240" w:lineRule="auto"/>
        <w:rPr>
          <w:rFonts w:ascii="Times New Roman" w:hAnsi="Times New Roman" w:cs="Times New Roman"/>
          <w:sz w:val="24"/>
          <w:szCs w:val="24"/>
        </w:rPr>
      </w:pPr>
    </w:p>
    <w:p w:rsidR="00343582" w:rsidRDefault="001B733A" w:rsidP="00010463">
      <w:pPr>
        <w:pStyle w:val="ListParagraph"/>
        <w:numPr>
          <w:ilvl w:val="0"/>
          <w:numId w:val="1"/>
        </w:numPr>
        <w:spacing w:after="0" w:line="240" w:lineRule="auto"/>
        <w:ind w:left="1170" w:hanging="450"/>
        <w:rPr>
          <w:rFonts w:ascii="Times New Roman" w:hAnsi="Times New Roman" w:cs="Times New Roman"/>
          <w:sz w:val="24"/>
          <w:szCs w:val="24"/>
        </w:rPr>
      </w:pPr>
      <w:r>
        <w:rPr>
          <w:rFonts w:ascii="Times New Roman" w:hAnsi="Times New Roman" w:cs="Times New Roman"/>
          <w:sz w:val="24"/>
          <w:szCs w:val="24"/>
        </w:rPr>
        <w:t xml:space="preserve">Port </w:t>
      </w:r>
      <w:r w:rsidR="00C2690F">
        <w:rPr>
          <w:rFonts w:ascii="Times New Roman" w:hAnsi="Times New Roman" w:cs="Times New Roman"/>
          <w:sz w:val="24"/>
          <w:szCs w:val="24"/>
        </w:rPr>
        <w:t xml:space="preserve">activity </w:t>
      </w:r>
      <w:r>
        <w:rPr>
          <w:rFonts w:ascii="Times New Roman" w:hAnsi="Times New Roman" w:cs="Times New Roman"/>
          <w:sz w:val="24"/>
          <w:szCs w:val="24"/>
        </w:rPr>
        <w:t>w</w:t>
      </w:r>
      <w:r w:rsidR="001F08AB">
        <w:rPr>
          <w:rFonts w:ascii="Times New Roman" w:hAnsi="Times New Roman" w:cs="Times New Roman"/>
          <w:sz w:val="24"/>
          <w:szCs w:val="24"/>
        </w:rPr>
        <w:t>as</w:t>
      </w:r>
      <w:r>
        <w:rPr>
          <w:rFonts w:ascii="Times New Roman" w:hAnsi="Times New Roman" w:cs="Times New Roman"/>
          <w:sz w:val="24"/>
          <w:szCs w:val="24"/>
        </w:rPr>
        <w:t xml:space="preserve"> allocated </w:t>
      </w:r>
      <w:r w:rsidR="00343582">
        <w:rPr>
          <w:rFonts w:ascii="Times New Roman" w:hAnsi="Times New Roman" w:cs="Times New Roman"/>
          <w:sz w:val="24"/>
          <w:szCs w:val="24"/>
        </w:rPr>
        <w:t xml:space="preserve">in the Census Report </w:t>
      </w:r>
      <w:r>
        <w:rPr>
          <w:rFonts w:ascii="Times New Roman" w:hAnsi="Times New Roman" w:cs="Times New Roman"/>
          <w:sz w:val="24"/>
          <w:szCs w:val="24"/>
        </w:rPr>
        <w:t xml:space="preserve">to </w:t>
      </w:r>
      <w:r w:rsidR="00343582">
        <w:rPr>
          <w:rFonts w:ascii="Times New Roman" w:hAnsi="Times New Roman" w:cs="Times New Roman"/>
          <w:sz w:val="24"/>
          <w:szCs w:val="24"/>
        </w:rPr>
        <w:t>shipping lanes near the port</w:t>
      </w:r>
      <w:r w:rsidR="00874CE1">
        <w:rPr>
          <w:rFonts w:ascii="Times New Roman" w:hAnsi="Times New Roman" w:cs="Times New Roman"/>
          <w:sz w:val="24"/>
          <w:szCs w:val="24"/>
        </w:rPr>
        <w:t xml:space="preserve">. </w:t>
      </w:r>
      <w:r>
        <w:rPr>
          <w:rFonts w:ascii="Times New Roman" w:hAnsi="Times New Roman" w:cs="Times New Roman"/>
          <w:sz w:val="24"/>
          <w:szCs w:val="24"/>
        </w:rPr>
        <w:t>The N</w:t>
      </w:r>
      <w:r w:rsidR="00AF5B11">
        <w:rPr>
          <w:rFonts w:ascii="Times New Roman" w:hAnsi="Times New Roman" w:cs="Times New Roman"/>
          <w:sz w:val="24"/>
          <w:szCs w:val="24"/>
        </w:rPr>
        <w:t>EI uses a</w:t>
      </w:r>
      <w:r>
        <w:rPr>
          <w:rFonts w:ascii="Times New Roman" w:hAnsi="Times New Roman" w:cs="Times New Roman"/>
          <w:sz w:val="24"/>
          <w:szCs w:val="24"/>
        </w:rPr>
        <w:t xml:space="preserve"> shapefile representing port locations and boundaries</w:t>
      </w:r>
      <w:r w:rsidR="00786BF9">
        <w:rPr>
          <w:rFonts w:ascii="Times New Roman" w:hAnsi="Times New Roman" w:cs="Times New Roman"/>
          <w:sz w:val="24"/>
          <w:szCs w:val="24"/>
        </w:rPr>
        <w:t xml:space="preserve"> for port-associated activity</w:t>
      </w:r>
      <w:r>
        <w:rPr>
          <w:rFonts w:ascii="Times New Roman" w:hAnsi="Times New Roman" w:cs="Times New Roman"/>
          <w:sz w:val="24"/>
          <w:szCs w:val="24"/>
        </w:rPr>
        <w:t>, so th</w:t>
      </w:r>
      <w:r w:rsidR="00343582">
        <w:rPr>
          <w:rFonts w:ascii="Times New Roman" w:hAnsi="Times New Roman" w:cs="Times New Roman"/>
          <w:sz w:val="24"/>
          <w:szCs w:val="24"/>
        </w:rPr>
        <w:t xml:space="preserve">e C1/C2 activities </w:t>
      </w:r>
      <w:r>
        <w:rPr>
          <w:rFonts w:ascii="Times New Roman" w:hAnsi="Times New Roman" w:cs="Times New Roman"/>
          <w:sz w:val="24"/>
          <w:szCs w:val="24"/>
        </w:rPr>
        <w:t xml:space="preserve">needed to be </w:t>
      </w:r>
      <w:r w:rsidR="00AF5B11">
        <w:rPr>
          <w:rFonts w:ascii="Times New Roman" w:hAnsi="Times New Roman" w:cs="Times New Roman"/>
          <w:sz w:val="24"/>
          <w:szCs w:val="24"/>
        </w:rPr>
        <w:t>re</w:t>
      </w:r>
      <w:r>
        <w:rPr>
          <w:rFonts w:ascii="Times New Roman" w:hAnsi="Times New Roman" w:cs="Times New Roman"/>
          <w:sz w:val="24"/>
          <w:szCs w:val="24"/>
        </w:rPr>
        <w:t>assigned to th</w:t>
      </w:r>
      <w:r w:rsidR="00343582">
        <w:rPr>
          <w:rFonts w:ascii="Times New Roman" w:hAnsi="Times New Roman" w:cs="Times New Roman"/>
          <w:sz w:val="24"/>
          <w:szCs w:val="24"/>
        </w:rPr>
        <w:t xml:space="preserve">e NEI port </w:t>
      </w:r>
      <w:r>
        <w:rPr>
          <w:rFonts w:ascii="Times New Roman" w:hAnsi="Times New Roman" w:cs="Times New Roman"/>
          <w:sz w:val="24"/>
          <w:szCs w:val="24"/>
        </w:rPr>
        <w:t>shapefile</w:t>
      </w:r>
      <w:r w:rsidR="00343582">
        <w:rPr>
          <w:rFonts w:ascii="Times New Roman" w:hAnsi="Times New Roman" w:cs="Times New Roman"/>
          <w:sz w:val="24"/>
          <w:szCs w:val="24"/>
        </w:rPr>
        <w:t>s</w:t>
      </w:r>
      <w:r w:rsidR="00874CE1">
        <w:rPr>
          <w:rFonts w:ascii="Times New Roman" w:hAnsi="Times New Roman" w:cs="Times New Roman"/>
          <w:sz w:val="24"/>
          <w:szCs w:val="24"/>
        </w:rPr>
        <w:t xml:space="preserve">. </w:t>
      </w:r>
      <w:r w:rsidR="00343582">
        <w:rPr>
          <w:rFonts w:ascii="Times New Roman" w:hAnsi="Times New Roman" w:cs="Times New Roman"/>
          <w:sz w:val="24"/>
          <w:szCs w:val="24"/>
        </w:rPr>
        <w:t xml:space="preserve">C1/C2 </w:t>
      </w:r>
      <w:r w:rsidR="001F08AB">
        <w:rPr>
          <w:rFonts w:ascii="Times New Roman" w:hAnsi="Times New Roman" w:cs="Times New Roman"/>
          <w:sz w:val="24"/>
          <w:szCs w:val="24"/>
        </w:rPr>
        <w:t>p</w:t>
      </w:r>
      <w:r>
        <w:rPr>
          <w:rFonts w:ascii="Times New Roman" w:hAnsi="Times New Roman" w:cs="Times New Roman"/>
          <w:sz w:val="24"/>
          <w:szCs w:val="24"/>
        </w:rPr>
        <w:t>ort activity was summed to the county level and then allocated to ports within each county based on polygon area</w:t>
      </w:r>
      <w:r w:rsidR="00874CE1">
        <w:rPr>
          <w:rFonts w:ascii="Times New Roman" w:hAnsi="Times New Roman" w:cs="Times New Roman"/>
          <w:sz w:val="24"/>
          <w:szCs w:val="24"/>
        </w:rPr>
        <w:t xml:space="preserve">. </w:t>
      </w:r>
      <w:r>
        <w:rPr>
          <w:rFonts w:ascii="Times New Roman" w:hAnsi="Times New Roman" w:cs="Times New Roman"/>
          <w:sz w:val="24"/>
          <w:szCs w:val="24"/>
        </w:rPr>
        <w:t xml:space="preserve">This approach ensured that activity was </w:t>
      </w:r>
      <w:r w:rsidR="00343582">
        <w:rPr>
          <w:rFonts w:ascii="Times New Roman" w:hAnsi="Times New Roman" w:cs="Times New Roman"/>
          <w:sz w:val="24"/>
          <w:szCs w:val="24"/>
        </w:rPr>
        <w:t xml:space="preserve">appropriately </w:t>
      </w:r>
      <w:r>
        <w:rPr>
          <w:rFonts w:ascii="Times New Roman" w:hAnsi="Times New Roman" w:cs="Times New Roman"/>
          <w:sz w:val="24"/>
          <w:szCs w:val="24"/>
        </w:rPr>
        <w:t xml:space="preserve">assigned to the detailed boundaries of the larger ports as </w:t>
      </w:r>
      <w:r w:rsidR="00343582">
        <w:rPr>
          <w:rFonts w:ascii="Times New Roman" w:hAnsi="Times New Roman" w:cs="Times New Roman"/>
          <w:sz w:val="24"/>
          <w:szCs w:val="24"/>
        </w:rPr>
        <w:t xml:space="preserve">well as </w:t>
      </w:r>
      <w:r>
        <w:rPr>
          <w:rFonts w:ascii="Times New Roman" w:hAnsi="Times New Roman" w:cs="Times New Roman"/>
          <w:sz w:val="24"/>
          <w:szCs w:val="24"/>
        </w:rPr>
        <w:t xml:space="preserve">smaller ports, which are represented by </w:t>
      </w:r>
      <w:r w:rsidR="00AF5B11">
        <w:rPr>
          <w:rFonts w:ascii="Times New Roman" w:hAnsi="Times New Roman" w:cs="Times New Roman"/>
          <w:sz w:val="24"/>
          <w:szCs w:val="24"/>
        </w:rPr>
        <w:t xml:space="preserve">small </w:t>
      </w:r>
      <w:r>
        <w:rPr>
          <w:rFonts w:ascii="Times New Roman" w:hAnsi="Times New Roman" w:cs="Times New Roman"/>
          <w:sz w:val="24"/>
          <w:szCs w:val="24"/>
        </w:rPr>
        <w:t>circles.</w:t>
      </w:r>
    </w:p>
    <w:p w:rsidR="004020AD" w:rsidRPr="004020AD" w:rsidRDefault="004020AD" w:rsidP="004020AD">
      <w:pPr>
        <w:spacing w:after="0" w:line="240" w:lineRule="auto"/>
        <w:rPr>
          <w:rFonts w:ascii="Times New Roman" w:hAnsi="Times New Roman" w:cs="Times New Roman"/>
          <w:sz w:val="24"/>
          <w:szCs w:val="24"/>
        </w:rPr>
      </w:pPr>
    </w:p>
    <w:p w:rsidR="00DC7D1E" w:rsidRDefault="004961D2" w:rsidP="00010463">
      <w:pPr>
        <w:spacing w:after="0" w:line="240" w:lineRule="auto"/>
        <w:ind w:firstLine="720"/>
        <w:rPr>
          <w:rFonts w:ascii="Times New Roman" w:hAnsi="Times New Roman" w:cs="Times New Roman"/>
          <w:sz w:val="24"/>
          <w:szCs w:val="24"/>
        </w:rPr>
      </w:pPr>
      <w:r w:rsidRPr="004961D2">
        <w:rPr>
          <w:rFonts w:ascii="Times New Roman" w:hAnsi="Times New Roman" w:cs="Times New Roman"/>
          <w:sz w:val="24"/>
          <w:szCs w:val="24"/>
        </w:rPr>
        <w:t xml:space="preserve">For counties with port activity that did not have ports in the NEI shapefile, GoogleEarth was used to identify a suitable port location for each county, and small circles were created to represent the location of these </w:t>
      </w:r>
      <w:r w:rsidR="00343582">
        <w:rPr>
          <w:rFonts w:ascii="Times New Roman" w:hAnsi="Times New Roman" w:cs="Times New Roman"/>
          <w:sz w:val="24"/>
          <w:szCs w:val="24"/>
        </w:rPr>
        <w:t xml:space="preserve">additional </w:t>
      </w:r>
      <w:r w:rsidRPr="004961D2">
        <w:rPr>
          <w:rFonts w:ascii="Times New Roman" w:hAnsi="Times New Roman" w:cs="Times New Roman"/>
          <w:sz w:val="24"/>
          <w:szCs w:val="24"/>
        </w:rPr>
        <w:t xml:space="preserve">port activities. </w:t>
      </w:r>
      <w:r w:rsidR="004020AD">
        <w:rPr>
          <w:rFonts w:ascii="Times New Roman" w:hAnsi="Times New Roman" w:cs="Times New Roman"/>
          <w:sz w:val="24"/>
          <w:szCs w:val="24"/>
        </w:rPr>
        <w:t>Seventy-five</w:t>
      </w:r>
      <w:r w:rsidRPr="004961D2">
        <w:rPr>
          <w:rFonts w:ascii="Times New Roman" w:hAnsi="Times New Roman" w:cs="Times New Roman"/>
          <w:sz w:val="24"/>
          <w:szCs w:val="24"/>
        </w:rPr>
        <w:t xml:space="preserve"> new ports were created for </w:t>
      </w:r>
      <w:r w:rsidR="00343582">
        <w:rPr>
          <w:rFonts w:ascii="Times New Roman" w:hAnsi="Times New Roman" w:cs="Times New Roman"/>
          <w:sz w:val="24"/>
          <w:szCs w:val="24"/>
        </w:rPr>
        <w:t>inclusion in</w:t>
      </w:r>
      <w:r w:rsidRPr="004961D2">
        <w:rPr>
          <w:rFonts w:ascii="Times New Roman" w:hAnsi="Times New Roman" w:cs="Times New Roman"/>
          <w:sz w:val="24"/>
          <w:szCs w:val="24"/>
        </w:rPr>
        <w:t xml:space="preserve"> EIS.</w:t>
      </w:r>
    </w:p>
    <w:p w:rsidR="004020AD" w:rsidRDefault="004020AD" w:rsidP="004020AD">
      <w:pPr>
        <w:spacing w:after="0" w:line="240" w:lineRule="auto"/>
        <w:rPr>
          <w:rFonts w:ascii="Times New Roman" w:hAnsi="Times New Roman" w:cs="Times New Roman"/>
          <w:sz w:val="24"/>
          <w:szCs w:val="24"/>
        </w:rPr>
      </w:pPr>
    </w:p>
    <w:p w:rsidR="00AF5B11" w:rsidRDefault="001E3E63" w:rsidP="00010463">
      <w:pPr>
        <w:pStyle w:val="ListParagraph"/>
        <w:numPr>
          <w:ilvl w:val="0"/>
          <w:numId w:val="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As most of the underway activity for o</w:t>
      </w:r>
      <w:r w:rsidR="00AF5B11">
        <w:rPr>
          <w:rFonts w:ascii="Times New Roman" w:hAnsi="Times New Roman" w:cs="Times New Roman"/>
          <w:sz w:val="24"/>
          <w:szCs w:val="24"/>
        </w:rPr>
        <w:t>ffshore</w:t>
      </w:r>
      <w:r w:rsidR="00343582">
        <w:rPr>
          <w:rFonts w:ascii="Times New Roman" w:hAnsi="Times New Roman" w:cs="Times New Roman"/>
          <w:sz w:val="24"/>
          <w:szCs w:val="24"/>
        </w:rPr>
        <w:t xml:space="preserve"> </w:t>
      </w:r>
      <w:r>
        <w:rPr>
          <w:rFonts w:ascii="Times New Roman" w:hAnsi="Times New Roman" w:cs="Times New Roman"/>
          <w:sz w:val="24"/>
          <w:szCs w:val="24"/>
        </w:rPr>
        <w:t xml:space="preserve">oil and gas platform </w:t>
      </w:r>
      <w:r w:rsidR="00343582">
        <w:rPr>
          <w:rFonts w:ascii="Times New Roman" w:hAnsi="Times New Roman" w:cs="Times New Roman"/>
          <w:sz w:val="24"/>
          <w:szCs w:val="24"/>
        </w:rPr>
        <w:t>support</w:t>
      </w:r>
      <w:r w:rsidR="00AF5B11">
        <w:rPr>
          <w:rFonts w:ascii="Times New Roman" w:hAnsi="Times New Roman" w:cs="Times New Roman"/>
          <w:sz w:val="24"/>
          <w:szCs w:val="24"/>
        </w:rPr>
        <w:t xml:space="preserve"> and research vessel </w:t>
      </w:r>
      <w:r>
        <w:rPr>
          <w:rFonts w:ascii="Times New Roman" w:hAnsi="Times New Roman" w:cs="Times New Roman"/>
          <w:sz w:val="24"/>
          <w:szCs w:val="24"/>
        </w:rPr>
        <w:t>occurs in federal waters ERG developed a</w:t>
      </w:r>
      <w:r w:rsidR="00AF5B11">
        <w:rPr>
          <w:rFonts w:ascii="Times New Roman" w:hAnsi="Times New Roman" w:cs="Times New Roman"/>
          <w:sz w:val="24"/>
          <w:szCs w:val="24"/>
        </w:rPr>
        <w:t xml:space="preserve"> new spatial allocation </w:t>
      </w:r>
      <w:r>
        <w:rPr>
          <w:rFonts w:ascii="Times New Roman" w:hAnsi="Times New Roman" w:cs="Times New Roman"/>
          <w:sz w:val="24"/>
          <w:szCs w:val="24"/>
        </w:rPr>
        <w:t>for these</w:t>
      </w:r>
      <w:r w:rsidR="00AF5B11">
        <w:rPr>
          <w:rFonts w:ascii="Times New Roman" w:hAnsi="Times New Roman" w:cs="Times New Roman"/>
          <w:sz w:val="24"/>
          <w:szCs w:val="24"/>
        </w:rPr>
        <w:t xml:space="preserve"> vessels using highly detailed Automated Identification System GPS location</w:t>
      </w:r>
      <w:r>
        <w:rPr>
          <w:rFonts w:ascii="Times New Roman" w:hAnsi="Times New Roman" w:cs="Times New Roman"/>
          <w:sz w:val="24"/>
          <w:szCs w:val="24"/>
        </w:rPr>
        <w:t xml:space="preserve"> data for</w:t>
      </w:r>
      <w:r w:rsidR="00AF5B11">
        <w:rPr>
          <w:rFonts w:ascii="Times New Roman" w:hAnsi="Times New Roman" w:cs="Times New Roman"/>
          <w:sz w:val="24"/>
          <w:szCs w:val="24"/>
        </w:rPr>
        <w:t xml:space="preserve"> the Gulf of Mexico </w:t>
      </w:r>
      <w:r>
        <w:rPr>
          <w:rFonts w:ascii="Times New Roman" w:hAnsi="Times New Roman" w:cs="Times New Roman"/>
          <w:sz w:val="24"/>
          <w:szCs w:val="24"/>
        </w:rPr>
        <w:t xml:space="preserve">to quantify activity in </w:t>
      </w:r>
      <w:r w:rsidR="00AF5B11">
        <w:rPr>
          <w:rFonts w:ascii="Times New Roman" w:hAnsi="Times New Roman" w:cs="Times New Roman"/>
          <w:sz w:val="24"/>
          <w:szCs w:val="24"/>
        </w:rPr>
        <w:t>both federal and state waters</w:t>
      </w:r>
      <w:r w:rsidR="00874CE1">
        <w:rPr>
          <w:rFonts w:ascii="Times New Roman" w:hAnsi="Times New Roman" w:cs="Times New Roman"/>
          <w:sz w:val="24"/>
          <w:szCs w:val="24"/>
        </w:rPr>
        <w:t xml:space="preserve">. </w:t>
      </w:r>
      <w:r w:rsidR="00AF5B11">
        <w:rPr>
          <w:rFonts w:ascii="Times New Roman" w:hAnsi="Times New Roman" w:cs="Times New Roman"/>
          <w:sz w:val="24"/>
          <w:szCs w:val="24"/>
        </w:rPr>
        <w:t xml:space="preserve">This allocation </w:t>
      </w:r>
      <w:r>
        <w:rPr>
          <w:rFonts w:ascii="Times New Roman" w:hAnsi="Times New Roman" w:cs="Times New Roman"/>
          <w:sz w:val="24"/>
          <w:szCs w:val="24"/>
        </w:rPr>
        <w:t xml:space="preserve">data </w:t>
      </w:r>
      <w:r w:rsidR="00AF5B11">
        <w:rPr>
          <w:rFonts w:ascii="Times New Roman" w:hAnsi="Times New Roman" w:cs="Times New Roman"/>
          <w:sz w:val="24"/>
          <w:szCs w:val="24"/>
        </w:rPr>
        <w:t>w</w:t>
      </w:r>
      <w:r>
        <w:rPr>
          <w:rFonts w:ascii="Times New Roman" w:hAnsi="Times New Roman" w:cs="Times New Roman"/>
          <w:sz w:val="24"/>
          <w:szCs w:val="24"/>
        </w:rPr>
        <w:t>ere</w:t>
      </w:r>
      <w:r w:rsidR="00AF5B11">
        <w:rPr>
          <w:rFonts w:ascii="Times New Roman" w:hAnsi="Times New Roman" w:cs="Times New Roman"/>
          <w:sz w:val="24"/>
          <w:szCs w:val="24"/>
        </w:rPr>
        <w:t xml:space="preserve"> mapped </w:t>
      </w:r>
      <w:r w:rsidR="00DD705D">
        <w:rPr>
          <w:rFonts w:ascii="Times New Roman" w:hAnsi="Times New Roman" w:cs="Times New Roman"/>
          <w:sz w:val="24"/>
          <w:szCs w:val="24"/>
        </w:rPr>
        <w:t>against EIS shapes to obtain the percentage of support</w:t>
      </w:r>
      <w:r>
        <w:rPr>
          <w:rFonts w:ascii="Times New Roman" w:hAnsi="Times New Roman" w:cs="Times New Roman"/>
          <w:sz w:val="24"/>
          <w:szCs w:val="24"/>
        </w:rPr>
        <w:t xml:space="preserve"> and research</w:t>
      </w:r>
      <w:r w:rsidR="00DD705D">
        <w:rPr>
          <w:rFonts w:ascii="Times New Roman" w:hAnsi="Times New Roman" w:cs="Times New Roman"/>
          <w:sz w:val="24"/>
          <w:szCs w:val="24"/>
        </w:rPr>
        <w:t xml:space="preserve"> vessel activity within each shape.</w:t>
      </w:r>
    </w:p>
    <w:p w:rsidR="00DC7D1E" w:rsidRPr="004020AD" w:rsidRDefault="00DC7D1E" w:rsidP="00010463">
      <w:pPr>
        <w:spacing w:after="0" w:line="240" w:lineRule="auto"/>
        <w:ind w:left="1080" w:hanging="360"/>
        <w:rPr>
          <w:rFonts w:ascii="Times New Roman" w:hAnsi="Times New Roman" w:cs="Times New Roman"/>
          <w:sz w:val="24"/>
          <w:szCs w:val="24"/>
        </w:rPr>
      </w:pPr>
    </w:p>
    <w:p w:rsidR="00DD705D" w:rsidRDefault="00DD705D" w:rsidP="00010463">
      <w:pPr>
        <w:pStyle w:val="ListParagraph"/>
        <w:numPr>
          <w:ilvl w:val="0"/>
          <w:numId w:val="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Fishing activity data</w:t>
      </w:r>
      <w:r w:rsidR="00343582">
        <w:rPr>
          <w:rFonts w:ascii="Times New Roman" w:hAnsi="Times New Roman" w:cs="Times New Roman"/>
          <w:sz w:val="24"/>
          <w:szCs w:val="24"/>
        </w:rPr>
        <w:t xml:space="preserve"> from the National Marine Fisheries Service</w:t>
      </w:r>
      <w:r>
        <w:rPr>
          <w:rFonts w:ascii="Times New Roman" w:hAnsi="Times New Roman" w:cs="Times New Roman"/>
          <w:sz w:val="24"/>
          <w:szCs w:val="24"/>
        </w:rPr>
        <w:t xml:space="preserve"> for state waters (0-3 miles from the coast) and federal waters (3-200 miles from the coast) by state were used to modify the spatial allocation of fishing underway activity</w:t>
      </w:r>
      <w:r w:rsidR="00874CE1">
        <w:rPr>
          <w:rFonts w:ascii="Times New Roman" w:hAnsi="Times New Roman" w:cs="Times New Roman"/>
          <w:sz w:val="24"/>
          <w:szCs w:val="24"/>
        </w:rPr>
        <w:t xml:space="preserve">. </w:t>
      </w:r>
      <w:r>
        <w:rPr>
          <w:rFonts w:ascii="Times New Roman" w:hAnsi="Times New Roman" w:cs="Times New Roman"/>
          <w:sz w:val="24"/>
          <w:szCs w:val="24"/>
        </w:rPr>
        <w:t>Activity</w:t>
      </w:r>
      <w:r w:rsidR="00786BF9">
        <w:rPr>
          <w:rFonts w:ascii="Times New Roman" w:hAnsi="Times New Roman" w:cs="Times New Roman"/>
          <w:sz w:val="24"/>
          <w:szCs w:val="24"/>
        </w:rPr>
        <w:t xml:space="preserve"> from 0 to </w:t>
      </w:r>
      <w:r w:rsidR="00786BF9">
        <w:rPr>
          <w:rFonts w:ascii="Times New Roman" w:hAnsi="Times New Roman" w:cs="Times New Roman"/>
          <w:sz w:val="24"/>
          <w:szCs w:val="24"/>
        </w:rPr>
        <w:lastRenderedPageBreak/>
        <w:t xml:space="preserve">3 miles from the coast for each state was </w:t>
      </w:r>
      <w:r>
        <w:rPr>
          <w:rFonts w:ascii="Times New Roman" w:hAnsi="Times New Roman" w:cs="Times New Roman"/>
          <w:sz w:val="24"/>
          <w:szCs w:val="24"/>
        </w:rPr>
        <w:t>allocated to all underway shapes within the state based on shape ar</w:t>
      </w:r>
      <w:r w:rsidR="00786BF9">
        <w:rPr>
          <w:rFonts w:ascii="Times New Roman" w:hAnsi="Times New Roman" w:cs="Times New Roman"/>
          <w:sz w:val="24"/>
          <w:szCs w:val="24"/>
        </w:rPr>
        <w:t>ea</w:t>
      </w:r>
      <w:r w:rsidR="00874CE1">
        <w:rPr>
          <w:rFonts w:ascii="Times New Roman" w:hAnsi="Times New Roman" w:cs="Times New Roman"/>
          <w:sz w:val="24"/>
          <w:szCs w:val="24"/>
        </w:rPr>
        <w:t xml:space="preserve">. </w:t>
      </w:r>
      <w:r w:rsidR="00786BF9">
        <w:rPr>
          <w:rFonts w:ascii="Times New Roman" w:hAnsi="Times New Roman" w:cs="Times New Roman"/>
          <w:sz w:val="24"/>
          <w:szCs w:val="24"/>
        </w:rPr>
        <w:t>All activity in the 3-200 mi was assigned to the appropriate federal water block nearest the state.</w:t>
      </w:r>
      <w:r>
        <w:rPr>
          <w:rFonts w:ascii="Times New Roman" w:hAnsi="Times New Roman" w:cs="Times New Roman"/>
          <w:sz w:val="24"/>
          <w:szCs w:val="24"/>
        </w:rPr>
        <w:t xml:space="preserve"> </w:t>
      </w:r>
    </w:p>
    <w:p w:rsidR="004020AD" w:rsidRDefault="004020AD" w:rsidP="004020AD">
      <w:pPr>
        <w:spacing w:after="0" w:line="240" w:lineRule="auto"/>
        <w:rPr>
          <w:rFonts w:ascii="Times New Roman" w:hAnsi="Times New Roman" w:cs="Times New Roman"/>
          <w:sz w:val="24"/>
          <w:szCs w:val="24"/>
        </w:rPr>
      </w:pPr>
    </w:p>
    <w:p w:rsidR="00E84679" w:rsidRDefault="00E84679" w:rsidP="0001046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spatial allocation files developed for this project are intended to be applied to 2011 C1/C2 emissions estimates develop by EPA’s Office of Transportation and Air Quality to develop the 2011 NEI dataset.</w:t>
      </w:r>
    </w:p>
    <w:p w:rsidR="004020AD" w:rsidRPr="00AF5B11" w:rsidRDefault="004020AD" w:rsidP="004020AD">
      <w:pPr>
        <w:spacing w:after="0" w:line="240" w:lineRule="auto"/>
        <w:rPr>
          <w:rFonts w:ascii="Times New Roman" w:hAnsi="Times New Roman" w:cs="Times New Roman"/>
          <w:sz w:val="24"/>
          <w:szCs w:val="24"/>
        </w:rPr>
      </w:pPr>
    </w:p>
    <w:p w:rsidR="00DF7C3B" w:rsidRPr="00BE3CC8" w:rsidRDefault="000A436F" w:rsidP="004020AD">
      <w:pPr>
        <w:spacing w:after="0" w:line="240" w:lineRule="auto"/>
        <w:rPr>
          <w:rFonts w:ascii="Times New Roman" w:hAnsi="Times New Roman" w:cs="Times New Roman"/>
          <w:b/>
          <w:sz w:val="24"/>
          <w:szCs w:val="24"/>
        </w:rPr>
      </w:pPr>
      <w:r>
        <w:rPr>
          <w:rFonts w:ascii="Times New Roman" w:hAnsi="Times New Roman" w:cs="Times New Roman"/>
          <w:b/>
          <w:sz w:val="24"/>
          <w:szCs w:val="24"/>
        </w:rPr>
        <w:t>3.0</w:t>
      </w:r>
      <w:r>
        <w:rPr>
          <w:rFonts w:ascii="Times New Roman" w:hAnsi="Times New Roman" w:cs="Times New Roman"/>
          <w:b/>
          <w:sz w:val="24"/>
          <w:szCs w:val="24"/>
        </w:rPr>
        <w:tab/>
      </w:r>
      <w:r w:rsidR="00AC499C">
        <w:rPr>
          <w:rFonts w:ascii="Times New Roman" w:hAnsi="Times New Roman" w:cs="Times New Roman"/>
          <w:b/>
          <w:sz w:val="24"/>
          <w:szCs w:val="24"/>
        </w:rPr>
        <w:t>R</w:t>
      </w:r>
      <w:r w:rsidR="008B0FFC" w:rsidRPr="008B0FFC">
        <w:rPr>
          <w:rFonts w:ascii="Times New Roman" w:hAnsi="Times New Roman" w:cs="Times New Roman"/>
          <w:b/>
          <w:sz w:val="24"/>
          <w:szCs w:val="24"/>
        </w:rPr>
        <w:t>eferences</w:t>
      </w:r>
    </w:p>
    <w:p w:rsidR="004020AD" w:rsidRDefault="004020AD" w:rsidP="004020AD">
      <w:pPr>
        <w:spacing w:after="0" w:line="240" w:lineRule="auto"/>
        <w:rPr>
          <w:rFonts w:ascii="Times New Roman" w:hAnsi="Times New Roman" w:cs="Times New Roman"/>
          <w:color w:val="000000" w:themeColor="text1"/>
          <w:sz w:val="24"/>
          <w:szCs w:val="24"/>
        </w:rPr>
      </w:pPr>
    </w:p>
    <w:p w:rsidR="001E3E63" w:rsidRPr="00874CE1" w:rsidRDefault="00C36878" w:rsidP="004020AD">
      <w:pPr>
        <w:spacing w:after="0" w:line="240" w:lineRule="auto"/>
        <w:rPr>
          <w:rFonts w:ascii="Times New Roman" w:hAnsi="Times New Roman" w:cs="Times New Roman"/>
          <w:color w:val="000000" w:themeColor="text1"/>
          <w:sz w:val="24"/>
          <w:szCs w:val="24"/>
        </w:rPr>
      </w:pPr>
      <w:r w:rsidRPr="00874CE1">
        <w:rPr>
          <w:rFonts w:ascii="Times New Roman" w:hAnsi="Times New Roman" w:cs="Times New Roman"/>
          <w:color w:val="000000" w:themeColor="text1"/>
          <w:sz w:val="24"/>
          <w:szCs w:val="24"/>
        </w:rPr>
        <w:t>2011 Gulf of Mexico Vessel Data</w:t>
      </w:r>
      <w:r w:rsidR="00874CE1" w:rsidRPr="00874CE1">
        <w:rPr>
          <w:rFonts w:ascii="Times New Roman" w:hAnsi="Times New Roman" w:cs="Times New Roman"/>
          <w:color w:val="000000" w:themeColor="text1"/>
          <w:sz w:val="24"/>
          <w:szCs w:val="24"/>
        </w:rPr>
        <w:t xml:space="preserve">. </w:t>
      </w:r>
      <w:r w:rsidRPr="00874CE1">
        <w:rPr>
          <w:rFonts w:ascii="Times New Roman" w:hAnsi="Times New Roman" w:cs="Times New Roman"/>
          <w:color w:val="000000" w:themeColor="text1"/>
          <w:sz w:val="24"/>
          <w:szCs w:val="24"/>
        </w:rPr>
        <w:t xml:space="preserve">AIS Data and Analytics, PortVision, AIRSYS, Inc. </w:t>
      </w:r>
      <w:hyperlink r:id="rId10" w:history="1">
        <w:r w:rsidRPr="00874CE1">
          <w:rPr>
            <w:rStyle w:val="Hyperlink"/>
            <w:rFonts w:ascii="Times New Roman" w:hAnsi="Times New Roman" w:cs="Times New Roman"/>
            <w:color w:val="0000FF"/>
            <w:sz w:val="24"/>
            <w:szCs w:val="24"/>
          </w:rPr>
          <w:t>http://www.portvision.com/products/ais-data-analytics.aspx</w:t>
        </w:r>
      </w:hyperlink>
      <w:r w:rsidRPr="00874CE1">
        <w:rPr>
          <w:rFonts w:ascii="Times New Roman" w:hAnsi="Times New Roman" w:cs="Times New Roman"/>
          <w:color w:val="000000" w:themeColor="text1"/>
          <w:sz w:val="24"/>
          <w:szCs w:val="24"/>
        </w:rPr>
        <w:t>. Feb 2012.</w:t>
      </w:r>
    </w:p>
    <w:p w:rsidR="000A436F" w:rsidRPr="00874CE1" w:rsidRDefault="000A436F" w:rsidP="004020AD">
      <w:pPr>
        <w:spacing w:after="0" w:line="240" w:lineRule="auto"/>
        <w:rPr>
          <w:rFonts w:ascii="Times New Roman" w:hAnsi="Times New Roman" w:cs="Times New Roman"/>
          <w:sz w:val="24"/>
          <w:szCs w:val="24"/>
        </w:rPr>
      </w:pPr>
    </w:p>
    <w:p w:rsidR="00BA6C0A" w:rsidRPr="00874CE1" w:rsidRDefault="00BA6C0A" w:rsidP="004020AD">
      <w:pPr>
        <w:spacing w:after="0" w:line="240" w:lineRule="auto"/>
        <w:rPr>
          <w:rFonts w:ascii="Times New Roman" w:hAnsi="Times New Roman" w:cs="Times New Roman"/>
          <w:sz w:val="24"/>
          <w:szCs w:val="24"/>
        </w:rPr>
      </w:pPr>
      <w:r w:rsidRPr="00874CE1">
        <w:rPr>
          <w:rFonts w:ascii="Times New Roman" w:hAnsi="Times New Roman" w:cs="Times New Roman"/>
          <w:sz w:val="24"/>
          <w:szCs w:val="24"/>
        </w:rPr>
        <w:t xml:space="preserve">NOAA, National Marine Fisheries Service; </w:t>
      </w:r>
      <w:r w:rsidR="008A6065" w:rsidRPr="00874CE1">
        <w:rPr>
          <w:rFonts w:ascii="Times New Roman" w:hAnsi="Times New Roman" w:cs="Times New Roman"/>
          <w:sz w:val="24"/>
          <w:szCs w:val="24"/>
        </w:rPr>
        <w:t xml:space="preserve">2010 U.S. Landings by Distance from Shore, </w:t>
      </w:r>
      <w:r w:rsidRPr="00874CE1">
        <w:rPr>
          <w:rFonts w:ascii="Times New Roman" w:hAnsi="Times New Roman" w:cs="Times New Roman"/>
          <w:sz w:val="24"/>
          <w:szCs w:val="24"/>
        </w:rPr>
        <w:t>2012</w:t>
      </w:r>
      <w:r w:rsidR="008A6065" w:rsidRPr="00874CE1">
        <w:rPr>
          <w:rFonts w:ascii="Times New Roman" w:hAnsi="Times New Roman" w:cs="Times New Roman"/>
          <w:sz w:val="24"/>
          <w:szCs w:val="24"/>
        </w:rPr>
        <w:t xml:space="preserve">. </w:t>
      </w:r>
      <w:hyperlink r:id="rId11" w:history="1">
        <w:r w:rsidR="008A6065" w:rsidRPr="00874CE1">
          <w:rPr>
            <w:rStyle w:val="Hyperlink"/>
            <w:rFonts w:ascii="Times New Roman" w:hAnsi="Times New Roman" w:cs="Times New Roman"/>
            <w:sz w:val="24"/>
            <w:szCs w:val="24"/>
          </w:rPr>
          <w:t>http://www.st.nmfs.noaa.gov/st1/commercial/landings/ds_8850_bystate.html</w:t>
        </w:r>
      </w:hyperlink>
    </w:p>
    <w:p w:rsidR="000A436F" w:rsidRPr="00874CE1" w:rsidRDefault="000A436F" w:rsidP="004020AD">
      <w:pPr>
        <w:spacing w:after="0" w:line="240" w:lineRule="auto"/>
        <w:rPr>
          <w:rFonts w:ascii="Times New Roman" w:hAnsi="Times New Roman" w:cs="Times New Roman"/>
          <w:sz w:val="24"/>
          <w:szCs w:val="24"/>
        </w:rPr>
      </w:pPr>
    </w:p>
    <w:p w:rsidR="00BA6C0A" w:rsidRPr="00874CE1" w:rsidRDefault="004961D2" w:rsidP="004020AD">
      <w:pPr>
        <w:spacing w:after="0" w:line="240" w:lineRule="auto"/>
        <w:rPr>
          <w:rFonts w:ascii="Times New Roman" w:hAnsi="Times New Roman" w:cs="Times New Roman"/>
          <w:sz w:val="24"/>
          <w:szCs w:val="24"/>
        </w:rPr>
      </w:pPr>
      <w:r w:rsidRPr="00874CE1">
        <w:rPr>
          <w:rFonts w:ascii="Times New Roman" w:hAnsi="Times New Roman" w:cs="Times New Roman"/>
          <w:sz w:val="24"/>
          <w:szCs w:val="24"/>
        </w:rPr>
        <w:t>U.S. Environmental Protection Agency/ Office of Transportation and Air Quality;</w:t>
      </w:r>
      <w:r w:rsidR="00BA6C0A" w:rsidRPr="00874CE1">
        <w:rPr>
          <w:rFonts w:ascii="Times New Roman" w:hAnsi="Times New Roman" w:cs="Times New Roman"/>
          <w:i/>
          <w:sz w:val="24"/>
          <w:szCs w:val="24"/>
        </w:rPr>
        <w:t xml:space="preserve"> Category 2 Vessel Census, Activity, and Spatial Allocation Assessment and Category 1 and Category 2 In-port/At-sea Splits,</w:t>
      </w:r>
      <w:r w:rsidR="00BA6C0A" w:rsidRPr="00874CE1">
        <w:rPr>
          <w:rFonts w:ascii="Times New Roman" w:hAnsi="Times New Roman" w:cs="Times New Roman"/>
          <w:sz w:val="24"/>
          <w:szCs w:val="24"/>
        </w:rPr>
        <w:t xml:space="preserve"> February 16, 2007</w:t>
      </w:r>
    </w:p>
    <w:p w:rsidR="000A436F" w:rsidRPr="00874CE1" w:rsidRDefault="000A436F" w:rsidP="004020AD">
      <w:pPr>
        <w:spacing w:after="0" w:line="240" w:lineRule="auto"/>
        <w:rPr>
          <w:rFonts w:ascii="Times New Roman" w:eastAsia="Times New Roman" w:hAnsi="Times New Roman" w:cs="Times New Roman"/>
          <w:sz w:val="24"/>
          <w:szCs w:val="24"/>
        </w:rPr>
      </w:pPr>
    </w:p>
    <w:p w:rsidR="00DC7D1E" w:rsidRPr="00874CE1" w:rsidRDefault="00BA6C0A" w:rsidP="004020AD">
      <w:pPr>
        <w:spacing w:after="0" w:line="240" w:lineRule="auto"/>
        <w:rPr>
          <w:rFonts w:ascii="Times New Roman" w:eastAsia="Times New Roman" w:hAnsi="Times New Roman" w:cs="Times New Roman"/>
          <w:sz w:val="24"/>
          <w:szCs w:val="24"/>
        </w:rPr>
      </w:pPr>
      <w:r w:rsidRPr="00874CE1">
        <w:rPr>
          <w:rFonts w:ascii="Times New Roman" w:eastAsia="Times New Roman" w:hAnsi="Times New Roman" w:cs="Times New Roman"/>
          <w:sz w:val="24"/>
          <w:szCs w:val="24"/>
        </w:rPr>
        <w:t xml:space="preserve">U.S. Environmental Protection Agency, </w:t>
      </w:r>
      <w:r w:rsidR="004961D2" w:rsidRPr="00874CE1">
        <w:rPr>
          <w:rFonts w:ascii="Times New Roman" w:eastAsia="Times New Roman" w:hAnsi="Times New Roman" w:cs="Times New Roman"/>
          <w:i/>
          <w:sz w:val="24"/>
          <w:szCs w:val="24"/>
        </w:rPr>
        <w:t>Documentation for Commer</w:t>
      </w:r>
      <w:r w:rsidR="00874CE1" w:rsidRPr="00874CE1">
        <w:rPr>
          <w:rFonts w:ascii="Times New Roman" w:eastAsia="Times New Roman" w:hAnsi="Times New Roman" w:cs="Times New Roman"/>
          <w:i/>
          <w:sz w:val="24"/>
          <w:szCs w:val="24"/>
        </w:rPr>
        <w:t>c</w:t>
      </w:r>
      <w:r w:rsidR="004961D2" w:rsidRPr="00874CE1">
        <w:rPr>
          <w:rFonts w:ascii="Times New Roman" w:eastAsia="Times New Roman" w:hAnsi="Times New Roman" w:cs="Times New Roman"/>
          <w:i/>
          <w:sz w:val="24"/>
          <w:szCs w:val="24"/>
        </w:rPr>
        <w:t>ial Marine Vessel Component of the National Emissions Inventory Methodology (NEI),</w:t>
      </w:r>
      <w:r w:rsidRPr="00874CE1">
        <w:rPr>
          <w:rFonts w:ascii="Times New Roman" w:eastAsia="Times New Roman" w:hAnsi="Times New Roman" w:cs="Times New Roman"/>
          <w:sz w:val="24"/>
          <w:szCs w:val="24"/>
        </w:rPr>
        <w:t xml:space="preserve"> M</w:t>
      </w:r>
      <w:r w:rsidR="008A6065" w:rsidRPr="00874CE1">
        <w:rPr>
          <w:rFonts w:ascii="Times New Roman" w:eastAsia="Times New Roman" w:hAnsi="Times New Roman" w:cs="Times New Roman"/>
          <w:sz w:val="24"/>
          <w:szCs w:val="24"/>
        </w:rPr>
        <w:t xml:space="preserve">arch </w:t>
      </w:r>
      <w:r w:rsidRPr="00874CE1">
        <w:rPr>
          <w:rFonts w:ascii="Times New Roman" w:eastAsia="Times New Roman" w:hAnsi="Times New Roman" w:cs="Times New Roman"/>
          <w:sz w:val="24"/>
          <w:szCs w:val="24"/>
        </w:rPr>
        <w:t>3</w:t>
      </w:r>
      <w:r w:rsidR="008A6065" w:rsidRPr="00874CE1">
        <w:rPr>
          <w:rFonts w:ascii="Times New Roman" w:eastAsia="Times New Roman" w:hAnsi="Times New Roman" w:cs="Times New Roman"/>
          <w:sz w:val="24"/>
          <w:szCs w:val="24"/>
        </w:rPr>
        <w:t>0</w:t>
      </w:r>
      <w:r w:rsidRPr="00874CE1">
        <w:rPr>
          <w:rFonts w:ascii="Times New Roman" w:eastAsia="Times New Roman" w:hAnsi="Times New Roman" w:cs="Times New Roman"/>
          <w:sz w:val="24"/>
          <w:szCs w:val="24"/>
        </w:rPr>
        <w:t>, 201</w:t>
      </w:r>
      <w:r w:rsidR="008A6065" w:rsidRPr="00874CE1">
        <w:rPr>
          <w:rFonts w:ascii="Times New Roman" w:eastAsia="Times New Roman" w:hAnsi="Times New Roman" w:cs="Times New Roman"/>
          <w:sz w:val="24"/>
          <w:szCs w:val="24"/>
        </w:rPr>
        <w:t>0</w:t>
      </w:r>
      <w:r w:rsidRPr="00874CE1">
        <w:rPr>
          <w:rFonts w:ascii="Times New Roman" w:eastAsia="Times New Roman" w:hAnsi="Times New Roman" w:cs="Times New Roman"/>
          <w:sz w:val="24"/>
          <w:szCs w:val="24"/>
        </w:rPr>
        <w:t xml:space="preserve">, </w:t>
      </w:r>
      <w:hyperlink r:id="rId12" w:history="1">
        <w:r w:rsidRPr="00874CE1">
          <w:rPr>
            <w:rStyle w:val="Hyperlink"/>
            <w:rFonts w:ascii="Times New Roman" w:eastAsia="Times New Roman" w:hAnsi="Times New Roman" w:cs="Times New Roman"/>
            <w:sz w:val="24"/>
            <w:szCs w:val="24"/>
          </w:rPr>
          <w:t>http://www.epa.gov/ttn/chief/net/2008inventory.html</w:t>
        </w:r>
      </w:hyperlink>
      <w:r w:rsidRPr="00874CE1">
        <w:rPr>
          <w:rFonts w:ascii="Times New Roman" w:eastAsia="Times New Roman" w:hAnsi="Times New Roman" w:cs="Times New Roman"/>
          <w:sz w:val="24"/>
          <w:szCs w:val="24"/>
        </w:rPr>
        <w:t>.</w:t>
      </w:r>
    </w:p>
    <w:sectPr w:rsidR="00DC7D1E" w:rsidRPr="00874CE1" w:rsidSect="00084EE9">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EEC" w:rsidRDefault="00AA6EEC" w:rsidP="005C11DD">
      <w:pPr>
        <w:spacing w:after="0" w:line="240" w:lineRule="auto"/>
      </w:pPr>
      <w:r>
        <w:separator/>
      </w:r>
    </w:p>
  </w:endnote>
  <w:endnote w:type="continuationSeparator" w:id="0">
    <w:p w:rsidR="00AA6EEC" w:rsidRDefault="00AA6EEC" w:rsidP="005C1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965735"/>
      <w:docPartObj>
        <w:docPartGallery w:val="Page Numbers (Bottom of Page)"/>
        <w:docPartUnique/>
      </w:docPartObj>
    </w:sdtPr>
    <w:sdtEndPr>
      <w:rPr>
        <w:sz w:val="22"/>
        <w:szCs w:val="22"/>
      </w:rPr>
    </w:sdtEndPr>
    <w:sdtContent>
      <w:p w:rsidR="00010463" w:rsidRDefault="00FC7EBA" w:rsidP="000A436F">
        <w:pPr>
          <w:pStyle w:val="Footer"/>
          <w:jc w:val="center"/>
        </w:pPr>
        <w:r w:rsidRPr="000A436F">
          <w:rPr>
            <w:rFonts w:ascii="Times New Roman" w:hAnsi="Times New Roman" w:cs="Times New Roman"/>
            <w:sz w:val="24"/>
            <w:szCs w:val="24"/>
          </w:rPr>
          <w:fldChar w:fldCharType="begin"/>
        </w:r>
        <w:r w:rsidR="00010463" w:rsidRPr="000A436F">
          <w:rPr>
            <w:rFonts w:ascii="Times New Roman" w:hAnsi="Times New Roman" w:cs="Times New Roman"/>
            <w:sz w:val="24"/>
            <w:szCs w:val="24"/>
          </w:rPr>
          <w:instrText xml:space="preserve"> PAGE   \* MERGEFORMAT </w:instrText>
        </w:r>
        <w:r w:rsidRPr="000A436F">
          <w:rPr>
            <w:rFonts w:ascii="Times New Roman" w:hAnsi="Times New Roman" w:cs="Times New Roman"/>
            <w:sz w:val="24"/>
            <w:szCs w:val="24"/>
          </w:rPr>
          <w:fldChar w:fldCharType="separate"/>
        </w:r>
        <w:r w:rsidR="00C823FC">
          <w:rPr>
            <w:rFonts w:ascii="Times New Roman" w:hAnsi="Times New Roman" w:cs="Times New Roman"/>
            <w:noProof/>
            <w:sz w:val="24"/>
            <w:szCs w:val="24"/>
          </w:rPr>
          <w:t>4</w:t>
        </w:r>
        <w:r w:rsidRPr="000A436F">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EEC" w:rsidRDefault="00AA6EEC" w:rsidP="005C11DD">
      <w:pPr>
        <w:spacing w:after="0" w:line="240" w:lineRule="auto"/>
      </w:pPr>
      <w:r>
        <w:separator/>
      </w:r>
    </w:p>
  </w:footnote>
  <w:footnote w:type="continuationSeparator" w:id="0">
    <w:p w:rsidR="00AA6EEC" w:rsidRDefault="00AA6EEC" w:rsidP="005C11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302C9"/>
    <w:multiLevelType w:val="hybridMultilevel"/>
    <w:tmpl w:val="3402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4B76DB"/>
    <w:multiLevelType w:val="multilevel"/>
    <w:tmpl w:val="E5C68FC2"/>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F7C3B"/>
    <w:rsid w:val="00010463"/>
    <w:rsid w:val="00084EE9"/>
    <w:rsid w:val="000A436F"/>
    <w:rsid w:val="001B733A"/>
    <w:rsid w:val="001E3E63"/>
    <w:rsid w:val="001F08AB"/>
    <w:rsid w:val="00323DA4"/>
    <w:rsid w:val="00343582"/>
    <w:rsid w:val="004020AD"/>
    <w:rsid w:val="004961D2"/>
    <w:rsid w:val="005C11DD"/>
    <w:rsid w:val="00781C89"/>
    <w:rsid w:val="00786BF9"/>
    <w:rsid w:val="007D795F"/>
    <w:rsid w:val="00874CE1"/>
    <w:rsid w:val="008A6065"/>
    <w:rsid w:val="008B0FFC"/>
    <w:rsid w:val="00AA3F38"/>
    <w:rsid w:val="00AA6EEC"/>
    <w:rsid w:val="00AC499C"/>
    <w:rsid w:val="00AF5B11"/>
    <w:rsid w:val="00B01CC5"/>
    <w:rsid w:val="00B27E38"/>
    <w:rsid w:val="00BA6C0A"/>
    <w:rsid w:val="00BE3CC8"/>
    <w:rsid w:val="00C2690F"/>
    <w:rsid w:val="00C36878"/>
    <w:rsid w:val="00C823FC"/>
    <w:rsid w:val="00DC7D1E"/>
    <w:rsid w:val="00DD705D"/>
    <w:rsid w:val="00DF7C3B"/>
    <w:rsid w:val="00E039CD"/>
    <w:rsid w:val="00E84679"/>
    <w:rsid w:val="00F86886"/>
    <w:rsid w:val="00FC67C8"/>
    <w:rsid w:val="00FC7E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33A"/>
    <w:pPr>
      <w:ind w:left="720"/>
      <w:contextualSpacing/>
    </w:pPr>
  </w:style>
  <w:style w:type="paragraph" w:styleId="BalloonText">
    <w:name w:val="Balloon Text"/>
    <w:basedOn w:val="Normal"/>
    <w:link w:val="BalloonTextChar"/>
    <w:uiPriority w:val="99"/>
    <w:semiHidden/>
    <w:unhideWhenUsed/>
    <w:rsid w:val="00AF5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B11"/>
    <w:rPr>
      <w:rFonts w:ascii="Tahoma" w:hAnsi="Tahoma" w:cs="Tahoma"/>
      <w:sz w:val="16"/>
      <w:szCs w:val="16"/>
    </w:rPr>
  </w:style>
  <w:style w:type="character" w:styleId="Hyperlink">
    <w:name w:val="Hyperlink"/>
    <w:basedOn w:val="DefaultParagraphFont"/>
    <w:uiPriority w:val="99"/>
    <w:unhideWhenUsed/>
    <w:rsid w:val="00BA6C0A"/>
    <w:rPr>
      <w:color w:val="0000FF" w:themeColor="hyperlink"/>
      <w:u w:val="single"/>
    </w:rPr>
  </w:style>
  <w:style w:type="paragraph" w:styleId="Header">
    <w:name w:val="header"/>
    <w:basedOn w:val="Normal"/>
    <w:link w:val="HeaderChar"/>
    <w:uiPriority w:val="99"/>
    <w:semiHidden/>
    <w:unhideWhenUsed/>
    <w:rsid w:val="005C11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11DD"/>
  </w:style>
  <w:style w:type="paragraph" w:styleId="Footer">
    <w:name w:val="footer"/>
    <w:basedOn w:val="Normal"/>
    <w:link w:val="FooterChar"/>
    <w:uiPriority w:val="99"/>
    <w:unhideWhenUsed/>
    <w:rsid w:val="005C1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1DD"/>
  </w:style>
  <w:style w:type="table" w:styleId="TableGrid">
    <w:name w:val="Table Grid"/>
    <w:basedOn w:val="TableNormal"/>
    <w:uiPriority w:val="59"/>
    <w:rsid w:val="00010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0232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ttn/chief/net/2008inventor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nmfs.noaa.gov/st1/commercial/landings/ds_8850_bystate.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ortvision.com/products/ais-data-analytics.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D6334-3A76-4E91-84A5-B7BE855E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Eastern Research Group, Inc.</Company>
  <LinksUpToDate>false</LinksUpToDate>
  <CharactersWithSpaces>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HPerez</dc:creator>
  <cp:lastModifiedBy>LDRIVER</cp:lastModifiedBy>
  <cp:revision>2</cp:revision>
  <cp:lastPrinted>2012-08-22T15:16:00Z</cp:lastPrinted>
  <dcterms:created xsi:type="dcterms:W3CDTF">2012-10-02T19:16:00Z</dcterms:created>
  <dcterms:modified xsi:type="dcterms:W3CDTF">2012-10-02T19:16:00Z</dcterms:modified>
</cp:coreProperties>
</file>