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92" w:rsidRDefault="000F5892">
      <w:pPr>
        <w:shd w:val="clear" w:color="auto" w:fill="FFFFFF"/>
      </w:pPr>
      <w:r>
        <w:rPr>
          <w:b/>
          <w:bCs/>
          <w:spacing w:val="-1"/>
        </w:rPr>
        <w:t>FUGITIVE DUST FROM PAVED ROADS</w:t>
      </w:r>
    </w:p>
    <w:p w:rsidR="002F475F" w:rsidRPr="002F475F" w:rsidRDefault="002F475F" w:rsidP="002F475F">
      <w:pPr>
        <w:shd w:val="clear" w:color="auto" w:fill="FFFFFF"/>
        <w:spacing w:before="202" w:line="230" w:lineRule="exact"/>
        <w:rPr>
          <w:b/>
          <w:i/>
          <w:spacing w:val="-1"/>
        </w:rPr>
      </w:pPr>
      <w:r w:rsidRPr="002F475F">
        <w:rPr>
          <w:b/>
          <w:i/>
          <w:spacing w:val="-1"/>
        </w:rPr>
        <w:t>a. Source Category Description</w:t>
      </w:r>
    </w:p>
    <w:p w:rsidR="002F475F" w:rsidRDefault="000F5892" w:rsidP="002F475F">
      <w:pPr>
        <w:shd w:val="clear" w:color="auto" w:fill="FFFFFF"/>
        <w:spacing w:before="202" w:line="230" w:lineRule="exact"/>
      </w:pPr>
      <w:r>
        <w:rPr>
          <w:spacing w:val="-1"/>
        </w:rPr>
        <w:t>Fugitive dust emissions from paved road traffic were estimated for PM10-PRI, PM10-FIL, PM25-PRI, and PM25-</w:t>
      </w:r>
      <w:r>
        <w:t>FIL.</w:t>
      </w:r>
      <w:r w:rsidR="00D93EA5">
        <w:t xml:space="preserve"> </w:t>
      </w:r>
      <w:r>
        <w:t xml:space="preserve">Since there </w:t>
      </w:r>
      <w:proofErr w:type="gramStart"/>
      <w:r>
        <w:t>are</w:t>
      </w:r>
      <w:proofErr w:type="gramEnd"/>
      <w:r>
        <w:t xml:space="preserve"> no PM-CON emissions for this category, PM10-PRI emissions are equal to PM10-FIL emissions and PM25-PRI e</w:t>
      </w:r>
      <w:r w:rsidR="00D93EA5">
        <w:t>missions are equal to PM25-FIL.</w:t>
      </w:r>
    </w:p>
    <w:p w:rsidR="002F475F" w:rsidRDefault="002F475F">
      <w:pPr>
        <w:shd w:val="clear" w:color="auto" w:fill="FFFFFF"/>
        <w:spacing w:before="202" w:line="230" w:lineRule="exact"/>
      </w:pPr>
      <w:r>
        <w:t xml:space="preserve">For this source category, the following </w:t>
      </w:r>
      <w:smartTag w:uri="urn:schemas-microsoft-com:office:smarttags" w:element="stockticker">
        <w:r>
          <w:t>SCC</w:t>
        </w:r>
      </w:smartTag>
      <w:r>
        <w:t xml:space="preserve"> was assigned:</w:t>
      </w:r>
    </w:p>
    <w:p w:rsidR="004C68A6" w:rsidRDefault="004C68A6">
      <w:pPr>
        <w:shd w:val="clear" w:color="auto" w:fill="FFFFFF"/>
        <w:spacing w:before="202" w:line="230" w:lineRule="exac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16"/>
        <w:gridCol w:w="1838"/>
        <w:gridCol w:w="2351"/>
        <w:gridCol w:w="2060"/>
        <w:gridCol w:w="1620"/>
      </w:tblGrid>
      <w:tr w:rsidR="004C68A6" w:rsidRPr="00372159">
        <w:trPr>
          <w:jc w:val="center"/>
        </w:trPr>
        <w:tc>
          <w:tcPr>
            <w:tcW w:w="0" w:type="auto"/>
            <w:noWrap/>
          </w:tcPr>
          <w:p w:rsidR="004C68A6" w:rsidRPr="000B7969" w:rsidRDefault="004C68A6" w:rsidP="00250964">
            <w:pPr>
              <w:rPr>
                <w:rFonts w:ascii="Arial" w:hAnsi="Arial" w:cs="Arial"/>
                <w:b/>
                <w:bCs/>
              </w:rPr>
            </w:pPr>
            <w:smartTag w:uri="urn:schemas-microsoft-com:office:smarttags" w:element="stockticker">
              <w:r w:rsidRPr="000B7969">
                <w:rPr>
                  <w:rFonts w:ascii="Arial" w:hAnsi="Arial" w:cs="Arial"/>
                  <w:b/>
                  <w:bCs/>
                </w:rPr>
                <w:t>SCC</w:t>
              </w:r>
            </w:smartTag>
          </w:p>
        </w:tc>
        <w:tc>
          <w:tcPr>
            <w:tcW w:w="1838" w:type="dxa"/>
            <w:noWrap/>
          </w:tcPr>
          <w:p w:rsidR="004C68A6" w:rsidRPr="000B7969" w:rsidRDefault="004C68A6" w:rsidP="00250964">
            <w:pPr>
              <w:rPr>
                <w:rFonts w:ascii="Arial" w:hAnsi="Arial" w:cs="Arial"/>
                <w:b/>
                <w:bCs/>
              </w:rPr>
            </w:pPr>
            <w:smartTag w:uri="urn:schemas-microsoft-com:office:smarttags" w:element="stockticker">
              <w:r>
                <w:rPr>
                  <w:rFonts w:ascii="Arial" w:hAnsi="Arial" w:cs="Arial"/>
                  <w:b/>
                  <w:bCs/>
                </w:rPr>
                <w:t>SCC</w:t>
              </w:r>
            </w:smartTag>
            <w:r>
              <w:rPr>
                <w:rFonts w:ascii="Arial" w:hAnsi="Arial" w:cs="Arial"/>
                <w:b/>
                <w:bCs/>
              </w:rPr>
              <w:t xml:space="preserve"> Level 1</w:t>
            </w:r>
          </w:p>
        </w:tc>
        <w:tc>
          <w:tcPr>
            <w:tcW w:w="2351" w:type="dxa"/>
            <w:noWrap/>
          </w:tcPr>
          <w:p w:rsidR="004C68A6" w:rsidRPr="000B7969" w:rsidRDefault="004C68A6" w:rsidP="00250964">
            <w:pPr>
              <w:rPr>
                <w:rFonts w:ascii="Arial" w:hAnsi="Arial" w:cs="Arial"/>
                <w:b/>
                <w:bCs/>
              </w:rPr>
            </w:pPr>
            <w:smartTag w:uri="urn:schemas-microsoft-com:office:smarttags" w:element="stockticker">
              <w:r>
                <w:rPr>
                  <w:rFonts w:ascii="Arial" w:hAnsi="Arial" w:cs="Arial"/>
                  <w:b/>
                  <w:bCs/>
                </w:rPr>
                <w:t>SCC</w:t>
              </w:r>
            </w:smartTag>
            <w:r>
              <w:rPr>
                <w:rFonts w:ascii="Arial" w:hAnsi="Arial" w:cs="Arial"/>
                <w:b/>
                <w:bCs/>
              </w:rPr>
              <w:t xml:space="preserve"> Level 2</w:t>
            </w:r>
          </w:p>
        </w:tc>
        <w:tc>
          <w:tcPr>
            <w:tcW w:w="2060" w:type="dxa"/>
            <w:noWrap/>
          </w:tcPr>
          <w:p w:rsidR="004C68A6" w:rsidRPr="000B7969" w:rsidRDefault="004C68A6" w:rsidP="00250964">
            <w:pPr>
              <w:rPr>
                <w:rFonts w:ascii="Arial" w:hAnsi="Arial" w:cs="Arial"/>
                <w:b/>
                <w:bCs/>
              </w:rPr>
            </w:pPr>
            <w:smartTag w:uri="urn:schemas-microsoft-com:office:smarttags" w:element="stockticker">
              <w:r>
                <w:rPr>
                  <w:rFonts w:ascii="Arial" w:hAnsi="Arial" w:cs="Arial"/>
                  <w:b/>
                  <w:bCs/>
                </w:rPr>
                <w:t>SCC</w:t>
              </w:r>
            </w:smartTag>
            <w:r>
              <w:rPr>
                <w:rFonts w:ascii="Arial" w:hAnsi="Arial" w:cs="Arial"/>
                <w:b/>
                <w:bCs/>
              </w:rPr>
              <w:t xml:space="preserve"> Level 3</w:t>
            </w:r>
          </w:p>
        </w:tc>
        <w:tc>
          <w:tcPr>
            <w:tcW w:w="1620" w:type="dxa"/>
            <w:noWrap/>
          </w:tcPr>
          <w:p w:rsidR="004C68A6" w:rsidRPr="000B7969" w:rsidRDefault="004C68A6" w:rsidP="00250964">
            <w:pPr>
              <w:rPr>
                <w:rFonts w:ascii="Arial" w:hAnsi="Arial" w:cs="Arial"/>
                <w:b/>
                <w:bCs/>
              </w:rPr>
            </w:pPr>
            <w:smartTag w:uri="urn:schemas-microsoft-com:office:smarttags" w:element="stockticker">
              <w:r>
                <w:rPr>
                  <w:rFonts w:ascii="Arial" w:hAnsi="Arial" w:cs="Arial"/>
                  <w:b/>
                  <w:bCs/>
                </w:rPr>
                <w:t>SCC</w:t>
              </w:r>
            </w:smartTag>
            <w:r>
              <w:rPr>
                <w:rFonts w:ascii="Arial" w:hAnsi="Arial" w:cs="Arial"/>
                <w:b/>
                <w:bCs/>
              </w:rPr>
              <w:t xml:space="preserve"> Level 4</w:t>
            </w:r>
          </w:p>
        </w:tc>
      </w:tr>
      <w:tr w:rsidR="004C68A6" w:rsidRPr="004C68A6">
        <w:trPr>
          <w:jc w:val="center"/>
        </w:trPr>
        <w:tc>
          <w:tcPr>
            <w:tcW w:w="0" w:type="auto"/>
            <w:vAlign w:val="bottom"/>
          </w:tcPr>
          <w:p w:rsidR="004C68A6" w:rsidRPr="004C68A6" w:rsidRDefault="004C68A6">
            <w:r w:rsidRPr="004C68A6">
              <w:t>2294000000</w:t>
            </w:r>
          </w:p>
        </w:tc>
        <w:tc>
          <w:tcPr>
            <w:tcW w:w="1838" w:type="dxa"/>
            <w:vAlign w:val="bottom"/>
          </w:tcPr>
          <w:p w:rsidR="004C68A6" w:rsidRPr="004C68A6" w:rsidRDefault="004C68A6">
            <w:r w:rsidRPr="004C68A6">
              <w:t>Mobile Sources</w:t>
            </w:r>
          </w:p>
        </w:tc>
        <w:tc>
          <w:tcPr>
            <w:tcW w:w="2351" w:type="dxa"/>
          </w:tcPr>
          <w:p w:rsidR="004C68A6" w:rsidRPr="004C68A6" w:rsidRDefault="004C68A6" w:rsidP="00250964">
            <w:r w:rsidRPr="004C68A6">
              <w:t>Paved Roads</w:t>
            </w:r>
          </w:p>
        </w:tc>
        <w:tc>
          <w:tcPr>
            <w:tcW w:w="2060" w:type="dxa"/>
          </w:tcPr>
          <w:p w:rsidR="004C68A6" w:rsidRPr="004C68A6" w:rsidRDefault="004C68A6" w:rsidP="00250964">
            <w:pPr>
              <w:rPr>
                <w:color w:val="000000"/>
              </w:rPr>
            </w:pPr>
            <w:r w:rsidRPr="004C68A6">
              <w:t>All Paved Roads</w:t>
            </w:r>
          </w:p>
        </w:tc>
        <w:tc>
          <w:tcPr>
            <w:tcW w:w="1620" w:type="dxa"/>
          </w:tcPr>
          <w:p w:rsidR="004C68A6" w:rsidRPr="004C68A6" w:rsidRDefault="004C68A6" w:rsidP="00250964">
            <w:r w:rsidRPr="004C68A6">
              <w:t>Total: Fugitives</w:t>
            </w:r>
          </w:p>
        </w:tc>
      </w:tr>
    </w:tbl>
    <w:p w:rsidR="000F5892" w:rsidRDefault="000F5892">
      <w:pPr>
        <w:shd w:val="clear" w:color="auto" w:fill="FFFFFF"/>
        <w:spacing w:before="202" w:line="230" w:lineRule="exact"/>
      </w:pPr>
      <w:r>
        <w:t xml:space="preserve">Table 1 provides a national summary of the </w:t>
      </w:r>
      <w:r w:rsidR="00987E20">
        <w:t xml:space="preserve">estimated </w:t>
      </w:r>
      <w:r>
        <w:t>200</w:t>
      </w:r>
      <w:r w:rsidR="00881DD2">
        <w:t>8</w:t>
      </w:r>
      <w:r>
        <w:t xml:space="preserve"> annual vehicle miles traveled (VMT) activity and emissions by pollutant.</w:t>
      </w:r>
    </w:p>
    <w:p w:rsidR="000F5892" w:rsidRDefault="000F5892">
      <w:pPr>
        <w:shd w:val="clear" w:color="auto" w:fill="FFFFFF"/>
        <w:spacing w:before="206"/>
        <w:ind w:left="283"/>
      </w:pPr>
      <w:proofErr w:type="gramStart"/>
      <w:r>
        <w:rPr>
          <w:b/>
          <w:bCs/>
          <w:spacing w:val="-1"/>
        </w:rPr>
        <w:t>Table 1.</w:t>
      </w:r>
      <w:proofErr w:type="gramEnd"/>
      <w:r>
        <w:rPr>
          <w:b/>
          <w:bCs/>
          <w:spacing w:val="-1"/>
        </w:rPr>
        <w:t xml:space="preserve"> </w:t>
      </w:r>
      <w:r w:rsidR="00881DD2">
        <w:rPr>
          <w:b/>
          <w:bCs/>
          <w:spacing w:val="-1"/>
        </w:rPr>
        <w:t>2008</w:t>
      </w:r>
      <w:r>
        <w:rPr>
          <w:b/>
          <w:bCs/>
          <w:spacing w:val="-1"/>
        </w:rPr>
        <w:t xml:space="preserve"> National Criteria Air Pollutant Emissions Summary for Fugitive Dust from Paved Roads</w:t>
      </w:r>
    </w:p>
    <w:p w:rsidR="000F5892" w:rsidRDefault="000F5892">
      <w:pPr>
        <w:spacing w:after="211" w:line="1" w:lineRule="exact"/>
        <w:rPr>
          <w:sz w:val="2"/>
          <w:szCs w:val="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338"/>
        <w:gridCol w:w="1262"/>
        <w:gridCol w:w="1728"/>
        <w:gridCol w:w="1839"/>
      </w:tblGrid>
      <w:tr w:rsidR="009F1B8B" w:rsidRPr="00881DD2" w:rsidTr="006863BA">
        <w:trPr>
          <w:trHeight w:hRule="exact" w:val="533"/>
          <w:jc w:val="center"/>
        </w:trPr>
        <w:tc>
          <w:tcPr>
            <w:tcW w:w="2338" w:type="dxa"/>
          </w:tcPr>
          <w:p w:rsidR="009F1B8B" w:rsidRPr="00881DD2" w:rsidRDefault="009F1B8B" w:rsidP="00645B20">
            <w:pPr>
              <w:shd w:val="clear" w:color="auto" w:fill="FFFFFF"/>
              <w:spacing w:line="235" w:lineRule="exact"/>
              <w:jc w:val="center"/>
            </w:pPr>
            <w:r w:rsidRPr="00881DD2">
              <w:rPr>
                <w:b/>
                <w:bCs/>
                <w:spacing w:val="-2"/>
              </w:rPr>
              <w:t xml:space="preserve">Pollutant Description and </w:t>
            </w:r>
            <w:r w:rsidRPr="00881DD2">
              <w:rPr>
                <w:b/>
                <w:bCs/>
                <w:spacing w:val="-1"/>
              </w:rPr>
              <w:t>NIF 3.0 Pollutant Code</w:t>
            </w:r>
          </w:p>
        </w:tc>
        <w:tc>
          <w:tcPr>
            <w:tcW w:w="1262" w:type="dxa"/>
          </w:tcPr>
          <w:p w:rsidR="009F1B8B" w:rsidRPr="00881DD2" w:rsidRDefault="009F1B8B" w:rsidP="00645B20">
            <w:pPr>
              <w:shd w:val="clear" w:color="auto" w:fill="FFFFFF"/>
              <w:spacing w:line="235" w:lineRule="exact"/>
              <w:ind w:left="38" w:right="38"/>
              <w:jc w:val="center"/>
            </w:pPr>
            <w:r w:rsidRPr="00881DD2">
              <w:rPr>
                <w:b/>
                <w:bCs/>
                <w:spacing w:val="-1"/>
              </w:rPr>
              <w:t xml:space="preserve">Emission </w:t>
            </w:r>
            <w:r w:rsidRPr="00881DD2">
              <w:rPr>
                <w:b/>
                <w:bCs/>
              </w:rPr>
              <w:t>Factor</w:t>
            </w:r>
          </w:p>
          <w:p w:rsidR="009F1B8B" w:rsidRPr="00881DD2" w:rsidRDefault="009F1B8B" w:rsidP="00645B20">
            <w:pPr>
              <w:shd w:val="clear" w:color="auto" w:fill="FFFFFF"/>
              <w:spacing w:line="240" w:lineRule="exact"/>
              <w:ind w:left="38" w:right="38"/>
              <w:jc w:val="center"/>
            </w:pPr>
            <w:r w:rsidRPr="00881DD2">
              <w:rPr>
                <w:spacing w:val="-2"/>
                <w:u w:val="single"/>
              </w:rPr>
              <w:t xml:space="preserve">Reference 1 </w:t>
            </w:r>
            <w:r w:rsidRPr="00881DD2">
              <w:rPr>
                <w:spacing w:val="-1"/>
                <w:u w:val="single"/>
              </w:rPr>
              <w:t xml:space="preserve">Reference 1 </w:t>
            </w:r>
            <w:r w:rsidRPr="00881DD2">
              <w:rPr>
                <w:spacing w:val="-2"/>
                <w:u w:val="single"/>
              </w:rPr>
              <w:t xml:space="preserve">Reference 1 </w:t>
            </w:r>
            <w:r w:rsidRPr="00881DD2">
              <w:rPr>
                <w:spacing w:val="-1"/>
                <w:u w:val="single"/>
              </w:rPr>
              <w:t>Reference 1</w:t>
            </w:r>
          </w:p>
        </w:tc>
        <w:tc>
          <w:tcPr>
            <w:tcW w:w="1728" w:type="dxa"/>
          </w:tcPr>
          <w:p w:rsidR="009F1B8B" w:rsidRPr="00881DD2" w:rsidRDefault="009F1B8B" w:rsidP="00645B20">
            <w:pPr>
              <w:shd w:val="clear" w:color="auto" w:fill="FFFFFF"/>
              <w:spacing w:line="235" w:lineRule="exact"/>
              <w:ind w:right="43"/>
              <w:jc w:val="center"/>
            </w:pPr>
            <w:r w:rsidRPr="00881DD2">
              <w:rPr>
                <w:b/>
                <w:bCs/>
              </w:rPr>
              <w:t xml:space="preserve">National Activity </w:t>
            </w:r>
            <w:r w:rsidRPr="00881DD2">
              <w:rPr>
                <w:b/>
                <w:bCs/>
                <w:spacing w:val="-1"/>
              </w:rPr>
              <w:t>(Million Miles)</w:t>
            </w:r>
          </w:p>
          <w:p w:rsidR="009F1B8B" w:rsidRPr="00881DD2" w:rsidRDefault="009F1B8B" w:rsidP="00645B20">
            <w:pPr>
              <w:shd w:val="clear" w:color="auto" w:fill="FFFFFF"/>
              <w:spacing w:line="240" w:lineRule="exact"/>
              <w:ind w:right="43"/>
              <w:jc w:val="center"/>
            </w:pPr>
            <w:r w:rsidRPr="00881DD2">
              <w:rPr>
                <w:spacing w:val="-1"/>
                <w:u w:val="single"/>
              </w:rPr>
              <w:t xml:space="preserve">2,762,373 </w:t>
            </w:r>
            <w:proofErr w:type="spellStart"/>
            <w:r w:rsidRPr="00881DD2">
              <w:rPr>
                <w:spacing w:val="-1"/>
                <w:u w:val="single"/>
              </w:rPr>
              <w:t>2,762,373</w:t>
            </w:r>
            <w:proofErr w:type="spellEnd"/>
            <w:r w:rsidRPr="00881DD2">
              <w:rPr>
                <w:spacing w:val="-1"/>
                <w:u w:val="single"/>
              </w:rPr>
              <w:t xml:space="preserve"> </w:t>
            </w:r>
            <w:proofErr w:type="spellStart"/>
            <w:r w:rsidRPr="00881DD2">
              <w:rPr>
                <w:spacing w:val="-1"/>
                <w:u w:val="single"/>
              </w:rPr>
              <w:t>2,762,373</w:t>
            </w:r>
            <w:proofErr w:type="spellEnd"/>
            <w:r w:rsidRPr="00881DD2">
              <w:rPr>
                <w:spacing w:val="-1"/>
                <w:u w:val="single"/>
              </w:rPr>
              <w:t xml:space="preserve"> </w:t>
            </w:r>
            <w:proofErr w:type="spellStart"/>
            <w:r w:rsidRPr="00881DD2">
              <w:rPr>
                <w:spacing w:val="-1"/>
                <w:u w:val="single"/>
              </w:rPr>
              <w:t>2,762,373</w:t>
            </w:r>
            <w:proofErr w:type="spellEnd"/>
          </w:p>
        </w:tc>
        <w:tc>
          <w:tcPr>
            <w:tcW w:w="1839" w:type="dxa"/>
          </w:tcPr>
          <w:p w:rsidR="009F1B8B" w:rsidRPr="00881DD2" w:rsidRDefault="009F1B8B" w:rsidP="009F1B8B">
            <w:pPr>
              <w:shd w:val="clear" w:color="auto" w:fill="FFFFFF"/>
              <w:spacing w:line="235" w:lineRule="exact"/>
              <w:jc w:val="center"/>
              <w:rPr>
                <w:b/>
                <w:bCs/>
              </w:rPr>
            </w:pPr>
            <w:r w:rsidRPr="00881DD2">
              <w:rPr>
                <w:b/>
                <w:bCs/>
              </w:rPr>
              <w:t xml:space="preserve">National </w:t>
            </w:r>
            <w:r>
              <w:rPr>
                <w:b/>
                <w:bCs/>
              </w:rPr>
              <w:t xml:space="preserve">PM </w:t>
            </w:r>
            <w:r w:rsidRPr="00881DD2">
              <w:rPr>
                <w:b/>
                <w:bCs/>
                <w:spacing w:val="-2"/>
              </w:rPr>
              <w:t>Emissions</w:t>
            </w:r>
            <w:r>
              <w:rPr>
                <w:b/>
                <w:bCs/>
                <w:spacing w:val="-2"/>
              </w:rPr>
              <w:t xml:space="preserve"> </w:t>
            </w:r>
            <w:r w:rsidRPr="00881DD2">
              <w:rPr>
                <w:b/>
                <w:bCs/>
                <w:spacing w:val="-2"/>
              </w:rPr>
              <w:t>(Tons)</w:t>
            </w:r>
          </w:p>
        </w:tc>
      </w:tr>
      <w:tr w:rsidR="009F1B8B" w:rsidRPr="00881DD2" w:rsidTr="006863BA">
        <w:trPr>
          <w:trHeight w:hRule="exact" w:val="240"/>
          <w:jc w:val="center"/>
        </w:trPr>
        <w:tc>
          <w:tcPr>
            <w:tcW w:w="2338" w:type="dxa"/>
          </w:tcPr>
          <w:p w:rsidR="009F1B8B" w:rsidRPr="00881DD2" w:rsidRDefault="009F1B8B" w:rsidP="00881DD2">
            <w:pPr>
              <w:shd w:val="clear" w:color="auto" w:fill="FFFFFF"/>
            </w:pPr>
            <w:r w:rsidRPr="00881DD2">
              <w:t>PM10-FIL</w:t>
            </w:r>
          </w:p>
        </w:tc>
        <w:tc>
          <w:tcPr>
            <w:tcW w:w="1262" w:type="dxa"/>
          </w:tcPr>
          <w:p w:rsidR="009F1B8B" w:rsidRPr="00881DD2" w:rsidRDefault="009F1B8B" w:rsidP="00881DD2">
            <w:pPr>
              <w:shd w:val="clear" w:color="auto" w:fill="FFFFFF"/>
            </w:pPr>
            <w:r w:rsidRPr="00881DD2">
              <w:t>Reference 1</w:t>
            </w:r>
          </w:p>
        </w:tc>
        <w:tc>
          <w:tcPr>
            <w:tcW w:w="1728" w:type="dxa"/>
          </w:tcPr>
          <w:p w:rsidR="009F1B8B" w:rsidRPr="00881DD2" w:rsidRDefault="009F1B8B" w:rsidP="009C4563">
            <w:pPr>
              <w:shd w:val="clear" w:color="auto" w:fill="FFFFFF"/>
              <w:jc w:val="right"/>
            </w:pPr>
            <w:r>
              <w:t>2,717,343</w:t>
            </w:r>
          </w:p>
        </w:tc>
        <w:tc>
          <w:tcPr>
            <w:tcW w:w="1839" w:type="dxa"/>
          </w:tcPr>
          <w:p w:rsidR="009F1B8B" w:rsidRPr="00881DD2" w:rsidRDefault="003151E1" w:rsidP="009C4563">
            <w:pPr>
              <w:shd w:val="clear" w:color="auto" w:fill="FFFFFF"/>
              <w:ind w:left="192"/>
              <w:jc w:val="right"/>
            </w:pPr>
            <w:r>
              <w:t>1,037,320</w:t>
            </w:r>
          </w:p>
        </w:tc>
      </w:tr>
      <w:tr w:rsidR="009F1B8B" w:rsidRPr="00881DD2" w:rsidTr="006863BA">
        <w:trPr>
          <w:trHeight w:hRule="exact" w:val="240"/>
          <w:jc w:val="center"/>
        </w:trPr>
        <w:tc>
          <w:tcPr>
            <w:tcW w:w="2338" w:type="dxa"/>
          </w:tcPr>
          <w:p w:rsidR="009F1B8B" w:rsidRPr="00881DD2" w:rsidRDefault="009F1B8B" w:rsidP="00881DD2">
            <w:pPr>
              <w:shd w:val="clear" w:color="auto" w:fill="FFFFFF"/>
            </w:pPr>
            <w:r w:rsidRPr="00881DD2">
              <w:t>PM10-PRI</w:t>
            </w:r>
          </w:p>
        </w:tc>
        <w:tc>
          <w:tcPr>
            <w:tcW w:w="1262" w:type="dxa"/>
          </w:tcPr>
          <w:p w:rsidR="009F1B8B" w:rsidRPr="00881DD2" w:rsidRDefault="009F1B8B" w:rsidP="00881DD2">
            <w:pPr>
              <w:shd w:val="clear" w:color="auto" w:fill="FFFFFF"/>
            </w:pPr>
            <w:r w:rsidRPr="00881DD2">
              <w:t>Reference 1</w:t>
            </w:r>
          </w:p>
        </w:tc>
        <w:tc>
          <w:tcPr>
            <w:tcW w:w="1728" w:type="dxa"/>
          </w:tcPr>
          <w:p w:rsidR="009F1B8B" w:rsidRPr="00881DD2" w:rsidRDefault="009F1B8B" w:rsidP="009C4563">
            <w:pPr>
              <w:shd w:val="clear" w:color="auto" w:fill="FFFFFF"/>
              <w:jc w:val="right"/>
            </w:pPr>
            <w:r>
              <w:t>2,717,343</w:t>
            </w:r>
          </w:p>
        </w:tc>
        <w:tc>
          <w:tcPr>
            <w:tcW w:w="1839" w:type="dxa"/>
          </w:tcPr>
          <w:p w:rsidR="009F1B8B" w:rsidRPr="00881DD2" w:rsidRDefault="003151E1" w:rsidP="003151E1">
            <w:pPr>
              <w:shd w:val="clear" w:color="auto" w:fill="FFFFFF"/>
              <w:ind w:left="192"/>
              <w:jc w:val="right"/>
            </w:pPr>
            <w:r>
              <w:t>1,037,320</w:t>
            </w:r>
          </w:p>
        </w:tc>
      </w:tr>
      <w:tr w:rsidR="009F1B8B" w:rsidRPr="00881DD2" w:rsidTr="006863BA">
        <w:trPr>
          <w:trHeight w:hRule="exact" w:val="240"/>
          <w:jc w:val="center"/>
        </w:trPr>
        <w:tc>
          <w:tcPr>
            <w:tcW w:w="2338" w:type="dxa"/>
          </w:tcPr>
          <w:p w:rsidR="009F1B8B" w:rsidRPr="00881DD2" w:rsidRDefault="009F1B8B" w:rsidP="00881DD2">
            <w:pPr>
              <w:shd w:val="clear" w:color="auto" w:fill="FFFFFF"/>
            </w:pPr>
            <w:r w:rsidRPr="00881DD2">
              <w:t>PM25-FIL</w:t>
            </w:r>
          </w:p>
        </w:tc>
        <w:tc>
          <w:tcPr>
            <w:tcW w:w="1262" w:type="dxa"/>
          </w:tcPr>
          <w:p w:rsidR="009F1B8B" w:rsidRPr="00881DD2" w:rsidRDefault="009F1B8B" w:rsidP="00881DD2">
            <w:pPr>
              <w:shd w:val="clear" w:color="auto" w:fill="FFFFFF"/>
            </w:pPr>
            <w:r w:rsidRPr="00881DD2">
              <w:t>Reference 1</w:t>
            </w:r>
          </w:p>
        </w:tc>
        <w:tc>
          <w:tcPr>
            <w:tcW w:w="1728" w:type="dxa"/>
          </w:tcPr>
          <w:p w:rsidR="009F1B8B" w:rsidRPr="00881DD2" w:rsidRDefault="009F1B8B" w:rsidP="009C4563">
            <w:pPr>
              <w:shd w:val="clear" w:color="auto" w:fill="FFFFFF"/>
              <w:jc w:val="right"/>
            </w:pPr>
            <w:r>
              <w:t>2,717,343</w:t>
            </w:r>
          </w:p>
        </w:tc>
        <w:tc>
          <w:tcPr>
            <w:tcW w:w="1839" w:type="dxa"/>
          </w:tcPr>
          <w:p w:rsidR="009F1B8B" w:rsidRPr="00881DD2" w:rsidRDefault="009F1B8B" w:rsidP="003151E1">
            <w:pPr>
              <w:shd w:val="clear" w:color="auto" w:fill="FFFFFF"/>
              <w:ind w:left="341"/>
              <w:jc w:val="right"/>
            </w:pPr>
            <w:r>
              <w:t>2</w:t>
            </w:r>
            <w:r w:rsidR="003151E1">
              <w:t>59</w:t>
            </w:r>
            <w:r>
              <w:t>,</w:t>
            </w:r>
            <w:r w:rsidR="003151E1">
              <w:t>330</w:t>
            </w:r>
          </w:p>
        </w:tc>
      </w:tr>
      <w:tr w:rsidR="009F1B8B" w:rsidRPr="00881DD2" w:rsidTr="006863BA">
        <w:trPr>
          <w:trHeight w:hRule="exact" w:val="269"/>
          <w:jc w:val="center"/>
        </w:trPr>
        <w:tc>
          <w:tcPr>
            <w:tcW w:w="2338" w:type="dxa"/>
          </w:tcPr>
          <w:p w:rsidR="009F1B8B" w:rsidRPr="00881DD2" w:rsidRDefault="009F1B8B" w:rsidP="00881DD2">
            <w:pPr>
              <w:shd w:val="clear" w:color="auto" w:fill="FFFFFF"/>
            </w:pPr>
            <w:r w:rsidRPr="00881DD2">
              <w:t>PM25-PRI</w:t>
            </w:r>
          </w:p>
        </w:tc>
        <w:tc>
          <w:tcPr>
            <w:tcW w:w="1262" w:type="dxa"/>
          </w:tcPr>
          <w:p w:rsidR="009F1B8B" w:rsidRPr="00881DD2" w:rsidRDefault="009F1B8B" w:rsidP="00881DD2">
            <w:pPr>
              <w:shd w:val="clear" w:color="auto" w:fill="FFFFFF"/>
            </w:pPr>
            <w:r w:rsidRPr="00881DD2">
              <w:t>Reference 1</w:t>
            </w:r>
          </w:p>
        </w:tc>
        <w:tc>
          <w:tcPr>
            <w:tcW w:w="1728" w:type="dxa"/>
          </w:tcPr>
          <w:p w:rsidR="009F1B8B" w:rsidRPr="00881DD2" w:rsidRDefault="009F1B8B" w:rsidP="009C4563">
            <w:pPr>
              <w:shd w:val="clear" w:color="auto" w:fill="FFFFFF"/>
              <w:jc w:val="right"/>
            </w:pPr>
            <w:r>
              <w:t>2,717,343</w:t>
            </w:r>
          </w:p>
        </w:tc>
        <w:tc>
          <w:tcPr>
            <w:tcW w:w="1839" w:type="dxa"/>
          </w:tcPr>
          <w:p w:rsidR="009F1B8B" w:rsidRPr="00881DD2" w:rsidRDefault="009F1B8B" w:rsidP="003151E1">
            <w:pPr>
              <w:shd w:val="clear" w:color="auto" w:fill="FFFFFF"/>
              <w:ind w:left="341"/>
              <w:jc w:val="right"/>
            </w:pPr>
            <w:r>
              <w:t>2</w:t>
            </w:r>
            <w:r w:rsidR="003151E1">
              <w:t>59</w:t>
            </w:r>
            <w:r>
              <w:t>,</w:t>
            </w:r>
            <w:r w:rsidR="003151E1">
              <w:t>330</w:t>
            </w:r>
          </w:p>
        </w:tc>
      </w:tr>
    </w:tbl>
    <w:p w:rsidR="000F5892" w:rsidRDefault="000F5892">
      <w:pPr>
        <w:shd w:val="clear" w:color="auto" w:fill="FFFFFF"/>
        <w:spacing w:before="422" w:line="230" w:lineRule="exact"/>
      </w:pPr>
      <w:r>
        <w:t xml:space="preserve">Uncontrolled paved road emissions were calculated at the </w:t>
      </w:r>
      <w:r w:rsidR="00AC2FDB">
        <w:t>county</w:t>
      </w:r>
      <w:r>
        <w:t xml:space="preserve"> level by roadway </w:t>
      </w:r>
      <w:r w:rsidR="00AC2FDB">
        <w:t>type and year</w:t>
      </w:r>
      <w:r>
        <w:t>.</w:t>
      </w:r>
      <w:r w:rsidR="00D93EA5">
        <w:t xml:space="preserve"> </w:t>
      </w:r>
      <w:r>
        <w:t xml:space="preserve">This was done </w:t>
      </w:r>
      <w:r>
        <w:rPr>
          <w:spacing w:val="-1"/>
        </w:rPr>
        <w:t xml:space="preserve">by multiplying the </w:t>
      </w:r>
      <w:r w:rsidR="00AC2FDB">
        <w:rPr>
          <w:spacing w:val="-1"/>
        </w:rPr>
        <w:t>county</w:t>
      </w:r>
      <w:r>
        <w:rPr>
          <w:spacing w:val="-1"/>
        </w:rPr>
        <w:t xml:space="preserve">/roadway class </w:t>
      </w:r>
      <w:r w:rsidR="00AC2FDB">
        <w:rPr>
          <w:spacing w:val="-1"/>
        </w:rPr>
        <w:t xml:space="preserve">paved road </w:t>
      </w:r>
      <w:r>
        <w:rPr>
          <w:spacing w:val="-1"/>
        </w:rPr>
        <w:t xml:space="preserve">VMT by the appropriate paved </w:t>
      </w:r>
      <w:r>
        <w:t>road emission factor.</w:t>
      </w:r>
      <w:r w:rsidR="00D93EA5">
        <w:t xml:space="preserve"> </w:t>
      </w:r>
      <w:r>
        <w:t xml:space="preserve">Next, </w:t>
      </w:r>
      <w:r>
        <w:rPr>
          <w:spacing w:val="-1"/>
        </w:rPr>
        <w:t xml:space="preserve">control factors were applied to the paved road emissions in </w:t>
      </w:r>
      <w:r w:rsidR="00471D8B">
        <w:rPr>
          <w:spacing w:val="-1"/>
        </w:rPr>
        <w:t xml:space="preserve">counties containing </w:t>
      </w:r>
      <w:r>
        <w:rPr>
          <w:spacing w:val="-1"/>
        </w:rPr>
        <w:t>PM</w:t>
      </w:r>
      <w:r>
        <w:rPr>
          <w:spacing w:val="-1"/>
          <w:vertAlign w:val="subscript"/>
        </w:rPr>
        <w:t>10</w:t>
      </w:r>
      <w:r>
        <w:rPr>
          <w:spacing w:val="-1"/>
        </w:rPr>
        <w:t xml:space="preserve"> nonattainment area</w:t>
      </w:r>
      <w:r w:rsidR="00471D8B">
        <w:rPr>
          <w:spacing w:val="-1"/>
        </w:rPr>
        <w:t>s</w:t>
      </w:r>
      <w:r>
        <w:rPr>
          <w:spacing w:val="-1"/>
        </w:rPr>
        <w:t xml:space="preserve"> </w:t>
      </w:r>
      <w:r w:rsidR="00471D8B">
        <w:rPr>
          <w:spacing w:val="-1"/>
        </w:rPr>
        <w:t xml:space="preserve">and </w:t>
      </w:r>
      <w:r>
        <w:rPr>
          <w:spacing w:val="-1"/>
        </w:rPr>
        <w:t>counties</w:t>
      </w:r>
      <w:r w:rsidR="00471D8B">
        <w:rPr>
          <w:spacing w:val="-1"/>
        </w:rPr>
        <w:t xml:space="preserve"> with areas previously in nonattainment that now have maintenance plans</w:t>
      </w:r>
      <w:r>
        <w:rPr>
          <w:spacing w:val="-1"/>
        </w:rPr>
        <w:t>.</w:t>
      </w:r>
      <w:r w:rsidR="00E03803">
        <w:rPr>
          <w:spacing w:val="-1"/>
        </w:rPr>
        <w:t xml:space="preserve"> </w:t>
      </w:r>
      <w:r>
        <w:rPr>
          <w:spacing w:val="-1"/>
        </w:rPr>
        <w:t xml:space="preserve">Emissions and VMT </w:t>
      </w:r>
      <w:r>
        <w:t>by roadway class were then totaled to the county level for reporting in the NEI.</w:t>
      </w:r>
      <w:r w:rsidR="00D93EA5">
        <w:t xml:space="preserve"> </w:t>
      </w:r>
      <w:r>
        <w:t xml:space="preserve">The following provides further details on the emission factor equation, </w:t>
      </w:r>
      <w:r w:rsidR="00AC2FDB">
        <w:t>determination of paved road VMT</w:t>
      </w:r>
      <w:r>
        <w:t>, and controls.</w:t>
      </w:r>
    </w:p>
    <w:p w:rsidR="000F5892" w:rsidRPr="004C68A6" w:rsidRDefault="004C68A6">
      <w:pPr>
        <w:shd w:val="clear" w:color="auto" w:fill="FFFFFF"/>
        <w:spacing w:before="202"/>
        <w:rPr>
          <w:b/>
          <w:i/>
        </w:rPr>
      </w:pPr>
      <w:r w:rsidRPr="004C68A6">
        <w:rPr>
          <w:b/>
          <w:i/>
        </w:rPr>
        <w:t xml:space="preserve">b. </w:t>
      </w:r>
      <w:r w:rsidR="000F5892" w:rsidRPr="004C68A6">
        <w:rPr>
          <w:b/>
          <w:i/>
        </w:rPr>
        <w:t>Emission Factor Equation</w:t>
      </w:r>
    </w:p>
    <w:p w:rsidR="000F5892" w:rsidRDefault="000F5892">
      <w:pPr>
        <w:shd w:val="clear" w:color="auto" w:fill="FFFFFF"/>
        <w:spacing w:before="202" w:line="221" w:lineRule="exact"/>
      </w:pPr>
      <w:proofErr w:type="spellStart"/>
      <w:r>
        <w:rPr>
          <w:spacing w:val="-1"/>
        </w:rPr>
        <w:t>Reentrained</w:t>
      </w:r>
      <w:proofErr w:type="spellEnd"/>
      <w:r>
        <w:rPr>
          <w:spacing w:val="-1"/>
        </w:rPr>
        <w:t xml:space="preserve"> road dust emissions for paved roads were estimated using paved road VMT and the emission factor </w:t>
      </w:r>
      <w:r>
        <w:t>equation from AP-42</w:t>
      </w:r>
      <w:r w:rsidR="004B2970">
        <w:t>, which was updated in January 2011</w:t>
      </w:r>
      <w:r>
        <w:t>:</w:t>
      </w:r>
      <w:r>
        <w:rPr>
          <w:vertAlign w:val="superscript"/>
        </w:rPr>
        <w:t>1</w:t>
      </w:r>
    </w:p>
    <w:p w:rsidR="000F5892" w:rsidRDefault="000F5892">
      <w:pPr>
        <w:shd w:val="clear" w:color="auto" w:fill="FFFFFF"/>
        <w:spacing w:before="206"/>
        <w:ind w:left="5"/>
        <w:jc w:val="center"/>
      </w:pPr>
      <w:r>
        <w:rPr>
          <w:spacing w:val="-5"/>
        </w:rPr>
        <w:t>E = [k</w:t>
      </w:r>
      <w:proofErr w:type="gramStart"/>
      <w:r w:rsidR="003823E5">
        <w:rPr>
          <w:spacing w:val="-5"/>
        </w:rPr>
        <w:t>×</w:t>
      </w:r>
      <w:r>
        <w:rPr>
          <w:spacing w:val="-5"/>
        </w:rPr>
        <w:t>(</w:t>
      </w:r>
      <w:proofErr w:type="spellStart"/>
      <w:proofErr w:type="gramEnd"/>
      <w:r>
        <w:rPr>
          <w:spacing w:val="-5"/>
        </w:rPr>
        <w:t>sL</w:t>
      </w:r>
      <w:proofErr w:type="spellEnd"/>
      <w:r>
        <w:rPr>
          <w:spacing w:val="-5"/>
        </w:rPr>
        <w:t>)</w:t>
      </w:r>
      <w:r>
        <w:rPr>
          <w:spacing w:val="-5"/>
          <w:vertAlign w:val="superscript"/>
        </w:rPr>
        <w:t>0.</w:t>
      </w:r>
      <w:r w:rsidR="00D93EA5">
        <w:rPr>
          <w:spacing w:val="-5"/>
          <w:vertAlign w:val="superscript"/>
        </w:rPr>
        <w:t>91</w:t>
      </w:r>
      <w:r w:rsidR="003823E5">
        <w:rPr>
          <w:spacing w:val="-5"/>
        </w:rPr>
        <w:t>×</w:t>
      </w:r>
      <w:r>
        <w:rPr>
          <w:spacing w:val="-5"/>
        </w:rPr>
        <w:t>(W)</w:t>
      </w:r>
      <w:r>
        <w:rPr>
          <w:spacing w:val="-5"/>
          <w:vertAlign w:val="superscript"/>
        </w:rPr>
        <w:t>1.</w:t>
      </w:r>
      <w:r w:rsidR="00D93EA5">
        <w:rPr>
          <w:spacing w:val="-5"/>
          <w:vertAlign w:val="superscript"/>
        </w:rPr>
        <w:t>02</w:t>
      </w:r>
      <w:r>
        <w:rPr>
          <w:spacing w:val="-5"/>
        </w:rPr>
        <w:t>]</w:t>
      </w:r>
      <w:r w:rsidR="003823E5">
        <w:rPr>
          <w:spacing w:val="-5"/>
        </w:rPr>
        <w:t>×</w:t>
      </w:r>
      <w:r>
        <w:rPr>
          <w:spacing w:val="-5"/>
        </w:rPr>
        <w:t>[1</w:t>
      </w:r>
      <w:r w:rsidR="003823E5">
        <w:rPr>
          <w:spacing w:val="-5"/>
        </w:rPr>
        <w:t>-</w:t>
      </w:r>
      <w:r>
        <w:rPr>
          <w:spacing w:val="-5"/>
        </w:rPr>
        <w:t>P/(4</w:t>
      </w:r>
      <w:r w:rsidR="003823E5">
        <w:rPr>
          <w:spacing w:val="-5"/>
        </w:rPr>
        <w:t>×</w:t>
      </w:r>
      <w:r>
        <w:rPr>
          <w:spacing w:val="-5"/>
        </w:rPr>
        <w:t>N)]</w:t>
      </w:r>
    </w:p>
    <w:p w:rsidR="000F5892" w:rsidRDefault="000F5892">
      <w:pPr>
        <w:shd w:val="clear" w:color="auto" w:fill="FFFFFF"/>
        <w:tabs>
          <w:tab w:val="left" w:pos="1152"/>
        </w:tabs>
        <w:spacing w:before="202" w:line="230" w:lineRule="exact"/>
      </w:pPr>
      <w:proofErr w:type="gramStart"/>
      <w:r>
        <w:rPr>
          <w:spacing w:val="-2"/>
        </w:rPr>
        <w:t>where</w:t>
      </w:r>
      <w:proofErr w:type="gramEnd"/>
      <w:r>
        <w:rPr>
          <w:spacing w:val="-2"/>
        </w:rPr>
        <w:t>:</w:t>
      </w:r>
      <w:r>
        <w:rPr>
          <w:rFonts w:ascii="Arial" w:cs="Arial"/>
        </w:rPr>
        <w:tab/>
      </w:r>
      <w:r>
        <w:t>E = paved road dust emission factor (gram [g]/VMT)</w:t>
      </w:r>
    </w:p>
    <w:p w:rsidR="000F5892" w:rsidRDefault="000F5892">
      <w:pPr>
        <w:shd w:val="clear" w:color="auto" w:fill="FFFFFF"/>
        <w:spacing w:line="230" w:lineRule="exact"/>
        <w:ind w:left="1152"/>
      </w:pPr>
      <w:r>
        <w:t>k = particle size multiplier (</w:t>
      </w:r>
      <w:r w:rsidR="00D93EA5">
        <w:t>1</w:t>
      </w:r>
      <w:r>
        <w:t xml:space="preserve"> g/VMT for PM10-PRI/-FIL and </w:t>
      </w:r>
      <w:r w:rsidR="00621A57">
        <w:t>0</w:t>
      </w:r>
      <w:r w:rsidR="00D93EA5">
        <w:t>.25</w:t>
      </w:r>
      <w:r>
        <w:t xml:space="preserve"> g/VMT for PM25-PRI/-FIL)</w:t>
      </w:r>
    </w:p>
    <w:p w:rsidR="000F5892" w:rsidRDefault="000F5892">
      <w:pPr>
        <w:shd w:val="clear" w:color="auto" w:fill="FFFFFF"/>
        <w:spacing w:line="230" w:lineRule="exact"/>
        <w:ind w:left="1152"/>
      </w:pPr>
      <w:proofErr w:type="spellStart"/>
      <w:proofErr w:type="gramStart"/>
      <w:r>
        <w:rPr>
          <w:spacing w:val="-1"/>
        </w:rPr>
        <w:t>sL</w:t>
      </w:r>
      <w:proofErr w:type="spellEnd"/>
      <w:proofErr w:type="gramEnd"/>
      <w:r>
        <w:rPr>
          <w:spacing w:val="-1"/>
        </w:rPr>
        <w:t xml:space="preserve"> = road surface silt loading (g/square meter [m</w:t>
      </w:r>
      <w:r>
        <w:rPr>
          <w:spacing w:val="-1"/>
          <w:vertAlign w:val="superscript"/>
        </w:rPr>
        <w:t>2</w:t>
      </w:r>
      <w:r>
        <w:rPr>
          <w:spacing w:val="-1"/>
        </w:rPr>
        <w:t>])</w:t>
      </w:r>
      <w:r w:rsidR="003823E5">
        <w:rPr>
          <w:spacing w:val="-1"/>
        </w:rPr>
        <w:t xml:space="preserve"> </w:t>
      </w:r>
      <w:r w:rsidR="003823E5">
        <w:t>(dimensionless in eq.)</w:t>
      </w:r>
    </w:p>
    <w:p w:rsidR="000F5892" w:rsidRDefault="000F5892">
      <w:pPr>
        <w:shd w:val="clear" w:color="auto" w:fill="FFFFFF"/>
        <w:spacing w:line="230" w:lineRule="exact"/>
        <w:ind w:left="1152"/>
      </w:pPr>
      <w:r>
        <w:t>W = average weight (tons) of all vehicles traveling the road</w:t>
      </w:r>
      <w:r w:rsidR="003823E5">
        <w:t xml:space="preserve"> (dimensionless in eq.)</w:t>
      </w:r>
    </w:p>
    <w:p w:rsidR="00D93EA5" w:rsidRDefault="000F5892" w:rsidP="00D93EA5">
      <w:pPr>
        <w:shd w:val="clear" w:color="auto" w:fill="FFFFFF"/>
        <w:spacing w:line="230" w:lineRule="exact"/>
        <w:ind w:left="1152"/>
      </w:pPr>
      <w:r>
        <w:t xml:space="preserve">P = number of days in the </w:t>
      </w:r>
      <w:r w:rsidR="003823E5">
        <w:t>year</w:t>
      </w:r>
      <w:r>
        <w:t xml:space="preserve"> with at least 0.01 inches of precipitation</w:t>
      </w:r>
    </w:p>
    <w:p w:rsidR="00D93EA5" w:rsidRDefault="00D93EA5" w:rsidP="00D93EA5">
      <w:pPr>
        <w:shd w:val="clear" w:color="auto" w:fill="FFFFFF"/>
        <w:spacing w:line="230" w:lineRule="exact"/>
        <w:ind w:left="1152"/>
      </w:pPr>
      <w:r>
        <w:t xml:space="preserve">N = number of days in the </w:t>
      </w:r>
      <w:r w:rsidR="003823E5">
        <w:t>year</w:t>
      </w:r>
    </w:p>
    <w:p w:rsidR="000F5892" w:rsidRDefault="000F5892">
      <w:pPr>
        <w:shd w:val="clear" w:color="auto" w:fill="FFFFFF"/>
        <w:spacing w:before="202" w:line="230" w:lineRule="exact"/>
      </w:pPr>
      <w:r>
        <w:t xml:space="preserve">The uncontrolled PM10-PRI/-FIL and PM25-PRI/-FIL emission factors are provided in </w:t>
      </w:r>
      <w:r w:rsidR="009D595A">
        <w:t xml:space="preserve">the accompanying </w:t>
      </w:r>
      <w:r w:rsidR="008C74C6">
        <w:t>file “</w:t>
      </w:r>
      <w:r w:rsidR="008C74C6" w:rsidRPr="008C74C6">
        <w:t>Paved</w:t>
      </w:r>
      <w:r w:rsidR="009D595A">
        <w:t>_</w:t>
      </w:r>
      <w:r w:rsidR="008C74C6" w:rsidRPr="008C74C6">
        <w:t>Roads</w:t>
      </w:r>
      <w:r w:rsidR="009D595A">
        <w:t>_229400000_CAP_Emissions</w:t>
      </w:r>
      <w:r w:rsidR="00CD46BB">
        <w:t>.xls</w:t>
      </w:r>
      <w:r w:rsidR="009D595A">
        <w:t>x</w:t>
      </w:r>
      <w:r w:rsidR="008C74C6">
        <w:t>”</w:t>
      </w:r>
      <w:r>
        <w:t xml:space="preserve"> by </w:t>
      </w:r>
      <w:r w:rsidR="003823E5">
        <w:t>county</w:t>
      </w:r>
      <w:r w:rsidR="009D595A">
        <w:t xml:space="preserve"> and </w:t>
      </w:r>
      <w:r w:rsidR="008C74C6">
        <w:t>roadway class</w:t>
      </w:r>
      <w:r w:rsidR="009D595A">
        <w:t xml:space="preserve"> for 2008</w:t>
      </w:r>
      <w:r w:rsidR="008C74C6">
        <w:t>.</w:t>
      </w:r>
    </w:p>
    <w:p w:rsidR="000F5892" w:rsidRDefault="000F5892">
      <w:pPr>
        <w:shd w:val="clear" w:color="auto" w:fill="FFFFFF"/>
        <w:spacing w:before="202" w:line="230" w:lineRule="exact"/>
      </w:pPr>
      <w:r>
        <w:rPr>
          <w:spacing w:val="-1"/>
        </w:rPr>
        <w:t xml:space="preserve">Paved road silt loadings were assigned to each of the twelve functional roadway classes (six urban and six rural) </w:t>
      </w:r>
      <w:r>
        <w:t>based on the average annual traffic volume of each functional system by State.</w:t>
      </w:r>
      <w:r>
        <w:rPr>
          <w:vertAlign w:val="superscript"/>
        </w:rPr>
        <w:t>2</w:t>
      </w:r>
      <w:r>
        <w:t xml:space="preserve"> </w:t>
      </w:r>
      <w:r w:rsidR="00E662E4">
        <w:t>The silt loading values per average daily traffic volume come from the u</w:t>
      </w:r>
      <w:r w:rsidR="00E662E4" w:rsidRPr="00E662E4">
        <w:t xml:space="preserve">biquitous </w:t>
      </w:r>
      <w:r w:rsidR="00E662E4">
        <w:t>b</w:t>
      </w:r>
      <w:r w:rsidR="00E662E4" w:rsidRPr="00E662E4">
        <w:t>aseline</w:t>
      </w:r>
      <w:r w:rsidR="00E662E4">
        <w:t xml:space="preserve"> values from Section 13.2.1 of AP-42. </w:t>
      </w:r>
      <w:r>
        <w:t>The resulting paved road silt loadings calculated from the average annual traffic volume data are shown in Table 2.</w:t>
      </w:r>
    </w:p>
    <w:p w:rsidR="005F4213" w:rsidRPr="005F4213" w:rsidRDefault="005F4213" w:rsidP="005F4213">
      <w:pPr>
        <w:shd w:val="clear" w:color="auto" w:fill="FFFFFF"/>
        <w:spacing w:before="100" w:beforeAutospacing="1" w:after="100" w:afterAutospacing="1" w:line="230" w:lineRule="exact"/>
      </w:pPr>
      <w:r w:rsidRPr="005F4213">
        <w:t xml:space="preserve">To better estimate paved road fugitive dust emissions, the average vehicle weight was estimated by road type for each county in the U.S. (plus Puerto Rico and the U.S. Virgin Islands) based on VMT data used in the 2008 </w:t>
      </w:r>
      <w:proofErr w:type="spellStart"/>
      <w:r w:rsidRPr="005F4213">
        <w:t>onroad</w:t>
      </w:r>
      <w:proofErr w:type="spellEnd"/>
      <w:r w:rsidRPr="005F4213">
        <w:t xml:space="preserve"> NEI. For state and local agencies that provided VMT data to EPA for use in the 2008 NEI, those data are included in this data set. Additionally, if a state/local agency did not provide VMT data for the 2008 NEI, but had provided information for either the 2005 or 2002 NEI, the state/local-supplied data were grown to 2008 based on 2008 VMT data from the Federal Highway Administration (FHWA). The VMT data for the remaining counties were based on 2008 Federal Highway Administration data. (See the NEI </w:t>
      </w:r>
      <w:proofErr w:type="spellStart"/>
      <w:r w:rsidRPr="005F4213">
        <w:t>onroad</w:t>
      </w:r>
      <w:proofErr w:type="spellEnd"/>
      <w:r w:rsidRPr="005F4213">
        <w:t xml:space="preserve"> documentation for more details on how the default VMT data were calculated from the FHWA data set.) </w:t>
      </w:r>
    </w:p>
    <w:p w:rsidR="005F4213" w:rsidRPr="005F4213" w:rsidRDefault="005F4213" w:rsidP="005F4213">
      <w:pPr>
        <w:shd w:val="clear" w:color="auto" w:fill="FFFFFF"/>
        <w:spacing w:before="100" w:beforeAutospacing="1" w:after="100" w:afterAutospacing="1" w:line="230" w:lineRule="exact"/>
      </w:pPr>
      <w:r w:rsidRPr="005F4213">
        <w:lastRenderedPageBreak/>
        <w:t xml:space="preserve">The 2008 VMT data set from the NEI included in EPA’s National Mobile Inventory Model (NMIM) </w:t>
      </w:r>
      <w:proofErr w:type="spellStart"/>
      <w:r w:rsidRPr="005F4213">
        <w:t>BaseYearVMT</w:t>
      </w:r>
      <w:proofErr w:type="spellEnd"/>
      <w:r w:rsidRPr="005F4213">
        <w:t xml:space="preserve"> table includes 2008 VMT for each county by road type and 28 MOBILE6 vehicle types. An average vehicle weight was estimated for each of these 28 vehicle types, as shown in Table </w:t>
      </w:r>
      <w:r>
        <w:t>3</w:t>
      </w:r>
      <w:r w:rsidRPr="005F4213">
        <w:t xml:space="preserve">. For the heavy-duty Class 2B through Class 7 vehicle classes, the average of the gross vehicle weight rating (GVWR) range was selected as the average weight of the vehicle class. More detailed information for the heavy-duty Class 8A and 8B vehicle classes were available from the U.S. Bureau of the Census Vehicle Inventory and Use Survey (VIUS). The Class 8A and 8B subcategories by weight from VIUS were weighted by annual mileage to estimate the average 8A and 8B average vehicle class weights. For the light-duty vehicle and truck classes, data from the U.S. Department of Energy Annual Energy Outlook 2010 were used to represent the average vehicle weights. The average weight of motorcycles and the three bus categories were estimated using professional judgment based on information about existing model weights for these vehicle classes. Once the average vehicle weight was assigned to each of the 28 MOBILE6 vehicle classes, these averages were then assigned to each VMT record in the NMIM </w:t>
      </w:r>
      <w:proofErr w:type="spellStart"/>
      <w:r w:rsidRPr="005F4213">
        <w:t>BaseYearVMT</w:t>
      </w:r>
      <w:proofErr w:type="spellEnd"/>
      <w:r w:rsidRPr="005F4213">
        <w:t xml:space="preserve"> table, corresponding to the vehicle class that the VMT represented. A VMT-weighted average vehicle weight was then calculated by county and road type for each county/road type combination in the database.</w:t>
      </w:r>
    </w:p>
    <w:p w:rsidR="00456183" w:rsidRDefault="000F5892" w:rsidP="004C68A6">
      <w:pPr>
        <w:shd w:val="clear" w:color="auto" w:fill="FFFFFF"/>
        <w:spacing w:before="100" w:beforeAutospacing="1" w:after="100" w:afterAutospacing="1" w:line="230" w:lineRule="exact"/>
      </w:pPr>
      <w:r>
        <w:t xml:space="preserve">The AP-42 equation listed above includes a correction factor to adjust for the number of days with measurable </w:t>
      </w:r>
      <w:r>
        <w:rPr>
          <w:spacing w:val="-1"/>
        </w:rPr>
        <w:t xml:space="preserve">precipitation in </w:t>
      </w:r>
      <w:r w:rsidR="003823E5">
        <w:rPr>
          <w:spacing w:val="-1"/>
        </w:rPr>
        <w:t>the year</w:t>
      </w:r>
      <w:r>
        <w:rPr>
          <w:spacing w:val="-1"/>
        </w:rPr>
        <w:t>.</w:t>
      </w:r>
      <w:r w:rsidR="00D93EA5">
        <w:rPr>
          <w:spacing w:val="-1"/>
        </w:rPr>
        <w:t xml:space="preserve"> </w:t>
      </w:r>
      <w:r w:rsidR="00C331E2">
        <w:rPr>
          <w:spacing w:val="-1"/>
        </w:rPr>
        <w:t xml:space="preserve">The factor of “4” </w:t>
      </w:r>
      <w:r>
        <w:rPr>
          <w:spacing w:val="-1"/>
        </w:rPr>
        <w:t xml:space="preserve">in the precipitation adjustment accounts for the fact that paved roads dry more quickly than unpaved roads and that precipitation may not occur over the entire 24-hour day period. The </w:t>
      </w:r>
      <w:r>
        <w:t>number of days with at least 0.01 inches of precipitation in each month by State was obtained from the National</w:t>
      </w:r>
      <w:r w:rsidR="00CD46BB">
        <w:t xml:space="preserve"> </w:t>
      </w:r>
      <w:r>
        <w:t>Climatic Data Center.</w:t>
      </w:r>
      <w:r>
        <w:rPr>
          <w:vertAlign w:val="superscript"/>
        </w:rPr>
        <w:t>3</w:t>
      </w:r>
      <w:r>
        <w:t xml:space="preserve"> Data were collected from a meteorological station selected to be representative of urban areas within each State.</w:t>
      </w:r>
    </w:p>
    <w:p w:rsidR="000F5892" w:rsidRPr="007C45CF" w:rsidRDefault="004C68A6" w:rsidP="004C68A6">
      <w:pPr>
        <w:shd w:val="clear" w:color="auto" w:fill="FFFFFF"/>
        <w:spacing w:before="100" w:beforeAutospacing="1" w:after="100" w:afterAutospacing="1" w:line="230" w:lineRule="exact"/>
        <w:rPr>
          <w:i/>
          <w:iCs/>
          <w:spacing w:val="-1"/>
          <w:u w:val="single"/>
        </w:rPr>
      </w:pPr>
      <w:r w:rsidRPr="004C68A6">
        <w:rPr>
          <w:b/>
          <w:i/>
          <w:iCs/>
          <w:spacing w:val="-1"/>
        </w:rPr>
        <w:t xml:space="preserve">c. </w:t>
      </w:r>
      <w:r w:rsidR="000F5892" w:rsidRPr="004C68A6">
        <w:rPr>
          <w:b/>
          <w:i/>
          <w:iCs/>
          <w:spacing w:val="-1"/>
        </w:rPr>
        <w:t>Activity</w:t>
      </w:r>
      <w:r w:rsidR="007C45CF" w:rsidRPr="004C68A6">
        <w:rPr>
          <w:b/>
          <w:i/>
          <w:iCs/>
          <w:spacing w:val="-1"/>
        </w:rPr>
        <w:br/>
      </w:r>
      <w:r w:rsidR="007C45CF">
        <w:rPr>
          <w:i/>
          <w:iCs/>
          <w:spacing w:val="-1"/>
          <w:u w:val="single"/>
        </w:rPr>
        <w:br/>
      </w:r>
      <w:r w:rsidR="000F5892">
        <w:rPr>
          <w:spacing w:val="-1"/>
        </w:rPr>
        <w:t xml:space="preserve">Total annual VMT estimates by </w:t>
      </w:r>
      <w:r w:rsidR="003823E5">
        <w:rPr>
          <w:spacing w:val="-1"/>
        </w:rPr>
        <w:t>county</w:t>
      </w:r>
      <w:r w:rsidR="000F5892">
        <w:rPr>
          <w:spacing w:val="-1"/>
        </w:rPr>
        <w:t xml:space="preserve"> and roadway class were </w:t>
      </w:r>
      <w:r w:rsidR="003823E5">
        <w:rPr>
          <w:spacing w:val="-1"/>
        </w:rPr>
        <w:t>derived from a 2008 NMIM run, totaling all vehicle types and speeds for each county and road type.</w:t>
      </w:r>
      <w:r w:rsidR="000F5892">
        <w:rPr>
          <w:spacing w:val="-1"/>
        </w:rPr>
        <w:t xml:space="preserve"> </w:t>
      </w:r>
      <w:r w:rsidR="00E662E4">
        <w:rPr>
          <w:spacing w:val="-1"/>
        </w:rPr>
        <w:t xml:space="preserve">Paved road VMT was estimated using a ratio of state-level paved road VMT to total VMT. State level paved road VMT was calculated by subtracting the State/roadway class </w:t>
      </w:r>
      <w:r w:rsidR="00E662E4">
        <w:t xml:space="preserve">unpaved road VMT from total State/roadway class VMT. </w:t>
      </w:r>
      <w:r w:rsidR="000F5892">
        <w:rPr>
          <w:spacing w:val="-1"/>
        </w:rPr>
        <w:t>Federal Highway Administration’s (FHWA) annual Highway Statistics report</w:t>
      </w:r>
      <w:r w:rsidR="00E662E4">
        <w:rPr>
          <w:spacing w:val="-1"/>
        </w:rPr>
        <w:t xml:space="preserve"> was used to determine </w:t>
      </w:r>
      <w:r w:rsidR="00456183">
        <w:rPr>
          <w:spacing w:val="-1"/>
        </w:rPr>
        <w:t>the unpaved VMT in each state</w:t>
      </w:r>
      <w:r w:rsidR="000F5892">
        <w:rPr>
          <w:spacing w:val="-1"/>
        </w:rPr>
        <w:t>.</w:t>
      </w:r>
      <w:r w:rsidR="000F5892">
        <w:rPr>
          <w:spacing w:val="-1"/>
          <w:vertAlign w:val="superscript"/>
        </w:rPr>
        <w:t>2</w:t>
      </w:r>
    </w:p>
    <w:p w:rsidR="000F5892" w:rsidRPr="004C68A6" w:rsidRDefault="004C68A6">
      <w:pPr>
        <w:shd w:val="clear" w:color="auto" w:fill="FFFFFF"/>
        <w:spacing w:before="202"/>
        <w:rPr>
          <w:b/>
        </w:rPr>
      </w:pPr>
      <w:r w:rsidRPr="004C68A6">
        <w:rPr>
          <w:b/>
          <w:i/>
          <w:iCs/>
          <w:spacing w:val="-1"/>
        </w:rPr>
        <w:t xml:space="preserve">e. </w:t>
      </w:r>
      <w:r w:rsidR="000F5892" w:rsidRPr="004C68A6">
        <w:rPr>
          <w:b/>
          <w:i/>
          <w:iCs/>
          <w:spacing w:val="-1"/>
        </w:rPr>
        <w:t>Controls</w:t>
      </w:r>
    </w:p>
    <w:p w:rsidR="000F5892" w:rsidRDefault="000F5892">
      <w:pPr>
        <w:shd w:val="clear" w:color="auto" w:fill="FFFFFF"/>
        <w:spacing w:before="202" w:line="230" w:lineRule="exact"/>
      </w:pPr>
      <w:r>
        <w:rPr>
          <w:spacing w:val="-2"/>
        </w:rPr>
        <w:t xml:space="preserve">Paved road dust controls were applied by county to urban and rural roads </w:t>
      </w:r>
      <w:r w:rsidR="00D977D1">
        <w:rPr>
          <w:spacing w:val="-2"/>
        </w:rPr>
        <w:t xml:space="preserve">in counties with </w:t>
      </w:r>
      <w:r>
        <w:rPr>
          <w:spacing w:val="-2"/>
        </w:rPr>
        <w:t>serious PM</w:t>
      </w:r>
      <w:r>
        <w:rPr>
          <w:spacing w:val="-2"/>
          <w:vertAlign w:val="subscript"/>
        </w:rPr>
        <w:t>10</w:t>
      </w:r>
      <w:r>
        <w:rPr>
          <w:spacing w:val="-2"/>
        </w:rPr>
        <w:t xml:space="preserve"> nonattainment </w:t>
      </w:r>
      <w:r w:rsidR="00D977D1">
        <w:rPr>
          <w:spacing w:val="-2"/>
        </w:rPr>
        <w:t xml:space="preserve">or maintenance </w:t>
      </w:r>
      <w:r>
        <w:rPr>
          <w:spacing w:val="-2"/>
        </w:rPr>
        <w:t xml:space="preserve">areas and to </w:t>
      </w:r>
      <w:r>
        <w:rPr>
          <w:spacing w:val="-1"/>
        </w:rPr>
        <w:t xml:space="preserve">urban roads </w:t>
      </w:r>
      <w:r w:rsidR="00D977D1">
        <w:rPr>
          <w:spacing w:val="-1"/>
        </w:rPr>
        <w:t xml:space="preserve">in counties with </w:t>
      </w:r>
      <w:r>
        <w:rPr>
          <w:spacing w:val="-1"/>
        </w:rPr>
        <w:t>moderate PM</w:t>
      </w:r>
      <w:r>
        <w:rPr>
          <w:spacing w:val="-1"/>
          <w:vertAlign w:val="subscript"/>
        </w:rPr>
        <w:t>10</w:t>
      </w:r>
      <w:r>
        <w:rPr>
          <w:spacing w:val="-1"/>
        </w:rPr>
        <w:t xml:space="preserve"> nonattainment </w:t>
      </w:r>
      <w:r w:rsidR="00D977D1">
        <w:rPr>
          <w:spacing w:val="-1"/>
        </w:rPr>
        <w:t xml:space="preserve">or maintenance </w:t>
      </w:r>
      <w:r>
        <w:rPr>
          <w:spacing w:val="-1"/>
        </w:rPr>
        <w:t>areas.</w:t>
      </w:r>
      <w:r w:rsidR="00D93EA5">
        <w:rPr>
          <w:spacing w:val="-1"/>
        </w:rPr>
        <w:t xml:space="preserve"> </w:t>
      </w:r>
      <w:r>
        <w:rPr>
          <w:spacing w:val="-1"/>
        </w:rPr>
        <w:t xml:space="preserve">The assumed control measure is </w:t>
      </w:r>
      <w:proofErr w:type="gramStart"/>
      <w:r>
        <w:rPr>
          <w:spacing w:val="-1"/>
        </w:rPr>
        <w:t>vacuum</w:t>
      </w:r>
      <w:proofErr w:type="gramEnd"/>
      <w:r>
        <w:rPr>
          <w:spacing w:val="-1"/>
        </w:rPr>
        <w:t xml:space="preserve"> sweeping of paved roads twice per month.</w:t>
      </w:r>
      <w:r w:rsidR="00D93EA5">
        <w:rPr>
          <w:spacing w:val="-1"/>
        </w:rPr>
        <w:t xml:space="preserve"> </w:t>
      </w:r>
      <w:r>
        <w:rPr>
          <w:spacing w:val="-1"/>
        </w:rPr>
        <w:t>A control efficiency of 79 percent was assumed for this control measure.</w:t>
      </w:r>
      <w:r w:rsidR="001A5D3E">
        <w:rPr>
          <w:spacing w:val="-1"/>
          <w:vertAlign w:val="superscript"/>
        </w:rPr>
        <w:t>5</w:t>
      </w:r>
      <w:r w:rsidR="00D93EA5">
        <w:rPr>
          <w:spacing w:val="-1"/>
        </w:rPr>
        <w:t xml:space="preserve"> </w:t>
      </w:r>
      <w:proofErr w:type="gramStart"/>
      <w:r>
        <w:rPr>
          <w:spacing w:val="-1"/>
        </w:rPr>
        <w:t>The</w:t>
      </w:r>
      <w:proofErr w:type="gramEnd"/>
      <w:r>
        <w:rPr>
          <w:spacing w:val="-1"/>
        </w:rPr>
        <w:t xml:space="preserve"> assumed rule penetration varies by roadway class and PM</w:t>
      </w:r>
      <w:r>
        <w:rPr>
          <w:spacing w:val="-1"/>
          <w:vertAlign w:val="subscript"/>
        </w:rPr>
        <w:t>10</w:t>
      </w:r>
      <w:r>
        <w:rPr>
          <w:spacing w:val="-1"/>
        </w:rPr>
        <w:t xml:space="preserve"> nonattainment area classification (serious or moderate).</w:t>
      </w:r>
      <w:r w:rsidR="001A5D3E">
        <w:rPr>
          <w:spacing w:val="-1"/>
          <w:vertAlign w:val="superscript"/>
        </w:rPr>
        <w:t>5</w:t>
      </w:r>
      <w:r w:rsidR="00D93EA5">
        <w:rPr>
          <w:spacing w:val="-1"/>
        </w:rPr>
        <w:t xml:space="preserve"> </w:t>
      </w:r>
      <w:r>
        <w:rPr>
          <w:spacing w:val="-1"/>
        </w:rPr>
        <w:t xml:space="preserve">The rule </w:t>
      </w:r>
      <w:r>
        <w:t xml:space="preserve">penetration rates are shown in Table </w:t>
      </w:r>
      <w:r w:rsidR="005F4213">
        <w:t>4</w:t>
      </w:r>
      <w:r>
        <w:t>.</w:t>
      </w:r>
      <w:r w:rsidR="00D93EA5">
        <w:t xml:space="preserve"> </w:t>
      </w:r>
      <w:r>
        <w:t>Rule effectiveness was assumed to be 100% for all counties where this control was applied.</w:t>
      </w:r>
    </w:p>
    <w:p w:rsidR="000F5892" w:rsidRDefault="000F5892">
      <w:pPr>
        <w:shd w:val="clear" w:color="auto" w:fill="FFFFFF"/>
        <w:spacing w:before="202" w:after="1027" w:line="230" w:lineRule="exact"/>
      </w:pPr>
      <w:r>
        <w:t>Note that the controls were applied at the county/roadway class level, and the controls differ by roadway class.</w:t>
      </w:r>
      <w:r w:rsidR="00D93EA5">
        <w:t xml:space="preserve"> </w:t>
      </w:r>
      <w:r w:rsidR="001A5D3E">
        <w:rPr>
          <w:spacing w:val="-1"/>
        </w:rPr>
        <w:t>N</w:t>
      </w:r>
      <w:r w:rsidR="001A5D3E" w:rsidRPr="00E03803">
        <w:rPr>
          <w:spacing w:val="-1"/>
        </w:rPr>
        <w:t xml:space="preserve">o controls </w:t>
      </w:r>
      <w:r w:rsidR="001A5D3E">
        <w:rPr>
          <w:spacing w:val="-1"/>
        </w:rPr>
        <w:t>were applied to</w:t>
      </w:r>
      <w:r w:rsidR="001A5D3E" w:rsidRPr="00E03803">
        <w:rPr>
          <w:spacing w:val="-1"/>
        </w:rPr>
        <w:t xml:space="preserve"> interstate or principal arterial roadways</w:t>
      </w:r>
      <w:r w:rsidR="001A5D3E">
        <w:rPr>
          <w:spacing w:val="-1"/>
        </w:rPr>
        <w:t xml:space="preserve"> because these road surfaces typically do not have vacuum sweeping. </w:t>
      </w:r>
      <w:r>
        <w:t xml:space="preserve">In </w:t>
      </w:r>
      <w:r>
        <w:rPr>
          <w:spacing w:val="-1"/>
        </w:rPr>
        <w:t xml:space="preserve">the </w:t>
      </w:r>
      <w:r w:rsidR="00456183">
        <w:rPr>
          <w:spacing w:val="-1"/>
        </w:rPr>
        <w:t>CERS submission</w:t>
      </w:r>
      <w:r>
        <w:rPr>
          <w:spacing w:val="-1"/>
        </w:rPr>
        <w:t>, the emissions for all roadway classes were summed to the county level.</w:t>
      </w:r>
      <w:r w:rsidR="00D93EA5">
        <w:rPr>
          <w:spacing w:val="-1"/>
        </w:rPr>
        <w:t xml:space="preserve"> </w:t>
      </w:r>
      <w:r>
        <w:rPr>
          <w:spacing w:val="-1"/>
        </w:rPr>
        <w:t>Therefore, the emissions at the county level can represent several different control</w:t>
      </w:r>
      <w:r w:rsidR="00456183">
        <w:rPr>
          <w:spacing w:val="-1"/>
        </w:rPr>
        <w:t xml:space="preserve"> efficiency</w:t>
      </w:r>
      <w:r w:rsidR="00C331E2">
        <w:rPr>
          <w:spacing w:val="-1"/>
        </w:rPr>
        <w:t xml:space="preserve"> </w:t>
      </w:r>
      <w:r>
        <w:rPr>
          <w:spacing w:val="-1"/>
        </w:rPr>
        <w:t>and rule penetration levels.</w:t>
      </w:r>
      <w:r w:rsidR="00D93EA5">
        <w:rPr>
          <w:spacing w:val="-1"/>
        </w:rPr>
        <w:t xml:space="preserve"> </w:t>
      </w:r>
      <w:r w:rsidR="00AA1E6B">
        <w:t>The county/roadway class</w:t>
      </w:r>
      <w:r>
        <w:t xml:space="preserve"> </w:t>
      </w:r>
      <w:r w:rsidR="00D977D1">
        <w:t xml:space="preserve">control efficiency and </w:t>
      </w:r>
      <w:r w:rsidR="00AA1E6B">
        <w:t>rule penetration levels</w:t>
      </w:r>
      <w:r>
        <w:t xml:space="preserve"> </w:t>
      </w:r>
      <w:r w:rsidR="00AA1E6B">
        <w:t xml:space="preserve">are </w:t>
      </w:r>
      <w:r>
        <w:t xml:space="preserve">reported in the </w:t>
      </w:r>
      <w:r w:rsidR="00471D8B">
        <w:t xml:space="preserve">Controlled PM by </w:t>
      </w:r>
      <w:proofErr w:type="spellStart"/>
      <w:r w:rsidR="00471D8B">
        <w:t>County&amp;Type</w:t>
      </w:r>
      <w:proofErr w:type="spellEnd"/>
      <w:r w:rsidR="00471D8B">
        <w:t xml:space="preserve"> </w:t>
      </w:r>
      <w:r>
        <w:t>table</w:t>
      </w:r>
      <w:r w:rsidR="00C331E2">
        <w:t xml:space="preserve"> </w:t>
      </w:r>
      <w:r w:rsidR="00272CC5">
        <w:t>in the accompanying file “</w:t>
      </w:r>
      <w:r w:rsidR="00272CC5" w:rsidRPr="008C74C6">
        <w:t>Paved</w:t>
      </w:r>
      <w:r w:rsidR="00272CC5">
        <w:t>_</w:t>
      </w:r>
      <w:r w:rsidR="00272CC5" w:rsidRPr="008C74C6">
        <w:t>Roads</w:t>
      </w:r>
      <w:r w:rsidR="00272CC5">
        <w:t>_229400000_CAP_Emissions.xlsx.</w:t>
      </w:r>
      <w:proofErr w:type="gramStart"/>
      <w:r w:rsidR="00272CC5">
        <w:t xml:space="preserve">” </w:t>
      </w:r>
      <w:r>
        <w:t>.</w:t>
      </w:r>
      <w:proofErr w:type="gramEnd"/>
    </w:p>
    <w:p w:rsidR="000F5892" w:rsidRDefault="000F5892">
      <w:pPr>
        <w:shd w:val="clear" w:color="auto" w:fill="FFFFFF"/>
        <w:spacing w:before="202" w:after="1027" w:line="230" w:lineRule="exact"/>
        <w:sectPr w:rsidR="000F5892">
          <w:pgSz w:w="12240" w:h="15840"/>
          <w:pgMar w:top="912" w:right="1445" w:bottom="360" w:left="1440" w:header="720" w:footer="720" w:gutter="0"/>
          <w:cols w:space="60"/>
          <w:noEndnote/>
        </w:sectPr>
      </w:pPr>
    </w:p>
    <w:p w:rsidR="000F5892" w:rsidRDefault="000F5892">
      <w:pPr>
        <w:shd w:val="clear" w:color="auto" w:fill="FFFFFF"/>
        <w:spacing w:before="437"/>
        <w:ind w:left="874"/>
      </w:pPr>
      <w:proofErr w:type="gramStart"/>
      <w:r>
        <w:rPr>
          <w:b/>
          <w:bCs/>
          <w:spacing w:val="-1"/>
        </w:rPr>
        <w:lastRenderedPageBreak/>
        <w:t>Table 2.</w:t>
      </w:r>
      <w:proofErr w:type="gramEnd"/>
      <w:r>
        <w:rPr>
          <w:b/>
          <w:bCs/>
          <w:spacing w:val="-1"/>
        </w:rPr>
        <w:t xml:space="preserve"> </w:t>
      </w:r>
      <w:r w:rsidR="00881DD2">
        <w:rPr>
          <w:b/>
          <w:bCs/>
          <w:spacing w:val="-1"/>
        </w:rPr>
        <w:t>2008</w:t>
      </w:r>
      <w:r>
        <w:rPr>
          <w:b/>
          <w:bCs/>
          <w:spacing w:val="-1"/>
        </w:rPr>
        <w:t xml:space="preserve"> Silt Loadings by State and Roadway Class Modeled in Paved Road Emission Factor</w:t>
      </w:r>
    </w:p>
    <w:p w:rsidR="000F5892" w:rsidRDefault="000F5892">
      <w:pPr>
        <w:shd w:val="clear" w:color="auto" w:fill="FFFFFF"/>
        <w:ind w:left="4234"/>
      </w:pPr>
      <w:r>
        <w:rPr>
          <w:b/>
          <w:bCs/>
          <w:spacing w:val="-3"/>
        </w:rPr>
        <w:t>Calculations (g/m</w:t>
      </w:r>
      <w:r>
        <w:rPr>
          <w:b/>
          <w:bCs/>
          <w:spacing w:val="-3"/>
          <w:vertAlign w:val="superscript"/>
        </w:rPr>
        <w:t>2</w:t>
      </w:r>
      <w:r>
        <w:rPr>
          <w:b/>
          <w:bCs/>
          <w:spacing w:val="-3"/>
        </w:rPr>
        <w:t>)</w:t>
      </w:r>
    </w:p>
    <w:p w:rsidR="000F5892" w:rsidRDefault="000F5892">
      <w:pPr>
        <w:shd w:val="clear" w:color="auto" w:fill="FFFFFF"/>
        <w:ind w:left="4234"/>
      </w:pPr>
    </w:p>
    <w:p w:rsidR="00F55B53" w:rsidRDefault="00F55B53">
      <w:pPr>
        <w:shd w:val="clear" w:color="auto" w:fill="FFFFFF"/>
        <w:ind w:left="4234"/>
        <w:sectPr w:rsidR="00F55B53">
          <w:pgSz w:w="12240" w:h="15840"/>
          <w:pgMar w:top="912" w:right="1075" w:bottom="360" w:left="1075" w:header="720" w:footer="720" w:gutter="0"/>
          <w:cols w:space="60"/>
          <w:noEndnote/>
        </w:sectPr>
      </w:pPr>
    </w:p>
    <w:tbl>
      <w:tblPr>
        <w:tblW w:w="5000" w:type="pct"/>
        <w:tblLook w:val="04A0"/>
      </w:tblPr>
      <w:tblGrid>
        <w:gridCol w:w="1435"/>
        <w:gridCol w:w="739"/>
        <w:gridCol w:w="739"/>
        <w:gridCol w:w="739"/>
        <w:gridCol w:w="740"/>
        <w:gridCol w:w="740"/>
        <w:gridCol w:w="740"/>
        <w:gridCol w:w="740"/>
        <w:gridCol w:w="740"/>
        <w:gridCol w:w="740"/>
        <w:gridCol w:w="740"/>
        <w:gridCol w:w="740"/>
        <w:gridCol w:w="734"/>
      </w:tblGrid>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p>
        </w:tc>
        <w:tc>
          <w:tcPr>
            <w:tcW w:w="2284" w:type="pct"/>
            <w:gridSpan w:val="6"/>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660F0" w:rsidRPr="00B660F0" w:rsidRDefault="00B660F0" w:rsidP="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 xml:space="preserve">Rural </w:t>
            </w:r>
          </w:p>
        </w:tc>
        <w:tc>
          <w:tcPr>
            <w:tcW w:w="2284" w:type="pct"/>
            <w:gridSpan w:val="6"/>
            <w:tcBorders>
              <w:top w:val="single" w:sz="4" w:space="0" w:color="auto"/>
              <w:left w:val="nil"/>
              <w:bottom w:val="single" w:sz="4" w:space="0" w:color="auto"/>
              <w:right w:val="single" w:sz="4" w:space="0" w:color="auto"/>
            </w:tcBorders>
            <w:shd w:val="clear" w:color="000000" w:fill="BFBFBF"/>
            <w:noWrap/>
            <w:vAlign w:val="bottom"/>
            <w:hideMark/>
          </w:tcPr>
          <w:p w:rsidR="00B660F0" w:rsidRPr="00B660F0" w:rsidRDefault="00B660F0" w:rsidP="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 xml:space="preserve">Urban </w:t>
            </w:r>
          </w:p>
        </w:tc>
      </w:tr>
      <w:tr w:rsidR="00B660F0" w:rsidRPr="00B660F0" w:rsidTr="00C24847">
        <w:trPr>
          <w:cantSplit/>
          <w:trHeight w:val="1265"/>
        </w:trPr>
        <w:tc>
          <w:tcPr>
            <w:tcW w:w="431" w:type="pct"/>
            <w:tcBorders>
              <w:top w:val="single" w:sz="4" w:space="0" w:color="auto"/>
              <w:left w:val="single" w:sz="4" w:space="0" w:color="auto"/>
              <w:bottom w:val="single" w:sz="4" w:space="0" w:color="auto"/>
              <w:right w:val="single" w:sz="4" w:space="0" w:color="auto"/>
            </w:tcBorders>
            <w:shd w:val="clear" w:color="000000" w:fill="BFBFBF"/>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State</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Interstate</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Other Principal Arterial</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Minor Arterial</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Major Collector</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Minor Collector</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Local</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272CC5">
            <w:pPr>
              <w:widowControl/>
              <w:autoSpaceDE/>
              <w:autoSpaceDN/>
              <w:adjustRightInd/>
              <w:ind w:left="113" w:right="113"/>
              <w:rPr>
                <w:rFonts w:ascii="Arial" w:hAnsi="Arial" w:cs="Arial"/>
                <w:color w:val="000000"/>
                <w:sz w:val="16"/>
                <w:szCs w:val="16"/>
              </w:rPr>
            </w:pPr>
            <w:r>
              <w:rPr>
                <w:rFonts w:ascii="Arial" w:hAnsi="Arial" w:cs="Arial"/>
                <w:color w:val="000000"/>
                <w:sz w:val="16"/>
                <w:szCs w:val="16"/>
              </w:rPr>
              <w:t>Inter</w:t>
            </w:r>
            <w:r w:rsidRPr="00B660F0">
              <w:rPr>
                <w:rFonts w:ascii="Arial" w:hAnsi="Arial" w:cs="Arial"/>
                <w:color w:val="000000"/>
                <w:sz w:val="16"/>
                <w:szCs w:val="16"/>
              </w:rPr>
              <w:t>state</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Other Freeways and Expressways</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Other Principal Arterial</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Minor Arterial</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Collectors</w:t>
            </w:r>
          </w:p>
        </w:tc>
        <w:tc>
          <w:tcPr>
            <w:tcW w:w="381" w:type="pct"/>
            <w:tcBorders>
              <w:top w:val="nil"/>
              <w:left w:val="nil"/>
              <w:bottom w:val="single" w:sz="4" w:space="0" w:color="auto"/>
              <w:right w:val="single" w:sz="4" w:space="0" w:color="auto"/>
            </w:tcBorders>
            <w:shd w:val="clear" w:color="000000" w:fill="BFBFBF"/>
            <w:textDirection w:val="btLr"/>
            <w:vAlign w:val="center"/>
            <w:hideMark/>
          </w:tcPr>
          <w:p w:rsidR="009D595A" w:rsidRDefault="00B660F0">
            <w:pPr>
              <w:widowControl/>
              <w:autoSpaceDE/>
              <w:autoSpaceDN/>
              <w:adjustRightInd/>
              <w:ind w:left="113" w:right="113"/>
              <w:rPr>
                <w:rFonts w:ascii="Arial" w:hAnsi="Arial" w:cs="Arial"/>
                <w:color w:val="000000"/>
                <w:sz w:val="16"/>
                <w:szCs w:val="16"/>
              </w:rPr>
            </w:pPr>
            <w:r w:rsidRPr="00B660F0">
              <w:rPr>
                <w:rFonts w:ascii="Arial" w:hAnsi="Arial" w:cs="Arial"/>
                <w:color w:val="000000"/>
                <w:sz w:val="16"/>
                <w:szCs w:val="16"/>
              </w:rPr>
              <w:t>Local</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Alabama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Alaska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Arizona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Arkansas</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California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Colorado</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C24847">
        <w:trPr>
          <w:trHeight w:val="96"/>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Connecticut</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Delaware</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Dist. of Columbia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Florida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Georgia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Hawaii</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Idaho</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Illinois</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Indiana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Iowa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Kansas</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Kentucky</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Louisiana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Maine</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Maryland</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Massachusetts</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Michigan</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Minnesota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Mississippi</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Missouri</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Montana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Nebraska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Nevada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New Hampshire</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New Jersey</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New Mexico</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New York</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North Carolina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North Dakota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Ohio</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 xml:space="preserve">Oklahoma </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Oregon</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Pennsylvania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Rhode Island</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South Carolina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South Dakota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Tennessee</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Texas</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Utah</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Vermont</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Virginia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Washington</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B660F0">
        <w:trPr>
          <w:trHeight w:val="20"/>
        </w:trPr>
        <w:tc>
          <w:tcPr>
            <w:tcW w:w="431" w:type="pct"/>
            <w:tcBorders>
              <w:top w:val="nil"/>
              <w:left w:val="nil"/>
              <w:bottom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West Virginia</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r>
      <w:tr w:rsidR="00B660F0" w:rsidRPr="00B660F0" w:rsidTr="00A32839">
        <w:trPr>
          <w:trHeight w:val="20"/>
        </w:trPr>
        <w:tc>
          <w:tcPr>
            <w:tcW w:w="431" w:type="pct"/>
            <w:tcBorders>
              <w:top w:val="nil"/>
              <w:left w:val="nil"/>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Wisconsin</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0.03</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r w:rsidR="00B660F0" w:rsidRPr="00B660F0" w:rsidTr="00A32839">
        <w:trPr>
          <w:trHeight w:val="20"/>
        </w:trPr>
        <w:tc>
          <w:tcPr>
            <w:tcW w:w="431" w:type="pct"/>
            <w:tcBorders>
              <w:top w:val="nil"/>
              <w:left w:val="nil"/>
              <w:bottom w:val="single" w:sz="4" w:space="0" w:color="auto"/>
              <w:right w:val="nil"/>
            </w:tcBorders>
            <w:shd w:val="clear" w:color="auto" w:fill="auto"/>
            <w:noWrap/>
            <w:vAlign w:val="bottom"/>
            <w:hideMark/>
          </w:tcPr>
          <w:p w:rsidR="00B660F0" w:rsidRPr="00B660F0" w:rsidRDefault="00B660F0" w:rsidP="00B660F0">
            <w:pPr>
              <w:widowControl/>
              <w:autoSpaceDE/>
              <w:autoSpaceDN/>
              <w:adjustRightInd/>
              <w:rPr>
                <w:rFonts w:ascii="Arial" w:hAnsi="Arial" w:cs="Arial"/>
                <w:color w:val="000000"/>
                <w:sz w:val="16"/>
                <w:szCs w:val="16"/>
              </w:rPr>
            </w:pPr>
            <w:r w:rsidRPr="00B660F0">
              <w:rPr>
                <w:rFonts w:ascii="Arial" w:hAnsi="Arial" w:cs="Arial"/>
                <w:color w:val="000000"/>
                <w:sz w:val="16"/>
                <w:szCs w:val="16"/>
              </w:rPr>
              <w:t>Wyoming</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0.6</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0.015</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0.06</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c>
          <w:tcPr>
            <w:tcW w:w="381" w:type="pct"/>
            <w:tcBorders>
              <w:top w:val="nil"/>
              <w:left w:val="nil"/>
              <w:bottom w:val="single" w:sz="4" w:space="0" w:color="auto"/>
              <w:right w:val="nil"/>
            </w:tcBorders>
            <w:shd w:val="clear" w:color="auto" w:fill="auto"/>
            <w:noWrap/>
            <w:vAlign w:val="bottom"/>
            <w:hideMark/>
          </w:tcPr>
          <w:p w:rsidR="009D595A" w:rsidRDefault="00B660F0">
            <w:pPr>
              <w:widowControl/>
              <w:autoSpaceDE/>
              <w:autoSpaceDN/>
              <w:adjustRightInd/>
              <w:jc w:val="center"/>
              <w:rPr>
                <w:rFonts w:ascii="Arial" w:hAnsi="Arial" w:cs="Arial"/>
                <w:color w:val="000000"/>
                <w:sz w:val="16"/>
                <w:szCs w:val="16"/>
              </w:rPr>
            </w:pPr>
            <w:r w:rsidRPr="00B660F0">
              <w:rPr>
                <w:rFonts w:ascii="Arial" w:hAnsi="Arial" w:cs="Arial"/>
                <w:color w:val="000000"/>
                <w:sz w:val="16"/>
                <w:szCs w:val="16"/>
              </w:rPr>
              <w:t>0.2</w:t>
            </w:r>
          </w:p>
        </w:tc>
      </w:tr>
    </w:tbl>
    <w:p w:rsidR="000F5892" w:rsidRDefault="000F5892">
      <w:pPr>
        <w:sectPr w:rsidR="000F5892">
          <w:type w:val="continuous"/>
          <w:pgSz w:w="12240" w:h="15840"/>
          <w:pgMar w:top="912" w:right="1075" w:bottom="360" w:left="1075" w:header="720" w:footer="720" w:gutter="0"/>
          <w:cols w:space="60"/>
          <w:noEndnote/>
        </w:sectPr>
      </w:pPr>
    </w:p>
    <w:p w:rsidR="005F4213" w:rsidRPr="005F4213" w:rsidRDefault="005F4213" w:rsidP="005F4213">
      <w:pPr>
        <w:jc w:val="center"/>
        <w:rPr>
          <w:b/>
          <w:szCs w:val="24"/>
        </w:rPr>
      </w:pPr>
      <w:proofErr w:type="gramStart"/>
      <w:r w:rsidRPr="005F4213">
        <w:rPr>
          <w:b/>
          <w:szCs w:val="24"/>
        </w:rPr>
        <w:lastRenderedPageBreak/>
        <w:t>Table 3.</w:t>
      </w:r>
      <w:proofErr w:type="gramEnd"/>
      <w:r w:rsidRPr="005F4213">
        <w:rPr>
          <w:b/>
          <w:szCs w:val="24"/>
        </w:rPr>
        <w:t xml:space="preserve"> Average Vehicle Weights by MOBILE6 Vehicle Class</w:t>
      </w:r>
    </w:p>
    <w:tbl>
      <w:tblPr>
        <w:tblW w:w="9659" w:type="dxa"/>
        <w:tblInd w:w="93" w:type="dxa"/>
        <w:tblLook w:val="04A0"/>
      </w:tblPr>
      <w:tblGrid>
        <w:gridCol w:w="1319"/>
        <w:gridCol w:w="6960"/>
        <w:gridCol w:w="1380"/>
      </w:tblGrid>
      <w:tr w:rsidR="005F4213" w:rsidRPr="005F4213" w:rsidTr="005F4213">
        <w:trPr>
          <w:trHeight w:val="144"/>
        </w:trPr>
        <w:tc>
          <w:tcPr>
            <w:tcW w:w="1319"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b/>
                <w:color w:val="000000"/>
                <w:sz w:val="16"/>
                <w:szCs w:val="16"/>
              </w:rPr>
            </w:pPr>
            <w:r w:rsidRPr="005F4213">
              <w:rPr>
                <w:rFonts w:ascii="Arial" w:hAnsi="Arial" w:cs="Arial"/>
                <w:b/>
                <w:color w:val="000000"/>
                <w:sz w:val="16"/>
                <w:szCs w:val="16"/>
              </w:rPr>
              <w:t>Vehicle Class Abbreviation</w:t>
            </w:r>
          </w:p>
        </w:tc>
        <w:tc>
          <w:tcPr>
            <w:tcW w:w="6960"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b/>
                <w:color w:val="000000"/>
                <w:sz w:val="16"/>
                <w:szCs w:val="16"/>
              </w:rPr>
            </w:pPr>
            <w:r w:rsidRPr="005F4213">
              <w:rPr>
                <w:rFonts w:ascii="Arial" w:hAnsi="Arial" w:cs="Arial"/>
                <w:b/>
                <w:color w:val="000000"/>
                <w:sz w:val="16"/>
                <w:szCs w:val="16"/>
              </w:rPr>
              <w:t>Vehicle Class Description</w:t>
            </w:r>
          </w:p>
        </w:tc>
        <w:tc>
          <w:tcPr>
            <w:tcW w:w="1380"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jc w:val="right"/>
              <w:rPr>
                <w:rFonts w:ascii="Arial" w:hAnsi="Arial" w:cs="Arial"/>
                <w:b/>
                <w:color w:val="000000"/>
                <w:sz w:val="16"/>
                <w:szCs w:val="16"/>
              </w:rPr>
            </w:pPr>
            <w:r w:rsidRPr="005F4213">
              <w:rPr>
                <w:rFonts w:ascii="Arial" w:hAnsi="Arial" w:cs="Arial"/>
                <w:b/>
                <w:color w:val="000000"/>
                <w:sz w:val="16"/>
                <w:szCs w:val="16"/>
              </w:rPr>
              <w:t>Vehicle Weight Estimate (lbs)</w:t>
            </w:r>
          </w:p>
        </w:tc>
      </w:tr>
      <w:tr w:rsidR="005F4213" w:rsidRPr="005F4213" w:rsidTr="005F4213">
        <w:trPr>
          <w:trHeight w:val="144"/>
        </w:trPr>
        <w:tc>
          <w:tcPr>
            <w:tcW w:w="1319" w:type="dxa"/>
            <w:tcBorders>
              <w:top w:val="single" w:sz="4" w:space="0" w:color="auto"/>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LDGV</w:t>
            </w:r>
          </w:p>
        </w:tc>
        <w:tc>
          <w:tcPr>
            <w:tcW w:w="6960" w:type="dxa"/>
            <w:tcBorders>
              <w:top w:val="single" w:sz="4" w:space="0" w:color="auto"/>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Vehicles (Passenger Cars)</w:t>
            </w:r>
          </w:p>
        </w:tc>
        <w:tc>
          <w:tcPr>
            <w:tcW w:w="1380" w:type="dxa"/>
            <w:tcBorders>
              <w:top w:val="single" w:sz="4" w:space="0" w:color="auto"/>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3,369</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LDGT1</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1 (0-6,000 lbs. GVWR, 0-3750 lbs. 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LDGT2</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2 (0-6,000 lbs. GVWR, 3751-5750 lbs. 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3 (6,001-8,500 lbs. GVWR, 0-5750 lbs. ALVW)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4 (6,001-8,500 lbs. GVWR, 5751 lbs. and greater ALVW)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HDGV2B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2b Heavy-Duty Gasoline Vehicles (8501-10,000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9,250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3 Heavy-Duty Gasoline Vehicles (10,001-14,000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12,000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4 Heavy-Duty Gasoline Vehicles (14,001-16,000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15,000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HDGV5</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5 Heavy-Duty Gasoline Vehicles (16,001-19,500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17,750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HDGV6</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6 Heavy-Duty Gasoline Vehicles (19,501-26,000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22,750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HDGV7</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7 Heavy-Duty Gasoline Vehicles (26,001-33,000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29,500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HDGV8A</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8a Heavy-Duty Gasoline Vehicles (33,001-60,000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48,000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HDGV8B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8b Heavy-Duty Gasoline Vehicles (&gt;60,000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71,900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LDDV</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Vehicles (Passenger Cars)</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3,369</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LDDT12</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Trucks 1 and 2 (0-6,000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HDDV2B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2b Heavy-Duty Diesel Vehicles (8501-10,000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9,250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3 Heavy-Duty Diesel Vehicles (10,001-14,000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12,000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4 Heavy-Duty Diesel Vehicles (14,001-16,000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15,000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HDDV5</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5 Heavy-Duty Diesel Vehicles (16,001-19,500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17,750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HDDV6</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6 Heavy-Duty Diesel Vehicles (19,501-26,000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22,750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HDDV7</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7 Heavy-Duty Diesel Vehicles (26,001-33,000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29,500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HDDV8A</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8a Heavy-Duty Diesel Vehicles (33,001-60,000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48,000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HDDV8B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8b Heavy-Duty Diesel Vehicles (&gt;60,000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71,900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MC</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Motorcycles (Gasoline)</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Gasoline Buses (School, Transit and Urban)</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32,500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HDDBT</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Diesel Transit and Urban Buses</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32,500</w:t>
            </w:r>
          </w:p>
        </w:tc>
      </w:tr>
      <w:tr w:rsidR="005F4213" w:rsidRPr="005F4213" w:rsidTr="005F4213">
        <w:trPr>
          <w:trHeight w:val="144"/>
        </w:trPr>
        <w:tc>
          <w:tcPr>
            <w:tcW w:w="1319" w:type="dxa"/>
            <w:tcBorders>
              <w:top w:val="nil"/>
              <w:left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HDDBS</w:t>
            </w:r>
          </w:p>
        </w:tc>
        <w:tc>
          <w:tcPr>
            <w:tcW w:w="6960" w:type="dxa"/>
            <w:tcBorders>
              <w:top w:val="nil"/>
              <w:left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Diesel School Buses</w:t>
            </w:r>
          </w:p>
        </w:tc>
        <w:tc>
          <w:tcPr>
            <w:tcW w:w="1380" w:type="dxa"/>
            <w:tcBorders>
              <w:top w:val="nil"/>
              <w:left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25,000</w:t>
            </w:r>
          </w:p>
        </w:tc>
      </w:tr>
      <w:tr w:rsidR="005F4213" w:rsidRPr="005F4213" w:rsidTr="005F4213">
        <w:trPr>
          <w:trHeight w:val="144"/>
        </w:trPr>
        <w:tc>
          <w:tcPr>
            <w:tcW w:w="1319" w:type="dxa"/>
            <w:tcBorders>
              <w:top w:val="nil"/>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LDDT34</w:t>
            </w:r>
          </w:p>
        </w:tc>
        <w:tc>
          <w:tcPr>
            <w:tcW w:w="6960" w:type="dxa"/>
            <w:tcBorders>
              <w:top w:val="nil"/>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Trucks 3 and 4 (6,001-8,500 lbs. GVWR)</w:t>
            </w:r>
          </w:p>
        </w:tc>
        <w:tc>
          <w:tcPr>
            <w:tcW w:w="1380" w:type="dxa"/>
            <w:tcBorders>
              <w:top w:val="nil"/>
              <w:left w:val="nil"/>
              <w:bottom w:val="single" w:sz="4" w:space="0" w:color="auto"/>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bl>
    <w:p w:rsidR="005F4213" w:rsidRDefault="005F4213">
      <w:pPr>
        <w:shd w:val="clear" w:color="auto" w:fill="FFFFFF"/>
        <w:spacing w:before="202"/>
        <w:ind w:left="5"/>
        <w:jc w:val="center"/>
        <w:rPr>
          <w:b/>
          <w:bCs/>
        </w:rPr>
      </w:pPr>
    </w:p>
    <w:p w:rsidR="000F5892" w:rsidRDefault="000F5892">
      <w:pPr>
        <w:shd w:val="clear" w:color="auto" w:fill="FFFFFF"/>
        <w:spacing w:before="202"/>
        <w:ind w:left="5"/>
        <w:jc w:val="center"/>
      </w:pPr>
      <w:proofErr w:type="gramStart"/>
      <w:r>
        <w:rPr>
          <w:b/>
          <w:bCs/>
        </w:rPr>
        <w:t xml:space="preserve">Table </w:t>
      </w:r>
      <w:r w:rsidR="005F4213">
        <w:rPr>
          <w:b/>
          <w:bCs/>
        </w:rPr>
        <w:t>4</w:t>
      </w:r>
      <w:r>
        <w:rPr>
          <w:b/>
          <w:bCs/>
        </w:rPr>
        <w:t>.</w:t>
      </w:r>
      <w:proofErr w:type="gramEnd"/>
      <w:r>
        <w:rPr>
          <w:b/>
          <w:bCs/>
        </w:rPr>
        <w:t xml:space="preserve"> Penetration Rate of Paved Road Vacuum Sweeping</w:t>
      </w:r>
    </w:p>
    <w:p w:rsidR="000F5892" w:rsidRDefault="000F5892">
      <w:pPr>
        <w:spacing w:after="211" w:line="1" w:lineRule="exact"/>
        <w:rPr>
          <w:sz w:val="2"/>
          <w:szCs w:val="2"/>
        </w:rPr>
      </w:pPr>
    </w:p>
    <w:tbl>
      <w:tblPr>
        <w:tblW w:w="0" w:type="auto"/>
        <w:jc w:val="center"/>
        <w:tblInd w:w="40" w:type="dxa"/>
        <w:tblLayout w:type="fixed"/>
        <w:tblCellMar>
          <w:left w:w="40" w:type="dxa"/>
          <w:right w:w="40" w:type="dxa"/>
        </w:tblCellMar>
        <w:tblLook w:val="0000"/>
      </w:tblPr>
      <w:tblGrid>
        <w:gridCol w:w="1277"/>
        <w:gridCol w:w="2923"/>
        <w:gridCol w:w="1954"/>
      </w:tblGrid>
      <w:tr w:rsidR="000F5892" w:rsidRPr="00881DD2" w:rsidTr="005F4213">
        <w:trPr>
          <w:trHeight w:val="144"/>
          <w:jc w:val="center"/>
        </w:trPr>
        <w:tc>
          <w:tcPr>
            <w:tcW w:w="1277"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pPr>
            <w:r w:rsidRPr="00881DD2">
              <w:rPr>
                <w:rFonts w:ascii="Arial" w:hAnsi="Arial" w:cs="Arial"/>
                <w:b/>
                <w:bCs/>
                <w:sz w:val="16"/>
                <w:szCs w:val="16"/>
              </w:rPr>
              <w:t>PM</w:t>
            </w:r>
            <w:r w:rsidRPr="00881DD2">
              <w:rPr>
                <w:rFonts w:ascii="Arial" w:hAnsi="Arial" w:cs="Arial"/>
                <w:b/>
                <w:bCs/>
                <w:sz w:val="16"/>
                <w:szCs w:val="16"/>
                <w:vertAlign w:val="subscript"/>
              </w:rPr>
              <w:t>10</w:t>
            </w:r>
          </w:p>
          <w:p w:rsidR="000F5892" w:rsidRPr="00881DD2" w:rsidRDefault="000F5892">
            <w:pPr>
              <w:shd w:val="clear" w:color="auto" w:fill="FFFFFF"/>
              <w:spacing w:line="192" w:lineRule="exact"/>
              <w:ind w:right="19"/>
            </w:pPr>
            <w:r w:rsidRPr="00881DD2">
              <w:rPr>
                <w:rFonts w:ascii="Arial" w:hAnsi="Arial" w:cs="Arial"/>
                <w:b/>
                <w:bCs/>
                <w:spacing w:val="-1"/>
                <w:sz w:val="16"/>
                <w:szCs w:val="16"/>
              </w:rPr>
              <w:t xml:space="preserve">Nonattainment </w:t>
            </w:r>
            <w:r w:rsidRPr="00881DD2">
              <w:rPr>
                <w:rFonts w:ascii="Arial" w:hAnsi="Arial" w:cs="Arial"/>
                <w:b/>
                <w:bCs/>
                <w:sz w:val="16"/>
                <w:szCs w:val="16"/>
              </w:rPr>
              <w:t>Status</w:t>
            </w:r>
          </w:p>
        </w:tc>
        <w:tc>
          <w:tcPr>
            <w:tcW w:w="2923"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ind w:left="110"/>
            </w:pPr>
            <w:r w:rsidRPr="00881DD2">
              <w:rPr>
                <w:rFonts w:ascii="Arial" w:hAnsi="Arial" w:cs="Arial"/>
                <w:b/>
                <w:bCs/>
                <w:sz w:val="16"/>
                <w:szCs w:val="16"/>
              </w:rPr>
              <w:t>Roadway Class</w:t>
            </w:r>
          </w:p>
        </w:tc>
        <w:tc>
          <w:tcPr>
            <w:tcW w:w="1954"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spacing w:line="192" w:lineRule="exact"/>
              <w:ind w:left="408"/>
            </w:pPr>
            <w:r w:rsidRPr="00881DD2">
              <w:rPr>
                <w:rFonts w:ascii="Arial" w:hAnsi="Arial" w:cs="Arial"/>
                <w:b/>
                <w:bCs/>
                <w:spacing w:val="-1"/>
                <w:sz w:val="16"/>
                <w:szCs w:val="16"/>
              </w:rPr>
              <w:t>Vacuum Sweeping Penetration Rate</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pacing w:val="-2"/>
                <w:sz w:val="16"/>
                <w:szCs w:val="16"/>
              </w:rPr>
              <w:t>Urban Freeway &amp; Expressway</w:t>
            </w:r>
          </w:p>
        </w:tc>
        <w:tc>
          <w:tcPr>
            <w:tcW w:w="1954" w:type="dxa"/>
            <w:tcBorders>
              <w:top w:val="nil"/>
              <w:left w:val="nil"/>
              <w:bottom w:val="nil"/>
              <w:right w:val="nil"/>
            </w:tcBorders>
            <w:shd w:val="clear" w:color="auto" w:fill="FFFFFF"/>
          </w:tcPr>
          <w:p w:rsidR="000F5892" w:rsidRPr="00881DD2" w:rsidRDefault="000F5892">
            <w:pPr>
              <w:shd w:val="clear" w:color="auto" w:fill="FFFFFF"/>
              <w:ind w:left="960"/>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0.64</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Local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0.88</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0.71</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Major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0.83</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Rural Minor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0.59</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Local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0.35</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pacing w:val="-1"/>
                <w:sz w:val="16"/>
                <w:szCs w:val="16"/>
              </w:rPr>
              <w:t>Urban Freeway &amp; Expressway</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0.64</w:t>
            </w:r>
          </w:p>
        </w:tc>
      </w:tr>
      <w:tr w:rsidR="000F5892" w:rsidRPr="00881DD2" w:rsidTr="005F4213">
        <w:trPr>
          <w:trHeight w:val="144"/>
          <w:jc w:val="center"/>
        </w:trPr>
        <w:tc>
          <w:tcPr>
            <w:tcW w:w="1277" w:type="dxa"/>
            <w:tcBorders>
              <w:top w:val="nil"/>
              <w:left w:val="nil"/>
              <w:bottom w:val="single" w:sz="6" w:space="0" w:color="auto"/>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single" w:sz="6" w:space="0" w:color="auto"/>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Local</w:t>
            </w:r>
          </w:p>
        </w:tc>
        <w:tc>
          <w:tcPr>
            <w:tcW w:w="1954" w:type="dxa"/>
            <w:tcBorders>
              <w:top w:val="nil"/>
              <w:left w:val="nil"/>
              <w:bottom w:val="single" w:sz="6" w:space="0" w:color="auto"/>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0.88</w:t>
            </w:r>
          </w:p>
        </w:tc>
      </w:tr>
    </w:tbl>
    <w:p w:rsidR="000F5892" w:rsidRPr="004C68A6" w:rsidRDefault="004C68A6">
      <w:pPr>
        <w:shd w:val="clear" w:color="auto" w:fill="FFFFFF"/>
        <w:spacing w:before="701"/>
        <w:rPr>
          <w:b/>
          <w:i/>
        </w:rPr>
      </w:pPr>
      <w:r w:rsidRPr="004C68A6">
        <w:rPr>
          <w:b/>
          <w:i/>
          <w:spacing w:val="-1"/>
        </w:rPr>
        <w:t xml:space="preserve">f. </w:t>
      </w:r>
      <w:r w:rsidR="000F5892" w:rsidRPr="004C68A6">
        <w:rPr>
          <w:b/>
          <w:i/>
          <w:spacing w:val="-1"/>
        </w:rPr>
        <w:t>References</w:t>
      </w:r>
    </w:p>
    <w:p w:rsidR="000F5892" w:rsidRDefault="000F5892" w:rsidP="00B53F02">
      <w:pPr>
        <w:numPr>
          <w:ilvl w:val="0"/>
          <w:numId w:val="1"/>
        </w:numPr>
        <w:shd w:val="clear" w:color="auto" w:fill="FFFFFF"/>
        <w:tabs>
          <w:tab w:val="left" w:pos="576"/>
        </w:tabs>
        <w:spacing w:before="202" w:line="230" w:lineRule="exact"/>
        <w:ind w:left="576" w:hanging="576"/>
        <w:rPr>
          <w:spacing w:val="-4"/>
        </w:rPr>
      </w:pPr>
      <w:smartTag w:uri="urn:schemas-microsoft-com:office:smarttags" w:element="country-region">
        <w:smartTag w:uri="urn:schemas-microsoft-com:office:smarttags" w:element="place">
          <w:r>
            <w:t>United States</w:t>
          </w:r>
        </w:smartTag>
      </w:smartTag>
      <w:r>
        <w:t xml:space="preserve"> Environmental Protection Agency, Office of Air Quality Planning and Standards. </w:t>
      </w:r>
      <w:r>
        <w:rPr>
          <w:spacing w:val="-1"/>
        </w:rPr>
        <w:t xml:space="preserve">“Compilation of Air Pollutant Emission Factors, AP-42, Fifth Edition, Volume I: Stationary Point and Area </w:t>
      </w:r>
      <w:r>
        <w:t xml:space="preserve">Sources, Section 13.2.1, Paved Roads.” Research Triangle Park, NC. </w:t>
      </w:r>
      <w:r w:rsidR="00D93EA5">
        <w:t xml:space="preserve">January </w:t>
      </w:r>
      <w:r>
        <w:t>20</w:t>
      </w:r>
      <w:r w:rsidR="00D93EA5">
        <w:t>11</w:t>
      </w:r>
      <w:r>
        <w:t>.</w:t>
      </w:r>
    </w:p>
    <w:p w:rsidR="000F5892" w:rsidRPr="00E03803" w:rsidRDefault="000F5892" w:rsidP="00881DD2">
      <w:pPr>
        <w:numPr>
          <w:ilvl w:val="0"/>
          <w:numId w:val="1"/>
        </w:numPr>
        <w:shd w:val="clear" w:color="auto" w:fill="FFFFFF"/>
        <w:tabs>
          <w:tab w:val="left" w:pos="576"/>
        </w:tabs>
        <w:spacing w:before="202" w:line="230" w:lineRule="exact"/>
        <w:ind w:left="576" w:hanging="576"/>
        <w:rPr>
          <w:spacing w:val="-4"/>
        </w:rPr>
      </w:pPr>
      <w:r w:rsidRPr="00E03803">
        <w:rPr>
          <w:spacing w:val="-1"/>
        </w:rPr>
        <w:t xml:space="preserve">U.S. Department of Transportation, Federal Highway Administration. </w:t>
      </w:r>
      <w:r w:rsidRPr="00C24847">
        <w:rPr>
          <w:i/>
          <w:iCs/>
          <w:spacing w:val="-1"/>
        </w:rPr>
        <w:t xml:space="preserve">Highway Statistics </w:t>
      </w:r>
      <w:r w:rsidR="00C24847" w:rsidRPr="00C24847">
        <w:rPr>
          <w:i/>
          <w:iCs/>
          <w:spacing w:val="-1"/>
        </w:rPr>
        <w:t>200</w:t>
      </w:r>
      <w:r w:rsidR="00C24847">
        <w:rPr>
          <w:i/>
          <w:iCs/>
          <w:spacing w:val="-1"/>
        </w:rPr>
        <w:t>8</w:t>
      </w:r>
      <w:r w:rsidRPr="00E03803">
        <w:rPr>
          <w:i/>
          <w:iCs/>
          <w:spacing w:val="-1"/>
        </w:rPr>
        <w:t xml:space="preserve">. </w:t>
      </w:r>
      <w:r w:rsidRPr="00E03803">
        <w:rPr>
          <w:spacing w:val="-1"/>
        </w:rPr>
        <w:t xml:space="preserve">Office of </w:t>
      </w:r>
      <w:r>
        <w:t>Highway Policy Information. Washington, DC. 20</w:t>
      </w:r>
      <w:r w:rsidR="00E03803">
        <w:t>11</w:t>
      </w:r>
      <w:r>
        <w:t xml:space="preserve">. Available at </w:t>
      </w:r>
      <w:hyperlink r:id="rId7" w:history="1">
        <w:r w:rsidR="00E03803" w:rsidRPr="009335FB">
          <w:rPr>
            <w:rStyle w:val="Hyperlink"/>
          </w:rPr>
          <w:t>http://www.fhwa.dot.gov/policyinformation/statistics/2008/</w:t>
        </w:r>
      </w:hyperlink>
      <w:r>
        <w:t>.</w:t>
      </w:r>
    </w:p>
    <w:p w:rsidR="000F5892" w:rsidRDefault="000F5892" w:rsidP="00B53F02">
      <w:pPr>
        <w:numPr>
          <w:ilvl w:val="0"/>
          <w:numId w:val="1"/>
        </w:numPr>
        <w:shd w:val="clear" w:color="auto" w:fill="FFFFFF"/>
        <w:tabs>
          <w:tab w:val="left" w:pos="576"/>
        </w:tabs>
        <w:spacing w:before="202" w:line="230" w:lineRule="exact"/>
        <w:ind w:left="576" w:hanging="576"/>
        <w:rPr>
          <w:spacing w:val="-4"/>
        </w:rPr>
      </w:pPr>
      <w:r>
        <w:rPr>
          <w:spacing w:val="-1"/>
        </w:rPr>
        <w:t xml:space="preserve">U.S. Department of Commerce, National Oceanic and Atmospheric Administration. Summary of the Day </w:t>
      </w:r>
      <w:r>
        <w:t>Element TD-3200, 200</w:t>
      </w:r>
      <w:r w:rsidR="00881DD2">
        <w:t>8</w:t>
      </w:r>
      <w:r>
        <w:t xml:space="preserve"> data provided </w:t>
      </w:r>
      <w:r w:rsidR="00881DD2">
        <w:t>via FTP</w:t>
      </w:r>
      <w:r>
        <w:t>. National Climatic Data Center.</w:t>
      </w:r>
      <w:r w:rsidR="00D93EA5">
        <w:t xml:space="preserve"> </w:t>
      </w:r>
      <w:r>
        <w:t>200</w:t>
      </w:r>
      <w:r w:rsidR="00881DD2">
        <w:t>9</w:t>
      </w:r>
      <w:r>
        <w:t>.</w:t>
      </w:r>
    </w:p>
    <w:p w:rsidR="000F5892" w:rsidRDefault="000F5892" w:rsidP="00B53F02">
      <w:pPr>
        <w:numPr>
          <w:ilvl w:val="0"/>
          <w:numId w:val="1"/>
        </w:numPr>
        <w:shd w:val="clear" w:color="auto" w:fill="FFFFFF"/>
        <w:tabs>
          <w:tab w:val="left" w:pos="576"/>
        </w:tabs>
        <w:spacing w:before="202" w:line="230" w:lineRule="exact"/>
        <w:ind w:left="576" w:hanging="576"/>
        <w:rPr>
          <w:spacing w:val="-4"/>
        </w:rPr>
      </w:pPr>
      <w:r>
        <w:rPr>
          <w:spacing w:val="-1"/>
        </w:rPr>
        <w:t xml:space="preserve">E.H. Pechan &amp; Associates, Inc. “Documentation for the </w:t>
      </w:r>
      <w:proofErr w:type="spellStart"/>
      <w:r>
        <w:rPr>
          <w:spacing w:val="-1"/>
        </w:rPr>
        <w:t>Onroad</w:t>
      </w:r>
      <w:proofErr w:type="spellEnd"/>
      <w:r>
        <w:rPr>
          <w:spacing w:val="-1"/>
        </w:rPr>
        <w:t xml:space="preserve"> National Emission Inventory (NEI) for Base </w:t>
      </w:r>
      <w:r>
        <w:t>Years 1970 - 2002,” report prepared for U.S. Environmental Protection Agency, Office of Air Quality Planning and Standards, Research Triangle Park, NC. January 2004.</w:t>
      </w:r>
    </w:p>
    <w:p w:rsidR="007404B1" w:rsidRDefault="000F5892" w:rsidP="007404B1">
      <w:pPr>
        <w:numPr>
          <w:ilvl w:val="0"/>
          <w:numId w:val="1"/>
        </w:numPr>
        <w:shd w:val="clear" w:color="auto" w:fill="FFFFFF"/>
        <w:tabs>
          <w:tab w:val="left" w:pos="576"/>
        </w:tabs>
        <w:spacing w:before="202" w:after="100" w:afterAutospacing="1" w:line="230" w:lineRule="exact"/>
        <w:ind w:left="576" w:hanging="576"/>
      </w:pPr>
      <w:r>
        <w:t xml:space="preserve">E.H. Pechan &amp; Associates, Inc. “Phase II Regional Particulate Strategies; Task 4: Particulate Control </w:t>
      </w:r>
      <w:r w:rsidRPr="007404B1">
        <w:rPr>
          <w:spacing w:val="-1"/>
        </w:rPr>
        <w:lastRenderedPageBreak/>
        <w:t xml:space="preserve">Technology Characterization,” draft report prepared for U.S. Environmental Protection Agency, Office of </w:t>
      </w:r>
      <w:r>
        <w:t>Policy, Planning and Evaluation. Washington, DC. June 1995.</w:t>
      </w:r>
    </w:p>
    <w:p w:rsidR="00B53F02" w:rsidRDefault="007404B1" w:rsidP="00A83FA2">
      <w:pPr>
        <w:numPr>
          <w:ilvl w:val="0"/>
          <w:numId w:val="1"/>
        </w:numPr>
        <w:shd w:val="clear" w:color="auto" w:fill="FFFFFF"/>
        <w:tabs>
          <w:tab w:val="left" w:pos="576"/>
        </w:tabs>
        <w:spacing w:before="202" w:after="1128" w:line="230" w:lineRule="exact"/>
        <w:ind w:left="576" w:hanging="576"/>
      </w:pPr>
      <w:r>
        <w:t xml:space="preserve"> </w:t>
      </w:r>
      <w:r w:rsidR="000F5892">
        <w:t>EPA, 2006. Western Governors'</w:t>
      </w:r>
      <w:r w:rsidR="00672D2A">
        <w:t xml:space="preserve"> </w:t>
      </w:r>
      <w:r w:rsidR="000F5892">
        <w:t xml:space="preserve">Association. 2006. Background Document for Revisions to Fine Fraction </w:t>
      </w:r>
      <w:r w:rsidR="000F5892" w:rsidRPr="00A83FA2">
        <w:rPr>
          <w:spacing w:val="-1"/>
        </w:rPr>
        <w:t xml:space="preserve">Ratios Used for AP-42 Fugitive Dust Emission Factors. Western Regional Air Partnership (WRAP), 1515 </w:t>
      </w:r>
      <w:r w:rsidR="00672D2A">
        <w:t>Cleveland Pla</w:t>
      </w:r>
      <w:r w:rsidR="000F5892">
        <w:t>ce, Suit</w:t>
      </w:r>
      <w:r w:rsidR="00A83FA2">
        <w:t xml:space="preserve">e 200, Denver, Colorado </w:t>
      </w:r>
      <w:proofErr w:type="gramStart"/>
      <w:r w:rsidR="00A83FA2">
        <w:t>80202 .</w:t>
      </w:r>
      <w:proofErr w:type="gramEnd"/>
    </w:p>
    <w:sectPr w:rsidR="00B53F02" w:rsidSect="00A83FA2">
      <w:pgSz w:w="12240" w:h="15840"/>
      <w:pgMar w:top="912" w:right="1445" w:bottom="360" w:left="1440" w:header="720" w:footer="72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1E2" w:rsidRDefault="00C331E2" w:rsidP="00881DD2">
      <w:r>
        <w:separator/>
      </w:r>
    </w:p>
  </w:endnote>
  <w:endnote w:type="continuationSeparator" w:id="0">
    <w:p w:rsidR="00C331E2" w:rsidRDefault="00C331E2" w:rsidP="00881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1E2" w:rsidRDefault="00C331E2" w:rsidP="00881DD2">
      <w:r>
        <w:separator/>
      </w:r>
    </w:p>
  </w:footnote>
  <w:footnote w:type="continuationSeparator" w:id="0">
    <w:p w:rsidR="00C331E2" w:rsidRDefault="00C331E2" w:rsidP="00881D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4C41"/>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1">
    <w:nsid w:val="690D75F5"/>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2">
    <w:nsid w:val="7CE707E0"/>
    <w:multiLevelType w:val="hybridMultilevel"/>
    <w:tmpl w:val="9B9053A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
  <w:rsids>
    <w:rsidRoot w:val="00B53F02"/>
    <w:rsid w:val="000903E2"/>
    <w:rsid w:val="000B3E20"/>
    <w:rsid w:val="000F5892"/>
    <w:rsid w:val="00116F5C"/>
    <w:rsid w:val="001768DE"/>
    <w:rsid w:val="00185AA6"/>
    <w:rsid w:val="001A5D3E"/>
    <w:rsid w:val="001C07B8"/>
    <w:rsid w:val="00250964"/>
    <w:rsid w:val="00270117"/>
    <w:rsid w:val="00272CC5"/>
    <w:rsid w:val="002B1BE8"/>
    <w:rsid w:val="002D00ED"/>
    <w:rsid w:val="002F475F"/>
    <w:rsid w:val="003151E1"/>
    <w:rsid w:val="003216BD"/>
    <w:rsid w:val="00331CE2"/>
    <w:rsid w:val="0036331C"/>
    <w:rsid w:val="003823E5"/>
    <w:rsid w:val="00384616"/>
    <w:rsid w:val="003E50C6"/>
    <w:rsid w:val="00405448"/>
    <w:rsid w:val="00441379"/>
    <w:rsid w:val="00456183"/>
    <w:rsid w:val="00471D8B"/>
    <w:rsid w:val="004B2970"/>
    <w:rsid w:val="004C68A6"/>
    <w:rsid w:val="004D3601"/>
    <w:rsid w:val="005D58C1"/>
    <w:rsid w:val="005F4213"/>
    <w:rsid w:val="00621A57"/>
    <w:rsid w:val="00624FDD"/>
    <w:rsid w:val="00645B20"/>
    <w:rsid w:val="00672D2A"/>
    <w:rsid w:val="006863BA"/>
    <w:rsid w:val="006C119A"/>
    <w:rsid w:val="007150B4"/>
    <w:rsid w:val="0072459B"/>
    <w:rsid w:val="007404B1"/>
    <w:rsid w:val="007443EB"/>
    <w:rsid w:val="007609E0"/>
    <w:rsid w:val="007A20FD"/>
    <w:rsid w:val="007A3A76"/>
    <w:rsid w:val="007C45CF"/>
    <w:rsid w:val="00844401"/>
    <w:rsid w:val="0087110F"/>
    <w:rsid w:val="00881DD2"/>
    <w:rsid w:val="008C74C6"/>
    <w:rsid w:val="00945F7A"/>
    <w:rsid w:val="00947868"/>
    <w:rsid w:val="00987E20"/>
    <w:rsid w:val="009C4563"/>
    <w:rsid w:val="009D595A"/>
    <w:rsid w:val="009F1B8B"/>
    <w:rsid w:val="00A32839"/>
    <w:rsid w:val="00A44943"/>
    <w:rsid w:val="00A61251"/>
    <w:rsid w:val="00A83FA2"/>
    <w:rsid w:val="00AA0BB8"/>
    <w:rsid w:val="00AA1E6B"/>
    <w:rsid w:val="00AA3AC2"/>
    <w:rsid w:val="00AC2FDB"/>
    <w:rsid w:val="00B158E9"/>
    <w:rsid w:val="00B53F02"/>
    <w:rsid w:val="00B660F0"/>
    <w:rsid w:val="00B83628"/>
    <w:rsid w:val="00C24847"/>
    <w:rsid w:val="00C331E2"/>
    <w:rsid w:val="00CD46BB"/>
    <w:rsid w:val="00D12A1D"/>
    <w:rsid w:val="00D93EA5"/>
    <w:rsid w:val="00D95718"/>
    <w:rsid w:val="00D977D1"/>
    <w:rsid w:val="00D97F3E"/>
    <w:rsid w:val="00E03803"/>
    <w:rsid w:val="00E213CF"/>
    <w:rsid w:val="00E662E4"/>
    <w:rsid w:val="00E73DEA"/>
    <w:rsid w:val="00ED033C"/>
    <w:rsid w:val="00F34FD6"/>
    <w:rsid w:val="00F534AB"/>
    <w:rsid w:val="00F55B53"/>
    <w:rsid w:val="00F84037"/>
    <w:rsid w:val="00FC16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BB8"/>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D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881DD2"/>
    <w:rPr>
      <w:color w:val="0000FF"/>
      <w:u w:val="single"/>
    </w:rPr>
  </w:style>
  <w:style w:type="paragraph" w:styleId="Header">
    <w:name w:val="header"/>
    <w:basedOn w:val="Normal"/>
    <w:link w:val="HeaderChar"/>
    <w:uiPriority w:val="99"/>
    <w:unhideWhenUsed/>
    <w:rsid w:val="00881DD2"/>
    <w:pPr>
      <w:tabs>
        <w:tab w:val="center" w:pos="4680"/>
        <w:tab w:val="right" w:pos="9360"/>
      </w:tabs>
    </w:pPr>
  </w:style>
  <w:style w:type="character" w:customStyle="1" w:styleId="HeaderChar">
    <w:name w:val="Header Char"/>
    <w:basedOn w:val="DefaultParagraphFont"/>
    <w:link w:val="Header"/>
    <w:uiPriority w:val="99"/>
    <w:rsid w:val="00881DD2"/>
    <w:rPr>
      <w:rFonts w:ascii="Times New Roman" w:hAnsi="Times New Roman" w:cs="Times New Roman"/>
      <w:sz w:val="20"/>
      <w:szCs w:val="20"/>
    </w:rPr>
  </w:style>
  <w:style w:type="paragraph" w:styleId="Footer">
    <w:name w:val="footer"/>
    <w:basedOn w:val="Normal"/>
    <w:link w:val="FooterChar"/>
    <w:uiPriority w:val="99"/>
    <w:semiHidden/>
    <w:unhideWhenUsed/>
    <w:rsid w:val="00881DD2"/>
    <w:pPr>
      <w:tabs>
        <w:tab w:val="center" w:pos="4680"/>
        <w:tab w:val="right" w:pos="9360"/>
      </w:tabs>
    </w:pPr>
  </w:style>
  <w:style w:type="character" w:customStyle="1" w:styleId="FooterChar">
    <w:name w:val="Footer Char"/>
    <w:basedOn w:val="DefaultParagraphFont"/>
    <w:link w:val="Footer"/>
    <w:uiPriority w:val="99"/>
    <w:semiHidden/>
    <w:rsid w:val="00881DD2"/>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881DD2"/>
    <w:rPr>
      <w:rFonts w:ascii="Tahoma" w:hAnsi="Tahoma" w:cs="Tahoma"/>
      <w:sz w:val="16"/>
      <w:szCs w:val="16"/>
    </w:rPr>
  </w:style>
  <w:style w:type="character" w:customStyle="1" w:styleId="BalloonTextChar">
    <w:name w:val="Balloon Text Char"/>
    <w:basedOn w:val="DefaultParagraphFont"/>
    <w:link w:val="BalloonText"/>
    <w:uiPriority w:val="99"/>
    <w:semiHidden/>
    <w:rsid w:val="00881DD2"/>
    <w:rPr>
      <w:rFonts w:ascii="Tahoma" w:hAnsi="Tahoma" w:cs="Tahoma"/>
      <w:sz w:val="16"/>
      <w:szCs w:val="16"/>
    </w:rPr>
  </w:style>
  <w:style w:type="character" w:styleId="CommentReference">
    <w:name w:val="annotation reference"/>
    <w:basedOn w:val="DefaultParagraphFont"/>
    <w:uiPriority w:val="99"/>
    <w:semiHidden/>
    <w:unhideWhenUsed/>
    <w:rsid w:val="00621A57"/>
    <w:rPr>
      <w:sz w:val="16"/>
      <w:szCs w:val="16"/>
    </w:rPr>
  </w:style>
  <w:style w:type="paragraph" w:styleId="CommentText">
    <w:name w:val="annotation text"/>
    <w:basedOn w:val="Normal"/>
    <w:link w:val="CommentTextChar"/>
    <w:uiPriority w:val="99"/>
    <w:semiHidden/>
    <w:unhideWhenUsed/>
    <w:rsid w:val="00621A57"/>
  </w:style>
  <w:style w:type="character" w:customStyle="1" w:styleId="CommentTextChar">
    <w:name w:val="Comment Text Char"/>
    <w:basedOn w:val="DefaultParagraphFont"/>
    <w:link w:val="CommentText"/>
    <w:uiPriority w:val="99"/>
    <w:semiHidden/>
    <w:rsid w:val="00621A5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21A57"/>
    <w:rPr>
      <w:b/>
      <w:bCs/>
    </w:rPr>
  </w:style>
  <w:style w:type="character" w:customStyle="1" w:styleId="CommentSubjectChar">
    <w:name w:val="Comment Subject Char"/>
    <w:basedOn w:val="CommentTextChar"/>
    <w:link w:val="CommentSubject"/>
    <w:uiPriority w:val="99"/>
    <w:semiHidden/>
    <w:rsid w:val="00621A57"/>
    <w:rPr>
      <w:b/>
      <w:bCs/>
    </w:rPr>
  </w:style>
  <w:style w:type="character" w:styleId="FollowedHyperlink">
    <w:name w:val="FollowedHyperlink"/>
    <w:basedOn w:val="DefaultParagraphFont"/>
    <w:uiPriority w:val="99"/>
    <w:semiHidden/>
    <w:unhideWhenUsed/>
    <w:rsid w:val="00C2484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26145233">
      <w:bodyDiv w:val="1"/>
      <w:marLeft w:val="0"/>
      <w:marRight w:val="0"/>
      <w:marTop w:val="0"/>
      <w:marBottom w:val="0"/>
      <w:divBdr>
        <w:top w:val="none" w:sz="0" w:space="0" w:color="auto"/>
        <w:left w:val="none" w:sz="0" w:space="0" w:color="auto"/>
        <w:bottom w:val="none" w:sz="0" w:space="0" w:color="auto"/>
        <w:right w:val="none" w:sz="0" w:space="0" w:color="auto"/>
      </w:divBdr>
    </w:div>
    <w:div w:id="20715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hwa.dot.gov/policyinformation/statistics/20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5</Pages>
  <Words>2506</Words>
  <Characters>13250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DOCUMENTATION FOR THE FINAL 2002 NONPOINT SECTOR (FEB 06 version) NATIONAL EMISSION INVENTORY FOR CRITERIA AND HAZARDOUS AIR POLLUTANTS</vt:lpstr>
    </vt:vector>
  </TitlesOfParts>
  <Company/>
  <LinksUpToDate>false</LinksUpToDate>
  <CharactersWithSpaces>15725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THE FINAL 2002 NONPOINT SECTOR (FEB 06 version) NATIONAL EMISSION INVENTORY FOR CRITERIA AND HAZARDOUS AIR POLLUTANTS</dc:title>
  <dc:subject>2002 national emission inventory - nonpoint sources</dc:subject>
  <dc:creator>scolodner</dc:creator>
  <cp:keywords>nonpoint, area, emissions, inventory</cp:keywords>
  <cp:lastModifiedBy>Roy Huntley</cp:lastModifiedBy>
  <cp:revision>9</cp:revision>
  <dcterms:created xsi:type="dcterms:W3CDTF">2011-08-09T19:38:00Z</dcterms:created>
  <dcterms:modified xsi:type="dcterms:W3CDTF">2011-09-07T17:33:00Z</dcterms:modified>
</cp:coreProperties>
</file>