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C7B50" w14:textId="22BF17F0" w:rsidR="00D229B8" w:rsidRPr="001429B4" w:rsidRDefault="00743C7B">
      <w:pPr>
        <w:rPr>
          <w:b/>
          <w:sz w:val="24"/>
          <w:szCs w:val="24"/>
          <w:u w:val="single"/>
        </w:rPr>
      </w:pPr>
      <w:r w:rsidRPr="001429B4">
        <w:rPr>
          <w:b/>
          <w:sz w:val="24"/>
          <w:szCs w:val="24"/>
          <w:u w:val="single"/>
        </w:rPr>
        <w:t>Documentation for P</w:t>
      </w:r>
      <w:r w:rsidR="00EF6CCF">
        <w:rPr>
          <w:b/>
          <w:sz w:val="24"/>
          <w:szCs w:val="24"/>
          <w:u w:val="single"/>
        </w:rPr>
        <w:t xml:space="preserve">ortable </w:t>
      </w:r>
      <w:r w:rsidRPr="001429B4">
        <w:rPr>
          <w:b/>
          <w:sz w:val="24"/>
          <w:szCs w:val="24"/>
          <w:u w:val="single"/>
        </w:rPr>
        <w:t>F</w:t>
      </w:r>
      <w:r w:rsidR="00EF6CCF">
        <w:rPr>
          <w:b/>
          <w:sz w:val="24"/>
          <w:szCs w:val="24"/>
          <w:u w:val="single"/>
        </w:rPr>
        <w:t xml:space="preserve">uel </w:t>
      </w:r>
      <w:r w:rsidRPr="001429B4">
        <w:rPr>
          <w:b/>
          <w:sz w:val="24"/>
          <w:szCs w:val="24"/>
          <w:u w:val="single"/>
        </w:rPr>
        <w:t>C</w:t>
      </w:r>
      <w:r w:rsidR="00EF6CCF">
        <w:rPr>
          <w:b/>
          <w:sz w:val="24"/>
          <w:szCs w:val="24"/>
          <w:u w:val="single"/>
        </w:rPr>
        <w:t>ontainers</w:t>
      </w:r>
      <w:r w:rsidRPr="001429B4">
        <w:rPr>
          <w:b/>
          <w:sz w:val="24"/>
          <w:szCs w:val="24"/>
          <w:u w:val="single"/>
        </w:rPr>
        <w:t xml:space="preserve"> – 2014</w:t>
      </w:r>
    </w:p>
    <w:p w14:paraId="0EF3AAC5" w14:textId="77777777" w:rsidR="00F26ABA" w:rsidRDefault="00F26ABA">
      <w:r w:rsidRPr="00F26ABA">
        <w:t>There are several sources of emissions associated with portable fuel containers (PFC) used for gasoline. These sources include vapor displacement and spillage while refueling the gas can at the pump, spillage during transport, permeation and evaporation from the gas can during transport and storage, and vapor displacement and spillage while refueling equipment.</w:t>
      </w:r>
      <w:r>
        <w:t xml:space="preserve">  Vapor displacement and spillage while refuelin</w:t>
      </w:r>
      <w:r w:rsidR="003D2904">
        <w:t>g nonroad equipment from PFCs are</w:t>
      </w:r>
      <w:r>
        <w:t xml:space="preserve"> included in the nonroad inventory.  This section describes how other types of PFC emissions are accounted for in the NEI.</w:t>
      </w:r>
    </w:p>
    <w:p w14:paraId="34EB010A" w14:textId="3C0943D8" w:rsidR="00F26ABA" w:rsidRPr="00DB10BC" w:rsidRDefault="00DB10BC">
      <w:r>
        <w:t xml:space="preserve">PFC emissions are impacted by a 2007 regulation </w:t>
      </w:r>
      <w:r w:rsidRPr="00DB10BC">
        <w:t>controlling emissions of hazardous pollutants f</w:t>
      </w:r>
      <w:r>
        <w:t xml:space="preserve">rom </w:t>
      </w:r>
      <w:r w:rsidR="003D2904">
        <w:t>mobile sources (MSAT2 rule).  In</w:t>
      </w:r>
      <w:r>
        <w:t xml:space="preserve"> this rule</w:t>
      </w:r>
      <w:r w:rsidRPr="00DB10BC">
        <w:t xml:space="preserve"> EPA promulgated requirements to control VOC emissions from gas cans. The methodology used to develop emis</w:t>
      </w:r>
      <w:r w:rsidR="003D2904">
        <w:t>sion inventories for gas cans was initially</w:t>
      </w:r>
      <w:r w:rsidRPr="00DB10BC">
        <w:t xml:space="preserve"> described in the regulatory impact analysis for the rule and in an accompanying technical support document</w:t>
      </w:r>
      <w:r w:rsidR="006239B8">
        <w:t>.</w:t>
      </w:r>
      <w:r>
        <w:rPr>
          <w:rStyle w:val="EndnoteReference"/>
        </w:rPr>
        <w:endnoteReference w:id="1"/>
      </w:r>
      <w:r>
        <w:rPr>
          <w:vertAlign w:val="superscript"/>
        </w:rPr>
        <w:t>,</w:t>
      </w:r>
      <w:r>
        <w:rPr>
          <w:rStyle w:val="EndnoteReference"/>
        </w:rPr>
        <w:endnoteReference w:id="2"/>
      </w:r>
      <w:r w:rsidR="006239B8">
        <w:t xml:space="preserve"> T</w:t>
      </w:r>
      <w:r>
        <w:t xml:space="preserve">he inventory development approach used for the NEI is </w:t>
      </w:r>
      <w:r w:rsidR="003D2904">
        <w:t xml:space="preserve">still </w:t>
      </w:r>
      <w:r>
        <w:t>based on the analyses done for this rule.</w:t>
      </w:r>
    </w:p>
    <w:p w14:paraId="36939C53" w14:textId="77777777" w:rsidR="00743C7B" w:rsidRDefault="00743C7B">
      <w:r>
        <w:t>Below, data and methods are described for devel</w:t>
      </w:r>
      <w:r w:rsidR="00265F76">
        <w:t>opment of portable fuel contain</w:t>
      </w:r>
      <w:r>
        <w:t>er (PFC) inventories in the 2014 National Emissions Inventory (NEI).</w:t>
      </w:r>
    </w:p>
    <w:p w14:paraId="57E0DEC3" w14:textId="77777777" w:rsidR="006A6EA8" w:rsidRPr="001429B4" w:rsidRDefault="006A6EA8">
      <w:pPr>
        <w:rPr>
          <w:b/>
          <w:u w:val="single"/>
        </w:rPr>
      </w:pPr>
      <w:r w:rsidRPr="001429B4">
        <w:rPr>
          <w:b/>
          <w:u w:val="single"/>
        </w:rPr>
        <w:t>VOC Allocation</w:t>
      </w:r>
    </w:p>
    <w:p w14:paraId="68CECB09" w14:textId="77777777" w:rsidR="006A6EA8" w:rsidRDefault="006A6EA8">
      <w:r>
        <w:t xml:space="preserve">PFC inventories </w:t>
      </w:r>
      <w:r w:rsidR="003D2904">
        <w:t xml:space="preserve">in the MSAT2 rule were </w:t>
      </w:r>
      <w:r>
        <w:t xml:space="preserve">developed </w:t>
      </w:r>
      <w:r w:rsidR="00365CF6">
        <w:t xml:space="preserve">for </w:t>
      </w:r>
      <w:r w:rsidR="00AA288C">
        <w:t xml:space="preserve">different emissions scenarios in </w:t>
      </w:r>
      <w:r w:rsidR="00365CF6">
        <w:t xml:space="preserve">several calendar years (1990, 2005, 2010, 2015, 2020, and 2030) </w:t>
      </w:r>
      <w:r>
        <w:t xml:space="preserve">at the State level for 6 categories of emissions: </w:t>
      </w:r>
      <w:r w:rsidRPr="006A6EA8">
        <w:t>1) vapor displacement while refilling containers at the pump, 2) spillage while refilling at the pump, 3) spillage during transport, 4) vapor displacement while refueling equipment, 5) spillage while refueling equipment, and 6) permeation and evaporation.</w:t>
      </w:r>
      <w:r>
        <w:t xml:space="preserve">  </w:t>
      </w:r>
    </w:p>
    <w:p w14:paraId="604FFD32" w14:textId="4EAB5170" w:rsidR="006A6EA8" w:rsidRDefault="006A6EA8" w:rsidP="006A6EA8">
      <w:r>
        <w:t xml:space="preserve">For the NEI, </w:t>
      </w:r>
      <w:r w:rsidR="003D2904">
        <w:t xml:space="preserve">emissions had to </w:t>
      </w:r>
      <w:r w:rsidR="006239B8">
        <w:t>separate</w:t>
      </w:r>
      <w:r>
        <w:t xml:space="preserve"> into commercial and residential fuel container emissions.  Total state level PFC emissions were allocated to the categories by using national level residential and commercial emission</w:t>
      </w:r>
      <w:r w:rsidR="00D24854">
        <w:t xml:space="preserve"> split</w:t>
      </w:r>
      <w:r>
        <w:t xml:space="preserve">s </w:t>
      </w:r>
      <w:r w:rsidR="00D24854">
        <w:t xml:space="preserve">from the MSAT2 rule </w:t>
      </w:r>
      <w:r>
        <w:t>for each of the categories using the following equations:</w:t>
      </w:r>
    </w:p>
    <w:p w14:paraId="69F188AD" w14:textId="29631EE3" w:rsidR="006A6EA8" w:rsidRDefault="004159BA" w:rsidP="004159BA">
      <w:pPr>
        <w:jc w:val="right"/>
      </w:pPr>
      <m:oMath>
        <m:sSub>
          <m:sSubPr>
            <m:ctrlPr>
              <w:rPr>
                <w:rFonts w:ascii="Cambria Math"/>
                <w:i/>
              </w:rPr>
            </m:ctrlPr>
          </m:sSubPr>
          <m:e>
            <m:r>
              <w:rPr>
                <w:rFonts w:ascii="Cambria Math"/>
              </w:rPr>
              <m:t>E</m:t>
            </m:r>
          </m:e>
          <m:sub>
            <m:r>
              <w:rPr>
                <w:rFonts w:ascii="Cambria Math"/>
              </w:rPr>
              <m:t>residential,XXXX,YY</m:t>
            </m:r>
          </m:sub>
        </m:sSub>
        <m:r>
          <w:rPr>
            <w:rFonts w:ascii="Cambria Math"/>
          </w:rPr>
          <m:t>=E</m:t>
        </m:r>
        <m:r>
          <w:rPr>
            <w:rFonts w:ascii="Cambria Math"/>
          </w:rPr>
          <m:t>×</m:t>
        </m:r>
        <m:d>
          <m:dPr>
            <m:ctrlPr>
              <w:rPr>
                <w:rFonts w:ascii="Cambria Math"/>
                <w:i/>
              </w:rPr>
            </m:ctrlPr>
          </m:dPr>
          <m:e>
            <m:f>
              <m:fPr>
                <m:ctrlPr>
                  <w:rPr>
                    <w:rFonts w:ascii="Cambria Math"/>
                    <w:i/>
                  </w:rPr>
                </m:ctrlPr>
              </m:fPr>
              <m:num>
                <m:func>
                  <m:funcPr>
                    <m:ctrlPr>
                      <w:rPr>
                        <w:rFonts w:ascii="Cambria Math"/>
                        <w:i/>
                      </w:rPr>
                    </m:ctrlPr>
                  </m:funcPr>
                  <m:fName>
                    <m:r>
                      <w:rPr>
                        <w:rFonts w:ascii="Cambria Math"/>
                      </w:rPr>
                      <m:t>Re</m:t>
                    </m:r>
                  </m:fName>
                  <m:e>
                    <m:r>
                      <w:rPr>
                        <w:rFonts w:ascii="Cambria Math"/>
                      </w:rPr>
                      <m:t>s</m:t>
                    </m:r>
                  </m:e>
                </m:func>
              </m:num>
              <m:den>
                <m:func>
                  <m:funcPr>
                    <m:ctrlPr>
                      <w:rPr>
                        <w:rFonts w:ascii="Cambria Math"/>
                        <w:i/>
                      </w:rPr>
                    </m:ctrlPr>
                  </m:funcPr>
                  <m:fName>
                    <m:r>
                      <w:rPr>
                        <w:rFonts w:ascii="Cambria Math"/>
                      </w:rPr>
                      <m:t>Re</m:t>
                    </m:r>
                  </m:fName>
                  <m:e>
                    <m:r>
                      <w:rPr>
                        <w:rFonts w:ascii="Cambria Math"/>
                      </w:rPr>
                      <m:t>s</m:t>
                    </m:r>
                  </m:e>
                </m:func>
                <m:r>
                  <w:rPr>
                    <w:rFonts w:ascii="Cambria Math"/>
                  </w:rPr>
                  <m:t>+Com</m:t>
                </m:r>
              </m:den>
            </m:f>
            <m:ctrlPr>
              <w:rPr>
                <w:rFonts w:ascii="Cambria Math" w:hAnsi="Cambria Math"/>
                <w:i/>
              </w:rPr>
            </m:ctrlPr>
          </m:e>
        </m:d>
      </m:oMath>
      <w:r w:rsidR="006A6EA8">
        <w:tab/>
      </w:r>
      <w:r w:rsidR="006A6EA8">
        <w:tab/>
      </w:r>
      <w:r w:rsidR="006239B8">
        <w:tab/>
      </w:r>
      <w:r w:rsidR="006A6EA8">
        <w:tab/>
      </w:r>
      <w:r w:rsidR="006A6EA8">
        <w:tab/>
      </w:r>
      <w:r w:rsidR="006A6EA8">
        <w:tab/>
      </w:r>
      <w:r w:rsidR="006A6EA8">
        <w:tab/>
        <w:t>(1)</w:t>
      </w:r>
    </w:p>
    <w:p w14:paraId="32819E0A" w14:textId="4720E408" w:rsidR="006A6EA8" w:rsidRDefault="004159BA" w:rsidP="004159BA">
      <w:pPr>
        <w:jc w:val="right"/>
      </w:pPr>
      <m:oMath>
        <m:sSub>
          <m:sSubPr>
            <m:ctrlPr>
              <w:rPr>
                <w:rFonts w:ascii="Cambria Math"/>
                <w:i/>
              </w:rPr>
            </m:ctrlPr>
          </m:sSubPr>
          <m:e>
            <m:r>
              <w:rPr>
                <w:rFonts w:ascii="Cambria Math"/>
              </w:rPr>
              <m:t>E</m:t>
            </m:r>
          </m:e>
          <m:sub>
            <m:r>
              <w:rPr>
                <w:rFonts w:ascii="Cambria Math"/>
              </w:rPr>
              <m:t>commercial,XXXX,YY</m:t>
            </m:r>
          </m:sub>
        </m:sSub>
        <m:r>
          <w:rPr>
            <w:rFonts w:ascii="Cambria Math"/>
          </w:rPr>
          <m:t>=E</m:t>
        </m:r>
        <m:r>
          <w:rPr>
            <w:rFonts w:ascii="Cambria Math"/>
          </w:rPr>
          <m:t>×</m:t>
        </m:r>
        <m:d>
          <m:dPr>
            <m:ctrlPr>
              <w:rPr>
                <w:rFonts w:ascii="Cambria Math"/>
                <w:i/>
              </w:rPr>
            </m:ctrlPr>
          </m:dPr>
          <m:e>
            <m:f>
              <m:fPr>
                <m:ctrlPr>
                  <w:rPr>
                    <w:rFonts w:ascii="Cambria Math"/>
                    <w:i/>
                  </w:rPr>
                </m:ctrlPr>
              </m:fPr>
              <m:num>
                <m:r>
                  <w:rPr>
                    <w:rFonts w:ascii="Cambria Math"/>
                  </w:rPr>
                  <m:t>Com</m:t>
                </m:r>
              </m:num>
              <m:den>
                <m:func>
                  <m:funcPr>
                    <m:ctrlPr>
                      <w:rPr>
                        <w:rFonts w:ascii="Cambria Math"/>
                        <w:i/>
                      </w:rPr>
                    </m:ctrlPr>
                  </m:funcPr>
                  <m:fName>
                    <m:r>
                      <w:rPr>
                        <w:rFonts w:ascii="Cambria Math"/>
                      </w:rPr>
                      <m:t>Re</m:t>
                    </m:r>
                  </m:fName>
                  <m:e>
                    <m:r>
                      <w:rPr>
                        <w:rFonts w:ascii="Cambria Math"/>
                      </w:rPr>
                      <m:t>s</m:t>
                    </m:r>
                  </m:e>
                </m:func>
                <m:r>
                  <w:rPr>
                    <w:rFonts w:ascii="Cambria Math"/>
                  </w:rPr>
                  <m:t>+Com</m:t>
                </m:r>
              </m:den>
            </m:f>
            <m:ctrlPr>
              <w:rPr>
                <w:rFonts w:ascii="Cambria Math" w:hAnsi="Cambria Math"/>
                <w:i/>
              </w:rPr>
            </m:ctrlPr>
          </m:e>
        </m:d>
      </m:oMath>
      <w:r w:rsidR="006A6EA8">
        <w:t xml:space="preserve"> </w:t>
      </w:r>
      <w:r w:rsidR="006A6EA8">
        <w:tab/>
      </w:r>
      <w:r w:rsidR="006A6EA8">
        <w:tab/>
      </w:r>
      <w:r w:rsidR="006239B8">
        <w:tab/>
      </w:r>
      <w:r w:rsidR="006A6EA8">
        <w:tab/>
      </w:r>
      <w:r w:rsidR="006A6EA8">
        <w:tab/>
      </w:r>
      <w:r w:rsidR="006A6EA8">
        <w:tab/>
      </w:r>
      <w:r w:rsidR="006A6EA8">
        <w:tab/>
        <w:t>(2)</w:t>
      </w:r>
    </w:p>
    <w:p w14:paraId="4C2FD40B" w14:textId="4DBEFD1C" w:rsidR="006A6EA8" w:rsidRDefault="006239B8" w:rsidP="006A6EA8">
      <w:r>
        <w:t xml:space="preserve">, </w:t>
      </w:r>
      <w:r w:rsidR="006A6EA8">
        <w:t xml:space="preserve">where </w:t>
      </w:r>
      <w:proofErr w:type="spellStart"/>
      <w:r w:rsidR="006A6EA8">
        <w:t>E</w:t>
      </w:r>
      <w:proofErr w:type="spellEnd"/>
      <w:r w:rsidR="006A6EA8">
        <w:t xml:space="preserve"> was the emissions of the category being split, XXXX was year, YY was state, and Res and Com were the national residential and commercial PFC emissions.</w:t>
      </w:r>
    </w:p>
    <w:p w14:paraId="61E67DB0" w14:textId="77777777" w:rsidR="006A6EA8" w:rsidRDefault="006A6EA8" w:rsidP="006A6EA8">
      <w:r>
        <w:t>Permeation and evaporation were also separated as follo</w:t>
      </w:r>
      <w:r w:rsidR="00365CF6">
        <w:t>ws:</w:t>
      </w:r>
    </w:p>
    <w:p w14:paraId="6270C504" w14:textId="06C422DB" w:rsidR="00365CF6" w:rsidRDefault="004159BA" w:rsidP="004159BA">
      <w:pPr>
        <w:tabs>
          <w:tab w:val="left" w:pos="720"/>
        </w:tabs>
        <w:jc w:val="right"/>
      </w:pPr>
      <m:oMath>
        <m:sSub>
          <m:sSubPr>
            <m:ctrlPr>
              <w:rPr>
                <w:rFonts w:ascii="Cambria Math"/>
                <w:i/>
              </w:rPr>
            </m:ctrlPr>
          </m:sSubPr>
          <m:e>
            <m:r>
              <w:rPr>
                <w:rFonts w:ascii="Cambria Math"/>
              </w:rPr>
              <m:t>E</m:t>
            </m:r>
          </m:e>
          <m:sub>
            <m:r>
              <w:rPr>
                <w:rFonts w:ascii="Cambria Math"/>
              </w:rPr>
              <m:t>AAA,XXXX,YY,perm</m:t>
            </m:r>
          </m:sub>
        </m:sSub>
        <m:r>
          <w:rPr>
            <w:rFonts w:ascii="Cambria Math"/>
          </w:rPr>
          <m:t>=</m:t>
        </m:r>
        <m:sSub>
          <m:sSubPr>
            <m:ctrlPr>
              <w:rPr>
                <w:rFonts w:ascii="Cambria Math"/>
                <w:i/>
              </w:rPr>
            </m:ctrlPr>
          </m:sSubPr>
          <m:e>
            <m:r>
              <w:rPr>
                <w:rFonts w:ascii="Cambria Math"/>
              </w:rPr>
              <m:t>E</m:t>
            </m:r>
          </m:e>
          <m:sub>
            <m:r>
              <w:rPr>
                <w:rFonts w:ascii="Cambria Math"/>
              </w:rPr>
              <m:t>AAA,XXXX,YY,perm&amp;evap</m:t>
            </m:r>
          </m:sub>
        </m:sSub>
        <m:r>
          <w:rPr>
            <w:rFonts w:ascii="Cambria Math"/>
          </w:rPr>
          <m:t>×</m:t>
        </m:r>
        <m:r>
          <w:rPr>
            <w:rFonts w:ascii="Cambria Math"/>
          </w:rPr>
          <m:t>0.3387</m:t>
        </m:r>
      </m:oMath>
      <w:r w:rsidR="00365CF6">
        <w:tab/>
      </w:r>
      <w:r w:rsidR="006239B8">
        <w:tab/>
      </w:r>
      <w:r w:rsidR="006239B8">
        <w:tab/>
      </w:r>
      <w:r w:rsidR="00365CF6">
        <w:tab/>
      </w:r>
      <w:r w:rsidR="00365CF6">
        <w:tab/>
        <w:t>(3)</w:t>
      </w:r>
    </w:p>
    <w:p w14:paraId="799D4E26" w14:textId="22B68738" w:rsidR="00365CF6" w:rsidRDefault="004159BA" w:rsidP="004159BA">
      <w:pPr>
        <w:tabs>
          <w:tab w:val="left" w:pos="720"/>
        </w:tabs>
        <w:jc w:val="right"/>
      </w:pPr>
      <m:oMath>
        <m:sSub>
          <m:sSubPr>
            <m:ctrlPr>
              <w:rPr>
                <w:rFonts w:ascii="Cambria Math"/>
                <w:i/>
              </w:rPr>
            </m:ctrlPr>
          </m:sSubPr>
          <m:e>
            <m:r>
              <w:rPr>
                <w:rFonts w:ascii="Cambria Math"/>
              </w:rPr>
              <m:t>E</m:t>
            </m:r>
          </m:e>
          <m:sub>
            <m:r>
              <w:rPr>
                <w:rFonts w:ascii="Cambria Math"/>
              </w:rPr>
              <m:t>AAA,XXXX,YY,evap</m:t>
            </m:r>
          </m:sub>
        </m:sSub>
        <m:r>
          <w:rPr>
            <w:rFonts w:ascii="Cambria Math"/>
          </w:rPr>
          <m:t>=</m:t>
        </m:r>
        <m:sSub>
          <m:sSubPr>
            <m:ctrlPr>
              <w:rPr>
                <w:rFonts w:ascii="Cambria Math"/>
                <w:i/>
              </w:rPr>
            </m:ctrlPr>
          </m:sSubPr>
          <m:e>
            <m:r>
              <w:rPr>
                <w:rFonts w:ascii="Cambria Math"/>
              </w:rPr>
              <m:t>E</m:t>
            </m:r>
          </m:e>
          <m:sub>
            <m:r>
              <w:rPr>
                <w:rFonts w:ascii="Cambria Math"/>
              </w:rPr>
              <m:t>AAA,XXXX,YY,perm&amp;evap</m:t>
            </m:r>
          </m:sub>
        </m:sSub>
        <m:r>
          <w:rPr>
            <w:rFonts w:ascii="Cambria Math"/>
          </w:rPr>
          <m:t>×</m:t>
        </m:r>
        <m:r>
          <w:rPr>
            <w:rFonts w:ascii="Cambria Math"/>
          </w:rPr>
          <m:t>(1</m:t>
        </m:r>
        <m:r>
          <w:rPr>
            <w:rFonts w:ascii="Cambria Math"/>
          </w:rPr>
          <m:t>-</m:t>
        </m:r>
        <m:r>
          <w:rPr>
            <w:rFonts w:ascii="Cambria Math"/>
          </w:rPr>
          <m:t>0.3387)</m:t>
        </m:r>
      </m:oMath>
      <w:r w:rsidR="00365CF6">
        <w:tab/>
      </w:r>
      <w:r w:rsidR="00365CF6">
        <w:tab/>
      </w:r>
      <w:r w:rsidR="006239B8">
        <w:tab/>
      </w:r>
      <w:r w:rsidR="006239B8">
        <w:tab/>
      </w:r>
      <w:r w:rsidR="00365CF6">
        <w:tab/>
        <w:t>(4)</w:t>
      </w:r>
    </w:p>
    <w:p w14:paraId="0947BBDF" w14:textId="77777777" w:rsidR="00365CF6" w:rsidRDefault="00365CF6" w:rsidP="006A6EA8">
      <w:r w:rsidRPr="00365CF6">
        <w:t>The fraction 0.3387 represents the fraction of combined permeation and evaporative emissions attributable to permeation, based on data from the California Air Resources Board.</w:t>
      </w:r>
    </w:p>
    <w:p w14:paraId="1FFF1B5A" w14:textId="77777777" w:rsidR="00365CF6" w:rsidRDefault="00365CF6" w:rsidP="006A6EA8">
      <w:r w:rsidRPr="00365CF6">
        <w:t>Once the state VOC emissions were allocated to the residential and commercial components of the categories, they were assigned SCC</w:t>
      </w:r>
      <w:r>
        <w:t xml:space="preserve"> codes</w:t>
      </w:r>
      <w:r w:rsidRPr="00365CF6">
        <w:t xml:space="preserve">.  </w:t>
      </w:r>
      <w:r>
        <w:t xml:space="preserve">These codes are shown in Table </w:t>
      </w:r>
      <w:r w:rsidRPr="00365CF6">
        <w:t>1.</w:t>
      </w:r>
    </w:p>
    <w:p w14:paraId="18C90E29" w14:textId="6808C7D3" w:rsidR="00365CF6" w:rsidRPr="00EF6CCF" w:rsidRDefault="00365CF6" w:rsidP="00EF6CCF">
      <w:pPr>
        <w:jc w:val="center"/>
        <w:rPr>
          <w:b/>
          <w:bCs/>
          <w:iCs/>
        </w:rPr>
      </w:pPr>
      <w:r w:rsidRPr="00365CF6">
        <w:rPr>
          <w:b/>
          <w:bCs/>
        </w:rPr>
        <w:lastRenderedPageBreak/>
        <w:t>Table 1.</w:t>
      </w:r>
      <w:r>
        <w:rPr>
          <w:bCs/>
        </w:rPr>
        <w:t xml:space="preserve">  </w:t>
      </w:r>
      <w:r w:rsidRPr="00EF6CCF">
        <w:rPr>
          <w:bCs/>
          <w:iCs/>
        </w:rPr>
        <w:t xml:space="preserve">SCC codes </w:t>
      </w:r>
      <w:r w:rsidR="00EF6CCF">
        <w:rPr>
          <w:bCs/>
          <w:iCs/>
        </w:rPr>
        <w:t xml:space="preserve">for </w:t>
      </w:r>
      <w:r w:rsidRPr="00EF6CCF">
        <w:rPr>
          <w:bCs/>
          <w:iCs/>
        </w:rPr>
        <w:t>PFC</w:t>
      </w:r>
      <w:r w:rsidR="00EF6CCF">
        <w:rPr>
          <w:bCs/>
          <w:iCs/>
        </w:rPr>
        <w:t xml:space="preserve"> source</w:t>
      </w:r>
      <w:r w:rsidRPr="00EF6CCF">
        <w:rPr>
          <w:bCs/>
          <w:iCs/>
        </w:rPr>
        <w:t>s.</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Table 1: SCC codes for PFC Sources"/>
        <w:tblDescription w:val="SCC Code; Description"/>
      </w:tblPr>
      <w:tblGrid>
        <w:gridCol w:w="1368"/>
        <w:gridCol w:w="8280"/>
      </w:tblGrid>
      <w:tr w:rsidR="00365CF6" w:rsidRPr="00365CF6" w14:paraId="4E574016" w14:textId="77777777" w:rsidTr="00EF6CCF">
        <w:trPr>
          <w:jc w:val="center"/>
        </w:trPr>
        <w:tc>
          <w:tcPr>
            <w:tcW w:w="1368" w:type="dxa"/>
            <w:shd w:val="clear" w:color="auto" w:fill="C0C0C0"/>
          </w:tcPr>
          <w:p w14:paraId="7430F2CA" w14:textId="77777777" w:rsidR="00365CF6" w:rsidRPr="00365CF6" w:rsidRDefault="00365CF6" w:rsidP="00365CF6">
            <w:pPr>
              <w:rPr>
                <w:b/>
                <w:bCs/>
              </w:rPr>
            </w:pPr>
            <w:r w:rsidRPr="00365CF6">
              <w:rPr>
                <w:b/>
                <w:bCs/>
              </w:rPr>
              <w:t>SCC code</w:t>
            </w:r>
          </w:p>
        </w:tc>
        <w:tc>
          <w:tcPr>
            <w:tcW w:w="8280" w:type="dxa"/>
            <w:shd w:val="clear" w:color="auto" w:fill="C0C0C0"/>
          </w:tcPr>
          <w:p w14:paraId="14DF1C8E" w14:textId="77777777" w:rsidR="00365CF6" w:rsidRPr="00365CF6" w:rsidRDefault="00365CF6" w:rsidP="00365CF6">
            <w:pPr>
              <w:rPr>
                <w:b/>
                <w:bCs/>
              </w:rPr>
            </w:pPr>
            <w:r w:rsidRPr="00365CF6">
              <w:rPr>
                <w:b/>
                <w:bCs/>
              </w:rPr>
              <w:t>Description</w:t>
            </w:r>
          </w:p>
        </w:tc>
      </w:tr>
      <w:tr w:rsidR="00365CF6" w:rsidRPr="00365CF6" w14:paraId="342622A3" w14:textId="77777777" w:rsidTr="00EF6CCF">
        <w:trPr>
          <w:jc w:val="center"/>
        </w:trPr>
        <w:tc>
          <w:tcPr>
            <w:tcW w:w="1368" w:type="dxa"/>
          </w:tcPr>
          <w:p w14:paraId="0442774B" w14:textId="77777777" w:rsidR="00365CF6" w:rsidRPr="00365CF6" w:rsidRDefault="00365CF6" w:rsidP="00365CF6">
            <w:pPr>
              <w:rPr>
                <w:bCs/>
              </w:rPr>
            </w:pPr>
            <w:r w:rsidRPr="00365CF6">
              <w:rPr>
                <w:bCs/>
              </w:rPr>
              <w:t>2501011011</w:t>
            </w:r>
          </w:p>
        </w:tc>
        <w:tc>
          <w:tcPr>
            <w:tcW w:w="8280" w:type="dxa"/>
          </w:tcPr>
          <w:p w14:paraId="04E72FEC" w14:textId="77777777" w:rsidR="00365CF6" w:rsidRPr="00365CF6" w:rsidRDefault="00365CF6" w:rsidP="00365CF6">
            <w:pPr>
              <w:rPr>
                <w:bCs/>
              </w:rPr>
            </w:pPr>
            <w:r w:rsidRPr="00365CF6">
              <w:rPr>
                <w:bCs/>
              </w:rPr>
              <w:t>Storage and Transport; Petroleum and Petroleum Product Storage; Residential Portable Gas Cans; Permeation</w:t>
            </w:r>
          </w:p>
        </w:tc>
      </w:tr>
      <w:tr w:rsidR="00365CF6" w:rsidRPr="00365CF6" w14:paraId="42758C66" w14:textId="77777777" w:rsidTr="00EF6CCF">
        <w:trPr>
          <w:jc w:val="center"/>
        </w:trPr>
        <w:tc>
          <w:tcPr>
            <w:tcW w:w="1368" w:type="dxa"/>
          </w:tcPr>
          <w:p w14:paraId="360BA001" w14:textId="77777777" w:rsidR="00365CF6" w:rsidRPr="00365CF6" w:rsidRDefault="00365CF6" w:rsidP="00365CF6">
            <w:pPr>
              <w:rPr>
                <w:bCs/>
              </w:rPr>
            </w:pPr>
            <w:r w:rsidRPr="00365CF6">
              <w:rPr>
                <w:bCs/>
              </w:rPr>
              <w:t>2501011012</w:t>
            </w:r>
          </w:p>
        </w:tc>
        <w:tc>
          <w:tcPr>
            <w:tcW w:w="8280" w:type="dxa"/>
          </w:tcPr>
          <w:p w14:paraId="77062991" w14:textId="77777777" w:rsidR="00365CF6" w:rsidRPr="00365CF6" w:rsidRDefault="00365CF6" w:rsidP="00365CF6">
            <w:pPr>
              <w:rPr>
                <w:bCs/>
              </w:rPr>
            </w:pPr>
            <w:r w:rsidRPr="00365CF6">
              <w:rPr>
                <w:bCs/>
              </w:rPr>
              <w:t>Storage and Transport; Petroleum and Petroleum Product Storage; Residential Portable Gas Cans; Evaporation</w:t>
            </w:r>
          </w:p>
        </w:tc>
      </w:tr>
      <w:tr w:rsidR="00365CF6" w:rsidRPr="00365CF6" w14:paraId="6E99182A" w14:textId="77777777" w:rsidTr="00EF6CCF">
        <w:trPr>
          <w:jc w:val="center"/>
        </w:trPr>
        <w:tc>
          <w:tcPr>
            <w:tcW w:w="1368" w:type="dxa"/>
          </w:tcPr>
          <w:p w14:paraId="3297EE1C" w14:textId="77777777" w:rsidR="00365CF6" w:rsidRPr="00365CF6" w:rsidRDefault="00365CF6" w:rsidP="00365CF6">
            <w:pPr>
              <w:rPr>
                <w:bCs/>
              </w:rPr>
            </w:pPr>
            <w:r w:rsidRPr="00365CF6">
              <w:rPr>
                <w:bCs/>
              </w:rPr>
              <w:t>2501011013</w:t>
            </w:r>
          </w:p>
        </w:tc>
        <w:tc>
          <w:tcPr>
            <w:tcW w:w="8280" w:type="dxa"/>
          </w:tcPr>
          <w:p w14:paraId="099685D6" w14:textId="77777777" w:rsidR="00365CF6" w:rsidRPr="00365CF6" w:rsidRDefault="00365CF6" w:rsidP="00365CF6">
            <w:pPr>
              <w:rPr>
                <w:bCs/>
              </w:rPr>
            </w:pPr>
            <w:r w:rsidRPr="00365CF6">
              <w:rPr>
                <w:bCs/>
              </w:rPr>
              <w:t>Storage and Transport; Petroleum and Petroleum Product Storage; Residential Portable Gas Cans; Spillage During Transport</w:t>
            </w:r>
          </w:p>
        </w:tc>
      </w:tr>
      <w:tr w:rsidR="00365CF6" w:rsidRPr="00365CF6" w14:paraId="5E6E8FF7" w14:textId="77777777" w:rsidTr="00EF6CCF">
        <w:trPr>
          <w:jc w:val="center"/>
        </w:trPr>
        <w:tc>
          <w:tcPr>
            <w:tcW w:w="1368" w:type="dxa"/>
          </w:tcPr>
          <w:p w14:paraId="0240F0A8" w14:textId="77777777" w:rsidR="00365CF6" w:rsidRPr="00365CF6" w:rsidRDefault="00365CF6" w:rsidP="00365CF6">
            <w:pPr>
              <w:rPr>
                <w:bCs/>
              </w:rPr>
            </w:pPr>
            <w:r w:rsidRPr="00365CF6">
              <w:rPr>
                <w:bCs/>
              </w:rPr>
              <w:t>2501011014</w:t>
            </w:r>
          </w:p>
        </w:tc>
        <w:tc>
          <w:tcPr>
            <w:tcW w:w="8280" w:type="dxa"/>
          </w:tcPr>
          <w:p w14:paraId="105D1801" w14:textId="77777777" w:rsidR="00365CF6" w:rsidRPr="00365CF6" w:rsidRDefault="00365CF6" w:rsidP="00365CF6">
            <w:pPr>
              <w:rPr>
                <w:bCs/>
              </w:rPr>
            </w:pPr>
            <w:r w:rsidRPr="00365CF6">
              <w:rPr>
                <w:bCs/>
              </w:rPr>
              <w:t>Storage and Transport; Petroleum and Petroleum Product Storage; Residential Portable Gas Cans; Refilling at the Pump - Vapor Displacement</w:t>
            </w:r>
          </w:p>
        </w:tc>
      </w:tr>
      <w:tr w:rsidR="00365CF6" w:rsidRPr="00365CF6" w14:paraId="4478342A" w14:textId="77777777" w:rsidTr="00EF6CCF">
        <w:trPr>
          <w:jc w:val="center"/>
        </w:trPr>
        <w:tc>
          <w:tcPr>
            <w:tcW w:w="1368" w:type="dxa"/>
          </w:tcPr>
          <w:p w14:paraId="5295F103" w14:textId="77777777" w:rsidR="00365CF6" w:rsidRPr="00365CF6" w:rsidRDefault="00365CF6" w:rsidP="00365CF6">
            <w:pPr>
              <w:rPr>
                <w:bCs/>
              </w:rPr>
            </w:pPr>
            <w:r w:rsidRPr="00365CF6">
              <w:rPr>
                <w:bCs/>
              </w:rPr>
              <w:t>2501011015</w:t>
            </w:r>
          </w:p>
        </w:tc>
        <w:tc>
          <w:tcPr>
            <w:tcW w:w="8280" w:type="dxa"/>
          </w:tcPr>
          <w:p w14:paraId="5D4BEAB6" w14:textId="77777777" w:rsidR="00365CF6" w:rsidRPr="00365CF6" w:rsidRDefault="00365CF6" w:rsidP="00365CF6">
            <w:pPr>
              <w:rPr>
                <w:bCs/>
              </w:rPr>
            </w:pPr>
            <w:r w:rsidRPr="00365CF6">
              <w:rPr>
                <w:bCs/>
              </w:rPr>
              <w:t>Storage and Transport; Petroleum and Petroleum Product Storage; Residential Portable Gas Cans; Refilling at the Pump - Spillage</w:t>
            </w:r>
          </w:p>
        </w:tc>
      </w:tr>
      <w:tr w:rsidR="00365CF6" w:rsidRPr="00365CF6" w14:paraId="216C6EA9" w14:textId="77777777" w:rsidTr="00EF6CCF">
        <w:trPr>
          <w:jc w:val="center"/>
        </w:trPr>
        <w:tc>
          <w:tcPr>
            <w:tcW w:w="1368" w:type="dxa"/>
          </w:tcPr>
          <w:p w14:paraId="52760640" w14:textId="77777777" w:rsidR="00365CF6" w:rsidRPr="00365CF6" w:rsidRDefault="00365CF6" w:rsidP="00365CF6">
            <w:pPr>
              <w:rPr>
                <w:bCs/>
              </w:rPr>
            </w:pPr>
            <w:r w:rsidRPr="00365CF6">
              <w:rPr>
                <w:bCs/>
              </w:rPr>
              <w:t>2501012011</w:t>
            </w:r>
          </w:p>
        </w:tc>
        <w:tc>
          <w:tcPr>
            <w:tcW w:w="8280" w:type="dxa"/>
          </w:tcPr>
          <w:p w14:paraId="14DA9AAC" w14:textId="77777777" w:rsidR="00365CF6" w:rsidRPr="00365CF6" w:rsidRDefault="00365CF6" w:rsidP="00365CF6">
            <w:pPr>
              <w:rPr>
                <w:bCs/>
              </w:rPr>
            </w:pPr>
            <w:r w:rsidRPr="00365CF6">
              <w:rPr>
                <w:bCs/>
              </w:rPr>
              <w:t>Storage and Transport; Petroleum and Petroleum Product Storage; Commercial Portable Gas Cans; Permeation</w:t>
            </w:r>
          </w:p>
        </w:tc>
      </w:tr>
      <w:tr w:rsidR="00365CF6" w:rsidRPr="00365CF6" w14:paraId="2C20CEB5" w14:textId="77777777" w:rsidTr="00EF6CCF">
        <w:trPr>
          <w:jc w:val="center"/>
        </w:trPr>
        <w:tc>
          <w:tcPr>
            <w:tcW w:w="1368" w:type="dxa"/>
          </w:tcPr>
          <w:p w14:paraId="57DE0962" w14:textId="77777777" w:rsidR="00365CF6" w:rsidRPr="00365CF6" w:rsidRDefault="00365CF6" w:rsidP="00365CF6">
            <w:pPr>
              <w:rPr>
                <w:bCs/>
              </w:rPr>
            </w:pPr>
            <w:r w:rsidRPr="00365CF6">
              <w:rPr>
                <w:bCs/>
              </w:rPr>
              <w:t>2501012012</w:t>
            </w:r>
          </w:p>
        </w:tc>
        <w:tc>
          <w:tcPr>
            <w:tcW w:w="8280" w:type="dxa"/>
          </w:tcPr>
          <w:p w14:paraId="7C1AD315" w14:textId="77777777" w:rsidR="00365CF6" w:rsidRPr="00365CF6" w:rsidRDefault="00365CF6" w:rsidP="00365CF6">
            <w:pPr>
              <w:rPr>
                <w:bCs/>
              </w:rPr>
            </w:pPr>
            <w:r w:rsidRPr="00365CF6">
              <w:rPr>
                <w:bCs/>
              </w:rPr>
              <w:t>Storage and Transport; Petroleum and Petroleum Product Storage; Commercial Portable Gas Cans; Evaporation</w:t>
            </w:r>
          </w:p>
        </w:tc>
      </w:tr>
      <w:tr w:rsidR="00365CF6" w:rsidRPr="00365CF6" w14:paraId="74DA78D4" w14:textId="77777777" w:rsidTr="00EF6CCF">
        <w:trPr>
          <w:jc w:val="center"/>
        </w:trPr>
        <w:tc>
          <w:tcPr>
            <w:tcW w:w="1368" w:type="dxa"/>
          </w:tcPr>
          <w:p w14:paraId="01A6B5D2" w14:textId="77777777" w:rsidR="00365CF6" w:rsidRPr="00365CF6" w:rsidRDefault="00365CF6" w:rsidP="00365CF6">
            <w:pPr>
              <w:rPr>
                <w:bCs/>
              </w:rPr>
            </w:pPr>
            <w:r w:rsidRPr="00365CF6">
              <w:rPr>
                <w:bCs/>
              </w:rPr>
              <w:t>2501012013</w:t>
            </w:r>
          </w:p>
        </w:tc>
        <w:tc>
          <w:tcPr>
            <w:tcW w:w="8280" w:type="dxa"/>
          </w:tcPr>
          <w:p w14:paraId="7399F860" w14:textId="77777777" w:rsidR="00365CF6" w:rsidRPr="00365CF6" w:rsidRDefault="00365CF6" w:rsidP="00365CF6">
            <w:pPr>
              <w:rPr>
                <w:bCs/>
              </w:rPr>
            </w:pPr>
            <w:r w:rsidRPr="00365CF6">
              <w:rPr>
                <w:bCs/>
              </w:rPr>
              <w:t>Storage and Transport; Petroleum and Petroleum Product Storage; Commercial Portable Gas Cans; Spillage During Transport</w:t>
            </w:r>
          </w:p>
        </w:tc>
      </w:tr>
      <w:tr w:rsidR="00365CF6" w:rsidRPr="00365CF6" w14:paraId="11C8D9E9" w14:textId="77777777" w:rsidTr="00EF6CCF">
        <w:trPr>
          <w:jc w:val="center"/>
        </w:trPr>
        <w:tc>
          <w:tcPr>
            <w:tcW w:w="1368" w:type="dxa"/>
          </w:tcPr>
          <w:p w14:paraId="7C5A4F6E" w14:textId="77777777" w:rsidR="00365CF6" w:rsidRPr="00365CF6" w:rsidRDefault="00365CF6" w:rsidP="00365CF6">
            <w:pPr>
              <w:rPr>
                <w:bCs/>
              </w:rPr>
            </w:pPr>
            <w:r w:rsidRPr="00365CF6">
              <w:rPr>
                <w:bCs/>
              </w:rPr>
              <w:t>2501012014</w:t>
            </w:r>
          </w:p>
        </w:tc>
        <w:tc>
          <w:tcPr>
            <w:tcW w:w="8280" w:type="dxa"/>
          </w:tcPr>
          <w:p w14:paraId="2FA616E3" w14:textId="77777777" w:rsidR="00365CF6" w:rsidRPr="00365CF6" w:rsidRDefault="00365CF6" w:rsidP="00365CF6">
            <w:pPr>
              <w:rPr>
                <w:bCs/>
              </w:rPr>
            </w:pPr>
            <w:r w:rsidRPr="00365CF6">
              <w:rPr>
                <w:bCs/>
              </w:rPr>
              <w:t>Storage and Transport; Petroleum and Petroleum Product Storage; Commercial Portable Gas Cans; Refilling at the Pump - Vapor Displacement</w:t>
            </w:r>
          </w:p>
        </w:tc>
      </w:tr>
      <w:tr w:rsidR="00365CF6" w:rsidRPr="00365CF6" w14:paraId="6DF672A2" w14:textId="77777777" w:rsidTr="00EF6CCF">
        <w:trPr>
          <w:jc w:val="center"/>
        </w:trPr>
        <w:tc>
          <w:tcPr>
            <w:tcW w:w="1368" w:type="dxa"/>
          </w:tcPr>
          <w:p w14:paraId="615C7225" w14:textId="77777777" w:rsidR="00365CF6" w:rsidRPr="00365CF6" w:rsidRDefault="00365CF6" w:rsidP="00365CF6">
            <w:pPr>
              <w:rPr>
                <w:bCs/>
              </w:rPr>
            </w:pPr>
            <w:r w:rsidRPr="00365CF6">
              <w:rPr>
                <w:bCs/>
              </w:rPr>
              <w:t>2501012015</w:t>
            </w:r>
          </w:p>
        </w:tc>
        <w:tc>
          <w:tcPr>
            <w:tcW w:w="8280" w:type="dxa"/>
          </w:tcPr>
          <w:p w14:paraId="3293DF9E" w14:textId="77777777" w:rsidR="00365CF6" w:rsidRPr="00365CF6" w:rsidRDefault="00365CF6" w:rsidP="00365CF6">
            <w:pPr>
              <w:rPr>
                <w:bCs/>
              </w:rPr>
            </w:pPr>
            <w:r w:rsidRPr="00365CF6">
              <w:rPr>
                <w:bCs/>
              </w:rPr>
              <w:t>Storage and Transport; Petroleum and Petroleum Product Storage; Commercial Portable Gas Cans; Refilling at the Pump - Spillage</w:t>
            </w:r>
          </w:p>
        </w:tc>
      </w:tr>
    </w:tbl>
    <w:p w14:paraId="5454D449" w14:textId="77777777" w:rsidR="00365CF6" w:rsidRDefault="00AA288C" w:rsidP="00EF6CCF">
      <w:pPr>
        <w:spacing w:before="240"/>
      </w:pPr>
      <w:r>
        <w:t>Finally, state emissions were allocated to the counties using the ratio of county to State fuel consumption:</w:t>
      </w:r>
    </w:p>
    <w:p w14:paraId="5560C6CA" w14:textId="6A1C1285" w:rsidR="00AA288C" w:rsidRPr="00AA288C" w:rsidRDefault="004159BA" w:rsidP="004159BA">
      <w:pPr>
        <w:jc w:val="right"/>
      </w:pPr>
      <m:oMath>
        <m:sSub>
          <m:sSubPr>
            <m:ctrlPr>
              <w:rPr>
                <w:rFonts w:ascii="Cambria Math"/>
                <w:i/>
              </w:rPr>
            </m:ctrlPr>
          </m:sSubPr>
          <m:e>
            <m:r>
              <w:rPr>
                <w:rFonts w:ascii="Cambria Math"/>
              </w:rPr>
              <m:t>E</m:t>
            </m:r>
          </m:e>
          <m:sub>
            <m:r>
              <w:rPr>
                <w:rFonts w:ascii="Cambria Math"/>
              </w:rPr>
              <m:t>XXXX,YYYYY,AAA,SCC</m:t>
            </m:r>
          </m:sub>
        </m:sSub>
        <m:r>
          <w:rPr>
            <w:rFonts w:ascii="Cambria Math"/>
          </w:rPr>
          <m:t>=</m:t>
        </m:r>
        <m:sSub>
          <m:sSubPr>
            <m:ctrlPr>
              <w:rPr>
                <w:rFonts w:ascii="Cambria Math"/>
                <w:i/>
              </w:rPr>
            </m:ctrlPr>
          </m:sSubPr>
          <m:e>
            <m:r>
              <w:rPr>
                <w:rFonts w:ascii="Cambria Math"/>
              </w:rPr>
              <m:t>E</m:t>
            </m:r>
          </m:e>
          <m:sub>
            <m:r>
              <w:rPr>
                <w:rFonts w:ascii="Cambria Math"/>
              </w:rPr>
              <m:t>XXXX,YY,AAA,SCC</m:t>
            </m:r>
          </m:sub>
        </m:sSub>
        <m:r>
          <w:rPr>
            <w:rFonts w:ascii="Cambria Math"/>
          </w:rPr>
          <m:t>×</m:t>
        </m:r>
        <m:d>
          <m:dPr>
            <m:ctrlPr>
              <w:rPr>
                <w:rFonts w:ascii="Cambria Math"/>
                <w:i/>
              </w:rPr>
            </m:ctrlPr>
          </m:dPr>
          <m:e>
            <m:f>
              <m:fPr>
                <m:ctrlPr>
                  <w:rPr>
                    <w:rFonts w:ascii="Cambria Math"/>
                    <w:i/>
                  </w:rPr>
                </m:ctrlPr>
              </m:fPr>
              <m:num>
                <m:r>
                  <w:rPr>
                    <w:rFonts w:ascii="Cambria Math"/>
                  </w:rPr>
                  <m:t>Consumptio</m:t>
                </m:r>
                <m:sSub>
                  <m:sSubPr>
                    <m:ctrlPr>
                      <w:rPr>
                        <w:rFonts w:ascii="Cambria Math"/>
                        <w:i/>
                      </w:rPr>
                    </m:ctrlPr>
                  </m:sSubPr>
                  <m:e>
                    <m:r>
                      <w:rPr>
                        <w:rFonts w:ascii="Cambria Math"/>
                      </w:rPr>
                      <m:t>n</m:t>
                    </m:r>
                  </m:e>
                  <m:sub>
                    <m:r>
                      <w:rPr>
                        <w:rFonts w:ascii="Cambria Math"/>
                      </w:rPr>
                      <m:t>YYYYY</m:t>
                    </m:r>
                  </m:sub>
                </m:sSub>
              </m:num>
              <m:den>
                <m:r>
                  <w:rPr>
                    <w:rFonts w:ascii="Cambria Math"/>
                  </w:rPr>
                  <m:t>Consumptio</m:t>
                </m:r>
                <m:sSub>
                  <m:sSubPr>
                    <m:ctrlPr>
                      <w:rPr>
                        <w:rFonts w:ascii="Cambria Math"/>
                        <w:i/>
                      </w:rPr>
                    </m:ctrlPr>
                  </m:sSubPr>
                  <m:e>
                    <m:r>
                      <w:rPr>
                        <w:rFonts w:ascii="Cambria Math"/>
                      </w:rPr>
                      <m:t>n</m:t>
                    </m:r>
                  </m:e>
                  <m:sub>
                    <m:r>
                      <w:rPr>
                        <w:rFonts w:ascii="Cambria Math"/>
                      </w:rPr>
                      <m:t>YY</m:t>
                    </m:r>
                  </m:sub>
                </m:sSub>
                <m:ctrlPr>
                  <w:rPr>
                    <w:rFonts w:ascii="Cambria Math" w:hAnsi="Cambria Math"/>
                    <w:i/>
                  </w:rPr>
                </m:ctrlPr>
              </m:den>
            </m:f>
            <m:ctrlPr>
              <w:rPr>
                <w:rFonts w:ascii="Cambria Math" w:hAnsi="Cambria Math"/>
                <w:i/>
              </w:rPr>
            </m:ctrlPr>
          </m:e>
        </m:d>
      </m:oMath>
      <w:r w:rsidR="00985FB8">
        <w:tab/>
      </w:r>
      <w:r w:rsidR="00EF6CCF">
        <w:tab/>
      </w:r>
      <w:r w:rsidR="00985FB8">
        <w:tab/>
      </w:r>
      <w:r w:rsidR="00985FB8">
        <w:tab/>
        <w:t>(5</w:t>
      </w:r>
      <w:r w:rsidR="00AA288C" w:rsidRPr="00AA288C">
        <w:t>)</w:t>
      </w:r>
    </w:p>
    <w:p w14:paraId="180CB827" w14:textId="4916E5D4" w:rsidR="00AA288C" w:rsidRPr="00AA288C" w:rsidRDefault="00EF6CCF" w:rsidP="00AA288C">
      <w:r>
        <w:t xml:space="preserve">, </w:t>
      </w:r>
      <w:r w:rsidR="00AA288C" w:rsidRPr="00AA288C">
        <w:t>where E</w:t>
      </w:r>
      <w:r w:rsidR="00AA288C" w:rsidRPr="00AA288C">
        <w:rPr>
          <w:vertAlign w:val="subscript"/>
        </w:rPr>
        <w:t xml:space="preserve">XXXX,YYYYY,AAA,SCC </w:t>
      </w:r>
      <w:r w:rsidR="00AA288C" w:rsidRPr="00AA288C">
        <w:t>were the emissions for year XXXX, county with FIPS code YYYYY, emission sce</w:t>
      </w:r>
      <w:r w:rsidR="003D2904">
        <w:t>nario AAA,</w:t>
      </w:r>
      <w:r w:rsidR="00AA288C" w:rsidRPr="00AA288C">
        <w:t xml:space="preserve"> and SCC shown in Table 1, E</w:t>
      </w:r>
      <w:r w:rsidR="00AA288C" w:rsidRPr="00AA288C">
        <w:rPr>
          <w:vertAlign w:val="subscript"/>
        </w:rPr>
        <w:t>XXXX,YY,AAA,SCC</w:t>
      </w:r>
      <w:r w:rsidR="00AA288C" w:rsidRPr="00AA288C">
        <w:t xml:space="preserve"> were the state level emissions for year XXXX, state YY, emission s</w:t>
      </w:r>
      <w:r w:rsidR="00AA288C">
        <w:t>cenario AAA, and SCC in Table 1</w:t>
      </w:r>
      <w:r w:rsidR="00AA288C" w:rsidRPr="00AA288C">
        <w:t xml:space="preserve">, </w:t>
      </w:r>
      <w:proofErr w:type="spellStart"/>
      <w:r w:rsidR="00AA288C" w:rsidRPr="00AA288C">
        <w:t>Consumption</w:t>
      </w:r>
      <w:r w:rsidR="00AA288C" w:rsidRPr="00AA288C">
        <w:rPr>
          <w:vertAlign w:val="subscript"/>
        </w:rPr>
        <w:t>YYYY</w:t>
      </w:r>
      <w:proofErr w:type="spellEnd"/>
      <w:r w:rsidR="00AA288C" w:rsidRPr="00AA288C">
        <w:t xml:space="preserve"> was the county fuel consumption and </w:t>
      </w:r>
      <w:proofErr w:type="spellStart"/>
      <w:r w:rsidR="00AA288C" w:rsidRPr="00AA288C">
        <w:t>Consumption</w:t>
      </w:r>
      <w:r w:rsidR="00AA288C" w:rsidRPr="00AA288C">
        <w:rPr>
          <w:vertAlign w:val="subscript"/>
        </w:rPr>
        <w:t>YY</w:t>
      </w:r>
      <w:proofErr w:type="spellEnd"/>
      <w:r w:rsidR="00AA288C" w:rsidRPr="00AA288C">
        <w:t xml:space="preserve"> was the state fuel consumption.</w:t>
      </w:r>
    </w:p>
    <w:p w14:paraId="3B017EEB" w14:textId="77777777" w:rsidR="00AA288C" w:rsidRDefault="001429B4" w:rsidP="006A6EA8">
      <w:r>
        <w:t xml:space="preserve">Below are descriptions of how 2014 PFC inventories for various types of pollutants were developed for the </w:t>
      </w:r>
      <w:r w:rsidR="003D2904">
        <w:t xml:space="preserve">2014 </w:t>
      </w:r>
      <w:r>
        <w:t>NEI, for different groups of SCCs.</w:t>
      </w:r>
    </w:p>
    <w:p w14:paraId="436ED38A" w14:textId="77777777" w:rsidR="001429B4" w:rsidRPr="001429B4" w:rsidRDefault="001429B4">
      <w:pPr>
        <w:rPr>
          <w:b/>
          <w:u w:val="single"/>
        </w:rPr>
      </w:pPr>
      <w:r w:rsidRPr="001429B4">
        <w:rPr>
          <w:b/>
          <w:u w:val="single"/>
        </w:rPr>
        <w:t>VOCs</w:t>
      </w:r>
    </w:p>
    <w:p w14:paraId="0DB62AA1" w14:textId="77777777" w:rsidR="00743C7B" w:rsidRDefault="00743C7B">
      <w:pPr>
        <w:rPr>
          <w:u w:val="single"/>
        </w:rPr>
      </w:pPr>
      <w:r w:rsidRPr="00743C7B">
        <w:rPr>
          <w:u w:val="single"/>
        </w:rPr>
        <w:t>Permeation and Evaporation</w:t>
      </w:r>
    </w:p>
    <w:p w14:paraId="208E1FA2" w14:textId="77777777" w:rsidR="00743C7B" w:rsidRDefault="00C00443">
      <w:r>
        <w:lastRenderedPageBreak/>
        <w:t>These emissions are represented by the following SCCs</w:t>
      </w:r>
    </w:p>
    <w:p w14:paraId="076045B9" w14:textId="77777777" w:rsidR="00C00443" w:rsidRDefault="00C00443">
      <w:r>
        <w:t>2501011011 – Residential Portable Fuel Containers: Permeation</w:t>
      </w:r>
    </w:p>
    <w:p w14:paraId="135F82B5" w14:textId="77777777" w:rsidR="00C00443" w:rsidRDefault="00C00443">
      <w:r>
        <w:t>2501011012 – Residential Portable Fuel Containers: Evaporation</w:t>
      </w:r>
    </w:p>
    <w:p w14:paraId="52260B95" w14:textId="77777777" w:rsidR="00C00443" w:rsidRDefault="00C00443">
      <w:r>
        <w:t>2501012011 – Commercial Portable Fuel Containers: Permeation</w:t>
      </w:r>
    </w:p>
    <w:p w14:paraId="189724F4" w14:textId="77777777" w:rsidR="00C00443" w:rsidRDefault="00C00443">
      <w:r>
        <w:t>2501012012 – Commercial Portable Fuel Containers: Evaporation</w:t>
      </w:r>
    </w:p>
    <w:p w14:paraId="7971659A" w14:textId="721FD57F" w:rsidR="008E1869" w:rsidRDefault="00265F76" w:rsidP="00265F76">
      <w:r>
        <w:t xml:space="preserve">Emissions from these SCCs are impacted by </w:t>
      </w:r>
      <w:r w:rsidR="003D2904">
        <w:t>2007 MSA</w:t>
      </w:r>
      <w:r w:rsidR="00B01BD0">
        <w:t>T</w:t>
      </w:r>
      <w:r w:rsidR="003D2904">
        <w:t xml:space="preserve"> rule </w:t>
      </w:r>
      <w:r>
        <w:t>standards limiting evaporation and permeation emissions from these containers to 0.3 grams of hydrocarbons per day.</w:t>
      </w:r>
      <w:r w:rsidRPr="00265F76">
        <w:rPr>
          <w:rStyle w:val="EndnoteReference"/>
        </w:rPr>
        <w:t xml:space="preserve"> </w:t>
      </w:r>
      <w:r>
        <w:rPr>
          <w:rStyle w:val="EndnoteReference"/>
        </w:rPr>
        <w:endnoteReference w:id="3"/>
      </w:r>
      <w:r w:rsidR="00EF6CCF">
        <w:t xml:space="preserve"> </w:t>
      </w:r>
      <w:r>
        <w:t>Inventory estimates developed for calendar year 2018 in EPA’s Tier 3 vehicle rule modeling platform</w:t>
      </w:r>
      <w:r>
        <w:rPr>
          <w:rStyle w:val="EndnoteReference"/>
        </w:rPr>
        <w:endnoteReference w:id="4"/>
      </w:r>
      <w:r>
        <w:t xml:space="preserve"> reflect the impact of these standards</w:t>
      </w:r>
      <w:r w:rsidR="006B6DD0">
        <w:t xml:space="preserve">, as well as impacts of RVP and oxygenate use.  </w:t>
      </w:r>
      <w:r w:rsidR="001429B4">
        <w:t xml:space="preserve">These Tier 3 inventories were interpolated from earlier 2015 and 2020 </w:t>
      </w:r>
      <w:r w:rsidR="003D2904">
        <w:t xml:space="preserve">MSAT2 rule </w:t>
      </w:r>
      <w:r w:rsidR="001429B4">
        <w:t xml:space="preserve">inventories and assumed 100% E10.  </w:t>
      </w:r>
      <w:r w:rsidR="006B6DD0">
        <w:t>They</w:t>
      </w:r>
      <w:r>
        <w:t xml:space="preserve"> were judged to be reasonable approximations of the 2014 inventory</w:t>
      </w:r>
      <w:r w:rsidR="008E1869">
        <w:t>, although increases in activity between 2014 and 2018 means emissions will be overestimated in the 2014 NEI</w:t>
      </w:r>
      <w:r>
        <w:t xml:space="preserve">. </w:t>
      </w:r>
    </w:p>
    <w:p w14:paraId="0E53B14C" w14:textId="4A4E56C2" w:rsidR="009A02D6" w:rsidRDefault="008E1869" w:rsidP="00265F76">
      <w:pPr>
        <w:rPr>
          <w:u w:val="single"/>
        </w:rPr>
      </w:pPr>
      <w:r w:rsidRPr="008E1869">
        <w:rPr>
          <w:u w:val="single"/>
        </w:rPr>
        <w:t>Vapor Displacement</w:t>
      </w:r>
    </w:p>
    <w:p w14:paraId="3BC556E6" w14:textId="77777777" w:rsidR="009A02D6" w:rsidRDefault="009A02D6" w:rsidP="00265F76">
      <w:r>
        <w:t>Vapor displacement emissions occur while refueling containers at the pump.  These emissions are represented by the following SCCs:</w:t>
      </w:r>
    </w:p>
    <w:p w14:paraId="1CA3886E" w14:textId="77777777" w:rsidR="009A02D6" w:rsidRDefault="009A02D6" w:rsidP="00265F76">
      <w:r>
        <w:t>25010111014 – Residential Portable Fuel Containers: Refilling at the Pump: Vapor Displacement</w:t>
      </w:r>
    </w:p>
    <w:p w14:paraId="48B59364" w14:textId="77777777" w:rsidR="009A02D6" w:rsidRDefault="009A02D6" w:rsidP="00265F76">
      <w:r>
        <w:t>25010112014 – Commercial Portable Fuel Containers: Refilling at the Pump: Vapor Displacement</w:t>
      </w:r>
    </w:p>
    <w:p w14:paraId="78E43C57" w14:textId="77777777" w:rsidR="009A02D6" w:rsidRDefault="009A02D6" w:rsidP="00265F76">
      <w:r>
        <w:t xml:space="preserve">These emissions </w:t>
      </w:r>
      <w:r w:rsidR="003D2904">
        <w:t>are not impacted by MSAT2 rule</w:t>
      </w:r>
      <w:r w:rsidR="006B6DD0">
        <w:t xml:space="preserve"> </w:t>
      </w:r>
      <w:proofErr w:type="gramStart"/>
      <w:r w:rsidR="0055024E">
        <w:t>standards, but</w:t>
      </w:r>
      <w:proofErr w:type="gramEnd"/>
      <w:r w:rsidR="0055024E">
        <w:t xml:space="preserve"> are impacted by RVP and oxygenate use.  </w:t>
      </w:r>
      <w:r w:rsidR="0055024E" w:rsidRPr="0055024E">
        <w:t>Inventory estimates developed for calendar year 2018 in EPA’s Tier 3 vehicle rule modeling platform</w:t>
      </w:r>
      <w:r w:rsidR="0055024E">
        <w:t xml:space="preserve"> were judged to be reasonable approximations of the 2014 inventory, </w:t>
      </w:r>
      <w:r w:rsidR="0055024E" w:rsidRPr="0055024E">
        <w:t>although increases in activity between 2014 and 2018 means emissions will be overestimated in the 2014 NEI.</w:t>
      </w:r>
    </w:p>
    <w:p w14:paraId="66EBCDB7" w14:textId="77777777" w:rsidR="0055024E" w:rsidRDefault="0055024E" w:rsidP="00265F76">
      <w:pPr>
        <w:rPr>
          <w:u w:val="single"/>
        </w:rPr>
      </w:pPr>
      <w:r w:rsidRPr="0055024E">
        <w:rPr>
          <w:u w:val="single"/>
        </w:rPr>
        <w:t>Spillage</w:t>
      </w:r>
    </w:p>
    <w:p w14:paraId="7F3FC5E9" w14:textId="77777777" w:rsidR="007615C4" w:rsidRDefault="0055024E" w:rsidP="00265F76">
      <w:r>
        <w:t>Spillage occurs during transport and refilling at the pump.</w:t>
      </w:r>
      <w:r w:rsidR="007615C4">
        <w:t xml:space="preserve">  These emissions are represented by the following SCCs:</w:t>
      </w:r>
    </w:p>
    <w:p w14:paraId="4C987314" w14:textId="77777777" w:rsidR="007615C4" w:rsidRDefault="007615C4" w:rsidP="00265F76">
      <w:r>
        <w:t>2501011013 – Residential Portable Fuel Containers: Spillage During Transport</w:t>
      </w:r>
    </w:p>
    <w:p w14:paraId="0F83B4CA" w14:textId="77777777" w:rsidR="007615C4" w:rsidRDefault="007615C4" w:rsidP="00265F76">
      <w:r>
        <w:t>2501011015 -- Residential Portable Fuel Containers: Refilling at the Pump: Spillage</w:t>
      </w:r>
    </w:p>
    <w:p w14:paraId="4ABB59C9" w14:textId="77777777" w:rsidR="007615C4" w:rsidRPr="007615C4" w:rsidRDefault="007615C4" w:rsidP="007615C4">
      <w:r>
        <w:t>2501012</w:t>
      </w:r>
      <w:r w:rsidRPr="007615C4">
        <w:t>013 –</w:t>
      </w:r>
      <w:r>
        <w:t xml:space="preserve"> Commercial</w:t>
      </w:r>
      <w:r w:rsidRPr="007615C4">
        <w:t xml:space="preserve"> Portable Fuel Containers: Spillage During Transport</w:t>
      </w:r>
    </w:p>
    <w:p w14:paraId="10705AE6" w14:textId="77777777" w:rsidR="007615C4" w:rsidRDefault="007615C4" w:rsidP="007615C4">
      <w:r>
        <w:t>2501012</w:t>
      </w:r>
      <w:r w:rsidRPr="007615C4">
        <w:t xml:space="preserve">015 -- </w:t>
      </w:r>
      <w:r>
        <w:t>Commercial</w:t>
      </w:r>
      <w:r w:rsidRPr="007615C4">
        <w:t xml:space="preserve"> Portable Fuel Containers: Refilling at the Pump: Spillage</w:t>
      </w:r>
    </w:p>
    <w:p w14:paraId="415BEC17" w14:textId="1D6012C0" w:rsidR="001429B4" w:rsidRDefault="007615C4" w:rsidP="007615C4">
      <w:r>
        <w:t xml:space="preserve">These emissions are not impacted by </w:t>
      </w:r>
      <w:r w:rsidR="00EE1D1F">
        <w:t xml:space="preserve">MSAT2 </w:t>
      </w:r>
      <w:r>
        <w:t xml:space="preserve">standards or RVP.  However, composition of the emissions are </w:t>
      </w:r>
      <w:r w:rsidR="001429B4">
        <w:t>impacted by oxygenate.  VOC e</w:t>
      </w:r>
      <w:r>
        <w:t>missions for these SCCs are carried forward from 2011</w:t>
      </w:r>
      <w:r w:rsidR="001429B4">
        <w:t>.</w:t>
      </w:r>
    </w:p>
    <w:p w14:paraId="7E7D1395" w14:textId="77777777" w:rsidR="001429B4" w:rsidRPr="001429B4" w:rsidRDefault="001429B4" w:rsidP="007615C4">
      <w:pPr>
        <w:rPr>
          <w:b/>
          <w:u w:val="single"/>
        </w:rPr>
      </w:pPr>
      <w:r w:rsidRPr="001429B4">
        <w:rPr>
          <w:b/>
          <w:u w:val="single"/>
        </w:rPr>
        <w:t>Air Toxics</w:t>
      </w:r>
    </w:p>
    <w:p w14:paraId="1F65242E" w14:textId="77777777" w:rsidR="001429B4" w:rsidRPr="008D1FB8" w:rsidRDefault="008D1FB8" w:rsidP="007615C4">
      <w:pPr>
        <w:rPr>
          <w:u w:val="single"/>
        </w:rPr>
      </w:pPr>
      <w:r w:rsidRPr="008D1FB8">
        <w:rPr>
          <w:u w:val="single"/>
        </w:rPr>
        <w:t>Permeation, Evaporation and Vapor Displacement</w:t>
      </w:r>
    </w:p>
    <w:p w14:paraId="0629C5AB" w14:textId="77777777" w:rsidR="008D1FB8" w:rsidRPr="008D1FB8" w:rsidRDefault="008D1FB8" w:rsidP="008D1FB8">
      <w:r w:rsidRPr="008D1FB8">
        <w:lastRenderedPageBreak/>
        <w:t>MSATs found in liquid gasoline will be present as a component of VOC emissions.  These MSATs include benzene, ethanol, and naphthalene.  For vapor displacement, toxic to VOC ratios were obtained from headspace vapor profiles from EPAct test fuels.</w:t>
      </w:r>
      <w:r w:rsidRPr="008D1FB8">
        <w:rPr>
          <w:vertAlign w:val="superscript"/>
        </w:rPr>
        <w:endnoteReference w:id="5"/>
      </w:r>
      <w:r w:rsidRPr="008D1FB8">
        <w:t xml:space="preserve">  For permeation emissions, vehicle permeation speciation data from Coordinating Research Council (CRC) technical reports E-77-2b and E-77-2c were used.</w:t>
      </w:r>
      <w:r w:rsidRPr="008D1FB8">
        <w:rPr>
          <w:vertAlign w:val="superscript"/>
        </w:rPr>
        <w:endnoteReference w:id="6"/>
      </w:r>
      <w:r w:rsidRPr="008D1FB8">
        <w:rPr>
          <w:vertAlign w:val="superscript"/>
        </w:rPr>
        <w:t>,</w:t>
      </w:r>
      <w:r w:rsidRPr="008D1FB8">
        <w:rPr>
          <w:vertAlign w:val="superscript"/>
        </w:rPr>
        <w:endnoteReference w:id="7"/>
      </w:r>
      <w:r w:rsidRPr="008D1FB8">
        <w:t xml:space="preserve">  We relied on three day diurnal profiles from the CRC data.  For evaporative emissions resulting from changes in ambient temperatures, speciation data from the Auto/Oil program were used for E0 and E10.</w:t>
      </w:r>
      <w:r w:rsidRPr="008D1FB8">
        <w:rPr>
          <w:vertAlign w:val="superscript"/>
        </w:rPr>
        <w:endnoteReference w:id="8"/>
      </w:r>
      <w:r w:rsidRPr="008D1FB8">
        <w:t xml:space="preserve">  Table </w:t>
      </w:r>
      <w:r>
        <w:t>2</w:t>
      </w:r>
      <w:r w:rsidRPr="008D1FB8">
        <w:t xml:space="preserve"> lists the toxic to VOC ratios for each type of PFC emission.</w:t>
      </w:r>
    </w:p>
    <w:p w14:paraId="0B90D324" w14:textId="77777777" w:rsidR="00AA5C7B" w:rsidRPr="00EF6CCF" w:rsidRDefault="00AA5C7B" w:rsidP="00EF6CCF">
      <w:pPr>
        <w:jc w:val="center"/>
        <w:rPr>
          <w:bCs/>
          <w:iCs/>
        </w:rPr>
      </w:pPr>
      <w:bookmarkStart w:id="0" w:name="_Ref302723374"/>
      <w:r w:rsidRPr="008D1FB8">
        <w:rPr>
          <w:b/>
          <w:bCs/>
          <w:iCs/>
        </w:rPr>
        <w:t xml:space="preserve">Table </w:t>
      </w:r>
      <w:bookmarkEnd w:id="0"/>
      <w:r>
        <w:rPr>
          <w:b/>
          <w:bCs/>
          <w:iCs/>
        </w:rPr>
        <w:t>2</w:t>
      </w:r>
      <w:r w:rsidRPr="008D1FB8">
        <w:rPr>
          <w:b/>
          <w:bCs/>
          <w:iCs/>
        </w:rPr>
        <w:t xml:space="preserve">. </w:t>
      </w:r>
      <w:r w:rsidRPr="00EF6CCF">
        <w:rPr>
          <w:bCs/>
          <w:iCs/>
        </w:rPr>
        <w:t>Toxic to VOC ratios for PFCs</w:t>
      </w:r>
    </w:p>
    <w:tbl>
      <w:tblPr>
        <w:tblW w:w="0" w:type="auto"/>
        <w:jc w:val="center"/>
        <w:tblLook w:val="04A0" w:firstRow="1" w:lastRow="0" w:firstColumn="1" w:lastColumn="0" w:noHBand="0" w:noVBand="1"/>
        <w:tblCaption w:val="Table 2. Toxic to VOC ratios for PFCs"/>
        <w:tblDescription w:val="Pollutant, Process, Speciation Surrogate, EO, E10"/>
      </w:tblPr>
      <w:tblGrid>
        <w:gridCol w:w="1375"/>
        <w:gridCol w:w="2025"/>
        <w:gridCol w:w="2117"/>
        <w:gridCol w:w="830"/>
        <w:gridCol w:w="830"/>
      </w:tblGrid>
      <w:tr w:rsidR="00AA5C7B" w:rsidRPr="008D1FB8" w14:paraId="304FC733" w14:textId="77777777" w:rsidTr="00EF6CCF">
        <w:trPr>
          <w:trHeight w:val="4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0D163" w14:textId="77777777" w:rsidR="00AA5C7B" w:rsidRPr="003A005E" w:rsidRDefault="00AA5C7B" w:rsidP="00EF6CCF">
            <w:pPr>
              <w:rPr>
                <w:b/>
              </w:rPr>
            </w:pPr>
            <w:r w:rsidRPr="003A005E">
              <w:rPr>
                <w:b/>
              </w:rPr>
              <w:t>Pollutant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6D9D7B" w14:textId="77777777" w:rsidR="00AA5C7B" w:rsidRPr="003A005E" w:rsidRDefault="00AA5C7B" w:rsidP="00EF6CCF">
            <w:pPr>
              <w:rPr>
                <w:b/>
              </w:rPr>
            </w:pPr>
            <w:r w:rsidRPr="003A005E">
              <w:rPr>
                <w:b/>
              </w:rPr>
              <w:t>Process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3F3B58" w14:textId="77777777" w:rsidR="00AA5C7B" w:rsidRPr="003A005E" w:rsidRDefault="00AA5C7B" w:rsidP="00EF6CCF">
            <w:pPr>
              <w:rPr>
                <w:b/>
              </w:rPr>
            </w:pPr>
            <w:r w:rsidRPr="003A005E">
              <w:rPr>
                <w:b/>
              </w:rPr>
              <w:t>Speciation Surrogate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D479A3" w14:textId="77777777" w:rsidR="00AA5C7B" w:rsidRPr="003A005E" w:rsidRDefault="00AA5C7B" w:rsidP="00EF6CCF">
            <w:pPr>
              <w:rPr>
                <w:b/>
              </w:rPr>
            </w:pPr>
            <w:r w:rsidRPr="003A005E">
              <w:rPr>
                <w:b/>
              </w:rPr>
              <w:t>E0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4B0D73" w14:textId="77777777" w:rsidR="00AA5C7B" w:rsidRPr="003A005E" w:rsidRDefault="00AA5C7B" w:rsidP="00EF6CCF">
            <w:pPr>
              <w:rPr>
                <w:b/>
              </w:rPr>
            </w:pPr>
            <w:r w:rsidRPr="003A005E">
              <w:rPr>
                <w:b/>
              </w:rPr>
              <w:t>E10</w:t>
            </w:r>
          </w:p>
        </w:tc>
      </w:tr>
      <w:tr w:rsidR="00AA5C7B" w:rsidRPr="008D1FB8" w14:paraId="6926E6CA" w14:textId="77777777" w:rsidTr="00EF6CCF">
        <w:trPr>
          <w:trHeight w:val="400"/>
          <w:jc w:val="center"/>
        </w:trPr>
        <w:tc>
          <w:tcPr>
            <w:tcW w:w="0" w:type="auto"/>
            <w:vMerge w:val="restart"/>
            <w:tcBorders>
              <w:top w:val="nil"/>
              <w:left w:val="single" w:sz="4" w:space="0" w:color="auto"/>
              <w:right w:val="single" w:sz="4" w:space="0" w:color="auto"/>
            </w:tcBorders>
            <w:shd w:val="clear" w:color="auto" w:fill="auto"/>
            <w:noWrap/>
            <w:vAlign w:val="center"/>
            <w:hideMark/>
          </w:tcPr>
          <w:p w14:paraId="7F99C1DF" w14:textId="77777777" w:rsidR="00AA5C7B" w:rsidRPr="008D1FB8" w:rsidRDefault="00AA5C7B" w:rsidP="00EF6CCF">
            <w:r w:rsidRPr="008D1FB8">
              <w:t>Benzene</w:t>
            </w:r>
          </w:p>
        </w:tc>
        <w:tc>
          <w:tcPr>
            <w:tcW w:w="0" w:type="auto"/>
            <w:tcBorders>
              <w:top w:val="nil"/>
              <w:left w:val="nil"/>
              <w:bottom w:val="single" w:sz="4" w:space="0" w:color="auto"/>
              <w:right w:val="single" w:sz="4" w:space="0" w:color="auto"/>
            </w:tcBorders>
            <w:shd w:val="clear" w:color="auto" w:fill="auto"/>
            <w:noWrap/>
            <w:vAlign w:val="center"/>
            <w:hideMark/>
          </w:tcPr>
          <w:p w14:paraId="48AF79C1" w14:textId="6C95FC6A" w:rsidR="00AA5C7B" w:rsidRPr="008D1FB8" w:rsidRDefault="00AA5C7B" w:rsidP="00EF6CCF">
            <w:r w:rsidRPr="008D1FB8">
              <w:t>Vapor Displ</w:t>
            </w:r>
            <w:r w:rsidR="00EF6CCF">
              <w:t>acement</w:t>
            </w:r>
          </w:p>
        </w:tc>
        <w:tc>
          <w:tcPr>
            <w:tcW w:w="0" w:type="auto"/>
            <w:tcBorders>
              <w:top w:val="nil"/>
              <w:left w:val="nil"/>
              <w:bottom w:val="single" w:sz="4" w:space="0" w:color="auto"/>
              <w:right w:val="single" w:sz="4" w:space="0" w:color="auto"/>
            </w:tcBorders>
            <w:shd w:val="clear" w:color="auto" w:fill="auto"/>
            <w:noWrap/>
            <w:vAlign w:val="center"/>
            <w:hideMark/>
          </w:tcPr>
          <w:p w14:paraId="0EDEB0C4" w14:textId="77777777" w:rsidR="00AA5C7B" w:rsidRPr="008D1FB8" w:rsidRDefault="00AA5C7B" w:rsidP="00EF6CCF">
            <w:r w:rsidRPr="008D1FB8">
              <w:t>Vehicle Headspace</w:t>
            </w:r>
          </w:p>
        </w:tc>
        <w:tc>
          <w:tcPr>
            <w:tcW w:w="0" w:type="auto"/>
            <w:tcBorders>
              <w:top w:val="nil"/>
              <w:left w:val="nil"/>
              <w:bottom w:val="single" w:sz="4" w:space="0" w:color="auto"/>
              <w:right w:val="single" w:sz="4" w:space="0" w:color="auto"/>
            </w:tcBorders>
            <w:shd w:val="clear" w:color="auto" w:fill="auto"/>
            <w:noWrap/>
            <w:vAlign w:val="center"/>
            <w:hideMark/>
          </w:tcPr>
          <w:p w14:paraId="103005E7" w14:textId="77777777" w:rsidR="00AA5C7B" w:rsidRPr="008D1FB8" w:rsidRDefault="00AA5C7B" w:rsidP="00EF6CCF">
            <w:r w:rsidRPr="008D1FB8">
              <w:t>0.0077</w:t>
            </w:r>
          </w:p>
        </w:tc>
        <w:tc>
          <w:tcPr>
            <w:tcW w:w="0" w:type="auto"/>
            <w:tcBorders>
              <w:top w:val="nil"/>
              <w:left w:val="nil"/>
              <w:bottom w:val="single" w:sz="4" w:space="0" w:color="auto"/>
              <w:right w:val="single" w:sz="4" w:space="0" w:color="auto"/>
            </w:tcBorders>
            <w:shd w:val="clear" w:color="auto" w:fill="auto"/>
            <w:noWrap/>
            <w:vAlign w:val="center"/>
            <w:hideMark/>
          </w:tcPr>
          <w:p w14:paraId="1D5F3953" w14:textId="77777777" w:rsidR="00AA5C7B" w:rsidRPr="008D1FB8" w:rsidRDefault="00AA5C7B" w:rsidP="00EF6CCF">
            <w:r w:rsidRPr="008D1FB8">
              <w:t>0.0087</w:t>
            </w:r>
          </w:p>
        </w:tc>
      </w:tr>
      <w:tr w:rsidR="00AA5C7B" w:rsidRPr="008D1FB8" w14:paraId="3697DD3D" w14:textId="77777777" w:rsidTr="00EF6CCF">
        <w:trPr>
          <w:trHeight w:val="400"/>
          <w:jc w:val="center"/>
        </w:trPr>
        <w:tc>
          <w:tcPr>
            <w:tcW w:w="0" w:type="auto"/>
            <w:vMerge/>
            <w:tcBorders>
              <w:left w:val="single" w:sz="4" w:space="0" w:color="auto"/>
              <w:right w:val="single" w:sz="4" w:space="0" w:color="auto"/>
            </w:tcBorders>
            <w:shd w:val="clear" w:color="auto" w:fill="auto"/>
            <w:noWrap/>
            <w:vAlign w:val="center"/>
            <w:hideMark/>
          </w:tcPr>
          <w:p w14:paraId="1470B1B8" w14:textId="77777777" w:rsidR="00AA5C7B" w:rsidRPr="008D1FB8" w:rsidRDefault="00AA5C7B" w:rsidP="00EF6CCF"/>
        </w:tc>
        <w:tc>
          <w:tcPr>
            <w:tcW w:w="0" w:type="auto"/>
            <w:tcBorders>
              <w:top w:val="nil"/>
              <w:left w:val="nil"/>
              <w:bottom w:val="single" w:sz="4" w:space="0" w:color="auto"/>
              <w:right w:val="single" w:sz="4" w:space="0" w:color="auto"/>
            </w:tcBorders>
            <w:shd w:val="clear" w:color="auto" w:fill="auto"/>
            <w:noWrap/>
            <w:vAlign w:val="center"/>
            <w:hideMark/>
          </w:tcPr>
          <w:p w14:paraId="425EAD9F" w14:textId="77777777" w:rsidR="00AA5C7B" w:rsidRPr="008D1FB8" w:rsidRDefault="00AA5C7B" w:rsidP="00EF6CCF">
            <w:r w:rsidRPr="008D1FB8">
              <w:t>Permeation</w:t>
            </w:r>
          </w:p>
        </w:tc>
        <w:tc>
          <w:tcPr>
            <w:tcW w:w="0" w:type="auto"/>
            <w:tcBorders>
              <w:top w:val="nil"/>
              <w:left w:val="nil"/>
              <w:bottom w:val="single" w:sz="4" w:space="0" w:color="auto"/>
              <w:right w:val="single" w:sz="4" w:space="0" w:color="auto"/>
            </w:tcBorders>
            <w:shd w:val="clear" w:color="auto" w:fill="auto"/>
            <w:noWrap/>
            <w:vAlign w:val="center"/>
            <w:hideMark/>
          </w:tcPr>
          <w:p w14:paraId="45377511" w14:textId="77777777" w:rsidR="00AA5C7B" w:rsidRPr="008D1FB8" w:rsidRDefault="00AA5C7B" w:rsidP="00EF6CCF">
            <w:r w:rsidRPr="008D1FB8">
              <w:t>Vehicle Permeation</w:t>
            </w:r>
          </w:p>
        </w:tc>
        <w:tc>
          <w:tcPr>
            <w:tcW w:w="0" w:type="auto"/>
            <w:tcBorders>
              <w:top w:val="nil"/>
              <w:left w:val="nil"/>
              <w:bottom w:val="single" w:sz="4" w:space="0" w:color="auto"/>
              <w:right w:val="single" w:sz="4" w:space="0" w:color="auto"/>
            </w:tcBorders>
            <w:shd w:val="clear" w:color="auto" w:fill="auto"/>
            <w:noWrap/>
            <w:vAlign w:val="center"/>
            <w:hideMark/>
          </w:tcPr>
          <w:p w14:paraId="7B92F1E0" w14:textId="77777777" w:rsidR="00AA5C7B" w:rsidRPr="008D1FB8" w:rsidRDefault="00AA5C7B" w:rsidP="00EF6CCF">
            <w:r w:rsidRPr="008D1FB8">
              <w:t>0.0250</w:t>
            </w:r>
          </w:p>
        </w:tc>
        <w:tc>
          <w:tcPr>
            <w:tcW w:w="0" w:type="auto"/>
            <w:tcBorders>
              <w:top w:val="nil"/>
              <w:left w:val="nil"/>
              <w:bottom w:val="single" w:sz="4" w:space="0" w:color="auto"/>
              <w:right w:val="single" w:sz="4" w:space="0" w:color="auto"/>
            </w:tcBorders>
            <w:shd w:val="clear" w:color="auto" w:fill="auto"/>
            <w:noWrap/>
            <w:vAlign w:val="center"/>
            <w:hideMark/>
          </w:tcPr>
          <w:p w14:paraId="4F56235F" w14:textId="77777777" w:rsidR="00AA5C7B" w:rsidRPr="008D1FB8" w:rsidRDefault="00AA5C7B" w:rsidP="00EF6CCF">
            <w:r w:rsidRPr="008D1FB8">
              <w:t>0.0227</w:t>
            </w:r>
          </w:p>
        </w:tc>
      </w:tr>
      <w:tr w:rsidR="00AA5C7B" w:rsidRPr="008D1FB8" w14:paraId="2FBCA6FC" w14:textId="77777777" w:rsidTr="00EF6CCF">
        <w:trPr>
          <w:trHeight w:val="400"/>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14:paraId="7B0F2BF2" w14:textId="77777777" w:rsidR="00AA5C7B" w:rsidRPr="008D1FB8" w:rsidRDefault="00AA5C7B" w:rsidP="00EF6CCF"/>
        </w:tc>
        <w:tc>
          <w:tcPr>
            <w:tcW w:w="0" w:type="auto"/>
            <w:tcBorders>
              <w:top w:val="nil"/>
              <w:left w:val="nil"/>
              <w:bottom w:val="single" w:sz="4" w:space="0" w:color="auto"/>
              <w:right w:val="single" w:sz="4" w:space="0" w:color="auto"/>
            </w:tcBorders>
            <w:shd w:val="clear" w:color="auto" w:fill="auto"/>
            <w:noWrap/>
            <w:vAlign w:val="center"/>
            <w:hideMark/>
          </w:tcPr>
          <w:p w14:paraId="1015EB5D" w14:textId="77777777" w:rsidR="00AA5C7B" w:rsidRPr="008D1FB8" w:rsidRDefault="00AA5C7B" w:rsidP="00EF6CCF">
            <w:r w:rsidRPr="008D1FB8">
              <w:t>Evaporation</w:t>
            </w:r>
          </w:p>
        </w:tc>
        <w:tc>
          <w:tcPr>
            <w:tcW w:w="0" w:type="auto"/>
            <w:tcBorders>
              <w:top w:val="nil"/>
              <w:left w:val="nil"/>
              <w:bottom w:val="single" w:sz="4" w:space="0" w:color="auto"/>
              <w:right w:val="single" w:sz="4" w:space="0" w:color="auto"/>
            </w:tcBorders>
            <w:shd w:val="clear" w:color="auto" w:fill="auto"/>
            <w:noWrap/>
            <w:vAlign w:val="center"/>
            <w:hideMark/>
          </w:tcPr>
          <w:p w14:paraId="33F2F96C" w14:textId="77777777" w:rsidR="00AA5C7B" w:rsidRPr="008D1FB8" w:rsidRDefault="00AA5C7B" w:rsidP="00EF6CCF">
            <w:r w:rsidRPr="008D1FB8">
              <w:t>Vehicle Evap</w:t>
            </w:r>
          </w:p>
        </w:tc>
        <w:tc>
          <w:tcPr>
            <w:tcW w:w="0" w:type="auto"/>
            <w:tcBorders>
              <w:top w:val="nil"/>
              <w:left w:val="nil"/>
              <w:bottom w:val="single" w:sz="4" w:space="0" w:color="auto"/>
              <w:right w:val="single" w:sz="4" w:space="0" w:color="auto"/>
            </w:tcBorders>
            <w:shd w:val="clear" w:color="auto" w:fill="auto"/>
            <w:noWrap/>
            <w:vAlign w:val="center"/>
            <w:hideMark/>
          </w:tcPr>
          <w:p w14:paraId="0B576547" w14:textId="77777777" w:rsidR="00AA5C7B" w:rsidRPr="008D1FB8" w:rsidRDefault="00AA5C7B" w:rsidP="00EF6CCF">
            <w:r w:rsidRPr="008D1FB8">
              <w:t>0.0336</w:t>
            </w:r>
          </w:p>
        </w:tc>
        <w:tc>
          <w:tcPr>
            <w:tcW w:w="0" w:type="auto"/>
            <w:tcBorders>
              <w:top w:val="nil"/>
              <w:left w:val="nil"/>
              <w:bottom w:val="single" w:sz="4" w:space="0" w:color="auto"/>
              <w:right w:val="single" w:sz="4" w:space="0" w:color="auto"/>
            </w:tcBorders>
            <w:shd w:val="clear" w:color="auto" w:fill="auto"/>
            <w:noWrap/>
            <w:vAlign w:val="center"/>
            <w:hideMark/>
          </w:tcPr>
          <w:p w14:paraId="32D4FB62" w14:textId="77777777" w:rsidR="00AA5C7B" w:rsidRPr="008D1FB8" w:rsidRDefault="00AA5C7B" w:rsidP="00EF6CCF">
            <w:r w:rsidRPr="008D1FB8">
              <w:t>0.0340</w:t>
            </w:r>
          </w:p>
        </w:tc>
      </w:tr>
      <w:tr w:rsidR="00AA5C7B" w:rsidRPr="008D1FB8" w14:paraId="03EEF74C" w14:textId="77777777" w:rsidTr="00EF6CCF">
        <w:trPr>
          <w:trHeight w:val="400"/>
          <w:jc w:val="center"/>
        </w:trPr>
        <w:tc>
          <w:tcPr>
            <w:tcW w:w="0" w:type="auto"/>
            <w:vMerge w:val="restart"/>
            <w:tcBorders>
              <w:top w:val="nil"/>
              <w:left w:val="single" w:sz="4" w:space="0" w:color="auto"/>
              <w:right w:val="single" w:sz="4" w:space="0" w:color="auto"/>
            </w:tcBorders>
            <w:shd w:val="clear" w:color="auto" w:fill="auto"/>
            <w:noWrap/>
            <w:vAlign w:val="center"/>
            <w:hideMark/>
          </w:tcPr>
          <w:p w14:paraId="735ED6DA" w14:textId="77777777" w:rsidR="00AA5C7B" w:rsidRPr="008D1FB8" w:rsidRDefault="00AA5C7B" w:rsidP="00EF6CCF">
            <w:r w:rsidRPr="008D1FB8">
              <w:t>Naphthalene</w:t>
            </w:r>
          </w:p>
        </w:tc>
        <w:tc>
          <w:tcPr>
            <w:tcW w:w="0" w:type="auto"/>
            <w:tcBorders>
              <w:top w:val="nil"/>
              <w:left w:val="nil"/>
              <w:bottom w:val="single" w:sz="4" w:space="0" w:color="auto"/>
              <w:right w:val="single" w:sz="4" w:space="0" w:color="auto"/>
            </w:tcBorders>
            <w:shd w:val="clear" w:color="auto" w:fill="auto"/>
            <w:noWrap/>
            <w:vAlign w:val="center"/>
            <w:hideMark/>
          </w:tcPr>
          <w:p w14:paraId="18656A13" w14:textId="3D911E6B" w:rsidR="00AA5C7B" w:rsidRPr="008D1FB8" w:rsidRDefault="00AA5C7B" w:rsidP="00EF6CCF">
            <w:r w:rsidRPr="008D1FB8">
              <w:t>Vapor Displ</w:t>
            </w:r>
            <w:r w:rsidR="00EF6CCF">
              <w:t>acement</w:t>
            </w:r>
          </w:p>
        </w:tc>
        <w:tc>
          <w:tcPr>
            <w:tcW w:w="0" w:type="auto"/>
            <w:tcBorders>
              <w:top w:val="nil"/>
              <w:left w:val="nil"/>
              <w:bottom w:val="single" w:sz="4" w:space="0" w:color="auto"/>
              <w:right w:val="single" w:sz="4" w:space="0" w:color="auto"/>
            </w:tcBorders>
            <w:shd w:val="clear" w:color="auto" w:fill="auto"/>
            <w:noWrap/>
            <w:vAlign w:val="center"/>
            <w:hideMark/>
          </w:tcPr>
          <w:p w14:paraId="05A31E91" w14:textId="77777777" w:rsidR="00AA5C7B" w:rsidRPr="008D1FB8" w:rsidRDefault="00AA5C7B" w:rsidP="00EF6CCF">
            <w:r w:rsidRPr="008D1FB8">
              <w:t>Vehicle Headspace</w:t>
            </w:r>
          </w:p>
        </w:tc>
        <w:tc>
          <w:tcPr>
            <w:tcW w:w="0" w:type="auto"/>
            <w:tcBorders>
              <w:top w:val="nil"/>
              <w:left w:val="nil"/>
              <w:bottom w:val="single" w:sz="4" w:space="0" w:color="auto"/>
              <w:right w:val="single" w:sz="4" w:space="0" w:color="auto"/>
            </w:tcBorders>
            <w:shd w:val="clear" w:color="auto" w:fill="auto"/>
            <w:noWrap/>
            <w:vAlign w:val="center"/>
            <w:hideMark/>
          </w:tcPr>
          <w:p w14:paraId="5DD854F9" w14:textId="77777777" w:rsidR="00AA5C7B" w:rsidRPr="008D1FB8" w:rsidRDefault="00AA5C7B" w:rsidP="00EF6CCF">
            <w:r w:rsidRPr="008D1FB8">
              <w:t>0.0000</w:t>
            </w:r>
          </w:p>
        </w:tc>
        <w:tc>
          <w:tcPr>
            <w:tcW w:w="0" w:type="auto"/>
            <w:tcBorders>
              <w:top w:val="nil"/>
              <w:left w:val="nil"/>
              <w:bottom w:val="single" w:sz="4" w:space="0" w:color="auto"/>
              <w:right w:val="single" w:sz="4" w:space="0" w:color="auto"/>
            </w:tcBorders>
            <w:shd w:val="clear" w:color="auto" w:fill="auto"/>
            <w:noWrap/>
            <w:vAlign w:val="center"/>
            <w:hideMark/>
          </w:tcPr>
          <w:p w14:paraId="4F40CC6B" w14:textId="77777777" w:rsidR="00AA5C7B" w:rsidRPr="008D1FB8" w:rsidRDefault="00AA5C7B" w:rsidP="00EF6CCF">
            <w:r w:rsidRPr="008D1FB8">
              <w:t>0.0000</w:t>
            </w:r>
          </w:p>
        </w:tc>
      </w:tr>
      <w:tr w:rsidR="00AA5C7B" w:rsidRPr="008D1FB8" w14:paraId="68BAC1FF" w14:textId="77777777" w:rsidTr="00EF6CCF">
        <w:trPr>
          <w:trHeight w:val="400"/>
          <w:jc w:val="center"/>
        </w:trPr>
        <w:tc>
          <w:tcPr>
            <w:tcW w:w="0" w:type="auto"/>
            <w:vMerge/>
            <w:tcBorders>
              <w:left w:val="single" w:sz="4" w:space="0" w:color="auto"/>
              <w:right w:val="single" w:sz="4" w:space="0" w:color="auto"/>
            </w:tcBorders>
            <w:shd w:val="clear" w:color="auto" w:fill="auto"/>
            <w:noWrap/>
            <w:vAlign w:val="center"/>
            <w:hideMark/>
          </w:tcPr>
          <w:p w14:paraId="0191CA99" w14:textId="77777777" w:rsidR="00AA5C7B" w:rsidRPr="008D1FB8" w:rsidRDefault="00AA5C7B" w:rsidP="00EF6CCF"/>
        </w:tc>
        <w:tc>
          <w:tcPr>
            <w:tcW w:w="0" w:type="auto"/>
            <w:tcBorders>
              <w:top w:val="nil"/>
              <w:left w:val="nil"/>
              <w:bottom w:val="single" w:sz="4" w:space="0" w:color="auto"/>
              <w:right w:val="single" w:sz="4" w:space="0" w:color="auto"/>
            </w:tcBorders>
            <w:shd w:val="clear" w:color="auto" w:fill="auto"/>
            <w:noWrap/>
            <w:vAlign w:val="center"/>
            <w:hideMark/>
          </w:tcPr>
          <w:p w14:paraId="5115F499" w14:textId="77777777" w:rsidR="00AA5C7B" w:rsidRPr="008D1FB8" w:rsidRDefault="00AA5C7B" w:rsidP="00EF6CCF">
            <w:r w:rsidRPr="008D1FB8">
              <w:t>Permeation</w:t>
            </w:r>
          </w:p>
        </w:tc>
        <w:tc>
          <w:tcPr>
            <w:tcW w:w="0" w:type="auto"/>
            <w:tcBorders>
              <w:top w:val="nil"/>
              <w:left w:val="nil"/>
              <w:bottom w:val="single" w:sz="4" w:space="0" w:color="auto"/>
              <w:right w:val="single" w:sz="4" w:space="0" w:color="auto"/>
            </w:tcBorders>
            <w:shd w:val="clear" w:color="auto" w:fill="auto"/>
            <w:noWrap/>
            <w:vAlign w:val="center"/>
            <w:hideMark/>
          </w:tcPr>
          <w:p w14:paraId="52556115" w14:textId="77777777" w:rsidR="00AA5C7B" w:rsidRPr="008D1FB8" w:rsidRDefault="00AA5C7B" w:rsidP="00EF6CCF">
            <w:r w:rsidRPr="008D1FB8">
              <w:t>Vehicle Permeation</w:t>
            </w:r>
          </w:p>
        </w:tc>
        <w:tc>
          <w:tcPr>
            <w:tcW w:w="0" w:type="auto"/>
            <w:tcBorders>
              <w:top w:val="nil"/>
              <w:left w:val="nil"/>
              <w:bottom w:val="single" w:sz="4" w:space="0" w:color="auto"/>
              <w:right w:val="single" w:sz="4" w:space="0" w:color="auto"/>
            </w:tcBorders>
            <w:shd w:val="clear" w:color="auto" w:fill="auto"/>
            <w:noWrap/>
            <w:vAlign w:val="center"/>
            <w:hideMark/>
          </w:tcPr>
          <w:p w14:paraId="307A3D38" w14:textId="77777777" w:rsidR="00AA5C7B" w:rsidRPr="008D1FB8" w:rsidRDefault="00AA5C7B" w:rsidP="00EF6CCF">
            <w:r w:rsidRPr="008D1FB8">
              <w:t>0.0004</w:t>
            </w:r>
          </w:p>
        </w:tc>
        <w:tc>
          <w:tcPr>
            <w:tcW w:w="0" w:type="auto"/>
            <w:tcBorders>
              <w:top w:val="nil"/>
              <w:left w:val="nil"/>
              <w:bottom w:val="single" w:sz="4" w:space="0" w:color="auto"/>
              <w:right w:val="single" w:sz="4" w:space="0" w:color="auto"/>
            </w:tcBorders>
            <w:shd w:val="clear" w:color="auto" w:fill="auto"/>
            <w:noWrap/>
            <w:vAlign w:val="center"/>
            <w:hideMark/>
          </w:tcPr>
          <w:p w14:paraId="5C8B57F9" w14:textId="77777777" w:rsidR="00AA5C7B" w:rsidRPr="008D1FB8" w:rsidRDefault="00AA5C7B" w:rsidP="00EF6CCF">
            <w:r w:rsidRPr="008D1FB8">
              <w:t>0.0004</w:t>
            </w:r>
          </w:p>
        </w:tc>
      </w:tr>
      <w:tr w:rsidR="00AA5C7B" w:rsidRPr="008D1FB8" w14:paraId="0F4905E0" w14:textId="77777777" w:rsidTr="00EF6CCF">
        <w:trPr>
          <w:trHeight w:val="400"/>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14:paraId="5FB14BF8" w14:textId="77777777" w:rsidR="00AA5C7B" w:rsidRPr="008D1FB8" w:rsidRDefault="00AA5C7B" w:rsidP="00EF6CCF"/>
        </w:tc>
        <w:tc>
          <w:tcPr>
            <w:tcW w:w="0" w:type="auto"/>
            <w:tcBorders>
              <w:top w:val="nil"/>
              <w:left w:val="nil"/>
              <w:bottom w:val="single" w:sz="4" w:space="0" w:color="auto"/>
              <w:right w:val="single" w:sz="4" w:space="0" w:color="auto"/>
            </w:tcBorders>
            <w:shd w:val="clear" w:color="auto" w:fill="auto"/>
            <w:noWrap/>
            <w:vAlign w:val="center"/>
            <w:hideMark/>
          </w:tcPr>
          <w:p w14:paraId="2FBC5E5C" w14:textId="77777777" w:rsidR="00AA5C7B" w:rsidRPr="008D1FB8" w:rsidRDefault="00AA5C7B" w:rsidP="00EF6CCF">
            <w:r w:rsidRPr="008D1FB8">
              <w:t>Evaporation</w:t>
            </w:r>
          </w:p>
        </w:tc>
        <w:tc>
          <w:tcPr>
            <w:tcW w:w="0" w:type="auto"/>
            <w:tcBorders>
              <w:top w:val="nil"/>
              <w:left w:val="nil"/>
              <w:bottom w:val="single" w:sz="4" w:space="0" w:color="auto"/>
              <w:right w:val="single" w:sz="4" w:space="0" w:color="auto"/>
            </w:tcBorders>
            <w:shd w:val="clear" w:color="auto" w:fill="auto"/>
            <w:noWrap/>
            <w:vAlign w:val="center"/>
            <w:hideMark/>
          </w:tcPr>
          <w:p w14:paraId="687CAD29" w14:textId="77777777" w:rsidR="00AA5C7B" w:rsidRPr="008D1FB8" w:rsidRDefault="00AA5C7B" w:rsidP="00EF6CCF">
            <w:r w:rsidRPr="008D1FB8">
              <w:t>Vehicle Evap</w:t>
            </w:r>
          </w:p>
        </w:tc>
        <w:tc>
          <w:tcPr>
            <w:tcW w:w="0" w:type="auto"/>
            <w:tcBorders>
              <w:top w:val="nil"/>
              <w:left w:val="nil"/>
              <w:bottom w:val="single" w:sz="4" w:space="0" w:color="auto"/>
              <w:right w:val="single" w:sz="4" w:space="0" w:color="auto"/>
            </w:tcBorders>
            <w:shd w:val="clear" w:color="auto" w:fill="auto"/>
            <w:noWrap/>
            <w:vAlign w:val="center"/>
            <w:hideMark/>
          </w:tcPr>
          <w:p w14:paraId="120BF183" w14:textId="77777777" w:rsidR="00AA5C7B" w:rsidRPr="008D1FB8" w:rsidRDefault="00AA5C7B" w:rsidP="00EF6CCF">
            <w:r w:rsidRPr="008D1FB8">
              <w:t>0.0004</w:t>
            </w:r>
          </w:p>
        </w:tc>
        <w:tc>
          <w:tcPr>
            <w:tcW w:w="0" w:type="auto"/>
            <w:tcBorders>
              <w:top w:val="nil"/>
              <w:left w:val="nil"/>
              <w:bottom w:val="single" w:sz="4" w:space="0" w:color="auto"/>
              <w:right w:val="single" w:sz="4" w:space="0" w:color="auto"/>
            </w:tcBorders>
            <w:shd w:val="clear" w:color="auto" w:fill="auto"/>
            <w:noWrap/>
            <w:vAlign w:val="center"/>
            <w:hideMark/>
          </w:tcPr>
          <w:p w14:paraId="6F3CEC7A" w14:textId="77777777" w:rsidR="00AA5C7B" w:rsidRPr="008D1FB8" w:rsidRDefault="00AA5C7B" w:rsidP="00EF6CCF">
            <w:r w:rsidRPr="008D1FB8">
              <w:t>0.0004</w:t>
            </w:r>
          </w:p>
        </w:tc>
      </w:tr>
      <w:tr w:rsidR="00AA5C7B" w:rsidRPr="008D1FB8" w14:paraId="7D6188E8" w14:textId="77777777" w:rsidTr="00EF6CCF">
        <w:trPr>
          <w:trHeight w:val="400"/>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14:paraId="7F731818" w14:textId="77777777" w:rsidR="00AA5C7B" w:rsidRPr="008D1FB8" w:rsidRDefault="00AA5C7B" w:rsidP="00EF6CCF">
            <w:r w:rsidRPr="008D1FB8">
              <w:t>Ethanol</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7059FC" w14:textId="19D2E518" w:rsidR="00AA5C7B" w:rsidRPr="008D1FB8" w:rsidRDefault="00EF6CCF" w:rsidP="00EF6CCF">
            <w:r>
              <w:t>Vapor Displacement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390FC2" w14:textId="77777777" w:rsidR="00AA5C7B" w:rsidRPr="008D1FB8" w:rsidRDefault="00AA5C7B" w:rsidP="00EF6CCF">
            <w:r w:rsidRPr="008D1FB8">
              <w:t>Vehicle Headspace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1E5F04" w14:textId="77777777" w:rsidR="00AA5C7B" w:rsidRPr="008D1FB8" w:rsidRDefault="00AA5C7B" w:rsidP="00EF6CCF">
            <w:r w:rsidRPr="008D1FB8">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2FF89D" w14:textId="77777777" w:rsidR="00AA5C7B" w:rsidRPr="008D1FB8" w:rsidRDefault="00AA5C7B" w:rsidP="00EF6CCF">
            <w:r w:rsidRPr="008D1FB8">
              <w:t>0.0645</w:t>
            </w:r>
          </w:p>
        </w:tc>
      </w:tr>
      <w:tr w:rsidR="00AA5C7B" w:rsidRPr="008D1FB8" w14:paraId="28D34AF5" w14:textId="77777777" w:rsidTr="00EF6CCF">
        <w:trPr>
          <w:trHeight w:val="400"/>
          <w:jc w:val="center"/>
        </w:trPr>
        <w:tc>
          <w:tcPr>
            <w:tcW w:w="0" w:type="auto"/>
            <w:vMerge/>
            <w:tcBorders>
              <w:left w:val="single" w:sz="4" w:space="0" w:color="auto"/>
              <w:right w:val="single" w:sz="4" w:space="0" w:color="auto"/>
            </w:tcBorders>
            <w:shd w:val="clear" w:color="auto" w:fill="auto"/>
            <w:noWrap/>
            <w:vAlign w:val="center"/>
            <w:hideMark/>
          </w:tcPr>
          <w:p w14:paraId="21CE1F60" w14:textId="77777777" w:rsidR="00AA5C7B" w:rsidRPr="008D1FB8" w:rsidRDefault="00AA5C7B" w:rsidP="00EF6CCF"/>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965959" w14:textId="77777777" w:rsidR="00AA5C7B" w:rsidRPr="008D1FB8" w:rsidRDefault="00AA5C7B" w:rsidP="00EF6CCF">
            <w:r w:rsidRPr="008D1FB8">
              <w:t>Permeation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EEA35E" w14:textId="77777777" w:rsidR="00AA5C7B" w:rsidRPr="008D1FB8" w:rsidRDefault="00AA5C7B" w:rsidP="00EF6CCF">
            <w:r w:rsidRPr="008D1FB8">
              <w:t>Vehicle Permeation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FE26B0" w14:textId="77777777" w:rsidR="00AA5C7B" w:rsidRPr="008D1FB8" w:rsidRDefault="00AA5C7B" w:rsidP="00EF6CCF">
            <w:r w:rsidRPr="008D1FB8">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1F0A1A" w14:textId="77777777" w:rsidR="00AA5C7B" w:rsidRPr="008D1FB8" w:rsidRDefault="00AA5C7B" w:rsidP="00EF6CCF">
            <w:r w:rsidRPr="008D1FB8">
              <w:t>0.2020</w:t>
            </w:r>
          </w:p>
        </w:tc>
      </w:tr>
      <w:tr w:rsidR="00AA5C7B" w:rsidRPr="008D1FB8" w14:paraId="58482A58" w14:textId="77777777" w:rsidTr="00EF6CCF">
        <w:trPr>
          <w:trHeight w:val="400"/>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14:paraId="4CEF65BB" w14:textId="77777777" w:rsidR="00AA5C7B" w:rsidRPr="008D1FB8" w:rsidRDefault="00AA5C7B" w:rsidP="00EF6CCF"/>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1E90C7" w14:textId="77777777" w:rsidR="00AA5C7B" w:rsidRPr="008D1FB8" w:rsidRDefault="00AA5C7B" w:rsidP="00EF6CCF">
            <w:r w:rsidRPr="008D1FB8">
              <w:t>Evaporation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A4CD9B" w14:textId="77777777" w:rsidR="00AA5C7B" w:rsidRPr="008D1FB8" w:rsidRDefault="00AA5C7B" w:rsidP="00EF6CCF">
            <w:r w:rsidRPr="008D1FB8">
              <w:t>Vehicle Evap</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706655" w14:textId="77777777" w:rsidR="00AA5C7B" w:rsidRPr="008D1FB8" w:rsidRDefault="00AA5C7B" w:rsidP="00EF6CCF">
            <w:r w:rsidRPr="008D1FB8">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12BF78" w14:textId="77777777" w:rsidR="00AA5C7B" w:rsidRPr="008D1FB8" w:rsidRDefault="00AA5C7B" w:rsidP="00EF6CCF">
            <w:r w:rsidRPr="008D1FB8">
              <w:t>0.1190</w:t>
            </w:r>
          </w:p>
        </w:tc>
      </w:tr>
    </w:tbl>
    <w:p w14:paraId="013C71CF" w14:textId="77777777" w:rsidR="008D1FB8" w:rsidRDefault="008D1FB8" w:rsidP="00EF6CCF">
      <w:pPr>
        <w:spacing w:before="240"/>
      </w:pPr>
      <w:r>
        <w:t xml:space="preserve">Emissions of other air toxics for permeation, evaporation, and vapor displacement were all estimated from the EPAct headspace vapor displacement profile for E10 (SPECIATE profile 8870).  </w:t>
      </w:r>
      <w:r w:rsidR="00AA5C7B">
        <w:t>Toxic to VOC ratios are provided in Table 3.</w:t>
      </w:r>
    </w:p>
    <w:p w14:paraId="56A974C1" w14:textId="77777777" w:rsidR="003A005E" w:rsidRDefault="003A005E" w:rsidP="00EF6CCF">
      <w:pPr>
        <w:jc w:val="center"/>
      </w:pPr>
      <w:r w:rsidRPr="003A005E">
        <w:rPr>
          <w:b/>
        </w:rPr>
        <w:t>Table 3.</w:t>
      </w:r>
      <w:r>
        <w:t xml:space="preserve">  Toxic to VOC ratios for Other HAPs (Vapor Displacement, Permeation and Evaporation).</w:t>
      </w:r>
    </w:p>
    <w:tbl>
      <w:tblPr>
        <w:tblStyle w:val="TableGrid"/>
        <w:tblW w:w="0" w:type="auto"/>
        <w:jc w:val="center"/>
        <w:tblLook w:val="04A0" w:firstRow="1" w:lastRow="0" w:firstColumn="1" w:lastColumn="0" w:noHBand="0" w:noVBand="1"/>
        <w:tblCaption w:val="Table 3.  Toxic to VOC ratios for Other HAPs (Vapor Displacement, Permeation and Evaporation)"/>
        <w:tblDescription w:val="Pollutant, Toxic to VOC Ratio"/>
      </w:tblPr>
      <w:tblGrid>
        <w:gridCol w:w="2425"/>
        <w:gridCol w:w="2070"/>
      </w:tblGrid>
      <w:tr w:rsidR="003A005E" w14:paraId="1BE195D0" w14:textId="77777777" w:rsidTr="00EF6CCF">
        <w:trPr>
          <w:jc w:val="center"/>
        </w:trPr>
        <w:tc>
          <w:tcPr>
            <w:tcW w:w="2425" w:type="dxa"/>
          </w:tcPr>
          <w:p w14:paraId="3DF0EB14" w14:textId="77777777" w:rsidR="003A005E" w:rsidRPr="003A005E" w:rsidRDefault="003A005E" w:rsidP="008D1FB8">
            <w:pPr>
              <w:rPr>
                <w:b/>
              </w:rPr>
            </w:pPr>
            <w:r w:rsidRPr="003A005E">
              <w:rPr>
                <w:b/>
              </w:rPr>
              <w:t>Pollutant</w:t>
            </w:r>
          </w:p>
        </w:tc>
        <w:tc>
          <w:tcPr>
            <w:tcW w:w="2070" w:type="dxa"/>
          </w:tcPr>
          <w:p w14:paraId="5E77255F" w14:textId="77777777" w:rsidR="003A005E" w:rsidRPr="003A005E" w:rsidRDefault="003A005E" w:rsidP="008D1FB8">
            <w:pPr>
              <w:rPr>
                <w:b/>
              </w:rPr>
            </w:pPr>
            <w:r w:rsidRPr="003A005E">
              <w:rPr>
                <w:b/>
              </w:rPr>
              <w:t>Toxic to VOC Ratio</w:t>
            </w:r>
          </w:p>
        </w:tc>
      </w:tr>
      <w:tr w:rsidR="003A005E" w14:paraId="5709A77E" w14:textId="77777777" w:rsidTr="00EF6CCF">
        <w:trPr>
          <w:jc w:val="center"/>
        </w:trPr>
        <w:tc>
          <w:tcPr>
            <w:tcW w:w="2425" w:type="dxa"/>
          </w:tcPr>
          <w:p w14:paraId="383D2068" w14:textId="77777777" w:rsidR="003A005E" w:rsidRDefault="003A005E" w:rsidP="008D1FB8">
            <w:r>
              <w:t>Ethylbenzene</w:t>
            </w:r>
          </w:p>
        </w:tc>
        <w:tc>
          <w:tcPr>
            <w:tcW w:w="2070" w:type="dxa"/>
          </w:tcPr>
          <w:p w14:paraId="1C111970" w14:textId="77777777" w:rsidR="003A005E" w:rsidRDefault="003A005E" w:rsidP="008D1FB8">
            <w:r>
              <w:t>0.0068</w:t>
            </w:r>
          </w:p>
        </w:tc>
      </w:tr>
      <w:tr w:rsidR="003A005E" w14:paraId="77393DD8" w14:textId="77777777" w:rsidTr="00EF6CCF">
        <w:trPr>
          <w:jc w:val="center"/>
        </w:trPr>
        <w:tc>
          <w:tcPr>
            <w:tcW w:w="2425" w:type="dxa"/>
          </w:tcPr>
          <w:p w14:paraId="286B6364" w14:textId="77777777" w:rsidR="003A005E" w:rsidRDefault="003A005E" w:rsidP="008D1FB8">
            <w:r>
              <w:t>Hexane</w:t>
            </w:r>
          </w:p>
        </w:tc>
        <w:tc>
          <w:tcPr>
            <w:tcW w:w="2070" w:type="dxa"/>
          </w:tcPr>
          <w:p w14:paraId="3AD0CC45" w14:textId="77777777" w:rsidR="003A005E" w:rsidRDefault="003A005E" w:rsidP="008D1FB8">
            <w:r>
              <w:t>0.</w:t>
            </w:r>
            <w:r w:rsidR="00F33F99">
              <w:t>0</w:t>
            </w:r>
            <w:r>
              <w:t>616</w:t>
            </w:r>
          </w:p>
        </w:tc>
        <w:bookmarkStart w:id="1" w:name="_GoBack"/>
        <w:bookmarkEnd w:id="1"/>
      </w:tr>
      <w:tr w:rsidR="003A005E" w14:paraId="1AB0E340" w14:textId="77777777" w:rsidTr="00EF6CCF">
        <w:trPr>
          <w:jc w:val="center"/>
        </w:trPr>
        <w:tc>
          <w:tcPr>
            <w:tcW w:w="2425" w:type="dxa"/>
          </w:tcPr>
          <w:p w14:paraId="6A066BF2" w14:textId="77777777" w:rsidR="003A005E" w:rsidRDefault="003A005E" w:rsidP="008D1FB8">
            <w:r>
              <w:t>Toluene</w:t>
            </w:r>
          </w:p>
        </w:tc>
        <w:tc>
          <w:tcPr>
            <w:tcW w:w="2070" w:type="dxa"/>
          </w:tcPr>
          <w:p w14:paraId="13681316" w14:textId="77777777" w:rsidR="003A005E" w:rsidRDefault="003A005E" w:rsidP="008D1FB8">
            <w:r>
              <w:t>0.0521</w:t>
            </w:r>
          </w:p>
        </w:tc>
      </w:tr>
      <w:tr w:rsidR="003A005E" w14:paraId="16C6033A" w14:textId="77777777" w:rsidTr="00EF6CCF">
        <w:trPr>
          <w:jc w:val="center"/>
        </w:trPr>
        <w:tc>
          <w:tcPr>
            <w:tcW w:w="2425" w:type="dxa"/>
          </w:tcPr>
          <w:p w14:paraId="0F0AC0D4" w14:textId="77777777" w:rsidR="003A005E" w:rsidRDefault="003A005E" w:rsidP="008D1FB8">
            <w:r>
              <w:t>Xylenes (</w:t>
            </w:r>
            <w:proofErr w:type="spellStart"/>
            <w:r>
              <w:t>o,m,p</w:t>
            </w:r>
            <w:proofErr w:type="spellEnd"/>
            <w:r>
              <w:t>)</w:t>
            </w:r>
          </w:p>
        </w:tc>
        <w:tc>
          <w:tcPr>
            <w:tcW w:w="2070" w:type="dxa"/>
          </w:tcPr>
          <w:p w14:paraId="2A944FCC" w14:textId="77777777" w:rsidR="003A005E" w:rsidRDefault="003A005E" w:rsidP="008D1FB8">
            <w:r>
              <w:t>0.0300</w:t>
            </w:r>
          </w:p>
        </w:tc>
      </w:tr>
      <w:tr w:rsidR="003A005E" w14:paraId="3236C353" w14:textId="77777777" w:rsidTr="00EF6CCF">
        <w:trPr>
          <w:jc w:val="center"/>
        </w:trPr>
        <w:tc>
          <w:tcPr>
            <w:tcW w:w="2425" w:type="dxa"/>
          </w:tcPr>
          <w:p w14:paraId="457691CD" w14:textId="77777777" w:rsidR="003A005E" w:rsidRDefault="003A005E" w:rsidP="008D1FB8">
            <w:r>
              <w:t>2,2,4-Trimethylpentane</w:t>
            </w:r>
          </w:p>
        </w:tc>
        <w:tc>
          <w:tcPr>
            <w:tcW w:w="2070" w:type="dxa"/>
          </w:tcPr>
          <w:p w14:paraId="70C4351E" w14:textId="77777777" w:rsidR="003A005E" w:rsidRDefault="003A005E" w:rsidP="008D1FB8">
            <w:r>
              <w:t>0.0540</w:t>
            </w:r>
          </w:p>
        </w:tc>
      </w:tr>
    </w:tbl>
    <w:p w14:paraId="09E41C55" w14:textId="77777777" w:rsidR="003A005E" w:rsidRPr="00985FB8" w:rsidRDefault="00985FB8" w:rsidP="00EF6CCF">
      <w:pPr>
        <w:keepNext/>
        <w:rPr>
          <w:u w:val="single"/>
        </w:rPr>
      </w:pPr>
      <w:r w:rsidRPr="00985FB8">
        <w:rPr>
          <w:u w:val="single"/>
        </w:rPr>
        <w:t>Spillage</w:t>
      </w:r>
    </w:p>
    <w:p w14:paraId="0F1F98C3" w14:textId="77777777" w:rsidR="00985FB8" w:rsidRDefault="00985FB8" w:rsidP="008D1FB8">
      <w:r>
        <w:t>Since spillage emissions were carried forward from the 2011 NEI, the HAP estimation approach for these emissions reflects the methods used for that inventory.</w:t>
      </w:r>
      <w:r w:rsidR="008A12D8">
        <w:t xml:space="preserve">  The methods used in </w:t>
      </w:r>
      <w:r w:rsidR="003D2904">
        <w:t xml:space="preserve">the </w:t>
      </w:r>
      <w:r w:rsidR="008A12D8">
        <w:t xml:space="preserve">2011 </w:t>
      </w:r>
      <w:r w:rsidR="003D2904">
        <w:t xml:space="preserve">NEI </w:t>
      </w:r>
      <w:r w:rsidR="008A12D8">
        <w:t>are described below.</w:t>
      </w:r>
    </w:p>
    <w:p w14:paraId="4A3426F0" w14:textId="77777777" w:rsidR="00985FB8" w:rsidRDefault="00985FB8" w:rsidP="00985FB8">
      <w:r w:rsidRPr="00985FB8">
        <w:t>To calculate the benzene emissions for each PFC SCC in each county the fo</w:t>
      </w:r>
      <w:r>
        <w:t>llowing formulas was used:</w:t>
      </w:r>
    </w:p>
    <w:p w14:paraId="58A457A5" w14:textId="654E28A0" w:rsidR="00985FB8" w:rsidRPr="00985FB8" w:rsidRDefault="00CB4D62" w:rsidP="00CB4D62">
      <w:pPr>
        <w:jc w:val="right"/>
      </w:pPr>
      <m:oMath>
        <m:r>
          <w:rPr>
            <w:rFonts w:ascii="Cambria Math"/>
          </w:rPr>
          <w:lastRenderedPageBreak/>
          <m:t>Benzen</m:t>
        </m:r>
        <m:sSub>
          <m:sSubPr>
            <m:ctrlPr>
              <w:rPr>
                <w:rFonts w:ascii="Cambria Math"/>
                <w:i/>
              </w:rPr>
            </m:ctrlPr>
          </m:sSubPr>
          <m:e>
            <m:r>
              <w:rPr>
                <w:rFonts w:ascii="Cambria Math"/>
              </w:rPr>
              <m:t>e</m:t>
            </m:r>
          </m:e>
          <m:sub>
            <m:r>
              <w:rPr>
                <w:rFonts w:ascii="Cambria Math"/>
              </w:rPr>
              <m:t>XXXX,YYYYY,SCC</m:t>
            </m:r>
          </m:sub>
        </m:sSub>
        <m:r>
          <w:rPr>
            <w:rFonts w:ascii="Cambria Math"/>
          </w:rPr>
          <m:t>=VO</m:t>
        </m:r>
        <m:sSub>
          <m:sSubPr>
            <m:ctrlPr>
              <w:rPr>
                <w:rFonts w:ascii="Cambria Math"/>
                <w:i/>
              </w:rPr>
            </m:ctrlPr>
          </m:sSubPr>
          <m:e>
            <m:r>
              <w:rPr>
                <w:rFonts w:ascii="Cambria Math"/>
              </w:rPr>
              <m:t>C</m:t>
            </m:r>
          </m:e>
          <m:sub>
            <m:r>
              <w:rPr>
                <w:rFonts w:ascii="Cambria Math"/>
              </w:rPr>
              <m:t>XXXX,YYYYY,SCC</m:t>
            </m:r>
          </m:sub>
        </m:sSub>
        <m:r>
          <w:rPr>
            <w:rFonts w:ascii="Cambria Math"/>
          </w:rPr>
          <m:t>×</m:t>
        </m:r>
        <m:d>
          <m:dPr>
            <m:ctrlPr>
              <w:rPr>
                <w:rFonts w:ascii="Cambria Math"/>
                <w:i/>
              </w:rPr>
            </m:ctrlPr>
          </m:dPr>
          <m:e>
            <m:f>
              <m:fPr>
                <m:ctrlPr>
                  <w:rPr>
                    <w:rFonts w:ascii="Cambria Math"/>
                    <w:i/>
                  </w:rPr>
                </m:ctrlPr>
              </m:fPr>
              <m:num>
                <m:r>
                  <w:rPr>
                    <w:rFonts w:ascii="Cambria Math"/>
                  </w:rPr>
                  <m:t>Benzen</m:t>
                </m:r>
                <m:sSub>
                  <m:sSubPr>
                    <m:ctrlPr>
                      <w:rPr>
                        <w:rFonts w:ascii="Cambria Math"/>
                        <w:i/>
                      </w:rPr>
                    </m:ctrlPr>
                  </m:sSubPr>
                  <m:e>
                    <m:r>
                      <w:rPr>
                        <w:rFonts w:ascii="Cambria Math"/>
                      </w:rPr>
                      <m:t>e</m:t>
                    </m:r>
                  </m:e>
                  <m:sub>
                    <m:r>
                      <w:rPr>
                        <w:rFonts w:ascii="Cambria Math"/>
                      </w:rPr>
                      <m:t>refuel,XXXX,YYYY</m:t>
                    </m:r>
                  </m:sub>
                </m:sSub>
              </m:num>
              <m:den>
                <m:r>
                  <w:rPr>
                    <w:rFonts w:ascii="Cambria Math"/>
                  </w:rPr>
                  <m:t>VO</m:t>
                </m:r>
                <m:sSub>
                  <m:sSubPr>
                    <m:ctrlPr>
                      <w:rPr>
                        <w:rFonts w:ascii="Cambria Math"/>
                        <w:i/>
                      </w:rPr>
                    </m:ctrlPr>
                  </m:sSubPr>
                  <m:e>
                    <m:r>
                      <w:rPr>
                        <w:rFonts w:ascii="Cambria Math"/>
                      </w:rPr>
                      <m:t>C</m:t>
                    </m:r>
                  </m:e>
                  <m:sub>
                    <m:r>
                      <w:rPr>
                        <w:rFonts w:ascii="Cambria Math"/>
                      </w:rPr>
                      <m:t>refuel,XXXX,YYYY</m:t>
                    </m:r>
                  </m:sub>
                </m:sSub>
                <m:ctrlPr>
                  <w:rPr>
                    <w:rFonts w:ascii="Cambria Math" w:hAnsi="Cambria Math"/>
                    <w:i/>
                  </w:rPr>
                </m:ctrlPr>
              </m:den>
            </m:f>
            <m:ctrlPr>
              <w:rPr>
                <w:rFonts w:ascii="Cambria Math" w:hAnsi="Cambria Math"/>
                <w:i/>
              </w:rPr>
            </m:ctrlPr>
          </m:e>
        </m:d>
        <m:r>
          <w:rPr>
            <w:rFonts w:ascii="Cambria Math"/>
          </w:rPr>
          <m:t>×</m:t>
        </m:r>
        <m:r>
          <w:rPr>
            <w:rFonts w:ascii="Cambria Math"/>
          </w:rPr>
          <m:t>0.36</m:t>
        </m:r>
      </m:oMath>
      <w:r w:rsidR="00EF6CCF">
        <w:tab/>
      </w:r>
      <w:r w:rsidR="00EF6CCF">
        <w:tab/>
      </w:r>
      <w:r w:rsidR="00985FB8">
        <w:t>(6</w:t>
      </w:r>
      <w:r w:rsidR="00985FB8" w:rsidRPr="00985FB8">
        <w:t>)</w:t>
      </w:r>
    </w:p>
    <w:p w14:paraId="621FFDBD" w14:textId="445F920C" w:rsidR="00985FB8" w:rsidRPr="00985FB8" w:rsidRDefault="006239B8" w:rsidP="00985FB8">
      <w:r>
        <w:t xml:space="preserve">, </w:t>
      </w:r>
      <w:r w:rsidR="00985FB8" w:rsidRPr="00985FB8">
        <w:t xml:space="preserve">where XXXX was the year, YYYYY was the FIPS code of the county, and SCC was an SCC code shown in Table 1.  </w:t>
      </w:r>
    </w:p>
    <w:p w14:paraId="005635B9" w14:textId="500E4351" w:rsidR="00985FB8" w:rsidRPr="00985FB8" w:rsidRDefault="00985FB8" w:rsidP="00985FB8">
      <w:r w:rsidRPr="00985FB8">
        <w:t xml:space="preserve">In the equations the factor 0.36 represents an adjustment based on the nationwide percentage of benzene in gasoline vapor from gasoline distribution with an RVP </w:t>
      </w:r>
      <w:r w:rsidR="008A12D8">
        <w:t>of 10 psi at 60˚F</w:t>
      </w:r>
      <w:r w:rsidRPr="00985FB8">
        <w:t>.</w:t>
      </w:r>
      <w:r w:rsidR="008A12D8">
        <w:rPr>
          <w:rStyle w:val="EndnoteReference"/>
        </w:rPr>
        <w:endnoteReference w:id="9"/>
      </w:r>
      <w:r w:rsidRPr="00985FB8">
        <w:t xml:space="preserve">  Th</w:t>
      </w:r>
      <w:r w:rsidR="00D24854">
        <w:t>is factor is based on the ratio of the</w:t>
      </w:r>
      <w:r w:rsidRPr="00985FB8">
        <w:t xml:space="preserve"> percentage </w:t>
      </w:r>
      <w:r w:rsidR="00D24854">
        <w:t>of benzene in</w:t>
      </w:r>
      <w:r w:rsidRPr="00985FB8">
        <w:t xml:space="preserve"> </w:t>
      </w:r>
      <w:r w:rsidR="00D24854">
        <w:t xml:space="preserve">gasoline vapor from gasoline distribution of </w:t>
      </w:r>
      <w:r w:rsidRPr="00985FB8">
        <w:t xml:space="preserve">0.27%, </w:t>
      </w:r>
      <w:r w:rsidR="00D24854">
        <w:t xml:space="preserve">divided by the percentage of benzene in vehicle refueling emissions of </w:t>
      </w:r>
      <w:r w:rsidRPr="00985FB8">
        <w:t>0.74% benzene in vehicle refueling emissions.</w:t>
      </w:r>
      <w:r w:rsidR="00D24854">
        <w:rPr>
          <w:rStyle w:val="EndnoteReference"/>
        </w:rPr>
        <w:endnoteReference w:id="10"/>
      </w:r>
      <w:r w:rsidRPr="00985FB8">
        <w:t xml:space="preserve"> </w:t>
      </w:r>
    </w:p>
    <w:p w14:paraId="0657A991" w14:textId="77777777" w:rsidR="00985FB8" w:rsidRPr="00985FB8" w:rsidRDefault="00985FB8" w:rsidP="00985FB8">
      <w:r w:rsidRPr="00985FB8">
        <w:t>For all other HAPs, the PFC emissions were created by multiplying the PFC VOC emissions by the county level ratio of HAP LDGV evaporative emissions by the VOC LDGV evaporative emissions for the county or:</w:t>
      </w:r>
    </w:p>
    <w:p w14:paraId="5B566CA9" w14:textId="127FBE69" w:rsidR="00985FB8" w:rsidRPr="00985FB8" w:rsidRDefault="004159BA" w:rsidP="004159BA">
      <w:pPr>
        <w:jc w:val="right"/>
      </w:pPr>
      <m:oMath>
        <m:r>
          <w:rPr>
            <w:rFonts w:ascii="Cambria Math"/>
          </w:rPr>
          <m:t>HA</m:t>
        </m:r>
        <m:sSub>
          <m:sSubPr>
            <m:ctrlPr>
              <w:rPr>
                <w:rFonts w:ascii="Cambria Math"/>
                <w:i/>
              </w:rPr>
            </m:ctrlPr>
          </m:sSubPr>
          <m:e>
            <m:r>
              <w:rPr>
                <w:rFonts w:ascii="Cambria Math"/>
              </w:rPr>
              <m:t>P</m:t>
            </m:r>
          </m:e>
          <m:sub>
            <m:r>
              <w:rPr>
                <w:rFonts w:ascii="Cambria Math"/>
              </w:rPr>
              <m:t>XXXX,YYYYY,SCC</m:t>
            </m:r>
          </m:sub>
        </m:sSub>
        <m:r>
          <w:rPr>
            <w:rFonts w:ascii="Cambria Math"/>
          </w:rPr>
          <m:t>=VO</m:t>
        </m:r>
        <m:sSub>
          <m:sSubPr>
            <m:ctrlPr>
              <w:rPr>
                <w:rFonts w:ascii="Cambria Math"/>
                <w:i/>
              </w:rPr>
            </m:ctrlPr>
          </m:sSubPr>
          <m:e>
            <m:r>
              <w:rPr>
                <w:rFonts w:ascii="Cambria Math"/>
              </w:rPr>
              <m:t>C</m:t>
            </m:r>
          </m:e>
          <m:sub>
            <m:r>
              <w:rPr>
                <w:rFonts w:ascii="Cambria Math"/>
              </w:rPr>
              <m:t>XXXX,YYYYY,SCC</m:t>
            </m:r>
          </m:sub>
        </m:sSub>
        <m:r>
          <w:rPr>
            <w:rFonts w:ascii="Cambria Math"/>
          </w:rPr>
          <m:t>×</m:t>
        </m:r>
        <m:d>
          <m:dPr>
            <m:ctrlPr>
              <w:rPr>
                <w:rFonts w:ascii="Cambria Math"/>
                <w:i/>
              </w:rPr>
            </m:ctrlPr>
          </m:dPr>
          <m:e>
            <m:f>
              <m:fPr>
                <m:ctrlPr>
                  <w:rPr>
                    <w:rFonts w:ascii="Cambria Math"/>
                    <w:i/>
                  </w:rPr>
                </m:ctrlPr>
              </m:fPr>
              <m:num>
                <m:r>
                  <w:rPr>
                    <w:rFonts w:ascii="Cambria Math"/>
                  </w:rPr>
                  <m:t>HA</m:t>
                </m:r>
                <m:sSub>
                  <m:sSubPr>
                    <m:ctrlPr>
                      <w:rPr>
                        <w:rFonts w:ascii="Cambria Math"/>
                        <w:i/>
                      </w:rPr>
                    </m:ctrlPr>
                  </m:sSubPr>
                  <m:e>
                    <m:r>
                      <w:rPr>
                        <w:rFonts w:ascii="Cambria Math"/>
                      </w:rPr>
                      <m:t>P</m:t>
                    </m:r>
                  </m:e>
                  <m:sub>
                    <m:r>
                      <w:rPr>
                        <w:rFonts w:ascii="Cambria Math"/>
                      </w:rPr>
                      <m:t>LDGV,XXXX,YYYYY</m:t>
                    </m:r>
                  </m:sub>
                </m:sSub>
              </m:num>
              <m:den>
                <m:r>
                  <w:rPr>
                    <w:rFonts w:ascii="Cambria Math"/>
                  </w:rPr>
                  <m:t>VO</m:t>
                </m:r>
                <m:sSub>
                  <m:sSubPr>
                    <m:ctrlPr>
                      <w:rPr>
                        <w:rFonts w:ascii="Cambria Math"/>
                        <w:i/>
                      </w:rPr>
                    </m:ctrlPr>
                  </m:sSubPr>
                  <m:e>
                    <m:r>
                      <w:rPr>
                        <w:rFonts w:ascii="Cambria Math"/>
                      </w:rPr>
                      <m:t>C</m:t>
                    </m:r>
                  </m:e>
                  <m:sub>
                    <m:r>
                      <w:rPr>
                        <w:rFonts w:ascii="Cambria Math"/>
                      </w:rPr>
                      <m:t>LDGV,XXXX,YYYYY</m:t>
                    </m:r>
                  </m:sub>
                </m:sSub>
                <m:ctrlPr>
                  <w:rPr>
                    <w:rFonts w:ascii="Cambria Math" w:hAnsi="Cambria Math"/>
                    <w:i/>
                  </w:rPr>
                </m:ctrlPr>
              </m:den>
            </m:f>
            <m:ctrlPr>
              <w:rPr>
                <w:rFonts w:ascii="Cambria Math" w:hAnsi="Cambria Math"/>
                <w:i/>
              </w:rPr>
            </m:ctrlPr>
          </m:e>
        </m:d>
      </m:oMath>
      <w:r w:rsidR="000501CA">
        <w:tab/>
      </w:r>
      <w:r w:rsidR="000501CA">
        <w:tab/>
      </w:r>
      <w:r w:rsidR="000501CA">
        <w:tab/>
        <w:t>(7</w:t>
      </w:r>
      <w:r w:rsidR="00985FB8" w:rsidRPr="00985FB8">
        <w:t>)</w:t>
      </w:r>
    </w:p>
    <w:p w14:paraId="3DC2973E" w14:textId="39188EC6" w:rsidR="008A12D8" w:rsidRDefault="006239B8" w:rsidP="007615C4">
      <w:r>
        <w:t xml:space="preserve">, </w:t>
      </w:r>
      <w:r w:rsidR="00985FB8" w:rsidRPr="00985FB8">
        <w:t xml:space="preserve">where the subscripts are as denoted previously.  Using the LDGV evaporative emissions means only HAPs in the </w:t>
      </w:r>
      <w:proofErr w:type="spellStart"/>
      <w:r w:rsidR="00985FB8" w:rsidRPr="00985FB8">
        <w:t>onroad</w:t>
      </w:r>
      <w:proofErr w:type="spellEnd"/>
      <w:r w:rsidR="00985FB8" w:rsidRPr="00985FB8">
        <w:t xml:space="preserve"> inventory with LDGV evaporative emissions would have PFC emissions</w:t>
      </w:r>
      <w:r w:rsidR="000501CA">
        <w:t xml:space="preserve">.  </w:t>
      </w:r>
      <w:r w:rsidR="00985FB8" w:rsidRPr="00985FB8">
        <w:t>Naphthalene was also multiplied by a factor o</w:t>
      </w:r>
      <w:r w:rsidR="008A12D8">
        <w:t xml:space="preserve">f 0.0054, based on data from the same study used to adjust benzene, where the </w:t>
      </w:r>
      <w:r w:rsidR="007B70F6">
        <w:t>where the percentage</w:t>
      </w:r>
      <w:r w:rsidR="008A12D8">
        <w:t xml:space="preserve"> of naphthalene in VOC</w:t>
      </w:r>
      <w:r w:rsidR="007B70F6">
        <w:t xml:space="preserve"> from gasoline distribution vapor emissions</w:t>
      </w:r>
      <w:r w:rsidR="008A12D8">
        <w:t xml:space="preserve"> was 0.00027, in contrast to about 0.05% naphthalene in vehicle refueling emissions from highway vehicles</w:t>
      </w:r>
      <w:r w:rsidR="00985FB8" w:rsidRPr="00985FB8">
        <w:t xml:space="preserve">.  </w:t>
      </w:r>
    </w:p>
    <w:p w14:paraId="7E2A0DC1" w14:textId="77777777" w:rsidR="006239B8" w:rsidRDefault="008A12D8" w:rsidP="00265F76">
      <w:r>
        <w:t>O</w:t>
      </w:r>
      <w:r w:rsidR="007615C4">
        <w:t>ne modification</w:t>
      </w:r>
      <w:r>
        <w:t xml:space="preserve"> was made to spillage estimates from the 2011 NEI.  T</w:t>
      </w:r>
      <w:r w:rsidR="007615C4">
        <w:t>he 2011 inventory did not account for impacts of the fuel benzene standard implemented in 2011 as a result of the 2007 mobile source air toxics rule.</w:t>
      </w:r>
      <w:r w:rsidR="00D63B1E">
        <w:rPr>
          <w:vertAlign w:val="superscript"/>
        </w:rPr>
        <w:t>1</w:t>
      </w:r>
      <w:r w:rsidR="00D63B1E">
        <w:t xml:space="preserve">  This rule established a 0.62% volume standard for benzene, whereas the national average benzene content standard prior to the rule was about 1.0%.  Thus PFC benzene emissions for these SCCs were scaled by a ratio of 0.62/1 to account for impacts of this rule. </w:t>
      </w:r>
    </w:p>
    <w:sectPr w:rsidR="006239B8" w:rsidSect="00265F7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6CC9D" w14:textId="77777777" w:rsidR="006149B3" w:rsidRDefault="006149B3" w:rsidP="00265F76">
      <w:pPr>
        <w:spacing w:after="0" w:line="240" w:lineRule="auto"/>
      </w:pPr>
      <w:r>
        <w:separator/>
      </w:r>
    </w:p>
  </w:endnote>
  <w:endnote w:type="continuationSeparator" w:id="0">
    <w:p w14:paraId="13C888EA" w14:textId="77777777" w:rsidR="006149B3" w:rsidRDefault="006149B3" w:rsidP="00265F76">
      <w:pPr>
        <w:spacing w:after="0" w:line="240" w:lineRule="auto"/>
      </w:pPr>
      <w:r>
        <w:continuationSeparator/>
      </w:r>
    </w:p>
  </w:endnote>
  <w:endnote w:id="1">
    <w:p w14:paraId="3B1A0021" w14:textId="77777777" w:rsidR="00DB10BC" w:rsidRDefault="00DB10BC">
      <w:pPr>
        <w:pStyle w:val="EndnoteText"/>
      </w:pPr>
      <w:r>
        <w:rPr>
          <w:rStyle w:val="EndnoteReference"/>
        </w:rPr>
        <w:endnoteRef/>
      </w:r>
      <w:r>
        <w:t xml:space="preserve"> </w:t>
      </w:r>
      <w:r w:rsidRPr="00DB10BC">
        <w:t>U. S. EPA. 2007. Final Regulatory Impact Analysis: Control of Hazardous Air Pollutants from Mobile Sources; EPA420-R-07-002; Office of Transportation and Air Quality, Ann Arbor, MI. http://www.epa.gov/otaq/toxics.htm</w:t>
      </w:r>
    </w:p>
  </w:endnote>
  <w:endnote w:id="2">
    <w:p w14:paraId="6F83BECA" w14:textId="77777777" w:rsidR="00DB10BC" w:rsidRDefault="00DB10BC">
      <w:pPr>
        <w:pStyle w:val="EndnoteText"/>
      </w:pPr>
      <w:r>
        <w:rPr>
          <w:rStyle w:val="EndnoteReference"/>
        </w:rPr>
        <w:endnoteRef/>
      </w:r>
      <w:r>
        <w:t xml:space="preserve"> </w:t>
      </w:r>
      <w:r w:rsidRPr="00DB10BC">
        <w:t>Landman, L. C. (2007) Estimating Emissions Associated with Portable Fuel Containers (PFCs). U. S. EPA, Assessment and Standards Division, National Vehicle and Fuel Emissions Laboratory, Ann Arbor, MI, Report No. EPA420-R-07-001. http://www.epa.gov/otaq/toxics.htm</w:t>
      </w:r>
    </w:p>
  </w:endnote>
  <w:endnote w:id="3">
    <w:p w14:paraId="2C3B2C31" w14:textId="77777777" w:rsidR="00265F76" w:rsidRDefault="00265F76" w:rsidP="00265F76">
      <w:pPr>
        <w:pStyle w:val="EndnoteText"/>
      </w:pPr>
      <w:r>
        <w:rPr>
          <w:rStyle w:val="EndnoteReference"/>
        </w:rPr>
        <w:endnoteRef/>
      </w:r>
      <w:r>
        <w:t xml:space="preserve"> Federal Register.  2007.  Control of Hazardous Air Pollutants from Mobile Sources. 72 (37): 8428-8570.</w:t>
      </w:r>
    </w:p>
  </w:endnote>
  <w:endnote w:id="4">
    <w:p w14:paraId="751B2159" w14:textId="77777777" w:rsidR="00265F76" w:rsidRDefault="00265F76">
      <w:pPr>
        <w:pStyle w:val="EndnoteText"/>
      </w:pPr>
      <w:r>
        <w:rPr>
          <w:rStyle w:val="EndnoteReference"/>
        </w:rPr>
        <w:endnoteRef/>
      </w:r>
      <w:r>
        <w:t xml:space="preserve"> U.S. EPA. 2014. Emissions Modeling Technical Support Document: Tier 3 Motor Vehicle and Emission and Fuel Standards.  Office of Air Quality Planning and Standa</w:t>
      </w:r>
      <w:r w:rsidR="008E1869">
        <w:t>rds, Research Triangle Park, NC, Report No. EPA-454/R-13-003, February 2014.</w:t>
      </w:r>
      <w:r>
        <w:t xml:space="preserve">  Available at: &lt;</w:t>
      </w:r>
      <w:r w:rsidR="008E1869" w:rsidRPr="008E1869">
        <w:t>http://www3.epa.gov/otaq/documents/tier3/454r14003.pdf</w:t>
      </w:r>
      <w:r w:rsidR="008E1869">
        <w:t>&gt;</w:t>
      </w:r>
    </w:p>
  </w:endnote>
  <w:endnote w:id="5">
    <w:p w14:paraId="2CDB5376" w14:textId="77777777" w:rsidR="008D1FB8" w:rsidRDefault="008D1FB8" w:rsidP="008D1FB8">
      <w:pPr>
        <w:pStyle w:val="EndnoteText"/>
      </w:pPr>
      <w:r>
        <w:rPr>
          <w:rStyle w:val="EndnoteReference"/>
        </w:rPr>
        <w:endnoteRef/>
      </w:r>
      <w:r>
        <w:t xml:space="preserve"> U. S. EPA. 2011.  Hydrocarbon Composition of Gasoline Vapor Emissions from Enclosed Fuel Tanks.  Office of Research and Development and Office of Transportation and Air Quality.  Report No. EPA-420-R-11-018.    EPA Docket </w:t>
      </w:r>
      <w:r w:rsidRPr="004658AD">
        <w:t>EPA-HQ-OAR-2011-0135</w:t>
      </w:r>
      <w:r>
        <w:t>.</w:t>
      </w:r>
    </w:p>
  </w:endnote>
  <w:endnote w:id="6">
    <w:p w14:paraId="751DA0B8" w14:textId="77777777" w:rsidR="008D1FB8" w:rsidRPr="00D94844" w:rsidRDefault="008D1FB8" w:rsidP="008D1FB8">
      <w:pPr>
        <w:pStyle w:val="EndnoteText"/>
        <w:rPr>
          <w:szCs w:val="24"/>
        </w:rPr>
      </w:pPr>
      <w:r>
        <w:rPr>
          <w:rStyle w:val="EndnoteReference"/>
        </w:rPr>
        <w:endnoteRef/>
      </w:r>
      <w:r>
        <w:t xml:space="preserve"> </w:t>
      </w:r>
      <w:r>
        <w:rPr>
          <w:szCs w:val="24"/>
        </w:rPr>
        <w:t xml:space="preserve">U. S. EPA. 2010.  Evaporative Emissions from In-Use Vehicles: Test Fleet Expansion (CRC E-77-2b).  Prepared by Harold Haskew and Associates for Assessment and Standards Division, Office of Transportation and Air Quality, October, 2010.  </w:t>
      </w:r>
      <w:r w:rsidRPr="00523FC8">
        <w:rPr>
          <w:szCs w:val="24"/>
        </w:rPr>
        <w:t>http://www.epa.gov/otaq/emission-factors-research/420r10025.pdf</w:t>
      </w:r>
    </w:p>
  </w:endnote>
  <w:endnote w:id="7">
    <w:p w14:paraId="0CAB9E4B" w14:textId="77777777" w:rsidR="008D1FB8" w:rsidRPr="00523FC8" w:rsidRDefault="008D1FB8" w:rsidP="008D1FB8">
      <w:pPr>
        <w:pStyle w:val="EndnoteText"/>
        <w:rPr>
          <w:szCs w:val="24"/>
        </w:rPr>
      </w:pPr>
      <w:r>
        <w:rPr>
          <w:rStyle w:val="EndnoteReference"/>
        </w:rPr>
        <w:endnoteRef/>
      </w:r>
      <w:r>
        <w:t xml:space="preserve"> </w:t>
      </w:r>
      <w:r>
        <w:rPr>
          <w:szCs w:val="24"/>
        </w:rPr>
        <w:t xml:space="preserve">Coordinating Research Council. 2010. Study to Determine Evaporative Emission Breakdown, Including Permeation Effects and Diurnal Emissions, Using E20 Fuels on Aging Enhanced Evaporative Emissions Certified Vehicles. Report No. E-77-2c. </w:t>
      </w:r>
      <w:r w:rsidRPr="00523FC8">
        <w:rPr>
          <w:szCs w:val="24"/>
        </w:rPr>
        <w:t>http://www.crcao.org/reports/recentstudies2011/E-77-2c/E-77-2c%20Final%20Report%20for%20sure%201-28-11.pdf</w:t>
      </w:r>
      <w:r>
        <w:rPr>
          <w:szCs w:val="24"/>
        </w:rPr>
        <w:t>.</w:t>
      </w:r>
    </w:p>
  </w:endnote>
  <w:endnote w:id="8">
    <w:p w14:paraId="2EE46901" w14:textId="77777777" w:rsidR="008D1FB8" w:rsidRPr="008A438C" w:rsidRDefault="008D1FB8" w:rsidP="008D1FB8">
      <w:pPr>
        <w:pStyle w:val="EndnoteText"/>
        <w:rPr>
          <w:szCs w:val="24"/>
        </w:rPr>
      </w:pPr>
      <w:r>
        <w:rPr>
          <w:rStyle w:val="EndnoteReference"/>
        </w:rPr>
        <w:endnoteRef/>
      </w:r>
      <w:r>
        <w:t xml:space="preserve"> </w:t>
      </w:r>
      <w:r w:rsidRPr="007A5299">
        <w:rPr>
          <w:szCs w:val="24"/>
        </w:rPr>
        <w:t>Auto/Oil Air Quality Improvement Research Program.  1996.  Phase I and II Test Data.  Prepared by Systems Applications International, Inc.</w:t>
      </w:r>
    </w:p>
  </w:endnote>
  <w:endnote w:id="9">
    <w:p w14:paraId="0B9D2954" w14:textId="77777777" w:rsidR="008A12D8" w:rsidRDefault="008A12D8">
      <w:pPr>
        <w:pStyle w:val="EndnoteText"/>
      </w:pPr>
      <w:r>
        <w:rPr>
          <w:rStyle w:val="EndnoteReference"/>
        </w:rPr>
        <w:endnoteRef/>
      </w:r>
      <w:r>
        <w:t xml:space="preserve"> </w:t>
      </w:r>
      <w:r w:rsidRPr="008A12D8">
        <w:t>Hester, Charles. 2006. Review of Data on HAP Content in Gasoline. Memorandum from MACTEC to Steve Shedd, U. S. EPA, March 23, 2006. This document is available in Docket EPA-HQ-OAR-2003-0053.</w:t>
      </w:r>
    </w:p>
  </w:endnote>
  <w:endnote w:id="10">
    <w:p w14:paraId="78CF5DF7" w14:textId="77777777" w:rsidR="00D24854" w:rsidRPr="00D24854" w:rsidRDefault="00D24854" w:rsidP="00D24854">
      <w:pPr>
        <w:pStyle w:val="EndnoteText"/>
      </w:pPr>
      <w:r>
        <w:rPr>
          <w:rStyle w:val="EndnoteReference"/>
        </w:rPr>
        <w:endnoteRef/>
      </w:r>
      <w:r>
        <w:t xml:space="preserve"> </w:t>
      </w:r>
      <w:r w:rsidRPr="00D24854">
        <w:t>U. S. EPA. 2007. Final Regulatory Impact Analysis: Control of Hazardous Air Pollutants from Mobile Sources; EPA420-R-07-002; Office of Transportation and Air Quality, Ann Arbor, MI. http://www.epa.gov/otaq/toxics.htm</w:t>
      </w:r>
    </w:p>
    <w:p w14:paraId="3B5A839E" w14:textId="0ED648B2" w:rsidR="00D24854" w:rsidRDefault="00D2485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3FD73" w14:textId="77777777" w:rsidR="006149B3" w:rsidRDefault="006149B3" w:rsidP="00265F76">
      <w:pPr>
        <w:spacing w:after="0" w:line="240" w:lineRule="auto"/>
      </w:pPr>
      <w:r>
        <w:separator/>
      </w:r>
    </w:p>
  </w:footnote>
  <w:footnote w:type="continuationSeparator" w:id="0">
    <w:p w14:paraId="3EA47E8C" w14:textId="77777777" w:rsidR="006149B3" w:rsidRDefault="006149B3" w:rsidP="00265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E24D7"/>
    <w:multiLevelType w:val="hybridMultilevel"/>
    <w:tmpl w:val="744E5ECE"/>
    <w:lvl w:ilvl="0" w:tplc="04090001">
      <w:start w:val="1"/>
      <w:numFmt w:val="bullet"/>
      <w:lvlText w:val=""/>
      <w:lvlJc w:val="left"/>
      <w:pPr>
        <w:tabs>
          <w:tab w:val="num" w:pos="1500"/>
        </w:tabs>
        <w:ind w:left="1500" w:hanging="360"/>
      </w:pPr>
      <w:rPr>
        <w:rFonts w:ascii="Symbol" w:hAnsi="Symbol" w:hint="default"/>
      </w:rPr>
    </w:lvl>
    <w:lvl w:ilvl="1" w:tplc="04090003">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7B"/>
    <w:rsid w:val="00035615"/>
    <w:rsid w:val="000501CA"/>
    <w:rsid w:val="001429B4"/>
    <w:rsid w:val="00265F76"/>
    <w:rsid w:val="00365CF6"/>
    <w:rsid w:val="003A005E"/>
    <w:rsid w:val="003D2904"/>
    <w:rsid w:val="004159BA"/>
    <w:rsid w:val="0055024E"/>
    <w:rsid w:val="006149B3"/>
    <w:rsid w:val="006239B8"/>
    <w:rsid w:val="006A6EA8"/>
    <w:rsid w:val="006B6DD0"/>
    <w:rsid w:val="00743C7B"/>
    <w:rsid w:val="007615C4"/>
    <w:rsid w:val="007B70F6"/>
    <w:rsid w:val="007B7E83"/>
    <w:rsid w:val="008A12D8"/>
    <w:rsid w:val="008D1FB8"/>
    <w:rsid w:val="008E1869"/>
    <w:rsid w:val="00934210"/>
    <w:rsid w:val="0098340D"/>
    <w:rsid w:val="00985FB8"/>
    <w:rsid w:val="009A02D6"/>
    <w:rsid w:val="00AA288C"/>
    <w:rsid w:val="00AA5C7B"/>
    <w:rsid w:val="00B01BD0"/>
    <w:rsid w:val="00BB0B98"/>
    <w:rsid w:val="00C00443"/>
    <w:rsid w:val="00C84523"/>
    <w:rsid w:val="00CA6FD5"/>
    <w:rsid w:val="00CB4D62"/>
    <w:rsid w:val="00D229B8"/>
    <w:rsid w:val="00D24854"/>
    <w:rsid w:val="00D63B1E"/>
    <w:rsid w:val="00DB10BC"/>
    <w:rsid w:val="00EE1D1F"/>
    <w:rsid w:val="00EF6CCF"/>
    <w:rsid w:val="00F26ABA"/>
    <w:rsid w:val="00F33F99"/>
    <w:rsid w:val="00F95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01DA1928"/>
  <w15:chartTrackingRefBased/>
  <w15:docId w15:val="{69FD33A6-8C91-4DBB-B7EA-46D3F9E34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265F7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65F76"/>
    <w:rPr>
      <w:sz w:val="20"/>
      <w:szCs w:val="20"/>
    </w:rPr>
  </w:style>
  <w:style w:type="character" w:styleId="EndnoteReference">
    <w:name w:val="endnote reference"/>
    <w:aliases w:val="Endnote Reference1,Endnote Reference11,Endnote Reference12,Endnote Reference13,Endnote Reference14,Endnote Reference15,Endnote Reference16,Endnote Reference17,Endnote Reference18,Endnote Reference19,Endnote Reference110"/>
    <w:basedOn w:val="DefaultParagraphFont"/>
    <w:uiPriority w:val="99"/>
    <w:semiHidden/>
    <w:unhideWhenUsed/>
    <w:rsid w:val="00265F76"/>
    <w:rPr>
      <w:vertAlign w:val="superscript"/>
    </w:rPr>
  </w:style>
  <w:style w:type="paragraph" w:styleId="Caption">
    <w:name w:val="caption"/>
    <w:basedOn w:val="Normal"/>
    <w:next w:val="Normal"/>
    <w:uiPriority w:val="35"/>
    <w:semiHidden/>
    <w:unhideWhenUsed/>
    <w:qFormat/>
    <w:rsid w:val="00365CF6"/>
    <w:pPr>
      <w:spacing w:after="200" w:line="240" w:lineRule="auto"/>
    </w:pPr>
    <w:rPr>
      <w:i/>
      <w:iCs/>
      <w:color w:val="44546A" w:themeColor="text2"/>
      <w:sz w:val="18"/>
      <w:szCs w:val="18"/>
    </w:rPr>
  </w:style>
  <w:style w:type="table" w:styleId="TableGrid">
    <w:name w:val="Table Grid"/>
    <w:basedOn w:val="TableNormal"/>
    <w:uiPriority w:val="39"/>
    <w:rsid w:val="003A00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1B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BD0"/>
    <w:rPr>
      <w:rFonts w:ascii="Segoe UI" w:hAnsi="Segoe UI" w:cs="Segoe UI"/>
      <w:sz w:val="18"/>
      <w:szCs w:val="18"/>
    </w:rPr>
  </w:style>
  <w:style w:type="character" w:styleId="CommentReference">
    <w:name w:val="annotation reference"/>
    <w:basedOn w:val="DefaultParagraphFont"/>
    <w:uiPriority w:val="99"/>
    <w:semiHidden/>
    <w:unhideWhenUsed/>
    <w:rsid w:val="00B01BD0"/>
    <w:rPr>
      <w:sz w:val="16"/>
      <w:szCs w:val="16"/>
    </w:rPr>
  </w:style>
  <w:style w:type="paragraph" w:styleId="CommentText">
    <w:name w:val="annotation text"/>
    <w:basedOn w:val="Normal"/>
    <w:link w:val="CommentTextChar"/>
    <w:uiPriority w:val="99"/>
    <w:semiHidden/>
    <w:unhideWhenUsed/>
    <w:rsid w:val="00B01BD0"/>
    <w:pPr>
      <w:spacing w:line="240" w:lineRule="auto"/>
    </w:pPr>
    <w:rPr>
      <w:sz w:val="20"/>
      <w:szCs w:val="20"/>
    </w:rPr>
  </w:style>
  <w:style w:type="character" w:customStyle="1" w:styleId="CommentTextChar">
    <w:name w:val="Comment Text Char"/>
    <w:basedOn w:val="DefaultParagraphFont"/>
    <w:link w:val="CommentText"/>
    <w:uiPriority w:val="99"/>
    <w:semiHidden/>
    <w:rsid w:val="00B01BD0"/>
    <w:rPr>
      <w:sz w:val="20"/>
      <w:szCs w:val="20"/>
    </w:rPr>
  </w:style>
  <w:style w:type="paragraph" w:styleId="CommentSubject">
    <w:name w:val="annotation subject"/>
    <w:basedOn w:val="CommentText"/>
    <w:next w:val="CommentText"/>
    <w:link w:val="CommentSubjectChar"/>
    <w:uiPriority w:val="99"/>
    <w:semiHidden/>
    <w:unhideWhenUsed/>
    <w:rsid w:val="00B01BD0"/>
    <w:rPr>
      <w:b/>
      <w:bCs/>
    </w:rPr>
  </w:style>
  <w:style w:type="character" w:customStyle="1" w:styleId="CommentSubjectChar">
    <w:name w:val="Comment Subject Char"/>
    <w:basedOn w:val="CommentTextChar"/>
    <w:link w:val="CommentSubject"/>
    <w:uiPriority w:val="99"/>
    <w:semiHidden/>
    <w:rsid w:val="00B01B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1BD03-DD0F-4112-AFD8-8D95BE5DA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1723</Words>
  <Characters>9825</Characters>
  <Application>Microsoft Office Word</Application>
  <DocSecurity>4</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Cook, Rich</dc:creator>
  <cp:keywords/>
  <dc:description/>
  <cp:lastModifiedBy>StClair, Aimee</cp:lastModifiedBy>
  <cp:revision>2</cp:revision>
  <dcterms:created xsi:type="dcterms:W3CDTF">2019-05-02T17:52:00Z</dcterms:created>
  <dcterms:modified xsi:type="dcterms:W3CDTF">2019-05-02T17:52:00Z</dcterms:modified>
</cp:coreProperties>
</file>