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067C1" w14:textId="2811D538" w:rsidR="00940D14" w:rsidRPr="00CC0447" w:rsidRDefault="0093173C"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rPr>
          <w:b/>
          <w:bCs/>
        </w:rPr>
        <w:t>GREENWASTE COMPOSTING</w:t>
      </w:r>
    </w:p>
    <w:p w14:paraId="5918F8C1" w14:textId="77777777" w:rsidR="00940D14" w:rsidRPr="00CC0447"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2E0BF34F" w14:textId="77777777" w:rsidR="003733A0" w:rsidRPr="00CC0447" w:rsidRDefault="003733A0" w:rsidP="003733A0">
      <w:pPr>
        <w:widowControl/>
        <w:tabs>
          <w:tab w:val="left" w:pos="0"/>
        </w:tabs>
        <w:spacing w:line="226" w:lineRule="auto"/>
        <w:rPr>
          <w:b/>
          <w:i/>
        </w:rPr>
      </w:pPr>
      <w:r w:rsidRPr="00CC0447">
        <w:rPr>
          <w:b/>
          <w:i/>
        </w:rPr>
        <w:t>a. Source Category Description</w:t>
      </w:r>
    </w:p>
    <w:p w14:paraId="1B81F1EC" w14:textId="77777777" w:rsidR="003733A0" w:rsidRPr="00CC0447"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32AA481" w14:textId="79706952" w:rsidR="003733A0" w:rsidRPr="00CC0447" w:rsidRDefault="0093173C" w:rsidP="003733A0">
      <w:pPr>
        <w:widowControl/>
        <w:tabs>
          <w:tab w:val="left" w:pos="0"/>
        </w:tabs>
        <w:spacing w:line="226" w:lineRule="auto"/>
      </w:pPr>
      <w:r w:rsidRPr="00CC0447">
        <w:t>Greenwaste composting includes the diversion of yard was</w:t>
      </w:r>
      <w:bookmarkStart w:id="0" w:name="_GoBack"/>
      <w:bookmarkEnd w:id="0"/>
      <w:r w:rsidRPr="00CC0447">
        <w:t>te</w:t>
      </w:r>
      <w:r w:rsidR="006E41E9" w:rsidRPr="00CC0447">
        <w:t>, food waste,</w:t>
      </w:r>
      <w:r w:rsidRPr="00CC0447">
        <w:t xml:space="preserve"> and other biogenic waste from landfills to composting facilities. </w:t>
      </w:r>
      <w:r w:rsidR="00B22453" w:rsidRPr="00CC0447">
        <w:t>Estimates of emissions of volatile organic compounds (VOC), ammonia (NH3), and three hazardous air pollutants (HAPs), acetaldehyde; methanol; and naphthalene, from greenwaste composting are based on the amount of food and yard waste composted. Composting of biogenic waste is currently not included in emissions estimates for this category as activity data on this waste type is not available.</w:t>
      </w:r>
    </w:p>
    <w:p w14:paraId="75F5C46C" w14:textId="77777777" w:rsidR="003733A0" w:rsidRPr="00CC0447" w:rsidRDefault="003733A0" w:rsidP="003733A0">
      <w:pPr>
        <w:widowControl/>
        <w:tabs>
          <w:tab w:val="left" w:pos="0"/>
        </w:tabs>
        <w:spacing w:line="226" w:lineRule="auto"/>
      </w:pPr>
    </w:p>
    <w:p w14:paraId="707D6216" w14:textId="77777777" w:rsidR="003733A0" w:rsidRPr="00CC0447" w:rsidRDefault="003733A0" w:rsidP="003733A0">
      <w:pPr>
        <w:widowControl/>
        <w:tabs>
          <w:tab w:val="left" w:pos="0"/>
        </w:tabs>
        <w:spacing w:line="226" w:lineRule="auto"/>
      </w:pPr>
      <w:r w:rsidRPr="00CC0447">
        <w:t>For this source category, the following SCC was assigned:</w:t>
      </w:r>
    </w:p>
    <w:p w14:paraId="1528D3C4" w14:textId="77777777" w:rsidR="003733A0" w:rsidRPr="00CC0447" w:rsidRDefault="003733A0" w:rsidP="003733A0">
      <w:pPr>
        <w:widowControl/>
        <w:tabs>
          <w:tab w:val="left" w:pos="0"/>
        </w:tabs>
        <w:spacing w:line="226" w:lineRule="auto"/>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For this source category, the following SCC was assigned:"/>
        <w:tblDescription w:val="SCC; SCC Level 1; SCC Level 2; SCC Level 3; SCC Level 4"/>
      </w:tblPr>
      <w:tblGrid>
        <w:gridCol w:w="1416"/>
        <w:gridCol w:w="2256"/>
        <w:gridCol w:w="1933"/>
        <w:gridCol w:w="1596"/>
        <w:gridCol w:w="1961"/>
      </w:tblGrid>
      <w:tr w:rsidR="003733A0" w:rsidRPr="00CC0447" w14:paraId="6A49C009" w14:textId="77777777" w:rsidTr="007D1110">
        <w:trPr>
          <w:jc w:val="center"/>
        </w:trPr>
        <w:tc>
          <w:tcPr>
            <w:tcW w:w="1216" w:type="dxa"/>
            <w:shd w:val="clear" w:color="auto" w:fill="D9D9D9"/>
            <w:noWrap/>
          </w:tcPr>
          <w:p w14:paraId="5A50BDB9" w14:textId="77777777" w:rsidR="003733A0" w:rsidRPr="00CC0447" w:rsidRDefault="003733A0" w:rsidP="00E3144F">
            <w:pPr>
              <w:widowControl/>
              <w:tabs>
                <w:tab w:val="left" w:pos="0"/>
              </w:tabs>
              <w:spacing w:line="226" w:lineRule="auto"/>
              <w:rPr>
                <w:b/>
                <w:bCs/>
              </w:rPr>
            </w:pPr>
            <w:r w:rsidRPr="00CC0447">
              <w:rPr>
                <w:b/>
                <w:bCs/>
              </w:rPr>
              <w:t>SCC</w:t>
            </w:r>
          </w:p>
        </w:tc>
        <w:tc>
          <w:tcPr>
            <w:tcW w:w="2256" w:type="dxa"/>
            <w:shd w:val="clear" w:color="auto" w:fill="D9D9D9"/>
            <w:noWrap/>
          </w:tcPr>
          <w:p w14:paraId="668B52E6" w14:textId="77777777" w:rsidR="003733A0" w:rsidRPr="00CC0447" w:rsidRDefault="003733A0" w:rsidP="00E3144F">
            <w:pPr>
              <w:widowControl/>
              <w:tabs>
                <w:tab w:val="left" w:pos="0"/>
              </w:tabs>
              <w:spacing w:line="226" w:lineRule="auto"/>
              <w:rPr>
                <w:b/>
                <w:bCs/>
              </w:rPr>
            </w:pPr>
            <w:r w:rsidRPr="00CC0447">
              <w:rPr>
                <w:b/>
                <w:bCs/>
              </w:rPr>
              <w:t>SCC Level 1</w:t>
            </w:r>
          </w:p>
        </w:tc>
        <w:tc>
          <w:tcPr>
            <w:tcW w:w="1933" w:type="dxa"/>
            <w:shd w:val="clear" w:color="auto" w:fill="D9D9D9"/>
            <w:noWrap/>
          </w:tcPr>
          <w:p w14:paraId="09F82297" w14:textId="77777777" w:rsidR="003733A0" w:rsidRPr="00CC0447" w:rsidRDefault="003733A0" w:rsidP="00E3144F">
            <w:pPr>
              <w:widowControl/>
              <w:tabs>
                <w:tab w:val="left" w:pos="0"/>
              </w:tabs>
              <w:spacing w:line="226" w:lineRule="auto"/>
              <w:rPr>
                <w:b/>
                <w:bCs/>
              </w:rPr>
            </w:pPr>
            <w:r w:rsidRPr="00CC0447">
              <w:rPr>
                <w:b/>
                <w:bCs/>
              </w:rPr>
              <w:t>SCC Level 2</w:t>
            </w:r>
          </w:p>
        </w:tc>
        <w:tc>
          <w:tcPr>
            <w:tcW w:w="1596" w:type="dxa"/>
            <w:shd w:val="clear" w:color="auto" w:fill="D9D9D9"/>
            <w:noWrap/>
          </w:tcPr>
          <w:p w14:paraId="0F53B6F4" w14:textId="77777777" w:rsidR="003733A0" w:rsidRPr="00CC0447" w:rsidRDefault="003733A0" w:rsidP="00E3144F">
            <w:pPr>
              <w:widowControl/>
              <w:tabs>
                <w:tab w:val="left" w:pos="0"/>
              </w:tabs>
              <w:spacing w:line="226" w:lineRule="auto"/>
              <w:rPr>
                <w:b/>
                <w:bCs/>
              </w:rPr>
            </w:pPr>
            <w:r w:rsidRPr="00CC0447">
              <w:rPr>
                <w:b/>
                <w:bCs/>
              </w:rPr>
              <w:t>SCC Level 3</w:t>
            </w:r>
          </w:p>
        </w:tc>
        <w:tc>
          <w:tcPr>
            <w:tcW w:w="1961" w:type="dxa"/>
            <w:shd w:val="clear" w:color="auto" w:fill="D9D9D9"/>
            <w:noWrap/>
          </w:tcPr>
          <w:p w14:paraId="199E55AE" w14:textId="77777777" w:rsidR="003733A0" w:rsidRPr="00CC0447" w:rsidRDefault="003733A0" w:rsidP="00E3144F">
            <w:pPr>
              <w:widowControl/>
              <w:tabs>
                <w:tab w:val="left" w:pos="0"/>
              </w:tabs>
              <w:spacing w:line="226" w:lineRule="auto"/>
              <w:rPr>
                <w:b/>
                <w:bCs/>
              </w:rPr>
            </w:pPr>
            <w:r w:rsidRPr="00CC0447">
              <w:rPr>
                <w:b/>
                <w:bCs/>
              </w:rPr>
              <w:t>SCC Level 4</w:t>
            </w:r>
          </w:p>
        </w:tc>
      </w:tr>
      <w:tr w:rsidR="003733A0" w:rsidRPr="00CC0447" w14:paraId="050B5AA3" w14:textId="77777777" w:rsidTr="007D1110">
        <w:trPr>
          <w:jc w:val="center"/>
        </w:trPr>
        <w:tc>
          <w:tcPr>
            <w:tcW w:w="1216" w:type="dxa"/>
            <w:vAlign w:val="center"/>
          </w:tcPr>
          <w:p w14:paraId="2A591295" w14:textId="6DB5D3B1" w:rsidR="003733A0" w:rsidRPr="00CC0447" w:rsidRDefault="0093173C" w:rsidP="007D1110">
            <w:r w:rsidRPr="00CC0447">
              <w:t>2680003000</w:t>
            </w:r>
          </w:p>
        </w:tc>
        <w:tc>
          <w:tcPr>
            <w:tcW w:w="2256" w:type="dxa"/>
            <w:vAlign w:val="center"/>
          </w:tcPr>
          <w:p w14:paraId="362A9487" w14:textId="77777777" w:rsidR="003733A0" w:rsidRPr="00CC0447" w:rsidRDefault="003733A0" w:rsidP="007D1110">
            <w:r w:rsidRPr="00CC0447">
              <w:t>Waste Disposal, Treatment, and Recovery</w:t>
            </w:r>
          </w:p>
        </w:tc>
        <w:tc>
          <w:tcPr>
            <w:tcW w:w="1933" w:type="dxa"/>
            <w:vAlign w:val="center"/>
          </w:tcPr>
          <w:p w14:paraId="1A90D3F0" w14:textId="02F82544" w:rsidR="003733A0" w:rsidRPr="00CC0447" w:rsidRDefault="0093173C" w:rsidP="007D1110">
            <w:r w:rsidRPr="00CC0447">
              <w:t>Composting</w:t>
            </w:r>
          </w:p>
        </w:tc>
        <w:tc>
          <w:tcPr>
            <w:tcW w:w="1596" w:type="dxa"/>
            <w:vAlign w:val="center"/>
          </w:tcPr>
          <w:p w14:paraId="411F704F" w14:textId="29E9DB92" w:rsidR="003733A0" w:rsidRPr="00CC0447" w:rsidRDefault="0093173C" w:rsidP="007D1110">
            <w:pPr>
              <w:rPr>
                <w:color w:val="000000"/>
              </w:rPr>
            </w:pPr>
            <w:r w:rsidRPr="00CC0447">
              <w:rPr>
                <w:color w:val="000000"/>
              </w:rPr>
              <w:t>Greenwaste</w:t>
            </w:r>
          </w:p>
        </w:tc>
        <w:tc>
          <w:tcPr>
            <w:tcW w:w="1961" w:type="dxa"/>
            <w:vAlign w:val="center"/>
          </w:tcPr>
          <w:p w14:paraId="6E246388" w14:textId="3AC89DA6" w:rsidR="003733A0" w:rsidRPr="00CC0447" w:rsidRDefault="0093173C" w:rsidP="007D1110">
            <w:pPr>
              <w:rPr>
                <w:color w:val="000000"/>
              </w:rPr>
            </w:pPr>
            <w:r w:rsidRPr="00CC0447">
              <w:rPr>
                <w:color w:val="000000"/>
              </w:rPr>
              <w:t>All Processes</w:t>
            </w:r>
          </w:p>
        </w:tc>
      </w:tr>
    </w:tbl>
    <w:p w14:paraId="1FA0C701" w14:textId="77777777" w:rsidR="003733A0" w:rsidRPr="00CC0447"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4AAE868" w14:textId="77777777" w:rsidR="00B22453" w:rsidRPr="00CC0447" w:rsidRDefault="00B22453" w:rsidP="00B22453">
      <w:r w:rsidRPr="00CC0447">
        <w:t xml:space="preserve">Note that this source category does not include the composting of biosolids from wastewater treatment plants or manure management facilities. There are separate SCCs for biosolids (2680001000) and for a mixture of </w:t>
      </w:r>
      <w:proofErr w:type="spellStart"/>
      <w:r w:rsidRPr="00CC0447">
        <w:t>greenwaste</w:t>
      </w:r>
      <w:proofErr w:type="spellEnd"/>
      <w:r w:rsidRPr="00CC0447">
        <w:t xml:space="preserve"> and biosolids (2680002000). EPA is not currently estimating emissions for these SCCs. If S/L/Ts report any emissions for the mixture SCC, emissions from the greenwaste portion of that mixture may be duplicative of some or all of the EPA emissions estimates described here. Note also that this source category estimates emissions from composting facilities but does </w:t>
      </w:r>
      <w:r w:rsidRPr="00CC0447">
        <w:rPr>
          <w:u w:val="single"/>
        </w:rPr>
        <w:t>not</w:t>
      </w:r>
      <w:r w:rsidRPr="00CC0447">
        <w:t xml:space="preserve"> estimate emissions from backyard composting. </w:t>
      </w:r>
    </w:p>
    <w:p w14:paraId="37020C9E" w14:textId="77777777" w:rsidR="00B22453" w:rsidRPr="00CC0447" w:rsidRDefault="00B22453" w:rsidP="003733A0">
      <w:pPr>
        <w:widowControl/>
        <w:tabs>
          <w:tab w:val="left" w:pos="0"/>
        </w:tabs>
        <w:spacing w:line="226" w:lineRule="auto"/>
        <w:rPr>
          <w:b/>
          <w:i/>
        </w:rPr>
      </w:pPr>
    </w:p>
    <w:p w14:paraId="75FF3625" w14:textId="77777777" w:rsidR="003733A0" w:rsidRPr="00CC0447" w:rsidRDefault="003733A0" w:rsidP="003733A0">
      <w:pPr>
        <w:widowControl/>
        <w:tabs>
          <w:tab w:val="left" w:pos="0"/>
        </w:tabs>
        <w:spacing w:line="226" w:lineRule="auto"/>
        <w:rPr>
          <w:b/>
          <w:i/>
        </w:rPr>
      </w:pPr>
      <w:r w:rsidRPr="00CC0447">
        <w:rPr>
          <w:b/>
          <w:i/>
        </w:rPr>
        <w:t>b. Activity Data</w:t>
      </w:r>
    </w:p>
    <w:p w14:paraId="50B007B7" w14:textId="77777777" w:rsidR="009820A2" w:rsidRPr="00CC0447" w:rsidRDefault="009820A2" w:rsidP="00FB1DF5">
      <w:pPr>
        <w:widowControl/>
        <w:autoSpaceDE/>
        <w:autoSpaceDN/>
        <w:adjustRightInd/>
        <w:rPr>
          <w:rFonts w:ascii="Calibri" w:hAnsi="Calibri"/>
          <w:color w:val="000000"/>
        </w:rPr>
      </w:pPr>
    </w:p>
    <w:p w14:paraId="0A4DC181" w14:textId="0E55AE36" w:rsidR="00940D14" w:rsidRPr="00CC0447" w:rsidRDefault="00940D14" w:rsidP="00FB1DF5">
      <w:pPr>
        <w:widowControl/>
        <w:autoSpaceDE/>
        <w:autoSpaceDN/>
        <w:adjustRightInd/>
        <w:rPr>
          <w:rFonts w:ascii="Calibri" w:hAnsi="Calibri"/>
          <w:color w:val="000000"/>
        </w:rPr>
      </w:pPr>
      <w:r w:rsidRPr="00CC0447">
        <w:t xml:space="preserve">The amount of </w:t>
      </w:r>
      <w:r w:rsidR="0093173C" w:rsidRPr="00CC0447">
        <w:t xml:space="preserve">greenwaste composted </w:t>
      </w:r>
      <w:r w:rsidRPr="00CC0447">
        <w:t xml:space="preserve">was estimated using data from </w:t>
      </w:r>
      <w:r w:rsidR="00481924" w:rsidRPr="00CC0447">
        <w:t>two EPA</w:t>
      </w:r>
      <w:r w:rsidRPr="00CC0447">
        <w:t xml:space="preserve"> report</w:t>
      </w:r>
      <w:r w:rsidR="00481924" w:rsidRPr="00CC0447">
        <w:t>s,</w:t>
      </w:r>
      <w:r w:rsidRPr="00CC0447">
        <w:t xml:space="preserve"> </w:t>
      </w:r>
      <w:r w:rsidR="00356A3C" w:rsidRPr="00CC0447">
        <w:rPr>
          <w:i/>
        </w:rPr>
        <w:t>Advancing Sustainable Materials Management: 2013 Fact Shee</w:t>
      </w:r>
      <w:r w:rsidR="00ED3B0C" w:rsidRPr="00CC0447">
        <w:rPr>
          <w:i/>
        </w:rPr>
        <w:t>t</w:t>
      </w:r>
      <w:r w:rsidRPr="00CC0447">
        <w:rPr>
          <w:vertAlign w:val="superscript"/>
        </w:rPr>
        <w:t>1</w:t>
      </w:r>
      <w:r w:rsidR="00ED3B0C" w:rsidRPr="00CC0447">
        <w:t xml:space="preserve">, and </w:t>
      </w:r>
      <w:r w:rsidR="00ED3B0C" w:rsidRPr="00CC0447">
        <w:rPr>
          <w:i/>
        </w:rPr>
        <w:t>Food Waste Management in the United States, 2014.</w:t>
      </w:r>
      <w:r w:rsidR="00ED3B0C" w:rsidRPr="00CC0447">
        <w:rPr>
          <w:i/>
          <w:vertAlign w:val="superscript"/>
        </w:rPr>
        <w:t>2</w:t>
      </w:r>
      <w:r w:rsidRPr="00CC0447">
        <w:t xml:space="preserve"> </w:t>
      </w:r>
      <w:r w:rsidR="00ED3B0C" w:rsidRPr="00CC0447">
        <w:rPr>
          <w:i/>
        </w:rPr>
        <w:t>Advancing Sustainable Materials Management: 2013 Fact Sheet</w:t>
      </w:r>
      <w:r w:rsidR="00ED3B0C" w:rsidRPr="00CC0447">
        <w:t xml:space="preserve"> </w:t>
      </w:r>
      <w:r w:rsidRPr="00CC0447">
        <w:t xml:space="preserve">presents the total mass of waste generated </w:t>
      </w:r>
      <w:r w:rsidR="00722DFD" w:rsidRPr="00CC0447">
        <w:t xml:space="preserve">from </w:t>
      </w:r>
      <w:r w:rsidR="00DD1565" w:rsidRPr="00CC0447">
        <w:t xml:space="preserve">the </w:t>
      </w:r>
      <w:r w:rsidR="00722DFD" w:rsidRPr="00CC0447">
        <w:t xml:space="preserve">residential and commercial </w:t>
      </w:r>
      <w:r w:rsidR="00DD1565" w:rsidRPr="00CC0447">
        <w:t>sectors</w:t>
      </w:r>
      <w:r w:rsidR="00722DFD" w:rsidRPr="00CC0447">
        <w:t xml:space="preserve"> </w:t>
      </w:r>
      <w:r w:rsidRPr="00CC0447">
        <w:t>in the United States by type</w:t>
      </w:r>
      <w:r w:rsidR="00FB1DF5" w:rsidRPr="00CC0447">
        <w:t xml:space="preserve"> of waste for the calendar year </w:t>
      </w:r>
      <w:r w:rsidRPr="00CC0447">
        <w:t>20</w:t>
      </w:r>
      <w:r w:rsidR="000975F2" w:rsidRPr="00CC0447">
        <w:t>1</w:t>
      </w:r>
      <w:r w:rsidR="00FA167A" w:rsidRPr="00CC0447">
        <w:t>3</w:t>
      </w:r>
      <w:r w:rsidR="00ED3B0C" w:rsidRPr="00CC0447">
        <w:t>, and is used to calculate yard waste composted</w:t>
      </w:r>
      <w:r w:rsidRPr="00CC0447">
        <w:t>.</w:t>
      </w:r>
      <w:r w:rsidR="00ED3B0C" w:rsidRPr="00CC0447">
        <w:t xml:space="preserve"> </w:t>
      </w:r>
      <w:r w:rsidR="00ED3B0C" w:rsidRPr="00CC0447">
        <w:rPr>
          <w:i/>
        </w:rPr>
        <w:t>Food Waste Management in the United States, 2014</w:t>
      </w:r>
      <w:r w:rsidRPr="00CC0447">
        <w:t xml:space="preserve"> </w:t>
      </w:r>
      <w:r w:rsidR="00ED3B0C" w:rsidRPr="00CC0447">
        <w:t>presents the amount of state-level food waste composted.</w:t>
      </w:r>
      <w:r w:rsidRPr="00CC0447">
        <w:t xml:space="preserve"> </w:t>
      </w:r>
    </w:p>
    <w:p w14:paraId="64052A82" w14:textId="77777777" w:rsidR="00940D14" w:rsidRPr="00CC0447"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53CA35B" w14:textId="69266A0B" w:rsidR="00940D14" w:rsidRPr="00CC0447" w:rsidRDefault="0093173C"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 xml:space="preserve">The EPA data </w:t>
      </w:r>
      <w:r w:rsidR="00ED3B0C" w:rsidRPr="00CC0447">
        <w:t xml:space="preserve">on total </w:t>
      </w:r>
      <w:r w:rsidR="006E41E9" w:rsidRPr="00CC0447">
        <w:t xml:space="preserve">yard MSW recovered </w:t>
      </w:r>
      <w:r w:rsidRPr="00CC0447">
        <w:t>for 2013</w:t>
      </w:r>
      <w:r w:rsidR="006E41E9" w:rsidRPr="00CC0447">
        <w:t>, and 2014 population data was used to estimate per capita values of waste recovered for composting.  A</w:t>
      </w:r>
      <w:r w:rsidRPr="00CC0447">
        <w:t xml:space="preserve">pproximately 0.35 </w:t>
      </w:r>
      <w:r w:rsidR="006E41E9" w:rsidRPr="00CC0447">
        <w:t xml:space="preserve">lbs. per person per day of yard </w:t>
      </w:r>
      <w:r w:rsidR="00ED3B0C" w:rsidRPr="00CC0447">
        <w:t xml:space="preserve">waste </w:t>
      </w:r>
      <w:r w:rsidR="0011019D" w:rsidRPr="00CC0447">
        <w:t>are</w:t>
      </w:r>
      <w:r w:rsidR="006E41E9" w:rsidRPr="00CC0447">
        <w:t xml:space="preserve"> recovered</w:t>
      </w:r>
      <w:r w:rsidR="00AA311D" w:rsidRPr="00CC0447">
        <w:t xml:space="preserve"> for composting.</w:t>
      </w:r>
      <w:r w:rsidRPr="00CC0447">
        <w:t xml:space="preserve"> </w:t>
      </w:r>
      <w:r w:rsidR="00AA311D" w:rsidRPr="00CC0447">
        <w:t xml:space="preserve">Please note that EPA data on waste recovered for composting does not include backyard composting. </w:t>
      </w:r>
      <w:r w:rsidR="00ED3B0C" w:rsidRPr="00CC0447">
        <w:t>T</w:t>
      </w:r>
      <w:r w:rsidR="00AA311D" w:rsidRPr="00CC0447">
        <w:t>his number was</w:t>
      </w:r>
      <w:r w:rsidRPr="00CC0447">
        <w:t xml:space="preserve"> multiplied by the population in each </w:t>
      </w:r>
      <w:r w:rsidR="0011019D" w:rsidRPr="00CC0447">
        <w:t>state in</w:t>
      </w:r>
      <w:r w:rsidRPr="00CC0447">
        <w:t xml:space="preserve"> 2014 from the U.S. Census </w:t>
      </w:r>
      <w:proofErr w:type="gramStart"/>
      <w:r w:rsidRPr="00CC0447">
        <w:t>Bureau</w:t>
      </w:r>
      <w:r w:rsidR="00B140E1" w:rsidRPr="00CC0447">
        <w:rPr>
          <w:vertAlign w:val="superscript"/>
        </w:rPr>
        <w:t>3</w:t>
      </w:r>
      <w:r w:rsidR="0011019D" w:rsidRPr="00CC0447">
        <w:t>, and</w:t>
      </w:r>
      <w:proofErr w:type="gramEnd"/>
      <w:r w:rsidR="0011019D" w:rsidRPr="00CC0447">
        <w:t xml:space="preserve"> </w:t>
      </w:r>
      <w:r w:rsidRPr="00CC0447">
        <w:t>estimate</w:t>
      </w:r>
      <w:r w:rsidR="0011019D" w:rsidRPr="00CC0447">
        <w:t xml:space="preserve">s the annual amount of yard </w:t>
      </w:r>
      <w:r w:rsidRPr="00CC0447">
        <w:t xml:space="preserve">waste recovered for composting in each </w:t>
      </w:r>
      <w:r w:rsidR="002B7127" w:rsidRPr="00CC0447">
        <w:t>state.</w:t>
      </w:r>
    </w:p>
    <w:p w14:paraId="180383F1" w14:textId="77777777" w:rsidR="004F73B1" w:rsidRPr="00CC0447" w:rsidRDefault="004F73B1"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B91CC75" w14:textId="13F67A6F" w:rsidR="004F73B1" w:rsidRPr="00CC0447" w:rsidRDefault="004F73B1" w:rsidP="004F73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CC0447">
        <w:t xml:space="preserve">EPA reports the amount of food waste composted at the state level in the report </w:t>
      </w:r>
      <w:r w:rsidRPr="00CC0447">
        <w:rPr>
          <w:i/>
        </w:rPr>
        <w:t>Food Waste Management in the United States, 2014</w:t>
      </w:r>
      <w:r w:rsidRPr="00CC0447">
        <w:t xml:space="preserve">. These values are shown in Table 1. EPA collected these data from state environmental websites and contacts with state agencies. </w:t>
      </w:r>
      <w:r w:rsidRPr="00CC0447">
        <w:lastRenderedPageBreak/>
        <w:t>The data year for each state is listed and represents the latest data available. The data were not altered from the original reference for use in this methodology.</w:t>
      </w:r>
    </w:p>
    <w:p w14:paraId="635D7E91" w14:textId="6D568309" w:rsidR="004F73B1" w:rsidRPr="00CC0447" w:rsidRDefault="004F73B1" w:rsidP="004F73B1">
      <w:pPr>
        <w:pStyle w:val="TableCaption"/>
        <w:rPr>
          <w:b w:val="0"/>
          <w:bCs w:val="0"/>
          <w:sz w:val="24"/>
          <w:szCs w:val="24"/>
        </w:rPr>
      </w:pPr>
      <w:bookmarkStart w:id="1" w:name="_Ref477442487"/>
      <w:r w:rsidRPr="00CC0447">
        <w:rPr>
          <w:b w:val="0"/>
          <w:bCs w:val="0"/>
          <w:sz w:val="24"/>
          <w:szCs w:val="24"/>
        </w:rPr>
        <w:t xml:space="preserve">Table </w:t>
      </w:r>
      <w:bookmarkEnd w:id="1"/>
      <w:r w:rsidRPr="00CC0447">
        <w:rPr>
          <w:b w:val="0"/>
          <w:bCs w:val="0"/>
          <w:sz w:val="24"/>
          <w:szCs w:val="24"/>
        </w:rPr>
        <w:t>1. State-level food waste composting.</w:t>
      </w:r>
    </w:p>
    <w:tbl>
      <w:tblPr>
        <w:tblW w:w="8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State-level food waste composting"/>
        <w:tblDescription w:val="State, Food composted (tons)"/>
      </w:tblPr>
      <w:tblGrid>
        <w:gridCol w:w="1603"/>
        <w:gridCol w:w="1377"/>
        <w:gridCol w:w="1008"/>
        <w:gridCol w:w="378"/>
        <w:gridCol w:w="1535"/>
        <w:gridCol w:w="1377"/>
        <w:gridCol w:w="848"/>
      </w:tblGrid>
      <w:tr w:rsidR="004F73B1" w:rsidRPr="00CC0447" w14:paraId="2C202B2A" w14:textId="77777777" w:rsidTr="00FF7644">
        <w:trPr>
          <w:trHeight w:val="300"/>
          <w:tblHeader/>
          <w:jc w:val="center"/>
        </w:trPr>
        <w:tc>
          <w:tcPr>
            <w:tcW w:w="1584" w:type="dxa"/>
            <w:shd w:val="clear" w:color="auto" w:fill="BFBFBF" w:themeFill="background1" w:themeFillShade="BF"/>
            <w:noWrap/>
            <w:vAlign w:val="bottom"/>
            <w:hideMark/>
          </w:tcPr>
          <w:p w14:paraId="14CD6741" w14:textId="77777777" w:rsidR="004F73B1" w:rsidRPr="00CC0447" w:rsidRDefault="004F73B1" w:rsidP="00FF7644">
            <w:pPr>
              <w:widowControl/>
              <w:autoSpaceDE/>
              <w:autoSpaceDN/>
              <w:adjustRightInd/>
              <w:rPr>
                <w:b/>
              </w:rPr>
            </w:pPr>
            <w:r w:rsidRPr="00CC0447">
              <w:rPr>
                <w:b/>
              </w:rPr>
              <w:t>State</w:t>
            </w:r>
          </w:p>
        </w:tc>
        <w:tc>
          <w:tcPr>
            <w:tcW w:w="1183" w:type="dxa"/>
            <w:shd w:val="clear" w:color="auto" w:fill="BFBFBF" w:themeFill="background1" w:themeFillShade="BF"/>
            <w:noWrap/>
            <w:vAlign w:val="bottom"/>
            <w:hideMark/>
          </w:tcPr>
          <w:p w14:paraId="26FEF5A4" w14:textId="77777777" w:rsidR="004F73B1" w:rsidRPr="00CC0447" w:rsidRDefault="004F73B1" w:rsidP="00FF7644">
            <w:pPr>
              <w:widowControl/>
              <w:autoSpaceDE/>
              <w:autoSpaceDN/>
              <w:adjustRightInd/>
              <w:jc w:val="center"/>
              <w:rPr>
                <w:b/>
              </w:rPr>
            </w:pPr>
            <w:r w:rsidRPr="00CC0447">
              <w:rPr>
                <w:b/>
              </w:rPr>
              <w:t>Food Composted (tons)</w:t>
            </w:r>
          </w:p>
        </w:tc>
        <w:tc>
          <w:tcPr>
            <w:tcW w:w="1008" w:type="dxa"/>
            <w:shd w:val="clear" w:color="auto" w:fill="BFBFBF" w:themeFill="background1" w:themeFillShade="BF"/>
            <w:noWrap/>
            <w:vAlign w:val="bottom"/>
            <w:hideMark/>
          </w:tcPr>
          <w:p w14:paraId="1E2263EE" w14:textId="77777777" w:rsidR="004F73B1" w:rsidRPr="00CC0447" w:rsidRDefault="004F73B1" w:rsidP="00FF7644">
            <w:pPr>
              <w:widowControl/>
              <w:autoSpaceDE/>
              <w:autoSpaceDN/>
              <w:adjustRightInd/>
              <w:jc w:val="center"/>
              <w:rPr>
                <w:b/>
              </w:rPr>
            </w:pPr>
            <w:r w:rsidRPr="00CC0447">
              <w:rPr>
                <w:b/>
              </w:rPr>
              <w:t>Data Year</w:t>
            </w:r>
          </w:p>
        </w:tc>
        <w:tc>
          <w:tcPr>
            <w:tcW w:w="576" w:type="dxa"/>
            <w:tcBorders>
              <w:top w:val="nil"/>
              <w:bottom w:val="nil"/>
            </w:tcBorders>
            <w:shd w:val="clear" w:color="auto" w:fill="FFFFFF" w:themeFill="background1"/>
          </w:tcPr>
          <w:p w14:paraId="286062A6" w14:textId="77777777" w:rsidR="004F73B1" w:rsidRPr="00CC0447" w:rsidRDefault="004F73B1" w:rsidP="00FF7644">
            <w:pPr>
              <w:widowControl/>
              <w:autoSpaceDE/>
              <w:autoSpaceDN/>
              <w:adjustRightInd/>
              <w:jc w:val="center"/>
            </w:pPr>
          </w:p>
        </w:tc>
        <w:tc>
          <w:tcPr>
            <w:tcW w:w="1584" w:type="dxa"/>
            <w:shd w:val="clear" w:color="auto" w:fill="BFBFBF" w:themeFill="background1" w:themeFillShade="BF"/>
            <w:vAlign w:val="bottom"/>
          </w:tcPr>
          <w:p w14:paraId="14B55532" w14:textId="77777777" w:rsidR="004F73B1" w:rsidRPr="00CC0447" w:rsidRDefault="004F73B1" w:rsidP="00FF7644">
            <w:pPr>
              <w:widowControl/>
              <w:autoSpaceDE/>
              <w:autoSpaceDN/>
              <w:adjustRightInd/>
              <w:rPr>
                <w:b/>
              </w:rPr>
            </w:pPr>
            <w:r w:rsidRPr="00CC0447">
              <w:rPr>
                <w:b/>
              </w:rPr>
              <w:t>State</w:t>
            </w:r>
          </w:p>
        </w:tc>
        <w:tc>
          <w:tcPr>
            <w:tcW w:w="1183" w:type="dxa"/>
            <w:shd w:val="clear" w:color="auto" w:fill="BFBFBF" w:themeFill="background1" w:themeFillShade="BF"/>
            <w:vAlign w:val="bottom"/>
          </w:tcPr>
          <w:p w14:paraId="0B921F4E" w14:textId="77777777" w:rsidR="004F73B1" w:rsidRPr="00CC0447" w:rsidRDefault="004F73B1" w:rsidP="00FF7644">
            <w:pPr>
              <w:widowControl/>
              <w:autoSpaceDE/>
              <w:autoSpaceDN/>
              <w:adjustRightInd/>
              <w:jc w:val="center"/>
              <w:rPr>
                <w:b/>
              </w:rPr>
            </w:pPr>
            <w:r w:rsidRPr="00CC0447">
              <w:rPr>
                <w:b/>
              </w:rPr>
              <w:t>Food Composted (tons)</w:t>
            </w:r>
          </w:p>
        </w:tc>
        <w:tc>
          <w:tcPr>
            <w:tcW w:w="1008" w:type="dxa"/>
            <w:shd w:val="clear" w:color="auto" w:fill="BFBFBF" w:themeFill="background1" w:themeFillShade="BF"/>
            <w:vAlign w:val="bottom"/>
          </w:tcPr>
          <w:p w14:paraId="7FC7B964" w14:textId="77777777" w:rsidR="004F73B1" w:rsidRPr="00CC0447" w:rsidRDefault="004F73B1" w:rsidP="00FF7644">
            <w:pPr>
              <w:widowControl/>
              <w:autoSpaceDE/>
              <w:autoSpaceDN/>
              <w:adjustRightInd/>
              <w:jc w:val="center"/>
              <w:rPr>
                <w:b/>
              </w:rPr>
            </w:pPr>
            <w:r w:rsidRPr="00CC0447">
              <w:rPr>
                <w:b/>
              </w:rPr>
              <w:t>Data Year</w:t>
            </w:r>
          </w:p>
        </w:tc>
      </w:tr>
      <w:tr w:rsidR="004F73B1" w:rsidRPr="00CC0447" w14:paraId="71845E23" w14:textId="77777777" w:rsidTr="00FF7644">
        <w:trPr>
          <w:trHeight w:val="300"/>
          <w:jc w:val="center"/>
        </w:trPr>
        <w:tc>
          <w:tcPr>
            <w:tcW w:w="1584" w:type="dxa"/>
            <w:shd w:val="clear" w:color="auto" w:fill="auto"/>
            <w:noWrap/>
            <w:vAlign w:val="bottom"/>
            <w:hideMark/>
          </w:tcPr>
          <w:p w14:paraId="6924AB12" w14:textId="77777777" w:rsidR="004F73B1" w:rsidRPr="00CC0447" w:rsidRDefault="004F73B1" w:rsidP="00FF7644">
            <w:pPr>
              <w:widowControl/>
              <w:autoSpaceDE/>
              <w:autoSpaceDN/>
              <w:adjustRightInd/>
            </w:pPr>
            <w:r w:rsidRPr="00CC0447">
              <w:t>California</w:t>
            </w:r>
          </w:p>
        </w:tc>
        <w:tc>
          <w:tcPr>
            <w:tcW w:w="1183" w:type="dxa"/>
            <w:shd w:val="clear" w:color="auto" w:fill="auto"/>
            <w:noWrap/>
            <w:vAlign w:val="bottom"/>
            <w:hideMark/>
          </w:tcPr>
          <w:p w14:paraId="3EC3AFF3" w14:textId="77777777" w:rsidR="004F73B1" w:rsidRPr="00CC0447" w:rsidRDefault="004F73B1" w:rsidP="00FF7644">
            <w:pPr>
              <w:widowControl/>
              <w:autoSpaceDE/>
              <w:autoSpaceDN/>
              <w:adjustRightInd/>
              <w:jc w:val="right"/>
            </w:pPr>
            <w:r w:rsidRPr="00CC0447">
              <w:t>715,119</w:t>
            </w:r>
          </w:p>
        </w:tc>
        <w:tc>
          <w:tcPr>
            <w:tcW w:w="1008" w:type="dxa"/>
            <w:shd w:val="clear" w:color="auto" w:fill="auto"/>
            <w:noWrap/>
            <w:vAlign w:val="bottom"/>
            <w:hideMark/>
          </w:tcPr>
          <w:p w14:paraId="7441D205" w14:textId="77777777" w:rsidR="004F73B1" w:rsidRPr="00CC0447" w:rsidRDefault="004F73B1" w:rsidP="00FF7644">
            <w:pPr>
              <w:widowControl/>
              <w:autoSpaceDE/>
              <w:autoSpaceDN/>
              <w:adjustRightInd/>
              <w:jc w:val="center"/>
            </w:pPr>
            <w:r w:rsidRPr="00CC0447">
              <w:t>2012</w:t>
            </w:r>
          </w:p>
        </w:tc>
        <w:tc>
          <w:tcPr>
            <w:tcW w:w="576" w:type="dxa"/>
            <w:tcBorders>
              <w:top w:val="nil"/>
              <w:bottom w:val="nil"/>
            </w:tcBorders>
          </w:tcPr>
          <w:p w14:paraId="1C22F45E" w14:textId="77777777" w:rsidR="004F73B1" w:rsidRPr="00CC0447" w:rsidRDefault="004F73B1" w:rsidP="00FF7644">
            <w:pPr>
              <w:widowControl/>
              <w:autoSpaceDE/>
              <w:autoSpaceDN/>
              <w:adjustRightInd/>
              <w:jc w:val="center"/>
            </w:pPr>
          </w:p>
        </w:tc>
        <w:tc>
          <w:tcPr>
            <w:tcW w:w="1584" w:type="dxa"/>
            <w:vAlign w:val="bottom"/>
          </w:tcPr>
          <w:p w14:paraId="040578DE" w14:textId="77777777" w:rsidR="004F73B1" w:rsidRPr="00CC0447" w:rsidRDefault="004F73B1" w:rsidP="00FF7644">
            <w:pPr>
              <w:widowControl/>
              <w:autoSpaceDE/>
              <w:autoSpaceDN/>
              <w:adjustRightInd/>
            </w:pPr>
            <w:r w:rsidRPr="00CC0447">
              <w:t>Nevada</w:t>
            </w:r>
          </w:p>
        </w:tc>
        <w:tc>
          <w:tcPr>
            <w:tcW w:w="1183" w:type="dxa"/>
            <w:vAlign w:val="bottom"/>
          </w:tcPr>
          <w:p w14:paraId="60FA9165" w14:textId="77777777" w:rsidR="004F73B1" w:rsidRPr="00CC0447" w:rsidRDefault="004F73B1" w:rsidP="00FF7644">
            <w:pPr>
              <w:widowControl/>
              <w:autoSpaceDE/>
              <w:autoSpaceDN/>
              <w:adjustRightInd/>
              <w:jc w:val="right"/>
            </w:pPr>
            <w:r w:rsidRPr="00CC0447">
              <w:t>35,869</w:t>
            </w:r>
          </w:p>
        </w:tc>
        <w:tc>
          <w:tcPr>
            <w:tcW w:w="1008" w:type="dxa"/>
            <w:vAlign w:val="bottom"/>
          </w:tcPr>
          <w:p w14:paraId="07A8CB1A" w14:textId="77777777" w:rsidR="004F73B1" w:rsidRPr="00CC0447" w:rsidRDefault="004F73B1" w:rsidP="00FF7644">
            <w:pPr>
              <w:widowControl/>
              <w:autoSpaceDE/>
              <w:autoSpaceDN/>
              <w:adjustRightInd/>
              <w:jc w:val="center"/>
            </w:pPr>
            <w:r w:rsidRPr="00CC0447">
              <w:t>2014</w:t>
            </w:r>
          </w:p>
        </w:tc>
      </w:tr>
      <w:tr w:rsidR="004F73B1" w:rsidRPr="00CC0447" w14:paraId="4B1AB434" w14:textId="77777777" w:rsidTr="00FF7644">
        <w:trPr>
          <w:trHeight w:val="300"/>
          <w:jc w:val="center"/>
        </w:trPr>
        <w:tc>
          <w:tcPr>
            <w:tcW w:w="1584" w:type="dxa"/>
            <w:shd w:val="clear" w:color="auto" w:fill="auto"/>
            <w:noWrap/>
            <w:vAlign w:val="bottom"/>
            <w:hideMark/>
          </w:tcPr>
          <w:p w14:paraId="7E1C5FAB" w14:textId="77777777" w:rsidR="004F73B1" w:rsidRPr="00CC0447" w:rsidRDefault="004F73B1" w:rsidP="00FF7644">
            <w:pPr>
              <w:widowControl/>
              <w:autoSpaceDE/>
              <w:autoSpaceDN/>
              <w:adjustRightInd/>
            </w:pPr>
            <w:r w:rsidRPr="00CC0447">
              <w:t>Colorado</w:t>
            </w:r>
          </w:p>
        </w:tc>
        <w:tc>
          <w:tcPr>
            <w:tcW w:w="1183" w:type="dxa"/>
            <w:shd w:val="clear" w:color="auto" w:fill="auto"/>
            <w:noWrap/>
            <w:vAlign w:val="bottom"/>
            <w:hideMark/>
          </w:tcPr>
          <w:p w14:paraId="218F262C" w14:textId="77777777" w:rsidR="004F73B1" w:rsidRPr="00CC0447" w:rsidRDefault="004F73B1" w:rsidP="00FF7644">
            <w:pPr>
              <w:widowControl/>
              <w:autoSpaceDE/>
              <w:autoSpaceDN/>
              <w:adjustRightInd/>
              <w:jc w:val="right"/>
            </w:pPr>
            <w:r w:rsidRPr="00CC0447">
              <w:t>29,130</w:t>
            </w:r>
          </w:p>
        </w:tc>
        <w:tc>
          <w:tcPr>
            <w:tcW w:w="1008" w:type="dxa"/>
            <w:shd w:val="clear" w:color="auto" w:fill="auto"/>
            <w:noWrap/>
            <w:vAlign w:val="bottom"/>
            <w:hideMark/>
          </w:tcPr>
          <w:p w14:paraId="0BB833FD"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34AF27C2" w14:textId="77777777" w:rsidR="004F73B1" w:rsidRPr="00CC0447" w:rsidRDefault="004F73B1" w:rsidP="00FF7644">
            <w:pPr>
              <w:widowControl/>
              <w:autoSpaceDE/>
              <w:autoSpaceDN/>
              <w:adjustRightInd/>
              <w:jc w:val="center"/>
            </w:pPr>
          </w:p>
        </w:tc>
        <w:tc>
          <w:tcPr>
            <w:tcW w:w="1584" w:type="dxa"/>
            <w:vAlign w:val="bottom"/>
          </w:tcPr>
          <w:p w14:paraId="3E9515D1" w14:textId="77777777" w:rsidR="004F73B1" w:rsidRPr="00CC0447" w:rsidRDefault="004F73B1" w:rsidP="00FF7644">
            <w:pPr>
              <w:widowControl/>
              <w:autoSpaceDE/>
              <w:autoSpaceDN/>
              <w:adjustRightInd/>
            </w:pPr>
            <w:r w:rsidRPr="00CC0447">
              <w:t>New Hampshire</w:t>
            </w:r>
          </w:p>
        </w:tc>
        <w:tc>
          <w:tcPr>
            <w:tcW w:w="1183" w:type="dxa"/>
            <w:vAlign w:val="bottom"/>
          </w:tcPr>
          <w:p w14:paraId="7872D2AE" w14:textId="77777777" w:rsidR="004F73B1" w:rsidRPr="00CC0447" w:rsidRDefault="004F73B1" w:rsidP="00FF7644">
            <w:pPr>
              <w:widowControl/>
              <w:autoSpaceDE/>
              <w:autoSpaceDN/>
              <w:adjustRightInd/>
              <w:jc w:val="right"/>
            </w:pPr>
            <w:r w:rsidRPr="00CC0447">
              <w:t>110</w:t>
            </w:r>
          </w:p>
        </w:tc>
        <w:tc>
          <w:tcPr>
            <w:tcW w:w="1008" w:type="dxa"/>
            <w:vAlign w:val="bottom"/>
          </w:tcPr>
          <w:p w14:paraId="680962A8" w14:textId="77777777" w:rsidR="004F73B1" w:rsidRPr="00CC0447" w:rsidRDefault="004F73B1" w:rsidP="00FF7644">
            <w:pPr>
              <w:widowControl/>
              <w:autoSpaceDE/>
              <w:autoSpaceDN/>
              <w:adjustRightInd/>
              <w:jc w:val="center"/>
            </w:pPr>
            <w:r w:rsidRPr="00CC0447">
              <w:t>2012</w:t>
            </w:r>
          </w:p>
        </w:tc>
      </w:tr>
      <w:tr w:rsidR="004F73B1" w:rsidRPr="00CC0447" w14:paraId="20F900CA" w14:textId="77777777" w:rsidTr="00FF7644">
        <w:trPr>
          <w:trHeight w:val="300"/>
          <w:jc w:val="center"/>
        </w:trPr>
        <w:tc>
          <w:tcPr>
            <w:tcW w:w="1584" w:type="dxa"/>
            <w:shd w:val="clear" w:color="auto" w:fill="auto"/>
            <w:noWrap/>
            <w:vAlign w:val="bottom"/>
            <w:hideMark/>
          </w:tcPr>
          <w:p w14:paraId="5A7FFB51" w14:textId="77777777" w:rsidR="004F73B1" w:rsidRPr="00CC0447" w:rsidRDefault="004F73B1" w:rsidP="00FF7644">
            <w:pPr>
              <w:widowControl/>
              <w:autoSpaceDE/>
              <w:autoSpaceDN/>
              <w:adjustRightInd/>
            </w:pPr>
            <w:r w:rsidRPr="00CC0447">
              <w:t>Connecticut</w:t>
            </w:r>
          </w:p>
        </w:tc>
        <w:tc>
          <w:tcPr>
            <w:tcW w:w="1183" w:type="dxa"/>
            <w:shd w:val="clear" w:color="auto" w:fill="auto"/>
            <w:noWrap/>
            <w:vAlign w:val="bottom"/>
            <w:hideMark/>
          </w:tcPr>
          <w:p w14:paraId="7AD936C0" w14:textId="77777777" w:rsidR="004F73B1" w:rsidRPr="00CC0447" w:rsidRDefault="004F73B1" w:rsidP="00FF7644">
            <w:pPr>
              <w:widowControl/>
              <w:autoSpaceDE/>
              <w:autoSpaceDN/>
              <w:adjustRightInd/>
              <w:jc w:val="right"/>
            </w:pPr>
            <w:r w:rsidRPr="00CC0447">
              <w:t>4,644</w:t>
            </w:r>
          </w:p>
        </w:tc>
        <w:tc>
          <w:tcPr>
            <w:tcW w:w="1008" w:type="dxa"/>
            <w:shd w:val="clear" w:color="auto" w:fill="auto"/>
            <w:noWrap/>
            <w:vAlign w:val="bottom"/>
            <w:hideMark/>
          </w:tcPr>
          <w:p w14:paraId="7A166C44"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49446AF5" w14:textId="77777777" w:rsidR="004F73B1" w:rsidRPr="00CC0447" w:rsidRDefault="004F73B1" w:rsidP="00FF7644">
            <w:pPr>
              <w:widowControl/>
              <w:autoSpaceDE/>
              <w:autoSpaceDN/>
              <w:adjustRightInd/>
              <w:jc w:val="center"/>
            </w:pPr>
          </w:p>
        </w:tc>
        <w:tc>
          <w:tcPr>
            <w:tcW w:w="1584" w:type="dxa"/>
            <w:vAlign w:val="bottom"/>
          </w:tcPr>
          <w:p w14:paraId="60C81564" w14:textId="77777777" w:rsidR="004F73B1" w:rsidRPr="00CC0447" w:rsidRDefault="004F73B1" w:rsidP="00FF7644">
            <w:pPr>
              <w:widowControl/>
              <w:autoSpaceDE/>
              <w:autoSpaceDN/>
              <w:adjustRightInd/>
            </w:pPr>
            <w:r w:rsidRPr="00CC0447">
              <w:t>New Jersey</w:t>
            </w:r>
          </w:p>
        </w:tc>
        <w:tc>
          <w:tcPr>
            <w:tcW w:w="1183" w:type="dxa"/>
            <w:vAlign w:val="bottom"/>
          </w:tcPr>
          <w:p w14:paraId="76E975BE" w14:textId="77777777" w:rsidR="004F73B1" w:rsidRPr="00CC0447" w:rsidRDefault="004F73B1" w:rsidP="00FF7644">
            <w:pPr>
              <w:widowControl/>
              <w:autoSpaceDE/>
              <w:autoSpaceDN/>
              <w:adjustRightInd/>
              <w:jc w:val="right"/>
            </w:pPr>
            <w:r w:rsidRPr="00CC0447">
              <w:t>28,634</w:t>
            </w:r>
          </w:p>
        </w:tc>
        <w:tc>
          <w:tcPr>
            <w:tcW w:w="1008" w:type="dxa"/>
            <w:vAlign w:val="bottom"/>
          </w:tcPr>
          <w:p w14:paraId="7556E0BF" w14:textId="77777777" w:rsidR="004F73B1" w:rsidRPr="00CC0447" w:rsidRDefault="004F73B1" w:rsidP="00FF7644">
            <w:pPr>
              <w:widowControl/>
              <w:autoSpaceDE/>
              <w:autoSpaceDN/>
              <w:adjustRightInd/>
              <w:jc w:val="center"/>
            </w:pPr>
            <w:r w:rsidRPr="00CC0447">
              <w:t>2012</w:t>
            </w:r>
          </w:p>
        </w:tc>
      </w:tr>
      <w:tr w:rsidR="004F73B1" w:rsidRPr="00CC0447" w14:paraId="37A7F414" w14:textId="77777777" w:rsidTr="00FF7644">
        <w:trPr>
          <w:trHeight w:val="300"/>
          <w:jc w:val="center"/>
        </w:trPr>
        <w:tc>
          <w:tcPr>
            <w:tcW w:w="1584" w:type="dxa"/>
            <w:shd w:val="clear" w:color="auto" w:fill="auto"/>
            <w:noWrap/>
            <w:vAlign w:val="bottom"/>
            <w:hideMark/>
          </w:tcPr>
          <w:p w14:paraId="0BA01389" w14:textId="77777777" w:rsidR="004F73B1" w:rsidRPr="00CC0447" w:rsidRDefault="004F73B1" w:rsidP="00FF7644">
            <w:pPr>
              <w:widowControl/>
              <w:autoSpaceDE/>
              <w:autoSpaceDN/>
              <w:adjustRightInd/>
            </w:pPr>
            <w:r w:rsidRPr="00CC0447">
              <w:t>Delaware</w:t>
            </w:r>
          </w:p>
        </w:tc>
        <w:tc>
          <w:tcPr>
            <w:tcW w:w="1183" w:type="dxa"/>
            <w:shd w:val="clear" w:color="auto" w:fill="auto"/>
            <w:noWrap/>
            <w:vAlign w:val="bottom"/>
            <w:hideMark/>
          </w:tcPr>
          <w:p w14:paraId="171A338E" w14:textId="77777777" w:rsidR="004F73B1" w:rsidRPr="00CC0447" w:rsidRDefault="004F73B1" w:rsidP="00FF7644">
            <w:pPr>
              <w:widowControl/>
              <w:autoSpaceDE/>
              <w:autoSpaceDN/>
              <w:adjustRightInd/>
              <w:jc w:val="right"/>
            </w:pPr>
            <w:r w:rsidRPr="00CC0447">
              <w:t>17,626</w:t>
            </w:r>
          </w:p>
        </w:tc>
        <w:tc>
          <w:tcPr>
            <w:tcW w:w="1008" w:type="dxa"/>
            <w:shd w:val="clear" w:color="auto" w:fill="auto"/>
            <w:noWrap/>
            <w:vAlign w:val="bottom"/>
            <w:hideMark/>
          </w:tcPr>
          <w:p w14:paraId="63389EAF"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0E2C8016" w14:textId="77777777" w:rsidR="004F73B1" w:rsidRPr="00CC0447" w:rsidRDefault="004F73B1" w:rsidP="00FF7644">
            <w:pPr>
              <w:widowControl/>
              <w:autoSpaceDE/>
              <w:autoSpaceDN/>
              <w:adjustRightInd/>
              <w:jc w:val="center"/>
            </w:pPr>
          </w:p>
        </w:tc>
        <w:tc>
          <w:tcPr>
            <w:tcW w:w="1584" w:type="dxa"/>
            <w:vAlign w:val="bottom"/>
          </w:tcPr>
          <w:p w14:paraId="5C3A7DAB" w14:textId="77777777" w:rsidR="004F73B1" w:rsidRPr="00CC0447" w:rsidRDefault="004F73B1" w:rsidP="00FF7644">
            <w:pPr>
              <w:widowControl/>
              <w:autoSpaceDE/>
              <w:autoSpaceDN/>
              <w:adjustRightInd/>
            </w:pPr>
            <w:r w:rsidRPr="00CC0447">
              <w:t>New York</w:t>
            </w:r>
          </w:p>
        </w:tc>
        <w:tc>
          <w:tcPr>
            <w:tcW w:w="1183" w:type="dxa"/>
            <w:vAlign w:val="bottom"/>
          </w:tcPr>
          <w:p w14:paraId="4AF3F35E" w14:textId="77777777" w:rsidR="004F73B1" w:rsidRPr="00CC0447" w:rsidRDefault="004F73B1" w:rsidP="00FF7644">
            <w:pPr>
              <w:widowControl/>
              <w:autoSpaceDE/>
              <w:autoSpaceDN/>
              <w:adjustRightInd/>
              <w:jc w:val="right"/>
            </w:pPr>
            <w:r w:rsidRPr="00CC0447">
              <w:t>44,405</w:t>
            </w:r>
          </w:p>
        </w:tc>
        <w:tc>
          <w:tcPr>
            <w:tcW w:w="1008" w:type="dxa"/>
            <w:vAlign w:val="bottom"/>
          </w:tcPr>
          <w:p w14:paraId="0BCC4CB8" w14:textId="77777777" w:rsidR="004F73B1" w:rsidRPr="00CC0447" w:rsidRDefault="004F73B1" w:rsidP="00FF7644">
            <w:pPr>
              <w:widowControl/>
              <w:autoSpaceDE/>
              <w:autoSpaceDN/>
              <w:adjustRightInd/>
              <w:jc w:val="center"/>
            </w:pPr>
            <w:r w:rsidRPr="00CC0447">
              <w:t>2013</w:t>
            </w:r>
          </w:p>
        </w:tc>
      </w:tr>
      <w:tr w:rsidR="004F73B1" w:rsidRPr="00CC0447" w14:paraId="40180815" w14:textId="77777777" w:rsidTr="00FF7644">
        <w:trPr>
          <w:trHeight w:val="300"/>
          <w:jc w:val="center"/>
        </w:trPr>
        <w:tc>
          <w:tcPr>
            <w:tcW w:w="1584" w:type="dxa"/>
            <w:shd w:val="clear" w:color="auto" w:fill="auto"/>
            <w:noWrap/>
            <w:vAlign w:val="bottom"/>
            <w:hideMark/>
          </w:tcPr>
          <w:p w14:paraId="414B76D0" w14:textId="77777777" w:rsidR="004F73B1" w:rsidRPr="00CC0447" w:rsidRDefault="004F73B1" w:rsidP="00FF7644">
            <w:pPr>
              <w:widowControl/>
              <w:autoSpaceDE/>
              <w:autoSpaceDN/>
              <w:adjustRightInd/>
            </w:pPr>
            <w:r w:rsidRPr="00CC0447">
              <w:t>Florida</w:t>
            </w:r>
          </w:p>
        </w:tc>
        <w:tc>
          <w:tcPr>
            <w:tcW w:w="1183" w:type="dxa"/>
            <w:shd w:val="clear" w:color="auto" w:fill="auto"/>
            <w:noWrap/>
            <w:vAlign w:val="bottom"/>
            <w:hideMark/>
          </w:tcPr>
          <w:p w14:paraId="0719D159" w14:textId="77777777" w:rsidR="004F73B1" w:rsidRPr="00CC0447" w:rsidRDefault="004F73B1" w:rsidP="00FF7644">
            <w:pPr>
              <w:widowControl/>
              <w:autoSpaceDE/>
              <w:autoSpaceDN/>
              <w:adjustRightInd/>
              <w:jc w:val="right"/>
            </w:pPr>
            <w:r w:rsidRPr="00CC0447">
              <w:t>158,711</w:t>
            </w:r>
          </w:p>
        </w:tc>
        <w:tc>
          <w:tcPr>
            <w:tcW w:w="1008" w:type="dxa"/>
            <w:shd w:val="clear" w:color="auto" w:fill="auto"/>
            <w:noWrap/>
            <w:vAlign w:val="bottom"/>
            <w:hideMark/>
          </w:tcPr>
          <w:p w14:paraId="0480F743"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629A7418" w14:textId="77777777" w:rsidR="004F73B1" w:rsidRPr="00CC0447" w:rsidRDefault="004F73B1" w:rsidP="00FF7644">
            <w:pPr>
              <w:widowControl/>
              <w:autoSpaceDE/>
              <w:autoSpaceDN/>
              <w:adjustRightInd/>
              <w:jc w:val="center"/>
            </w:pPr>
          </w:p>
        </w:tc>
        <w:tc>
          <w:tcPr>
            <w:tcW w:w="1584" w:type="dxa"/>
            <w:vAlign w:val="bottom"/>
          </w:tcPr>
          <w:p w14:paraId="5A64A3BE" w14:textId="77777777" w:rsidR="004F73B1" w:rsidRPr="00CC0447" w:rsidRDefault="004F73B1" w:rsidP="00FF7644">
            <w:pPr>
              <w:widowControl/>
              <w:autoSpaceDE/>
              <w:autoSpaceDN/>
              <w:adjustRightInd/>
            </w:pPr>
            <w:r w:rsidRPr="00CC0447">
              <w:t>North Carolina</w:t>
            </w:r>
          </w:p>
        </w:tc>
        <w:tc>
          <w:tcPr>
            <w:tcW w:w="1183" w:type="dxa"/>
            <w:vAlign w:val="bottom"/>
          </w:tcPr>
          <w:p w14:paraId="61EAA6DC" w14:textId="77777777" w:rsidR="004F73B1" w:rsidRPr="00CC0447" w:rsidRDefault="004F73B1" w:rsidP="00FF7644">
            <w:pPr>
              <w:widowControl/>
              <w:autoSpaceDE/>
              <w:autoSpaceDN/>
              <w:adjustRightInd/>
              <w:jc w:val="right"/>
            </w:pPr>
            <w:r w:rsidRPr="00CC0447">
              <w:t>38,014</w:t>
            </w:r>
          </w:p>
        </w:tc>
        <w:tc>
          <w:tcPr>
            <w:tcW w:w="1008" w:type="dxa"/>
            <w:vAlign w:val="bottom"/>
          </w:tcPr>
          <w:p w14:paraId="021022E9" w14:textId="77777777" w:rsidR="004F73B1" w:rsidRPr="00CC0447" w:rsidRDefault="004F73B1" w:rsidP="00FF7644">
            <w:pPr>
              <w:widowControl/>
              <w:autoSpaceDE/>
              <w:autoSpaceDN/>
              <w:adjustRightInd/>
              <w:jc w:val="center"/>
            </w:pPr>
            <w:r w:rsidRPr="00CC0447">
              <w:t>2014</w:t>
            </w:r>
          </w:p>
        </w:tc>
      </w:tr>
      <w:tr w:rsidR="004F73B1" w:rsidRPr="00CC0447" w14:paraId="21D2DD2F" w14:textId="77777777" w:rsidTr="00FF7644">
        <w:trPr>
          <w:trHeight w:val="300"/>
          <w:jc w:val="center"/>
        </w:trPr>
        <w:tc>
          <w:tcPr>
            <w:tcW w:w="1584" w:type="dxa"/>
            <w:shd w:val="clear" w:color="auto" w:fill="auto"/>
            <w:noWrap/>
            <w:vAlign w:val="bottom"/>
            <w:hideMark/>
          </w:tcPr>
          <w:p w14:paraId="74FAD363" w14:textId="77777777" w:rsidR="004F73B1" w:rsidRPr="00CC0447" w:rsidRDefault="004F73B1" w:rsidP="00FF7644">
            <w:pPr>
              <w:widowControl/>
              <w:autoSpaceDE/>
              <w:autoSpaceDN/>
              <w:adjustRightInd/>
            </w:pPr>
            <w:r w:rsidRPr="00CC0447">
              <w:t>Georgia</w:t>
            </w:r>
          </w:p>
        </w:tc>
        <w:tc>
          <w:tcPr>
            <w:tcW w:w="1183" w:type="dxa"/>
            <w:shd w:val="clear" w:color="auto" w:fill="auto"/>
            <w:noWrap/>
            <w:vAlign w:val="bottom"/>
            <w:hideMark/>
          </w:tcPr>
          <w:p w14:paraId="558C71ED" w14:textId="77777777" w:rsidR="004F73B1" w:rsidRPr="00CC0447" w:rsidRDefault="004F73B1" w:rsidP="00FF7644">
            <w:pPr>
              <w:widowControl/>
              <w:autoSpaceDE/>
              <w:autoSpaceDN/>
              <w:adjustRightInd/>
              <w:jc w:val="right"/>
            </w:pPr>
            <w:r w:rsidRPr="00CC0447">
              <w:t>8,021</w:t>
            </w:r>
          </w:p>
        </w:tc>
        <w:tc>
          <w:tcPr>
            <w:tcW w:w="1008" w:type="dxa"/>
            <w:shd w:val="clear" w:color="auto" w:fill="auto"/>
            <w:noWrap/>
            <w:vAlign w:val="bottom"/>
            <w:hideMark/>
          </w:tcPr>
          <w:p w14:paraId="07FB7FC5"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566166E8" w14:textId="77777777" w:rsidR="004F73B1" w:rsidRPr="00CC0447" w:rsidRDefault="004F73B1" w:rsidP="00FF7644">
            <w:pPr>
              <w:widowControl/>
              <w:autoSpaceDE/>
              <w:autoSpaceDN/>
              <w:adjustRightInd/>
              <w:jc w:val="center"/>
            </w:pPr>
          </w:p>
        </w:tc>
        <w:tc>
          <w:tcPr>
            <w:tcW w:w="1584" w:type="dxa"/>
            <w:vAlign w:val="bottom"/>
          </w:tcPr>
          <w:p w14:paraId="71B5B0EA" w14:textId="77777777" w:rsidR="004F73B1" w:rsidRPr="00CC0447" w:rsidRDefault="004F73B1" w:rsidP="00FF7644">
            <w:pPr>
              <w:widowControl/>
              <w:autoSpaceDE/>
              <w:autoSpaceDN/>
              <w:adjustRightInd/>
            </w:pPr>
            <w:r w:rsidRPr="00CC0447">
              <w:t>Ohio</w:t>
            </w:r>
          </w:p>
        </w:tc>
        <w:tc>
          <w:tcPr>
            <w:tcW w:w="1183" w:type="dxa"/>
            <w:vAlign w:val="bottom"/>
          </w:tcPr>
          <w:p w14:paraId="6250EAA8" w14:textId="77777777" w:rsidR="004F73B1" w:rsidRPr="00CC0447" w:rsidRDefault="004F73B1" w:rsidP="00FF7644">
            <w:pPr>
              <w:widowControl/>
              <w:autoSpaceDE/>
              <w:autoSpaceDN/>
              <w:adjustRightInd/>
              <w:jc w:val="right"/>
            </w:pPr>
            <w:r w:rsidRPr="00CC0447">
              <w:t>81,450</w:t>
            </w:r>
          </w:p>
        </w:tc>
        <w:tc>
          <w:tcPr>
            <w:tcW w:w="1008" w:type="dxa"/>
            <w:vAlign w:val="bottom"/>
          </w:tcPr>
          <w:p w14:paraId="55470D37" w14:textId="77777777" w:rsidR="004F73B1" w:rsidRPr="00CC0447" w:rsidRDefault="004F73B1" w:rsidP="00FF7644">
            <w:pPr>
              <w:widowControl/>
              <w:autoSpaceDE/>
              <w:autoSpaceDN/>
              <w:adjustRightInd/>
              <w:jc w:val="center"/>
            </w:pPr>
            <w:r w:rsidRPr="00CC0447">
              <w:t>2014</w:t>
            </w:r>
          </w:p>
        </w:tc>
      </w:tr>
      <w:tr w:rsidR="004F73B1" w:rsidRPr="00CC0447" w14:paraId="43379363" w14:textId="77777777" w:rsidTr="00FF7644">
        <w:trPr>
          <w:trHeight w:val="300"/>
          <w:jc w:val="center"/>
        </w:trPr>
        <w:tc>
          <w:tcPr>
            <w:tcW w:w="1584" w:type="dxa"/>
            <w:shd w:val="clear" w:color="auto" w:fill="auto"/>
            <w:noWrap/>
            <w:vAlign w:val="bottom"/>
            <w:hideMark/>
          </w:tcPr>
          <w:p w14:paraId="317C24A0" w14:textId="77777777" w:rsidR="004F73B1" w:rsidRPr="00CC0447" w:rsidRDefault="004F73B1" w:rsidP="00FF7644">
            <w:pPr>
              <w:widowControl/>
              <w:autoSpaceDE/>
              <w:autoSpaceDN/>
              <w:adjustRightInd/>
            </w:pPr>
            <w:r w:rsidRPr="00CC0447">
              <w:t>Hawaii</w:t>
            </w:r>
          </w:p>
        </w:tc>
        <w:tc>
          <w:tcPr>
            <w:tcW w:w="1183" w:type="dxa"/>
            <w:shd w:val="clear" w:color="auto" w:fill="auto"/>
            <w:noWrap/>
            <w:vAlign w:val="bottom"/>
            <w:hideMark/>
          </w:tcPr>
          <w:p w14:paraId="0295CBB8" w14:textId="77777777" w:rsidR="004F73B1" w:rsidRPr="00CC0447" w:rsidRDefault="004F73B1" w:rsidP="00FF7644">
            <w:pPr>
              <w:widowControl/>
              <w:autoSpaceDE/>
              <w:autoSpaceDN/>
              <w:adjustRightInd/>
              <w:jc w:val="right"/>
            </w:pPr>
            <w:r w:rsidRPr="00CC0447">
              <w:t>39,287</w:t>
            </w:r>
          </w:p>
        </w:tc>
        <w:tc>
          <w:tcPr>
            <w:tcW w:w="1008" w:type="dxa"/>
            <w:shd w:val="clear" w:color="auto" w:fill="auto"/>
            <w:noWrap/>
            <w:vAlign w:val="bottom"/>
            <w:hideMark/>
          </w:tcPr>
          <w:p w14:paraId="47B51128"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08601809" w14:textId="77777777" w:rsidR="004F73B1" w:rsidRPr="00CC0447" w:rsidRDefault="004F73B1" w:rsidP="00FF7644">
            <w:pPr>
              <w:widowControl/>
              <w:autoSpaceDE/>
              <w:autoSpaceDN/>
              <w:adjustRightInd/>
              <w:jc w:val="center"/>
            </w:pPr>
          </w:p>
        </w:tc>
        <w:tc>
          <w:tcPr>
            <w:tcW w:w="1584" w:type="dxa"/>
            <w:vAlign w:val="bottom"/>
          </w:tcPr>
          <w:p w14:paraId="6986B5FB" w14:textId="77777777" w:rsidR="004F73B1" w:rsidRPr="00CC0447" w:rsidRDefault="004F73B1" w:rsidP="00FF7644">
            <w:pPr>
              <w:widowControl/>
              <w:autoSpaceDE/>
              <w:autoSpaceDN/>
              <w:adjustRightInd/>
            </w:pPr>
            <w:r w:rsidRPr="00CC0447">
              <w:t>Oregon</w:t>
            </w:r>
          </w:p>
        </w:tc>
        <w:tc>
          <w:tcPr>
            <w:tcW w:w="1183" w:type="dxa"/>
            <w:vAlign w:val="bottom"/>
          </w:tcPr>
          <w:p w14:paraId="70005E88" w14:textId="77777777" w:rsidR="004F73B1" w:rsidRPr="00CC0447" w:rsidRDefault="004F73B1" w:rsidP="00FF7644">
            <w:pPr>
              <w:widowControl/>
              <w:autoSpaceDE/>
              <w:autoSpaceDN/>
              <w:adjustRightInd/>
              <w:jc w:val="right"/>
            </w:pPr>
            <w:r w:rsidRPr="00CC0447">
              <w:t>50,143</w:t>
            </w:r>
          </w:p>
        </w:tc>
        <w:tc>
          <w:tcPr>
            <w:tcW w:w="1008" w:type="dxa"/>
            <w:vAlign w:val="bottom"/>
          </w:tcPr>
          <w:p w14:paraId="59378D60" w14:textId="77777777" w:rsidR="004F73B1" w:rsidRPr="00CC0447" w:rsidRDefault="004F73B1" w:rsidP="00FF7644">
            <w:pPr>
              <w:widowControl/>
              <w:autoSpaceDE/>
              <w:autoSpaceDN/>
              <w:adjustRightInd/>
              <w:jc w:val="center"/>
            </w:pPr>
            <w:r w:rsidRPr="00CC0447">
              <w:t>2013</w:t>
            </w:r>
          </w:p>
        </w:tc>
      </w:tr>
      <w:tr w:rsidR="004F73B1" w:rsidRPr="00CC0447" w14:paraId="4490AC74" w14:textId="77777777" w:rsidTr="00FF7644">
        <w:trPr>
          <w:trHeight w:val="300"/>
          <w:jc w:val="center"/>
        </w:trPr>
        <w:tc>
          <w:tcPr>
            <w:tcW w:w="1584" w:type="dxa"/>
            <w:shd w:val="clear" w:color="auto" w:fill="auto"/>
            <w:noWrap/>
            <w:vAlign w:val="bottom"/>
            <w:hideMark/>
          </w:tcPr>
          <w:p w14:paraId="461E0BF0" w14:textId="77777777" w:rsidR="004F73B1" w:rsidRPr="00CC0447" w:rsidRDefault="004F73B1" w:rsidP="00FF7644">
            <w:pPr>
              <w:widowControl/>
              <w:autoSpaceDE/>
              <w:autoSpaceDN/>
              <w:adjustRightInd/>
            </w:pPr>
            <w:r w:rsidRPr="00CC0447">
              <w:t>Indiana</w:t>
            </w:r>
          </w:p>
        </w:tc>
        <w:tc>
          <w:tcPr>
            <w:tcW w:w="1183" w:type="dxa"/>
            <w:shd w:val="clear" w:color="auto" w:fill="auto"/>
            <w:noWrap/>
            <w:vAlign w:val="bottom"/>
            <w:hideMark/>
          </w:tcPr>
          <w:p w14:paraId="09BCE143" w14:textId="77777777" w:rsidR="004F73B1" w:rsidRPr="00CC0447" w:rsidRDefault="004F73B1" w:rsidP="00FF7644">
            <w:pPr>
              <w:widowControl/>
              <w:autoSpaceDE/>
              <w:autoSpaceDN/>
              <w:adjustRightInd/>
              <w:jc w:val="right"/>
            </w:pPr>
            <w:r w:rsidRPr="00CC0447">
              <w:t>13,525</w:t>
            </w:r>
          </w:p>
        </w:tc>
        <w:tc>
          <w:tcPr>
            <w:tcW w:w="1008" w:type="dxa"/>
            <w:shd w:val="clear" w:color="auto" w:fill="auto"/>
            <w:noWrap/>
            <w:vAlign w:val="bottom"/>
            <w:hideMark/>
          </w:tcPr>
          <w:p w14:paraId="2E1A9079"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4C253039" w14:textId="77777777" w:rsidR="004F73B1" w:rsidRPr="00CC0447" w:rsidRDefault="004F73B1" w:rsidP="00FF7644">
            <w:pPr>
              <w:widowControl/>
              <w:autoSpaceDE/>
              <w:autoSpaceDN/>
              <w:adjustRightInd/>
              <w:jc w:val="center"/>
            </w:pPr>
          </w:p>
        </w:tc>
        <w:tc>
          <w:tcPr>
            <w:tcW w:w="1584" w:type="dxa"/>
            <w:vAlign w:val="bottom"/>
          </w:tcPr>
          <w:p w14:paraId="49B7D25F" w14:textId="77777777" w:rsidR="004F73B1" w:rsidRPr="00CC0447" w:rsidRDefault="004F73B1" w:rsidP="00FF7644">
            <w:pPr>
              <w:widowControl/>
              <w:autoSpaceDE/>
              <w:autoSpaceDN/>
              <w:adjustRightInd/>
            </w:pPr>
            <w:r w:rsidRPr="00CC0447">
              <w:t>Pennsylvania</w:t>
            </w:r>
          </w:p>
        </w:tc>
        <w:tc>
          <w:tcPr>
            <w:tcW w:w="1183" w:type="dxa"/>
            <w:vAlign w:val="bottom"/>
          </w:tcPr>
          <w:p w14:paraId="2C0E7449" w14:textId="77777777" w:rsidR="004F73B1" w:rsidRPr="00CC0447" w:rsidRDefault="004F73B1" w:rsidP="00FF7644">
            <w:pPr>
              <w:widowControl/>
              <w:autoSpaceDE/>
              <w:autoSpaceDN/>
              <w:adjustRightInd/>
              <w:jc w:val="right"/>
            </w:pPr>
            <w:r w:rsidRPr="00CC0447">
              <w:t>56,851</w:t>
            </w:r>
          </w:p>
        </w:tc>
        <w:tc>
          <w:tcPr>
            <w:tcW w:w="1008" w:type="dxa"/>
            <w:vAlign w:val="bottom"/>
          </w:tcPr>
          <w:p w14:paraId="418FCBF7" w14:textId="77777777" w:rsidR="004F73B1" w:rsidRPr="00CC0447" w:rsidRDefault="004F73B1" w:rsidP="00FF7644">
            <w:pPr>
              <w:widowControl/>
              <w:autoSpaceDE/>
              <w:autoSpaceDN/>
              <w:adjustRightInd/>
              <w:jc w:val="center"/>
            </w:pPr>
            <w:r w:rsidRPr="00CC0447">
              <w:t>2013</w:t>
            </w:r>
          </w:p>
        </w:tc>
      </w:tr>
      <w:tr w:rsidR="004F73B1" w:rsidRPr="00CC0447" w14:paraId="29CFD3A9" w14:textId="77777777" w:rsidTr="00FF7644">
        <w:trPr>
          <w:trHeight w:val="300"/>
          <w:jc w:val="center"/>
        </w:trPr>
        <w:tc>
          <w:tcPr>
            <w:tcW w:w="1584" w:type="dxa"/>
            <w:shd w:val="clear" w:color="auto" w:fill="auto"/>
            <w:noWrap/>
            <w:vAlign w:val="bottom"/>
            <w:hideMark/>
          </w:tcPr>
          <w:p w14:paraId="7D34C34A" w14:textId="77777777" w:rsidR="004F73B1" w:rsidRPr="00CC0447" w:rsidRDefault="004F73B1" w:rsidP="00FF7644">
            <w:pPr>
              <w:widowControl/>
              <w:autoSpaceDE/>
              <w:autoSpaceDN/>
              <w:adjustRightInd/>
            </w:pPr>
            <w:r w:rsidRPr="00CC0447">
              <w:t>Iowa</w:t>
            </w:r>
          </w:p>
        </w:tc>
        <w:tc>
          <w:tcPr>
            <w:tcW w:w="1183" w:type="dxa"/>
            <w:shd w:val="clear" w:color="auto" w:fill="auto"/>
            <w:noWrap/>
            <w:vAlign w:val="bottom"/>
            <w:hideMark/>
          </w:tcPr>
          <w:p w14:paraId="6C34F653" w14:textId="77777777" w:rsidR="004F73B1" w:rsidRPr="00CC0447" w:rsidRDefault="004F73B1" w:rsidP="00FF7644">
            <w:pPr>
              <w:widowControl/>
              <w:autoSpaceDE/>
              <w:autoSpaceDN/>
              <w:adjustRightInd/>
              <w:jc w:val="right"/>
            </w:pPr>
            <w:r w:rsidRPr="00CC0447">
              <w:t>4,334</w:t>
            </w:r>
          </w:p>
        </w:tc>
        <w:tc>
          <w:tcPr>
            <w:tcW w:w="1008" w:type="dxa"/>
            <w:shd w:val="clear" w:color="auto" w:fill="auto"/>
            <w:noWrap/>
            <w:vAlign w:val="bottom"/>
            <w:hideMark/>
          </w:tcPr>
          <w:p w14:paraId="46DAC583" w14:textId="77777777" w:rsidR="004F73B1" w:rsidRPr="00CC0447" w:rsidRDefault="004F73B1" w:rsidP="00FF7644">
            <w:pPr>
              <w:widowControl/>
              <w:autoSpaceDE/>
              <w:autoSpaceDN/>
              <w:adjustRightInd/>
              <w:jc w:val="center"/>
            </w:pPr>
            <w:r w:rsidRPr="00CC0447">
              <w:t>2010</w:t>
            </w:r>
          </w:p>
        </w:tc>
        <w:tc>
          <w:tcPr>
            <w:tcW w:w="576" w:type="dxa"/>
            <w:tcBorders>
              <w:top w:val="nil"/>
              <w:bottom w:val="nil"/>
            </w:tcBorders>
          </w:tcPr>
          <w:p w14:paraId="51D81A11" w14:textId="77777777" w:rsidR="004F73B1" w:rsidRPr="00CC0447" w:rsidRDefault="004F73B1" w:rsidP="00FF7644">
            <w:pPr>
              <w:widowControl/>
              <w:autoSpaceDE/>
              <w:autoSpaceDN/>
              <w:adjustRightInd/>
              <w:jc w:val="center"/>
            </w:pPr>
          </w:p>
        </w:tc>
        <w:tc>
          <w:tcPr>
            <w:tcW w:w="1584" w:type="dxa"/>
            <w:vAlign w:val="bottom"/>
          </w:tcPr>
          <w:p w14:paraId="6A6CD218" w14:textId="77777777" w:rsidR="004F73B1" w:rsidRPr="00CC0447" w:rsidRDefault="004F73B1" w:rsidP="00FF7644">
            <w:pPr>
              <w:widowControl/>
              <w:autoSpaceDE/>
              <w:autoSpaceDN/>
              <w:adjustRightInd/>
            </w:pPr>
            <w:r w:rsidRPr="00CC0447">
              <w:t>Rhode Island</w:t>
            </w:r>
          </w:p>
        </w:tc>
        <w:tc>
          <w:tcPr>
            <w:tcW w:w="1183" w:type="dxa"/>
            <w:vAlign w:val="bottom"/>
          </w:tcPr>
          <w:p w14:paraId="6BC4CD57" w14:textId="77777777" w:rsidR="004F73B1" w:rsidRPr="00CC0447" w:rsidRDefault="004F73B1" w:rsidP="00FF7644">
            <w:pPr>
              <w:widowControl/>
              <w:autoSpaceDE/>
              <w:autoSpaceDN/>
              <w:adjustRightInd/>
              <w:jc w:val="right"/>
            </w:pPr>
            <w:r w:rsidRPr="00CC0447">
              <w:t>150</w:t>
            </w:r>
          </w:p>
        </w:tc>
        <w:tc>
          <w:tcPr>
            <w:tcW w:w="1008" w:type="dxa"/>
            <w:vAlign w:val="bottom"/>
          </w:tcPr>
          <w:p w14:paraId="78066EA6" w14:textId="77777777" w:rsidR="004F73B1" w:rsidRPr="00CC0447" w:rsidRDefault="004F73B1" w:rsidP="00FF7644">
            <w:pPr>
              <w:widowControl/>
              <w:autoSpaceDE/>
              <w:autoSpaceDN/>
              <w:adjustRightInd/>
              <w:jc w:val="center"/>
            </w:pPr>
            <w:r w:rsidRPr="00CC0447">
              <w:t>2014</w:t>
            </w:r>
          </w:p>
        </w:tc>
      </w:tr>
      <w:tr w:rsidR="004F73B1" w:rsidRPr="00CC0447" w14:paraId="1535ECCA" w14:textId="77777777" w:rsidTr="00FF7644">
        <w:trPr>
          <w:trHeight w:val="300"/>
          <w:jc w:val="center"/>
        </w:trPr>
        <w:tc>
          <w:tcPr>
            <w:tcW w:w="1584" w:type="dxa"/>
            <w:shd w:val="clear" w:color="auto" w:fill="auto"/>
            <w:noWrap/>
            <w:vAlign w:val="bottom"/>
            <w:hideMark/>
          </w:tcPr>
          <w:p w14:paraId="24F7CFE4" w14:textId="77777777" w:rsidR="004F73B1" w:rsidRPr="00CC0447" w:rsidRDefault="004F73B1" w:rsidP="00FF7644">
            <w:pPr>
              <w:widowControl/>
              <w:autoSpaceDE/>
              <w:autoSpaceDN/>
              <w:adjustRightInd/>
            </w:pPr>
            <w:r w:rsidRPr="00CC0447">
              <w:t>Kansas</w:t>
            </w:r>
          </w:p>
        </w:tc>
        <w:tc>
          <w:tcPr>
            <w:tcW w:w="1183" w:type="dxa"/>
            <w:shd w:val="clear" w:color="auto" w:fill="auto"/>
            <w:noWrap/>
            <w:vAlign w:val="bottom"/>
            <w:hideMark/>
          </w:tcPr>
          <w:p w14:paraId="51EF1AF8" w14:textId="77777777" w:rsidR="004F73B1" w:rsidRPr="00CC0447" w:rsidRDefault="004F73B1" w:rsidP="00FF7644">
            <w:pPr>
              <w:widowControl/>
              <w:autoSpaceDE/>
              <w:autoSpaceDN/>
              <w:adjustRightInd/>
              <w:jc w:val="right"/>
            </w:pPr>
            <w:r w:rsidRPr="00CC0447">
              <w:t>1,127</w:t>
            </w:r>
          </w:p>
        </w:tc>
        <w:tc>
          <w:tcPr>
            <w:tcW w:w="1008" w:type="dxa"/>
            <w:shd w:val="clear" w:color="auto" w:fill="auto"/>
            <w:noWrap/>
            <w:vAlign w:val="bottom"/>
            <w:hideMark/>
          </w:tcPr>
          <w:p w14:paraId="5CEA7E53" w14:textId="77777777" w:rsidR="004F73B1" w:rsidRPr="00CC0447" w:rsidRDefault="004F73B1" w:rsidP="00FF7644">
            <w:pPr>
              <w:widowControl/>
              <w:autoSpaceDE/>
              <w:autoSpaceDN/>
              <w:adjustRightInd/>
              <w:jc w:val="center"/>
            </w:pPr>
            <w:r w:rsidRPr="00CC0447">
              <w:t>2010</w:t>
            </w:r>
          </w:p>
        </w:tc>
        <w:tc>
          <w:tcPr>
            <w:tcW w:w="576" w:type="dxa"/>
            <w:tcBorders>
              <w:top w:val="nil"/>
              <w:bottom w:val="nil"/>
            </w:tcBorders>
          </w:tcPr>
          <w:p w14:paraId="2AFD1503" w14:textId="77777777" w:rsidR="004F73B1" w:rsidRPr="00CC0447" w:rsidRDefault="004F73B1" w:rsidP="00FF7644">
            <w:pPr>
              <w:widowControl/>
              <w:autoSpaceDE/>
              <w:autoSpaceDN/>
              <w:adjustRightInd/>
              <w:jc w:val="center"/>
            </w:pPr>
          </w:p>
        </w:tc>
        <w:tc>
          <w:tcPr>
            <w:tcW w:w="1584" w:type="dxa"/>
            <w:vAlign w:val="bottom"/>
          </w:tcPr>
          <w:p w14:paraId="4A1BEC48" w14:textId="77777777" w:rsidR="004F73B1" w:rsidRPr="00CC0447" w:rsidRDefault="004F73B1" w:rsidP="00FF7644">
            <w:pPr>
              <w:widowControl/>
              <w:autoSpaceDE/>
              <w:autoSpaceDN/>
              <w:adjustRightInd/>
            </w:pPr>
            <w:r w:rsidRPr="00CC0447">
              <w:t>South Carolina</w:t>
            </w:r>
          </w:p>
        </w:tc>
        <w:tc>
          <w:tcPr>
            <w:tcW w:w="1183" w:type="dxa"/>
            <w:vAlign w:val="bottom"/>
          </w:tcPr>
          <w:p w14:paraId="2C4457FB" w14:textId="77777777" w:rsidR="004F73B1" w:rsidRPr="00CC0447" w:rsidRDefault="004F73B1" w:rsidP="00FF7644">
            <w:pPr>
              <w:widowControl/>
              <w:autoSpaceDE/>
              <w:autoSpaceDN/>
              <w:adjustRightInd/>
              <w:jc w:val="right"/>
            </w:pPr>
            <w:r w:rsidRPr="00CC0447">
              <w:t>4,277</w:t>
            </w:r>
          </w:p>
        </w:tc>
        <w:tc>
          <w:tcPr>
            <w:tcW w:w="1008" w:type="dxa"/>
            <w:vAlign w:val="bottom"/>
          </w:tcPr>
          <w:p w14:paraId="54EFF925" w14:textId="77777777" w:rsidR="004F73B1" w:rsidRPr="00CC0447" w:rsidRDefault="004F73B1" w:rsidP="00FF7644">
            <w:pPr>
              <w:widowControl/>
              <w:autoSpaceDE/>
              <w:autoSpaceDN/>
              <w:adjustRightInd/>
              <w:jc w:val="center"/>
            </w:pPr>
            <w:r w:rsidRPr="00CC0447">
              <w:t>2014</w:t>
            </w:r>
          </w:p>
        </w:tc>
      </w:tr>
      <w:tr w:rsidR="004F73B1" w:rsidRPr="00CC0447" w14:paraId="51BF83C5" w14:textId="77777777" w:rsidTr="00FF7644">
        <w:trPr>
          <w:trHeight w:val="300"/>
          <w:jc w:val="center"/>
        </w:trPr>
        <w:tc>
          <w:tcPr>
            <w:tcW w:w="1584" w:type="dxa"/>
            <w:shd w:val="clear" w:color="auto" w:fill="auto"/>
            <w:noWrap/>
            <w:vAlign w:val="bottom"/>
            <w:hideMark/>
          </w:tcPr>
          <w:p w14:paraId="50C9CDE2" w14:textId="77777777" w:rsidR="004F73B1" w:rsidRPr="00CC0447" w:rsidRDefault="004F73B1" w:rsidP="00FF7644">
            <w:pPr>
              <w:widowControl/>
              <w:autoSpaceDE/>
              <w:autoSpaceDN/>
              <w:adjustRightInd/>
            </w:pPr>
            <w:r w:rsidRPr="00CC0447">
              <w:t>Maine</w:t>
            </w:r>
          </w:p>
        </w:tc>
        <w:tc>
          <w:tcPr>
            <w:tcW w:w="1183" w:type="dxa"/>
            <w:shd w:val="clear" w:color="auto" w:fill="auto"/>
            <w:noWrap/>
            <w:vAlign w:val="bottom"/>
            <w:hideMark/>
          </w:tcPr>
          <w:p w14:paraId="68EC4266" w14:textId="77777777" w:rsidR="004F73B1" w:rsidRPr="00CC0447" w:rsidRDefault="004F73B1" w:rsidP="00FF7644">
            <w:pPr>
              <w:widowControl/>
              <w:autoSpaceDE/>
              <w:autoSpaceDN/>
              <w:adjustRightInd/>
              <w:jc w:val="right"/>
            </w:pPr>
            <w:r w:rsidRPr="00CC0447">
              <w:t>1,658</w:t>
            </w:r>
          </w:p>
        </w:tc>
        <w:tc>
          <w:tcPr>
            <w:tcW w:w="1008" w:type="dxa"/>
            <w:shd w:val="clear" w:color="auto" w:fill="auto"/>
            <w:noWrap/>
            <w:vAlign w:val="bottom"/>
            <w:hideMark/>
          </w:tcPr>
          <w:p w14:paraId="4ABC2117" w14:textId="77777777" w:rsidR="004F73B1" w:rsidRPr="00CC0447" w:rsidRDefault="004F73B1" w:rsidP="00FF7644">
            <w:pPr>
              <w:widowControl/>
              <w:autoSpaceDE/>
              <w:autoSpaceDN/>
              <w:adjustRightInd/>
              <w:jc w:val="center"/>
            </w:pPr>
            <w:r w:rsidRPr="00CC0447">
              <w:t>2010</w:t>
            </w:r>
          </w:p>
        </w:tc>
        <w:tc>
          <w:tcPr>
            <w:tcW w:w="576" w:type="dxa"/>
            <w:tcBorders>
              <w:top w:val="nil"/>
              <w:bottom w:val="nil"/>
            </w:tcBorders>
          </w:tcPr>
          <w:p w14:paraId="2E4E479F" w14:textId="77777777" w:rsidR="004F73B1" w:rsidRPr="00CC0447" w:rsidRDefault="004F73B1" w:rsidP="00FF7644">
            <w:pPr>
              <w:widowControl/>
              <w:autoSpaceDE/>
              <w:autoSpaceDN/>
              <w:adjustRightInd/>
              <w:jc w:val="center"/>
            </w:pPr>
          </w:p>
        </w:tc>
        <w:tc>
          <w:tcPr>
            <w:tcW w:w="1584" w:type="dxa"/>
            <w:vAlign w:val="bottom"/>
          </w:tcPr>
          <w:p w14:paraId="0C1E778E" w14:textId="77777777" w:rsidR="004F73B1" w:rsidRPr="00CC0447" w:rsidRDefault="004F73B1" w:rsidP="00FF7644">
            <w:pPr>
              <w:widowControl/>
              <w:autoSpaceDE/>
              <w:autoSpaceDN/>
              <w:adjustRightInd/>
            </w:pPr>
            <w:r w:rsidRPr="00CC0447">
              <w:t>Tennessee</w:t>
            </w:r>
          </w:p>
        </w:tc>
        <w:tc>
          <w:tcPr>
            <w:tcW w:w="1183" w:type="dxa"/>
            <w:vAlign w:val="bottom"/>
          </w:tcPr>
          <w:p w14:paraId="07DD3F6E" w14:textId="77777777" w:rsidR="004F73B1" w:rsidRPr="00CC0447" w:rsidRDefault="004F73B1" w:rsidP="00FF7644">
            <w:pPr>
              <w:widowControl/>
              <w:autoSpaceDE/>
              <w:autoSpaceDN/>
              <w:adjustRightInd/>
              <w:jc w:val="right"/>
            </w:pPr>
            <w:r w:rsidRPr="00CC0447">
              <w:t>1,500</w:t>
            </w:r>
          </w:p>
        </w:tc>
        <w:tc>
          <w:tcPr>
            <w:tcW w:w="1008" w:type="dxa"/>
            <w:vAlign w:val="bottom"/>
          </w:tcPr>
          <w:p w14:paraId="4DD72551" w14:textId="77777777" w:rsidR="004F73B1" w:rsidRPr="00CC0447" w:rsidRDefault="004F73B1" w:rsidP="00FF7644">
            <w:pPr>
              <w:widowControl/>
              <w:autoSpaceDE/>
              <w:autoSpaceDN/>
              <w:adjustRightInd/>
              <w:jc w:val="center"/>
            </w:pPr>
            <w:r w:rsidRPr="00CC0447">
              <w:t>2013</w:t>
            </w:r>
          </w:p>
        </w:tc>
      </w:tr>
      <w:tr w:rsidR="004F73B1" w:rsidRPr="00CC0447" w14:paraId="3E4228AB" w14:textId="77777777" w:rsidTr="00FF7644">
        <w:trPr>
          <w:trHeight w:val="300"/>
          <w:jc w:val="center"/>
        </w:trPr>
        <w:tc>
          <w:tcPr>
            <w:tcW w:w="1584" w:type="dxa"/>
            <w:shd w:val="clear" w:color="auto" w:fill="auto"/>
            <w:noWrap/>
            <w:vAlign w:val="bottom"/>
            <w:hideMark/>
          </w:tcPr>
          <w:p w14:paraId="3B2EF342" w14:textId="77777777" w:rsidR="004F73B1" w:rsidRPr="00CC0447" w:rsidRDefault="004F73B1" w:rsidP="00FF7644">
            <w:pPr>
              <w:widowControl/>
              <w:autoSpaceDE/>
              <w:autoSpaceDN/>
              <w:adjustRightInd/>
            </w:pPr>
            <w:r w:rsidRPr="00CC0447">
              <w:t>Maryland</w:t>
            </w:r>
          </w:p>
        </w:tc>
        <w:tc>
          <w:tcPr>
            <w:tcW w:w="1183" w:type="dxa"/>
            <w:shd w:val="clear" w:color="auto" w:fill="auto"/>
            <w:noWrap/>
            <w:vAlign w:val="bottom"/>
            <w:hideMark/>
          </w:tcPr>
          <w:p w14:paraId="13370AE3" w14:textId="77777777" w:rsidR="004F73B1" w:rsidRPr="00CC0447" w:rsidRDefault="004F73B1" w:rsidP="00FF7644">
            <w:pPr>
              <w:widowControl/>
              <w:autoSpaceDE/>
              <w:autoSpaceDN/>
              <w:adjustRightInd/>
              <w:jc w:val="right"/>
            </w:pPr>
            <w:r w:rsidRPr="00CC0447">
              <w:t>69,643</w:t>
            </w:r>
          </w:p>
        </w:tc>
        <w:tc>
          <w:tcPr>
            <w:tcW w:w="1008" w:type="dxa"/>
            <w:shd w:val="clear" w:color="auto" w:fill="auto"/>
            <w:noWrap/>
            <w:vAlign w:val="bottom"/>
            <w:hideMark/>
          </w:tcPr>
          <w:p w14:paraId="41A96D1F"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1BCC231E" w14:textId="77777777" w:rsidR="004F73B1" w:rsidRPr="00CC0447" w:rsidRDefault="004F73B1" w:rsidP="00FF7644">
            <w:pPr>
              <w:widowControl/>
              <w:autoSpaceDE/>
              <w:autoSpaceDN/>
              <w:adjustRightInd/>
              <w:jc w:val="center"/>
            </w:pPr>
          </w:p>
        </w:tc>
        <w:tc>
          <w:tcPr>
            <w:tcW w:w="1584" w:type="dxa"/>
            <w:vAlign w:val="bottom"/>
          </w:tcPr>
          <w:p w14:paraId="016BFC1C" w14:textId="77777777" w:rsidR="004F73B1" w:rsidRPr="00CC0447" w:rsidRDefault="004F73B1" w:rsidP="00FF7644">
            <w:pPr>
              <w:widowControl/>
              <w:autoSpaceDE/>
              <w:autoSpaceDN/>
              <w:adjustRightInd/>
            </w:pPr>
            <w:r w:rsidRPr="00CC0447">
              <w:t>Texas</w:t>
            </w:r>
          </w:p>
        </w:tc>
        <w:tc>
          <w:tcPr>
            <w:tcW w:w="1183" w:type="dxa"/>
            <w:vAlign w:val="bottom"/>
          </w:tcPr>
          <w:p w14:paraId="26B37938" w14:textId="77777777" w:rsidR="004F73B1" w:rsidRPr="00CC0447" w:rsidRDefault="004F73B1" w:rsidP="00FF7644">
            <w:pPr>
              <w:widowControl/>
              <w:autoSpaceDE/>
              <w:autoSpaceDN/>
              <w:adjustRightInd/>
              <w:jc w:val="right"/>
            </w:pPr>
            <w:r w:rsidRPr="00CC0447">
              <w:t>188</w:t>
            </w:r>
          </w:p>
        </w:tc>
        <w:tc>
          <w:tcPr>
            <w:tcW w:w="1008" w:type="dxa"/>
            <w:vAlign w:val="bottom"/>
          </w:tcPr>
          <w:p w14:paraId="4E3E11EA" w14:textId="77777777" w:rsidR="004F73B1" w:rsidRPr="00CC0447" w:rsidRDefault="004F73B1" w:rsidP="00FF7644">
            <w:pPr>
              <w:widowControl/>
              <w:autoSpaceDE/>
              <w:autoSpaceDN/>
              <w:adjustRightInd/>
              <w:jc w:val="center"/>
            </w:pPr>
            <w:r w:rsidRPr="00CC0447">
              <w:t>2012</w:t>
            </w:r>
          </w:p>
        </w:tc>
      </w:tr>
      <w:tr w:rsidR="004F73B1" w:rsidRPr="00CC0447" w14:paraId="2E2B37F9" w14:textId="77777777" w:rsidTr="00FF7644">
        <w:trPr>
          <w:trHeight w:val="300"/>
          <w:jc w:val="center"/>
        </w:trPr>
        <w:tc>
          <w:tcPr>
            <w:tcW w:w="1584" w:type="dxa"/>
            <w:shd w:val="clear" w:color="auto" w:fill="auto"/>
            <w:noWrap/>
            <w:vAlign w:val="bottom"/>
            <w:hideMark/>
          </w:tcPr>
          <w:p w14:paraId="0B1F0483" w14:textId="77777777" w:rsidR="004F73B1" w:rsidRPr="00CC0447" w:rsidRDefault="004F73B1" w:rsidP="00FF7644">
            <w:pPr>
              <w:widowControl/>
              <w:autoSpaceDE/>
              <w:autoSpaceDN/>
              <w:adjustRightInd/>
            </w:pPr>
            <w:r w:rsidRPr="00CC0447">
              <w:t>Massachusetts</w:t>
            </w:r>
          </w:p>
        </w:tc>
        <w:tc>
          <w:tcPr>
            <w:tcW w:w="1183" w:type="dxa"/>
            <w:shd w:val="clear" w:color="auto" w:fill="auto"/>
            <w:noWrap/>
            <w:vAlign w:val="bottom"/>
            <w:hideMark/>
          </w:tcPr>
          <w:p w14:paraId="3FFCC7A4" w14:textId="77777777" w:rsidR="004F73B1" w:rsidRPr="00CC0447" w:rsidRDefault="004F73B1" w:rsidP="00FF7644">
            <w:pPr>
              <w:widowControl/>
              <w:autoSpaceDE/>
              <w:autoSpaceDN/>
              <w:adjustRightInd/>
              <w:jc w:val="right"/>
            </w:pPr>
            <w:r w:rsidRPr="00CC0447">
              <w:t>2,753</w:t>
            </w:r>
          </w:p>
        </w:tc>
        <w:tc>
          <w:tcPr>
            <w:tcW w:w="1008" w:type="dxa"/>
            <w:shd w:val="clear" w:color="auto" w:fill="auto"/>
            <w:noWrap/>
            <w:vAlign w:val="bottom"/>
            <w:hideMark/>
          </w:tcPr>
          <w:p w14:paraId="5F83C54E"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5D351C4C" w14:textId="77777777" w:rsidR="004F73B1" w:rsidRPr="00CC0447" w:rsidRDefault="004F73B1" w:rsidP="00FF7644">
            <w:pPr>
              <w:widowControl/>
              <w:autoSpaceDE/>
              <w:autoSpaceDN/>
              <w:adjustRightInd/>
              <w:jc w:val="center"/>
            </w:pPr>
          </w:p>
        </w:tc>
        <w:tc>
          <w:tcPr>
            <w:tcW w:w="1584" w:type="dxa"/>
            <w:vAlign w:val="bottom"/>
          </w:tcPr>
          <w:p w14:paraId="598B7D14" w14:textId="77777777" w:rsidR="004F73B1" w:rsidRPr="00CC0447" w:rsidRDefault="004F73B1" w:rsidP="00FF7644">
            <w:pPr>
              <w:widowControl/>
              <w:autoSpaceDE/>
              <w:autoSpaceDN/>
              <w:adjustRightInd/>
            </w:pPr>
            <w:r w:rsidRPr="00CC0447">
              <w:t>Vermont</w:t>
            </w:r>
          </w:p>
        </w:tc>
        <w:tc>
          <w:tcPr>
            <w:tcW w:w="1183" w:type="dxa"/>
            <w:vAlign w:val="bottom"/>
          </w:tcPr>
          <w:p w14:paraId="574A5091" w14:textId="77777777" w:rsidR="004F73B1" w:rsidRPr="00CC0447" w:rsidRDefault="004F73B1" w:rsidP="00FF7644">
            <w:pPr>
              <w:widowControl/>
              <w:autoSpaceDE/>
              <w:autoSpaceDN/>
              <w:adjustRightInd/>
              <w:jc w:val="right"/>
            </w:pPr>
            <w:r w:rsidRPr="00CC0447">
              <w:t>14,738</w:t>
            </w:r>
          </w:p>
        </w:tc>
        <w:tc>
          <w:tcPr>
            <w:tcW w:w="1008" w:type="dxa"/>
            <w:vAlign w:val="bottom"/>
          </w:tcPr>
          <w:p w14:paraId="59019E85" w14:textId="77777777" w:rsidR="004F73B1" w:rsidRPr="00CC0447" w:rsidRDefault="004F73B1" w:rsidP="00FF7644">
            <w:pPr>
              <w:widowControl/>
              <w:autoSpaceDE/>
              <w:autoSpaceDN/>
              <w:adjustRightInd/>
              <w:jc w:val="center"/>
            </w:pPr>
            <w:r w:rsidRPr="00CC0447">
              <w:t>2013</w:t>
            </w:r>
          </w:p>
        </w:tc>
      </w:tr>
      <w:tr w:rsidR="004F73B1" w:rsidRPr="00CC0447" w14:paraId="41962319" w14:textId="77777777" w:rsidTr="00FF7644">
        <w:trPr>
          <w:trHeight w:val="300"/>
          <w:jc w:val="center"/>
        </w:trPr>
        <w:tc>
          <w:tcPr>
            <w:tcW w:w="1584" w:type="dxa"/>
            <w:shd w:val="clear" w:color="auto" w:fill="auto"/>
            <w:noWrap/>
            <w:vAlign w:val="bottom"/>
            <w:hideMark/>
          </w:tcPr>
          <w:p w14:paraId="4B0F1543" w14:textId="77777777" w:rsidR="004F73B1" w:rsidRPr="00CC0447" w:rsidRDefault="004F73B1" w:rsidP="00FF7644">
            <w:pPr>
              <w:widowControl/>
              <w:autoSpaceDE/>
              <w:autoSpaceDN/>
              <w:adjustRightInd/>
            </w:pPr>
            <w:r w:rsidRPr="00CC0447">
              <w:t>Michigan</w:t>
            </w:r>
          </w:p>
        </w:tc>
        <w:tc>
          <w:tcPr>
            <w:tcW w:w="1183" w:type="dxa"/>
            <w:shd w:val="clear" w:color="auto" w:fill="auto"/>
            <w:noWrap/>
            <w:vAlign w:val="bottom"/>
            <w:hideMark/>
          </w:tcPr>
          <w:p w14:paraId="1CAF81F6" w14:textId="77777777" w:rsidR="004F73B1" w:rsidRPr="00CC0447" w:rsidRDefault="004F73B1" w:rsidP="00FF7644">
            <w:pPr>
              <w:widowControl/>
              <w:autoSpaceDE/>
              <w:autoSpaceDN/>
              <w:adjustRightInd/>
              <w:jc w:val="right"/>
            </w:pPr>
            <w:r w:rsidRPr="00CC0447">
              <w:t>8,700</w:t>
            </w:r>
          </w:p>
        </w:tc>
        <w:tc>
          <w:tcPr>
            <w:tcW w:w="1008" w:type="dxa"/>
            <w:shd w:val="clear" w:color="auto" w:fill="auto"/>
            <w:noWrap/>
            <w:vAlign w:val="bottom"/>
            <w:hideMark/>
          </w:tcPr>
          <w:p w14:paraId="14196CF2"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2E754AB2" w14:textId="77777777" w:rsidR="004F73B1" w:rsidRPr="00CC0447" w:rsidRDefault="004F73B1" w:rsidP="00FF7644">
            <w:pPr>
              <w:widowControl/>
              <w:autoSpaceDE/>
              <w:autoSpaceDN/>
              <w:adjustRightInd/>
              <w:jc w:val="center"/>
            </w:pPr>
          </w:p>
        </w:tc>
        <w:tc>
          <w:tcPr>
            <w:tcW w:w="1584" w:type="dxa"/>
            <w:vAlign w:val="bottom"/>
          </w:tcPr>
          <w:p w14:paraId="64BF4CC7" w14:textId="77777777" w:rsidR="004F73B1" w:rsidRPr="00CC0447" w:rsidRDefault="004F73B1" w:rsidP="00FF7644">
            <w:pPr>
              <w:widowControl/>
              <w:autoSpaceDE/>
              <w:autoSpaceDN/>
              <w:adjustRightInd/>
            </w:pPr>
            <w:r w:rsidRPr="00CC0447">
              <w:t>Virginia</w:t>
            </w:r>
          </w:p>
        </w:tc>
        <w:tc>
          <w:tcPr>
            <w:tcW w:w="1183" w:type="dxa"/>
            <w:vAlign w:val="bottom"/>
          </w:tcPr>
          <w:p w14:paraId="19F15E63" w14:textId="77777777" w:rsidR="004F73B1" w:rsidRPr="00CC0447" w:rsidRDefault="004F73B1" w:rsidP="00FF7644">
            <w:pPr>
              <w:widowControl/>
              <w:autoSpaceDE/>
              <w:autoSpaceDN/>
              <w:adjustRightInd/>
              <w:jc w:val="right"/>
            </w:pPr>
            <w:r w:rsidRPr="00CC0447">
              <w:t>2,454</w:t>
            </w:r>
          </w:p>
        </w:tc>
        <w:tc>
          <w:tcPr>
            <w:tcW w:w="1008" w:type="dxa"/>
            <w:vAlign w:val="bottom"/>
          </w:tcPr>
          <w:p w14:paraId="5BBECB9D" w14:textId="77777777" w:rsidR="004F73B1" w:rsidRPr="00CC0447" w:rsidRDefault="004F73B1" w:rsidP="00FF7644">
            <w:pPr>
              <w:widowControl/>
              <w:autoSpaceDE/>
              <w:autoSpaceDN/>
              <w:adjustRightInd/>
              <w:jc w:val="center"/>
            </w:pPr>
            <w:r w:rsidRPr="00CC0447">
              <w:t>2014</w:t>
            </w:r>
          </w:p>
        </w:tc>
      </w:tr>
      <w:tr w:rsidR="004F73B1" w:rsidRPr="00CC0447" w14:paraId="24D4699C" w14:textId="77777777" w:rsidTr="00FF7644">
        <w:trPr>
          <w:trHeight w:val="300"/>
          <w:jc w:val="center"/>
        </w:trPr>
        <w:tc>
          <w:tcPr>
            <w:tcW w:w="1584" w:type="dxa"/>
            <w:shd w:val="clear" w:color="auto" w:fill="auto"/>
            <w:noWrap/>
            <w:vAlign w:val="bottom"/>
            <w:hideMark/>
          </w:tcPr>
          <w:p w14:paraId="37CD407D" w14:textId="77777777" w:rsidR="004F73B1" w:rsidRPr="00CC0447" w:rsidRDefault="004F73B1" w:rsidP="00FF7644">
            <w:pPr>
              <w:widowControl/>
              <w:autoSpaceDE/>
              <w:autoSpaceDN/>
              <w:adjustRightInd/>
            </w:pPr>
            <w:r w:rsidRPr="00CC0447">
              <w:t>Minnesota</w:t>
            </w:r>
          </w:p>
        </w:tc>
        <w:tc>
          <w:tcPr>
            <w:tcW w:w="1183" w:type="dxa"/>
            <w:shd w:val="clear" w:color="auto" w:fill="auto"/>
            <w:noWrap/>
            <w:vAlign w:val="bottom"/>
            <w:hideMark/>
          </w:tcPr>
          <w:p w14:paraId="582FBD0C" w14:textId="77777777" w:rsidR="004F73B1" w:rsidRPr="00CC0447" w:rsidRDefault="004F73B1" w:rsidP="00FF7644">
            <w:pPr>
              <w:widowControl/>
              <w:autoSpaceDE/>
              <w:autoSpaceDN/>
              <w:adjustRightInd/>
              <w:jc w:val="right"/>
            </w:pPr>
            <w:r w:rsidRPr="00CC0447">
              <w:t>46,751</w:t>
            </w:r>
          </w:p>
        </w:tc>
        <w:tc>
          <w:tcPr>
            <w:tcW w:w="1008" w:type="dxa"/>
            <w:shd w:val="clear" w:color="auto" w:fill="auto"/>
            <w:noWrap/>
            <w:vAlign w:val="bottom"/>
            <w:hideMark/>
          </w:tcPr>
          <w:p w14:paraId="3A7453B2"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1BBBA171" w14:textId="77777777" w:rsidR="004F73B1" w:rsidRPr="00CC0447" w:rsidRDefault="004F73B1" w:rsidP="00FF7644">
            <w:pPr>
              <w:widowControl/>
              <w:autoSpaceDE/>
              <w:autoSpaceDN/>
              <w:adjustRightInd/>
              <w:jc w:val="center"/>
            </w:pPr>
          </w:p>
        </w:tc>
        <w:tc>
          <w:tcPr>
            <w:tcW w:w="1584" w:type="dxa"/>
            <w:vAlign w:val="bottom"/>
          </w:tcPr>
          <w:p w14:paraId="082D345C" w14:textId="77777777" w:rsidR="004F73B1" w:rsidRPr="00CC0447" w:rsidRDefault="004F73B1" w:rsidP="00FF7644">
            <w:pPr>
              <w:widowControl/>
              <w:autoSpaceDE/>
              <w:autoSpaceDN/>
              <w:adjustRightInd/>
            </w:pPr>
            <w:r w:rsidRPr="00CC0447">
              <w:t>Washington</w:t>
            </w:r>
          </w:p>
        </w:tc>
        <w:tc>
          <w:tcPr>
            <w:tcW w:w="1183" w:type="dxa"/>
            <w:vAlign w:val="bottom"/>
          </w:tcPr>
          <w:p w14:paraId="493E6BC3" w14:textId="77777777" w:rsidR="004F73B1" w:rsidRPr="00CC0447" w:rsidRDefault="004F73B1" w:rsidP="00FF7644">
            <w:pPr>
              <w:widowControl/>
              <w:autoSpaceDE/>
              <w:autoSpaceDN/>
              <w:adjustRightInd/>
              <w:jc w:val="right"/>
            </w:pPr>
            <w:r w:rsidRPr="00CC0447">
              <w:t>65,221</w:t>
            </w:r>
          </w:p>
        </w:tc>
        <w:tc>
          <w:tcPr>
            <w:tcW w:w="1008" w:type="dxa"/>
            <w:vAlign w:val="bottom"/>
          </w:tcPr>
          <w:p w14:paraId="7AB8F679" w14:textId="77777777" w:rsidR="004F73B1" w:rsidRPr="00CC0447" w:rsidRDefault="004F73B1" w:rsidP="00FF7644">
            <w:pPr>
              <w:widowControl/>
              <w:autoSpaceDE/>
              <w:autoSpaceDN/>
              <w:adjustRightInd/>
              <w:jc w:val="center"/>
            </w:pPr>
            <w:r w:rsidRPr="00CC0447">
              <w:t>2013</w:t>
            </w:r>
          </w:p>
        </w:tc>
      </w:tr>
      <w:tr w:rsidR="004F73B1" w:rsidRPr="00CC0447" w14:paraId="43D8C523" w14:textId="77777777" w:rsidTr="00FF7644">
        <w:trPr>
          <w:trHeight w:val="300"/>
          <w:jc w:val="center"/>
        </w:trPr>
        <w:tc>
          <w:tcPr>
            <w:tcW w:w="1584" w:type="dxa"/>
            <w:shd w:val="clear" w:color="auto" w:fill="auto"/>
            <w:noWrap/>
            <w:vAlign w:val="bottom"/>
            <w:hideMark/>
          </w:tcPr>
          <w:p w14:paraId="03E43D7F" w14:textId="77777777" w:rsidR="004F73B1" w:rsidRPr="00CC0447" w:rsidRDefault="004F73B1" w:rsidP="00FF7644">
            <w:pPr>
              <w:widowControl/>
              <w:autoSpaceDE/>
              <w:autoSpaceDN/>
              <w:adjustRightInd/>
            </w:pPr>
            <w:r w:rsidRPr="00CC0447">
              <w:t>Mississippi</w:t>
            </w:r>
          </w:p>
        </w:tc>
        <w:tc>
          <w:tcPr>
            <w:tcW w:w="1183" w:type="dxa"/>
            <w:shd w:val="clear" w:color="auto" w:fill="auto"/>
            <w:noWrap/>
            <w:vAlign w:val="bottom"/>
            <w:hideMark/>
          </w:tcPr>
          <w:p w14:paraId="6617F0F9" w14:textId="77777777" w:rsidR="004F73B1" w:rsidRPr="00CC0447" w:rsidRDefault="004F73B1" w:rsidP="00FF7644">
            <w:pPr>
              <w:widowControl/>
              <w:autoSpaceDE/>
              <w:autoSpaceDN/>
              <w:adjustRightInd/>
              <w:jc w:val="right"/>
            </w:pPr>
            <w:r w:rsidRPr="00CC0447">
              <w:t>242</w:t>
            </w:r>
          </w:p>
        </w:tc>
        <w:tc>
          <w:tcPr>
            <w:tcW w:w="1008" w:type="dxa"/>
            <w:shd w:val="clear" w:color="auto" w:fill="auto"/>
            <w:noWrap/>
            <w:vAlign w:val="bottom"/>
            <w:hideMark/>
          </w:tcPr>
          <w:p w14:paraId="3F84775E" w14:textId="77777777" w:rsidR="004F73B1" w:rsidRPr="00CC0447" w:rsidRDefault="004F73B1" w:rsidP="00FF7644">
            <w:pPr>
              <w:widowControl/>
              <w:autoSpaceDE/>
              <w:autoSpaceDN/>
              <w:adjustRightInd/>
              <w:jc w:val="center"/>
            </w:pPr>
            <w:r w:rsidRPr="00CC0447">
              <w:t>2013</w:t>
            </w:r>
          </w:p>
        </w:tc>
        <w:tc>
          <w:tcPr>
            <w:tcW w:w="576" w:type="dxa"/>
            <w:tcBorders>
              <w:top w:val="nil"/>
              <w:bottom w:val="nil"/>
            </w:tcBorders>
          </w:tcPr>
          <w:p w14:paraId="57E4351A" w14:textId="77777777" w:rsidR="004F73B1" w:rsidRPr="00CC0447" w:rsidRDefault="004F73B1" w:rsidP="00FF7644">
            <w:pPr>
              <w:widowControl/>
              <w:autoSpaceDE/>
              <w:autoSpaceDN/>
              <w:adjustRightInd/>
              <w:jc w:val="center"/>
            </w:pPr>
          </w:p>
        </w:tc>
        <w:tc>
          <w:tcPr>
            <w:tcW w:w="1584" w:type="dxa"/>
            <w:vAlign w:val="bottom"/>
          </w:tcPr>
          <w:p w14:paraId="68D60C1F" w14:textId="77777777" w:rsidR="004F73B1" w:rsidRPr="00CC0447" w:rsidRDefault="004F73B1" w:rsidP="00FF7644">
            <w:pPr>
              <w:widowControl/>
              <w:autoSpaceDE/>
              <w:autoSpaceDN/>
              <w:adjustRightInd/>
            </w:pPr>
            <w:r w:rsidRPr="00CC0447">
              <w:t>Wisconsin</w:t>
            </w:r>
          </w:p>
        </w:tc>
        <w:tc>
          <w:tcPr>
            <w:tcW w:w="1183" w:type="dxa"/>
            <w:vAlign w:val="bottom"/>
          </w:tcPr>
          <w:p w14:paraId="769BEDC1" w14:textId="77777777" w:rsidR="004F73B1" w:rsidRPr="00CC0447" w:rsidRDefault="004F73B1" w:rsidP="00FF7644">
            <w:pPr>
              <w:widowControl/>
              <w:autoSpaceDE/>
              <w:autoSpaceDN/>
              <w:adjustRightInd/>
              <w:jc w:val="right"/>
            </w:pPr>
            <w:r w:rsidRPr="00CC0447">
              <w:t>8,677</w:t>
            </w:r>
          </w:p>
        </w:tc>
        <w:tc>
          <w:tcPr>
            <w:tcW w:w="1008" w:type="dxa"/>
            <w:vAlign w:val="bottom"/>
          </w:tcPr>
          <w:p w14:paraId="56FD05EA" w14:textId="77777777" w:rsidR="004F73B1" w:rsidRPr="00CC0447" w:rsidRDefault="004F73B1" w:rsidP="00FF7644">
            <w:pPr>
              <w:widowControl/>
              <w:autoSpaceDE/>
              <w:autoSpaceDN/>
              <w:adjustRightInd/>
              <w:jc w:val="center"/>
            </w:pPr>
            <w:r w:rsidRPr="00CC0447">
              <w:t>2013</w:t>
            </w:r>
          </w:p>
        </w:tc>
      </w:tr>
      <w:tr w:rsidR="004F73B1" w:rsidRPr="00CC0447" w14:paraId="294F691B" w14:textId="77777777" w:rsidTr="00FF7644">
        <w:trPr>
          <w:trHeight w:val="300"/>
          <w:jc w:val="center"/>
        </w:trPr>
        <w:tc>
          <w:tcPr>
            <w:tcW w:w="1584" w:type="dxa"/>
            <w:shd w:val="clear" w:color="auto" w:fill="auto"/>
            <w:noWrap/>
            <w:vAlign w:val="bottom"/>
            <w:hideMark/>
          </w:tcPr>
          <w:p w14:paraId="6E0FB577" w14:textId="77777777" w:rsidR="004F73B1" w:rsidRPr="00CC0447" w:rsidRDefault="004F73B1" w:rsidP="00FF7644">
            <w:pPr>
              <w:widowControl/>
              <w:autoSpaceDE/>
              <w:autoSpaceDN/>
              <w:adjustRightInd/>
            </w:pPr>
            <w:r w:rsidRPr="00CC0447">
              <w:t>Missouri</w:t>
            </w:r>
          </w:p>
        </w:tc>
        <w:tc>
          <w:tcPr>
            <w:tcW w:w="1183" w:type="dxa"/>
            <w:shd w:val="clear" w:color="auto" w:fill="auto"/>
            <w:noWrap/>
            <w:vAlign w:val="bottom"/>
            <w:hideMark/>
          </w:tcPr>
          <w:p w14:paraId="6BB189B1" w14:textId="77777777" w:rsidR="004F73B1" w:rsidRPr="00CC0447" w:rsidRDefault="004F73B1" w:rsidP="00FF7644">
            <w:pPr>
              <w:widowControl/>
              <w:autoSpaceDE/>
              <w:autoSpaceDN/>
              <w:adjustRightInd/>
              <w:jc w:val="right"/>
            </w:pPr>
            <w:r w:rsidRPr="00CC0447">
              <w:t>16,000</w:t>
            </w:r>
          </w:p>
        </w:tc>
        <w:tc>
          <w:tcPr>
            <w:tcW w:w="1008" w:type="dxa"/>
            <w:shd w:val="clear" w:color="auto" w:fill="auto"/>
            <w:noWrap/>
            <w:vAlign w:val="bottom"/>
            <w:hideMark/>
          </w:tcPr>
          <w:p w14:paraId="14FC480F" w14:textId="77777777" w:rsidR="004F73B1" w:rsidRPr="00CC0447" w:rsidRDefault="004F73B1" w:rsidP="00FF7644">
            <w:pPr>
              <w:widowControl/>
              <w:autoSpaceDE/>
              <w:autoSpaceDN/>
              <w:adjustRightInd/>
              <w:jc w:val="center"/>
            </w:pPr>
            <w:r w:rsidRPr="00CC0447">
              <w:t>2014</w:t>
            </w:r>
          </w:p>
        </w:tc>
        <w:tc>
          <w:tcPr>
            <w:tcW w:w="576" w:type="dxa"/>
            <w:tcBorders>
              <w:top w:val="nil"/>
              <w:bottom w:val="nil"/>
            </w:tcBorders>
          </w:tcPr>
          <w:p w14:paraId="2D652B8F" w14:textId="77777777" w:rsidR="004F73B1" w:rsidRPr="00CC0447" w:rsidRDefault="004F73B1" w:rsidP="00FF7644">
            <w:pPr>
              <w:widowControl/>
              <w:autoSpaceDE/>
              <w:autoSpaceDN/>
              <w:adjustRightInd/>
              <w:jc w:val="center"/>
            </w:pPr>
          </w:p>
        </w:tc>
        <w:tc>
          <w:tcPr>
            <w:tcW w:w="1584" w:type="dxa"/>
            <w:vAlign w:val="bottom"/>
          </w:tcPr>
          <w:p w14:paraId="1D44EB10" w14:textId="77777777" w:rsidR="004F73B1" w:rsidRPr="00CC0447" w:rsidRDefault="004F73B1" w:rsidP="00FF7644">
            <w:pPr>
              <w:widowControl/>
              <w:autoSpaceDE/>
              <w:autoSpaceDN/>
              <w:adjustRightInd/>
            </w:pPr>
            <w:r w:rsidRPr="00CC0447">
              <w:t xml:space="preserve">Total </w:t>
            </w:r>
          </w:p>
        </w:tc>
        <w:tc>
          <w:tcPr>
            <w:tcW w:w="1183" w:type="dxa"/>
            <w:vAlign w:val="bottom"/>
          </w:tcPr>
          <w:p w14:paraId="77FA7DAE" w14:textId="77777777" w:rsidR="004F73B1" w:rsidRPr="00CC0447" w:rsidRDefault="004F73B1" w:rsidP="00FF7644">
            <w:pPr>
              <w:widowControl/>
              <w:autoSpaceDE/>
              <w:autoSpaceDN/>
              <w:adjustRightInd/>
              <w:jc w:val="right"/>
            </w:pPr>
            <w:r w:rsidRPr="00CC0447">
              <w:t>1,569,952</w:t>
            </w:r>
          </w:p>
        </w:tc>
        <w:tc>
          <w:tcPr>
            <w:tcW w:w="1008" w:type="dxa"/>
            <w:vAlign w:val="bottom"/>
          </w:tcPr>
          <w:p w14:paraId="5FB4773E" w14:textId="77777777" w:rsidR="004F73B1" w:rsidRPr="00CC0447" w:rsidRDefault="004F73B1" w:rsidP="00FF7644">
            <w:pPr>
              <w:widowControl/>
              <w:autoSpaceDE/>
              <w:autoSpaceDN/>
              <w:adjustRightInd/>
              <w:jc w:val="center"/>
            </w:pPr>
          </w:p>
        </w:tc>
      </w:tr>
    </w:tbl>
    <w:p w14:paraId="3DE5FFC4" w14:textId="2AF8716F" w:rsidR="004F73B1" w:rsidRPr="00CC0447" w:rsidRDefault="004F73B1"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Source: US EPA</w:t>
      </w:r>
    </w:p>
    <w:p w14:paraId="3082D0C9" w14:textId="77777777" w:rsidR="0011019D" w:rsidRPr="00CC0447" w:rsidRDefault="0011019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25908471" w14:textId="1914F0A4" w:rsidR="0011019D" w:rsidRPr="00CC0447" w:rsidRDefault="00ED3B0C"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Users have two</w:t>
      </w:r>
      <w:r w:rsidR="00ED755F" w:rsidRPr="00CC0447">
        <w:t xml:space="preserve"> options to alter data in order to more accurately match local conditions. </w:t>
      </w:r>
      <w:r w:rsidR="0011019D" w:rsidRPr="00CC0447">
        <w:t>Users ha</w:t>
      </w:r>
      <w:r w:rsidR="00ED755F" w:rsidRPr="00CC0447">
        <w:t>ve the option to input a</w:t>
      </w:r>
      <w:r w:rsidR="0011019D" w:rsidRPr="00CC0447">
        <w:t xml:space="preserve"> </w:t>
      </w:r>
      <w:r w:rsidR="00ED755F" w:rsidRPr="00CC0447">
        <w:t xml:space="preserve">value of </w:t>
      </w:r>
      <w:r w:rsidR="0011019D" w:rsidRPr="00CC0447">
        <w:t xml:space="preserve">per capita </w:t>
      </w:r>
      <w:r w:rsidRPr="00CC0447">
        <w:t xml:space="preserve">yard </w:t>
      </w:r>
      <w:r w:rsidR="0011019D" w:rsidRPr="00CC0447">
        <w:t>waste recovered that more accurately characterizes the</w:t>
      </w:r>
      <w:r w:rsidR="00ED755F" w:rsidRPr="00CC0447">
        <w:t xml:space="preserve"> area for which </w:t>
      </w:r>
      <w:r w:rsidRPr="00CC0447">
        <w:t>they are estimating emissions. Additionally</w:t>
      </w:r>
      <w:r w:rsidR="00ED755F" w:rsidRPr="00CC0447">
        <w:t>, if users have access to county level compost data from their state they may input this into the spreadsheet to be used in place of the estimated waste values in the final emissions calculations.</w:t>
      </w:r>
    </w:p>
    <w:p w14:paraId="13BEEACE" w14:textId="77777777" w:rsidR="0011019D" w:rsidRPr="00CC0447" w:rsidRDefault="0011019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7F3D04D2" w14:textId="3617C485" w:rsidR="0011019D" w:rsidRPr="00CC0447" w:rsidRDefault="0011019D" w:rsidP="0011019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Comprehensive national data on the county locations of composting facilities is not available. As a result, the analysis uses an</w:t>
      </w:r>
      <w:r w:rsidR="00AA311D" w:rsidRPr="00CC0447">
        <w:t xml:space="preserve"> assumption that the yard </w:t>
      </w:r>
      <w:r w:rsidRPr="00CC0447">
        <w:t>waste composting facilities are co-located with solid waste</w:t>
      </w:r>
      <w:r w:rsidR="00AA311D" w:rsidRPr="00CC0447">
        <w:t xml:space="preserve"> landfills, and food waste is composted within the county where it is collected.</w:t>
      </w:r>
      <w:r w:rsidR="00ED755F" w:rsidRPr="00CC0447">
        <w:t xml:space="preserve"> Note that user input county level compost data is not allocated.</w:t>
      </w:r>
    </w:p>
    <w:p w14:paraId="54478BC9" w14:textId="77777777" w:rsidR="009820A2" w:rsidRPr="00CC0447" w:rsidRDefault="009820A2"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5B32D14" w14:textId="57CA8E90" w:rsidR="0093173C" w:rsidRPr="00CC0447" w:rsidRDefault="009820A2" w:rsidP="009820A2">
      <w:pPr>
        <w:widowControl/>
        <w:tabs>
          <w:tab w:val="left" w:pos="0"/>
        </w:tabs>
        <w:spacing w:line="226" w:lineRule="auto"/>
        <w:rPr>
          <w:b/>
          <w:i/>
        </w:rPr>
      </w:pPr>
      <w:r w:rsidRPr="00CC0447">
        <w:rPr>
          <w:b/>
          <w:i/>
        </w:rPr>
        <w:t xml:space="preserve">c. Activity Allocation Procedure </w:t>
      </w:r>
    </w:p>
    <w:p w14:paraId="431D28B9" w14:textId="77777777" w:rsidR="009820A2" w:rsidRPr="00CC0447" w:rsidRDefault="009820A2" w:rsidP="009820A2">
      <w:pPr>
        <w:widowControl/>
        <w:tabs>
          <w:tab w:val="left" w:pos="0"/>
        </w:tabs>
        <w:spacing w:line="226" w:lineRule="auto"/>
        <w:rPr>
          <w:b/>
          <w:i/>
        </w:rPr>
      </w:pPr>
    </w:p>
    <w:p w14:paraId="6DEAC233" w14:textId="43A0C20B" w:rsidR="009820A2" w:rsidRPr="00CC0447" w:rsidRDefault="009820A2" w:rsidP="009820A2">
      <w:pPr>
        <w:widowControl/>
        <w:tabs>
          <w:tab w:val="left" w:pos="0"/>
        </w:tabs>
        <w:spacing w:line="226" w:lineRule="auto"/>
      </w:pPr>
      <w:r w:rsidRPr="00CC0447">
        <w:t>State</w:t>
      </w:r>
      <w:r w:rsidR="00AA311D" w:rsidRPr="00CC0447">
        <w:t xml:space="preserve">-level yard </w:t>
      </w:r>
      <w:r w:rsidRPr="00CC0447">
        <w:t xml:space="preserve">waste composting was allocated to the county-level using employment. Specifically, state-level activity data were multiplied by the ratio of county- to state- level number of employees at solid waste landfills (NAICS code 562212). </w:t>
      </w:r>
    </w:p>
    <w:p w14:paraId="5B6501F2" w14:textId="77777777" w:rsidR="009820A2" w:rsidRPr="00CC0447" w:rsidRDefault="009820A2" w:rsidP="009820A2">
      <w:pPr>
        <w:widowControl/>
        <w:tabs>
          <w:tab w:val="left" w:pos="0"/>
        </w:tabs>
        <w:spacing w:line="226" w:lineRule="auto"/>
      </w:pPr>
    </w:p>
    <w:p w14:paraId="69ED1785" w14:textId="4DB66D98" w:rsidR="00CE3849" w:rsidRPr="00CC0447" w:rsidRDefault="009820A2" w:rsidP="00CE3849">
      <w:r w:rsidRPr="00CC0447">
        <w:t>Employment data were obtained from the U.S. Census Bureau’s 2014 County Business Patterns (CBP).</w:t>
      </w:r>
      <w:r w:rsidR="003617F7" w:rsidRPr="00CC0447">
        <w:rPr>
          <w:vertAlign w:val="superscript"/>
        </w:rPr>
        <w:t>5</w:t>
      </w:r>
      <w:r w:rsidR="00CE3849" w:rsidRPr="00CC0447">
        <w:t xml:space="preserve"> Due to concerns with releasing confidential business information, the </w:t>
      </w:r>
      <w:r w:rsidR="00CE3849" w:rsidRPr="00CC0447">
        <w:rPr>
          <w:i/>
          <w:iCs/>
        </w:rPr>
        <w:t>CBP</w:t>
      </w:r>
      <w:r w:rsidR="00CE3849" w:rsidRPr="00CC0447">
        <w:t xml:space="preserve"> does not release exact numbers for a given NAICS code if the data can be traced to an individua</w:t>
      </w:r>
      <w:r w:rsidR="00AA311D" w:rsidRPr="00CC0447">
        <w:t xml:space="preserve">l business. </w:t>
      </w:r>
      <w:r w:rsidR="00CE3849" w:rsidRPr="00CC0447">
        <w:t xml:space="preserve">Instead, a series of range codes is used.  To estimate employment in counties with withheld data, the following procedure </w:t>
      </w:r>
      <w:r w:rsidR="00AA311D" w:rsidRPr="00CC0447">
        <w:t xml:space="preserve">was used for </w:t>
      </w:r>
      <w:r w:rsidR="00CE3849" w:rsidRPr="00CC0447">
        <w:t xml:space="preserve">NAICS code </w:t>
      </w:r>
      <w:r w:rsidR="00AA311D" w:rsidRPr="00CC0447">
        <w:t>562212</w:t>
      </w:r>
      <w:r w:rsidR="00CE3849" w:rsidRPr="00CC0447">
        <w:t xml:space="preserve">. </w:t>
      </w:r>
    </w:p>
    <w:p w14:paraId="47AC28B3" w14:textId="77777777" w:rsidR="00CE3849" w:rsidRPr="00CC0447" w:rsidRDefault="00CE3849" w:rsidP="00CE3849"/>
    <w:p w14:paraId="32A23DA2" w14:textId="66F0CFCD" w:rsidR="00CE3849" w:rsidRPr="00CC0447" w:rsidRDefault="00CE3849" w:rsidP="00CE3849">
      <w:pPr>
        <w:widowControl/>
        <w:numPr>
          <w:ilvl w:val="0"/>
          <w:numId w:val="1"/>
        </w:numPr>
        <w:autoSpaceDE/>
        <w:autoSpaceDN/>
        <w:adjustRightInd/>
      </w:pPr>
      <w:r w:rsidRPr="00CC0447">
        <w:t xml:space="preserve">County level data for counties with known employment </w:t>
      </w:r>
      <w:r w:rsidR="00AA311D" w:rsidRPr="00CC0447">
        <w:t>were</w:t>
      </w:r>
      <w:r w:rsidRPr="00CC0447">
        <w:t xml:space="preserve"> totaled by state. </w:t>
      </w:r>
    </w:p>
    <w:p w14:paraId="15234B31" w14:textId="77777777" w:rsidR="00CE3849" w:rsidRPr="00CC0447" w:rsidRDefault="00CE3849" w:rsidP="00CE3849">
      <w:pPr>
        <w:widowControl/>
        <w:numPr>
          <w:ilvl w:val="0"/>
          <w:numId w:val="1"/>
        </w:numPr>
        <w:autoSpaceDE/>
        <w:autoSpaceDN/>
        <w:adjustRightInd/>
      </w:pPr>
      <w:r w:rsidRPr="00CC0447">
        <w:t xml:space="preserve">#1 subtracted from the state total reported in state-level </w:t>
      </w:r>
      <w:r w:rsidRPr="00CC0447">
        <w:rPr>
          <w:i/>
          <w:iCs/>
        </w:rPr>
        <w:t>CBP</w:t>
      </w:r>
      <w:r w:rsidRPr="00CC0447">
        <w:t>.</w:t>
      </w:r>
    </w:p>
    <w:p w14:paraId="06085A64" w14:textId="3E7FFAF3" w:rsidR="00CE3849" w:rsidRPr="00CC0447" w:rsidRDefault="00AA311D" w:rsidP="00CE3849">
      <w:pPr>
        <w:widowControl/>
        <w:numPr>
          <w:ilvl w:val="0"/>
          <w:numId w:val="1"/>
        </w:numPr>
        <w:autoSpaceDE/>
        <w:autoSpaceDN/>
        <w:adjustRightInd/>
      </w:pPr>
      <w:r w:rsidRPr="00CC0447">
        <w:t>Each of the withheld counties was</w:t>
      </w:r>
      <w:r w:rsidR="00CE3849" w:rsidRPr="00CC0447">
        <w:t xml:space="preserve"> assigned the midpoint of the range code (e.g., A:1-19 employees would be assigned 10). </w:t>
      </w:r>
    </w:p>
    <w:p w14:paraId="09805BAA" w14:textId="690F2549" w:rsidR="00CE3849" w:rsidRPr="00CC0447" w:rsidRDefault="00AA311D" w:rsidP="00CE3849">
      <w:pPr>
        <w:widowControl/>
        <w:numPr>
          <w:ilvl w:val="0"/>
          <w:numId w:val="1"/>
        </w:numPr>
        <w:autoSpaceDE/>
        <w:autoSpaceDN/>
        <w:adjustRightInd/>
      </w:pPr>
      <w:r w:rsidRPr="00CC0447">
        <w:t>These midpoints were</w:t>
      </w:r>
      <w:r w:rsidR="00CE3849" w:rsidRPr="00CC0447">
        <w:t xml:space="preserve"> then summed to the state level. </w:t>
      </w:r>
    </w:p>
    <w:p w14:paraId="1C49381D" w14:textId="3DFA02F3" w:rsidR="00CE3849" w:rsidRPr="00CC0447" w:rsidRDefault="00AA311D" w:rsidP="00CE3849">
      <w:pPr>
        <w:widowControl/>
        <w:numPr>
          <w:ilvl w:val="0"/>
          <w:numId w:val="1"/>
        </w:numPr>
        <w:autoSpaceDE/>
        <w:autoSpaceDN/>
        <w:adjustRightInd/>
      </w:pPr>
      <w:r w:rsidRPr="00CC0447">
        <w:t>#2 was</w:t>
      </w:r>
      <w:r w:rsidR="00CE3849" w:rsidRPr="00CC0447">
        <w:t xml:space="preserve"> divided by #4 as an adjustment factor to the midpoints. </w:t>
      </w:r>
    </w:p>
    <w:p w14:paraId="3FFA8295" w14:textId="63A275F8" w:rsidR="00CE3849" w:rsidRPr="00CC0447" w:rsidRDefault="00AA311D" w:rsidP="00CE3849">
      <w:pPr>
        <w:widowControl/>
        <w:numPr>
          <w:ilvl w:val="0"/>
          <w:numId w:val="1"/>
        </w:numPr>
        <w:autoSpaceDE/>
        <w:autoSpaceDN/>
        <w:adjustRightInd/>
      </w:pPr>
      <w:r w:rsidRPr="00CC0447">
        <w:t>#5 was</w:t>
      </w:r>
      <w:r w:rsidR="00CE3849" w:rsidRPr="00CC0447">
        <w:t xml:space="preserve"> multiplied by #3 to get the adjusted county-level employment.</w:t>
      </w:r>
    </w:p>
    <w:p w14:paraId="08706400" w14:textId="77777777" w:rsidR="00CE3849" w:rsidRPr="00CC0447" w:rsidRDefault="00CE3849" w:rsidP="00CE3849"/>
    <w:p w14:paraId="5AB90D9E" w14:textId="77777777" w:rsidR="00CE3849" w:rsidRPr="00CC0447" w:rsidRDefault="00CE3849" w:rsidP="00CE3849">
      <w:r w:rsidRPr="00CC0447">
        <w:t xml:space="preserve">Note that step 5 adjusts all counties with withheld employment data by the same state-based proportion.  It is unlikely that actual employment corresponds exactly with this smoothed adjustment method, but this method is the best option given the availability of the data. </w:t>
      </w:r>
    </w:p>
    <w:p w14:paraId="19A1619D" w14:textId="77777777" w:rsidR="00CE3849" w:rsidRPr="00CC0447" w:rsidRDefault="00CE3849" w:rsidP="009820A2">
      <w:pPr>
        <w:widowControl/>
        <w:tabs>
          <w:tab w:val="left" w:pos="0"/>
        </w:tabs>
        <w:spacing w:line="226" w:lineRule="auto"/>
      </w:pPr>
    </w:p>
    <w:p w14:paraId="4E5F0B62" w14:textId="14DF908E" w:rsidR="00CE3849" w:rsidRPr="00CC0447" w:rsidRDefault="00CE3849" w:rsidP="00CE3849">
      <w:r w:rsidRPr="00CC0447">
        <w:t xml:space="preserve">For example, take the 2006 </w:t>
      </w:r>
      <w:r w:rsidRPr="00CC0447">
        <w:rPr>
          <w:i/>
        </w:rPr>
        <w:t>CBP</w:t>
      </w:r>
      <w:r w:rsidRPr="00CC0447">
        <w:t xml:space="preserve"> data for NAICS 31-33 (Manufacturing) in M</w:t>
      </w:r>
      <w:r w:rsidR="003617F7" w:rsidRPr="00CC0447">
        <w:t>aine provided in Table 2</w:t>
      </w:r>
      <w:r w:rsidRPr="00CC0447">
        <w:t>.</w:t>
      </w:r>
    </w:p>
    <w:p w14:paraId="2F447E40" w14:textId="77777777" w:rsidR="00CE3849" w:rsidRPr="00CC0447" w:rsidRDefault="00CE3849" w:rsidP="00CE3849"/>
    <w:p w14:paraId="71AC3A4F" w14:textId="6476D19D" w:rsidR="00CE3849" w:rsidRPr="00CC0447" w:rsidRDefault="003617F7" w:rsidP="00CE3849">
      <w:pPr>
        <w:jc w:val="center"/>
        <w:rPr>
          <w:b/>
        </w:rPr>
      </w:pPr>
      <w:r w:rsidRPr="00CC0447">
        <w:rPr>
          <w:b/>
        </w:rPr>
        <w:t>Table 2</w:t>
      </w:r>
      <w:r w:rsidR="00CE3849" w:rsidRPr="00CC0447">
        <w:rPr>
          <w:b/>
        </w:rPr>
        <w:t>. 2006 County Business Pattern for NAICS 31-33 in Maine</w:t>
      </w:r>
    </w:p>
    <w:p w14:paraId="7745D977" w14:textId="77777777" w:rsidR="00CE3849" w:rsidRPr="00CC0447" w:rsidRDefault="00CE3849" w:rsidP="00CE3849"/>
    <w:tbl>
      <w:tblPr>
        <w:tblW w:w="4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Caption w:val="Table 2. 2006 County Business Pattern for NAICS 31-33 in Maine"/>
        <w:tblDescription w:val="fipsstate; fipscty; naics; empflag; emp"/>
      </w:tblPr>
      <w:tblGrid>
        <w:gridCol w:w="1070"/>
        <w:gridCol w:w="960"/>
        <w:gridCol w:w="960"/>
        <w:gridCol w:w="1043"/>
        <w:gridCol w:w="960"/>
      </w:tblGrid>
      <w:tr w:rsidR="00CE3849" w:rsidRPr="00CC0447" w14:paraId="7739F142" w14:textId="77777777" w:rsidTr="00242401">
        <w:trPr>
          <w:cantSplit/>
          <w:jc w:val="center"/>
        </w:trPr>
        <w:tc>
          <w:tcPr>
            <w:tcW w:w="960" w:type="dxa"/>
            <w:shd w:val="clear" w:color="000000" w:fill="C0C0C0"/>
            <w:noWrap/>
            <w:vAlign w:val="bottom"/>
          </w:tcPr>
          <w:p w14:paraId="4DB4924E" w14:textId="77777777" w:rsidR="00CE3849" w:rsidRPr="00CC0447" w:rsidRDefault="00CE3849" w:rsidP="00242401">
            <w:pPr>
              <w:rPr>
                <w:b/>
                <w:bCs/>
              </w:rPr>
            </w:pPr>
            <w:proofErr w:type="spellStart"/>
            <w:r w:rsidRPr="00CC0447">
              <w:rPr>
                <w:b/>
                <w:bCs/>
              </w:rPr>
              <w:t>fipsstate</w:t>
            </w:r>
            <w:proofErr w:type="spellEnd"/>
          </w:p>
        </w:tc>
        <w:tc>
          <w:tcPr>
            <w:tcW w:w="960" w:type="dxa"/>
            <w:shd w:val="clear" w:color="000000" w:fill="C0C0C0"/>
            <w:noWrap/>
            <w:vAlign w:val="bottom"/>
          </w:tcPr>
          <w:p w14:paraId="235D9FB7" w14:textId="77777777" w:rsidR="00CE3849" w:rsidRPr="00CC0447" w:rsidRDefault="00CE3849" w:rsidP="00242401">
            <w:pPr>
              <w:rPr>
                <w:b/>
                <w:bCs/>
              </w:rPr>
            </w:pPr>
            <w:proofErr w:type="spellStart"/>
            <w:r w:rsidRPr="00CC0447">
              <w:rPr>
                <w:b/>
                <w:bCs/>
              </w:rPr>
              <w:t>fipscty</w:t>
            </w:r>
            <w:proofErr w:type="spellEnd"/>
          </w:p>
        </w:tc>
        <w:tc>
          <w:tcPr>
            <w:tcW w:w="960" w:type="dxa"/>
            <w:shd w:val="clear" w:color="000000" w:fill="C0C0C0"/>
            <w:noWrap/>
            <w:vAlign w:val="bottom"/>
          </w:tcPr>
          <w:p w14:paraId="59C5001A" w14:textId="77777777" w:rsidR="00CE3849" w:rsidRPr="00CC0447" w:rsidRDefault="00CE3849" w:rsidP="00242401">
            <w:pPr>
              <w:rPr>
                <w:b/>
                <w:bCs/>
              </w:rPr>
            </w:pPr>
            <w:proofErr w:type="spellStart"/>
            <w:r w:rsidRPr="00CC0447">
              <w:rPr>
                <w:b/>
                <w:bCs/>
              </w:rPr>
              <w:t>naics</w:t>
            </w:r>
            <w:proofErr w:type="spellEnd"/>
          </w:p>
        </w:tc>
        <w:tc>
          <w:tcPr>
            <w:tcW w:w="960" w:type="dxa"/>
            <w:shd w:val="clear" w:color="000000" w:fill="C0C0C0"/>
            <w:noWrap/>
            <w:vAlign w:val="bottom"/>
          </w:tcPr>
          <w:p w14:paraId="75A1D05D" w14:textId="77777777" w:rsidR="00CE3849" w:rsidRPr="00CC0447" w:rsidRDefault="00CE3849" w:rsidP="00242401">
            <w:pPr>
              <w:rPr>
                <w:b/>
                <w:bCs/>
              </w:rPr>
            </w:pPr>
            <w:proofErr w:type="spellStart"/>
            <w:r w:rsidRPr="00CC0447">
              <w:rPr>
                <w:b/>
                <w:bCs/>
              </w:rPr>
              <w:t>empflag</w:t>
            </w:r>
            <w:proofErr w:type="spellEnd"/>
          </w:p>
        </w:tc>
        <w:tc>
          <w:tcPr>
            <w:tcW w:w="960" w:type="dxa"/>
            <w:shd w:val="clear" w:color="000000" w:fill="C0C0C0"/>
            <w:noWrap/>
            <w:vAlign w:val="bottom"/>
          </w:tcPr>
          <w:p w14:paraId="5BC387B4" w14:textId="77777777" w:rsidR="00CE3849" w:rsidRPr="00CC0447" w:rsidRDefault="00CE3849" w:rsidP="00242401">
            <w:pPr>
              <w:rPr>
                <w:b/>
                <w:bCs/>
              </w:rPr>
            </w:pPr>
            <w:r w:rsidRPr="00CC0447">
              <w:rPr>
                <w:b/>
                <w:bCs/>
              </w:rPr>
              <w:t>emp</w:t>
            </w:r>
          </w:p>
        </w:tc>
      </w:tr>
      <w:tr w:rsidR="00CE3849" w:rsidRPr="00CC0447" w14:paraId="6C47533D" w14:textId="77777777" w:rsidTr="00242401">
        <w:trPr>
          <w:cantSplit/>
          <w:jc w:val="center"/>
        </w:trPr>
        <w:tc>
          <w:tcPr>
            <w:tcW w:w="960" w:type="dxa"/>
            <w:shd w:val="clear" w:color="auto" w:fill="auto"/>
            <w:vAlign w:val="center"/>
          </w:tcPr>
          <w:p w14:paraId="04E96E43" w14:textId="77777777" w:rsidR="00CE3849" w:rsidRPr="00CC0447" w:rsidRDefault="00CE3849" w:rsidP="00242401">
            <w:pPr>
              <w:jc w:val="center"/>
            </w:pPr>
            <w:r w:rsidRPr="00CC0447">
              <w:t>23</w:t>
            </w:r>
          </w:p>
        </w:tc>
        <w:tc>
          <w:tcPr>
            <w:tcW w:w="960" w:type="dxa"/>
            <w:shd w:val="clear" w:color="auto" w:fill="auto"/>
            <w:vAlign w:val="center"/>
          </w:tcPr>
          <w:p w14:paraId="0A37A86E" w14:textId="77777777" w:rsidR="00CE3849" w:rsidRPr="00CC0447" w:rsidRDefault="00CE3849" w:rsidP="00242401">
            <w:pPr>
              <w:jc w:val="center"/>
            </w:pPr>
            <w:r w:rsidRPr="00CC0447">
              <w:t>001</w:t>
            </w:r>
          </w:p>
        </w:tc>
        <w:tc>
          <w:tcPr>
            <w:tcW w:w="960" w:type="dxa"/>
            <w:shd w:val="clear" w:color="auto" w:fill="auto"/>
            <w:vAlign w:val="center"/>
          </w:tcPr>
          <w:p w14:paraId="14453E42" w14:textId="77777777" w:rsidR="00CE3849" w:rsidRPr="00CC0447" w:rsidRDefault="00CE3849" w:rsidP="00242401">
            <w:pPr>
              <w:jc w:val="center"/>
            </w:pPr>
            <w:r w:rsidRPr="00CC0447">
              <w:t>31----</w:t>
            </w:r>
          </w:p>
        </w:tc>
        <w:tc>
          <w:tcPr>
            <w:tcW w:w="960" w:type="dxa"/>
            <w:shd w:val="clear" w:color="auto" w:fill="auto"/>
            <w:vAlign w:val="center"/>
          </w:tcPr>
          <w:p w14:paraId="3F722997" w14:textId="77777777" w:rsidR="00CE3849" w:rsidRPr="00CC0447" w:rsidRDefault="00CE3849" w:rsidP="00242401">
            <w:pPr>
              <w:jc w:val="center"/>
            </w:pPr>
          </w:p>
        </w:tc>
        <w:tc>
          <w:tcPr>
            <w:tcW w:w="960" w:type="dxa"/>
            <w:shd w:val="clear" w:color="auto" w:fill="auto"/>
            <w:vAlign w:val="center"/>
          </w:tcPr>
          <w:p w14:paraId="19B267DD" w14:textId="77777777" w:rsidR="00CE3849" w:rsidRPr="00CC0447" w:rsidRDefault="00CE3849" w:rsidP="00242401">
            <w:pPr>
              <w:jc w:val="right"/>
            </w:pPr>
            <w:r w:rsidRPr="00CC0447">
              <w:t>6,774</w:t>
            </w:r>
          </w:p>
        </w:tc>
      </w:tr>
      <w:tr w:rsidR="00CE3849" w:rsidRPr="00CC0447" w14:paraId="51C695A0" w14:textId="77777777" w:rsidTr="00242401">
        <w:trPr>
          <w:cantSplit/>
          <w:jc w:val="center"/>
        </w:trPr>
        <w:tc>
          <w:tcPr>
            <w:tcW w:w="960" w:type="dxa"/>
            <w:shd w:val="clear" w:color="auto" w:fill="auto"/>
            <w:vAlign w:val="center"/>
          </w:tcPr>
          <w:p w14:paraId="07512FB8" w14:textId="77777777" w:rsidR="00CE3849" w:rsidRPr="00CC0447" w:rsidRDefault="00CE3849" w:rsidP="00242401">
            <w:pPr>
              <w:jc w:val="center"/>
            </w:pPr>
            <w:r w:rsidRPr="00CC0447">
              <w:t>23</w:t>
            </w:r>
          </w:p>
        </w:tc>
        <w:tc>
          <w:tcPr>
            <w:tcW w:w="960" w:type="dxa"/>
            <w:shd w:val="clear" w:color="auto" w:fill="auto"/>
            <w:vAlign w:val="center"/>
          </w:tcPr>
          <w:p w14:paraId="50A0502D" w14:textId="77777777" w:rsidR="00CE3849" w:rsidRPr="00CC0447" w:rsidRDefault="00CE3849" w:rsidP="00242401">
            <w:pPr>
              <w:jc w:val="center"/>
            </w:pPr>
            <w:r w:rsidRPr="00CC0447">
              <w:t>003</w:t>
            </w:r>
          </w:p>
        </w:tc>
        <w:tc>
          <w:tcPr>
            <w:tcW w:w="960" w:type="dxa"/>
            <w:shd w:val="clear" w:color="auto" w:fill="auto"/>
            <w:vAlign w:val="center"/>
          </w:tcPr>
          <w:p w14:paraId="3130C03D" w14:textId="77777777" w:rsidR="00CE3849" w:rsidRPr="00CC0447" w:rsidRDefault="00CE3849" w:rsidP="00242401">
            <w:pPr>
              <w:jc w:val="center"/>
            </w:pPr>
            <w:r w:rsidRPr="00CC0447">
              <w:t>31----</w:t>
            </w:r>
          </w:p>
        </w:tc>
        <w:tc>
          <w:tcPr>
            <w:tcW w:w="960" w:type="dxa"/>
            <w:shd w:val="clear" w:color="auto" w:fill="auto"/>
            <w:vAlign w:val="center"/>
          </w:tcPr>
          <w:p w14:paraId="364BC199" w14:textId="77777777" w:rsidR="00CE3849" w:rsidRPr="00CC0447" w:rsidRDefault="00CE3849" w:rsidP="00242401">
            <w:pPr>
              <w:jc w:val="center"/>
            </w:pPr>
          </w:p>
        </w:tc>
        <w:tc>
          <w:tcPr>
            <w:tcW w:w="960" w:type="dxa"/>
            <w:shd w:val="clear" w:color="auto" w:fill="auto"/>
            <w:vAlign w:val="center"/>
          </w:tcPr>
          <w:p w14:paraId="134ED178" w14:textId="77777777" w:rsidR="00CE3849" w:rsidRPr="00CC0447" w:rsidRDefault="00CE3849" w:rsidP="00242401">
            <w:pPr>
              <w:jc w:val="right"/>
            </w:pPr>
            <w:r w:rsidRPr="00CC0447">
              <w:t>3,124</w:t>
            </w:r>
          </w:p>
        </w:tc>
      </w:tr>
      <w:tr w:rsidR="00CE3849" w:rsidRPr="00CC0447" w14:paraId="1B6B3898" w14:textId="77777777" w:rsidTr="00242401">
        <w:trPr>
          <w:cantSplit/>
          <w:jc w:val="center"/>
        </w:trPr>
        <w:tc>
          <w:tcPr>
            <w:tcW w:w="960" w:type="dxa"/>
            <w:shd w:val="clear" w:color="auto" w:fill="auto"/>
            <w:vAlign w:val="center"/>
          </w:tcPr>
          <w:p w14:paraId="4A66FB55" w14:textId="77777777" w:rsidR="00CE3849" w:rsidRPr="00CC0447" w:rsidRDefault="00CE3849" w:rsidP="00242401">
            <w:pPr>
              <w:jc w:val="center"/>
            </w:pPr>
            <w:r w:rsidRPr="00CC0447">
              <w:t>23</w:t>
            </w:r>
          </w:p>
        </w:tc>
        <w:tc>
          <w:tcPr>
            <w:tcW w:w="960" w:type="dxa"/>
            <w:shd w:val="clear" w:color="auto" w:fill="auto"/>
            <w:vAlign w:val="center"/>
          </w:tcPr>
          <w:p w14:paraId="6BC4CE68" w14:textId="77777777" w:rsidR="00CE3849" w:rsidRPr="00CC0447" w:rsidRDefault="00CE3849" w:rsidP="00242401">
            <w:pPr>
              <w:jc w:val="center"/>
            </w:pPr>
            <w:r w:rsidRPr="00CC0447">
              <w:t>005</w:t>
            </w:r>
          </w:p>
        </w:tc>
        <w:tc>
          <w:tcPr>
            <w:tcW w:w="960" w:type="dxa"/>
            <w:shd w:val="clear" w:color="auto" w:fill="auto"/>
            <w:vAlign w:val="center"/>
          </w:tcPr>
          <w:p w14:paraId="782F6683" w14:textId="77777777" w:rsidR="00CE3849" w:rsidRPr="00CC0447" w:rsidRDefault="00CE3849" w:rsidP="00242401">
            <w:pPr>
              <w:jc w:val="center"/>
            </w:pPr>
            <w:r w:rsidRPr="00CC0447">
              <w:t>31----</w:t>
            </w:r>
          </w:p>
        </w:tc>
        <w:tc>
          <w:tcPr>
            <w:tcW w:w="960" w:type="dxa"/>
            <w:shd w:val="clear" w:color="auto" w:fill="auto"/>
            <w:vAlign w:val="center"/>
          </w:tcPr>
          <w:p w14:paraId="4D7C9DA9" w14:textId="77777777" w:rsidR="00CE3849" w:rsidRPr="00CC0447" w:rsidRDefault="00CE3849" w:rsidP="00242401">
            <w:pPr>
              <w:jc w:val="center"/>
            </w:pPr>
          </w:p>
        </w:tc>
        <w:tc>
          <w:tcPr>
            <w:tcW w:w="960" w:type="dxa"/>
            <w:shd w:val="clear" w:color="auto" w:fill="auto"/>
            <w:vAlign w:val="center"/>
          </w:tcPr>
          <w:p w14:paraId="40B92FCA" w14:textId="77777777" w:rsidR="00CE3849" w:rsidRPr="00CC0447" w:rsidRDefault="00CE3849" w:rsidP="00242401">
            <w:pPr>
              <w:jc w:val="right"/>
            </w:pPr>
            <w:r w:rsidRPr="00CC0447">
              <w:t>10,333</w:t>
            </w:r>
          </w:p>
        </w:tc>
      </w:tr>
      <w:tr w:rsidR="00CE3849" w:rsidRPr="00CC0447" w14:paraId="539A0CF1" w14:textId="77777777" w:rsidTr="00242401">
        <w:trPr>
          <w:cantSplit/>
          <w:jc w:val="center"/>
        </w:trPr>
        <w:tc>
          <w:tcPr>
            <w:tcW w:w="960" w:type="dxa"/>
            <w:shd w:val="clear" w:color="auto" w:fill="auto"/>
            <w:vAlign w:val="center"/>
          </w:tcPr>
          <w:p w14:paraId="7B66DB62" w14:textId="77777777" w:rsidR="00CE3849" w:rsidRPr="00CC0447" w:rsidRDefault="00CE3849" w:rsidP="00242401">
            <w:pPr>
              <w:jc w:val="center"/>
            </w:pPr>
            <w:r w:rsidRPr="00CC0447">
              <w:t>23</w:t>
            </w:r>
          </w:p>
        </w:tc>
        <w:tc>
          <w:tcPr>
            <w:tcW w:w="960" w:type="dxa"/>
            <w:shd w:val="clear" w:color="auto" w:fill="auto"/>
            <w:vAlign w:val="center"/>
          </w:tcPr>
          <w:p w14:paraId="33FB3956" w14:textId="77777777" w:rsidR="00CE3849" w:rsidRPr="00CC0447" w:rsidRDefault="00CE3849" w:rsidP="00242401">
            <w:pPr>
              <w:jc w:val="center"/>
            </w:pPr>
            <w:r w:rsidRPr="00CC0447">
              <w:t>007</w:t>
            </w:r>
          </w:p>
        </w:tc>
        <w:tc>
          <w:tcPr>
            <w:tcW w:w="960" w:type="dxa"/>
            <w:shd w:val="clear" w:color="auto" w:fill="auto"/>
            <w:vAlign w:val="center"/>
          </w:tcPr>
          <w:p w14:paraId="47D35FF3" w14:textId="77777777" w:rsidR="00CE3849" w:rsidRPr="00CC0447" w:rsidRDefault="00CE3849" w:rsidP="00242401">
            <w:pPr>
              <w:jc w:val="center"/>
            </w:pPr>
            <w:r w:rsidRPr="00CC0447">
              <w:t>31----</w:t>
            </w:r>
          </w:p>
        </w:tc>
        <w:tc>
          <w:tcPr>
            <w:tcW w:w="960" w:type="dxa"/>
            <w:shd w:val="clear" w:color="auto" w:fill="auto"/>
            <w:vAlign w:val="center"/>
          </w:tcPr>
          <w:p w14:paraId="1314C09A" w14:textId="77777777" w:rsidR="00CE3849" w:rsidRPr="00CC0447" w:rsidRDefault="00CE3849" w:rsidP="00242401">
            <w:pPr>
              <w:jc w:val="center"/>
            </w:pPr>
          </w:p>
        </w:tc>
        <w:tc>
          <w:tcPr>
            <w:tcW w:w="960" w:type="dxa"/>
            <w:shd w:val="clear" w:color="auto" w:fill="auto"/>
            <w:vAlign w:val="center"/>
          </w:tcPr>
          <w:p w14:paraId="1E2D86D3" w14:textId="77777777" w:rsidR="00CE3849" w:rsidRPr="00CC0447" w:rsidRDefault="00CE3849" w:rsidP="00242401">
            <w:pPr>
              <w:jc w:val="right"/>
            </w:pPr>
            <w:r w:rsidRPr="00CC0447">
              <w:t>1,786</w:t>
            </w:r>
          </w:p>
        </w:tc>
      </w:tr>
      <w:tr w:rsidR="00CE3849" w:rsidRPr="00CC0447" w14:paraId="09F935F5" w14:textId="77777777" w:rsidTr="00242401">
        <w:trPr>
          <w:cantSplit/>
          <w:jc w:val="center"/>
        </w:trPr>
        <w:tc>
          <w:tcPr>
            <w:tcW w:w="960" w:type="dxa"/>
            <w:shd w:val="clear" w:color="auto" w:fill="auto"/>
            <w:vAlign w:val="center"/>
          </w:tcPr>
          <w:p w14:paraId="57EF4D8B" w14:textId="77777777" w:rsidR="00CE3849" w:rsidRPr="00CC0447" w:rsidRDefault="00CE3849" w:rsidP="00242401">
            <w:pPr>
              <w:jc w:val="center"/>
            </w:pPr>
            <w:r w:rsidRPr="00CC0447">
              <w:t>23</w:t>
            </w:r>
          </w:p>
        </w:tc>
        <w:tc>
          <w:tcPr>
            <w:tcW w:w="960" w:type="dxa"/>
            <w:shd w:val="clear" w:color="auto" w:fill="auto"/>
            <w:vAlign w:val="center"/>
          </w:tcPr>
          <w:p w14:paraId="127EBF17" w14:textId="77777777" w:rsidR="00CE3849" w:rsidRPr="00CC0447" w:rsidRDefault="00CE3849" w:rsidP="00242401">
            <w:pPr>
              <w:jc w:val="center"/>
            </w:pPr>
            <w:r w:rsidRPr="00CC0447">
              <w:t>009</w:t>
            </w:r>
          </w:p>
        </w:tc>
        <w:tc>
          <w:tcPr>
            <w:tcW w:w="960" w:type="dxa"/>
            <w:shd w:val="clear" w:color="auto" w:fill="auto"/>
            <w:vAlign w:val="center"/>
          </w:tcPr>
          <w:p w14:paraId="237596EB" w14:textId="77777777" w:rsidR="00CE3849" w:rsidRPr="00CC0447" w:rsidRDefault="00CE3849" w:rsidP="00242401">
            <w:pPr>
              <w:jc w:val="center"/>
            </w:pPr>
            <w:r w:rsidRPr="00CC0447">
              <w:t>31----</w:t>
            </w:r>
          </w:p>
        </w:tc>
        <w:tc>
          <w:tcPr>
            <w:tcW w:w="960" w:type="dxa"/>
            <w:shd w:val="clear" w:color="auto" w:fill="auto"/>
            <w:vAlign w:val="center"/>
          </w:tcPr>
          <w:p w14:paraId="712B8CBC" w14:textId="77777777" w:rsidR="00CE3849" w:rsidRPr="00CC0447" w:rsidRDefault="00CE3849" w:rsidP="00242401">
            <w:pPr>
              <w:jc w:val="center"/>
            </w:pPr>
          </w:p>
        </w:tc>
        <w:tc>
          <w:tcPr>
            <w:tcW w:w="960" w:type="dxa"/>
            <w:shd w:val="clear" w:color="auto" w:fill="auto"/>
            <w:vAlign w:val="center"/>
          </w:tcPr>
          <w:p w14:paraId="2EC3008F" w14:textId="77777777" w:rsidR="00CE3849" w:rsidRPr="00CC0447" w:rsidRDefault="00CE3849" w:rsidP="00242401">
            <w:pPr>
              <w:jc w:val="right"/>
            </w:pPr>
            <w:r w:rsidRPr="00CC0447">
              <w:t>1,954</w:t>
            </w:r>
          </w:p>
        </w:tc>
      </w:tr>
      <w:tr w:rsidR="00CE3849" w:rsidRPr="00CC0447" w14:paraId="06268637" w14:textId="77777777" w:rsidTr="00242401">
        <w:trPr>
          <w:cantSplit/>
          <w:jc w:val="center"/>
        </w:trPr>
        <w:tc>
          <w:tcPr>
            <w:tcW w:w="960" w:type="dxa"/>
            <w:shd w:val="clear" w:color="auto" w:fill="auto"/>
            <w:vAlign w:val="center"/>
          </w:tcPr>
          <w:p w14:paraId="3897C0D6" w14:textId="77777777" w:rsidR="00CE3849" w:rsidRPr="00CC0447" w:rsidRDefault="00CE3849" w:rsidP="00242401">
            <w:pPr>
              <w:jc w:val="center"/>
            </w:pPr>
            <w:r w:rsidRPr="00CC0447">
              <w:t>23</w:t>
            </w:r>
          </w:p>
        </w:tc>
        <w:tc>
          <w:tcPr>
            <w:tcW w:w="960" w:type="dxa"/>
            <w:shd w:val="clear" w:color="auto" w:fill="auto"/>
            <w:vAlign w:val="center"/>
          </w:tcPr>
          <w:p w14:paraId="30CD9A80" w14:textId="77777777" w:rsidR="00CE3849" w:rsidRPr="00CC0447" w:rsidRDefault="00CE3849" w:rsidP="00242401">
            <w:pPr>
              <w:jc w:val="center"/>
            </w:pPr>
            <w:r w:rsidRPr="00CC0447">
              <w:t>011</w:t>
            </w:r>
          </w:p>
        </w:tc>
        <w:tc>
          <w:tcPr>
            <w:tcW w:w="960" w:type="dxa"/>
            <w:shd w:val="clear" w:color="auto" w:fill="auto"/>
            <w:vAlign w:val="center"/>
          </w:tcPr>
          <w:p w14:paraId="5AACE249" w14:textId="77777777" w:rsidR="00CE3849" w:rsidRPr="00CC0447" w:rsidRDefault="00CE3849" w:rsidP="00242401">
            <w:pPr>
              <w:jc w:val="center"/>
            </w:pPr>
            <w:r w:rsidRPr="00CC0447">
              <w:t>31----</w:t>
            </w:r>
          </w:p>
        </w:tc>
        <w:tc>
          <w:tcPr>
            <w:tcW w:w="960" w:type="dxa"/>
            <w:shd w:val="clear" w:color="auto" w:fill="auto"/>
            <w:vAlign w:val="center"/>
          </w:tcPr>
          <w:p w14:paraId="3571F6CB" w14:textId="77777777" w:rsidR="00CE3849" w:rsidRPr="00CC0447" w:rsidRDefault="00CE3849" w:rsidP="00242401">
            <w:pPr>
              <w:jc w:val="center"/>
            </w:pPr>
          </w:p>
        </w:tc>
        <w:tc>
          <w:tcPr>
            <w:tcW w:w="960" w:type="dxa"/>
            <w:shd w:val="clear" w:color="auto" w:fill="auto"/>
            <w:vAlign w:val="center"/>
          </w:tcPr>
          <w:p w14:paraId="70158F47" w14:textId="77777777" w:rsidR="00CE3849" w:rsidRPr="00CC0447" w:rsidRDefault="00CE3849" w:rsidP="00242401">
            <w:pPr>
              <w:jc w:val="right"/>
            </w:pPr>
            <w:r w:rsidRPr="00CC0447">
              <w:t>2,535</w:t>
            </w:r>
          </w:p>
        </w:tc>
      </w:tr>
      <w:tr w:rsidR="00CE3849" w:rsidRPr="00CC0447" w14:paraId="5D001774" w14:textId="77777777" w:rsidTr="00242401">
        <w:trPr>
          <w:cantSplit/>
          <w:jc w:val="center"/>
        </w:trPr>
        <w:tc>
          <w:tcPr>
            <w:tcW w:w="960" w:type="dxa"/>
            <w:shd w:val="clear" w:color="auto" w:fill="auto"/>
            <w:vAlign w:val="center"/>
          </w:tcPr>
          <w:p w14:paraId="0EF7A35B" w14:textId="77777777" w:rsidR="00CE3849" w:rsidRPr="00CC0447" w:rsidRDefault="00CE3849" w:rsidP="00242401">
            <w:pPr>
              <w:jc w:val="center"/>
            </w:pPr>
            <w:r w:rsidRPr="00CC0447">
              <w:t>23</w:t>
            </w:r>
          </w:p>
        </w:tc>
        <w:tc>
          <w:tcPr>
            <w:tcW w:w="960" w:type="dxa"/>
            <w:shd w:val="clear" w:color="auto" w:fill="auto"/>
            <w:vAlign w:val="center"/>
          </w:tcPr>
          <w:p w14:paraId="4D429673" w14:textId="77777777" w:rsidR="00CE3849" w:rsidRPr="00CC0447" w:rsidRDefault="00CE3849" w:rsidP="00242401">
            <w:pPr>
              <w:jc w:val="center"/>
            </w:pPr>
            <w:r w:rsidRPr="00CC0447">
              <w:t>013</w:t>
            </w:r>
          </w:p>
        </w:tc>
        <w:tc>
          <w:tcPr>
            <w:tcW w:w="960" w:type="dxa"/>
            <w:shd w:val="clear" w:color="auto" w:fill="auto"/>
            <w:vAlign w:val="center"/>
          </w:tcPr>
          <w:p w14:paraId="0E92A30E" w14:textId="77777777" w:rsidR="00CE3849" w:rsidRPr="00CC0447" w:rsidRDefault="00CE3849" w:rsidP="00242401">
            <w:pPr>
              <w:jc w:val="center"/>
            </w:pPr>
            <w:r w:rsidRPr="00CC0447">
              <w:t>31----</w:t>
            </w:r>
          </w:p>
        </w:tc>
        <w:tc>
          <w:tcPr>
            <w:tcW w:w="960" w:type="dxa"/>
            <w:shd w:val="clear" w:color="auto" w:fill="auto"/>
            <w:vAlign w:val="center"/>
          </w:tcPr>
          <w:p w14:paraId="2A860B6E" w14:textId="77777777" w:rsidR="00CE3849" w:rsidRPr="00CC0447" w:rsidRDefault="00CE3849" w:rsidP="00242401">
            <w:pPr>
              <w:jc w:val="center"/>
            </w:pPr>
          </w:p>
        </w:tc>
        <w:tc>
          <w:tcPr>
            <w:tcW w:w="960" w:type="dxa"/>
            <w:shd w:val="clear" w:color="auto" w:fill="auto"/>
            <w:vAlign w:val="center"/>
          </w:tcPr>
          <w:p w14:paraId="73714F67" w14:textId="77777777" w:rsidR="00CE3849" w:rsidRPr="00CC0447" w:rsidRDefault="00CE3849" w:rsidP="00242401">
            <w:pPr>
              <w:jc w:val="right"/>
            </w:pPr>
            <w:r w:rsidRPr="00CC0447">
              <w:t>1,418</w:t>
            </w:r>
          </w:p>
        </w:tc>
      </w:tr>
      <w:tr w:rsidR="00CE3849" w:rsidRPr="00CC0447" w14:paraId="6A7EC2C2" w14:textId="77777777" w:rsidTr="00242401">
        <w:trPr>
          <w:cantSplit/>
          <w:jc w:val="center"/>
        </w:trPr>
        <w:tc>
          <w:tcPr>
            <w:tcW w:w="960" w:type="dxa"/>
            <w:shd w:val="clear" w:color="auto" w:fill="auto"/>
            <w:vAlign w:val="center"/>
          </w:tcPr>
          <w:p w14:paraId="6790B2B3" w14:textId="77777777" w:rsidR="00CE3849" w:rsidRPr="00CC0447" w:rsidRDefault="00CE3849" w:rsidP="00242401">
            <w:pPr>
              <w:jc w:val="center"/>
            </w:pPr>
            <w:r w:rsidRPr="00CC0447">
              <w:t>23</w:t>
            </w:r>
          </w:p>
        </w:tc>
        <w:tc>
          <w:tcPr>
            <w:tcW w:w="960" w:type="dxa"/>
            <w:shd w:val="clear" w:color="auto" w:fill="auto"/>
            <w:vAlign w:val="center"/>
          </w:tcPr>
          <w:p w14:paraId="35247D01" w14:textId="77777777" w:rsidR="00CE3849" w:rsidRPr="00CC0447" w:rsidRDefault="00CE3849" w:rsidP="00242401">
            <w:pPr>
              <w:jc w:val="center"/>
            </w:pPr>
            <w:r w:rsidRPr="00CC0447">
              <w:t>015</w:t>
            </w:r>
          </w:p>
        </w:tc>
        <w:tc>
          <w:tcPr>
            <w:tcW w:w="960" w:type="dxa"/>
            <w:shd w:val="clear" w:color="auto" w:fill="auto"/>
            <w:vAlign w:val="center"/>
          </w:tcPr>
          <w:p w14:paraId="53DC727E" w14:textId="77777777" w:rsidR="00CE3849" w:rsidRPr="00CC0447" w:rsidRDefault="00CE3849" w:rsidP="00242401">
            <w:pPr>
              <w:jc w:val="center"/>
            </w:pPr>
            <w:r w:rsidRPr="00CC0447">
              <w:t>31----</w:t>
            </w:r>
          </w:p>
        </w:tc>
        <w:tc>
          <w:tcPr>
            <w:tcW w:w="960" w:type="dxa"/>
            <w:shd w:val="clear" w:color="auto" w:fill="auto"/>
            <w:vAlign w:val="center"/>
          </w:tcPr>
          <w:p w14:paraId="4B213187" w14:textId="77777777" w:rsidR="00CE3849" w:rsidRPr="00CC0447" w:rsidRDefault="00CE3849" w:rsidP="00242401">
            <w:pPr>
              <w:jc w:val="center"/>
            </w:pPr>
            <w:r w:rsidRPr="00CC0447">
              <w:t>F</w:t>
            </w:r>
          </w:p>
        </w:tc>
        <w:tc>
          <w:tcPr>
            <w:tcW w:w="960" w:type="dxa"/>
            <w:shd w:val="clear" w:color="auto" w:fill="auto"/>
            <w:vAlign w:val="center"/>
          </w:tcPr>
          <w:p w14:paraId="5375D525" w14:textId="77777777" w:rsidR="00CE3849" w:rsidRPr="00CC0447" w:rsidRDefault="00CE3849" w:rsidP="00242401">
            <w:pPr>
              <w:jc w:val="right"/>
            </w:pPr>
            <w:r w:rsidRPr="00CC0447">
              <w:t>0</w:t>
            </w:r>
          </w:p>
        </w:tc>
      </w:tr>
      <w:tr w:rsidR="00CE3849" w:rsidRPr="00CC0447" w14:paraId="5DE79E04" w14:textId="77777777" w:rsidTr="00242401">
        <w:trPr>
          <w:cantSplit/>
          <w:jc w:val="center"/>
        </w:trPr>
        <w:tc>
          <w:tcPr>
            <w:tcW w:w="960" w:type="dxa"/>
            <w:shd w:val="clear" w:color="auto" w:fill="auto"/>
            <w:vAlign w:val="center"/>
          </w:tcPr>
          <w:p w14:paraId="1C026FE9" w14:textId="77777777" w:rsidR="00CE3849" w:rsidRPr="00CC0447" w:rsidRDefault="00CE3849" w:rsidP="00242401">
            <w:pPr>
              <w:jc w:val="center"/>
            </w:pPr>
            <w:r w:rsidRPr="00CC0447">
              <w:t>23</w:t>
            </w:r>
          </w:p>
        </w:tc>
        <w:tc>
          <w:tcPr>
            <w:tcW w:w="960" w:type="dxa"/>
            <w:shd w:val="clear" w:color="auto" w:fill="auto"/>
            <w:vAlign w:val="center"/>
          </w:tcPr>
          <w:p w14:paraId="248BF28C" w14:textId="77777777" w:rsidR="00CE3849" w:rsidRPr="00CC0447" w:rsidRDefault="00CE3849" w:rsidP="00242401">
            <w:pPr>
              <w:jc w:val="center"/>
            </w:pPr>
            <w:r w:rsidRPr="00CC0447">
              <w:t>017</w:t>
            </w:r>
          </w:p>
        </w:tc>
        <w:tc>
          <w:tcPr>
            <w:tcW w:w="960" w:type="dxa"/>
            <w:shd w:val="clear" w:color="auto" w:fill="auto"/>
            <w:vAlign w:val="center"/>
          </w:tcPr>
          <w:p w14:paraId="27E4A17A" w14:textId="77777777" w:rsidR="00CE3849" w:rsidRPr="00CC0447" w:rsidRDefault="00CE3849" w:rsidP="00242401">
            <w:pPr>
              <w:jc w:val="center"/>
            </w:pPr>
            <w:r w:rsidRPr="00CC0447">
              <w:t>31----</w:t>
            </w:r>
          </w:p>
        </w:tc>
        <w:tc>
          <w:tcPr>
            <w:tcW w:w="960" w:type="dxa"/>
            <w:shd w:val="clear" w:color="auto" w:fill="auto"/>
            <w:vAlign w:val="center"/>
          </w:tcPr>
          <w:p w14:paraId="09139D24" w14:textId="77777777" w:rsidR="00CE3849" w:rsidRPr="00CC0447" w:rsidRDefault="00CE3849" w:rsidP="00242401">
            <w:pPr>
              <w:jc w:val="center"/>
            </w:pPr>
          </w:p>
        </w:tc>
        <w:tc>
          <w:tcPr>
            <w:tcW w:w="960" w:type="dxa"/>
            <w:shd w:val="clear" w:color="auto" w:fill="auto"/>
            <w:vAlign w:val="center"/>
          </w:tcPr>
          <w:p w14:paraId="50801D0F" w14:textId="77777777" w:rsidR="00CE3849" w:rsidRPr="00CC0447" w:rsidRDefault="00CE3849" w:rsidP="00242401">
            <w:pPr>
              <w:jc w:val="right"/>
            </w:pPr>
            <w:r w:rsidRPr="00CC0447">
              <w:t>2,888</w:t>
            </w:r>
          </w:p>
        </w:tc>
      </w:tr>
      <w:tr w:rsidR="00CE3849" w:rsidRPr="00CC0447" w14:paraId="6C2138AA" w14:textId="77777777" w:rsidTr="00242401">
        <w:trPr>
          <w:cantSplit/>
          <w:jc w:val="center"/>
        </w:trPr>
        <w:tc>
          <w:tcPr>
            <w:tcW w:w="960" w:type="dxa"/>
            <w:shd w:val="clear" w:color="auto" w:fill="auto"/>
            <w:vAlign w:val="center"/>
          </w:tcPr>
          <w:p w14:paraId="19A5E9EE" w14:textId="77777777" w:rsidR="00CE3849" w:rsidRPr="00CC0447" w:rsidRDefault="00CE3849" w:rsidP="00242401">
            <w:pPr>
              <w:jc w:val="center"/>
            </w:pPr>
            <w:r w:rsidRPr="00CC0447">
              <w:t>23</w:t>
            </w:r>
          </w:p>
        </w:tc>
        <w:tc>
          <w:tcPr>
            <w:tcW w:w="960" w:type="dxa"/>
            <w:shd w:val="clear" w:color="auto" w:fill="auto"/>
            <w:vAlign w:val="center"/>
          </w:tcPr>
          <w:p w14:paraId="0D0C0736" w14:textId="77777777" w:rsidR="00CE3849" w:rsidRPr="00CC0447" w:rsidRDefault="00CE3849" w:rsidP="00242401">
            <w:pPr>
              <w:jc w:val="center"/>
            </w:pPr>
            <w:r w:rsidRPr="00CC0447">
              <w:t>019</w:t>
            </w:r>
          </w:p>
        </w:tc>
        <w:tc>
          <w:tcPr>
            <w:tcW w:w="960" w:type="dxa"/>
            <w:shd w:val="clear" w:color="auto" w:fill="auto"/>
            <w:vAlign w:val="center"/>
          </w:tcPr>
          <w:p w14:paraId="217D5B7D" w14:textId="77777777" w:rsidR="00CE3849" w:rsidRPr="00CC0447" w:rsidRDefault="00CE3849" w:rsidP="00242401">
            <w:pPr>
              <w:jc w:val="center"/>
            </w:pPr>
            <w:r w:rsidRPr="00CC0447">
              <w:t>31----</w:t>
            </w:r>
          </w:p>
        </w:tc>
        <w:tc>
          <w:tcPr>
            <w:tcW w:w="960" w:type="dxa"/>
            <w:shd w:val="clear" w:color="auto" w:fill="auto"/>
            <w:vAlign w:val="center"/>
          </w:tcPr>
          <w:p w14:paraId="612B9F14" w14:textId="77777777" w:rsidR="00CE3849" w:rsidRPr="00CC0447" w:rsidRDefault="00CE3849" w:rsidP="00242401">
            <w:pPr>
              <w:jc w:val="center"/>
            </w:pPr>
          </w:p>
        </w:tc>
        <w:tc>
          <w:tcPr>
            <w:tcW w:w="960" w:type="dxa"/>
            <w:shd w:val="clear" w:color="auto" w:fill="auto"/>
            <w:vAlign w:val="center"/>
          </w:tcPr>
          <w:p w14:paraId="6182A5D8" w14:textId="77777777" w:rsidR="00CE3849" w:rsidRPr="00CC0447" w:rsidRDefault="00CE3849" w:rsidP="00242401">
            <w:pPr>
              <w:jc w:val="right"/>
            </w:pPr>
            <w:r w:rsidRPr="00CC0447">
              <w:t>4,522</w:t>
            </w:r>
          </w:p>
        </w:tc>
      </w:tr>
      <w:tr w:rsidR="00CE3849" w:rsidRPr="00CC0447" w14:paraId="2CE9F7FF" w14:textId="77777777" w:rsidTr="00242401">
        <w:trPr>
          <w:cantSplit/>
          <w:jc w:val="center"/>
        </w:trPr>
        <w:tc>
          <w:tcPr>
            <w:tcW w:w="960" w:type="dxa"/>
            <w:shd w:val="clear" w:color="auto" w:fill="auto"/>
            <w:vAlign w:val="center"/>
          </w:tcPr>
          <w:p w14:paraId="5187D2DC" w14:textId="77777777" w:rsidR="00CE3849" w:rsidRPr="00CC0447" w:rsidRDefault="00CE3849" w:rsidP="00242401">
            <w:pPr>
              <w:jc w:val="center"/>
            </w:pPr>
            <w:r w:rsidRPr="00CC0447">
              <w:t>23</w:t>
            </w:r>
          </w:p>
        </w:tc>
        <w:tc>
          <w:tcPr>
            <w:tcW w:w="960" w:type="dxa"/>
            <w:shd w:val="clear" w:color="auto" w:fill="auto"/>
            <w:vAlign w:val="center"/>
          </w:tcPr>
          <w:p w14:paraId="62B11A8F" w14:textId="77777777" w:rsidR="00CE3849" w:rsidRPr="00CC0447" w:rsidRDefault="00CE3849" w:rsidP="00242401">
            <w:pPr>
              <w:jc w:val="center"/>
            </w:pPr>
            <w:r w:rsidRPr="00CC0447">
              <w:t>021</w:t>
            </w:r>
          </w:p>
        </w:tc>
        <w:tc>
          <w:tcPr>
            <w:tcW w:w="960" w:type="dxa"/>
            <w:shd w:val="clear" w:color="auto" w:fill="auto"/>
            <w:vAlign w:val="center"/>
          </w:tcPr>
          <w:p w14:paraId="3F54DB95" w14:textId="77777777" w:rsidR="00CE3849" w:rsidRPr="00CC0447" w:rsidRDefault="00CE3849" w:rsidP="00242401">
            <w:pPr>
              <w:jc w:val="center"/>
            </w:pPr>
            <w:r w:rsidRPr="00CC0447">
              <w:t>31----</w:t>
            </w:r>
          </w:p>
        </w:tc>
        <w:tc>
          <w:tcPr>
            <w:tcW w:w="960" w:type="dxa"/>
            <w:shd w:val="clear" w:color="auto" w:fill="auto"/>
            <w:vAlign w:val="center"/>
          </w:tcPr>
          <w:p w14:paraId="3578B1BB" w14:textId="77777777" w:rsidR="00CE3849" w:rsidRPr="00CC0447" w:rsidRDefault="00CE3849" w:rsidP="00242401">
            <w:pPr>
              <w:jc w:val="center"/>
            </w:pPr>
          </w:p>
        </w:tc>
        <w:tc>
          <w:tcPr>
            <w:tcW w:w="960" w:type="dxa"/>
            <w:shd w:val="clear" w:color="auto" w:fill="auto"/>
            <w:vAlign w:val="center"/>
          </w:tcPr>
          <w:p w14:paraId="72471B29" w14:textId="77777777" w:rsidR="00CE3849" w:rsidRPr="00CC0447" w:rsidRDefault="00CE3849" w:rsidP="00242401">
            <w:pPr>
              <w:jc w:val="right"/>
            </w:pPr>
            <w:r w:rsidRPr="00CC0447">
              <w:t>948</w:t>
            </w:r>
          </w:p>
        </w:tc>
      </w:tr>
      <w:tr w:rsidR="00CE3849" w:rsidRPr="00CC0447" w14:paraId="2A9A79A0" w14:textId="77777777" w:rsidTr="00242401">
        <w:trPr>
          <w:cantSplit/>
          <w:jc w:val="center"/>
        </w:trPr>
        <w:tc>
          <w:tcPr>
            <w:tcW w:w="960" w:type="dxa"/>
            <w:shd w:val="clear" w:color="auto" w:fill="auto"/>
            <w:vAlign w:val="center"/>
          </w:tcPr>
          <w:p w14:paraId="26DBAE1B" w14:textId="77777777" w:rsidR="00CE3849" w:rsidRPr="00CC0447" w:rsidRDefault="00CE3849" w:rsidP="00242401">
            <w:pPr>
              <w:jc w:val="center"/>
            </w:pPr>
            <w:r w:rsidRPr="00CC0447">
              <w:t>23</w:t>
            </w:r>
          </w:p>
        </w:tc>
        <w:tc>
          <w:tcPr>
            <w:tcW w:w="960" w:type="dxa"/>
            <w:shd w:val="clear" w:color="auto" w:fill="auto"/>
            <w:vAlign w:val="center"/>
          </w:tcPr>
          <w:p w14:paraId="54B30BB0" w14:textId="77777777" w:rsidR="00CE3849" w:rsidRPr="00CC0447" w:rsidRDefault="00CE3849" w:rsidP="00242401">
            <w:pPr>
              <w:jc w:val="center"/>
            </w:pPr>
            <w:r w:rsidRPr="00CC0447">
              <w:t>023</w:t>
            </w:r>
          </w:p>
        </w:tc>
        <w:tc>
          <w:tcPr>
            <w:tcW w:w="960" w:type="dxa"/>
            <w:shd w:val="clear" w:color="auto" w:fill="auto"/>
            <w:vAlign w:val="center"/>
          </w:tcPr>
          <w:p w14:paraId="73D43C85" w14:textId="77777777" w:rsidR="00CE3849" w:rsidRPr="00CC0447" w:rsidRDefault="00CE3849" w:rsidP="00242401">
            <w:pPr>
              <w:jc w:val="center"/>
            </w:pPr>
            <w:r w:rsidRPr="00CC0447">
              <w:t>31----</w:t>
            </w:r>
          </w:p>
        </w:tc>
        <w:tc>
          <w:tcPr>
            <w:tcW w:w="960" w:type="dxa"/>
            <w:shd w:val="clear" w:color="auto" w:fill="auto"/>
            <w:vAlign w:val="center"/>
          </w:tcPr>
          <w:p w14:paraId="3022B580" w14:textId="77777777" w:rsidR="00CE3849" w:rsidRPr="00CC0447" w:rsidRDefault="00CE3849" w:rsidP="00242401">
            <w:pPr>
              <w:jc w:val="center"/>
            </w:pPr>
            <w:r w:rsidRPr="00CC0447">
              <w:t>I</w:t>
            </w:r>
          </w:p>
        </w:tc>
        <w:tc>
          <w:tcPr>
            <w:tcW w:w="960" w:type="dxa"/>
            <w:shd w:val="clear" w:color="auto" w:fill="auto"/>
            <w:vAlign w:val="center"/>
          </w:tcPr>
          <w:p w14:paraId="3E99BAA7" w14:textId="77777777" w:rsidR="00CE3849" w:rsidRPr="00CC0447" w:rsidRDefault="00CE3849" w:rsidP="00242401">
            <w:pPr>
              <w:jc w:val="right"/>
            </w:pPr>
            <w:r w:rsidRPr="00CC0447">
              <w:t>0</w:t>
            </w:r>
          </w:p>
        </w:tc>
      </w:tr>
      <w:tr w:rsidR="00CE3849" w:rsidRPr="00CC0447" w14:paraId="52A0220C" w14:textId="77777777" w:rsidTr="00242401">
        <w:trPr>
          <w:cantSplit/>
          <w:jc w:val="center"/>
        </w:trPr>
        <w:tc>
          <w:tcPr>
            <w:tcW w:w="960" w:type="dxa"/>
            <w:shd w:val="clear" w:color="auto" w:fill="auto"/>
            <w:vAlign w:val="center"/>
          </w:tcPr>
          <w:p w14:paraId="0338CA9E" w14:textId="77777777" w:rsidR="00CE3849" w:rsidRPr="00CC0447" w:rsidRDefault="00CE3849" w:rsidP="00242401">
            <w:pPr>
              <w:jc w:val="center"/>
            </w:pPr>
            <w:r w:rsidRPr="00CC0447">
              <w:t>23</w:t>
            </w:r>
          </w:p>
        </w:tc>
        <w:tc>
          <w:tcPr>
            <w:tcW w:w="960" w:type="dxa"/>
            <w:shd w:val="clear" w:color="auto" w:fill="auto"/>
            <w:vAlign w:val="center"/>
          </w:tcPr>
          <w:p w14:paraId="34C1BA8F" w14:textId="77777777" w:rsidR="00CE3849" w:rsidRPr="00CC0447" w:rsidRDefault="00CE3849" w:rsidP="00242401">
            <w:pPr>
              <w:jc w:val="center"/>
            </w:pPr>
            <w:r w:rsidRPr="00CC0447">
              <w:t>025</w:t>
            </w:r>
          </w:p>
        </w:tc>
        <w:tc>
          <w:tcPr>
            <w:tcW w:w="960" w:type="dxa"/>
            <w:shd w:val="clear" w:color="auto" w:fill="auto"/>
            <w:vAlign w:val="center"/>
          </w:tcPr>
          <w:p w14:paraId="071ECB68" w14:textId="77777777" w:rsidR="00CE3849" w:rsidRPr="00CC0447" w:rsidRDefault="00CE3849" w:rsidP="00242401">
            <w:pPr>
              <w:jc w:val="center"/>
            </w:pPr>
            <w:r w:rsidRPr="00CC0447">
              <w:t>31----</w:t>
            </w:r>
          </w:p>
        </w:tc>
        <w:tc>
          <w:tcPr>
            <w:tcW w:w="960" w:type="dxa"/>
            <w:shd w:val="clear" w:color="auto" w:fill="auto"/>
            <w:vAlign w:val="center"/>
          </w:tcPr>
          <w:p w14:paraId="436E1BE3" w14:textId="77777777" w:rsidR="00CE3849" w:rsidRPr="00CC0447" w:rsidRDefault="00CE3849" w:rsidP="00242401">
            <w:pPr>
              <w:jc w:val="center"/>
            </w:pPr>
          </w:p>
        </w:tc>
        <w:tc>
          <w:tcPr>
            <w:tcW w:w="960" w:type="dxa"/>
            <w:shd w:val="clear" w:color="auto" w:fill="auto"/>
            <w:vAlign w:val="center"/>
          </w:tcPr>
          <w:p w14:paraId="7230BBC3" w14:textId="77777777" w:rsidR="00CE3849" w:rsidRPr="00CC0447" w:rsidRDefault="00CE3849" w:rsidP="00242401">
            <w:pPr>
              <w:jc w:val="right"/>
            </w:pPr>
            <w:r w:rsidRPr="00CC0447">
              <w:t>4,322</w:t>
            </w:r>
          </w:p>
        </w:tc>
      </w:tr>
      <w:tr w:rsidR="00CE3849" w:rsidRPr="00CC0447" w14:paraId="41A117DF" w14:textId="77777777" w:rsidTr="00242401">
        <w:trPr>
          <w:cantSplit/>
          <w:jc w:val="center"/>
        </w:trPr>
        <w:tc>
          <w:tcPr>
            <w:tcW w:w="960" w:type="dxa"/>
            <w:shd w:val="clear" w:color="auto" w:fill="auto"/>
            <w:vAlign w:val="center"/>
          </w:tcPr>
          <w:p w14:paraId="64470A16" w14:textId="77777777" w:rsidR="00CE3849" w:rsidRPr="00CC0447" w:rsidRDefault="00CE3849" w:rsidP="00242401">
            <w:pPr>
              <w:jc w:val="center"/>
            </w:pPr>
            <w:r w:rsidRPr="00CC0447">
              <w:t>23</w:t>
            </w:r>
          </w:p>
        </w:tc>
        <w:tc>
          <w:tcPr>
            <w:tcW w:w="960" w:type="dxa"/>
            <w:shd w:val="clear" w:color="auto" w:fill="auto"/>
            <w:vAlign w:val="center"/>
          </w:tcPr>
          <w:p w14:paraId="145AE522" w14:textId="77777777" w:rsidR="00CE3849" w:rsidRPr="00CC0447" w:rsidRDefault="00CE3849" w:rsidP="00242401">
            <w:pPr>
              <w:jc w:val="center"/>
            </w:pPr>
            <w:r w:rsidRPr="00CC0447">
              <w:t>027</w:t>
            </w:r>
          </w:p>
        </w:tc>
        <w:tc>
          <w:tcPr>
            <w:tcW w:w="960" w:type="dxa"/>
            <w:shd w:val="clear" w:color="auto" w:fill="auto"/>
            <w:vAlign w:val="center"/>
          </w:tcPr>
          <w:p w14:paraId="7E14F57B" w14:textId="77777777" w:rsidR="00CE3849" w:rsidRPr="00CC0447" w:rsidRDefault="00CE3849" w:rsidP="00242401">
            <w:pPr>
              <w:jc w:val="center"/>
            </w:pPr>
            <w:r w:rsidRPr="00CC0447">
              <w:t>31----</w:t>
            </w:r>
          </w:p>
        </w:tc>
        <w:tc>
          <w:tcPr>
            <w:tcW w:w="960" w:type="dxa"/>
            <w:shd w:val="clear" w:color="auto" w:fill="auto"/>
            <w:vAlign w:val="center"/>
          </w:tcPr>
          <w:p w14:paraId="051A6F5E" w14:textId="77777777" w:rsidR="00CE3849" w:rsidRPr="00CC0447" w:rsidRDefault="00CE3849" w:rsidP="00242401">
            <w:pPr>
              <w:jc w:val="center"/>
            </w:pPr>
          </w:p>
        </w:tc>
        <w:tc>
          <w:tcPr>
            <w:tcW w:w="960" w:type="dxa"/>
            <w:shd w:val="clear" w:color="auto" w:fill="auto"/>
            <w:vAlign w:val="center"/>
          </w:tcPr>
          <w:p w14:paraId="622F0A0A" w14:textId="77777777" w:rsidR="00CE3849" w:rsidRPr="00CC0447" w:rsidRDefault="00CE3849" w:rsidP="00242401">
            <w:pPr>
              <w:jc w:val="right"/>
            </w:pPr>
            <w:r w:rsidRPr="00CC0447">
              <w:t>1,434</w:t>
            </w:r>
          </w:p>
        </w:tc>
      </w:tr>
      <w:tr w:rsidR="00CE3849" w:rsidRPr="00CC0447" w14:paraId="18B9CB7F" w14:textId="77777777" w:rsidTr="00242401">
        <w:trPr>
          <w:cantSplit/>
          <w:jc w:val="center"/>
        </w:trPr>
        <w:tc>
          <w:tcPr>
            <w:tcW w:w="960" w:type="dxa"/>
            <w:shd w:val="clear" w:color="auto" w:fill="auto"/>
            <w:vAlign w:val="center"/>
          </w:tcPr>
          <w:p w14:paraId="5C1D919D" w14:textId="77777777" w:rsidR="00CE3849" w:rsidRPr="00CC0447" w:rsidRDefault="00CE3849" w:rsidP="00242401">
            <w:pPr>
              <w:jc w:val="center"/>
            </w:pPr>
            <w:r w:rsidRPr="00CC0447">
              <w:t>23</w:t>
            </w:r>
          </w:p>
        </w:tc>
        <w:tc>
          <w:tcPr>
            <w:tcW w:w="960" w:type="dxa"/>
            <w:shd w:val="clear" w:color="auto" w:fill="auto"/>
            <w:vAlign w:val="center"/>
          </w:tcPr>
          <w:p w14:paraId="75681870" w14:textId="77777777" w:rsidR="00CE3849" w:rsidRPr="00CC0447" w:rsidRDefault="00CE3849" w:rsidP="00242401">
            <w:pPr>
              <w:jc w:val="center"/>
            </w:pPr>
            <w:r w:rsidRPr="00CC0447">
              <w:t>029</w:t>
            </w:r>
          </w:p>
        </w:tc>
        <w:tc>
          <w:tcPr>
            <w:tcW w:w="960" w:type="dxa"/>
            <w:shd w:val="clear" w:color="auto" w:fill="auto"/>
            <w:vAlign w:val="center"/>
          </w:tcPr>
          <w:p w14:paraId="357E69D0" w14:textId="77777777" w:rsidR="00CE3849" w:rsidRPr="00CC0447" w:rsidRDefault="00CE3849" w:rsidP="00242401">
            <w:pPr>
              <w:jc w:val="center"/>
            </w:pPr>
            <w:r w:rsidRPr="00CC0447">
              <w:t>31----</w:t>
            </w:r>
          </w:p>
        </w:tc>
        <w:tc>
          <w:tcPr>
            <w:tcW w:w="960" w:type="dxa"/>
            <w:shd w:val="clear" w:color="auto" w:fill="auto"/>
            <w:vAlign w:val="center"/>
          </w:tcPr>
          <w:p w14:paraId="4DAE2468" w14:textId="77777777" w:rsidR="00CE3849" w:rsidRPr="00CC0447" w:rsidRDefault="00CE3849" w:rsidP="00242401">
            <w:pPr>
              <w:jc w:val="center"/>
            </w:pPr>
          </w:p>
        </w:tc>
        <w:tc>
          <w:tcPr>
            <w:tcW w:w="960" w:type="dxa"/>
            <w:shd w:val="clear" w:color="auto" w:fill="auto"/>
            <w:vAlign w:val="center"/>
          </w:tcPr>
          <w:p w14:paraId="2CB78D70" w14:textId="77777777" w:rsidR="00CE3849" w:rsidRPr="00CC0447" w:rsidRDefault="00CE3849" w:rsidP="00242401">
            <w:pPr>
              <w:jc w:val="right"/>
            </w:pPr>
            <w:r w:rsidRPr="00CC0447">
              <w:t>1,014</w:t>
            </w:r>
          </w:p>
        </w:tc>
      </w:tr>
      <w:tr w:rsidR="00CE3849" w:rsidRPr="00CC0447" w14:paraId="56218760" w14:textId="77777777" w:rsidTr="00242401">
        <w:trPr>
          <w:cantSplit/>
          <w:jc w:val="center"/>
        </w:trPr>
        <w:tc>
          <w:tcPr>
            <w:tcW w:w="960" w:type="dxa"/>
            <w:shd w:val="clear" w:color="auto" w:fill="auto"/>
            <w:vAlign w:val="center"/>
          </w:tcPr>
          <w:p w14:paraId="2AC07764" w14:textId="77777777" w:rsidR="00CE3849" w:rsidRPr="00CC0447" w:rsidRDefault="00CE3849" w:rsidP="00242401">
            <w:pPr>
              <w:jc w:val="center"/>
            </w:pPr>
            <w:r w:rsidRPr="00CC0447">
              <w:t>23</w:t>
            </w:r>
          </w:p>
        </w:tc>
        <w:tc>
          <w:tcPr>
            <w:tcW w:w="960" w:type="dxa"/>
            <w:shd w:val="clear" w:color="auto" w:fill="auto"/>
            <w:vAlign w:val="center"/>
          </w:tcPr>
          <w:p w14:paraId="34B11045" w14:textId="77777777" w:rsidR="00CE3849" w:rsidRPr="00CC0447" w:rsidRDefault="00CE3849" w:rsidP="00242401">
            <w:pPr>
              <w:jc w:val="center"/>
            </w:pPr>
            <w:r w:rsidRPr="00CC0447">
              <w:t>031</w:t>
            </w:r>
          </w:p>
        </w:tc>
        <w:tc>
          <w:tcPr>
            <w:tcW w:w="960" w:type="dxa"/>
            <w:shd w:val="clear" w:color="auto" w:fill="auto"/>
            <w:vAlign w:val="center"/>
          </w:tcPr>
          <w:p w14:paraId="07C9F1D9" w14:textId="77777777" w:rsidR="00CE3849" w:rsidRPr="00CC0447" w:rsidRDefault="00CE3849" w:rsidP="00242401">
            <w:pPr>
              <w:jc w:val="center"/>
            </w:pPr>
            <w:r w:rsidRPr="00CC0447">
              <w:t>31----</w:t>
            </w:r>
          </w:p>
        </w:tc>
        <w:tc>
          <w:tcPr>
            <w:tcW w:w="960" w:type="dxa"/>
            <w:shd w:val="clear" w:color="auto" w:fill="auto"/>
            <w:vAlign w:val="center"/>
          </w:tcPr>
          <w:p w14:paraId="694FCFF2" w14:textId="77777777" w:rsidR="00CE3849" w:rsidRPr="00CC0447" w:rsidRDefault="00CE3849" w:rsidP="00242401">
            <w:pPr>
              <w:jc w:val="center"/>
            </w:pPr>
          </w:p>
        </w:tc>
        <w:tc>
          <w:tcPr>
            <w:tcW w:w="960" w:type="dxa"/>
            <w:shd w:val="clear" w:color="auto" w:fill="auto"/>
            <w:vAlign w:val="center"/>
          </w:tcPr>
          <w:p w14:paraId="35E96702" w14:textId="77777777" w:rsidR="00CE3849" w:rsidRPr="00CC0447" w:rsidRDefault="00CE3849" w:rsidP="00242401">
            <w:pPr>
              <w:jc w:val="right"/>
            </w:pPr>
            <w:r w:rsidRPr="00CC0447">
              <w:t>9,749</w:t>
            </w:r>
          </w:p>
        </w:tc>
      </w:tr>
    </w:tbl>
    <w:p w14:paraId="733CD5B4" w14:textId="77777777" w:rsidR="00CE3849" w:rsidRPr="00CC0447" w:rsidRDefault="00CE3849" w:rsidP="00CE3849">
      <w:pPr>
        <w:widowControl/>
        <w:autoSpaceDE/>
        <w:autoSpaceDN/>
        <w:adjustRightInd/>
        <w:ind w:left="720"/>
      </w:pPr>
    </w:p>
    <w:p w14:paraId="4BCAE48E" w14:textId="77777777" w:rsidR="00CE3849" w:rsidRPr="00CC0447" w:rsidRDefault="00CE3849" w:rsidP="00CE3849">
      <w:pPr>
        <w:widowControl/>
        <w:numPr>
          <w:ilvl w:val="0"/>
          <w:numId w:val="2"/>
        </w:numPr>
        <w:autoSpaceDE/>
        <w:autoSpaceDN/>
        <w:adjustRightInd/>
      </w:pPr>
      <w:r w:rsidRPr="00CC0447">
        <w:t>The total of employees not including counties 015 and 023 is 52801.</w:t>
      </w:r>
    </w:p>
    <w:p w14:paraId="41AEE64A" w14:textId="77777777" w:rsidR="00CE3849" w:rsidRPr="00CC0447" w:rsidRDefault="00CE3849" w:rsidP="00CE3849">
      <w:pPr>
        <w:widowControl/>
        <w:numPr>
          <w:ilvl w:val="0"/>
          <w:numId w:val="2"/>
        </w:numPr>
        <w:autoSpaceDE/>
        <w:autoSpaceDN/>
        <w:adjustRightInd/>
      </w:pPr>
      <w:r w:rsidRPr="00CC0447">
        <w:t xml:space="preserve">The state-level </w:t>
      </w:r>
      <w:r w:rsidRPr="00CC0447">
        <w:rPr>
          <w:i/>
          <w:iCs/>
        </w:rPr>
        <w:t>CBP</w:t>
      </w:r>
      <w:r w:rsidRPr="00CC0447">
        <w:t xml:space="preserve"> reports 59,322 employees for NAICS 31----.  The difference is 6,521.</w:t>
      </w:r>
    </w:p>
    <w:p w14:paraId="6DC58264" w14:textId="77777777" w:rsidR="00CE3849" w:rsidRPr="00CC0447" w:rsidRDefault="00CE3849" w:rsidP="00CE3849">
      <w:pPr>
        <w:widowControl/>
        <w:numPr>
          <w:ilvl w:val="0"/>
          <w:numId w:val="2"/>
        </w:numPr>
        <w:autoSpaceDE/>
        <w:autoSpaceDN/>
        <w:adjustRightInd/>
      </w:pPr>
      <w:r w:rsidRPr="00CC0447">
        <w:lastRenderedPageBreak/>
        <w:t>County 015 is given a midpoint of 1,750 (since range code F is 1000-2499) and County 023 is given a midpoint of 17,500.</w:t>
      </w:r>
    </w:p>
    <w:p w14:paraId="4D282A8B" w14:textId="77777777" w:rsidR="00CE3849" w:rsidRPr="00CC0447" w:rsidRDefault="00CE3849" w:rsidP="00CE3849">
      <w:pPr>
        <w:widowControl/>
        <w:numPr>
          <w:ilvl w:val="0"/>
          <w:numId w:val="2"/>
        </w:numPr>
        <w:autoSpaceDE/>
        <w:autoSpaceDN/>
        <w:adjustRightInd/>
      </w:pPr>
      <w:r w:rsidRPr="00CC0447">
        <w:t xml:space="preserve">State total for these two counties is 19,250. </w:t>
      </w:r>
    </w:p>
    <w:p w14:paraId="18F4E5D9" w14:textId="77777777" w:rsidR="00CE3849" w:rsidRPr="00CC0447" w:rsidRDefault="00CE3849" w:rsidP="00CE3849">
      <w:pPr>
        <w:widowControl/>
        <w:numPr>
          <w:ilvl w:val="0"/>
          <w:numId w:val="2"/>
        </w:numPr>
        <w:autoSpaceDE/>
        <w:autoSpaceDN/>
        <w:adjustRightInd/>
      </w:pPr>
      <w:r w:rsidRPr="00CC0447">
        <w:t>6,521/19,250 = 0.33875.</w:t>
      </w:r>
    </w:p>
    <w:p w14:paraId="06227706" w14:textId="77777777" w:rsidR="00CE3849" w:rsidRPr="00CC0447" w:rsidRDefault="00CE3849" w:rsidP="00CE3849">
      <w:pPr>
        <w:widowControl/>
        <w:numPr>
          <w:ilvl w:val="0"/>
          <w:numId w:val="2"/>
        </w:numPr>
        <w:autoSpaceDE/>
        <w:autoSpaceDN/>
        <w:adjustRightInd/>
      </w:pPr>
      <w:r w:rsidRPr="00CC0447">
        <w:t>The adjusted employment for county 015 is 1,750*0.33875 = 593. County 023 has an adjusted employment of 17,500*0.33875 = 5,928.</w:t>
      </w:r>
    </w:p>
    <w:p w14:paraId="5CAD2338" w14:textId="77777777" w:rsidR="00CE3849" w:rsidRPr="00CC0447" w:rsidRDefault="00CE3849" w:rsidP="009820A2">
      <w:pPr>
        <w:widowControl/>
        <w:tabs>
          <w:tab w:val="left" w:pos="0"/>
        </w:tabs>
        <w:spacing w:line="226" w:lineRule="auto"/>
      </w:pPr>
    </w:p>
    <w:p w14:paraId="5F2A7B8E" w14:textId="18303BE6" w:rsidR="00CE3849" w:rsidRPr="00CC0447" w:rsidRDefault="00AA311D" w:rsidP="00CE3849">
      <w:r w:rsidRPr="00CC0447">
        <w:t>S</w:t>
      </w:r>
      <w:r w:rsidR="00CE3849" w:rsidRPr="00CC0447">
        <w:t>tate level</w:t>
      </w:r>
      <w:r w:rsidRPr="00CC0447">
        <w:t xml:space="preserve"> data</w:t>
      </w:r>
      <w:r w:rsidR="00CE3849" w:rsidRPr="00CC0447">
        <w:t xml:space="preserve"> </w:t>
      </w:r>
      <w:r w:rsidRPr="00CC0447">
        <w:t xml:space="preserve">in this NAICS code </w:t>
      </w:r>
      <w:r w:rsidR="00CE3849" w:rsidRPr="00CC0447">
        <w:t>are withheld</w:t>
      </w:r>
      <w:r w:rsidRPr="00CC0447">
        <w:t xml:space="preserve"> for multiple states</w:t>
      </w:r>
      <w:r w:rsidR="00CE3849" w:rsidRPr="00CC0447">
        <w:t xml:space="preserve">, </w:t>
      </w:r>
      <w:r w:rsidRPr="00CC0447">
        <w:t>so a similar procedure was</w:t>
      </w:r>
      <w:r w:rsidR="00CE3849" w:rsidRPr="00CC0447">
        <w:t xml:space="preserve"> first performed going from the U.S. level to the state level.  For example,</w:t>
      </w:r>
      <w:r w:rsidRPr="00CC0447">
        <w:t xml:space="preserve"> known state-level employees were</w:t>
      </w:r>
      <w:r w:rsidR="00CE3849" w:rsidRPr="00CC0447">
        <w:t xml:space="preserve"> subtracted from the U.S. total yielding the total withheld employees.  Next the estimated midp</w:t>
      </w:r>
      <w:r w:rsidRPr="00CC0447">
        <w:t>oints of the withheld states were</w:t>
      </w:r>
      <w:r w:rsidR="00CE3849" w:rsidRPr="00CC0447">
        <w:t xml:space="preserve"> added together and compared (by developing a ratio) to the U.S. total withhe</w:t>
      </w:r>
      <w:r w:rsidRPr="00CC0447">
        <w:t>ld employees.  The midpoints were</w:t>
      </w:r>
      <w:r w:rsidR="00CE3849" w:rsidRPr="00CC0447">
        <w:t xml:space="preserve"> then adjusted by the ratio to give an improved estimate of the state total.</w:t>
      </w:r>
    </w:p>
    <w:p w14:paraId="0C24CE67" w14:textId="3E6CCEFE" w:rsidR="009820A2" w:rsidRPr="00CC0447" w:rsidRDefault="009820A2" w:rsidP="009820A2">
      <w:pPr>
        <w:widowControl/>
        <w:tabs>
          <w:tab w:val="left" w:pos="0"/>
        </w:tabs>
        <w:spacing w:line="226" w:lineRule="auto"/>
      </w:pPr>
    </w:p>
    <w:p w14:paraId="7253A3A3" w14:textId="77777777" w:rsidR="00940D14" w:rsidRPr="00CC0447"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DB98C4B" w14:textId="24B89631" w:rsidR="00CD518D" w:rsidRPr="00CC0447" w:rsidRDefault="009820A2" w:rsidP="00CD518D">
      <w:pPr>
        <w:widowControl/>
        <w:tabs>
          <w:tab w:val="left" w:pos="0"/>
        </w:tabs>
        <w:spacing w:line="226" w:lineRule="auto"/>
        <w:rPr>
          <w:b/>
          <w:i/>
        </w:rPr>
      </w:pPr>
      <w:r w:rsidRPr="00CC0447">
        <w:rPr>
          <w:b/>
          <w:i/>
        </w:rPr>
        <w:t>d</w:t>
      </w:r>
      <w:r w:rsidR="00CD518D" w:rsidRPr="00CC0447">
        <w:rPr>
          <w:b/>
          <w:i/>
        </w:rPr>
        <w:t>. Controls</w:t>
      </w:r>
    </w:p>
    <w:p w14:paraId="2247D843" w14:textId="77777777" w:rsidR="00CD518D" w:rsidRPr="00CC0447"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94052F7" w14:textId="4ACCCA39" w:rsidR="00940D14" w:rsidRPr="00CC0447" w:rsidRDefault="0093173C"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There are no controls assumed for this category.</w:t>
      </w:r>
      <w:r w:rsidR="00940D14" w:rsidRPr="00CC0447">
        <w:t xml:space="preserve"> </w:t>
      </w:r>
    </w:p>
    <w:p w14:paraId="73BB9249" w14:textId="77777777" w:rsidR="00CD518D" w:rsidRPr="00CC0447"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7DE80270" w14:textId="711D556B" w:rsidR="00CD518D" w:rsidRPr="00CC0447" w:rsidRDefault="009820A2" w:rsidP="00CD518D">
      <w:pPr>
        <w:widowControl/>
        <w:tabs>
          <w:tab w:val="left" w:pos="0"/>
        </w:tabs>
        <w:spacing w:line="226" w:lineRule="auto"/>
        <w:rPr>
          <w:b/>
          <w:i/>
        </w:rPr>
      </w:pPr>
      <w:r w:rsidRPr="00CC0447">
        <w:rPr>
          <w:b/>
          <w:i/>
        </w:rPr>
        <w:t>e</w:t>
      </w:r>
      <w:r w:rsidR="00CD518D" w:rsidRPr="00CC0447">
        <w:rPr>
          <w:b/>
          <w:i/>
        </w:rPr>
        <w:t>. Emission Factors</w:t>
      </w:r>
    </w:p>
    <w:p w14:paraId="48B26FB5" w14:textId="77777777" w:rsidR="00CD518D" w:rsidRPr="00CC0447" w:rsidRDefault="00CD518D" w:rsidP="00CD518D">
      <w:pPr>
        <w:widowControl/>
        <w:tabs>
          <w:tab w:val="left" w:pos="0"/>
        </w:tabs>
        <w:spacing w:line="226" w:lineRule="auto"/>
      </w:pPr>
    </w:p>
    <w:p w14:paraId="6FC762CB" w14:textId="0417D5C8" w:rsidR="003617F7" w:rsidRPr="00CC0447" w:rsidRDefault="00CD518D" w:rsidP="003617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vertAlign w:val="superscript"/>
        </w:rPr>
      </w:pPr>
      <w:r w:rsidRPr="00CC0447">
        <w:t>Emission</w:t>
      </w:r>
      <w:r w:rsidR="003617F7" w:rsidRPr="00CC0447">
        <w:t xml:space="preserve"> factors are reported in Table 3 below. Emission factors </w:t>
      </w:r>
      <w:r w:rsidR="00B140E1" w:rsidRPr="00CC0447">
        <w:t>for VOCs and ammonia (NH</w:t>
      </w:r>
      <w:r w:rsidR="00B140E1" w:rsidRPr="00CC0447">
        <w:rPr>
          <w:vertAlign w:val="subscript"/>
        </w:rPr>
        <w:t>3</w:t>
      </w:r>
      <w:r w:rsidR="003617F7" w:rsidRPr="00CC0447">
        <w:t>)</w:t>
      </w:r>
      <w:r w:rsidR="00B140E1" w:rsidRPr="00CC0447">
        <w:t xml:space="preserve"> are taken from the South Coast Air Quality Management District’s </w:t>
      </w:r>
      <w:r w:rsidR="00A65192" w:rsidRPr="00CC0447">
        <w:t>Draft Staff Report on the Proposed Amended Rule 1133.1 and Proposed Rule 1133.3; Rule 1133.3 concerns emission reductions from greenwaste composting operations.</w:t>
      </w:r>
      <w:r w:rsidR="003617F7" w:rsidRPr="00CC0447">
        <w:rPr>
          <w:vertAlign w:val="superscript"/>
        </w:rPr>
        <w:t>6</w:t>
      </w:r>
      <w:r w:rsidR="003617F7" w:rsidRPr="00CC0447">
        <w:t xml:space="preserve"> The emissions </w:t>
      </w:r>
      <w:r w:rsidR="00967CD7" w:rsidRPr="00CC0447">
        <w:t>factors for</w:t>
      </w:r>
      <w:r w:rsidR="003617F7" w:rsidRPr="00CC0447">
        <w:t xml:space="preserve"> the HAPs (acetaldehyde, methanol, and naphthalene) are taken from Kumar et al.</w:t>
      </w:r>
      <w:r w:rsidR="003617F7" w:rsidRPr="00CC0447">
        <w:rPr>
          <w:vertAlign w:val="superscript"/>
        </w:rPr>
        <w:t>7</w:t>
      </w:r>
    </w:p>
    <w:p w14:paraId="0A54A1C1" w14:textId="324FAFA0" w:rsidR="00CD518D" w:rsidRPr="00CC0447"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vertAlign w:val="superscript"/>
        </w:rPr>
      </w:pPr>
    </w:p>
    <w:p w14:paraId="57E03EAC" w14:textId="77777777" w:rsidR="00CE3849" w:rsidRPr="00CC0447" w:rsidRDefault="00CE3849" w:rsidP="00CE38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50D12127" w14:textId="77659517" w:rsidR="00CE3849" w:rsidRPr="00CC0447" w:rsidRDefault="00CE3849" w:rsidP="00CE3849">
      <w:pPr>
        <w:widowControl/>
        <w:tabs>
          <w:tab w:val="center" w:pos="4680"/>
          <w:tab w:val="left" w:pos="5040"/>
          <w:tab w:val="left" w:pos="5760"/>
          <w:tab w:val="left" w:pos="6480"/>
          <w:tab w:val="left" w:pos="7200"/>
          <w:tab w:val="left" w:pos="7920"/>
          <w:tab w:val="left" w:pos="8640"/>
        </w:tabs>
        <w:spacing w:line="226" w:lineRule="auto"/>
        <w:jc w:val="center"/>
      </w:pPr>
      <w:r w:rsidRPr="00CC0447">
        <w:rPr>
          <w:b/>
          <w:bCs/>
        </w:rPr>
        <w:t xml:space="preserve">Table </w:t>
      </w:r>
      <w:r w:rsidR="003617F7" w:rsidRPr="00CC0447">
        <w:rPr>
          <w:b/>
          <w:bCs/>
        </w:rPr>
        <w:t>3</w:t>
      </w:r>
      <w:r w:rsidRPr="00CC0447">
        <w:rPr>
          <w:b/>
          <w:bCs/>
        </w:rPr>
        <w:t>.  Emission Factors for Composting of Greenwaste (2680003000)</w:t>
      </w:r>
    </w:p>
    <w:p w14:paraId="01F1B8C0" w14:textId="77777777" w:rsidR="00CE3849" w:rsidRPr="00CC0447" w:rsidRDefault="00CE3849" w:rsidP="00CE38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tbl>
      <w:tblPr>
        <w:tblW w:w="9460" w:type="dxa"/>
        <w:jc w:val="center"/>
        <w:tblLayout w:type="fixed"/>
        <w:tblCellMar>
          <w:left w:w="30" w:type="dxa"/>
          <w:right w:w="30" w:type="dxa"/>
        </w:tblCellMar>
        <w:tblLook w:val="0000" w:firstRow="0" w:lastRow="0" w:firstColumn="0" w:lastColumn="0" w:noHBand="0" w:noVBand="0"/>
        <w:tblCaption w:val="Table 3.  Emission Factors for Composting of Greenwaste (2680003000)"/>
        <w:tblDescription w:val="Pollutant; Pollutant Code; Emission Factor; Emissions Factor Units; Emission Factor Reference"/>
      </w:tblPr>
      <w:tblGrid>
        <w:gridCol w:w="3211"/>
        <w:gridCol w:w="2109"/>
        <w:gridCol w:w="1380"/>
        <w:gridCol w:w="1380"/>
        <w:gridCol w:w="1380"/>
      </w:tblGrid>
      <w:tr w:rsidR="003617F7" w:rsidRPr="00CC0447" w14:paraId="54F28AD9" w14:textId="77777777" w:rsidTr="003617F7">
        <w:trPr>
          <w:trHeight w:val="432"/>
          <w:jc w:val="center"/>
        </w:trPr>
        <w:tc>
          <w:tcPr>
            <w:tcW w:w="3211" w:type="dxa"/>
            <w:tcBorders>
              <w:top w:val="single" w:sz="8" w:space="0" w:color="000000"/>
              <w:left w:val="single" w:sz="8" w:space="0" w:color="000000"/>
              <w:bottom w:val="single" w:sz="8" w:space="0" w:color="000000"/>
              <w:right w:val="single" w:sz="6" w:space="0" w:color="FFFFFF"/>
            </w:tcBorders>
            <w:shd w:val="clear" w:color="auto" w:fill="D9D9D9"/>
            <w:vAlign w:val="center"/>
          </w:tcPr>
          <w:p w14:paraId="31496096" w14:textId="77777777" w:rsidR="003617F7" w:rsidRPr="00CC0447" w:rsidRDefault="003617F7" w:rsidP="00242401">
            <w:pPr>
              <w:spacing w:line="57" w:lineRule="exact"/>
            </w:pPr>
          </w:p>
          <w:p w14:paraId="670B353B"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CC0447">
              <w:rPr>
                <w:b/>
                <w:bCs/>
              </w:rPr>
              <w:t>Pollutant</w:t>
            </w:r>
          </w:p>
        </w:tc>
        <w:tc>
          <w:tcPr>
            <w:tcW w:w="2109" w:type="dxa"/>
            <w:tcBorders>
              <w:top w:val="single" w:sz="8" w:space="0" w:color="000000"/>
              <w:left w:val="single" w:sz="6" w:space="0" w:color="000000"/>
              <w:bottom w:val="single" w:sz="8" w:space="0" w:color="000000"/>
              <w:right w:val="single" w:sz="6" w:space="0" w:color="FFFFFF"/>
            </w:tcBorders>
            <w:shd w:val="clear" w:color="auto" w:fill="D9D9D9"/>
            <w:vAlign w:val="center"/>
          </w:tcPr>
          <w:p w14:paraId="34060801"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CC0447">
              <w:rPr>
                <w:b/>
                <w:bCs/>
              </w:rPr>
              <w:t>Pollutant Code</w:t>
            </w:r>
          </w:p>
        </w:tc>
        <w:tc>
          <w:tcPr>
            <w:tcW w:w="1380" w:type="dxa"/>
            <w:tcBorders>
              <w:top w:val="single" w:sz="8" w:space="0" w:color="000000"/>
              <w:left w:val="single" w:sz="6" w:space="0" w:color="000000"/>
              <w:bottom w:val="single" w:sz="8" w:space="0" w:color="000000"/>
              <w:right w:val="single" w:sz="6" w:space="0" w:color="000000"/>
            </w:tcBorders>
            <w:shd w:val="clear" w:color="auto" w:fill="D9D9D9"/>
            <w:vAlign w:val="center"/>
          </w:tcPr>
          <w:p w14:paraId="666DD398" w14:textId="77777777" w:rsidR="003617F7" w:rsidRPr="00CC0447" w:rsidRDefault="003617F7" w:rsidP="00242401">
            <w:pPr>
              <w:spacing w:line="57" w:lineRule="exact"/>
              <w:rPr>
                <w:b/>
                <w:bCs/>
              </w:rPr>
            </w:pPr>
          </w:p>
          <w:p w14:paraId="33B681C5" w14:textId="0B4A1D93" w:rsidR="003617F7" w:rsidRPr="00CC0447" w:rsidRDefault="003617F7" w:rsidP="003617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CC0447">
              <w:rPr>
                <w:b/>
                <w:bCs/>
              </w:rPr>
              <w:t>Emission Factor</w:t>
            </w:r>
          </w:p>
        </w:tc>
        <w:tc>
          <w:tcPr>
            <w:tcW w:w="1380" w:type="dxa"/>
            <w:tcBorders>
              <w:top w:val="single" w:sz="8" w:space="0" w:color="000000"/>
              <w:left w:val="single" w:sz="6" w:space="0" w:color="000000"/>
              <w:bottom w:val="single" w:sz="8" w:space="0" w:color="000000"/>
              <w:right w:val="single" w:sz="6" w:space="0" w:color="000000"/>
            </w:tcBorders>
            <w:shd w:val="clear" w:color="auto" w:fill="D9D9D9"/>
            <w:vAlign w:val="center"/>
          </w:tcPr>
          <w:p w14:paraId="541213AD" w14:textId="559D44EF" w:rsidR="003617F7" w:rsidRPr="00CC0447" w:rsidRDefault="003617F7" w:rsidP="003617F7">
            <w:pPr>
              <w:jc w:val="center"/>
              <w:rPr>
                <w:b/>
              </w:rPr>
            </w:pPr>
            <w:r w:rsidRPr="00CC0447">
              <w:rPr>
                <w:b/>
              </w:rPr>
              <w:t>Emissions Factor Units</w:t>
            </w:r>
          </w:p>
        </w:tc>
        <w:tc>
          <w:tcPr>
            <w:tcW w:w="1380" w:type="dxa"/>
            <w:tcBorders>
              <w:top w:val="single" w:sz="8" w:space="0" w:color="000000"/>
              <w:left w:val="single" w:sz="6" w:space="0" w:color="000000"/>
              <w:bottom w:val="single" w:sz="8" w:space="0" w:color="000000"/>
              <w:right w:val="single" w:sz="8" w:space="0" w:color="000000"/>
            </w:tcBorders>
            <w:shd w:val="clear" w:color="auto" w:fill="D9D9D9"/>
            <w:vAlign w:val="center"/>
          </w:tcPr>
          <w:p w14:paraId="7B9D3CDA" w14:textId="5C76C936" w:rsidR="003617F7" w:rsidRPr="00CC0447" w:rsidRDefault="003617F7" w:rsidP="00242401">
            <w:pPr>
              <w:spacing w:line="57" w:lineRule="exact"/>
              <w:rPr>
                <w:b/>
                <w:bCs/>
              </w:rPr>
            </w:pPr>
          </w:p>
          <w:p w14:paraId="5A3472AD"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rPr>
            </w:pPr>
            <w:r w:rsidRPr="00CC0447">
              <w:rPr>
                <w:b/>
                <w:bCs/>
              </w:rPr>
              <w:t xml:space="preserve">Emission Factor </w:t>
            </w:r>
          </w:p>
          <w:p w14:paraId="29203DE0"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rPr>
            </w:pPr>
            <w:r w:rsidRPr="00CC0447">
              <w:rPr>
                <w:b/>
                <w:bCs/>
              </w:rPr>
              <w:t>Reference</w:t>
            </w:r>
          </w:p>
        </w:tc>
      </w:tr>
      <w:tr w:rsidR="003617F7" w:rsidRPr="00CC0447" w14:paraId="013DC47E" w14:textId="77777777" w:rsidTr="003617F7">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14:paraId="77C583D1"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VOC</w:t>
            </w:r>
          </w:p>
        </w:tc>
        <w:tc>
          <w:tcPr>
            <w:tcW w:w="2109" w:type="dxa"/>
            <w:tcBorders>
              <w:top w:val="single" w:sz="6" w:space="0" w:color="000000"/>
              <w:left w:val="single" w:sz="6" w:space="0" w:color="000000"/>
              <w:bottom w:val="single" w:sz="6" w:space="0" w:color="FFFFFF"/>
              <w:right w:val="single" w:sz="6" w:space="0" w:color="FFFFFF"/>
            </w:tcBorders>
            <w:vAlign w:val="bottom"/>
          </w:tcPr>
          <w:p w14:paraId="6F5ED2B9" w14:textId="77777777" w:rsidR="003617F7" w:rsidRPr="00CC0447" w:rsidRDefault="003617F7" w:rsidP="00242401">
            <w:r w:rsidRPr="00CC0447">
              <w:t>VOC</w:t>
            </w:r>
          </w:p>
        </w:tc>
        <w:tc>
          <w:tcPr>
            <w:tcW w:w="1380" w:type="dxa"/>
            <w:tcBorders>
              <w:top w:val="single" w:sz="6" w:space="0" w:color="000000"/>
              <w:left w:val="single" w:sz="6" w:space="0" w:color="000000"/>
              <w:bottom w:val="single" w:sz="6" w:space="0" w:color="FFFFFF"/>
              <w:right w:val="single" w:sz="6" w:space="0" w:color="000000"/>
            </w:tcBorders>
            <w:vAlign w:val="center"/>
          </w:tcPr>
          <w:p w14:paraId="23C6EF55"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CC0447">
              <w:t>4.67</w:t>
            </w:r>
          </w:p>
        </w:tc>
        <w:tc>
          <w:tcPr>
            <w:tcW w:w="1380" w:type="dxa"/>
            <w:tcBorders>
              <w:top w:val="single" w:sz="6" w:space="0" w:color="000000"/>
              <w:left w:val="single" w:sz="6" w:space="0" w:color="000000"/>
              <w:bottom w:val="single" w:sz="6" w:space="0" w:color="FFFFFF"/>
              <w:right w:val="single" w:sz="6" w:space="0" w:color="000000"/>
            </w:tcBorders>
          </w:tcPr>
          <w:p w14:paraId="4473C119" w14:textId="1500B349" w:rsidR="003617F7" w:rsidRPr="00CC0447" w:rsidRDefault="003617F7" w:rsidP="00242401">
            <w:r w:rsidRPr="00CC0447">
              <w:t>lbs./ton</w:t>
            </w:r>
          </w:p>
        </w:tc>
        <w:tc>
          <w:tcPr>
            <w:tcW w:w="1380" w:type="dxa"/>
            <w:tcBorders>
              <w:top w:val="single" w:sz="6" w:space="0" w:color="000000"/>
              <w:left w:val="single" w:sz="6" w:space="0" w:color="000000"/>
              <w:bottom w:val="single" w:sz="6" w:space="0" w:color="FFFFFF"/>
              <w:right w:val="single" w:sz="7" w:space="0" w:color="000000"/>
            </w:tcBorders>
          </w:tcPr>
          <w:p w14:paraId="21D8478E" w14:textId="5489C5BD" w:rsidR="003617F7" w:rsidRPr="00CC0447" w:rsidRDefault="003617F7" w:rsidP="00242401">
            <w:r w:rsidRPr="00CC0447">
              <w:t>Reference 6</w:t>
            </w:r>
          </w:p>
        </w:tc>
      </w:tr>
      <w:tr w:rsidR="003617F7" w:rsidRPr="00CC0447" w14:paraId="0791DE0F" w14:textId="77777777" w:rsidTr="003617F7">
        <w:trPr>
          <w:jc w:val="center"/>
        </w:trPr>
        <w:tc>
          <w:tcPr>
            <w:tcW w:w="3211" w:type="dxa"/>
            <w:tcBorders>
              <w:top w:val="single" w:sz="6" w:space="0" w:color="000000"/>
              <w:left w:val="single" w:sz="7" w:space="0" w:color="000000"/>
              <w:bottom w:val="single" w:sz="6" w:space="0" w:color="000000"/>
              <w:right w:val="single" w:sz="6" w:space="0" w:color="FFFFFF"/>
            </w:tcBorders>
            <w:vAlign w:val="center"/>
          </w:tcPr>
          <w:p w14:paraId="39A7C833"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Ammonia</w:t>
            </w:r>
          </w:p>
        </w:tc>
        <w:tc>
          <w:tcPr>
            <w:tcW w:w="2109" w:type="dxa"/>
            <w:tcBorders>
              <w:top w:val="single" w:sz="6" w:space="0" w:color="000000"/>
              <w:left w:val="single" w:sz="6" w:space="0" w:color="000000"/>
              <w:bottom w:val="single" w:sz="6" w:space="0" w:color="000000"/>
              <w:right w:val="single" w:sz="6" w:space="0" w:color="FFFFFF"/>
            </w:tcBorders>
            <w:vAlign w:val="bottom"/>
          </w:tcPr>
          <w:p w14:paraId="74B82FBB" w14:textId="77777777" w:rsidR="003617F7" w:rsidRPr="00CC0447" w:rsidRDefault="003617F7" w:rsidP="00242401">
            <w:r w:rsidRPr="00CC0447">
              <w:t>NH3</w:t>
            </w:r>
          </w:p>
        </w:tc>
        <w:tc>
          <w:tcPr>
            <w:tcW w:w="1380" w:type="dxa"/>
            <w:tcBorders>
              <w:top w:val="single" w:sz="6" w:space="0" w:color="000000"/>
              <w:left w:val="single" w:sz="6" w:space="0" w:color="000000"/>
              <w:bottom w:val="single" w:sz="6" w:space="0" w:color="000000"/>
              <w:right w:val="single" w:sz="6" w:space="0" w:color="000000"/>
            </w:tcBorders>
            <w:vAlign w:val="center"/>
          </w:tcPr>
          <w:p w14:paraId="590C111E" w14:textId="77777777"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CC0447">
              <w:t>0.66</w:t>
            </w:r>
          </w:p>
        </w:tc>
        <w:tc>
          <w:tcPr>
            <w:tcW w:w="1380" w:type="dxa"/>
            <w:tcBorders>
              <w:top w:val="single" w:sz="6" w:space="0" w:color="000000"/>
              <w:left w:val="single" w:sz="6" w:space="0" w:color="000000"/>
              <w:bottom w:val="single" w:sz="6" w:space="0" w:color="000000"/>
              <w:right w:val="single" w:sz="6" w:space="0" w:color="000000"/>
            </w:tcBorders>
          </w:tcPr>
          <w:p w14:paraId="174FB121" w14:textId="56EAB2A3" w:rsidR="003617F7" w:rsidRPr="00CC0447" w:rsidRDefault="003617F7" w:rsidP="00242401">
            <w:r w:rsidRPr="00CC0447">
              <w:t>lbs./ton</w:t>
            </w:r>
          </w:p>
        </w:tc>
        <w:tc>
          <w:tcPr>
            <w:tcW w:w="1380" w:type="dxa"/>
            <w:tcBorders>
              <w:top w:val="single" w:sz="6" w:space="0" w:color="000000"/>
              <w:left w:val="single" w:sz="6" w:space="0" w:color="000000"/>
              <w:bottom w:val="single" w:sz="6" w:space="0" w:color="000000"/>
              <w:right w:val="single" w:sz="7" w:space="0" w:color="000000"/>
            </w:tcBorders>
          </w:tcPr>
          <w:p w14:paraId="3EF9933A" w14:textId="27C3A2F7" w:rsidR="003617F7" w:rsidRPr="00CC0447" w:rsidRDefault="003617F7" w:rsidP="00242401">
            <w:r w:rsidRPr="00CC0447">
              <w:t>Reference 6</w:t>
            </w:r>
          </w:p>
        </w:tc>
      </w:tr>
      <w:tr w:rsidR="003617F7" w:rsidRPr="00CC0447" w14:paraId="657917DC" w14:textId="77777777" w:rsidTr="003617F7">
        <w:trPr>
          <w:jc w:val="center"/>
        </w:trPr>
        <w:tc>
          <w:tcPr>
            <w:tcW w:w="3211" w:type="dxa"/>
            <w:tcBorders>
              <w:top w:val="single" w:sz="6" w:space="0" w:color="000000"/>
              <w:left w:val="single" w:sz="7" w:space="0" w:color="000000"/>
              <w:bottom w:val="single" w:sz="6" w:space="0" w:color="000000"/>
              <w:right w:val="single" w:sz="6" w:space="0" w:color="FFFFFF"/>
            </w:tcBorders>
            <w:vAlign w:val="center"/>
          </w:tcPr>
          <w:p w14:paraId="41FBB92E" w14:textId="2C39FB72"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Acetaldehyde</w:t>
            </w:r>
          </w:p>
        </w:tc>
        <w:tc>
          <w:tcPr>
            <w:tcW w:w="2109" w:type="dxa"/>
            <w:tcBorders>
              <w:top w:val="single" w:sz="6" w:space="0" w:color="000000"/>
              <w:left w:val="single" w:sz="6" w:space="0" w:color="000000"/>
              <w:bottom w:val="single" w:sz="6" w:space="0" w:color="000000"/>
              <w:right w:val="single" w:sz="6" w:space="0" w:color="FFFFFF"/>
            </w:tcBorders>
          </w:tcPr>
          <w:p w14:paraId="70FBF485" w14:textId="47700A9F" w:rsidR="003617F7" w:rsidRPr="00CC0447" w:rsidRDefault="003617F7" w:rsidP="00242401">
            <w:r w:rsidRPr="00CC0447">
              <w:t>75070</w:t>
            </w:r>
          </w:p>
        </w:tc>
        <w:tc>
          <w:tcPr>
            <w:tcW w:w="1380" w:type="dxa"/>
            <w:tcBorders>
              <w:top w:val="single" w:sz="6" w:space="0" w:color="000000"/>
              <w:left w:val="single" w:sz="6" w:space="0" w:color="000000"/>
              <w:bottom w:val="single" w:sz="6" w:space="0" w:color="000000"/>
              <w:right w:val="single" w:sz="6" w:space="0" w:color="000000"/>
            </w:tcBorders>
            <w:vAlign w:val="center"/>
          </w:tcPr>
          <w:p w14:paraId="0CE09837" w14:textId="54AAF34B"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CC0447">
              <w:t>0.0014</w:t>
            </w:r>
          </w:p>
        </w:tc>
        <w:tc>
          <w:tcPr>
            <w:tcW w:w="1380" w:type="dxa"/>
            <w:tcBorders>
              <w:top w:val="single" w:sz="6" w:space="0" w:color="000000"/>
              <w:left w:val="single" w:sz="6" w:space="0" w:color="000000"/>
              <w:bottom w:val="single" w:sz="6" w:space="0" w:color="000000"/>
              <w:right w:val="single" w:sz="6" w:space="0" w:color="000000"/>
            </w:tcBorders>
          </w:tcPr>
          <w:p w14:paraId="4238E5E9" w14:textId="53A242EF" w:rsidR="003617F7" w:rsidRPr="00CC0447" w:rsidRDefault="003617F7" w:rsidP="00242401">
            <w:r w:rsidRPr="00CC0447">
              <w:t>lbs./lbs. VOC</w:t>
            </w:r>
          </w:p>
        </w:tc>
        <w:tc>
          <w:tcPr>
            <w:tcW w:w="1380" w:type="dxa"/>
            <w:tcBorders>
              <w:top w:val="single" w:sz="6" w:space="0" w:color="000000"/>
              <w:left w:val="single" w:sz="6" w:space="0" w:color="000000"/>
              <w:bottom w:val="single" w:sz="6" w:space="0" w:color="000000"/>
              <w:right w:val="single" w:sz="7" w:space="0" w:color="000000"/>
            </w:tcBorders>
          </w:tcPr>
          <w:p w14:paraId="1F3C403D" w14:textId="674AF8D5" w:rsidR="003617F7" w:rsidRPr="00CC0447" w:rsidRDefault="003617F7" w:rsidP="00242401">
            <w:r w:rsidRPr="00CC0447">
              <w:t>Reference 7</w:t>
            </w:r>
          </w:p>
        </w:tc>
      </w:tr>
      <w:tr w:rsidR="003617F7" w:rsidRPr="00CC0447" w14:paraId="151C0CB2" w14:textId="77777777" w:rsidTr="003617F7">
        <w:trPr>
          <w:jc w:val="center"/>
        </w:trPr>
        <w:tc>
          <w:tcPr>
            <w:tcW w:w="3211" w:type="dxa"/>
            <w:tcBorders>
              <w:top w:val="single" w:sz="6" w:space="0" w:color="000000"/>
              <w:left w:val="single" w:sz="7" w:space="0" w:color="000000"/>
              <w:bottom w:val="single" w:sz="6" w:space="0" w:color="000000"/>
              <w:right w:val="single" w:sz="6" w:space="0" w:color="FFFFFF"/>
            </w:tcBorders>
            <w:vAlign w:val="center"/>
          </w:tcPr>
          <w:p w14:paraId="08CF53A1" w14:textId="3054572B"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Methanol</w:t>
            </w:r>
          </w:p>
        </w:tc>
        <w:tc>
          <w:tcPr>
            <w:tcW w:w="2109" w:type="dxa"/>
            <w:tcBorders>
              <w:top w:val="single" w:sz="6" w:space="0" w:color="000000"/>
              <w:left w:val="single" w:sz="6" w:space="0" w:color="000000"/>
              <w:bottom w:val="single" w:sz="6" w:space="0" w:color="000000"/>
              <w:right w:val="single" w:sz="6" w:space="0" w:color="FFFFFF"/>
            </w:tcBorders>
          </w:tcPr>
          <w:p w14:paraId="14C807A1" w14:textId="2EA0EB8E" w:rsidR="003617F7" w:rsidRPr="00CC0447" w:rsidRDefault="003617F7" w:rsidP="00242401">
            <w:r w:rsidRPr="00CC0447">
              <w:t>67561</w:t>
            </w:r>
          </w:p>
        </w:tc>
        <w:tc>
          <w:tcPr>
            <w:tcW w:w="1380" w:type="dxa"/>
            <w:tcBorders>
              <w:top w:val="single" w:sz="6" w:space="0" w:color="000000"/>
              <w:left w:val="single" w:sz="6" w:space="0" w:color="000000"/>
              <w:bottom w:val="single" w:sz="6" w:space="0" w:color="000000"/>
              <w:right w:val="single" w:sz="6" w:space="0" w:color="000000"/>
            </w:tcBorders>
            <w:vAlign w:val="center"/>
          </w:tcPr>
          <w:p w14:paraId="58D9718C" w14:textId="3D446F52"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CC0447">
              <w:t>0.1279</w:t>
            </w:r>
          </w:p>
        </w:tc>
        <w:tc>
          <w:tcPr>
            <w:tcW w:w="1380" w:type="dxa"/>
            <w:tcBorders>
              <w:top w:val="single" w:sz="6" w:space="0" w:color="000000"/>
              <w:left w:val="single" w:sz="6" w:space="0" w:color="000000"/>
              <w:bottom w:val="single" w:sz="6" w:space="0" w:color="000000"/>
              <w:right w:val="single" w:sz="6" w:space="0" w:color="000000"/>
            </w:tcBorders>
          </w:tcPr>
          <w:p w14:paraId="6C7C9128" w14:textId="7B402F88" w:rsidR="003617F7" w:rsidRPr="00CC0447" w:rsidRDefault="003617F7" w:rsidP="00242401">
            <w:r w:rsidRPr="00CC0447">
              <w:t>lbs./lbs. VOC</w:t>
            </w:r>
          </w:p>
        </w:tc>
        <w:tc>
          <w:tcPr>
            <w:tcW w:w="1380" w:type="dxa"/>
            <w:tcBorders>
              <w:top w:val="single" w:sz="6" w:space="0" w:color="000000"/>
              <w:left w:val="single" w:sz="6" w:space="0" w:color="000000"/>
              <w:bottom w:val="single" w:sz="6" w:space="0" w:color="000000"/>
              <w:right w:val="single" w:sz="7" w:space="0" w:color="000000"/>
            </w:tcBorders>
          </w:tcPr>
          <w:p w14:paraId="28E5DB55" w14:textId="1BD8F004" w:rsidR="003617F7" w:rsidRPr="00CC0447" w:rsidRDefault="003617F7" w:rsidP="00242401">
            <w:r w:rsidRPr="00CC0447">
              <w:t>Reference 7</w:t>
            </w:r>
          </w:p>
        </w:tc>
      </w:tr>
      <w:tr w:rsidR="003617F7" w:rsidRPr="00CC0447" w14:paraId="4679F8E3" w14:textId="77777777" w:rsidTr="003617F7">
        <w:trPr>
          <w:jc w:val="center"/>
        </w:trPr>
        <w:tc>
          <w:tcPr>
            <w:tcW w:w="3211" w:type="dxa"/>
            <w:tcBorders>
              <w:top w:val="single" w:sz="6" w:space="0" w:color="000000"/>
              <w:left w:val="single" w:sz="7" w:space="0" w:color="000000"/>
              <w:bottom w:val="single" w:sz="7" w:space="0" w:color="000000"/>
              <w:right w:val="single" w:sz="6" w:space="0" w:color="FFFFFF"/>
            </w:tcBorders>
            <w:vAlign w:val="center"/>
          </w:tcPr>
          <w:p w14:paraId="68091F7C" w14:textId="6E7985BE"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Naphthalene</w:t>
            </w:r>
          </w:p>
        </w:tc>
        <w:tc>
          <w:tcPr>
            <w:tcW w:w="2109" w:type="dxa"/>
            <w:tcBorders>
              <w:top w:val="single" w:sz="6" w:space="0" w:color="000000"/>
              <w:left w:val="single" w:sz="6" w:space="0" w:color="000000"/>
              <w:bottom w:val="single" w:sz="7" w:space="0" w:color="000000"/>
              <w:right w:val="single" w:sz="6" w:space="0" w:color="FFFFFF"/>
            </w:tcBorders>
          </w:tcPr>
          <w:p w14:paraId="4109D3D4" w14:textId="470CBE16" w:rsidR="003617F7" w:rsidRPr="00CC0447" w:rsidRDefault="003617F7" w:rsidP="00242401">
            <w:r w:rsidRPr="00CC0447">
              <w:t>91203</w:t>
            </w:r>
          </w:p>
        </w:tc>
        <w:tc>
          <w:tcPr>
            <w:tcW w:w="1380" w:type="dxa"/>
            <w:tcBorders>
              <w:top w:val="single" w:sz="6" w:space="0" w:color="000000"/>
              <w:left w:val="single" w:sz="6" w:space="0" w:color="000000"/>
              <w:bottom w:val="single" w:sz="7" w:space="0" w:color="000000"/>
              <w:right w:val="single" w:sz="6" w:space="0" w:color="000000"/>
            </w:tcBorders>
            <w:vAlign w:val="center"/>
          </w:tcPr>
          <w:p w14:paraId="3110488E" w14:textId="056F65EC" w:rsidR="003617F7" w:rsidRPr="00CC0447" w:rsidRDefault="003617F7" w:rsidP="002424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pPr>
            <w:r w:rsidRPr="00CC0447">
              <w:t>0.005</w:t>
            </w:r>
          </w:p>
        </w:tc>
        <w:tc>
          <w:tcPr>
            <w:tcW w:w="1380" w:type="dxa"/>
            <w:tcBorders>
              <w:top w:val="single" w:sz="6" w:space="0" w:color="000000"/>
              <w:left w:val="single" w:sz="6" w:space="0" w:color="000000"/>
              <w:bottom w:val="single" w:sz="7" w:space="0" w:color="000000"/>
              <w:right w:val="single" w:sz="6" w:space="0" w:color="000000"/>
            </w:tcBorders>
          </w:tcPr>
          <w:p w14:paraId="15A40839" w14:textId="686C7AE7" w:rsidR="003617F7" w:rsidRPr="00CC0447" w:rsidRDefault="003617F7" w:rsidP="00242401">
            <w:r w:rsidRPr="00CC0447">
              <w:t>lbs./lbs. VOC</w:t>
            </w:r>
          </w:p>
        </w:tc>
        <w:tc>
          <w:tcPr>
            <w:tcW w:w="1380" w:type="dxa"/>
            <w:tcBorders>
              <w:top w:val="single" w:sz="6" w:space="0" w:color="000000"/>
              <w:left w:val="single" w:sz="6" w:space="0" w:color="000000"/>
              <w:bottom w:val="single" w:sz="7" w:space="0" w:color="000000"/>
              <w:right w:val="single" w:sz="7" w:space="0" w:color="000000"/>
            </w:tcBorders>
          </w:tcPr>
          <w:p w14:paraId="58BC2F93" w14:textId="01D9A538" w:rsidR="003617F7" w:rsidRPr="00CC0447" w:rsidRDefault="003617F7" w:rsidP="00242401">
            <w:r w:rsidRPr="00CC0447">
              <w:t>Reference 7</w:t>
            </w:r>
          </w:p>
        </w:tc>
      </w:tr>
    </w:tbl>
    <w:p w14:paraId="611E0630" w14:textId="77777777" w:rsidR="00CE3849" w:rsidRPr="00CC0447" w:rsidRDefault="00CE3849"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6BCE2009" w14:textId="259299E6" w:rsidR="004C492B" w:rsidRPr="00CC0447" w:rsidRDefault="009820A2" w:rsidP="004C492B">
      <w:pPr>
        <w:widowControl/>
        <w:tabs>
          <w:tab w:val="left" w:pos="0"/>
        </w:tabs>
        <w:spacing w:line="226" w:lineRule="auto"/>
        <w:rPr>
          <w:b/>
          <w:i/>
        </w:rPr>
      </w:pPr>
      <w:r w:rsidRPr="00CC0447">
        <w:rPr>
          <w:b/>
          <w:i/>
        </w:rPr>
        <w:t>f</w:t>
      </w:r>
      <w:r w:rsidR="004C492B" w:rsidRPr="00CC0447">
        <w:rPr>
          <w:b/>
          <w:i/>
        </w:rPr>
        <w:t>. Emissions</w:t>
      </w:r>
    </w:p>
    <w:p w14:paraId="5DAFE414" w14:textId="77777777" w:rsidR="004C492B" w:rsidRPr="00CC0447"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FCDBD97" w14:textId="6F4DBA91" w:rsidR="00940D14" w:rsidRPr="00CC0447"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County-</w:t>
      </w:r>
      <w:r w:rsidR="00F6379B" w:rsidRPr="00CC0447">
        <w:t xml:space="preserve">level </w:t>
      </w:r>
      <w:r w:rsidR="00B140E1" w:rsidRPr="00CC0447">
        <w:t>VOC and NH</w:t>
      </w:r>
      <w:r w:rsidR="00B140E1" w:rsidRPr="00CC0447">
        <w:rPr>
          <w:vertAlign w:val="subscript"/>
        </w:rPr>
        <w:t>3</w:t>
      </w:r>
      <w:r w:rsidR="00B140E1" w:rsidRPr="00CC0447">
        <w:t xml:space="preserve"> </w:t>
      </w:r>
      <w:r w:rsidRPr="00CC0447">
        <w:t xml:space="preserve">emissions were calculated by multiplying the total amount of </w:t>
      </w:r>
      <w:r w:rsidR="00B140E1" w:rsidRPr="00CC0447">
        <w:t xml:space="preserve">greenwaste recovered for composting </w:t>
      </w:r>
      <w:r w:rsidRPr="00CC0447">
        <w:t xml:space="preserve">per year by an emission factor. </w:t>
      </w:r>
      <w:r w:rsidR="00F6379B" w:rsidRPr="00CC0447">
        <w:t xml:space="preserve"> </w:t>
      </w:r>
      <w:r w:rsidR="003617F7" w:rsidRPr="00CC0447">
        <w:t>HAP emissions were calculated by multiplying the total amount of VOC emissions by a speciation factor.</w:t>
      </w:r>
    </w:p>
    <w:p w14:paraId="52EF1A07" w14:textId="26FE30BC" w:rsidR="00940D14" w:rsidRPr="00CC0447"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39C66605" w14:textId="37FA0949" w:rsidR="004C492B" w:rsidRPr="00CC0447" w:rsidRDefault="009820A2" w:rsidP="004C492B">
      <w:pPr>
        <w:widowControl/>
        <w:tabs>
          <w:tab w:val="left" w:pos="0"/>
        </w:tabs>
        <w:spacing w:line="226" w:lineRule="auto"/>
        <w:rPr>
          <w:b/>
          <w:i/>
        </w:rPr>
      </w:pPr>
      <w:r w:rsidRPr="00CC0447">
        <w:rPr>
          <w:b/>
          <w:i/>
        </w:rPr>
        <w:t>g</w:t>
      </w:r>
      <w:r w:rsidR="004C492B" w:rsidRPr="00CC0447">
        <w:rPr>
          <w:b/>
          <w:i/>
        </w:rPr>
        <w:t>. Example Calculations</w:t>
      </w:r>
    </w:p>
    <w:p w14:paraId="0B44A1BD" w14:textId="77777777" w:rsidR="004C492B" w:rsidRPr="00CC0447" w:rsidRDefault="004C492B" w:rsidP="004C492B">
      <w:pPr>
        <w:widowControl/>
        <w:tabs>
          <w:tab w:val="left" w:pos="0"/>
        </w:tabs>
        <w:spacing w:line="226" w:lineRule="auto"/>
      </w:pPr>
    </w:p>
    <w:p w14:paraId="62FD93EB" w14:textId="61FF026C" w:rsidR="004C492B" w:rsidRPr="00CC0447" w:rsidRDefault="004C492B" w:rsidP="004C492B">
      <w:pPr>
        <w:widowControl/>
        <w:tabs>
          <w:tab w:val="left" w:pos="0"/>
        </w:tabs>
        <w:spacing w:line="226" w:lineRule="auto"/>
      </w:pPr>
      <w:r w:rsidRPr="00CC0447">
        <w:lastRenderedPageBreak/>
        <w:t xml:space="preserve">VOC emissions in Autauga County, Alabama from </w:t>
      </w:r>
      <w:r w:rsidR="004A114C" w:rsidRPr="00CC0447">
        <w:t>composting of greenwaste</w:t>
      </w:r>
      <w:r w:rsidRPr="00CC0447">
        <w:t>:</w:t>
      </w:r>
    </w:p>
    <w:p w14:paraId="35208A6B" w14:textId="77777777" w:rsidR="004C492B" w:rsidRPr="00CC0447" w:rsidRDefault="004C492B" w:rsidP="004C492B">
      <w:pPr>
        <w:widowControl/>
        <w:tabs>
          <w:tab w:val="left" w:pos="0"/>
        </w:tabs>
        <w:spacing w:line="226" w:lineRule="auto"/>
        <w:ind w:firstLine="720"/>
      </w:pPr>
    </w:p>
    <w:p w14:paraId="3C6B01DD" w14:textId="77777777" w:rsidR="004C492B" w:rsidRPr="00CC0447" w:rsidRDefault="004C492B" w:rsidP="004C492B">
      <w:pPr>
        <w:widowControl/>
        <w:tabs>
          <w:tab w:val="left" w:pos="0"/>
        </w:tabs>
        <w:spacing w:line="226" w:lineRule="auto"/>
        <w:ind w:firstLine="720"/>
      </w:pPr>
      <w:r w:rsidRPr="00CC0447">
        <w:t>Population of Autauga County in 20</w:t>
      </w:r>
      <w:r w:rsidR="000975F2" w:rsidRPr="00CC0447">
        <w:t>1</w:t>
      </w:r>
      <w:r w:rsidR="00412191" w:rsidRPr="00CC0447">
        <w:t>4</w:t>
      </w:r>
      <w:r w:rsidRPr="00CC0447">
        <w:t xml:space="preserve"> = </w:t>
      </w:r>
      <w:r w:rsidR="00412191" w:rsidRPr="00CC0447">
        <w:t>55,395</w:t>
      </w:r>
    </w:p>
    <w:p w14:paraId="0CA09B87" w14:textId="0970C53B" w:rsidR="004C492B" w:rsidRPr="00CC0447" w:rsidRDefault="004A114C" w:rsidP="001C0190">
      <w:pPr>
        <w:widowControl/>
        <w:tabs>
          <w:tab w:val="left" w:pos="0"/>
        </w:tabs>
        <w:spacing w:line="226" w:lineRule="auto"/>
        <w:ind w:firstLine="720"/>
      </w:pPr>
      <w:r w:rsidRPr="00CC0447">
        <w:t xml:space="preserve">Greenwaste recovered for composting </w:t>
      </w:r>
      <w:r w:rsidR="004C492B" w:rsidRPr="00CC0447">
        <w:t xml:space="preserve">(lb/person/day) = </w:t>
      </w:r>
      <w:r w:rsidRPr="00CC0447">
        <w:t>0.35</w:t>
      </w:r>
    </w:p>
    <w:p w14:paraId="087B4936" w14:textId="77777777" w:rsidR="004C492B" w:rsidRPr="00CC0447" w:rsidRDefault="004C492B" w:rsidP="004C492B">
      <w:pPr>
        <w:widowControl/>
        <w:tabs>
          <w:tab w:val="left" w:pos="0"/>
        </w:tabs>
        <w:spacing w:line="226" w:lineRule="auto"/>
        <w:ind w:firstLine="720"/>
      </w:pPr>
      <w:r w:rsidRPr="00CC0447">
        <w:t>Number of days in a year = 365</w:t>
      </w:r>
    </w:p>
    <w:p w14:paraId="7CB454CF" w14:textId="77777777" w:rsidR="004C492B" w:rsidRPr="00CC0447" w:rsidRDefault="004C492B" w:rsidP="004C492B">
      <w:pPr>
        <w:widowControl/>
        <w:tabs>
          <w:tab w:val="left" w:pos="0"/>
        </w:tabs>
        <w:spacing w:line="226" w:lineRule="auto"/>
        <w:ind w:firstLine="720"/>
      </w:pPr>
      <w:r w:rsidRPr="00CC0447">
        <w:t>Factor to convert from lbs to tons = 1/2000</w:t>
      </w:r>
    </w:p>
    <w:p w14:paraId="2D26923F" w14:textId="77777777" w:rsidR="004C492B" w:rsidRPr="00CC0447" w:rsidRDefault="004C492B" w:rsidP="004C492B">
      <w:pPr>
        <w:widowControl/>
        <w:tabs>
          <w:tab w:val="left" w:pos="0"/>
        </w:tabs>
        <w:spacing w:line="226" w:lineRule="auto"/>
        <w:ind w:firstLine="720"/>
      </w:pPr>
    </w:p>
    <w:p w14:paraId="3BC536E8" w14:textId="1ECDA2FE" w:rsidR="004C492B" w:rsidRPr="00CC0447" w:rsidRDefault="004C492B" w:rsidP="004C492B">
      <w:pPr>
        <w:widowControl/>
        <w:tabs>
          <w:tab w:val="left" w:pos="0"/>
        </w:tabs>
        <w:spacing w:line="226" w:lineRule="auto"/>
        <w:ind w:firstLine="720"/>
      </w:pPr>
      <w:r w:rsidRPr="00CC0447">
        <w:t>20</w:t>
      </w:r>
      <w:r w:rsidR="000975F2" w:rsidRPr="00CC0447">
        <w:t>1</w:t>
      </w:r>
      <w:r w:rsidR="00412191" w:rsidRPr="00CC0447">
        <w:t>4</w:t>
      </w:r>
      <w:r w:rsidRPr="00CC0447">
        <w:t xml:space="preserve"> </w:t>
      </w:r>
      <w:r w:rsidR="004A114C" w:rsidRPr="00CC0447">
        <w:t xml:space="preserve">greenwaste composting </w:t>
      </w:r>
      <w:r w:rsidRPr="00CC0447">
        <w:t xml:space="preserve">activity in Autauga County = </w:t>
      </w:r>
      <w:r w:rsidR="00412191" w:rsidRPr="00CC0447">
        <w:t>55,395</w:t>
      </w:r>
      <w:r w:rsidRPr="00CC0447">
        <w:t xml:space="preserve"> * 0.</w:t>
      </w:r>
      <w:r w:rsidR="004A114C" w:rsidRPr="00CC0447">
        <w:t>35</w:t>
      </w:r>
      <w:r w:rsidRPr="00CC0447">
        <w:t xml:space="preserve"> * 365 * 1/2000</w:t>
      </w:r>
    </w:p>
    <w:p w14:paraId="17D828B7" w14:textId="77777777" w:rsidR="004C492B" w:rsidRPr="00CC0447" w:rsidRDefault="004C492B" w:rsidP="004C492B">
      <w:pPr>
        <w:widowControl/>
        <w:tabs>
          <w:tab w:val="left" w:pos="0"/>
        </w:tabs>
        <w:spacing w:line="226" w:lineRule="auto"/>
        <w:ind w:firstLine="720"/>
      </w:pPr>
    </w:p>
    <w:p w14:paraId="5A9EC46D" w14:textId="00A0752B" w:rsidR="004C492B" w:rsidRPr="00CC0447" w:rsidRDefault="004C492B" w:rsidP="00675AE0">
      <w:pPr>
        <w:widowControl/>
        <w:tabs>
          <w:tab w:val="left" w:pos="0"/>
        </w:tabs>
        <w:spacing w:line="226" w:lineRule="auto"/>
        <w:ind w:firstLine="4320"/>
      </w:pPr>
      <w:r w:rsidRPr="00CC0447">
        <w:t xml:space="preserve">= </w:t>
      </w:r>
      <w:r w:rsidR="004A114C" w:rsidRPr="00CC0447">
        <w:t>3,538</w:t>
      </w:r>
      <w:r w:rsidRPr="00CC0447">
        <w:t xml:space="preserve"> tons</w:t>
      </w:r>
    </w:p>
    <w:p w14:paraId="17E28289" w14:textId="77777777" w:rsidR="004C492B" w:rsidRPr="00CC0447" w:rsidRDefault="004C492B" w:rsidP="004C492B">
      <w:pPr>
        <w:widowControl/>
        <w:tabs>
          <w:tab w:val="left" w:pos="0"/>
        </w:tabs>
        <w:spacing w:line="226" w:lineRule="auto"/>
        <w:ind w:firstLine="720"/>
      </w:pPr>
    </w:p>
    <w:p w14:paraId="67B67BB0" w14:textId="5617160F" w:rsidR="004C492B" w:rsidRPr="00CC0447" w:rsidRDefault="004C492B" w:rsidP="004C492B">
      <w:pPr>
        <w:widowControl/>
        <w:tabs>
          <w:tab w:val="left" w:pos="0"/>
        </w:tabs>
        <w:spacing w:line="226" w:lineRule="auto"/>
        <w:ind w:firstLine="720"/>
      </w:pPr>
      <w:r w:rsidRPr="00CC0447">
        <w:t xml:space="preserve">VOC emissions = </w:t>
      </w:r>
      <w:r w:rsidR="004A114C" w:rsidRPr="00CC0447">
        <w:t xml:space="preserve">Greenwaste composted </w:t>
      </w:r>
      <w:r w:rsidRPr="00CC0447">
        <w:t>* VOC emission factor</w:t>
      </w:r>
    </w:p>
    <w:p w14:paraId="5EB3F86F" w14:textId="77777777" w:rsidR="004C492B" w:rsidRPr="00CC0447" w:rsidRDefault="004C492B" w:rsidP="004C492B">
      <w:pPr>
        <w:widowControl/>
        <w:tabs>
          <w:tab w:val="left" w:pos="0"/>
        </w:tabs>
        <w:spacing w:line="226" w:lineRule="auto"/>
        <w:ind w:firstLine="720"/>
      </w:pPr>
    </w:p>
    <w:p w14:paraId="394EB0F0" w14:textId="0FE5E9EB" w:rsidR="004C492B" w:rsidRPr="00CC0447" w:rsidRDefault="004A114C" w:rsidP="004C492B">
      <w:pPr>
        <w:widowControl/>
        <w:tabs>
          <w:tab w:val="left" w:pos="0"/>
        </w:tabs>
        <w:spacing w:line="226" w:lineRule="auto"/>
        <w:ind w:firstLine="720"/>
      </w:pPr>
      <w:r w:rsidRPr="00CC0447">
        <w:t>VOC emission factor = 4.67</w:t>
      </w:r>
      <w:r w:rsidR="004C492B" w:rsidRPr="00CC0447">
        <w:t xml:space="preserve"> lb/ton</w:t>
      </w:r>
    </w:p>
    <w:p w14:paraId="1AE6AF45" w14:textId="77777777" w:rsidR="004C492B" w:rsidRPr="00CC0447" w:rsidRDefault="004C492B" w:rsidP="004C492B">
      <w:pPr>
        <w:widowControl/>
        <w:tabs>
          <w:tab w:val="left" w:pos="0"/>
        </w:tabs>
        <w:spacing w:line="226" w:lineRule="auto"/>
        <w:ind w:firstLine="720"/>
      </w:pPr>
    </w:p>
    <w:p w14:paraId="1EDEB9DE" w14:textId="0E5ADA24" w:rsidR="004C492B" w:rsidRPr="00CC0447" w:rsidRDefault="004C492B" w:rsidP="004C492B">
      <w:pPr>
        <w:widowControl/>
        <w:tabs>
          <w:tab w:val="left" w:pos="0"/>
        </w:tabs>
        <w:spacing w:line="226" w:lineRule="auto"/>
        <w:ind w:firstLine="720"/>
      </w:pPr>
      <w:r w:rsidRPr="00CC0447">
        <w:t xml:space="preserve">VOC emissions from </w:t>
      </w:r>
      <w:r w:rsidR="004A114C" w:rsidRPr="00CC0447">
        <w:t xml:space="preserve">composting </w:t>
      </w:r>
      <w:r w:rsidRPr="00CC0447">
        <w:t>in Autauga C</w:t>
      </w:r>
      <w:r w:rsidR="007B5CA0" w:rsidRPr="00CC0447">
        <w:t>ou</w:t>
      </w:r>
      <w:r w:rsidRPr="00CC0447">
        <w:t xml:space="preserve">nty = </w:t>
      </w:r>
      <w:r w:rsidR="004A114C" w:rsidRPr="00CC0447">
        <w:t>3.538</w:t>
      </w:r>
      <w:r w:rsidR="009C2D09" w:rsidRPr="00CC0447">
        <w:t xml:space="preserve"> tons * 7.42</w:t>
      </w:r>
      <w:r w:rsidRPr="00CC0447">
        <w:t xml:space="preserve"> lbs/ton * 1 ton/2000 lbs</w:t>
      </w:r>
    </w:p>
    <w:p w14:paraId="618D3E48" w14:textId="77777777" w:rsidR="004C492B" w:rsidRPr="00CC0447" w:rsidRDefault="004C492B" w:rsidP="004C492B">
      <w:pPr>
        <w:widowControl/>
        <w:tabs>
          <w:tab w:val="left" w:pos="0"/>
        </w:tabs>
        <w:spacing w:line="226" w:lineRule="auto"/>
        <w:ind w:firstLine="720"/>
      </w:pPr>
    </w:p>
    <w:p w14:paraId="029B38AF" w14:textId="1E41CD27" w:rsidR="004C492B" w:rsidRPr="00CC0447" w:rsidRDefault="004C492B" w:rsidP="00675AE0">
      <w:pPr>
        <w:widowControl/>
        <w:tabs>
          <w:tab w:val="left" w:pos="0"/>
        </w:tabs>
        <w:spacing w:line="226" w:lineRule="auto"/>
        <w:ind w:firstLine="4320"/>
      </w:pPr>
      <w:r w:rsidRPr="00CC0447">
        <w:t xml:space="preserve">= </w:t>
      </w:r>
      <w:r w:rsidR="004A114C" w:rsidRPr="00CC0447">
        <w:t>8.26</w:t>
      </w:r>
      <w:r w:rsidRPr="00CC0447">
        <w:t xml:space="preserve"> tons</w:t>
      </w:r>
    </w:p>
    <w:p w14:paraId="17DA53F7" w14:textId="77777777" w:rsidR="004008E6" w:rsidRPr="00CC0447" w:rsidRDefault="004008E6" w:rsidP="004C492B">
      <w:pPr>
        <w:widowControl/>
        <w:tabs>
          <w:tab w:val="left" w:pos="0"/>
        </w:tabs>
        <w:spacing w:line="226" w:lineRule="auto"/>
        <w:ind w:firstLine="720"/>
      </w:pPr>
    </w:p>
    <w:p w14:paraId="442999D9" w14:textId="77777777" w:rsidR="004008E6" w:rsidRPr="00CC0447" w:rsidRDefault="004008E6"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AFFFBEB" w14:textId="3B66A87A" w:rsidR="007E2056" w:rsidRPr="00CC0447" w:rsidRDefault="009820A2" w:rsidP="004C492B">
      <w:pPr>
        <w:widowControl/>
        <w:tabs>
          <w:tab w:val="left" w:pos="0"/>
        </w:tabs>
        <w:spacing w:line="226" w:lineRule="auto"/>
        <w:rPr>
          <w:b/>
          <w:i/>
        </w:rPr>
      </w:pPr>
      <w:r w:rsidRPr="00CC0447">
        <w:rPr>
          <w:b/>
          <w:i/>
        </w:rPr>
        <w:t>h</w:t>
      </w:r>
      <w:r w:rsidR="004C492B" w:rsidRPr="00CC0447">
        <w:rPr>
          <w:b/>
          <w:i/>
        </w:rPr>
        <w:t xml:space="preserve">. </w:t>
      </w:r>
      <w:r w:rsidR="007E2056" w:rsidRPr="00CC0447">
        <w:rPr>
          <w:b/>
          <w:i/>
        </w:rPr>
        <w:t xml:space="preserve">Changes </w:t>
      </w:r>
      <w:r w:rsidR="005A5999" w:rsidRPr="00CC0447">
        <w:rPr>
          <w:b/>
          <w:i/>
        </w:rPr>
        <w:t>from 2011</w:t>
      </w:r>
      <w:r w:rsidR="007E2056" w:rsidRPr="00CC0447">
        <w:rPr>
          <w:b/>
          <w:i/>
        </w:rPr>
        <w:t xml:space="preserve"> Methodology</w:t>
      </w:r>
    </w:p>
    <w:p w14:paraId="197010EF" w14:textId="77777777" w:rsidR="007E2056" w:rsidRPr="00CC0447" w:rsidRDefault="007E2056" w:rsidP="004C492B">
      <w:pPr>
        <w:widowControl/>
        <w:tabs>
          <w:tab w:val="left" w:pos="0"/>
        </w:tabs>
        <w:spacing w:line="226" w:lineRule="auto"/>
        <w:rPr>
          <w:b/>
          <w:i/>
        </w:rPr>
      </w:pPr>
    </w:p>
    <w:p w14:paraId="7B465AE4" w14:textId="479F24B2" w:rsidR="007C7079" w:rsidRPr="00CC0447" w:rsidRDefault="004A114C" w:rsidP="007C7079">
      <w:pPr>
        <w:widowControl/>
        <w:tabs>
          <w:tab w:val="left" w:pos="0"/>
        </w:tabs>
        <w:spacing w:line="226" w:lineRule="auto"/>
      </w:pPr>
      <w:r w:rsidRPr="00CC0447">
        <w:t>Emissions from this source category were not estimated by EPA in 2011.</w:t>
      </w:r>
    </w:p>
    <w:p w14:paraId="5519D443" w14:textId="77777777" w:rsidR="007E2056" w:rsidRPr="00CC0447" w:rsidRDefault="007E2056" w:rsidP="004C492B">
      <w:pPr>
        <w:widowControl/>
        <w:tabs>
          <w:tab w:val="left" w:pos="0"/>
        </w:tabs>
        <w:spacing w:line="226" w:lineRule="auto"/>
        <w:rPr>
          <w:b/>
          <w:i/>
        </w:rPr>
      </w:pPr>
    </w:p>
    <w:p w14:paraId="5AF0FCDC" w14:textId="59807F08" w:rsidR="005A5999" w:rsidRPr="00CC0447" w:rsidRDefault="009820A2"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roofErr w:type="spellStart"/>
      <w:r w:rsidRPr="00CC0447">
        <w:rPr>
          <w:b/>
          <w:i/>
        </w:rPr>
        <w:t>i</w:t>
      </w:r>
      <w:proofErr w:type="spellEnd"/>
      <w:r w:rsidR="005A5999" w:rsidRPr="00CC0447">
        <w:rPr>
          <w:b/>
          <w:i/>
        </w:rPr>
        <w:t>. Puerto Rico and US Virgin Islands Emissions Calculations</w:t>
      </w:r>
    </w:p>
    <w:p w14:paraId="6A215AB0" w14:textId="77777777" w:rsidR="005A5999" w:rsidRPr="00CC0447"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14:paraId="1CA0F8D1" w14:textId="5FC80137" w:rsidR="005A5999" w:rsidRPr="00CC0447" w:rsidRDefault="00F252BC"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r w:rsidRPr="00CC0447">
        <w:t xml:space="preserve">2014 Census Data does not exist for </w:t>
      </w:r>
      <w:r w:rsidR="005A5999" w:rsidRPr="00CC0447">
        <w:t xml:space="preserve">the </w:t>
      </w:r>
      <w:r w:rsidRPr="00CC0447">
        <w:t>US Virgin Islands. E</w:t>
      </w:r>
      <w:r w:rsidR="005A5999" w:rsidRPr="00CC0447">
        <w:t xml:space="preserve">missions are </w:t>
      </w:r>
      <w:r w:rsidRPr="00CC0447">
        <w:t>calculated using the same method described above using 2010 data.</w:t>
      </w:r>
      <w:r w:rsidR="004F73B1" w:rsidRPr="00CC0447">
        <w:rPr>
          <w:vertAlign w:val="superscript"/>
        </w:rPr>
        <w:t>3</w:t>
      </w:r>
      <w:r w:rsidRPr="00CC0447">
        <w:t xml:space="preserve"> </w:t>
      </w:r>
    </w:p>
    <w:p w14:paraId="66762C76" w14:textId="77777777" w:rsidR="005A5999" w:rsidRPr="00CC0447"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p>
    <w:p w14:paraId="5E949018" w14:textId="6BC36C43" w:rsidR="004C492B" w:rsidRPr="00CC0447" w:rsidRDefault="009820A2" w:rsidP="004C492B">
      <w:pPr>
        <w:widowControl/>
        <w:tabs>
          <w:tab w:val="left" w:pos="0"/>
        </w:tabs>
        <w:spacing w:line="226" w:lineRule="auto"/>
        <w:rPr>
          <w:b/>
          <w:i/>
        </w:rPr>
      </w:pPr>
      <w:r w:rsidRPr="00CC0447">
        <w:rPr>
          <w:b/>
          <w:i/>
        </w:rPr>
        <w:t>j</w:t>
      </w:r>
      <w:r w:rsidR="007E2056" w:rsidRPr="00CC0447">
        <w:rPr>
          <w:b/>
          <w:i/>
        </w:rPr>
        <w:t xml:space="preserve">. </w:t>
      </w:r>
      <w:r w:rsidR="004C492B" w:rsidRPr="00CC0447">
        <w:rPr>
          <w:b/>
          <w:i/>
        </w:rPr>
        <w:t>References</w:t>
      </w:r>
    </w:p>
    <w:p w14:paraId="0468D1C6" w14:textId="77777777" w:rsidR="004C492B" w:rsidRPr="00CC0447"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p w14:paraId="08090D63" w14:textId="434291D4" w:rsidR="00ED3B0C" w:rsidRDefault="004C492B" w:rsidP="004F73B1">
      <w:pPr>
        <w:ind w:left="720" w:hanging="720"/>
        <w:rPr>
          <w:rFonts w:ascii="tim" w:hAnsi="tim"/>
        </w:rPr>
      </w:pPr>
      <w:r w:rsidRPr="00CC0447">
        <w:t>1.</w:t>
      </w:r>
      <w:r w:rsidRPr="00CC0447">
        <w:tab/>
      </w:r>
      <w:r w:rsidR="00B140E1" w:rsidRPr="00CC0447">
        <w:rPr>
          <w:rFonts w:ascii="tim" w:hAnsi="tim"/>
        </w:rPr>
        <w:t xml:space="preserve">U.S. EPA, </w:t>
      </w:r>
      <w:hyperlink r:id="rId8" w:history="1">
        <w:r w:rsidR="00B140E1" w:rsidRPr="00675AE0">
          <w:rPr>
            <w:rStyle w:val="Hyperlink"/>
            <w:rFonts w:ascii="tim" w:hAnsi="tim"/>
            <w:i/>
          </w:rPr>
          <w:t>Advancing Sustainable Materials Management:</w:t>
        </w:r>
        <w:r w:rsidR="00B140E1" w:rsidRPr="00675AE0">
          <w:rPr>
            <w:rStyle w:val="Hyperlink"/>
            <w:rFonts w:ascii="tim" w:hAnsi="tim"/>
            <w:i/>
            <w:iCs/>
          </w:rPr>
          <w:t xml:space="preserve"> Facts and Figures Report</w:t>
        </w:r>
      </w:hyperlink>
      <w:r w:rsidR="00B140E1" w:rsidRPr="00CC0447">
        <w:rPr>
          <w:rFonts w:ascii="tim" w:hAnsi="tim"/>
          <w:i/>
          <w:iCs/>
        </w:rPr>
        <w:t>,</w:t>
      </w:r>
      <w:r w:rsidR="00A65192" w:rsidRPr="00CC0447">
        <w:rPr>
          <w:rFonts w:ascii="tim" w:hAnsi="tim"/>
        </w:rPr>
        <w:t xml:space="preserve"> "</w:t>
      </w:r>
      <w:r w:rsidR="00B140E1" w:rsidRPr="00CC0447">
        <w:rPr>
          <w:rFonts w:ascii="tim" w:hAnsi="tim"/>
        </w:rPr>
        <w:t xml:space="preserve">," </w:t>
      </w:r>
      <w:r w:rsidR="00A65192" w:rsidRPr="00CC0447">
        <w:rPr>
          <w:rFonts w:ascii="tim" w:hAnsi="tim"/>
        </w:rPr>
        <w:t xml:space="preserve">(accessed </w:t>
      </w:r>
      <w:r w:rsidR="00CC0447">
        <w:rPr>
          <w:rFonts w:ascii="tim" w:hAnsi="tim"/>
        </w:rPr>
        <w:t>May 2019</w:t>
      </w:r>
      <w:r w:rsidR="00B140E1" w:rsidRPr="00CC0447">
        <w:rPr>
          <w:rFonts w:ascii="tim" w:hAnsi="tim"/>
        </w:rPr>
        <w:t>).</w:t>
      </w:r>
    </w:p>
    <w:p w14:paraId="6BE15AC3" w14:textId="77777777" w:rsidR="000E5BA0" w:rsidRPr="00CC0447" w:rsidRDefault="000E5BA0" w:rsidP="004F73B1">
      <w:pPr>
        <w:ind w:left="720" w:hanging="720"/>
        <w:rPr>
          <w:rFonts w:ascii="tim" w:hAnsi="tim"/>
        </w:rPr>
      </w:pPr>
    </w:p>
    <w:p w14:paraId="76DB1B23" w14:textId="77777777" w:rsidR="000E5BA0" w:rsidRDefault="004F73B1"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CC0447">
        <w:t xml:space="preserve">2. </w:t>
      </w:r>
      <w:r w:rsidRPr="00CC0447">
        <w:tab/>
        <w:t xml:space="preserve">U.S. EPA, 2016. </w:t>
      </w:r>
      <w:hyperlink r:id="rId9" w:history="1">
        <w:r w:rsidRPr="00CC0447">
          <w:rPr>
            <w:rStyle w:val="Hyperlink"/>
            <w:i/>
          </w:rPr>
          <w:t>Food Waste Management in the United States, 2014</w:t>
        </w:r>
      </w:hyperlink>
      <w:r w:rsidRPr="00CC0447">
        <w:rPr>
          <w:i/>
        </w:rPr>
        <w:t xml:space="preserve">. </w:t>
      </w:r>
      <w:r w:rsidRPr="00CC0447">
        <w:t>Office of Resource Conservation and Recovery.</w:t>
      </w:r>
    </w:p>
    <w:p w14:paraId="093FD9F6" w14:textId="3F63E87F" w:rsidR="0051658A" w:rsidRPr="00CC0447" w:rsidRDefault="000E5BA0"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hyperlink r:id="rId10" w:history="1"/>
    </w:p>
    <w:p w14:paraId="23BC0FC0" w14:textId="4919805F" w:rsidR="004C492B" w:rsidRPr="00CC0447" w:rsidRDefault="00ED3B0C" w:rsidP="00ED3B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CC0447">
        <w:t>3</w:t>
      </w:r>
      <w:r w:rsidR="004C492B" w:rsidRPr="00CC0447">
        <w:t>.</w:t>
      </w:r>
      <w:r w:rsidR="004C492B" w:rsidRPr="00CC0447">
        <w:tab/>
        <w:t xml:space="preserve">U.S. Census Bureau, </w:t>
      </w:r>
      <w:hyperlink r:id="rId11" w:history="1">
        <w:r w:rsidR="004C492B" w:rsidRPr="00CC0447">
          <w:rPr>
            <w:rStyle w:val="Hyperlink"/>
          </w:rPr>
          <w:t>Decennial Censuses, 20</w:t>
        </w:r>
        <w:r w:rsidR="003C2D4B" w:rsidRPr="00CC0447">
          <w:rPr>
            <w:rStyle w:val="Hyperlink"/>
          </w:rPr>
          <w:t>1</w:t>
        </w:r>
        <w:r w:rsidR="004C492B" w:rsidRPr="00CC0447">
          <w:rPr>
            <w:rStyle w:val="Hyperlink"/>
          </w:rPr>
          <w:t xml:space="preserve">0 Census: </w:t>
        </w:r>
        <w:r w:rsidR="00842178" w:rsidRPr="00CC0447">
          <w:rPr>
            <w:rStyle w:val="Hyperlink"/>
          </w:rPr>
          <w:t>Summary File 1</w:t>
        </w:r>
      </w:hyperlink>
      <w:r w:rsidR="00842178" w:rsidRPr="00CC0447">
        <w:t>.</w:t>
      </w:r>
    </w:p>
    <w:p w14:paraId="00B4EE8D" w14:textId="77777777" w:rsidR="004C492B" w:rsidRPr="00CC0447"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p>
    <w:p w14:paraId="42315D8A" w14:textId="43673948" w:rsidR="00AA311D" w:rsidRPr="00CC0447" w:rsidRDefault="00ED3B0C" w:rsidP="00AA311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iCs/>
        </w:rPr>
      </w:pPr>
      <w:r w:rsidRPr="00CC0447">
        <w:t>4</w:t>
      </w:r>
      <w:r w:rsidR="004C492B" w:rsidRPr="00CC0447">
        <w:t>.</w:t>
      </w:r>
      <w:r w:rsidR="004C492B" w:rsidRPr="00CC0447">
        <w:tab/>
        <w:t xml:space="preserve">U.S. Census Bureau.  </w:t>
      </w:r>
      <w:hyperlink r:id="rId12" w:history="1">
        <w:r w:rsidR="0051658A" w:rsidRPr="00CC0447">
          <w:rPr>
            <w:rStyle w:val="Hyperlink"/>
            <w:i/>
            <w:iCs/>
          </w:rPr>
          <w:t>Annual Esti</w:t>
        </w:r>
        <w:r w:rsidR="007F374E" w:rsidRPr="00CC0447">
          <w:rPr>
            <w:rStyle w:val="Hyperlink"/>
            <w:i/>
            <w:iCs/>
          </w:rPr>
          <w:t>mates of the Resident Population</w:t>
        </w:r>
        <w:r w:rsidR="0051658A" w:rsidRPr="00CC0447">
          <w:rPr>
            <w:rStyle w:val="Hyperlink"/>
            <w:i/>
            <w:iCs/>
          </w:rPr>
          <w:t>: April 1, 2010 to July 1, 201</w:t>
        </w:r>
        <w:r w:rsidR="00E02EE7" w:rsidRPr="00CC0447">
          <w:rPr>
            <w:rStyle w:val="Hyperlink"/>
            <w:i/>
            <w:iCs/>
          </w:rPr>
          <w:t>4, 2014 Populations Estimates</w:t>
        </w:r>
      </w:hyperlink>
      <w:r w:rsidR="0051658A" w:rsidRPr="00CC0447">
        <w:rPr>
          <w:i/>
          <w:iCs/>
        </w:rPr>
        <w:t xml:space="preserve">, </w:t>
      </w:r>
      <w:r w:rsidR="0051658A" w:rsidRPr="00CC0447">
        <w:rPr>
          <w:iCs/>
        </w:rPr>
        <w:t xml:space="preserve">(accessed </w:t>
      </w:r>
      <w:r w:rsidR="00CC0447">
        <w:rPr>
          <w:iCs/>
        </w:rPr>
        <w:t>May 2019</w:t>
      </w:r>
      <w:r w:rsidR="0051658A" w:rsidRPr="00CC0447">
        <w:rPr>
          <w:iCs/>
        </w:rPr>
        <w:t>).</w:t>
      </w:r>
    </w:p>
    <w:p w14:paraId="3BEF67FC" w14:textId="234BDC6D" w:rsidR="00AA311D" w:rsidRPr="00CC0447" w:rsidRDefault="00AA311D" w:rsidP="003617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iCs/>
        </w:rPr>
      </w:pPr>
    </w:p>
    <w:p w14:paraId="15F403F4" w14:textId="0C3C53EC" w:rsidR="009820A2" w:rsidRPr="00CC0447" w:rsidRDefault="003617F7"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r w:rsidRPr="00CC0447">
        <w:rPr>
          <w:iCs/>
        </w:rPr>
        <w:t>5</w:t>
      </w:r>
      <w:r w:rsidR="009820A2" w:rsidRPr="00CC0447">
        <w:rPr>
          <w:iCs/>
        </w:rPr>
        <w:t>.</w:t>
      </w:r>
      <w:r w:rsidR="00CE3849" w:rsidRPr="00CC0447">
        <w:rPr>
          <w:iCs/>
        </w:rPr>
        <w:tab/>
      </w:r>
      <w:r w:rsidR="00CE3849" w:rsidRPr="00CC0447">
        <w:t xml:space="preserve">U.S. Census Bureau. </w:t>
      </w:r>
      <w:hyperlink r:id="rId13" w:history="1">
        <w:r w:rsidR="00CE3849" w:rsidRPr="00CC0447">
          <w:rPr>
            <w:rStyle w:val="Hyperlink"/>
            <w:i/>
          </w:rPr>
          <w:t>2014 County Business Patterns</w:t>
        </w:r>
      </w:hyperlink>
      <w:r w:rsidR="00CE3849" w:rsidRPr="00CC0447">
        <w:t xml:space="preserve">, (accessed </w:t>
      </w:r>
      <w:r w:rsidR="00CC0447">
        <w:t>May 2019</w:t>
      </w:r>
      <w:r w:rsidR="00CE3849" w:rsidRPr="00CC0447">
        <w:t>).</w:t>
      </w:r>
    </w:p>
    <w:p w14:paraId="3215AB07" w14:textId="77777777" w:rsidR="004C492B" w:rsidRPr="00CC0447"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rPr>
      </w:pPr>
    </w:p>
    <w:p w14:paraId="016066DC" w14:textId="54BC9BC0" w:rsidR="004C492B" w:rsidRPr="00CC0447" w:rsidRDefault="003617F7" w:rsidP="00ED3B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pPr>
      <w:r w:rsidRPr="00CC0447">
        <w:t>6</w:t>
      </w:r>
      <w:r w:rsidR="00ED3B0C" w:rsidRPr="00CC0447">
        <w:t xml:space="preserve">. </w:t>
      </w:r>
      <w:r w:rsidR="00ED3B0C" w:rsidRPr="00CC0447">
        <w:tab/>
      </w:r>
      <w:r w:rsidR="0093173C" w:rsidRPr="00CC0447">
        <w:t xml:space="preserve">South Coast Air Quality Management District. </w:t>
      </w:r>
      <w:r w:rsidR="004A114C" w:rsidRPr="00CC0447">
        <w:t>201</w:t>
      </w:r>
      <w:r w:rsidR="00A65192" w:rsidRPr="00CC0447">
        <w:t xml:space="preserve">1. </w:t>
      </w:r>
      <w:hyperlink r:id="rId14" w:history="1">
        <w:r w:rsidR="00A65192" w:rsidRPr="00CC0447">
          <w:rPr>
            <w:rStyle w:val="Hyperlink"/>
            <w:i/>
          </w:rPr>
          <w:t>Draft Staff Report on Proposed Amended Rule 1133.1 (chipping and grinding activities) and Proposed Rule 1133.3 (emissions reductions from greenwaste composting operations),</w:t>
        </w:r>
      </w:hyperlink>
      <w:r w:rsidR="00A65192" w:rsidRPr="00CC0447">
        <w:rPr>
          <w:i/>
        </w:rPr>
        <w:t xml:space="preserve"> </w:t>
      </w:r>
      <w:r w:rsidR="00A65192" w:rsidRPr="00CC0447">
        <w:t xml:space="preserve">(accessed </w:t>
      </w:r>
      <w:r w:rsidR="00CC0447">
        <w:t>May 2019</w:t>
      </w:r>
      <w:r w:rsidR="00A65192" w:rsidRPr="00CC0447">
        <w:t>).</w:t>
      </w:r>
    </w:p>
    <w:p w14:paraId="243EBCF2" w14:textId="77777777" w:rsidR="00FD614A" w:rsidRPr="00CC0447" w:rsidRDefault="00FD614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sectPr w:rsidR="00FD614A" w:rsidRPr="00CC0447" w:rsidSect="00412576">
      <w:pgSz w:w="12240" w:h="15840"/>
      <w:pgMar w:top="1296" w:right="1800" w:bottom="1296"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195EE" w14:textId="77777777" w:rsidR="003C68FE" w:rsidRDefault="003C68FE">
      <w:r>
        <w:separator/>
      </w:r>
    </w:p>
  </w:endnote>
  <w:endnote w:type="continuationSeparator" w:id="0">
    <w:p w14:paraId="763D2977" w14:textId="77777777" w:rsidR="003C68FE" w:rsidRDefault="003C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CC343" w14:textId="77777777" w:rsidR="003C68FE" w:rsidRDefault="003C68FE">
      <w:r>
        <w:separator/>
      </w:r>
    </w:p>
  </w:footnote>
  <w:footnote w:type="continuationSeparator" w:id="0">
    <w:p w14:paraId="59BB23D4" w14:textId="77777777" w:rsidR="003C68FE" w:rsidRDefault="003C6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94BB4"/>
    <w:multiLevelType w:val="hybridMultilevel"/>
    <w:tmpl w:val="ABA44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2651A54"/>
    <w:multiLevelType w:val="hybridMultilevel"/>
    <w:tmpl w:val="D5721C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rAwNTA0NjO0NLUwNTNS0lEKTi0uzszPAykwrAUARzbKFSwAAAA="/>
  </w:docVars>
  <w:rsids>
    <w:rsidRoot w:val="006C2053"/>
    <w:rsid w:val="000117EE"/>
    <w:rsid w:val="00045FC2"/>
    <w:rsid w:val="000975F2"/>
    <w:rsid w:val="000E5BA0"/>
    <w:rsid w:val="000E63D1"/>
    <w:rsid w:val="00100372"/>
    <w:rsid w:val="0011019D"/>
    <w:rsid w:val="0012171B"/>
    <w:rsid w:val="001C0190"/>
    <w:rsid w:val="001D329D"/>
    <w:rsid w:val="001F4010"/>
    <w:rsid w:val="0022366E"/>
    <w:rsid w:val="00225A63"/>
    <w:rsid w:val="00274959"/>
    <w:rsid w:val="002B7127"/>
    <w:rsid w:val="002D1F5A"/>
    <w:rsid w:val="002F27F4"/>
    <w:rsid w:val="00317457"/>
    <w:rsid w:val="00341C3F"/>
    <w:rsid w:val="00356A3C"/>
    <w:rsid w:val="003617F7"/>
    <w:rsid w:val="003733A0"/>
    <w:rsid w:val="003907FC"/>
    <w:rsid w:val="003978F4"/>
    <w:rsid w:val="003C2D4B"/>
    <w:rsid w:val="003C68FE"/>
    <w:rsid w:val="003F55F6"/>
    <w:rsid w:val="004008E6"/>
    <w:rsid w:val="00412191"/>
    <w:rsid w:val="00412576"/>
    <w:rsid w:val="00481924"/>
    <w:rsid w:val="00483825"/>
    <w:rsid w:val="004A114C"/>
    <w:rsid w:val="004A1278"/>
    <w:rsid w:val="004C492B"/>
    <w:rsid w:val="004E655B"/>
    <w:rsid w:val="004F73B1"/>
    <w:rsid w:val="0050125A"/>
    <w:rsid w:val="0051658A"/>
    <w:rsid w:val="0057710A"/>
    <w:rsid w:val="005A5999"/>
    <w:rsid w:val="005B68F5"/>
    <w:rsid w:val="005D649C"/>
    <w:rsid w:val="006132E6"/>
    <w:rsid w:val="00675AE0"/>
    <w:rsid w:val="00697E78"/>
    <w:rsid w:val="006C2053"/>
    <w:rsid w:val="006E41E9"/>
    <w:rsid w:val="006F62CF"/>
    <w:rsid w:val="00715662"/>
    <w:rsid w:val="00722DFD"/>
    <w:rsid w:val="007445A6"/>
    <w:rsid w:val="007471E6"/>
    <w:rsid w:val="0078076B"/>
    <w:rsid w:val="007B5CA0"/>
    <w:rsid w:val="007C7079"/>
    <w:rsid w:val="007D1110"/>
    <w:rsid w:val="007E2056"/>
    <w:rsid w:val="007F374E"/>
    <w:rsid w:val="00842178"/>
    <w:rsid w:val="00872EAF"/>
    <w:rsid w:val="008D3EB3"/>
    <w:rsid w:val="0093173C"/>
    <w:rsid w:val="00932BB8"/>
    <w:rsid w:val="00940D14"/>
    <w:rsid w:val="00967CD7"/>
    <w:rsid w:val="00977C06"/>
    <w:rsid w:val="009820A2"/>
    <w:rsid w:val="009B02A2"/>
    <w:rsid w:val="009C2D09"/>
    <w:rsid w:val="009C64EF"/>
    <w:rsid w:val="009D1B04"/>
    <w:rsid w:val="00A14843"/>
    <w:rsid w:val="00A238E5"/>
    <w:rsid w:val="00A3491D"/>
    <w:rsid w:val="00A5293B"/>
    <w:rsid w:val="00A65192"/>
    <w:rsid w:val="00A679B0"/>
    <w:rsid w:val="00AA311D"/>
    <w:rsid w:val="00AC1B39"/>
    <w:rsid w:val="00AE3D3C"/>
    <w:rsid w:val="00AE63B5"/>
    <w:rsid w:val="00B140E1"/>
    <w:rsid w:val="00B1690C"/>
    <w:rsid w:val="00B22453"/>
    <w:rsid w:val="00B24352"/>
    <w:rsid w:val="00B245AC"/>
    <w:rsid w:val="00B41571"/>
    <w:rsid w:val="00B90AE1"/>
    <w:rsid w:val="00BE1077"/>
    <w:rsid w:val="00C078CD"/>
    <w:rsid w:val="00C22579"/>
    <w:rsid w:val="00C43FD0"/>
    <w:rsid w:val="00C44044"/>
    <w:rsid w:val="00C60076"/>
    <w:rsid w:val="00C76429"/>
    <w:rsid w:val="00CB06FC"/>
    <w:rsid w:val="00CC0447"/>
    <w:rsid w:val="00CC6A25"/>
    <w:rsid w:val="00CD518D"/>
    <w:rsid w:val="00CE3849"/>
    <w:rsid w:val="00D9286B"/>
    <w:rsid w:val="00D92AAD"/>
    <w:rsid w:val="00DD1565"/>
    <w:rsid w:val="00DE20C8"/>
    <w:rsid w:val="00DF4399"/>
    <w:rsid w:val="00E02EE7"/>
    <w:rsid w:val="00E3144F"/>
    <w:rsid w:val="00ED3B0C"/>
    <w:rsid w:val="00ED755F"/>
    <w:rsid w:val="00EE6B8B"/>
    <w:rsid w:val="00F252BC"/>
    <w:rsid w:val="00F6379B"/>
    <w:rsid w:val="00F7716A"/>
    <w:rsid w:val="00FA167A"/>
    <w:rsid w:val="00FB1DF5"/>
    <w:rsid w:val="00FC3529"/>
    <w:rsid w:val="00FD614A"/>
    <w:rsid w:val="00FE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A115E"/>
  <w15:docId w15:val="{83DD1AF0-E051-4BAC-A6B0-EB778961F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D1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940D14"/>
  </w:style>
  <w:style w:type="character" w:styleId="Hyperlink">
    <w:name w:val="Hyperlink"/>
    <w:basedOn w:val="DefaultParagraphFont"/>
    <w:rsid w:val="00FD614A"/>
    <w:rPr>
      <w:color w:val="0000FF"/>
      <w:u w:val="single"/>
    </w:rPr>
  </w:style>
  <w:style w:type="paragraph" w:styleId="FootnoteText">
    <w:name w:val="footnote text"/>
    <w:basedOn w:val="Normal"/>
    <w:link w:val="FootnoteTextChar"/>
    <w:uiPriority w:val="99"/>
    <w:semiHidden/>
    <w:unhideWhenUsed/>
    <w:rsid w:val="003C2D4B"/>
    <w:rPr>
      <w:sz w:val="20"/>
      <w:szCs w:val="20"/>
    </w:rPr>
  </w:style>
  <w:style w:type="character" w:customStyle="1" w:styleId="FootnoteTextChar">
    <w:name w:val="Footnote Text Char"/>
    <w:basedOn w:val="DefaultParagraphFont"/>
    <w:link w:val="FootnoteText"/>
    <w:uiPriority w:val="99"/>
    <w:semiHidden/>
    <w:rsid w:val="003C2D4B"/>
  </w:style>
  <w:style w:type="character" w:styleId="FootnoteReference">
    <w:name w:val="footnote reference"/>
    <w:basedOn w:val="DefaultParagraphFont"/>
    <w:uiPriority w:val="99"/>
    <w:semiHidden/>
    <w:unhideWhenUsed/>
    <w:rsid w:val="003C2D4B"/>
    <w:rPr>
      <w:vertAlign w:val="superscript"/>
    </w:rPr>
  </w:style>
  <w:style w:type="paragraph" w:styleId="EndnoteText">
    <w:name w:val="endnote text"/>
    <w:basedOn w:val="Normal"/>
    <w:link w:val="EndnoteTextChar"/>
    <w:uiPriority w:val="99"/>
    <w:semiHidden/>
    <w:unhideWhenUsed/>
    <w:rsid w:val="003C2D4B"/>
    <w:rPr>
      <w:sz w:val="20"/>
      <w:szCs w:val="20"/>
    </w:rPr>
  </w:style>
  <w:style w:type="character" w:customStyle="1" w:styleId="EndnoteTextChar">
    <w:name w:val="Endnote Text Char"/>
    <w:basedOn w:val="DefaultParagraphFont"/>
    <w:link w:val="EndnoteText"/>
    <w:uiPriority w:val="99"/>
    <w:semiHidden/>
    <w:rsid w:val="003C2D4B"/>
  </w:style>
  <w:style w:type="character" w:styleId="EndnoteReference">
    <w:name w:val="endnote reference"/>
    <w:basedOn w:val="DefaultParagraphFont"/>
    <w:uiPriority w:val="99"/>
    <w:semiHidden/>
    <w:unhideWhenUsed/>
    <w:rsid w:val="003C2D4B"/>
    <w:rPr>
      <w:vertAlign w:val="superscript"/>
    </w:rPr>
  </w:style>
  <w:style w:type="character" w:styleId="CommentReference">
    <w:name w:val="annotation reference"/>
    <w:basedOn w:val="DefaultParagraphFont"/>
    <w:uiPriority w:val="99"/>
    <w:semiHidden/>
    <w:unhideWhenUsed/>
    <w:rsid w:val="001F4010"/>
    <w:rPr>
      <w:sz w:val="16"/>
      <w:szCs w:val="16"/>
    </w:rPr>
  </w:style>
  <w:style w:type="paragraph" w:styleId="CommentText">
    <w:name w:val="annotation text"/>
    <w:basedOn w:val="Normal"/>
    <w:link w:val="CommentTextChar"/>
    <w:uiPriority w:val="99"/>
    <w:semiHidden/>
    <w:unhideWhenUsed/>
    <w:rsid w:val="001F4010"/>
    <w:rPr>
      <w:sz w:val="20"/>
      <w:szCs w:val="20"/>
    </w:rPr>
  </w:style>
  <w:style w:type="character" w:customStyle="1" w:styleId="CommentTextChar">
    <w:name w:val="Comment Text Char"/>
    <w:basedOn w:val="DefaultParagraphFont"/>
    <w:link w:val="CommentText"/>
    <w:uiPriority w:val="99"/>
    <w:semiHidden/>
    <w:rsid w:val="001F4010"/>
  </w:style>
  <w:style w:type="paragraph" w:styleId="CommentSubject">
    <w:name w:val="annotation subject"/>
    <w:basedOn w:val="CommentText"/>
    <w:next w:val="CommentText"/>
    <w:link w:val="CommentSubjectChar"/>
    <w:uiPriority w:val="99"/>
    <w:semiHidden/>
    <w:unhideWhenUsed/>
    <w:rsid w:val="001F4010"/>
    <w:rPr>
      <w:b/>
      <w:bCs/>
    </w:rPr>
  </w:style>
  <w:style w:type="character" w:customStyle="1" w:styleId="CommentSubjectChar">
    <w:name w:val="Comment Subject Char"/>
    <w:basedOn w:val="CommentTextChar"/>
    <w:link w:val="CommentSubject"/>
    <w:uiPriority w:val="99"/>
    <w:semiHidden/>
    <w:rsid w:val="001F4010"/>
    <w:rPr>
      <w:b/>
      <w:bCs/>
    </w:rPr>
  </w:style>
  <w:style w:type="paragraph" w:styleId="BalloonText">
    <w:name w:val="Balloon Text"/>
    <w:basedOn w:val="Normal"/>
    <w:link w:val="BalloonTextChar"/>
    <w:uiPriority w:val="99"/>
    <w:semiHidden/>
    <w:unhideWhenUsed/>
    <w:rsid w:val="001F4010"/>
    <w:rPr>
      <w:rFonts w:ascii="Tahoma" w:hAnsi="Tahoma" w:cs="Tahoma"/>
      <w:sz w:val="16"/>
      <w:szCs w:val="16"/>
    </w:rPr>
  </w:style>
  <w:style w:type="character" w:customStyle="1" w:styleId="BalloonTextChar">
    <w:name w:val="Balloon Text Char"/>
    <w:basedOn w:val="DefaultParagraphFont"/>
    <w:link w:val="BalloonText"/>
    <w:uiPriority w:val="99"/>
    <w:semiHidden/>
    <w:rsid w:val="001F4010"/>
    <w:rPr>
      <w:rFonts w:ascii="Tahoma" w:hAnsi="Tahoma" w:cs="Tahoma"/>
      <w:sz w:val="16"/>
      <w:szCs w:val="16"/>
    </w:rPr>
  </w:style>
  <w:style w:type="paragraph" w:styleId="NormalWeb">
    <w:name w:val="Normal (Web)"/>
    <w:basedOn w:val="Normal"/>
    <w:uiPriority w:val="99"/>
    <w:semiHidden/>
    <w:unhideWhenUsed/>
    <w:rsid w:val="00C078CD"/>
    <w:pPr>
      <w:widowControl/>
      <w:autoSpaceDE/>
      <w:autoSpaceDN/>
      <w:adjustRightInd/>
      <w:spacing w:before="100" w:beforeAutospacing="1" w:after="100" w:afterAutospacing="1"/>
    </w:pPr>
  </w:style>
  <w:style w:type="character" w:styleId="FollowedHyperlink">
    <w:name w:val="FollowedHyperlink"/>
    <w:basedOn w:val="DefaultParagraphFont"/>
    <w:uiPriority w:val="99"/>
    <w:semiHidden/>
    <w:unhideWhenUsed/>
    <w:rsid w:val="00B140E1"/>
    <w:rPr>
      <w:color w:val="800080" w:themeColor="followedHyperlink"/>
      <w:u w:val="single"/>
    </w:rPr>
  </w:style>
  <w:style w:type="paragraph" w:styleId="ListParagraph">
    <w:name w:val="List Paragraph"/>
    <w:basedOn w:val="Normal"/>
    <w:uiPriority w:val="34"/>
    <w:qFormat/>
    <w:rsid w:val="00A65192"/>
    <w:pPr>
      <w:ind w:left="720"/>
      <w:contextualSpacing/>
    </w:pPr>
  </w:style>
  <w:style w:type="paragraph" w:customStyle="1" w:styleId="TableCaption">
    <w:name w:val="TableCaption"/>
    <w:basedOn w:val="Caption"/>
    <w:link w:val="TableCaptionChar"/>
    <w:qFormat/>
    <w:rsid w:val="004F73B1"/>
    <w:pPr>
      <w:keepNext/>
      <w:spacing w:after="120"/>
      <w:jc w:val="center"/>
    </w:pPr>
    <w:rPr>
      <w:color w:val="auto"/>
      <w:sz w:val="20"/>
    </w:rPr>
  </w:style>
  <w:style w:type="character" w:customStyle="1" w:styleId="TableCaptionChar">
    <w:name w:val="TableCaption Char"/>
    <w:basedOn w:val="DefaultParagraphFont"/>
    <w:link w:val="TableCaption"/>
    <w:rsid w:val="004F73B1"/>
    <w:rPr>
      <w:b/>
      <w:bCs/>
      <w:szCs w:val="18"/>
    </w:rPr>
  </w:style>
  <w:style w:type="paragraph" w:styleId="Caption">
    <w:name w:val="caption"/>
    <w:basedOn w:val="Normal"/>
    <w:next w:val="Normal"/>
    <w:uiPriority w:val="35"/>
    <w:semiHidden/>
    <w:unhideWhenUsed/>
    <w:qFormat/>
    <w:rsid w:val="004F73B1"/>
    <w:pPr>
      <w:spacing w:after="200"/>
    </w:pPr>
    <w:rPr>
      <w:b/>
      <w:bCs/>
      <w:color w:val="4F81BD" w:themeColor="accent1"/>
      <w:sz w:val="18"/>
      <w:szCs w:val="18"/>
    </w:rPr>
  </w:style>
  <w:style w:type="character" w:styleId="UnresolvedMention">
    <w:name w:val="Unresolved Mention"/>
    <w:basedOn w:val="DefaultParagraphFont"/>
    <w:uiPriority w:val="99"/>
    <w:semiHidden/>
    <w:unhideWhenUsed/>
    <w:rsid w:val="00CC04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7195">
      <w:bodyDiv w:val="1"/>
      <w:marLeft w:val="0"/>
      <w:marRight w:val="0"/>
      <w:marTop w:val="0"/>
      <w:marBottom w:val="0"/>
      <w:divBdr>
        <w:top w:val="none" w:sz="0" w:space="0" w:color="auto"/>
        <w:left w:val="none" w:sz="0" w:space="0" w:color="auto"/>
        <w:bottom w:val="none" w:sz="0" w:space="0" w:color="auto"/>
        <w:right w:val="none" w:sz="0" w:space="0" w:color="auto"/>
      </w:divBdr>
    </w:div>
    <w:div w:id="7875353">
      <w:bodyDiv w:val="1"/>
      <w:marLeft w:val="0"/>
      <w:marRight w:val="0"/>
      <w:marTop w:val="0"/>
      <w:marBottom w:val="0"/>
      <w:divBdr>
        <w:top w:val="none" w:sz="0" w:space="0" w:color="auto"/>
        <w:left w:val="none" w:sz="0" w:space="0" w:color="auto"/>
        <w:bottom w:val="none" w:sz="0" w:space="0" w:color="auto"/>
        <w:right w:val="none" w:sz="0" w:space="0" w:color="auto"/>
      </w:divBdr>
    </w:div>
    <w:div w:id="594477534">
      <w:bodyDiv w:val="1"/>
      <w:marLeft w:val="0"/>
      <w:marRight w:val="0"/>
      <w:marTop w:val="0"/>
      <w:marBottom w:val="0"/>
      <w:divBdr>
        <w:top w:val="none" w:sz="0" w:space="0" w:color="auto"/>
        <w:left w:val="none" w:sz="0" w:space="0" w:color="auto"/>
        <w:bottom w:val="none" w:sz="0" w:space="0" w:color="auto"/>
        <w:right w:val="none" w:sz="0" w:space="0" w:color="auto"/>
      </w:divBdr>
    </w:div>
    <w:div w:id="1679578484">
      <w:bodyDiv w:val="1"/>
      <w:marLeft w:val="0"/>
      <w:marRight w:val="0"/>
      <w:marTop w:val="0"/>
      <w:marBottom w:val="0"/>
      <w:divBdr>
        <w:top w:val="none" w:sz="0" w:space="0" w:color="auto"/>
        <w:left w:val="none" w:sz="0" w:space="0" w:color="auto"/>
        <w:bottom w:val="none" w:sz="0" w:space="0" w:color="auto"/>
        <w:right w:val="none" w:sz="0" w:space="0" w:color="auto"/>
      </w:divBdr>
    </w:div>
    <w:div w:id="2067609900">
      <w:bodyDiv w:val="1"/>
      <w:marLeft w:val="0"/>
      <w:marRight w:val="0"/>
      <w:marTop w:val="0"/>
      <w:marBottom w:val="0"/>
      <w:divBdr>
        <w:top w:val="none" w:sz="0" w:space="0" w:color="auto"/>
        <w:left w:val="none" w:sz="0" w:space="0" w:color="auto"/>
        <w:bottom w:val="none" w:sz="0" w:space="0" w:color="auto"/>
        <w:right w:val="none" w:sz="0" w:space="0" w:color="auto"/>
      </w:divBdr>
    </w:div>
    <w:div w:id="214500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a.gov/facts-and-figures-about-materials-waste-and-recycling/advancing-sustainable-materials-management" TargetMode="External"/><Relationship Id="rId13" Type="http://schemas.openxmlformats.org/officeDocument/2006/relationships/hyperlink" Target="https://www.census.gov/data/datasets/2014/econ/cbp/2014-cb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actfinder.census.gov/faces/nav/jsf/pages/index.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census.gov/census_2010/04-Summary_File_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pa.gov/sites/production/files/2016-12/documents/food_waste_management_2014_12082016_508.pdf" TargetMode="External"/><Relationship Id="rId4" Type="http://schemas.openxmlformats.org/officeDocument/2006/relationships/settings" Target="settings.xml"/><Relationship Id="rId9" Type="http://schemas.openxmlformats.org/officeDocument/2006/relationships/hyperlink" Target="https://www.epa.gov/sites/production/files/2016-12/documents/food_waste_management_2014_12082016_508.pdf" TargetMode="External"/><Relationship Id="rId14" Type="http://schemas.openxmlformats.org/officeDocument/2006/relationships/hyperlink" Target="https://www.arb.ca.gov/DRDB/AV/CURHTML/R113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184A3-0A67-4BC8-A77C-49853BBE6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1645</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OPEN BURNING - RESIDENTIAL HOUSEHOLD WASTE</vt:lpstr>
    </vt:vector>
  </TitlesOfParts>
  <Company>Abt Associates Inc.</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RESIDENTIAL HOUSEHOLD WASTE</dc:title>
  <dc:creator>Jonathan Graves Dorn</dc:creator>
  <cp:lastModifiedBy>StClair, Aimee</cp:lastModifiedBy>
  <cp:revision>3</cp:revision>
  <dcterms:created xsi:type="dcterms:W3CDTF">2019-05-02T19:49:00Z</dcterms:created>
  <dcterms:modified xsi:type="dcterms:W3CDTF">2019-05-02T19:51:00Z</dcterms:modified>
</cp:coreProperties>
</file>