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1906" w:rsidRPr="00837E90" w:rsidRDefault="00837E90" w:rsidP="000B76DE">
      <w:pPr>
        <w:rPr>
          <w:b/>
        </w:rPr>
      </w:pPr>
      <w:r w:rsidRPr="00837E90">
        <w:rPr>
          <w:noProof/>
        </w:rPr>
        <w:drawing>
          <wp:anchor distT="0" distB="0" distL="114300" distR="114300" simplePos="0" relativeHeight="251654656" behindDoc="0" locked="0" layoutInCell="1" allowOverlap="1">
            <wp:simplePos x="0" y="0"/>
            <wp:positionH relativeFrom="column">
              <wp:posOffset>445135</wp:posOffset>
            </wp:positionH>
            <wp:positionV relativeFrom="paragraph">
              <wp:posOffset>-78740</wp:posOffset>
            </wp:positionV>
            <wp:extent cx="1336040" cy="1321435"/>
            <wp:effectExtent l="0" t="0" r="0" b="0"/>
            <wp:wrapNone/>
            <wp:docPr id="15" name="Picture 61" descr="E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ile:Environmental Protection Agency logo.sv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21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6C0B" w:rsidRPr="00837E90" w:rsidRDefault="00636C0B" w:rsidP="00B71E0D">
      <w:pPr>
        <w:pStyle w:val="CoverTextRed16pt"/>
        <w:spacing w:after="0"/>
        <w:ind w:left="5040" w:right="0"/>
        <w:rPr>
          <w:rFonts w:ascii="Times New Roman" w:hAnsi="Times New Roman"/>
          <w:noProof/>
          <w:color w:val="auto"/>
        </w:rPr>
      </w:pPr>
      <w:r w:rsidRPr="00837E90">
        <w:rPr>
          <w:rFonts w:ascii="Times New Roman" w:hAnsi="Times New Roman"/>
          <w:noProof/>
          <w:color w:val="auto"/>
        </w:rPr>
        <w:t xml:space="preserve">Residential Wood </w:t>
      </w:r>
      <w:r w:rsidR="00837E90" w:rsidRPr="00837E90">
        <w:rPr>
          <w:noProof/>
          <w:color w:val="auto"/>
        </w:rPr>
        <w:drawing>
          <wp:anchor distT="0" distB="0" distL="114300" distR="114300" simplePos="0" relativeHeight="251653632" behindDoc="0" locked="1" layoutInCell="1" allowOverlap="1">
            <wp:simplePos x="0" y="0"/>
            <wp:positionH relativeFrom="column">
              <wp:posOffset>495300</wp:posOffset>
            </wp:positionH>
            <wp:positionV relativeFrom="paragraph">
              <wp:posOffset>1582420</wp:posOffset>
            </wp:positionV>
            <wp:extent cx="1197610" cy="1197610"/>
            <wp:effectExtent l="0" t="0" r="0" b="0"/>
            <wp:wrapNone/>
            <wp:docPr id="14" name="Picture 11" descr="abt_assoc_logo_pm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bt_assoc_logo_pms_cmy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7610" cy="1197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7E90">
        <w:rPr>
          <w:rFonts w:ascii="Times New Roman" w:hAnsi="Times New Roman"/>
          <w:noProof/>
          <w:color w:val="auto"/>
        </w:rPr>
        <w:t>Combustion</w:t>
      </w:r>
      <w:r w:rsidR="000B76DE" w:rsidRPr="00837E90">
        <w:rPr>
          <w:rFonts w:ascii="Times New Roman" w:hAnsi="Times New Roman"/>
          <w:noProof/>
          <w:color w:val="auto"/>
        </w:rPr>
        <w:t>:</w:t>
      </w:r>
    </w:p>
    <w:p w:rsidR="000B76DE" w:rsidRPr="00837E90" w:rsidRDefault="000B76DE" w:rsidP="00B71E0D">
      <w:pPr>
        <w:pStyle w:val="CoverTextRed16pt"/>
        <w:spacing w:after="0"/>
        <w:ind w:left="5040" w:right="0"/>
        <w:rPr>
          <w:rFonts w:ascii="Times New Roman" w:hAnsi="Times New Roman"/>
          <w:noProof/>
          <w:color w:val="auto"/>
        </w:rPr>
      </w:pPr>
    </w:p>
    <w:p w:rsidR="000B76DE" w:rsidRPr="00837E90" w:rsidRDefault="000B76DE" w:rsidP="000B76DE">
      <w:pPr>
        <w:pStyle w:val="CoverTextRed16pt"/>
        <w:spacing w:after="0"/>
        <w:ind w:left="4410" w:right="0"/>
        <w:rPr>
          <w:rFonts w:ascii="Times New Roman" w:hAnsi="Times New Roman"/>
          <w:noProof/>
          <w:color w:val="auto"/>
        </w:rPr>
      </w:pPr>
      <w:r w:rsidRPr="00837E90">
        <w:rPr>
          <w:rFonts w:ascii="Times New Roman" w:hAnsi="Times New Roman"/>
          <w:noProof/>
          <w:color w:val="auto"/>
        </w:rPr>
        <w:t>Documentation for EPA’s Nonpoint Emissions Estimation Tool</w:t>
      </w:r>
    </w:p>
    <w:p w:rsidR="005B1906" w:rsidRPr="00837E90" w:rsidRDefault="005B1906" w:rsidP="00B71E0D">
      <w:pPr>
        <w:pStyle w:val="CoverTextRed16pt"/>
        <w:spacing w:after="0"/>
        <w:ind w:left="5040"/>
        <w:rPr>
          <w:rFonts w:ascii="Times New Roman" w:hAnsi="Times New Roman"/>
          <w:noProof/>
          <w:color w:val="auto"/>
        </w:rPr>
      </w:pPr>
    </w:p>
    <w:p w:rsidR="00924006" w:rsidRPr="00F47DF7" w:rsidRDefault="00924006" w:rsidP="00924006">
      <w:pPr>
        <w:pStyle w:val="CoverTextGreyBold"/>
        <w:spacing w:after="0" w:line="240" w:lineRule="auto"/>
        <w:ind w:left="4590" w:right="0"/>
        <w:rPr>
          <w:rFonts w:ascii="Times New Roman" w:hAnsi="Times New Roman"/>
          <w:b w:val="0"/>
          <w:color w:val="auto"/>
          <w:sz w:val="24"/>
        </w:rPr>
      </w:pPr>
      <w:r w:rsidRPr="00F47DF7">
        <w:rPr>
          <w:rFonts w:ascii="Times New Roman" w:hAnsi="Times New Roman"/>
          <w:b w:val="0"/>
          <w:color w:val="auto"/>
          <w:sz w:val="24"/>
        </w:rPr>
        <w:t xml:space="preserve">Residential Wood Combustion Tool Version </w:t>
      </w:r>
      <w:r w:rsidR="003633BE" w:rsidRPr="00F47DF7">
        <w:rPr>
          <w:rFonts w:ascii="Times New Roman" w:hAnsi="Times New Roman"/>
          <w:b w:val="0"/>
          <w:color w:val="auto"/>
          <w:sz w:val="24"/>
        </w:rPr>
        <w:t>3.2</w:t>
      </w:r>
      <w:r w:rsidR="001A6F14" w:rsidRPr="00F47DF7">
        <w:rPr>
          <w:rFonts w:ascii="Times New Roman" w:hAnsi="Times New Roman"/>
          <w:b w:val="0"/>
          <w:color w:val="auto"/>
          <w:sz w:val="24"/>
        </w:rPr>
        <w:t xml:space="preserve"> </w:t>
      </w:r>
    </w:p>
    <w:p w:rsidR="007B2358" w:rsidRPr="00F47DF7" w:rsidRDefault="007B2358" w:rsidP="00924006">
      <w:pPr>
        <w:pStyle w:val="CoverTextGreyBold"/>
        <w:spacing w:after="0" w:line="240" w:lineRule="auto"/>
        <w:ind w:left="4590" w:right="0"/>
        <w:rPr>
          <w:rFonts w:ascii="Times New Roman" w:hAnsi="Times New Roman"/>
          <w:b w:val="0"/>
          <w:color w:val="auto"/>
          <w:sz w:val="24"/>
        </w:rPr>
      </w:pPr>
    </w:p>
    <w:p w:rsidR="005B1906" w:rsidRPr="00F47DF7" w:rsidRDefault="005B1906" w:rsidP="00B71E0D">
      <w:pPr>
        <w:pStyle w:val="CoverTextRed16pt"/>
        <w:spacing w:after="0"/>
        <w:ind w:left="5040" w:right="0"/>
        <w:rPr>
          <w:rFonts w:ascii="Times New Roman" w:hAnsi="Times New Roman"/>
          <w:noProof/>
          <w:color w:val="auto"/>
          <w:sz w:val="24"/>
          <w:szCs w:val="24"/>
        </w:rPr>
      </w:pPr>
    </w:p>
    <w:p w:rsidR="005B1906" w:rsidRPr="00F47DF7" w:rsidRDefault="005B1906" w:rsidP="00B71E0D">
      <w:pPr>
        <w:pStyle w:val="CoverTextGreyBold"/>
        <w:spacing w:after="0"/>
        <w:ind w:right="0"/>
        <w:rPr>
          <w:rFonts w:ascii="Times New Roman" w:hAnsi="Times New Roman"/>
          <w:color w:val="auto"/>
          <w:sz w:val="24"/>
          <w:highlight w:val="yellow"/>
        </w:rPr>
      </w:pPr>
    </w:p>
    <w:p w:rsidR="005B1906" w:rsidRPr="00F47DF7" w:rsidRDefault="005B1906" w:rsidP="00B71E0D">
      <w:pPr>
        <w:pStyle w:val="CoverTextGreyBold"/>
        <w:spacing w:after="0"/>
        <w:ind w:right="0"/>
        <w:rPr>
          <w:rFonts w:ascii="Times New Roman" w:hAnsi="Times New Roman"/>
          <w:color w:val="auto"/>
          <w:sz w:val="24"/>
          <w:highlight w:val="yellow"/>
        </w:rPr>
      </w:pPr>
    </w:p>
    <w:p w:rsidR="005B1906" w:rsidRPr="00F47DF7" w:rsidRDefault="005B1906" w:rsidP="00B71E0D">
      <w:pPr>
        <w:pStyle w:val="CoverTextGreyBold"/>
        <w:spacing w:after="0" w:line="240" w:lineRule="auto"/>
        <w:ind w:right="0"/>
        <w:rPr>
          <w:rFonts w:ascii="Times New Roman" w:hAnsi="Times New Roman"/>
          <w:color w:val="auto"/>
          <w:sz w:val="24"/>
        </w:rPr>
      </w:pPr>
      <w:r w:rsidRPr="00F47DF7">
        <w:rPr>
          <w:rFonts w:ascii="Times New Roman" w:hAnsi="Times New Roman"/>
          <w:color w:val="auto"/>
          <w:sz w:val="24"/>
        </w:rPr>
        <w:t xml:space="preserve"> </w:t>
      </w:r>
    </w:p>
    <w:p w:rsidR="005B1906" w:rsidRPr="00F47DF7" w:rsidRDefault="005B1906" w:rsidP="00B71E0D">
      <w:pPr>
        <w:pStyle w:val="CoverText-Address"/>
        <w:spacing w:after="0" w:line="240" w:lineRule="auto"/>
        <w:ind w:right="0"/>
        <w:rPr>
          <w:rFonts w:ascii="Times New Roman" w:hAnsi="Times New Roman"/>
          <w:color w:val="auto"/>
          <w:sz w:val="24"/>
        </w:rPr>
      </w:pPr>
    </w:p>
    <w:p w:rsidR="005B1906" w:rsidRPr="00F47DF7" w:rsidRDefault="005B1906" w:rsidP="00B71E0D">
      <w:pPr>
        <w:pStyle w:val="CoverText-Address"/>
        <w:spacing w:after="0" w:line="240" w:lineRule="auto"/>
        <w:ind w:right="0"/>
        <w:rPr>
          <w:rFonts w:ascii="Times New Roman" w:hAnsi="Times New Roman"/>
          <w:b/>
          <w:color w:val="auto"/>
          <w:sz w:val="24"/>
        </w:rPr>
      </w:pPr>
    </w:p>
    <w:p w:rsidR="000218B0" w:rsidRPr="00F47DF7" w:rsidRDefault="000218B0" w:rsidP="00B71E0D">
      <w:pPr>
        <w:pStyle w:val="CoverText-Address"/>
        <w:spacing w:after="0" w:line="240" w:lineRule="auto"/>
        <w:ind w:right="0"/>
        <w:rPr>
          <w:rFonts w:ascii="Times New Roman" w:hAnsi="Times New Roman"/>
          <w:b/>
          <w:color w:val="auto"/>
          <w:sz w:val="24"/>
        </w:rPr>
      </w:pPr>
    </w:p>
    <w:p w:rsidR="000218B0" w:rsidRPr="00F47DF7" w:rsidRDefault="000218B0" w:rsidP="00B71E0D">
      <w:pPr>
        <w:pStyle w:val="CoverText-Address"/>
        <w:spacing w:after="0" w:line="240" w:lineRule="auto"/>
        <w:ind w:right="0"/>
        <w:rPr>
          <w:rFonts w:ascii="Times New Roman" w:hAnsi="Times New Roman"/>
          <w:b/>
          <w:color w:val="auto"/>
          <w:sz w:val="24"/>
        </w:rPr>
      </w:pPr>
    </w:p>
    <w:p w:rsidR="000218B0" w:rsidRPr="00F47DF7" w:rsidRDefault="003633BE" w:rsidP="000218B0">
      <w:pPr>
        <w:pStyle w:val="CoverTextGreyBold"/>
        <w:spacing w:after="0" w:line="240" w:lineRule="auto"/>
        <w:ind w:left="4590" w:right="0"/>
        <w:rPr>
          <w:rFonts w:ascii="Times New Roman" w:hAnsi="Times New Roman"/>
          <w:noProof/>
          <w:color w:val="auto"/>
          <w:sz w:val="24"/>
        </w:rPr>
      </w:pPr>
      <w:r w:rsidRPr="00F47DF7">
        <w:rPr>
          <w:rFonts w:ascii="Times New Roman" w:hAnsi="Times New Roman"/>
          <w:b w:val="0"/>
          <w:color w:val="auto"/>
          <w:sz w:val="24"/>
        </w:rPr>
        <w:t>May 2017</w:t>
      </w:r>
    </w:p>
    <w:p w:rsidR="000218B0" w:rsidRPr="00F47DF7" w:rsidRDefault="000218B0" w:rsidP="00B71E0D">
      <w:pPr>
        <w:pStyle w:val="CoverText-Address"/>
        <w:spacing w:after="0" w:line="240" w:lineRule="auto"/>
        <w:ind w:right="0"/>
        <w:rPr>
          <w:rFonts w:ascii="Times New Roman" w:hAnsi="Times New Roman"/>
          <w:b/>
          <w:color w:val="auto"/>
          <w:sz w:val="24"/>
        </w:rPr>
      </w:pPr>
    </w:p>
    <w:p w:rsidR="005B1906" w:rsidRPr="00F47DF7" w:rsidRDefault="005B1906" w:rsidP="00B71E0D">
      <w:pPr>
        <w:pStyle w:val="CoverText-Address"/>
        <w:spacing w:after="0" w:line="240" w:lineRule="auto"/>
        <w:ind w:right="0"/>
        <w:rPr>
          <w:rFonts w:ascii="Times New Roman" w:hAnsi="Times New Roman"/>
          <w:color w:val="auto"/>
          <w:sz w:val="24"/>
        </w:rPr>
      </w:pPr>
    </w:p>
    <w:p w:rsidR="005B1906" w:rsidRPr="00F47DF7" w:rsidRDefault="005B1906" w:rsidP="00B71E0D">
      <w:pPr>
        <w:pStyle w:val="CoverText-Address"/>
        <w:spacing w:after="0" w:line="240" w:lineRule="auto"/>
        <w:ind w:right="0"/>
        <w:rPr>
          <w:rFonts w:ascii="Times New Roman" w:hAnsi="Times New Roman"/>
          <w:color w:val="auto"/>
          <w:sz w:val="24"/>
        </w:rPr>
      </w:pPr>
    </w:p>
    <w:p w:rsidR="005B1906" w:rsidRPr="00F47DF7" w:rsidRDefault="005B1906" w:rsidP="00B71E0D">
      <w:pPr>
        <w:pStyle w:val="CoverText-Address"/>
        <w:spacing w:after="0" w:line="240" w:lineRule="auto"/>
        <w:ind w:right="0"/>
        <w:rPr>
          <w:rFonts w:ascii="Times New Roman" w:hAnsi="Times New Roman"/>
          <w:color w:val="auto"/>
          <w:sz w:val="24"/>
        </w:rPr>
      </w:pPr>
    </w:p>
    <w:p w:rsidR="005B1906" w:rsidRPr="00F47DF7" w:rsidRDefault="005B1906" w:rsidP="00B71E0D">
      <w:pPr>
        <w:tabs>
          <w:tab w:val="left" w:pos="720"/>
          <w:tab w:val="left" w:pos="1080"/>
          <w:tab w:val="left" w:pos="1440"/>
          <w:tab w:val="left" w:pos="1800"/>
          <w:tab w:val="left" w:pos="6660"/>
        </w:tabs>
        <w:spacing w:after="0" w:line="240" w:lineRule="auto"/>
        <w:ind w:left="6490"/>
        <w:jc w:val="right"/>
        <w:rPr>
          <w:sz w:val="24"/>
        </w:rPr>
      </w:pPr>
    </w:p>
    <w:p w:rsidR="005B1906" w:rsidRPr="00F47DF7" w:rsidRDefault="005B1906" w:rsidP="00B71E0D">
      <w:pPr>
        <w:tabs>
          <w:tab w:val="left" w:pos="720"/>
          <w:tab w:val="left" w:pos="1080"/>
          <w:tab w:val="left" w:pos="1440"/>
          <w:tab w:val="left" w:pos="1800"/>
          <w:tab w:val="left" w:pos="6660"/>
        </w:tabs>
        <w:spacing w:after="0" w:line="240" w:lineRule="auto"/>
        <w:ind w:left="6490"/>
        <w:jc w:val="right"/>
        <w:rPr>
          <w:sz w:val="24"/>
        </w:rPr>
      </w:pPr>
    </w:p>
    <w:p w:rsidR="005B1906" w:rsidRPr="00F47DF7" w:rsidRDefault="005B1906" w:rsidP="00B71E0D">
      <w:pPr>
        <w:pStyle w:val="CoverText11pt"/>
        <w:spacing w:after="0" w:line="240" w:lineRule="auto"/>
        <w:ind w:right="0"/>
        <w:rPr>
          <w:rFonts w:ascii="Times New Roman" w:hAnsi="Times New Roman"/>
          <w:color w:val="auto"/>
          <w:sz w:val="24"/>
        </w:rPr>
      </w:pPr>
    </w:p>
    <w:p w:rsidR="005B1906" w:rsidRPr="00F47DF7" w:rsidRDefault="005B1906" w:rsidP="00B71E0D">
      <w:pPr>
        <w:pStyle w:val="CoverText11pt"/>
        <w:spacing w:after="0" w:line="240" w:lineRule="auto"/>
        <w:ind w:right="0"/>
        <w:rPr>
          <w:rFonts w:ascii="Times New Roman" w:hAnsi="Times New Roman"/>
          <w:color w:val="auto"/>
          <w:sz w:val="24"/>
        </w:rPr>
      </w:pPr>
    </w:p>
    <w:p w:rsidR="005B1906" w:rsidRPr="00F47DF7" w:rsidRDefault="005B1906" w:rsidP="00B71E0D">
      <w:pPr>
        <w:pStyle w:val="CoverText11pt"/>
        <w:spacing w:after="0" w:line="240" w:lineRule="auto"/>
        <w:ind w:right="0"/>
        <w:rPr>
          <w:rFonts w:ascii="Times New Roman" w:hAnsi="Times New Roman"/>
          <w:color w:val="auto"/>
          <w:sz w:val="24"/>
        </w:rPr>
      </w:pPr>
      <w:r w:rsidRPr="00F47DF7">
        <w:rPr>
          <w:rFonts w:ascii="Times New Roman" w:hAnsi="Times New Roman"/>
          <w:color w:val="auto"/>
          <w:sz w:val="24"/>
        </w:rPr>
        <w:t>Prepared for:</w:t>
      </w:r>
    </w:p>
    <w:p w:rsidR="000B76DE" w:rsidRPr="00F47DF7" w:rsidRDefault="000B76DE" w:rsidP="000B76DE">
      <w:pPr>
        <w:pStyle w:val="CoverText-Address"/>
        <w:spacing w:after="0" w:line="240" w:lineRule="auto"/>
        <w:ind w:right="0"/>
        <w:rPr>
          <w:rFonts w:ascii="Times New Roman" w:hAnsi="Times New Roman"/>
          <w:b/>
          <w:color w:val="auto"/>
          <w:sz w:val="24"/>
        </w:rPr>
      </w:pPr>
      <w:r w:rsidRPr="00F47DF7">
        <w:rPr>
          <w:rFonts w:ascii="Times New Roman" w:hAnsi="Times New Roman"/>
          <w:b/>
          <w:color w:val="auto"/>
          <w:sz w:val="24"/>
        </w:rPr>
        <w:t>U.S. Environmental Protection Agency</w:t>
      </w:r>
    </w:p>
    <w:p w:rsidR="000B76DE" w:rsidRPr="00F47DF7" w:rsidRDefault="000B76DE" w:rsidP="000B76DE">
      <w:pPr>
        <w:pStyle w:val="CoverText-Address"/>
        <w:spacing w:after="0" w:line="240" w:lineRule="auto"/>
        <w:ind w:right="0"/>
        <w:rPr>
          <w:rFonts w:ascii="Times New Roman" w:hAnsi="Times New Roman"/>
          <w:color w:val="auto"/>
          <w:sz w:val="24"/>
        </w:rPr>
      </w:pPr>
      <w:r w:rsidRPr="00F47DF7">
        <w:rPr>
          <w:rFonts w:ascii="Times New Roman" w:hAnsi="Times New Roman"/>
          <w:color w:val="auto"/>
          <w:sz w:val="24"/>
        </w:rPr>
        <w:t>Emissions Inventory and Analysis Group</w:t>
      </w:r>
    </w:p>
    <w:p w:rsidR="000B76DE" w:rsidRPr="00F47DF7" w:rsidRDefault="000B76DE" w:rsidP="000B76DE">
      <w:pPr>
        <w:pStyle w:val="CoverText-Address"/>
        <w:spacing w:after="0" w:line="240" w:lineRule="auto"/>
        <w:ind w:right="0"/>
        <w:rPr>
          <w:rFonts w:ascii="Times New Roman" w:hAnsi="Times New Roman"/>
          <w:color w:val="auto"/>
          <w:sz w:val="24"/>
        </w:rPr>
      </w:pPr>
      <w:r w:rsidRPr="00F47DF7">
        <w:rPr>
          <w:rFonts w:ascii="Times New Roman" w:hAnsi="Times New Roman"/>
          <w:color w:val="auto"/>
          <w:sz w:val="24"/>
        </w:rPr>
        <w:t>Office of Air Quality Planning and Standards</w:t>
      </w:r>
    </w:p>
    <w:p w:rsidR="000B76DE" w:rsidRPr="00F47DF7" w:rsidRDefault="000B76DE" w:rsidP="000B76DE">
      <w:pPr>
        <w:pStyle w:val="CoverText-Address"/>
        <w:spacing w:after="0" w:line="240" w:lineRule="auto"/>
        <w:ind w:right="0"/>
        <w:rPr>
          <w:rFonts w:ascii="Times New Roman" w:hAnsi="Times New Roman"/>
          <w:color w:val="auto"/>
          <w:sz w:val="24"/>
        </w:rPr>
      </w:pPr>
      <w:r w:rsidRPr="00F47DF7">
        <w:rPr>
          <w:rFonts w:ascii="Times New Roman" w:hAnsi="Times New Roman"/>
          <w:color w:val="auto"/>
          <w:sz w:val="24"/>
        </w:rPr>
        <w:t>Research Triangle Park, NC, USA</w:t>
      </w:r>
    </w:p>
    <w:p w:rsidR="005B1906" w:rsidRPr="00F47DF7" w:rsidRDefault="005B1906" w:rsidP="00B71E0D">
      <w:pPr>
        <w:pStyle w:val="CoverText-Address"/>
        <w:spacing w:after="0" w:line="240" w:lineRule="auto"/>
        <w:ind w:right="0"/>
        <w:rPr>
          <w:rFonts w:ascii="Times New Roman" w:hAnsi="Times New Roman"/>
          <w:color w:val="auto"/>
          <w:sz w:val="24"/>
        </w:rPr>
      </w:pPr>
    </w:p>
    <w:p w:rsidR="005B1906" w:rsidRPr="00F47DF7" w:rsidRDefault="005B1906" w:rsidP="00B71E0D">
      <w:pPr>
        <w:pStyle w:val="CoverTextRed16pt"/>
        <w:spacing w:after="0" w:line="240" w:lineRule="auto"/>
        <w:ind w:left="5040" w:right="0"/>
        <w:rPr>
          <w:rFonts w:ascii="Times New Roman" w:hAnsi="Times New Roman"/>
          <w:noProof/>
          <w:color w:val="auto"/>
          <w:sz w:val="24"/>
          <w:szCs w:val="24"/>
        </w:rPr>
      </w:pPr>
    </w:p>
    <w:p w:rsidR="005B1906" w:rsidRPr="00F47DF7" w:rsidRDefault="005B1906" w:rsidP="00B71E0D">
      <w:pPr>
        <w:pStyle w:val="CoverText11pt"/>
        <w:spacing w:after="0" w:line="240" w:lineRule="auto"/>
        <w:ind w:right="0"/>
        <w:rPr>
          <w:rFonts w:ascii="Times New Roman" w:hAnsi="Times New Roman"/>
          <w:color w:val="auto"/>
          <w:sz w:val="24"/>
        </w:rPr>
      </w:pPr>
    </w:p>
    <w:p w:rsidR="005B1906" w:rsidRPr="00F47DF7" w:rsidRDefault="005B1906" w:rsidP="00B71E0D">
      <w:pPr>
        <w:pStyle w:val="CoverText11pt"/>
        <w:spacing w:after="0" w:line="240" w:lineRule="auto"/>
        <w:ind w:right="0"/>
        <w:rPr>
          <w:rFonts w:ascii="Times New Roman" w:hAnsi="Times New Roman"/>
          <w:color w:val="auto"/>
          <w:sz w:val="24"/>
        </w:rPr>
      </w:pPr>
    </w:p>
    <w:p w:rsidR="005B1906" w:rsidRPr="00F47DF7" w:rsidRDefault="005B1906" w:rsidP="00B71E0D">
      <w:pPr>
        <w:pStyle w:val="CoverText11pt"/>
        <w:spacing w:after="0" w:line="240" w:lineRule="auto"/>
        <w:ind w:right="0"/>
        <w:rPr>
          <w:rFonts w:ascii="Times New Roman" w:hAnsi="Times New Roman"/>
          <w:color w:val="auto"/>
          <w:sz w:val="24"/>
        </w:rPr>
      </w:pPr>
      <w:r w:rsidRPr="00F47DF7">
        <w:rPr>
          <w:rFonts w:ascii="Times New Roman" w:hAnsi="Times New Roman"/>
          <w:color w:val="auto"/>
          <w:sz w:val="24"/>
        </w:rPr>
        <w:t>Submitted by:</w:t>
      </w:r>
    </w:p>
    <w:p w:rsidR="005B1906" w:rsidRPr="00F47DF7" w:rsidRDefault="005B1906" w:rsidP="00B71E0D">
      <w:pPr>
        <w:pStyle w:val="CoverText-Address"/>
        <w:spacing w:after="0" w:line="240" w:lineRule="auto"/>
        <w:ind w:right="0"/>
        <w:rPr>
          <w:rFonts w:ascii="Times New Roman" w:hAnsi="Times New Roman"/>
          <w:b/>
          <w:color w:val="auto"/>
          <w:sz w:val="24"/>
        </w:rPr>
      </w:pPr>
      <w:proofErr w:type="spellStart"/>
      <w:r w:rsidRPr="00F47DF7">
        <w:rPr>
          <w:rFonts w:ascii="Times New Roman" w:hAnsi="Times New Roman"/>
          <w:b/>
          <w:color w:val="auto"/>
          <w:sz w:val="24"/>
        </w:rPr>
        <w:t>Abt</w:t>
      </w:r>
      <w:proofErr w:type="spellEnd"/>
      <w:r w:rsidRPr="00F47DF7">
        <w:rPr>
          <w:rFonts w:ascii="Times New Roman" w:hAnsi="Times New Roman"/>
          <w:b/>
          <w:color w:val="auto"/>
          <w:sz w:val="24"/>
        </w:rPr>
        <w:t xml:space="preserve"> Associates</w:t>
      </w:r>
    </w:p>
    <w:p w:rsidR="000B76DE" w:rsidRPr="00F47DF7" w:rsidRDefault="000B76DE" w:rsidP="00B71E0D">
      <w:pPr>
        <w:pStyle w:val="CoverText-Address"/>
        <w:spacing w:after="0" w:line="240" w:lineRule="auto"/>
        <w:ind w:right="0"/>
        <w:rPr>
          <w:rFonts w:ascii="Times New Roman" w:hAnsi="Times New Roman"/>
          <w:color w:val="auto"/>
          <w:sz w:val="24"/>
        </w:rPr>
      </w:pPr>
      <w:r w:rsidRPr="00F47DF7">
        <w:rPr>
          <w:rFonts w:ascii="Times New Roman" w:hAnsi="Times New Roman"/>
          <w:color w:val="auto"/>
          <w:sz w:val="24"/>
        </w:rPr>
        <w:t>5001 South Miami Blvd., Suite 210</w:t>
      </w:r>
    </w:p>
    <w:p w:rsidR="005B1906" w:rsidRPr="00F47DF7" w:rsidRDefault="005B1906" w:rsidP="00B71E0D">
      <w:pPr>
        <w:pStyle w:val="CoverText-Address"/>
        <w:spacing w:after="0" w:line="240" w:lineRule="auto"/>
        <w:ind w:right="0"/>
        <w:rPr>
          <w:rFonts w:ascii="Times New Roman" w:hAnsi="Times New Roman"/>
          <w:color w:val="auto"/>
          <w:sz w:val="24"/>
        </w:rPr>
      </w:pPr>
      <w:r w:rsidRPr="00F47DF7">
        <w:rPr>
          <w:rFonts w:ascii="Times New Roman" w:hAnsi="Times New Roman"/>
          <w:color w:val="auto"/>
          <w:sz w:val="24"/>
        </w:rPr>
        <w:t>Durham, NC, USA</w:t>
      </w:r>
    </w:p>
    <w:p w:rsidR="005B1906" w:rsidRPr="00F47DF7" w:rsidRDefault="005B1906" w:rsidP="00B71E0D">
      <w:pPr>
        <w:pStyle w:val="CoverTextRed16pt"/>
        <w:spacing w:after="0" w:line="240" w:lineRule="auto"/>
        <w:ind w:left="5040" w:right="0"/>
        <w:rPr>
          <w:rFonts w:ascii="Times New Roman" w:hAnsi="Times New Roman"/>
          <w:noProof/>
          <w:color w:val="auto"/>
          <w:sz w:val="24"/>
          <w:szCs w:val="24"/>
        </w:rPr>
      </w:pPr>
    </w:p>
    <w:p w:rsidR="005B1906" w:rsidRPr="00837E90" w:rsidRDefault="005B1906" w:rsidP="00BE2604">
      <w:pPr>
        <w:spacing w:after="180" w:line="264" w:lineRule="auto"/>
        <w:sectPr w:rsidR="005B1906" w:rsidRPr="00837E90" w:rsidSect="00BE2604">
          <w:pgSz w:w="12240" w:h="15840" w:code="1"/>
          <w:pgMar w:top="1440" w:right="1440" w:bottom="1440" w:left="1440" w:header="720" w:footer="720" w:gutter="0"/>
          <w:pgNumType w:fmt="lowerRoman" w:start="1"/>
          <w:cols w:space="720"/>
          <w:docGrid w:linePitch="360"/>
        </w:sectPr>
      </w:pPr>
    </w:p>
    <w:p w:rsidR="005B1906" w:rsidRPr="00F47DF7" w:rsidRDefault="005B1906" w:rsidP="00EB0E1F">
      <w:pPr>
        <w:pStyle w:val="TOCHeading"/>
        <w:spacing w:before="120" w:after="200" w:line="240" w:lineRule="auto"/>
        <w:rPr>
          <w:rFonts w:ascii="Times New Roman" w:hAnsi="Times New Roman"/>
          <w:color w:val="auto"/>
          <w:sz w:val="24"/>
          <w:szCs w:val="24"/>
        </w:rPr>
      </w:pPr>
      <w:r w:rsidRPr="00F47DF7">
        <w:rPr>
          <w:rFonts w:ascii="Times New Roman" w:hAnsi="Times New Roman"/>
          <w:color w:val="auto"/>
          <w:sz w:val="24"/>
          <w:szCs w:val="24"/>
        </w:rPr>
        <w:lastRenderedPageBreak/>
        <w:t>Table of Contents</w:t>
      </w:r>
    </w:p>
    <w:p w:rsidR="000E494C" w:rsidRPr="00F47DF7" w:rsidRDefault="005B1906">
      <w:pPr>
        <w:pStyle w:val="TOC1"/>
        <w:tabs>
          <w:tab w:val="right" w:leader="dot" w:pos="9350"/>
        </w:tabs>
        <w:rPr>
          <w:rFonts w:ascii="Calibri" w:hAnsi="Calibri"/>
          <w:noProof/>
          <w:sz w:val="24"/>
        </w:rPr>
      </w:pPr>
      <w:r w:rsidRPr="00F47DF7">
        <w:rPr>
          <w:sz w:val="24"/>
        </w:rPr>
        <w:fldChar w:fldCharType="begin"/>
      </w:r>
      <w:r w:rsidRPr="00F47DF7">
        <w:rPr>
          <w:sz w:val="24"/>
        </w:rPr>
        <w:instrText xml:space="preserve"> TOC \o "1-3" \h \z \u </w:instrText>
      </w:r>
      <w:r w:rsidRPr="00F47DF7">
        <w:rPr>
          <w:sz w:val="24"/>
        </w:rPr>
        <w:fldChar w:fldCharType="separate"/>
      </w:r>
      <w:hyperlink w:anchor="_Toc449605610" w:history="1">
        <w:r w:rsidR="000E494C" w:rsidRPr="00F47DF7">
          <w:rPr>
            <w:rStyle w:val="Hyperlink"/>
            <w:noProof/>
            <w:color w:val="auto"/>
            <w:sz w:val="24"/>
          </w:rPr>
          <w:t>A. Introduction</w:t>
        </w:r>
        <w:r w:rsidR="000E494C" w:rsidRPr="00F47DF7">
          <w:rPr>
            <w:noProof/>
            <w:webHidden/>
            <w:sz w:val="24"/>
          </w:rPr>
          <w:tab/>
        </w:r>
        <w:r w:rsidR="000E494C" w:rsidRPr="00F47DF7">
          <w:rPr>
            <w:noProof/>
            <w:webHidden/>
            <w:sz w:val="24"/>
          </w:rPr>
          <w:fldChar w:fldCharType="begin"/>
        </w:r>
        <w:r w:rsidR="000E494C" w:rsidRPr="00F47DF7">
          <w:rPr>
            <w:noProof/>
            <w:webHidden/>
            <w:sz w:val="24"/>
          </w:rPr>
          <w:instrText xml:space="preserve"> PAGEREF _Toc449605610 \h </w:instrText>
        </w:r>
        <w:r w:rsidR="000E494C" w:rsidRPr="00F47DF7">
          <w:rPr>
            <w:noProof/>
            <w:webHidden/>
            <w:sz w:val="24"/>
          </w:rPr>
        </w:r>
        <w:r w:rsidR="000E494C" w:rsidRPr="00F47DF7">
          <w:rPr>
            <w:noProof/>
            <w:webHidden/>
            <w:sz w:val="24"/>
          </w:rPr>
          <w:fldChar w:fldCharType="separate"/>
        </w:r>
        <w:r w:rsidR="00975A86" w:rsidRPr="00F47DF7">
          <w:rPr>
            <w:noProof/>
            <w:webHidden/>
            <w:sz w:val="24"/>
          </w:rPr>
          <w:t>2</w:t>
        </w:r>
        <w:r w:rsidR="000E494C" w:rsidRPr="00F47DF7">
          <w:rPr>
            <w:noProof/>
            <w:webHidden/>
            <w:sz w:val="24"/>
          </w:rPr>
          <w:fldChar w:fldCharType="end"/>
        </w:r>
      </w:hyperlink>
    </w:p>
    <w:p w:rsidR="000E494C" w:rsidRPr="00F47DF7" w:rsidRDefault="000E494C">
      <w:pPr>
        <w:pStyle w:val="TOC1"/>
        <w:tabs>
          <w:tab w:val="right" w:leader="dot" w:pos="9350"/>
        </w:tabs>
        <w:rPr>
          <w:rFonts w:ascii="Calibri" w:hAnsi="Calibri"/>
          <w:noProof/>
          <w:sz w:val="24"/>
        </w:rPr>
      </w:pPr>
      <w:hyperlink w:anchor="_Toc449605611" w:history="1">
        <w:r w:rsidRPr="00F47DF7">
          <w:rPr>
            <w:rStyle w:val="Hyperlink"/>
            <w:noProof/>
            <w:color w:val="auto"/>
            <w:sz w:val="24"/>
          </w:rPr>
          <w:t>B. Calculation Metholodgy</w:t>
        </w:r>
        <w:r w:rsidRPr="00F47DF7">
          <w:rPr>
            <w:noProof/>
            <w:webHidden/>
            <w:sz w:val="24"/>
          </w:rPr>
          <w:tab/>
        </w:r>
        <w:r w:rsidRPr="00F47DF7">
          <w:rPr>
            <w:noProof/>
            <w:webHidden/>
            <w:sz w:val="24"/>
          </w:rPr>
          <w:fldChar w:fldCharType="begin"/>
        </w:r>
        <w:r w:rsidRPr="00F47DF7">
          <w:rPr>
            <w:noProof/>
            <w:webHidden/>
            <w:sz w:val="24"/>
          </w:rPr>
          <w:instrText xml:space="preserve"> PAGEREF _Toc449605611 \h </w:instrText>
        </w:r>
        <w:r w:rsidRPr="00F47DF7">
          <w:rPr>
            <w:noProof/>
            <w:webHidden/>
            <w:sz w:val="24"/>
          </w:rPr>
        </w:r>
        <w:r w:rsidRPr="00F47DF7">
          <w:rPr>
            <w:noProof/>
            <w:webHidden/>
            <w:sz w:val="24"/>
          </w:rPr>
          <w:fldChar w:fldCharType="separate"/>
        </w:r>
        <w:r w:rsidR="00975A86" w:rsidRPr="00F47DF7">
          <w:rPr>
            <w:noProof/>
            <w:webHidden/>
            <w:sz w:val="24"/>
          </w:rPr>
          <w:t>4</w:t>
        </w:r>
        <w:r w:rsidRPr="00F47DF7">
          <w:rPr>
            <w:noProof/>
            <w:webHidden/>
            <w:sz w:val="24"/>
          </w:rPr>
          <w:fldChar w:fldCharType="end"/>
        </w:r>
      </w:hyperlink>
    </w:p>
    <w:p w:rsidR="000E494C" w:rsidRPr="00F47DF7" w:rsidRDefault="000E494C">
      <w:pPr>
        <w:pStyle w:val="TOC2"/>
        <w:tabs>
          <w:tab w:val="right" w:leader="dot" w:pos="9350"/>
        </w:tabs>
        <w:rPr>
          <w:rFonts w:ascii="Calibri" w:hAnsi="Calibri"/>
          <w:noProof/>
          <w:sz w:val="24"/>
        </w:rPr>
      </w:pPr>
      <w:hyperlink w:anchor="_Toc449605612" w:history="1">
        <w:r w:rsidRPr="00F47DF7">
          <w:rPr>
            <w:rStyle w:val="Hyperlink"/>
            <w:noProof/>
            <w:color w:val="auto"/>
            <w:sz w:val="24"/>
          </w:rPr>
          <w:t>1. Activity Data</w:t>
        </w:r>
        <w:r w:rsidRPr="00F47DF7">
          <w:rPr>
            <w:noProof/>
            <w:webHidden/>
            <w:sz w:val="24"/>
          </w:rPr>
          <w:tab/>
        </w:r>
        <w:r w:rsidRPr="00F47DF7">
          <w:rPr>
            <w:noProof/>
            <w:webHidden/>
            <w:sz w:val="24"/>
          </w:rPr>
          <w:fldChar w:fldCharType="begin"/>
        </w:r>
        <w:r w:rsidRPr="00F47DF7">
          <w:rPr>
            <w:noProof/>
            <w:webHidden/>
            <w:sz w:val="24"/>
          </w:rPr>
          <w:instrText xml:space="preserve"> PAGEREF _Toc449605612 \h </w:instrText>
        </w:r>
        <w:r w:rsidRPr="00F47DF7">
          <w:rPr>
            <w:noProof/>
            <w:webHidden/>
            <w:sz w:val="24"/>
          </w:rPr>
        </w:r>
        <w:r w:rsidRPr="00F47DF7">
          <w:rPr>
            <w:noProof/>
            <w:webHidden/>
            <w:sz w:val="24"/>
          </w:rPr>
          <w:fldChar w:fldCharType="separate"/>
        </w:r>
        <w:r w:rsidR="00975A86" w:rsidRPr="00F47DF7">
          <w:rPr>
            <w:noProof/>
            <w:webHidden/>
            <w:sz w:val="24"/>
          </w:rPr>
          <w:t>4</w:t>
        </w:r>
        <w:r w:rsidRPr="00F47DF7">
          <w:rPr>
            <w:noProof/>
            <w:webHidden/>
            <w:sz w:val="24"/>
          </w:rPr>
          <w:fldChar w:fldCharType="end"/>
        </w:r>
      </w:hyperlink>
    </w:p>
    <w:p w:rsidR="000E494C" w:rsidRPr="00F47DF7" w:rsidRDefault="000E494C">
      <w:pPr>
        <w:pStyle w:val="TOC3"/>
        <w:tabs>
          <w:tab w:val="right" w:leader="dot" w:pos="9350"/>
        </w:tabs>
        <w:rPr>
          <w:rFonts w:ascii="Calibri" w:hAnsi="Calibri"/>
          <w:noProof/>
          <w:sz w:val="24"/>
        </w:rPr>
      </w:pPr>
      <w:hyperlink w:anchor="_Toc449605613" w:history="1">
        <w:r w:rsidRPr="00F47DF7">
          <w:rPr>
            <w:rStyle w:val="Hyperlink"/>
            <w:noProof/>
            <w:color w:val="auto"/>
            <w:sz w:val="24"/>
          </w:rPr>
          <w:t>a. Occupied Housing Units</w:t>
        </w:r>
        <w:r w:rsidRPr="00F47DF7">
          <w:rPr>
            <w:noProof/>
            <w:webHidden/>
            <w:sz w:val="24"/>
          </w:rPr>
          <w:tab/>
        </w:r>
        <w:r w:rsidRPr="00F47DF7">
          <w:rPr>
            <w:noProof/>
            <w:webHidden/>
            <w:sz w:val="24"/>
          </w:rPr>
          <w:fldChar w:fldCharType="begin"/>
        </w:r>
        <w:r w:rsidRPr="00F47DF7">
          <w:rPr>
            <w:noProof/>
            <w:webHidden/>
            <w:sz w:val="24"/>
          </w:rPr>
          <w:instrText xml:space="preserve"> PAGEREF _Toc449605613 \h </w:instrText>
        </w:r>
        <w:r w:rsidRPr="00F47DF7">
          <w:rPr>
            <w:noProof/>
            <w:webHidden/>
            <w:sz w:val="24"/>
          </w:rPr>
        </w:r>
        <w:r w:rsidRPr="00F47DF7">
          <w:rPr>
            <w:noProof/>
            <w:webHidden/>
            <w:sz w:val="24"/>
          </w:rPr>
          <w:fldChar w:fldCharType="separate"/>
        </w:r>
        <w:r w:rsidR="00975A86" w:rsidRPr="00F47DF7">
          <w:rPr>
            <w:noProof/>
            <w:webHidden/>
            <w:sz w:val="24"/>
          </w:rPr>
          <w:t>4</w:t>
        </w:r>
        <w:r w:rsidRPr="00F47DF7">
          <w:rPr>
            <w:noProof/>
            <w:webHidden/>
            <w:sz w:val="24"/>
          </w:rPr>
          <w:fldChar w:fldCharType="end"/>
        </w:r>
      </w:hyperlink>
    </w:p>
    <w:p w:rsidR="000E494C" w:rsidRPr="00F47DF7" w:rsidRDefault="000E494C">
      <w:pPr>
        <w:pStyle w:val="TOC3"/>
        <w:tabs>
          <w:tab w:val="right" w:leader="dot" w:pos="9350"/>
        </w:tabs>
        <w:rPr>
          <w:rFonts w:ascii="Calibri" w:hAnsi="Calibri"/>
          <w:noProof/>
          <w:sz w:val="24"/>
        </w:rPr>
      </w:pPr>
      <w:hyperlink w:anchor="_Toc449605614" w:history="1">
        <w:r w:rsidRPr="00F47DF7">
          <w:rPr>
            <w:rStyle w:val="Hyperlink"/>
            <w:noProof/>
            <w:color w:val="auto"/>
            <w:sz w:val="24"/>
          </w:rPr>
          <w:t>b. Appliance Fractions</w:t>
        </w:r>
        <w:r w:rsidRPr="00F47DF7">
          <w:rPr>
            <w:noProof/>
            <w:webHidden/>
            <w:sz w:val="24"/>
          </w:rPr>
          <w:tab/>
        </w:r>
        <w:r w:rsidRPr="00F47DF7">
          <w:rPr>
            <w:noProof/>
            <w:webHidden/>
            <w:sz w:val="24"/>
          </w:rPr>
          <w:fldChar w:fldCharType="begin"/>
        </w:r>
        <w:r w:rsidRPr="00F47DF7">
          <w:rPr>
            <w:noProof/>
            <w:webHidden/>
            <w:sz w:val="24"/>
          </w:rPr>
          <w:instrText xml:space="preserve"> PAGEREF _Toc449605614 \h </w:instrText>
        </w:r>
        <w:r w:rsidRPr="00F47DF7">
          <w:rPr>
            <w:noProof/>
            <w:webHidden/>
            <w:sz w:val="24"/>
          </w:rPr>
        </w:r>
        <w:r w:rsidRPr="00F47DF7">
          <w:rPr>
            <w:noProof/>
            <w:webHidden/>
            <w:sz w:val="24"/>
          </w:rPr>
          <w:fldChar w:fldCharType="separate"/>
        </w:r>
        <w:r w:rsidR="00975A86" w:rsidRPr="00F47DF7">
          <w:rPr>
            <w:noProof/>
            <w:webHidden/>
            <w:sz w:val="24"/>
          </w:rPr>
          <w:t>5</w:t>
        </w:r>
        <w:r w:rsidRPr="00F47DF7">
          <w:rPr>
            <w:noProof/>
            <w:webHidden/>
            <w:sz w:val="24"/>
          </w:rPr>
          <w:fldChar w:fldCharType="end"/>
        </w:r>
      </w:hyperlink>
    </w:p>
    <w:p w:rsidR="000E494C" w:rsidRPr="00F47DF7" w:rsidRDefault="000E494C">
      <w:pPr>
        <w:pStyle w:val="TOC3"/>
        <w:tabs>
          <w:tab w:val="right" w:leader="dot" w:pos="9350"/>
        </w:tabs>
        <w:rPr>
          <w:rFonts w:ascii="Calibri" w:hAnsi="Calibri"/>
          <w:noProof/>
          <w:sz w:val="24"/>
        </w:rPr>
      </w:pPr>
      <w:hyperlink w:anchor="_Toc449605615" w:history="1">
        <w:r w:rsidRPr="00F47DF7">
          <w:rPr>
            <w:rStyle w:val="Hyperlink"/>
            <w:noProof/>
            <w:color w:val="auto"/>
            <w:sz w:val="24"/>
          </w:rPr>
          <w:t>c. Burn Rates</w:t>
        </w:r>
        <w:r w:rsidRPr="00F47DF7">
          <w:rPr>
            <w:noProof/>
            <w:webHidden/>
            <w:sz w:val="24"/>
          </w:rPr>
          <w:tab/>
        </w:r>
        <w:r w:rsidRPr="00F47DF7">
          <w:rPr>
            <w:noProof/>
            <w:webHidden/>
            <w:sz w:val="24"/>
          </w:rPr>
          <w:fldChar w:fldCharType="begin"/>
        </w:r>
        <w:r w:rsidRPr="00F47DF7">
          <w:rPr>
            <w:noProof/>
            <w:webHidden/>
            <w:sz w:val="24"/>
          </w:rPr>
          <w:instrText xml:space="preserve"> PAGEREF _Toc449605615 \h </w:instrText>
        </w:r>
        <w:r w:rsidRPr="00F47DF7">
          <w:rPr>
            <w:noProof/>
            <w:webHidden/>
            <w:sz w:val="24"/>
          </w:rPr>
        </w:r>
        <w:r w:rsidRPr="00F47DF7">
          <w:rPr>
            <w:noProof/>
            <w:webHidden/>
            <w:sz w:val="24"/>
          </w:rPr>
          <w:fldChar w:fldCharType="separate"/>
        </w:r>
        <w:r w:rsidR="00975A86" w:rsidRPr="00F47DF7">
          <w:rPr>
            <w:noProof/>
            <w:webHidden/>
            <w:sz w:val="24"/>
          </w:rPr>
          <w:t>7</w:t>
        </w:r>
        <w:r w:rsidRPr="00F47DF7">
          <w:rPr>
            <w:noProof/>
            <w:webHidden/>
            <w:sz w:val="24"/>
          </w:rPr>
          <w:fldChar w:fldCharType="end"/>
        </w:r>
      </w:hyperlink>
    </w:p>
    <w:p w:rsidR="000E494C" w:rsidRPr="00F47DF7" w:rsidRDefault="000E494C">
      <w:pPr>
        <w:pStyle w:val="TOC3"/>
        <w:tabs>
          <w:tab w:val="right" w:leader="dot" w:pos="9350"/>
        </w:tabs>
        <w:rPr>
          <w:rFonts w:ascii="Calibri" w:hAnsi="Calibri"/>
          <w:noProof/>
          <w:sz w:val="24"/>
        </w:rPr>
      </w:pPr>
      <w:hyperlink w:anchor="_Toc449605616" w:history="1">
        <w:r w:rsidRPr="00F47DF7">
          <w:rPr>
            <w:rStyle w:val="Hyperlink"/>
            <w:noProof/>
            <w:color w:val="auto"/>
            <w:sz w:val="24"/>
          </w:rPr>
          <w:t>d. Wood Density</w:t>
        </w:r>
        <w:r w:rsidRPr="00F47DF7">
          <w:rPr>
            <w:noProof/>
            <w:webHidden/>
            <w:sz w:val="24"/>
          </w:rPr>
          <w:tab/>
        </w:r>
        <w:r w:rsidRPr="00F47DF7">
          <w:rPr>
            <w:noProof/>
            <w:webHidden/>
            <w:sz w:val="24"/>
          </w:rPr>
          <w:fldChar w:fldCharType="begin"/>
        </w:r>
        <w:r w:rsidRPr="00F47DF7">
          <w:rPr>
            <w:noProof/>
            <w:webHidden/>
            <w:sz w:val="24"/>
          </w:rPr>
          <w:instrText xml:space="preserve"> PAGEREF _Toc449605616 \h </w:instrText>
        </w:r>
        <w:r w:rsidRPr="00F47DF7">
          <w:rPr>
            <w:noProof/>
            <w:webHidden/>
            <w:sz w:val="24"/>
          </w:rPr>
        </w:r>
        <w:r w:rsidRPr="00F47DF7">
          <w:rPr>
            <w:noProof/>
            <w:webHidden/>
            <w:sz w:val="24"/>
          </w:rPr>
          <w:fldChar w:fldCharType="separate"/>
        </w:r>
        <w:r w:rsidR="00975A86" w:rsidRPr="00F47DF7">
          <w:rPr>
            <w:noProof/>
            <w:webHidden/>
            <w:sz w:val="24"/>
          </w:rPr>
          <w:t>7</w:t>
        </w:r>
        <w:r w:rsidRPr="00F47DF7">
          <w:rPr>
            <w:noProof/>
            <w:webHidden/>
            <w:sz w:val="24"/>
          </w:rPr>
          <w:fldChar w:fldCharType="end"/>
        </w:r>
      </w:hyperlink>
    </w:p>
    <w:p w:rsidR="000E494C" w:rsidRPr="00F47DF7" w:rsidRDefault="000E494C">
      <w:pPr>
        <w:pStyle w:val="TOC3"/>
        <w:tabs>
          <w:tab w:val="right" w:leader="dot" w:pos="9350"/>
        </w:tabs>
        <w:rPr>
          <w:rFonts w:ascii="Calibri" w:hAnsi="Calibri"/>
          <w:noProof/>
          <w:sz w:val="24"/>
        </w:rPr>
      </w:pPr>
      <w:hyperlink w:anchor="_Toc449605617" w:history="1">
        <w:r w:rsidRPr="00F47DF7">
          <w:rPr>
            <w:rStyle w:val="Hyperlink"/>
            <w:noProof/>
            <w:color w:val="auto"/>
            <w:sz w:val="24"/>
          </w:rPr>
          <w:t>e. Certification Profiles</w:t>
        </w:r>
        <w:r w:rsidRPr="00F47DF7">
          <w:rPr>
            <w:noProof/>
            <w:webHidden/>
            <w:sz w:val="24"/>
          </w:rPr>
          <w:tab/>
        </w:r>
        <w:r w:rsidRPr="00F47DF7">
          <w:rPr>
            <w:noProof/>
            <w:webHidden/>
            <w:sz w:val="24"/>
          </w:rPr>
          <w:fldChar w:fldCharType="begin"/>
        </w:r>
        <w:r w:rsidRPr="00F47DF7">
          <w:rPr>
            <w:noProof/>
            <w:webHidden/>
            <w:sz w:val="24"/>
          </w:rPr>
          <w:instrText xml:space="preserve"> PAGEREF _Toc449605617 \h </w:instrText>
        </w:r>
        <w:r w:rsidRPr="00F47DF7">
          <w:rPr>
            <w:noProof/>
            <w:webHidden/>
            <w:sz w:val="24"/>
          </w:rPr>
        </w:r>
        <w:r w:rsidRPr="00F47DF7">
          <w:rPr>
            <w:noProof/>
            <w:webHidden/>
            <w:sz w:val="24"/>
          </w:rPr>
          <w:fldChar w:fldCharType="separate"/>
        </w:r>
        <w:r w:rsidR="00975A86" w:rsidRPr="00F47DF7">
          <w:rPr>
            <w:noProof/>
            <w:webHidden/>
            <w:sz w:val="24"/>
          </w:rPr>
          <w:t>8</w:t>
        </w:r>
        <w:r w:rsidRPr="00F47DF7">
          <w:rPr>
            <w:noProof/>
            <w:webHidden/>
            <w:sz w:val="24"/>
          </w:rPr>
          <w:fldChar w:fldCharType="end"/>
        </w:r>
      </w:hyperlink>
    </w:p>
    <w:p w:rsidR="000E494C" w:rsidRPr="00F47DF7" w:rsidRDefault="000E494C">
      <w:pPr>
        <w:pStyle w:val="TOC3"/>
        <w:tabs>
          <w:tab w:val="right" w:leader="dot" w:pos="9350"/>
        </w:tabs>
        <w:rPr>
          <w:rFonts w:ascii="Calibri" w:hAnsi="Calibri"/>
          <w:noProof/>
          <w:sz w:val="24"/>
        </w:rPr>
      </w:pPr>
      <w:hyperlink w:anchor="_Toc449605618" w:history="1">
        <w:r w:rsidRPr="00F47DF7">
          <w:rPr>
            <w:rStyle w:val="Hyperlink"/>
            <w:noProof/>
            <w:color w:val="auto"/>
            <w:sz w:val="24"/>
          </w:rPr>
          <w:t>f. Appliance and Burn Ban Adjustments</w:t>
        </w:r>
        <w:r w:rsidRPr="00F47DF7">
          <w:rPr>
            <w:noProof/>
            <w:webHidden/>
            <w:sz w:val="24"/>
          </w:rPr>
          <w:tab/>
        </w:r>
        <w:r w:rsidRPr="00F47DF7">
          <w:rPr>
            <w:noProof/>
            <w:webHidden/>
            <w:sz w:val="24"/>
          </w:rPr>
          <w:fldChar w:fldCharType="begin"/>
        </w:r>
        <w:r w:rsidRPr="00F47DF7">
          <w:rPr>
            <w:noProof/>
            <w:webHidden/>
            <w:sz w:val="24"/>
          </w:rPr>
          <w:instrText xml:space="preserve"> PAGEREF _Toc449605618 \h </w:instrText>
        </w:r>
        <w:r w:rsidRPr="00F47DF7">
          <w:rPr>
            <w:noProof/>
            <w:webHidden/>
            <w:sz w:val="24"/>
          </w:rPr>
        </w:r>
        <w:r w:rsidRPr="00F47DF7">
          <w:rPr>
            <w:noProof/>
            <w:webHidden/>
            <w:sz w:val="24"/>
          </w:rPr>
          <w:fldChar w:fldCharType="separate"/>
        </w:r>
        <w:r w:rsidR="00975A86" w:rsidRPr="00F47DF7">
          <w:rPr>
            <w:noProof/>
            <w:webHidden/>
            <w:sz w:val="24"/>
          </w:rPr>
          <w:t>9</w:t>
        </w:r>
        <w:r w:rsidRPr="00F47DF7">
          <w:rPr>
            <w:noProof/>
            <w:webHidden/>
            <w:sz w:val="24"/>
          </w:rPr>
          <w:fldChar w:fldCharType="end"/>
        </w:r>
      </w:hyperlink>
    </w:p>
    <w:p w:rsidR="000E494C" w:rsidRPr="00F47DF7" w:rsidRDefault="000E494C">
      <w:pPr>
        <w:pStyle w:val="TOC2"/>
        <w:tabs>
          <w:tab w:val="right" w:leader="dot" w:pos="9350"/>
        </w:tabs>
        <w:rPr>
          <w:rFonts w:ascii="Calibri" w:hAnsi="Calibri"/>
          <w:noProof/>
          <w:sz w:val="24"/>
        </w:rPr>
      </w:pPr>
      <w:hyperlink w:anchor="_Toc449605619" w:history="1">
        <w:r w:rsidRPr="00F47DF7">
          <w:rPr>
            <w:rStyle w:val="Hyperlink"/>
            <w:noProof/>
            <w:color w:val="auto"/>
            <w:sz w:val="24"/>
          </w:rPr>
          <w:t>2. Emission Factors</w:t>
        </w:r>
        <w:r w:rsidRPr="00F47DF7">
          <w:rPr>
            <w:noProof/>
            <w:webHidden/>
            <w:sz w:val="24"/>
          </w:rPr>
          <w:tab/>
        </w:r>
        <w:r w:rsidRPr="00F47DF7">
          <w:rPr>
            <w:noProof/>
            <w:webHidden/>
            <w:sz w:val="24"/>
          </w:rPr>
          <w:fldChar w:fldCharType="begin"/>
        </w:r>
        <w:r w:rsidRPr="00F47DF7">
          <w:rPr>
            <w:noProof/>
            <w:webHidden/>
            <w:sz w:val="24"/>
          </w:rPr>
          <w:instrText xml:space="preserve"> PAGEREF _Toc449605619 \h </w:instrText>
        </w:r>
        <w:r w:rsidRPr="00F47DF7">
          <w:rPr>
            <w:noProof/>
            <w:webHidden/>
            <w:sz w:val="24"/>
          </w:rPr>
        </w:r>
        <w:r w:rsidRPr="00F47DF7">
          <w:rPr>
            <w:noProof/>
            <w:webHidden/>
            <w:sz w:val="24"/>
          </w:rPr>
          <w:fldChar w:fldCharType="separate"/>
        </w:r>
        <w:r w:rsidR="00975A86" w:rsidRPr="00F47DF7">
          <w:rPr>
            <w:noProof/>
            <w:webHidden/>
            <w:sz w:val="24"/>
          </w:rPr>
          <w:t>9</w:t>
        </w:r>
        <w:r w:rsidRPr="00F47DF7">
          <w:rPr>
            <w:noProof/>
            <w:webHidden/>
            <w:sz w:val="24"/>
          </w:rPr>
          <w:fldChar w:fldCharType="end"/>
        </w:r>
      </w:hyperlink>
    </w:p>
    <w:p w:rsidR="000E494C" w:rsidRPr="00F47DF7" w:rsidRDefault="000E494C">
      <w:pPr>
        <w:pStyle w:val="TOC1"/>
        <w:tabs>
          <w:tab w:val="right" w:leader="dot" w:pos="9350"/>
        </w:tabs>
        <w:rPr>
          <w:rFonts w:ascii="Calibri" w:hAnsi="Calibri"/>
          <w:noProof/>
          <w:sz w:val="24"/>
        </w:rPr>
      </w:pPr>
      <w:hyperlink w:anchor="_Toc449605620" w:history="1">
        <w:r w:rsidRPr="00F47DF7">
          <w:rPr>
            <w:rStyle w:val="Hyperlink"/>
            <w:noProof/>
            <w:color w:val="auto"/>
            <w:sz w:val="24"/>
          </w:rPr>
          <w:t>C. Description and Use of the RWC Tool</w:t>
        </w:r>
        <w:r w:rsidRPr="00F47DF7">
          <w:rPr>
            <w:noProof/>
            <w:webHidden/>
            <w:sz w:val="24"/>
          </w:rPr>
          <w:tab/>
        </w:r>
        <w:r w:rsidRPr="00F47DF7">
          <w:rPr>
            <w:noProof/>
            <w:webHidden/>
            <w:sz w:val="24"/>
          </w:rPr>
          <w:fldChar w:fldCharType="begin"/>
        </w:r>
        <w:r w:rsidRPr="00F47DF7">
          <w:rPr>
            <w:noProof/>
            <w:webHidden/>
            <w:sz w:val="24"/>
          </w:rPr>
          <w:instrText xml:space="preserve"> PAGEREF _Toc449605620 \h </w:instrText>
        </w:r>
        <w:r w:rsidRPr="00F47DF7">
          <w:rPr>
            <w:noProof/>
            <w:webHidden/>
            <w:sz w:val="24"/>
          </w:rPr>
        </w:r>
        <w:r w:rsidRPr="00F47DF7">
          <w:rPr>
            <w:noProof/>
            <w:webHidden/>
            <w:sz w:val="24"/>
          </w:rPr>
          <w:fldChar w:fldCharType="separate"/>
        </w:r>
        <w:r w:rsidR="00975A86" w:rsidRPr="00F47DF7">
          <w:rPr>
            <w:noProof/>
            <w:webHidden/>
            <w:sz w:val="24"/>
          </w:rPr>
          <w:t>13</w:t>
        </w:r>
        <w:r w:rsidRPr="00F47DF7">
          <w:rPr>
            <w:noProof/>
            <w:webHidden/>
            <w:sz w:val="24"/>
          </w:rPr>
          <w:fldChar w:fldCharType="end"/>
        </w:r>
      </w:hyperlink>
    </w:p>
    <w:p w:rsidR="000E494C" w:rsidRPr="00F47DF7" w:rsidRDefault="000E494C">
      <w:pPr>
        <w:pStyle w:val="TOC1"/>
        <w:tabs>
          <w:tab w:val="right" w:leader="dot" w:pos="9350"/>
        </w:tabs>
        <w:rPr>
          <w:rFonts w:ascii="Calibri" w:hAnsi="Calibri"/>
          <w:noProof/>
          <w:sz w:val="24"/>
        </w:rPr>
      </w:pPr>
      <w:hyperlink w:anchor="_Toc449605621" w:history="1">
        <w:r w:rsidRPr="00F47DF7">
          <w:rPr>
            <w:rStyle w:val="Hyperlink"/>
            <w:noProof/>
            <w:color w:val="auto"/>
            <w:sz w:val="24"/>
          </w:rPr>
          <w:t>D. References</w:t>
        </w:r>
        <w:r w:rsidRPr="00F47DF7">
          <w:rPr>
            <w:noProof/>
            <w:webHidden/>
            <w:sz w:val="24"/>
          </w:rPr>
          <w:tab/>
        </w:r>
        <w:r w:rsidRPr="00F47DF7">
          <w:rPr>
            <w:noProof/>
            <w:webHidden/>
            <w:sz w:val="24"/>
          </w:rPr>
          <w:fldChar w:fldCharType="begin"/>
        </w:r>
        <w:r w:rsidRPr="00F47DF7">
          <w:rPr>
            <w:noProof/>
            <w:webHidden/>
            <w:sz w:val="24"/>
          </w:rPr>
          <w:instrText xml:space="preserve"> PAGEREF _Toc449605621 \h </w:instrText>
        </w:r>
        <w:r w:rsidRPr="00F47DF7">
          <w:rPr>
            <w:noProof/>
            <w:webHidden/>
            <w:sz w:val="24"/>
          </w:rPr>
        </w:r>
        <w:r w:rsidRPr="00F47DF7">
          <w:rPr>
            <w:noProof/>
            <w:webHidden/>
            <w:sz w:val="24"/>
          </w:rPr>
          <w:fldChar w:fldCharType="separate"/>
        </w:r>
        <w:r w:rsidR="00975A86" w:rsidRPr="00F47DF7">
          <w:rPr>
            <w:noProof/>
            <w:webHidden/>
            <w:sz w:val="24"/>
          </w:rPr>
          <w:t>15</w:t>
        </w:r>
        <w:r w:rsidRPr="00F47DF7">
          <w:rPr>
            <w:noProof/>
            <w:webHidden/>
            <w:sz w:val="24"/>
          </w:rPr>
          <w:fldChar w:fldCharType="end"/>
        </w:r>
      </w:hyperlink>
    </w:p>
    <w:p w:rsidR="000E494C" w:rsidRPr="00F47DF7" w:rsidRDefault="000E494C">
      <w:pPr>
        <w:pStyle w:val="TOC1"/>
        <w:tabs>
          <w:tab w:val="right" w:leader="dot" w:pos="9350"/>
        </w:tabs>
        <w:rPr>
          <w:rFonts w:ascii="Calibri" w:hAnsi="Calibri"/>
          <w:noProof/>
          <w:sz w:val="24"/>
        </w:rPr>
      </w:pPr>
      <w:hyperlink w:anchor="_Toc449605622" w:history="1">
        <w:r w:rsidRPr="00F47DF7">
          <w:rPr>
            <w:rStyle w:val="Hyperlink"/>
            <w:noProof/>
            <w:color w:val="auto"/>
            <w:sz w:val="24"/>
          </w:rPr>
          <w:t>E. Appendix: Emission Factors</w:t>
        </w:r>
        <w:r w:rsidRPr="00F47DF7">
          <w:rPr>
            <w:noProof/>
            <w:webHidden/>
            <w:sz w:val="24"/>
          </w:rPr>
          <w:tab/>
        </w:r>
        <w:r w:rsidRPr="00F47DF7">
          <w:rPr>
            <w:noProof/>
            <w:webHidden/>
            <w:sz w:val="24"/>
          </w:rPr>
          <w:fldChar w:fldCharType="begin"/>
        </w:r>
        <w:r w:rsidRPr="00F47DF7">
          <w:rPr>
            <w:noProof/>
            <w:webHidden/>
            <w:sz w:val="24"/>
          </w:rPr>
          <w:instrText xml:space="preserve"> PAGEREF _Toc449605622 \h </w:instrText>
        </w:r>
        <w:r w:rsidRPr="00F47DF7">
          <w:rPr>
            <w:noProof/>
            <w:webHidden/>
            <w:sz w:val="24"/>
          </w:rPr>
        </w:r>
        <w:r w:rsidRPr="00F47DF7">
          <w:rPr>
            <w:noProof/>
            <w:webHidden/>
            <w:sz w:val="24"/>
          </w:rPr>
          <w:fldChar w:fldCharType="separate"/>
        </w:r>
        <w:r w:rsidR="00975A86" w:rsidRPr="00F47DF7">
          <w:rPr>
            <w:noProof/>
            <w:webHidden/>
            <w:sz w:val="24"/>
          </w:rPr>
          <w:t>17</w:t>
        </w:r>
        <w:r w:rsidRPr="00F47DF7">
          <w:rPr>
            <w:noProof/>
            <w:webHidden/>
            <w:sz w:val="24"/>
          </w:rPr>
          <w:fldChar w:fldCharType="end"/>
        </w:r>
      </w:hyperlink>
    </w:p>
    <w:p w:rsidR="000E494C" w:rsidRPr="00F47DF7" w:rsidRDefault="000E494C">
      <w:pPr>
        <w:pStyle w:val="TOC1"/>
        <w:tabs>
          <w:tab w:val="right" w:leader="dot" w:pos="9350"/>
        </w:tabs>
        <w:rPr>
          <w:rFonts w:ascii="Calibri" w:hAnsi="Calibri"/>
          <w:noProof/>
          <w:sz w:val="24"/>
        </w:rPr>
      </w:pPr>
      <w:hyperlink w:anchor="_Toc449605623" w:history="1">
        <w:r w:rsidRPr="00F47DF7">
          <w:rPr>
            <w:rStyle w:val="Hyperlink"/>
            <w:noProof/>
            <w:color w:val="auto"/>
            <w:sz w:val="24"/>
          </w:rPr>
          <w:t>F. Getting Started with the RWC Tool</w:t>
        </w:r>
        <w:r w:rsidRPr="00F47DF7">
          <w:rPr>
            <w:noProof/>
            <w:webHidden/>
            <w:sz w:val="24"/>
          </w:rPr>
          <w:tab/>
        </w:r>
        <w:r w:rsidRPr="00F47DF7">
          <w:rPr>
            <w:noProof/>
            <w:webHidden/>
            <w:sz w:val="24"/>
          </w:rPr>
          <w:fldChar w:fldCharType="begin"/>
        </w:r>
        <w:r w:rsidRPr="00F47DF7">
          <w:rPr>
            <w:noProof/>
            <w:webHidden/>
            <w:sz w:val="24"/>
          </w:rPr>
          <w:instrText xml:space="preserve"> PAGEREF _Toc449605623 \h </w:instrText>
        </w:r>
        <w:r w:rsidRPr="00F47DF7">
          <w:rPr>
            <w:noProof/>
            <w:webHidden/>
            <w:sz w:val="24"/>
          </w:rPr>
        </w:r>
        <w:r w:rsidRPr="00F47DF7">
          <w:rPr>
            <w:noProof/>
            <w:webHidden/>
            <w:sz w:val="24"/>
          </w:rPr>
          <w:fldChar w:fldCharType="separate"/>
        </w:r>
        <w:r w:rsidR="00975A86" w:rsidRPr="00F47DF7">
          <w:rPr>
            <w:noProof/>
            <w:webHidden/>
            <w:sz w:val="24"/>
          </w:rPr>
          <w:t>32</w:t>
        </w:r>
        <w:r w:rsidRPr="00F47DF7">
          <w:rPr>
            <w:noProof/>
            <w:webHidden/>
            <w:sz w:val="24"/>
          </w:rPr>
          <w:fldChar w:fldCharType="end"/>
        </w:r>
      </w:hyperlink>
    </w:p>
    <w:p w:rsidR="00EB0E1F" w:rsidRPr="00837E90" w:rsidRDefault="005B1906" w:rsidP="00EB0E1F">
      <w:pPr>
        <w:spacing w:after="0" w:line="240" w:lineRule="auto"/>
      </w:pPr>
      <w:r w:rsidRPr="00F47DF7">
        <w:rPr>
          <w:b/>
          <w:bCs/>
          <w:noProof/>
          <w:sz w:val="24"/>
        </w:rPr>
        <w:fldChar w:fldCharType="end"/>
      </w:r>
    </w:p>
    <w:p w:rsidR="005B1906" w:rsidRPr="00837E90" w:rsidRDefault="005B1906" w:rsidP="00EB0E1F">
      <w:pPr>
        <w:spacing w:after="0" w:line="240" w:lineRule="auto"/>
        <w:sectPr w:rsidR="005B1906" w:rsidRPr="00837E90" w:rsidSect="000B76DE">
          <w:headerReference w:type="default" r:id="rId10"/>
          <w:footerReference w:type="default" r:id="rId11"/>
          <w:pgSz w:w="12240" w:h="15840" w:code="1"/>
          <w:pgMar w:top="1440" w:right="1440" w:bottom="1440" w:left="1440" w:header="720" w:footer="720" w:gutter="0"/>
          <w:pgNumType w:fmt="lowerRoman" w:start="1"/>
          <w:cols w:space="720"/>
          <w:docGrid w:linePitch="360"/>
        </w:sectPr>
      </w:pPr>
    </w:p>
    <w:p w:rsidR="002E40A0" w:rsidRPr="00837E90" w:rsidRDefault="007E0F46" w:rsidP="005B1906">
      <w:pPr>
        <w:pStyle w:val="Heading1ES"/>
        <w:rPr>
          <w:rFonts w:ascii="Times New Roman" w:hAnsi="Times New Roman"/>
          <w:color w:val="auto"/>
        </w:rPr>
      </w:pPr>
      <w:bookmarkStart w:id="0" w:name="_Toc449605610"/>
      <w:r w:rsidRPr="00837E90">
        <w:rPr>
          <w:rFonts w:ascii="Times New Roman" w:hAnsi="Times New Roman"/>
          <w:color w:val="auto"/>
        </w:rPr>
        <w:lastRenderedPageBreak/>
        <w:t>A. Introduction</w:t>
      </w:r>
      <w:bookmarkEnd w:id="0"/>
    </w:p>
    <w:p w:rsidR="000B2D65" w:rsidRPr="00F47DF7" w:rsidRDefault="000B2D65" w:rsidP="00EB0E1F">
      <w:pPr>
        <w:rPr>
          <w:sz w:val="24"/>
        </w:rPr>
      </w:pPr>
      <w:r w:rsidRPr="00F47DF7">
        <w:rPr>
          <w:sz w:val="24"/>
        </w:rPr>
        <w:t>Residential wood combustion (RWC) appliances, such as fireplaces, fireplace inserts, woodstoves, and hydronic heaters</w:t>
      </w:r>
      <w:r w:rsidR="00AE3627" w:rsidRPr="00F47DF7">
        <w:rPr>
          <w:sz w:val="24"/>
        </w:rPr>
        <w:t>,</w:t>
      </w:r>
      <w:r w:rsidRPr="00F47DF7">
        <w:rPr>
          <w:sz w:val="24"/>
        </w:rPr>
        <w:t xml:space="preserve"> are significant sources of air</w:t>
      </w:r>
      <w:r w:rsidR="00AE3627" w:rsidRPr="00F47DF7">
        <w:rPr>
          <w:sz w:val="24"/>
        </w:rPr>
        <w:t xml:space="preserve"> pollution in the United States—</w:t>
      </w:r>
      <w:r w:rsidRPr="00F47DF7">
        <w:rPr>
          <w:sz w:val="24"/>
        </w:rPr>
        <w:t>especially during winter months.</w:t>
      </w:r>
      <w:r w:rsidR="00AE3627" w:rsidRPr="00F47DF7">
        <w:rPr>
          <w:sz w:val="24"/>
        </w:rPr>
        <w:t xml:space="preserve"> </w:t>
      </w:r>
      <w:r w:rsidRPr="00F47DF7">
        <w:rPr>
          <w:sz w:val="24"/>
        </w:rPr>
        <w:t xml:space="preserve">RWC emits large amounts of fine particulate matter, volatile organic compounds (VOCs), and hazardous air pollutants that </w:t>
      </w:r>
      <w:r w:rsidR="0054671C" w:rsidRPr="00F47DF7">
        <w:rPr>
          <w:sz w:val="24"/>
        </w:rPr>
        <w:t>are known</w:t>
      </w:r>
      <w:r w:rsidRPr="00F47DF7">
        <w:rPr>
          <w:sz w:val="24"/>
        </w:rPr>
        <w:t xml:space="preserve"> to contribute to poor human health, air quality, and visibility.</w:t>
      </w:r>
      <w:r w:rsidR="00AE3627" w:rsidRPr="00F47DF7">
        <w:rPr>
          <w:sz w:val="24"/>
        </w:rPr>
        <w:t xml:space="preserve"> </w:t>
      </w:r>
    </w:p>
    <w:p w:rsidR="000B76DE" w:rsidRPr="00F47DF7" w:rsidRDefault="000B76DE" w:rsidP="00EB0E1F">
      <w:pPr>
        <w:rPr>
          <w:sz w:val="24"/>
        </w:rPr>
      </w:pPr>
      <w:r w:rsidRPr="00F47DF7">
        <w:rPr>
          <w:sz w:val="24"/>
        </w:rPr>
        <w:t>EPA worked with a group of State, local, and regional planning organization representatives to create the new methodology.</w:t>
      </w:r>
      <w:r w:rsidR="00AE3627" w:rsidRPr="00F47DF7">
        <w:rPr>
          <w:sz w:val="24"/>
        </w:rPr>
        <w:t xml:space="preserve"> </w:t>
      </w:r>
      <w:r w:rsidRPr="00F47DF7">
        <w:rPr>
          <w:sz w:val="24"/>
        </w:rPr>
        <w:t xml:space="preserve">This paper describes the new methodology and introduces a </w:t>
      </w:r>
      <w:r w:rsidR="00F15F06" w:rsidRPr="00F47DF7">
        <w:rPr>
          <w:sz w:val="24"/>
        </w:rPr>
        <w:t xml:space="preserve">revised </w:t>
      </w:r>
      <w:r w:rsidRPr="00F47DF7">
        <w:rPr>
          <w:sz w:val="24"/>
        </w:rPr>
        <w:t>Microsoft Access Tool that was developed to allow S/L/T agencies to calculate annual emissions from RWC sources in the future.</w:t>
      </w:r>
      <w:r w:rsidR="00AE3627" w:rsidRPr="00F47DF7">
        <w:rPr>
          <w:sz w:val="24"/>
        </w:rPr>
        <w:t xml:space="preserve"> </w:t>
      </w:r>
    </w:p>
    <w:p w:rsidR="00894B91" w:rsidRPr="00F47DF7" w:rsidRDefault="00894B91" w:rsidP="00EB0E1F">
      <w:pPr>
        <w:rPr>
          <w:sz w:val="24"/>
        </w:rPr>
      </w:pPr>
      <w:r w:rsidRPr="00F47DF7">
        <w:rPr>
          <w:sz w:val="24"/>
        </w:rPr>
        <w:t xml:space="preserve">To help estimate emissions from residential wood combustion, the EPA and </w:t>
      </w:r>
      <w:proofErr w:type="spellStart"/>
      <w:r w:rsidRPr="00F47DF7">
        <w:rPr>
          <w:sz w:val="24"/>
        </w:rPr>
        <w:t>Abt</w:t>
      </w:r>
      <w:proofErr w:type="spellEnd"/>
      <w:r w:rsidRPr="00F47DF7">
        <w:rPr>
          <w:sz w:val="24"/>
        </w:rPr>
        <w:t xml:space="preserve"> Associates have developed and improved the Residential Wood Combustion (RWC) tool.</w:t>
      </w:r>
      <w:r w:rsidR="000B2D65" w:rsidRPr="00F47DF7">
        <w:rPr>
          <w:sz w:val="24"/>
        </w:rPr>
        <w:t xml:space="preserve"> </w:t>
      </w:r>
      <w:r w:rsidR="009A6F41" w:rsidRPr="00F47DF7">
        <w:rPr>
          <w:sz w:val="24"/>
        </w:rPr>
        <w:t xml:space="preserve">The Tool is designed to allow users to update county-level input parameters (based on local survey data) and then easily recalculate county-level emissions </w:t>
      </w:r>
      <w:r w:rsidR="00F15F06" w:rsidRPr="00F47DF7">
        <w:rPr>
          <w:sz w:val="24"/>
        </w:rPr>
        <w:t>at the click of a button</w:t>
      </w:r>
      <w:r w:rsidR="009A6F41" w:rsidRPr="00F47DF7">
        <w:rPr>
          <w:sz w:val="24"/>
        </w:rPr>
        <w:t xml:space="preserve">. </w:t>
      </w:r>
      <w:r w:rsidRPr="00F47DF7">
        <w:rPr>
          <w:sz w:val="24"/>
        </w:rPr>
        <w:t>The RWC tool is a Mic</w:t>
      </w:r>
      <w:r w:rsidR="00F15F06" w:rsidRPr="00F47DF7">
        <w:rPr>
          <w:sz w:val="24"/>
        </w:rPr>
        <w:t>rosoft Access</w:t>
      </w:r>
      <w:r w:rsidRPr="00F47DF7">
        <w:rPr>
          <w:sz w:val="24"/>
        </w:rPr>
        <w:t xml:space="preserve">-based tool that computes the amount of wood burned and emissions of criteria pollutants and HAPs from 12 different wood burning appliance types, including fireplaces, seven types of woodstoves, wood-fired furnaces and boilers, outdoor burning devices, and wax </w:t>
      </w:r>
      <w:proofErr w:type="spellStart"/>
      <w:r w:rsidRPr="00F47DF7">
        <w:rPr>
          <w:sz w:val="24"/>
        </w:rPr>
        <w:t>firelogs</w:t>
      </w:r>
      <w:proofErr w:type="spellEnd"/>
      <w:r w:rsidRPr="00F47DF7">
        <w:rPr>
          <w:sz w:val="24"/>
        </w:rPr>
        <w:t xml:space="preserve"> (</w:t>
      </w:r>
      <w:r w:rsidR="000B2D65" w:rsidRPr="00F47DF7">
        <w:rPr>
          <w:sz w:val="24"/>
        </w:rPr>
        <w:fldChar w:fldCharType="begin"/>
      </w:r>
      <w:r w:rsidR="000B2D65" w:rsidRPr="00F47DF7">
        <w:rPr>
          <w:sz w:val="24"/>
        </w:rPr>
        <w:instrText xml:space="preserve"> REF _Ref416181833 \h </w:instrText>
      </w:r>
      <w:r w:rsidR="000B2D65" w:rsidRPr="00F47DF7">
        <w:rPr>
          <w:sz w:val="24"/>
        </w:rPr>
      </w:r>
      <w:r w:rsidR="000B2D65" w:rsidRPr="00F47DF7">
        <w:rPr>
          <w:sz w:val="24"/>
        </w:rPr>
        <w:instrText xml:space="preserve"> \* MERGEFORMAT </w:instrText>
      </w:r>
      <w:r w:rsidR="000B2D65" w:rsidRPr="00F47DF7">
        <w:rPr>
          <w:sz w:val="24"/>
        </w:rPr>
        <w:fldChar w:fldCharType="separate"/>
      </w:r>
      <w:r w:rsidR="00975A86" w:rsidRPr="00F47DF7">
        <w:rPr>
          <w:sz w:val="24"/>
        </w:rPr>
        <w:t xml:space="preserve">Table </w:t>
      </w:r>
      <w:r w:rsidR="00975A86" w:rsidRPr="00F47DF7">
        <w:rPr>
          <w:noProof/>
          <w:sz w:val="24"/>
        </w:rPr>
        <w:t>1</w:t>
      </w:r>
      <w:r w:rsidR="000B2D65" w:rsidRPr="00F47DF7">
        <w:rPr>
          <w:sz w:val="24"/>
        </w:rPr>
        <w:fldChar w:fldCharType="end"/>
      </w:r>
      <w:r w:rsidRPr="00F47DF7">
        <w:rPr>
          <w:sz w:val="24"/>
        </w:rPr>
        <w:t>). The woodstoves are divided into conventional and EPA-certified units. In general, the conventional units were constructed prior to 1988.</w:t>
      </w:r>
      <w:r w:rsidR="00AE3627" w:rsidRPr="00F47DF7">
        <w:rPr>
          <w:sz w:val="24"/>
        </w:rPr>
        <w:t xml:space="preserve"> </w:t>
      </w:r>
      <w:r w:rsidRPr="00F47DF7">
        <w:rPr>
          <w:sz w:val="24"/>
        </w:rPr>
        <w:t>Units constructed after 1988 had to meet EPA emission standards and they are either catalytic or non-catalytic, depending on whether they contain a catalyst to improve the burn efficiency.</w:t>
      </w:r>
    </w:p>
    <w:p w:rsidR="0054671C" w:rsidRPr="00F47DF7" w:rsidRDefault="00575C05" w:rsidP="00EB0E1F">
      <w:pPr>
        <w:rPr>
          <w:sz w:val="24"/>
        </w:rPr>
      </w:pPr>
      <w:r w:rsidRPr="00F47DF7">
        <w:rPr>
          <w:sz w:val="24"/>
        </w:rPr>
        <w:t xml:space="preserve">In recent years, sales </w:t>
      </w:r>
      <w:r w:rsidR="008A67F4" w:rsidRPr="00F47DF7">
        <w:rPr>
          <w:sz w:val="24"/>
        </w:rPr>
        <w:t xml:space="preserve">and use </w:t>
      </w:r>
      <w:r w:rsidRPr="00F47DF7">
        <w:rPr>
          <w:sz w:val="24"/>
        </w:rPr>
        <w:t xml:space="preserve">of </w:t>
      </w:r>
      <w:r w:rsidR="006D3664" w:rsidRPr="00F47DF7">
        <w:rPr>
          <w:sz w:val="24"/>
        </w:rPr>
        <w:t xml:space="preserve">residential </w:t>
      </w:r>
      <w:r w:rsidRPr="00F47DF7">
        <w:rPr>
          <w:sz w:val="24"/>
        </w:rPr>
        <w:t>woodstoves have been increasing due to rising costs of home heating fuel.</w:t>
      </w:r>
      <w:r w:rsidR="00AE3627" w:rsidRPr="00F47DF7">
        <w:rPr>
          <w:sz w:val="24"/>
        </w:rPr>
        <w:t xml:space="preserve"> </w:t>
      </w:r>
      <w:r w:rsidRPr="00F47DF7">
        <w:rPr>
          <w:sz w:val="24"/>
        </w:rPr>
        <w:t>In addition</w:t>
      </w:r>
      <w:r w:rsidR="00FD2B46" w:rsidRPr="00F47DF7">
        <w:rPr>
          <w:sz w:val="24"/>
        </w:rPr>
        <w:t xml:space="preserve"> and over the past 5-years</w:t>
      </w:r>
      <w:r w:rsidRPr="00F47DF7">
        <w:rPr>
          <w:sz w:val="24"/>
        </w:rPr>
        <w:t xml:space="preserve">, sales of outdoor hydronic heaters </w:t>
      </w:r>
      <w:r w:rsidR="00BF3224" w:rsidRPr="00F47DF7">
        <w:rPr>
          <w:sz w:val="24"/>
        </w:rPr>
        <w:t xml:space="preserve">(OHH) </w:t>
      </w:r>
      <w:r w:rsidRPr="00F47DF7">
        <w:rPr>
          <w:sz w:val="24"/>
        </w:rPr>
        <w:t xml:space="preserve">are also strong </w:t>
      </w:r>
      <w:r w:rsidR="008A67F4" w:rsidRPr="00F47DF7">
        <w:rPr>
          <w:sz w:val="24"/>
        </w:rPr>
        <w:t xml:space="preserve">in the Northern U.S. where they are </w:t>
      </w:r>
      <w:r w:rsidRPr="00F47DF7">
        <w:rPr>
          <w:sz w:val="24"/>
        </w:rPr>
        <w:t xml:space="preserve">used as the primary </w:t>
      </w:r>
      <w:r w:rsidR="008A67F4" w:rsidRPr="00F47DF7">
        <w:rPr>
          <w:sz w:val="24"/>
        </w:rPr>
        <w:t xml:space="preserve">heating source </w:t>
      </w:r>
      <w:r w:rsidR="00B439BF" w:rsidRPr="00F47DF7">
        <w:rPr>
          <w:sz w:val="24"/>
        </w:rPr>
        <w:t xml:space="preserve">for </w:t>
      </w:r>
      <w:r w:rsidRPr="00F47DF7">
        <w:rPr>
          <w:sz w:val="24"/>
        </w:rPr>
        <w:t>some homes.</w:t>
      </w:r>
      <w:r w:rsidR="00AE3627" w:rsidRPr="00F47DF7">
        <w:rPr>
          <w:sz w:val="24"/>
        </w:rPr>
        <w:t xml:space="preserve"> </w:t>
      </w:r>
      <w:r w:rsidR="008A67F4" w:rsidRPr="00F47DF7">
        <w:rPr>
          <w:sz w:val="24"/>
        </w:rPr>
        <w:t xml:space="preserve">These </w:t>
      </w:r>
      <w:r w:rsidR="009A6F41" w:rsidRPr="00F47DF7">
        <w:rPr>
          <w:sz w:val="24"/>
        </w:rPr>
        <w:t>OHHs</w:t>
      </w:r>
      <w:r w:rsidR="008A67F4" w:rsidRPr="00F47DF7">
        <w:rPr>
          <w:sz w:val="24"/>
        </w:rPr>
        <w:t xml:space="preserve"> </w:t>
      </w:r>
      <w:r w:rsidR="0093432D" w:rsidRPr="00F47DF7">
        <w:rPr>
          <w:sz w:val="24"/>
        </w:rPr>
        <w:t xml:space="preserve">have, until recently, been </w:t>
      </w:r>
      <w:r w:rsidRPr="00F47DF7">
        <w:rPr>
          <w:sz w:val="24"/>
        </w:rPr>
        <w:t>essentially unregulated by Federal air pollution regulations and</w:t>
      </w:r>
      <w:r w:rsidR="00B439BF" w:rsidRPr="00F47DF7">
        <w:rPr>
          <w:sz w:val="24"/>
        </w:rPr>
        <w:t xml:space="preserve"> emit</w:t>
      </w:r>
      <w:r w:rsidR="00BF3224" w:rsidRPr="00F47DF7">
        <w:rPr>
          <w:sz w:val="24"/>
        </w:rPr>
        <w:t xml:space="preserve">, on an average per hour basis, about four times as much fine </w:t>
      </w:r>
      <w:r w:rsidR="00AC6437" w:rsidRPr="00F47DF7">
        <w:rPr>
          <w:sz w:val="24"/>
        </w:rPr>
        <w:t>particulate matter (</w:t>
      </w:r>
      <w:r w:rsidR="00BF3224" w:rsidRPr="00F47DF7">
        <w:rPr>
          <w:sz w:val="24"/>
        </w:rPr>
        <w:t>PM</w:t>
      </w:r>
      <w:r w:rsidR="00AC6437" w:rsidRPr="00F47DF7">
        <w:rPr>
          <w:sz w:val="24"/>
        </w:rPr>
        <w:t>)</w:t>
      </w:r>
      <w:r w:rsidR="00BF3224" w:rsidRPr="00F47DF7">
        <w:rPr>
          <w:sz w:val="24"/>
        </w:rPr>
        <w:t xml:space="preserve"> as conventional woodstoves and about 12 times as much as EPA-certified stoves</w:t>
      </w:r>
      <w:r w:rsidR="00C64910" w:rsidRPr="00F47DF7">
        <w:rPr>
          <w:sz w:val="24"/>
        </w:rPr>
        <w:t xml:space="preserve"> (OAGEB</w:t>
      </w:r>
      <w:r w:rsidR="00AC6437" w:rsidRPr="00F47DF7">
        <w:rPr>
          <w:sz w:val="24"/>
        </w:rPr>
        <w:t>,</w:t>
      </w:r>
      <w:r w:rsidR="00C64910" w:rsidRPr="00F47DF7">
        <w:rPr>
          <w:sz w:val="24"/>
        </w:rPr>
        <w:t xml:space="preserve"> 2008)</w:t>
      </w:r>
      <w:r w:rsidR="00BF3224" w:rsidRPr="00F47DF7">
        <w:rPr>
          <w:sz w:val="24"/>
        </w:rPr>
        <w:t>.</w:t>
      </w:r>
      <w:r w:rsidR="00AE3627" w:rsidRPr="00F47DF7">
        <w:rPr>
          <w:sz w:val="24"/>
        </w:rPr>
        <w:t xml:space="preserve"> </w:t>
      </w:r>
    </w:p>
    <w:p w:rsidR="00BB7712" w:rsidRPr="00F47DF7" w:rsidRDefault="00106A49" w:rsidP="00EB0E1F">
      <w:pPr>
        <w:rPr>
          <w:sz w:val="24"/>
        </w:rPr>
      </w:pPr>
      <w:r w:rsidRPr="00F47DF7">
        <w:rPr>
          <w:sz w:val="24"/>
        </w:rPr>
        <w:fldChar w:fldCharType="begin"/>
      </w:r>
      <w:r w:rsidRPr="00F47DF7">
        <w:rPr>
          <w:sz w:val="24"/>
        </w:rPr>
        <w:instrText xml:space="preserve"> REF _Ref416181833 \h </w:instrText>
      </w:r>
      <w:r w:rsidRPr="00F47DF7">
        <w:rPr>
          <w:sz w:val="24"/>
        </w:rPr>
      </w:r>
      <w:r w:rsidR="00EB0E1F" w:rsidRPr="00F47DF7">
        <w:rPr>
          <w:sz w:val="24"/>
        </w:rPr>
        <w:instrText xml:space="preserve"> \* MERGEFORMAT </w:instrText>
      </w:r>
      <w:r w:rsidRPr="00F47DF7">
        <w:rPr>
          <w:sz w:val="24"/>
        </w:rPr>
        <w:fldChar w:fldCharType="separate"/>
      </w:r>
      <w:r w:rsidR="00975A86" w:rsidRPr="00F47DF7">
        <w:rPr>
          <w:sz w:val="24"/>
        </w:rPr>
        <w:t xml:space="preserve">Table </w:t>
      </w:r>
      <w:r w:rsidR="00975A86" w:rsidRPr="00F47DF7">
        <w:rPr>
          <w:noProof/>
          <w:sz w:val="24"/>
        </w:rPr>
        <w:t>1</w:t>
      </w:r>
      <w:r w:rsidRPr="00F47DF7">
        <w:rPr>
          <w:sz w:val="24"/>
        </w:rPr>
        <w:fldChar w:fldCharType="end"/>
      </w:r>
      <w:r w:rsidR="001E1848" w:rsidRPr="00F47DF7">
        <w:rPr>
          <w:sz w:val="24"/>
        </w:rPr>
        <w:t xml:space="preserve"> lists the appliance categories and</w:t>
      </w:r>
      <w:r w:rsidR="008B34B3" w:rsidRPr="00F47DF7">
        <w:rPr>
          <w:sz w:val="24"/>
        </w:rPr>
        <w:t xml:space="preserve"> </w:t>
      </w:r>
      <w:r w:rsidR="001E1848" w:rsidRPr="00F47DF7">
        <w:rPr>
          <w:sz w:val="24"/>
        </w:rPr>
        <w:t>SCC</w:t>
      </w:r>
      <w:r w:rsidR="00AC6437" w:rsidRPr="00F47DF7">
        <w:rPr>
          <w:sz w:val="24"/>
        </w:rPr>
        <w:t>s</w:t>
      </w:r>
      <w:r w:rsidR="001E1848" w:rsidRPr="00F47DF7">
        <w:rPr>
          <w:sz w:val="24"/>
        </w:rPr>
        <w:t xml:space="preserve"> for </w:t>
      </w:r>
      <w:r w:rsidR="00AC6437" w:rsidRPr="00F47DF7">
        <w:rPr>
          <w:sz w:val="24"/>
        </w:rPr>
        <w:t>RWC</w:t>
      </w:r>
      <w:r w:rsidR="001E1848" w:rsidRPr="00F47DF7">
        <w:rPr>
          <w:sz w:val="24"/>
        </w:rPr>
        <w:t xml:space="preserve"> sources</w:t>
      </w:r>
      <w:r w:rsidR="008B34B3" w:rsidRPr="00F47DF7">
        <w:rPr>
          <w:sz w:val="24"/>
        </w:rPr>
        <w:t>.</w:t>
      </w:r>
      <w:r w:rsidR="00AE3627" w:rsidRPr="00F47DF7">
        <w:rPr>
          <w:sz w:val="24"/>
        </w:rPr>
        <w:t xml:space="preserve"> </w:t>
      </w:r>
      <w:r w:rsidR="008B34B3" w:rsidRPr="00F47DF7">
        <w:rPr>
          <w:sz w:val="24"/>
        </w:rPr>
        <w:t xml:space="preserve">The first </w:t>
      </w:r>
      <w:r w:rsidR="001D5E2D" w:rsidRPr="00F47DF7">
        <w:rPr>
          <w:sz w:val="24"/>
        </w:rPr>
        <w:t>column of Table 1 indicates</w:t>
      </w:r>
      <w:r w:rsidR="008B34B3" w:rsidRPr="00F47DF7">
        <w:rPr>
          <w:sz w:val="24"/>
        </w:rPr>
        <w:t xml:space="preserve"> which </w:t>
      </w:r>
      <w:r w:rsidR="00626291" w:rsidRPr="00F47DF7">
        <w:rPr>
          <w:sz w:val="24"/>
        </w:rPr>
        <w:t>source</w:t>
      </w:r>
      <w:r w:rsidR="008B34B3" w:rsidRPr="00F47DF7">
        <w:rPr>
          <w:sz w:val="24"/>
        </w:rPr>
        <w:t xml:space="preserve"> categories </w:t>
      </w:r>
      <w:r w:rsidR="0054671C" w:rsidRPr="00F47DF7">
        <w:rPr>
          <w:sz w:val="24"/>
        </w:rPr>
        <w:t>are</w:t>
      </w:r>
      <w:r w:rsidR="008B34B3" w:rsidRPr="00F47DF7">
        <w:rPr>
          <w:sz w:val="24"/>
        </w:rPr>
        <w:t xml:space="preserve"> included </w:t>
      </w:r>
      <w:r w:rsidR="001E1848" w:rsidRPr="00F47DF7">
        <w:rPr>
          <w:sz w:val="24"/>
        </w:rPr>
        <w:t xml:space="preserve">in </w:t>
      </w:r>
      <w:r w:rsidR="009539A5" w:rsidRPr="00F47DF7">
        <w:rPr>
          <w:sz w:val="24"/>
        </w:rPr>
        <w:t>the RWC Tool</w:t>
      </w:r>
      <w:r w:rsidR="001E1848" w:rsidRPr="00F47DF7">
        <w:rPr>
          <w:sz w:val="24"/>
        </w:rPr>
        <w:t>.</w:t>
      </w:r>
      <w:r w:rsidR="00AE3627" w:rsidRPr="00F47DF7">
        <w:rPr>
          <w:sz w:val="24"/>
        </w:rPr>
        <w:t xml:space="preserve"> </w:t>
      </w:r>
    </w:p>
    <w:p w:rsidR="00106A49" w:rsidRPr="00837E90" w:rsidRDefault="00106A49" w:rsidP="00106A49">
      <w:pPr>
        <w:pStyle w:val="Caption"/>
        <w:keepNext/>
        <w:spacing w:after="240"/>
        <w:jc w:val="center"/>
        <w:rPr>
          <w:b w:val="0"/>
          <w:sz w:val="22"/>
        </w:rPr>
      </w:pPr>
      <w:bookmarkStart w:id="1" w:name="_Ref416181833"/>
      <w:bookmarkStart w:id="2" w:name="_Toc416345741"/>
      <w:r w:rsidRPr="00F47DF7">
        <w:rPr>
          <w:sz w:val="24"/>
          <w:szCs w:val="24"/>
        </w:rPr>
        <w:t xml:space="preserve">Table </w:t>
      </w:r>
      <w:r w:rsidRPr="00F47DF7">
        <w:rPr>
          <w:sz w:val="24"/>
          <w:szCs w:val="24"/>
        </w:rPr>
        <w:fldChar w:fldCharType="begin"/>
      </w:r>
      <w:r w:rsidRPr="00F47DF7">
        <w:rPr>
          <w:sz w:val="24"/>
          <w:szCs w:val="24"/>
        </w:rPr>
        <w:instrText xml:space="preserve"> SEQ Table \* ARABIC </w:instrText>
      </w:r>
      <w:r w:rsidRPr="00F47DF7">
        <w:rPr>
          <w:sz w:val="24"/>
          <w:szCs w:val="24"/>
        </w:rPr>
        <w:fldChar w:fldCharType="separate"/>
      </w:r>
      <w:r w:rsidR="00975A86" w:rsidRPr="00F47DF7">
        <w:rPr>
          <w:noProof/>
          <w:sz w:val="24"/>
          <w:szCs w:val="24"/>
        </w:rPr>
        <w:t>1</w:t>
      </w:r>
      <w:r w:rsidRPr="00F47DF7">
        <w:rPr>
          <w:sz w:val="24"/>
          <w:szCs w:val="24"/>
        </w:rPr>
        <w:fldChar w:fldCharType="end"/>
      </w:r>
      <w:bookmarkEnd w:id="1"/>
      <w:r w:rsidRPr="00F47DF7">
        <w:rPr>
          <w:sz w:val="24"/>
          <w:szCs w:val="24"/>
        </w:rPr>
        <w:t xml:space="preserve">. </w:t>
      </w:r>
      <w:r w:rsidRPr="00F47DF7">
        <w:rPr>
          <w:b w:val="0"/>
          <w:sz w:val="24"/>
          <w:szCs w:val="24"/>
        </w:rPr>
        <w:t>Appliance Types and Source Category Codes for RWC Sources</w:t>
      </w:r>
      <w:bookmarkEnd w:id="2"/>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7"/>
        <w:gridCol w:w="1528"/>
        <w:gridCol w:w="1643"/>
        <w:gridCol w:w="2604"/>
        <w:gridCol w:w="2592"/>
      </w:tblGrid>
      <w:tr w:rsidR="00F47DF7" w:rsidRPr="00837E90" w:rsidTr="00B8169A">
        <w:trPr>
          <w:cantSplit/>
          <w:trHeight w:val="20"/>
          <w:tblHeader/>
          <w:jc w:val="center"/>
        </w:trPr>
        <w:tc>
          <w:tcPr>
            <w:tcW w:w="1437" w:type="dxa"/>
            <w:shd w:val="clear" w:color="auto" w:fill="auto"/>
            <w:vAlign w:val="center"/>
          </w:tcPr>
          <w:p w:rsidR="00BB7712" w:rsidRPr="00837E90" w:rsidRDefault="00BB7712" w:rsidP="00236E39">
            <w:pPr>
              <w:spacing w:after="0" w:line="240" w:lineRule="auto"/>
              <w:jc w:val="center"/>
              <w:rPr>
                <w:b/>
                <w:sz w:val="20"/>
                <w:szCs w:val="22"/>
              </w:rPr>
            </w:pPr>
            <w:r w:rsidRPr="00837E90">
              <w:rPr>
                <w:b/>
                <w:sz w:val="20"/>
                <w:szCs w:val="22"/>
              </w:rPr>
              <w:t>Included</w:t>
            </w:r>
          </w:p>
        </w:tc>
        <w:tc>
          <w:tcPr>
            <w:tcW w:w="1528" w:type="dxa"/>
            <w:shd w:val="clear" w:color="auto" w:fill="auto"/>
            <w:noWrap/>
            <w:vAlign w:val="center"/>
          </w:tcPr>
          <w:p w:rsidR="00BB7712" w:rsidRPr="00837E90" w:rsidRDefault="00BB7712" w:rsidP="009A6F41">
            <w:pPr>
              <w:spacing w:after="0" w:line="240" w:lineRule="auto"/>
              <w:jc w:val="center"/>
              <w:rPr>
                <w:b/>
                <w:bCs/>
                <w:sz w:val="20"/>
                <w:szCs w:val="22"/>
              </w:rPr>
            </w:pPr>
            <w:r w:rsidRPr="00837E90">
              <w:rPr>
                <w:b/>
                <w:bCs/>
                <w:sz w:val="20"/>
                <w:szCs w:val="22"/>
              </w:rPr>
              <w:t>SCC</w:t>
            </w:r>
          </w:p>
        </w:tc>
        <w:tc>
          <w:tcPr>
            <w:tcW w:w="1643" w:type="dxa"/>
            <w:shd w:val="clear" w:color="auto" w:fill="auto"/>
            <w:vAlign w:val="center"/>
          </w:tcPr>
          <w:p w:rsidR="00BB7712" w:rsidRPr="00837E90" w:rsidRDefault="00BB7712" w:rsidP="009A6F41">
            <w:pPr>
              <w:spacing w:after="0" w:line="240" w:lineRule="auto"/>
              <w:rPr>
                <w:b/>
                <w:bCs/>
                <w:sz w:val="20"/>
                <w:szCs w:val="22"/>
              </w:rPr>
            </w:pPr>
            <w:r w:rsidRPr="00837E90">
              <w:rPr>
                <w:b/>
                <w:bCs/>
                <w:sz w:val="20"/>
                <w:szCs w:val="22"/>
              </w:rPr>
              <w:t>Fuel</w:t>
            </w:r>
          </w:p>
        </w:tc>
        <w:tc>
          <w:tcPr>
            <w:tcW w:w="2604" w:type="dxa"/>
            <w:shd w:val="clear" w:color="auto" w:fill="auto"/>
            <w:vAlign w:val="center"/>
          </w:tcPr>
          <w:p w:rsidR="00BB7712" w:rsidRPr="00837E90" w:rsidRDefault="00BB7712" w:rsidP="009A6F41">
            <w:pPr>
              <w:spacing w:after="0" w:line="240" w:lineRule="auto"/>
              <w:rPr>
                <w:b/>
                <w:bCs/>
                <w:sz w:val="20"/>
                <w:szCs w:val="22"/>
              </w:rPr>
            </w:pPr>
            <w:r w:rsidRPr="00837E90">
              <w:rPr>
                <w:b/>
                <w:bCs/>
                <w:sz w:val="20"/>
                <w:szCs w:val="22"/>
              </w:rPr>
              <w:t>Appliance Type</w:t>
            </w:r>
          </w:p>
        </w:tc>
        <w:tc>
          <w:tcPr>
            <w:tcW w:w="2592" w:type="dxa"/>
            <w:shd w:val="clear" w:color="auto" w:fill="auto"/>
            <w:vAlign w:val="center"/>
          </w:tcPr>
          <w:p w:rsidR="00BB7712" w:rsidRPr="00837E90" w:rsidRDefault="00BB7712" w:rsidP="009A6F41">
            <w:pPr>
              <w:spacing w:after="0" w:line="240" w:lineRule="auto"/>
              <w:rPr>
                <w:b/>
                <w:bCs/>
                <w:sz w:val="20"/>
                <w:szCs w:val="22"/>
              </w:rPr>
            </w:pPr>
            <w:r w:rsidRPr="00837E90">
              <w:rPr>
                <w:b/>
                <w:bCs/>
                <w:sz w:val="20"/>
                <w:szCs w:val="22"/>
              </w:rPr>
              <w:t>Comment</w:t>
            </w: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2104008100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Fireplace: general</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2104008110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Fireplace: open</w:t>
            </w:r>
          </w:p>
        </w:tc>
        <w:tc>
          <w:tcPr>
            <w:tcW w:w="2592"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Conventional fireplace with open hearth</w:t>
            </w: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2104008120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Fireplace: enclosed (or otherwise modified)</w:t>
            </w:r>
          </w:p>
        </w:tc>
        <w:tc>
          <w:tcPr>
            <w:tcW w:w="2592"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Enclosed with glass doors or other modifications to a conventional fireplace such as devices to boost efficiency (heat exchangers)</w:t>
            </w: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2104008130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Fireplace: qualified for EPA voluntary program</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2104008200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fireplace inserts; general</w:t>
            </w:r>
          </w:p>
        </w:tc>
        <w:tc>
          <w:tcPr>
            <w:tcW w:w="2592"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 xml:space="preserve">Fireplace inserts are similar to freestanding </w:t>
            </w:r>
            <w:proofErr w:type="gramStart"/>
            <w:r w:rsidRPr="00837E90">
              <w:rPr>
                <w:sz w:val="20"/>
                <w:szCs w:val="22"/>
              </w:rPr>
              <w:t>woodstove</w:t>
            </w:r>
            <w:proofErr w:type="gramEnd"/>
            <w:r w:rsidRPr="00837E90">
              <w:rPr>
                <w:sz w:val="20"/>
                <w:szCs w:val="22"/>
              </w:rPr>
              <w:t xml:space="preserve"> but they sit inside a fireplace. Other types of inserts should use SCC = 2104008120</w:t>
            </w: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2104008210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fireplace inserts; non EPA-certified</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2104008220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fireplace inserts; EPA-certified; non-catalytic</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2104008230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fireplace inserts; EPA-certified; catalytic</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2104008300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freestanding, general</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2104008310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freestanding, non-EPA certified</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2104008320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freestanding, EPA certified, non-catalytic</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2104008330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freestanding, EPA certified, catalytic</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2104008340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freestanding, masonry heater</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6B45C3" w:rsidP="00236E39">
            <w:pPr>
              <w:spacing w:after="0" w:line="240" w:lineRule="auto"/>
              <w:jc w:val="center"/>
              <w:rPr>
                <w:rFonts w:ascii="Arial" w:hAnsi="Arial"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2104008400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pellet-fired, general</w:t>
            </w:r>
          </w:p>
        </w:tc>
        <w:tc>
          <w:tcPr>
            <w:tcW w:w="2592"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Freestanding or fireplace insert</w:t>
            </w: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2104008410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pellet-fired, non-EPA certified</w:t>
            </w:r>
          </w:p>
        </w:tc>
        <w:tc>
          <w:tcPr>
            <w:tcW w:w="2592"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Freestanding or fireplace insert</w:t>
            </w: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2104008420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Woodstove: pellet-fired, EPA certified</w:t>
            </w:r>
          </w:p>
        </w:tc>
        <w:tc>
          <w:tcPr>
            <w:tcW w:w="2592"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Freestanding or fireplace insert</w:t>
            </w: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2104008500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Furnace: Indoor, general</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2104008510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Furnace: Indoor, cordwood-fired, non-EPA certified</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2104008520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Furnace: Indoor, cordwood-fired, EPA certified</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2104008530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Furnace: Indoor, pellet-fired, general</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2104008540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Furnace: Indoor, pellet-fired, non-EPA certified</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2104008550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Furnace: Indoor, pellet-fired, EPA certified</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2104008600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Hydronic heater: general, all types</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2104008610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Hydronic heater: outdoor</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2104008620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Hydronic heater: indoor</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2104008630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Hydronic heater: pellet-fired</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2104008640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Hydronic heater: meets NESCAUM phase II standards</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6B45C3" w:rsidP="00236E39">
            <w:pPr>
              <w:spacing w:after="0" w:line="240" w:lineRule="auto"/>
              <w:jc w:val="center"/>
              <w:rPr>
                <w:sz w:val="20"/>
                <w:szCs w:val="22"/>
              </w:rPr>
            </w:pPr>
            <w:r w:rsidRPr="00837E90">
              <w:rPr>
                <w:rFonts w:ascii="Wingdings" w:hAnsi="Wingdings" w:cs="Arial"/>
                <w:sz w:val="20"/>
                <w:szCs w:val="22"/>
              </w:rPr>
              <w:lastRenderedPageBreak/>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2104008700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Outdoor wood burning device, NEC</w:t>
            </w:r>
          </w:p>
        </w:tc>
        <w:tc>
          <w:tcPr>
            <w:tcW w:w="2592"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 xml:space="preserve">Fire-pits and </w:t>
            </w:r>
            <w:proofErr w:type="spellStart"/>
            <w:r w:rsidRPr="00837E90">
              <w:rPr>
                <w:sz w:val="20"/>
                <w:szCs w:val="22"/>
              </w:rPr>
              <w:t>chime</w:t>
            </w:r>
            <w:r w:rsidR="00C73A4E" w:rsidRPr="00837E90">
              <w:rPr>
                <w:sz w:val="20"/>
                <w:szCs w:val="22"/>
              </w:rPr>
              <w:t>n</w:t>
            </w:r>
            <w:r w:rsidRPr="00837E90">
              <w:rPr>
                <w:sz w:val="20"/>
                <w:szCs w:val="22"/>
              </w:rPr>
              <w:t>a</w:t>
            </w:r>
            <w:r w:rsidR="00C73A4E" w:rsidRPr="00837E90">
              <w:rPr>
                <w:sz w:val="20"/>
                <w:szCs w:val="22"/>
              </w:rPr>
              <w:t>e</w:t>
            </w:r>
            <w:r w:rsidRPr="00837E90">
              <w:rPr>
                <w:sz w:val="20"/>
                <w:szCs w:val="22"/>
              </w:rPr>
              <w:t>s</w:t>
            </w:r>
            <w:proofErr w:type="spellEnd"/>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Wingdings" w:hAnsi="Wingdings" w:cs="Arial"/>
                <w:sz w:val="20"/>
                <w:szCs w:val="22"/>
              </w:rPr>
            </w:pPr>
            <w:r w:rsidRPr="00837E90">
              <w:rPr>
                <w:rFonts w:ascii="Wingdings" w:hAnsi="Wingdings" w:cs="Arial"/>
                <w:sz w:val="20"/>
                <w:szCs w:val="22"/>
              </w:rPr>
              <w:t></w:t>
            </w: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2104009000</w:t>
            </w:r>
          </w:p>
        </w:tc>
        <w:tc>
          <w:tcPr>
            <w:tcW w:w="1643" w:type="dxa"/>
            <w:shd w:val="clear" w:color="auto" w:fill="auto"/>
            <w:vAlign w:val="center"/>
          </w:tcPr>
          <w:p w:rsidR="00BB7712" w:rsidRPr="00837E90" w:rsidRDefault="00BB7712" w:rsidP="009A6F41">
            <w:pPr>
              <w:spacing w:after="0" w:line="240" w:lineRule="auto"/>
              <w:rPr>
                <w:sz w:val="20"/>
                <w:szCs w:val="22"/>
              </w:rPr>
            </w:pPr>
            <w:proofErr w:type="spellStart"/>
            <w:r w:rsidRPr="00837E90">
              <w:rPr>
                <w:sz w:val="20"/>
                <w:szCs w:val="22"/>
              </w:rPr>
              <w:t>Firelog</w:t>
            </w:r>
            <w:proofErr w:type="spellEnd"/>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Total: All Combustor Types</w:t>
            </w:r>
          </w:p>
        </w:tc>
        <w:tc>
          <w:tcPr>
            <w:tcW w:w="2592" w:type="dxa"/>
            <w:shd w:val="clear" w:color="auto" w:fill="auto"/>
            <w:vAlign w:val="center"/>
          </w:tcPr>
          <w:p w:rsidR="00BB7712" w:rsidRPr="00837E90" w:rsidRDefault="00BB7712" w:rsidP="009A6F41">
            <w:pPr>
              <w:spacing w:after="0" w:line="240" w:lineRule="auto"/>
              <w:rPr>
                <w:sz w:val="20"/>
                <w:szCs w:val="22"/>
              </w:rPr>
            </w:pPr>
          </w:p>
        </w:tc>
      </w:tr>
      <w:tr w:rsidR="00F47DF7" w:rsidRPr="00837E90" w:rsidTr="00236E39">
        <w:trPr>
          <w:cantSplit/>
          <w:trHeight w:val="20"/>
          <w:jc w:val="center"/>
        </w:trPr>
        <w:tc>
          <w:tcPr>
            <w:tcW w:w="1437" w:type="dxa"/>
            <w:shd w:val="clear" w:color="auto" w:fill="auto"/>
            <w:noWrap/>
            <w:vAlign w:val="center"/>
          </w:tcPr>
          <w:p w:rsidR="00BB7712" w:rsidRPr="00837E90" w:rsidRDefault="00BB7712" w:rsidP="00236E39">
            <w:pPr>
              <w:spacing w:after="0" w:line="240" w:lineRule="auto"/>
              <w:jc w:val="center"/>
              <w:rPr>
                <w:rFonts w:ascii="Arial" w:hAnsi="Arial" w:cs="Arial"/>
                <w:sz w:val="20"/>
                <w:szCs w:val="22"/>
              </w:rPr>
            </w:pPr>
          </w:p>
        </w:tc>
        <w:tc>
          <w:tcPr>
            <w:tcW w:w="1528" w:type="dxa"/>
            <w:shd w:val="clear" w:color="auto" w:fill="auto"/>
            <w:noWrap/>
            <w:vAlign w:val="center"/>
          </w:tcPr>
          <w:p w:rsidR="00BB7712" w:rsidRPr="00837E90" w:rsidRDefault="00BB7712" w:rsidP="009A6F41">
            <w:pPr>
              <w:spacing w:after="0" w:line="240" w:lineRule="auto"/>
              <w:jc w:val="center"/>
              <w:rPr>
                <w:sz w:val="20"/>
                <w:szCs w:val="22"/>
              </w:rPr>
            </w:pPr>
            <w:r w:rsidRPr="00837E90">
              <w:rPr>
                <w:sz w:val="20"/>
                <w:szCs w:val="22"/>
              </w:rPr>
              <w:t>2104010000</w:t>
            </w:r>
          </w:p>
        </w:tc>
        <w:tc>
          <w:tcPr>
            <w:tcW w:w="1643"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Biomass; All Except Wood</w:t>
            </w:r>
          </w:p>
        </w:tc>
        <w:tc>
          <w:tcPr>
            <w:tcW w:w="2604" w:type="dxa"/>
            <w:shd w:val="clear" w:color="auto" w:fill="auto"/>
            <w:vAlign w:val="center"/>
          </w:tcPr>
          <w:p w:rsidR="00BB7712" w:rsidRPr="00837E90" w:rsidRDefault="00BB7712" w:rsidP="009A6F41">
            <w:pPr>
              <w:spacing w:after="0" w:line="240" w:lineRule="auto"/>
              <w:rPr>
                <w:sz w:val="20"/>
                <w:szCs w:val="22"/>
              </w:rPr>
            </w:pPr>
            <w:r w:rsidRPr="00837E90">
              <w:rPr>
                <w:sz w:val="20"/>
                <w:szCs w:val="22"/>
              </w:rPr>
              <w:t>Total: All Combustor Types</w:t>
            </w:r>
          </w:p>
        </w:tc>
        <w:tc>
          <w:tcPr>
            <w:tcW w:w="2592" w:type="dxa"/>
            <w:shd w:val="clear" w:color="auto" w:fill="auto"/>
            <w:vAlign w:val="center"/>
          </w:tcPr>
          <w:p w:rsidR="00BB7712" w:rsidRPr="00837E90" w:rsidRDefault="00BB7712" w:rsidP="009A6F41">
            <w:pPr>
              <w:spacing w:after="0" w:line="240" w:lineRule="auto"/>
              <w:rPr>
                <w:sz w:val="20"/>
                <w:szCs w:val="22"/>
              </w:rPr>
            </w:pPr>
          </w:p>
        </w:tc>
      </w:tr>
    </w:tbl>
    <w:p w:rsidR="00AB229C" w:rsidRPr="00837E90" w:rsidRDefault="007E0F46" w:rsidP="005B1906">
      <w:pPr>
        <w:pStyle w:val="Heading1ES"/>
        <w:rPr>
          <w:rFonts w:ascii="Times New Roman" w:hAnsi="Times New Roman"/>
          <w:color w:val="auto"/>
        </w:rPr>
      </w:pPr>
      <w:bookmarkStart w:id="3" w:name="_Toc449605611"/>
      <w:r w:rsidRPr="00837E90">
        <w:rPr>
          <w:rFonts w:ascii="Times New Roman" w:hAnsi="Times New Roman"/>
          <w:color w:val="auto"/>
        </w:rPr>
        <w:lastRenderedPageBreak/>
        <w:t xml:space="preserve">B. Calculation </w:t>
      </w:r>
      <w:proofErr w:type="spellStart"/>
      <w:r w:rsidRPr="00837E90">
        <w:rPr>
          <w:rFonts w:ascii="Times New Roman" w:hAnsi="Times New Roman"/>
          <w:color w:val="auto"/>
        </w:rPr>
        <w:t>Metholodgy</w:t>
      </w:r>
      <w:bookmarkEnd w:id="3"/>
      <w:proofErr w:type="spellEnd"/>
    </w:p>
    <w:p w:rsidR="008B7DBC" w:rsidRPr="00F47DF7" w:rsidRDefault="00A966CC" w:rsidP="007E0F46">
      <w:pPr>
        <w:spacing w:after="180" w:line="264" w:lineRule="auto"/>
        <w:rPr>
          <w:sz w:val="24"/>
        </w:rPr>
      </w:pPr>
      <w:r w:rsidRPr="00F47DF7">
        <w:rPr>
          <w:sz w:val="24"/>
        </w:rPr>
        <w:t>The e</w:t>
      </w:r>
      <w:r w:rsidR="008B7DBC" w:rsidRPr="00F47DF7">
        <w:rPr>
          <w:sz w:val="24"/>
        </w:rPr>
        <w:t>missions</w:t>
      </w:r>
      <w:r w:rsidRPr="00F47DF7">
        <w:rPr>
          <w:sz w:val="24"/>
        </w:rPr>
        <w:t xml:space="preserve"> from </w:t>
      </w:r>
      <w:r w:rsidR="008B7DBC" w:rsidRPr="00F47DF7">
        <w:rPr>
          <w:sz w:val="24"/>
        </w:rPr>
        <w:t xml:space="preserve">RWC </w:t>
      </w:r>
      <w:r w:rsidR="00E651C8" w:rsidRPr="00F47DF7">
        <w:rPr>
          <w:sz w:val="24"/>
        </w:rPr>
        <w:t xml:space="preserve">are </w:t>
      </w:r>
      <w:r w:rsidR="008B7DBC" w:rsidRPr="00F47DF7">
        <w:rPr>
          <w:sz w:val="24"/>
        </w:rPr>
        <w:t>calculated using the equation below.</w:t>
      </w:r>
    </w:p>
    <w:p w:rsidR="008B7DBC" w:rsidRPr="00F47DF7" w:rsidRDefault="008B7DBC" w:rsidP="00F92A85">
      <w:pPr>
        <w:ind w:left="720"/>
        <w:rPr>
          <w:i/>
          <w:sz w:val="24"/>
        </w:rPr>
      </w:pPr>
      <w:proofErr w:type="spellStart"/>
      <w:r w:rsidRPr="00F47DF7">
        <w:rPr>
          <w:i/>
          <w:sz w:val="24"/>
        </w:rPr>
        <w:t>E</w:t>
      </w:r>
      <w:r w:rsidRPr="00F47DF7">
        <w:rPr>
          <w:i/>
          <w:sz w:val="24"/>
          <w:vertAlign w:val="subscript"/>
        </w:rPr>
        <w:t>y</w:t>
      </w:r>
      <w:proofErr w:type="spellEnd"/>
      <w:r w:rsidR="00F15F06" w:rsidRPr="00F47DF7">
        <w:rPr>
          <w:i/>
          <w:sz w:val="24"/>
        </w:rPr>
        <w:t xml:space="preserve"> = Homes </w:t>
      </w:r>
      <w:r w:rsidR="00894D7D" w:rsidRPr="00F47DF7">
        <w:rPr>
          <w:i/>
          <w:sz w:val="24"/>
        </w:rPr>
        <w:t xml:space="preserve">× </w:t>
      </w:r>
      <w:proofErr w:type="spellStart"/>
      <w:r w:rsidR="00894D7D" w:rsidRPr="00F47DF7">
        <w:rPr>
          <w:i/>
          <w:sz w:val="24"/>
        </w:rPr>
        <w:t>ApplianceFrac</w:t>
      </w:r>
      <w:proofErr w:type="spellEnd"/>
      <w:r w:rsidR="00894D7D" w:rsidRPr="00F47DF7">
        <w:rPr>
          <w:i/>
          <w:sz w:val="24"/>
        </w:rPr>
        <w:t xml:space="preserve"> </w:t>
      </w:r>
      <w:r w:rsidR="00F15F06" w:rsidRPr="00F47DF7">
        <w:rPr>
          <w:i/>
          <w:sz w:val="24"/>
        </w:rPr>
        <w:t>×</w:t>
      </w:r>
      <w:proofErr w:type="spellStart"/>
      <w:r w:rsidR="00F15F06" w:rsidRPr="00F47DF7">
        <w:rPr>
          <w:i/>
          <w:sz w:val="24"/>
        </w:rPr>
        <w:t>BurnRate</w:t>
      </w:r>
      <w:proofErr w:type="spellEnd"/>
      <w:r w:rsidR="00F15F06" w:rsidRPr="00F47DF7">
        <w:rPr>
          <w:i/>
          <w:sz w:val="24"/>
        </w:rPr>
        <w:t xml:space="preserve"> × </w:t>
      </w:r>
      <w:proofErr w:type="spellStart"/>
      <w:r w:rsidR="00F15F06" w:rsidRPr="00F47DF7">
        <w:rPr>
          <w:i/>
          <w:sz w:val="24"/>
        </w:rPr>
        <w:t>WoodDensity</w:t>
      </w:r>
      <w:proofErr w:type="spellEnd"/>
      <w:r w:rsidRPr="00F47DF7">
        <w:rPr>
          <w:i/>
          <w:sz w:val="24"/>
        </w:rPr>
        <w:t xml:space="preserve">× </w:t>
      </w:r>
      <w:proofErr w:type="spellStart"/>
      <w:r w:rsidRPr="00F47DF7">
        <w:rPr>
          <w:i/>
          <w:sz w:val="24"/>
        </w:rPr>
        <w:t>EF</w:t>
      </w:r>
      <w:r w:rsidRPr="00F47DF7">
        <w:rPr>
          <w:i/>
          <w:sz w:val="24"/>
          <w:vertAlign w:val="subscript"/>
        </w:rPr>
        <w:t>y</w:t>
      </w:r>
      <w:proofErr w:type="spellEnd"/>
    </w:p>
    <w:p w:rsidR="008B7DBC" w:rsidRPr="00F47DF7" w:rsidRDefault="008B7DBC" w:rsidP="007E0F46">
      <w:pPr>
        <w:spacing w:after="240"/>
        <w:rPr>
          <w:sz w:val="24"/>
        </w:rPr>
      </w:pPr>
      <w:r w:rsidRPr="00F47DF7">
        <w:rPr>
          <w:sz w:val="24"/>
        </w:rPr>
        <w:t>where:</w:t>
      </w:r>
    </w:p>
    <w:p w:rsidR="008B7DBC" w:rsidRPr="00F47DF7" w:rsidRDefault="008B7DBC" w:rsidP="00F15F06">
      <w:pPr>
        <w:tabs>
          <w:tab w:val="left" w:pos="2160"/>
          <w:tab w:val="left" w:pos="2520"/>
        </w:tabs>
        <w:ind w:left="720"/>
        <w:rPr>
          <w:sz w:val="24"/>
        </w:rPr>
      </w:pPr>
      <w:proofErr w:type="spellStart"/>
      <w:r w:rsidRPr="00F47DF7">
        <w:rPr>
          <w:sz w:val="24"/>
        </w:rPr>
        <w:t>E</w:t>
      </w:r>
      <w:r w:rsidRPr="00F47DF7">
        <w:rPr>
          <w:sz w:val="24"/>
          <w:vertAlign w:val="subscript"/>
        </w:rPr>
        <w:t>y</w:t>
      </w:r>
      <w:proofErr w:type="spellEnd"/>
      <w:r w:rsidR="00F92A85" w:rsidRPr="00F47DF7">
        <w:rPr>
          <w:sz w:val="24"/>
        </w:rPr>
        <w:tab/>
      </w:r>
      <w:r w:rsidRPr="00F47DF7">
        <w:rPr>
          <w:sz w:val="24"/>
        </w:rPr>
        <w:t>=</w:t>
      </w:r>
      <w:r w:rsidR="00F92A85" w:rsidRPr="00F47DF7">
        <w:rPr>
          <w:sz w:val="24"/>
        </w:rPr>
        <w:tab/>
      </w:r>
      <w:r w:rsidRPr="00F47DF7">
        <w:rPr>
          <w:sz w:val="24"/>
        </w:rPr>
        <w:t>annual emissions (ton/year) for a specific appliance (or SCC)</w:t>
      </w:r>
      <w:r w:rsidR="005E7D42" w:rsidRPr="00F47DF7">
        <w:rPr>
          <w:sz w:val="24"/>
        </w:rPr>
        <w:t>,</w:t>
      </w:r>
    </w:p>
    <w:p w:rsidR="00894D7D" w:rsidRPr="00F47DF7" w:rsidRDefault="00894D7D" w:rsidP="00894D7D">
      <w:pPr>
        <w:tabs>
          <w:tab w:val="left" w:pos="2160"/>
          <w:tab w:val="left" w:pos="2520"/>
        </w:tabs>
        <w:ind w:left="720"/>
        <w:rPr>
          <w:sz w:val="24"/>
        </w:rPr>
      </w:pPr>
      <w:r w:rsidRPr="00F47DF7">
        <w:rPr>
          <w:sz w:val="24"/>
        </w:rPr>
        <w:t>Homes</w:t>
      </w:r>
      <w:r w:rsidRPr="00F47DF7">
        <w:rPr>
          <w:sz w:val="24"/>
        </w:rPr>
        <w:tab/>
        <w:t xml:space="preserve">= </w:t>
      </w:r>
      <w:r w:rsidRPr="00F47DF7">
        <w:rPr>
          <w:sz w:val="24"/>
        </w:rPr>
        <w:tab/>
        <w:t>the number of occupied homes in each county,</w:t>
      </w:r>
    </w:p>
    <w:p w:rsidR="008B7DBC" w:rsidRPr="00F47DF7" w:rsidRDefault="00F15F06" w:rsidP="00F15F06">
      <w:pPr>
        <w:tabs>
          <w:tab w:val="left" w:pos="2160"/>
          <w:tab w:val="left" w:pos="2520"/>
        </w:tabs>
        <w:ind w:left="720"/>
        <w:rPr>
          <w:sz w:val="24"/>
        </w:rPr>
      </w:pPr>
      <w:proofErr w:type="spellStart"/>
      <w:r w:rsidRPr="00F47DF7">
        <w:rPr>
          <w:sz w:val="24"/>
        </w:rPr>
        <w:t>ApplianceFrac</w:t>
      </w:r>
      <w:proofErr w:type="spellEnd"/>
      <w:r w:rsidR="00F92A85" w:rsidRPr="00F47DF7">
        <w:rPr>
          <w:sz w:val="24"/>
        </w:rPr>
        <w:tab/>
      </w:r>
      <w:r w:rsidR="008B7DBC" w:rsidRPr="00F47DF7">
        <w:rPr>
          <w:sz w:val="24"/>
        </w:rPr>
        <w:t>=</w:t>
      </w:r>
      <w:r w:rsidR="00F92A85" w:rsidRPr="00F47DF7">
        <w:rPr>
          <w:sz w:val="24"/>
        </w:rPr>
        <w:tab/>
      </w:r>
      <w:r w:rsidR="00D15C97" w:rsidRPr="00F47DF7">
        <w:rPr>
          <w:sz w:val="24"/>
        </w:rPr>
        <w:t xml:space="preserve">fraction </w:t>
      </w:r>
      <w:r w:rsidR="00894D7D" w:rsidRPr="00F47DF7">
        <w:rPr>
          <w:sz w:val="24"/>
        </w:rPr>
        <w:t>of homes in each county that use the appliance</w:t>
      </w:r>
      <w:r w:rsidR="005E7D42" w:rsidRPr="00F47DF7">
        <w:rPr>
          <w:sz w:val="24"/>
        </w:rPr>
        <w:t>,</w:t>
      </w:r>
    </w:p>
    <w:p w:rsidR="00F15F06" w:rsidRPr="00F47DF7" w:rsidRDefault="00F15F06" w:rsidP="00F15F06">
      <w:pPr>
        <w:tabs>
          <w:tab w:val="left" w:pos="2160"/>
          <w:tab w:val="left" w:pos="2520"/>
        </w:tabs>
        <w:ind w:left="720"/>
        <w:rPr>
          <w:sz w:val="24"/>
        </w:rPr>
      </w:pPr>
      <w:proofErr w:type="spellStart"/>
      <w:r w:rsidRPr="00F47DF7">
        <w:rPr>
          <w:sz w:val="24"/>
        </w:rPr>
        <w:t>BurnRate</w:t>
      </w:r>
      <w:proofErr w:type="spellEnd"/>
      <w:r w:rsidRPr="00F47DF7">
        <w:rPr>
          <w:sz w:val="24"/>
        </w:rPr>
        <w:tab/>
        <w:t>=</w:t>
      </w:r>
      <w:r w:rsidRPr="00F47DF7">
        <w:rPr>
          <w:sz w:val="24"/>
        </w:rPr>
        <w:tab/>
        <w:t>the average amount of wood burned per appliance</w:t>
      </w:r>
      <w:r w:rsidR="00894D7D" w:rsidRPr="00F47DF7">
        <w:rPr>
          <w:sz w:val="24"/>
        </w:rPr>
        <w:t xml:space="preserve"> (cords/appliance),</w:t>
      </w:r>
    </w:p>
    <w:p w:rsidR="00F15F06" w:rsidRPr="00F47DF7" w:rsidRDefault="00F15F06" w:rsidP="00F15F06">
      <w:pPr>
        <w:tabs>
          <w:tab w:val="left" w:pos="2160"/>
          <w:tab w:val="left" w:pos="2520"/>
        </w:tabs>
        <w:ind w:left="720"/>
        <w:rPr>
          <w:sz w:val="24"/>
        </w:rPr>
      </w:pPr>
      <w:proofErr w:type="spellStart"/>
      <w:r w:rsidRPr="00F47DF7">
        <w:rPr>
          <w:sz w:val="24"/>
        </w:rPr>
        <w:t>WoodDensity</w:t>
      </w:r>
      <w:proofErr w:type="spellEnd"/>
      <w:r w:rsidRPr="00F47DF7">
        <w:rPr>
          <w:sz w:val="24"/>
        </w:rPr>
        <w:tab/>
        <w:t>=</w:t>
      </w:r>
      <w:r w:rsidRPr="00F47DF7">
        <w:rPr>
          <w:sz w:val="24"/>
        </w:rPr>
        <w:tab/>
        <w:t xml:space="preserve">the </w:t>
      </w:r>
      <w:r w:rsidR="00894D7D" w:rsidRPr="00F47DF7">
        <w:rPr>
          <w:sz w:val="24"/>
        </w:rPr>
        <w:t>density of firewo</w:t>
      </w:r>
      <w:r w:rsidR="00D15C97" w:rsidRPr="00F47DF7">
        <w:rPr>
          <w:sz w:val="24"/>
        </w:rPr>
        <w:t>o</w:t>
      </w:r>
      <w:r w:rsidR="00894D7D" w:rsidRPr="00F47DF7">
        <w:rPr>
          <w:sz w:val="24"/>
        </w:rPr>
        <w:t>d (tons/cord),</w:t>
      </w:r>
    </w:p>
    <w:p w:rsidR="008B7DBC" w:rsidRPr="00F47DF7" w:rsidRDefault="008B7DBC" w:rsidP="00F15F06">
      <w:pPr>
        <w:tabs>
          <w:tab w:val="left" w:pos="2160"/>
          <w:tab w:val="left" w:pos="2520"/>
        </w:tabs>
        <w:ind w:left="720"/>
        <w:rPr>
          <w:sz w:val="24"/>
        </w:rPr>
      </w:pPr>
      <w:proofErr w:type="spellStart"/>
      <w:r w:rsidRPr="00F47DF7">
        <w:rPr>
          <w:sz w:val="24"/>
        </w:rPr>
        <w:t>EF</w:t>
      </w:r>
      <w:r w:rsidRPr="00F47DF7">
        <w:rPr>
          <w:sz w:val="24"/>
          <w:vertAlign w:val="subscript"/>
        </w:rPr>
        <w:t>y</w:t>
      </w:r>
      <w:proofErr w:type="spellEnd"/>
      <w:r w:rsidR="00F92A85" w:rsidRPr="00F47DF7">
        <w:rPr>
          <w:sz w:val="24"/>
          <w:vertAlign w:val="subscript"/>
        </w:rPr>
        <w:tab/>
      </w:r>
      <w:r w:rsidRPr="00F47DF7">
        <w:rPr>
          <w:sz w:val="24"/>
        </w:rPr>
        <w:t>=</w:t>
      </w:r>
      <w:r w:rsidR="00F92A85" w:rsidRPr="00F47DF7">
        <w:rPr>
          <w:sz w:val="24"/>
        </w:rPr>
        <w:tab/>
      </w:r>
      <w:r w:rsidRPr="00F47DF7">
        <w:rPr>
          <w:sz w:val="24"/>
        </w:rPr>
        <w:t xml:space="preserve">emission factor (tons of </w:t>
      </w:r>
      <w:r w:rsidR="00C6779C" w:rsidRPr="00F47DF7">
        <w:rPr>
          <w:sz w:val="24"/>
        </w:rPr>
        <w:t xml:space="preserve">pollutant </w:t>
      </w:r>
      <w:r w:rsidRPr="00F47DF7">
        <w:rPr>
          <w:sz w:val="24"/>
        </w:rPr>
        <w:t>emitted/</w:t>
      </w:r>
      <w:r w:rsidR="00894D7D" w:rsidRPr="00F47DF7">
        <w:rPr>
          <w:sz w:val="24"/>
        </w:rPr>
        <w:t>ton</w:t>
      </w:r>
      <w:r w:rsidRPr="00F47DF7">
        <w:rPr>
          <w:sz w:val="24"/>
        </w:rPr>
        <w:t xml:space="preserve"> of fuel used)</w:t>
      </w:r>
      <w:r w:rsidR="005E7D42" w:rsidRPr="00F47DF7">
        <w:rPr>
          <w:sz w:val="24"/>
        </w:rPr>
        <w:t>, and</w:t>
      </w:r>
    </w:p>
    <w:p w:rsidR="00760C45" w:rsidRPr="00F47DF7" w:rsidRDefault="008B7DBC" w:rsidP="00F15F06">
      <w:pPr>
        <w:tabs>
          <w:tab w:val="left" w:pos="2160"/>
          <w:tab w:val="left" w:pos="2520"/>
        </w:tabs>
        <w:spacing w:after="240"/>
        <w:ind w:left="720"/>
        <w:rPr>
          <w:sz w:val="24"/>
        </w:rPr>
      </w:pPr>
      <w:r w:rsidRPr="00F47DF7">
        <w:rPr>
          <w:sz w:val="24"/>
          <w:vertAlign w:val="subscript"/>
        </w:rPr>
        <w:t>y</w:t>
      </w:r>
      <w:r w:rsidRPr="00F47DF7">
        <w:rPr>
          <w:sz w:val="24"/>
        </w:rPr>
        <w:t xml:space="preserve"> is a specific pollutant</w:t>
      </w:r>
    </w:p>
    <w:p w:rsidR="00760C45" w:rsidRPr="00F47DF7" w:rsidRDefault="00B945FC" w:rsidP="007E0F46">
      <w:pPr>
        <w:spacing w:after="180" w:line="264" w:lineRule="auto"/>
        <w:rPr>
          <w:sz w:val="24"/>
        </w:rPr>
      </w:pPr>
      <w:r w:rsidRPr="00F47DF7">
        <w:rPr>
          <w:sz w:val="24"/>
        </w:rPr>
        <w:t>For e</w:t>
      </w:r>
      <w:r w:rsidR="00760C45" w:rsidRPr="00F47DF7">
        <w:rPr>
          <w:sz w:val="24"/>
        </w:rPr>
        <w:t>ach of the terms in the equation</w:t>
      </w:r>
      <w:r w:rsidRPr="00F47DF7">
        <w:rPr>
          <w:sz w:val="24"/>
        </w:rPr>
        <w:t>, the term and</w:t>
      </w:r>
      <w:r w:rsidR="00D15C97" w:rsidRPr="00F47DF7">
        <w:rPr>
          <w:sz w:val="24"/>
        </w:rPr>
        <w:t xml:space="preserve"> </w:t>
      </w:r>
      <w:r w:rsidR="00C73A4E" w:rsidRPr="00F47DF7">
        <w:rPr>
          <w:sz w:val="24"/>
        </w:rPr>
        <w:t xml:space="preserve">its </w:t>
      </w:r>
      <w:r w:rsidR="00021127" w:rsidRPr="00F47DF7">
        <w:rPr>
          <w:sz w:val="24"/>
        </w:rPr>
        <w:t>source are explained further below.</w:t>
      </w:r>
    </w:p>
    <w:p w:rsidR="00894D7D" w:rsidRPr="00F47DF7" w:rsidRDefault="00894D7D" w:rsidP="007E0F46">
      <w:pPr>
        <w:spacing w:after="180" w:line="264" w:lineRule="auto"/>
        <w:rPr>
          <w:sz w:val="24"/>
        </w:rPr>
      </w:pPr>
    </w:p>
    <w:p w:rsidR="008B7DBC" w:rsidRPr="00F47DF7" w:rsidRDefault="007E0F46" w:rsidP="007E0F46">
      <w:pPr>
        <w:pStyle w:val="Heading2"/>
        <w:numPr>
          <w:ilvl w:val="0"/>
          <w:numId w:val="0"/>
        </w:numPr>
        <w:tabs>
          <w:tab w:val="num" w:pos="720"/>
        </w:tabs>
        <w:ind w:left="720" w:hanging="720"/>
        <w:rPr>
          <w:rFonts w:ascii="Times New Roman" w:hAnsi="Times New Roman" w:cs="Times New Roman"/>
          <w:color w:val="auto"/>
          <w:sz w:val="24"/>
          <w:szCs w:val="24"/>
        </w:rPr>
      </w:pPr>
      <w:bookmarkStart w:id="4" w:name="_Toc449605612"/>
      <w:r w:rsidRPr="00F47DF7">
        <w:rPr>
          <w:rFonts w:ascii="Times New Roman" w:hAnsi="Times New Roman" w:cs="Times New Roman"/>
          <w:color w:val="auto"/>
          <w:sz w:val="24"/>
          <w:szCs w:val="24"/>
        </w:rPr>
        <w:t xml:space="preserve">1. </w:t>
      </w:r>
      <w:r w:rsidR="008B7DBC" w:rsidRPr="00F47DF7">
        <w:rPr>
          <w:rFonts w:ascii="Times New Roman" w:hAnsi="Times New Roman" w:cs="Times New Roman"/>
          <w:color w:val="auto"/>
          <w:sz w:val="24"/>
          <w:szCs w:val="24"/>
        </w:rPr>
        <w:t>Activity</w:t>
      </w:r>
      <w:r w:rsidR="005F40E8" w:rsidRPr="00F47DF7">
        <w:rPr>
          <w:rFonts w:ascii="Times New Roman" w:hAnsi="Times New Roman" w:cs="Times New Roman"/>
          <w:color w:val="auto"/>
          <w:sz w:val="24"/>
          <w:szCs w:val="24"/>
        </w:rPr>
        <w:t xml:space="preserve"> Data</w:t>
      </w:r>
      <w:bookmarkEnd w:id="4"/>
    </w:p>
    <w:p w:rsidR="00894D7D" w:rsidRPr="00F47DF7" w:rsidRDefault="00894D7D" w:rsidP="00EB0E1F">
      <w:pPr>
        <w:rPr>
          <w:sz w:val="24"/>
        </w:rPr>
      </w:pPr>
      <w:r w:rsidRPr="00F47DF7">
        <w:rPr>
          <w:sz w:val="24"/>
        </w:rPr>
        <w:t>The activity data for RWC is the total amount of wood burned. It is estimated by multiplying the number of occupied homes in each county by the appliance fraction to estimate the number of appliances operated annually in the county. This number is multiplied by the burn rate to estimate the total amount of wood burned in each appliance in each county.</w:t>
      </w:r>
    </w:p>
    <w:p w:rsidR="000C7FF6" w:rsidRPr="00F47DF7" w:rsidRDefault="007E0F46" w:rsidP="007E0F46">
      <w:pPr>
        <w:pStyle w:val="Heading3"/>
        <w:tabs>
          <w:tab w:val="num" w:pos="720"/>
        </w:tabs>
        <w:ind w:left="720" w:hanging="720"/>
        <w:rPr>
          <w:rFonts w:ascii="Times New Roman" w:hAnsi="Times New Roman"/>
          <w:color w:val="auto"/>
          <w:sz w:val="24"/>
          <w:szCs w:val="24"/>
        </w:rPr>
      </w:pPr>
      <w:bookmarkStart w:id="5" w:name="_Toc449605613"/>
      <w:r w:rsidRPr="00F47DF7">
        <w:rPr>
          <w:rFonts w:ascii="Times New Roman" w:hAnsi="Times New Roman"/>
          <w:color w:val="auto"/>
          <w:sz w:val="24"/>
          <w:szCs w:val="24"/>
        </w:rPr>
        <w:t xml:space="preserve">a. </w:t>
      </w:r>
      <w:r w:rsidR="000C7FF6" w:rsidRPr="00F47DF7">
        <w:rPr>
          <w:rFonts w:ascii="Times New Roman" w:hAnsi="Times New Roman"/>
          <w:color w:val="auto"/>
          <w:sz w:val="24"/>
          <w:szCs w:val="24"/>
        </w:rPr>
        <w:t xml:space="preserve">Occupied </w:t>
      </w:r>
      <w:r w:rsidR="00AD66B2" w:rsidRPr="00F47DF7">
        <w:rPr>
          <w:rFonts w:ascii="Times New Roman" w:hAnsi="Times New Roman"/>
          <w:color w:val="auto"/>
          <w:sz w:val="24"/>
          <w:szCs w:val="24"/>
        </w:rPr>
        <w:t xml:space="preserve">Housing </w:t>
      </w:r>
      <w:r w:rsidR="000C7FF6" w:rsidRPr="00F47DF7">
        <w:rPr>
          <w:rFonts w:ascii="Times New Roman" w:hAnsi="Times New Roman"/>
          <w:color w:val="auto"/>
          <w:sz w:val="24"/>
          <w:szCs w:val="24"/>
        </w:rPr>
        <w:t>Units</w:t>
      </w:r>
      <w:bookmarkEnd w:id="5"/>
    </w:p>
    <w:p w:rsidR="00E277B3" w:rsidRPr="00F47DF7" w:rsidRDefault="00456568" w:rsidP="00EB0E1F">
      <w:pPr>
        <w:rPr>
          <w:sz w:val="24"/>
        </w:rPr>
      </w:pPr>
      <w:r w:rsidRPr="00F47DF7">
        <w:rPr>
          <w:sz w:val="24"/>
        </w:rPr>
        <w:t xml:space="preserve">Since </w:t>
      </w:r>
      <w:r w:rsidR="00AA0C2A" w:rsidRPr="00F47DF7">
        <w:rPr>
          <w:sz w:val="24"/>
        </w:rPr>
        <w:t xml:space="preserve">appliance </w:t>
      </w:r>
      <w:r w:rsidR="00AE68DB" w:rsidRPr="00F47DF7">
        <w:rPr>
          <w:sz w:val="24"/>
        </w:rPr>
        <w:t xml:space="preserve">fractions </w:t>
      </w:r>
      <w:r w:rsidR="009A6F41" w:rsidRPr="00F47DF7">
        <w:rPr>
          <w:sz w:val="24"/>
        </w:rPr>
        <w:t>are</w:t>
      </w:r>
      <w:r w:rsidRPr="00F47DF7">
        <w:rPr>
          <w:sz w:val="24"/>
        </w:rPr>
        <w:t xml:space="preserve"> estimated </w:t>
      </w:r>
      <w:r w:rsidR="00AA0C2A" w:rsidRPr="00F47DF7">
        <w:rPr>
          <w:sz w:val="24"/>
        </w:rPr>
        <w:t xml:space="preserve">in terms of the </w:t>
      </w:r>
      <w:r w:rsidR="00D15C97" w:rsidRPr="00F47DF7">
        <w:rPr>
          <w:sz w:val="24"/>
        </w:rPr>
        <w:t xml:space="preserve">fraction </w:t>
      </w:r>
      <w:r w:rsidR="00AA0C2A" w:rsidRPr="00F47DF7">
        <w:rPr>
          <w:sz w:val="24"/>
        </w:rPr>
        <w:t xml:space="preserve">of occupied units </w:t>
      </w:r>
      <w:r w:rsidR="00A9424A" w:rsidRPr="00F47DF7">
        <w:rPr>
          <w:sz w:val="24"/>
        </w:rPr>
        <w:t>by</w:t>
      </w:r>
      <w:r w:rsidR="00AA0C2A" w:rsidRPr="00F47DF7">
        <w:rPr>
          <w:sz w:val="24"/>
        </w:rPr>
        <w:t xml:space="preserve"> appliance type</w:t>
      </w:r>
      <w:r w:rsidRPr="00F47DF7">
        <w:rPr>
          <w:sz w:val="24"/>
        </w:rPr>
        <w:t xml:space="preserve">, </w:t>
      </w:r>
      <w:r w:rsidR="00BD4B45" w:rsidRPr="00F47DF7">
        <w:rPr>
          <w:sz w:val="24"/>
        </w:rPr>
        <w:t xml:space="preserve">it is important that county population also </w:t>
      </w:r>
      <w:r w:rsidR="00A9424A" w:rsidRPr="00F47DF7">
        <w:rPr>
          <w:sz w:val="24"/>
        </w:rPr>
        <w:t xml:space="preserve">be </w:t>
      </w:r>
      <w:r w:rsidRPr="00F47DF7">
        <w:rPr>
          <w:sz w:val="24"/>
        </w:rPr>
        <w:t xml:space="preserve">based on </w:t>
      </w:r>
      <w:r w:rsidR="00BD4B45" w:rsidRPr="00F47DF7">
        <w:rPr>
          <w:sz w:val="24"/>
        </w:rPr>
        <w:t>number of occupied units.</w:t>
      </w:r>
      <w:r w:rsidR="00422764" w:rsidRPr="00F47DF7">
        <w:rPr>
          <w:sz w:val="24"/>
        </w:rPr>
        <w:t xml:space="preserve"> The data on occupied </w:t>
      </w:r>
      <w:r w:rsidR="00AD66B2" w:rsidRPr="00F47DF7">
        <w:rPr>
          <w:sz w:val="24"/>
        </w:rPr>
        <w:t xml:space="preserve">housing </w:t>
      </w:r>
      <w:r w:rsidR="00422764" w:rsidRPr="00F47DF7">
        <w:rPr>
          <w:sz w:val="24"/>
        </w:rPr>
        <w:t xml:space="preserve">units in each county </w:t>
      </w:r>
      <w:r w:rsidR="009A6F41" w:rsidRPr="00F47DF7">
        <w:rPr>
          <w:sz w:val="24"/>
        </w:rPr>
        <w:t>comes</w:t>
      </w:r>
      <w:r w:rsidR="00894D7D" w:rsidRPr="00F47DF7">
        <w:rPr>
          <w:sz w:val="24"/>
        </w:rPr>
        <w:t xml:space="preserve"> from the 2014</w:t>
      </w:r>
      <w:r w:rsidR="00422764" w:rsidRPr="00F47DF7">
        <w:rPr>
          <w:sz w:val="24"/>
        </w:rPr>
        <w:t xml:space="preserve"> </w:t>
      </w:r>
      <w:r w:rsidR="00894D7D" w:rsidRPr="00F47DF7">
        <w:rPr>
          <w:sz w:val="24"/>
        </w:rPr>
        <w:t xml:space="preserve">American Community Survey </w:t>
      </w:r>
      <w:r w:rsidR="00422764" w:rsidRPr="00F47DF7">
        <w:rPr>
          <w:sz w:val="24"/>
        </w:rPr>
        <w:t>(</w:t>
      </w:r>
      <w:r w:rsidR="00894D7D" w:rsidRPr="00F47DF7">
        <w:rPr>
          <w:sz w:val="24"/>
        </w:rPr>
        <w:t>U.S. Census Bureau 2016a</w:t>
      </w:r>
      <w:r w:rsidR="00E277B3" w:rsidRPr="00F47DF7">
        <w:rPr>
          <w:sz w:val="24"/>
        </w:rPr>
        <w:t>), which reports on the number of homes by the type of house:</w:t>
      </w:r>
    </w:p>
    <w:p w:rsidR="00E277B3" w:rsidRPr="00F47DF7" w:rsidRDefault="00E277B3" w:rsidP="00E277B3">
      <w:pPr>
        <w:numPr>
          <w:ilvl w:val="0"/>
          <w:numId w:val="20"/>
        </w:numPr>
        <w:spacing w:after="0"/>
        <w:rPr>
          <w:sz w:val="24"/>
        </w:rPr>
      </w:pPr>
      <w:r w:rsidRPr="00F47DF7">
        <w:rPr>
          <w:sz w:val="24"/>
        </w:rPr>
        <w:t xml:space="preserve">Single-family detached homes, </w:t>
      </w:r>
    </w:p>
    <w:p w:rsidR="00E277B3" w:rsidRPr="00F47DF7" w:rsidRDefault="00E277B3" w:rsidP="00E277B3">
      <w:pPr>
        <w:numPr>
          <w:ilvl w:val="0"/>
          <w:numId w:val="20"/>
        </w:numPr>
        <w:spacing w:after="0"/>
        <w:rPr>
          <w:sz w:val="24"/>
        </w:rPr>
      </w:pPr>
      <w:r w:rsidRPr="00F47DF7">
        <w:rPr>
          <w:sz w:val="24"/>
        </w:rPr>
        <w:t xml:space="preserve">Single-family attached homes, </w:t>
      </w:r>
    </w:p>
    <w:p w:rsidR="00E277B3" w:rsidRPr="00F47DF7" w:rsidRDefault="00E277B3" w:rsidP="00E277B3">
      <w:pPr>
        <w:numPr>
          <w:ilvl w:val="0"/>
          <w:numId w:val="20"/>
        </w:numPr>
        <w:spacing w:after="0"/>
        <w:rPr>
          <w:sz w:val="24"/>
        </w:rPr>
      </w:pPr>
      <w:r w:rsidRPr="00F47DF7">
        <w:rPr>
          <w:sz w:val="24"/>
        </w:rPr>
        <w:t xml:space="preserve">Multi-family homes with 2-4 units, </w:t>
      </w:r>
    </w:p>
    <w:p w:rsidR="00E277B3" w:rsidRPr="00F47DF7" w:rsidRDefault="00E277B3" w:rsidP="00E277B3">
      <w:pPr>
        <w:numPr>
          <w:ilvl w:val="0"/>
          <w:numId w:val="20"/>
        </w:numPr>
        <w:spacing w:after="0"/>
        <w:rPr>
          <w:sz w:val="24"/>
        </w:rPr>
      </w:pPr>
      <w:r w:rsidRPr="00F47DF7">
        <w:rPr>
          <w:sz w:val="24"/>
        </w:rPr>
        <w:t xml:space="preserve">Multi-family homes with more than 5 units, and </w:t>
      </w:r>
    </w:p>
    <w:p w:rsidR="00E277B3" w:rsidRPr="00F47DF7" w:rsidRDefault="00E277B3" w:rsidP="00E277B3">
      <w:pPr>
        <w:numPr>
          <w:ilvl w:val="0"/>
          <w:numId w:val="20"/>
        </w:numPr>
        <w:rPr>
          <w:sz w:val="24"/>
        </w:rPr>
      </w:pPr>
      <w:r w:rsidRPr="00F47DF7">
        <w:rPr>
          <w:sz w:val="24"/>
        </w:rPr>
        <w:t>Mobile homes.</w:t>
      </w:r>
    </w:p>
    <w:p w:rsidR="00E277B3" w:rsidRPr="00F47DF7" w:rsidRDefault="00476C9E" w:rsidP="00EB0E1F">
      <w:pPr>
        <w:rPr>
          <w:sz w:val="24"/>
        </w:rPr>
      </w:pPr>
      <w:r w:rsidRPr="00F47DF7">
        <w:rPr>
          <w:sz w:val="24"/>
        </w:rPr>
        <w:lastRenderedPageBreak/>
        <w:t>Each of these home types is divided into urban and rural homes (e.g. number of urban single-family detached homes, number of rural single-family detached homes, etc.) using the proportion of total urban and rural homes in each county from the 2010 census.</w:t>
      </w:r>
    </w:p>
    <w:p w:rsidR="00682852" w:rsidRPr="00F47DF7" w:rsidRDefault="00894D7D" w:rsidP="00EB0E1F">
      <w:pPr>
        <w:rPr>
          <w:sz w:val="24"/>
        </w:rPr>
      </w:pPr>
      <w:r w:rsidRPr="00F47DF7">
        <w:rPr>
          <w:sz w:val="24"/>
        </w:rPr>
        <w:t>T</w:t>
      </w:r>
      <w:r w:rsidR="007C3C62" w:rsidRPr="00F47DF7">
        <w:rPr>
          <w:sz w:val="24"/>
        </w:rPr>
        <w:t xml:space="preserve">he number of occupied units by county </w:t>
      </w:r>
      <w:r w:rsidR="00FF46E1" w:rsidRPr="00F47DF7">
        <w:rPr>
          <w:sz w:val="24"/>
        </w:rPr>
        <w:t xml:space="preserve">by house type </w:t>
      </w:r>
      <w:r w:rsidR="007C3C62" w:rsidRPr="00F47DF7">
        <w:rPr>
          <w:sz w:val="24"/>
        </w:rPr>
        <w:t xml:space="preserve">appears in the </w:t>
      </w:r>
      <w:r w:rsidR="00FF46E1" w:rsidRPr="00F47DF7">
        <w:rPr>
          <w:sz w:val="24"/>
        </w:rPr>
        <w:t>RWC t</w:t>
      </w:r>
      <w:r w:rsidR="002A127B" w:rsidRPr="00F47DF7">
        <w:rPr>
          <w:sz w:val="24"/>
        </w:rPr>
        <w:t xml:space="preserve">ool </w:t>
      </w:r>
      <w:r w:rsidR="007C3C62" w:rsidRPr="00F47DF7">
        <w:rPr>
          <w:sz w:val="24"/>
        </w:rPr>
        <w:t xml:space="preserve">in the table </w:t>
      </w:r>
      <w:r w:rsidR="00087FB6" w:rsidRPr="00F47DF7">
        <w:rPr>
          <w:sz w:val="24"/>
        </w:rPr>
        <w:t xml:space="preserve">named </w:t>
      </w:r>
      <w:r w:rsidR="00FF46E1" w:rsidRPr="00F47DF7">
        <w:rPr>
          <w:sz w:val="24"/>
        </w:rPr>
        <w:t>“</w:t>
      </w:r>
      <w:proofErr w:type="spellStart"/>
      <w:r w:rsidR="00FF46E1" w:rsidRPr="00F47DF7">
        <w:rPr>
          <w:sz w:val="24"/>
        </w:rPr>
        <w:t>Homes_by_House_Type</w:t>
      </w:r>
      <w:proofErr w:type="spellEnd"/>
      <w:r w:rsidR="00FF46E1" w:rsidRPr="00F47DF7">
        <w:rPr>
          <w:sz w:val="24"/>
        </w:rPr>
        <w:t xml:space="preserve">” and the total number of homes in each county appears in the table named </w:t>
      </w:r>
      <w:r w:rsidRPr="00F47DF7">
        <w:rPr>
          <w:sz w:val="24"/>
        </w:rPr>
        <w:t>“Master County Table</w:t>
      </w:r>
      <w:r w:rsidR="007C3C62" w:rsidRPr="00F47DF7">
        <w:rPr>
          <w:sz w:val="24"/>
        </w:rPr>
        <w:t>.</w:t>
      </w:r>
      <w:r w:rsidRPr="00F47DF7">
        <w:rPr>
          <w:sz w:val="24"/>
        </w:rPr>
        <w:t>”</w:t>
      </w:r>
    </w:p>
    <w:p w:rsidR="00DE6A7C" w:rsidRPr="00F47DF7" w:rsidRDefault="000C7FF6" w:rsidP="007E0F46">
      <w:pPr>
        <w:pStyle w:val="Heading3"/>
        <w:tabs>
          <w:tab w:val="num" w:pos="720"/>
        </w:tabs>
        <w:ind w:left="720" w:hanging="720"/>
        <w:rPr>
          <w:rFonts w:ascii="Times New Roman" w:hAnsi="Times New Roman"/>
          <w:color w:val="auto"/>
          <w:sz w:val="24"/>
          <w:szCs w:val="24"/>
        </w:rPr>
      </w:pPr>
      <w:bookmarkStart w:id="6" w:name="_Toc449605614"/>
      <w:r w:rsidRPr="00F47DF7">
        <w:rPr>
          <w:rFonts w:ascii="Times New Roman" w:hAnsi="Times New Roman"/>
          <w:color w:val="auto"/>
          <w:sz w:val="24"/>
          <w:szCs w:val="24"/>
        </w:rPr>
        <w:t>b</w:t>
      </w:r>
      <w:r w:rsidR="007E0F46" w:rsidRPr="00F47DF7">
        <w:rPr>
          <w:rFonts w:ascii="Times New Roman" w:hAnsi="Times New Roman"/>
          <w:color w:val="auto"/>
          <w:sz w:val="24"/>
          <w:szCs w:val="24"/>
        </w:rPr>
        <w:t xml:space="preserve">. </w:t>
      </w:r>
      <w:r w:rsidR="00DE6A7C" w:rsidRPr="00F47DF7">
        <w:rPr>
          <w:rFonts w:ascii="Times New Roman" w:hAnsi="Times New Roman"/>
          <w:color w:val="auto"/>
          <w:sz w:val="24"/>
          <w:szCs w:val="24"/>
        </w:rPr>
        <w:t xml:space="preserve">Appliance </w:t>
      </w:r>
      <w:r w:rsidR="00894D7D" w:rsidRPr="00F47DF7">
        <w:rPr>
          <w:rFonts w:ascii="Times New Roman" w:hAnsi="Times New Roman"/>
          <w:color w:val="auto"/>
          <w:sz w:val="24"/>
          <w:szCs w:val="24"/>
        </w:rPr>
        <w:t>Fractions</w:t>
      </w:r>
      <w:bookmarkEnd w:id="6"/>
    </w:p>
    <w:p w:rsidR="00894D7D" w:rsidRPr="00F47DF7" w:rsidRDefault="00894D7D" w:rsidP="00EB0E1F">
      <w:pPr>
        <w:rPr>
          <w:sz w:val="24"/>
        </w:rPr>
      </w:pPr>
      <w:r w:rsidRPr="00F47DF7">
        <w:rPr>
          <w:sz w:val="24"/>
        </w:rPr>
        <w:t>Appliance fractions are the</w:t>
      </w:r>
      <w:r w:rsidR="00AE68DB" w:rsidRPr="00F47DF7">
        <w:rPr>
          <w:sz w:val="24"/>
        </w:rPr>
        <w:t xml:space="preserve"> </w:t>
      </w:r>
      <w:r w:rsidR="00D15C97" w:rsidRPr="00F47DF7">
        <w:rPr>
          <w:sz w:val="24"/>
        </w:rPr>
        <w:t xml:space="preserve">fraction </w:t>
      </w:r>
      <w:r w:rsidR="00AE68DB" w:rsidRPr="00F47DF7">
        <w:rPr>
          <w:sz w:val="24"/>
        </w:rPr>
        <w:t>of occupied homes in each county that uses each type of wood burning appliance.</w:t>
      </w:r>
      <w:r w:rsidRPr="00F47DF7">
        <w:rPr>
          <w:sz w:val="24"/>
        </w:rPr>
        <w:t xml:space="preserve"> </w:t>
      </w:r>
      <w:r w:rsidR="00AE68DB" w:rsidRPr="00F47DF7">
        <w:rPr>
          <w:sz w:val="24"/>
        </w:rPr>
        <w:t xml:space="preserve">The appliance fractions are calculated using two main data sources: the Energy Information Administration Residential Energy Combustion Survey (RECS, EIA 2016) and the American Housing Survey (AHS, U.S. Census Bureau 2016b). </w:t>
      </w:r>
    </w:p>
    <w:p w:rsidR="00AE68DB" w:rsidRPr="00F47DF7" w:rsidRDefault="00AE68DB" w:rsidP="00EB0E1F">
      <w:pPr>
        <w:rPr>
          <w:sz w:val="24"/>
        </w:rPr>
      </w:pPr>
      <w:r w:rsidRPr="00F47DF7">
        <w:rPr>
          <w:sz w:val="24"/>
        </w:rPr>
        <w:t>Each of these sources includes survey data that asks respondents whether they use a given wood burning appliance. The methodology for determining the appliance fractions from these data sources differs by the type of appliance.</w:t>
      </w:r>
    </w:p>
    <w:p w:rsidR="008922F1" w:rsidRPr="00F47DF7" w:rsidRDefault="007D2F23" w:rsidP="00564E77">
      <w:pPr>
        <w:rPr>
          <w:b/>
          <w:sz w:val="24"/>
        </w:rPr>
      </w:pPr>
      <w:r w:rsidRPr="00F47DF7">
        <w:rPr>
          <w:b/>
          <w:sz w:val="24"/>
        </w:rPr>
        <w:t>Fir</w:t>
      </w:r>
      <w:r w:rsidR="00F92A85" w:rsidRPr="00F47DF7">
        <w:rPr>
          <w:b/>
          <w:sz w:val="24"/>
        </w:rPr>
        <w:t>eplace</w:t>
      </w:r>
      <w:r w:rsidR="00AE68DB" w:rsidRPr="00F47DF7">
        <w:rPr>
          <w:b/>
          <w:sz w:val="24"/>
        </w:rPr>
        <w:t xml:space="preserve">s, Woodstoves, and Furnaces </w:t>
      </w:r>
    </w:p>
    <w:p w:rsidR="00D82C0D" w:rsidRPr="00F47DF7" w:rsidRDefault="00AE68DB" w:rsidP="0034735E">
      <w:pPr>
        <w:spacing w:after="240" w:line="264" w:lineRule="auto"/>
        <w:rPr>
          <w:sz w:val="24"/>
        </w:rPr>
      </w:pPr>
      <w:r w:rsidRPr="00F47DF7">
        <w:rPr>
          <w:sz w:val="24"/>
        </w:rPr>
        <w:t xml:space="preserve">The methodology for estimating the appliance fraction from fireplaces, fireplace inserts, freestanding woodstoves, pellet stoves, and </w:t>
      </w:r>
      <w:r w:rsidR="00D659BA" w:rsidRPr="00F47DF7">
        <w:rPr>
          <w:sz w:val="24"/>
        </w:rPr>
        <w:t xml:space="preserve">indoor </w:t>
      </w:r>
      <w:r w:rsidRPr="00F47DF7">
        <w:rPr>
          <w:sz w:val="24"/>
        </w:rPr>
        <w:t>furnaces uses the EIA’</w:t>
      </w:r>
      <w:r w:rsidR="00564E77" w:rsidRPr="00F47DF7">
        <w:rPr>
          <w:sz w:val="24"/>
        </w:rPr>
        <w:t>s RECS</w:t>
      </w:r>
      <w:r w:rsidRPr="00F47DF7">
        <w:rPr>
          <w:sz w:val="24"/>
        </w:rPr>
        <w:t xml:space="preserve"> microdata, which consists of 27,187 individual survey responses between 1997 and 2009. RECS asks a wide variety of questions related to home energy use, including several that are important for RWC emissions estimation:</w:t>
      </w:r>
    </w:p>
    <w:p w:rsidR="00AE68DB" w:rsidRPr="00F47DF7" w:rsidRDefault="00AE68DB" w:rsidP="00AE68DB">
      <w:pPr>
        <w:numPr>
          <w:ilvl w:val="0"/>
          <w:numId w:val="19"/>
        </w:numPr>
        <w:spacing w:after="0" w:line="264" w:lineRule="auto"/>
        <w:rPr>
          <w:sz w:val="24"/>
        </w:rPr>
      </w:pPr>
      <w:r w:rsidRPr="00F47DF7">
        <w:rPr>
          <w:sz w:val="24"/>
        </w:rPr>
        <w:t>The appliance used for the main heat source in the home,</w:t>
      </w:r>
    </w:p>
    <w:p w:rsidR="00AE68DB" w:rsidRPr="00F47DF7" w:rsidRDefault="00AE68DB" w:rsidP="00AE68DB">
      <w:pPr>
        <w:numPr>
          <w:ilvl w:val="0"/>
          <w:numId w:val="19"/>
        </w:numPr>
        <w:spacing w:after="0" w:line="264" w:lineRule="auto"/>
        <w:rPr>
          <w:sz w:val="24"/>
        </w:rPr>
      </w:pPr>
      <w:r w:rsidRPr="00F47DF7">
        <w:rPr>
          <w:sz w:val="24"/>
        </w:rPr>
        <w:t>The fuel used for the main heat source in the home,</w:t>
      </w:r>
    </w:p>
    <w:p w:rsidR="00AE68DB" w:rsidRPr="00F47DF7" w:rsidRDefault="00AE68DB" w:rsidP="00AE68DB">
      <w:pPr>
        <w:numPr>
          <w:ilvl w:val="0"/>
          <w:numId w:val="19"/>
        </w:numPr>
        <w:spacing w:after="0" w:line="264" w:lineRule="auto"/>
        <w:rPr>
          <w:sz w:val="24"/>
        </w:rPr>
      </w:pPr>
      <w:r w:rsidRPr="00F47DF7">
        <w:rPr>
          <w:sz w:val="24"/>
        </w:rPr>
        <w:t>Whether the home uses a woodstove for a secondary heat source,</w:t>
      </w:r>
    </w:p>
    <w:p w:rsidR="00AE68DB" w:rsidRPr="00F47DF7" w:rsidRDefault="00AE68DB" w:rsidP="00AE68DB">
      <w:pPr>
        <w:numPr>
          <w:ilvl w:val="0"/>
          <w:numId w:val="19"/>
        </w:numPr>
        <w:spacing w:after="0" w:line="264" w:lineRule="auto"/>
        <w:rPr>
          <w:sz w:val="24"/>
        </w:rPr>
      </w:pPr>
      <w:r w:rsidRPr="00F47DF7">
        <w:rPr>
          <w:sz w:val="24"/>
        </w:rPr>
        <w:t>Whether the home uses a fireplace for a secondary heat source.</w:t>
      </w:r>
    </w:p>
    <w:p w:rsidR="00AE68DB" w:rsidRPr="00F47DF7" w:rsidRDefault="00AE68DB" w:rsidP="00AE68DB">
      <w:pPr>
        <w:numPr>
          <w:ilvl w:val="0"/>
          <w:numId w:val="19"/>
        </w:numPr>
        <w:spacing w:after="0" w:line="264" w:lineRule="auto"/>
        <w:rPr>
          <w:sz w:val="24"/>
        </w:rPr>
      </w:pPr>
      <w:r w:rsidRPr="00F47DF7">
        <w:rPr>
          <w:sz w:val="24"/>
        </w:rPr>
        <w:t>The amount of wood burned (cords) annually by the home.</w:t>
      </w:r>
    </w:p>
    <w:p w:rsidR="00AE68DB" w:rsidRPr="00F47DF7" w:rsidRDefault="00AE68DB" w:rsidP="00AE68DB">
      <w:pPr>
        <w:spacing w:after="0" w:line="264" w:lineRule="auto"/>
        <w:rPr>
          <w:sz w:val="24"/>
        </w:rPr>
      </w:pPr>
    </w:p>
    <w:p w:rsidR="00AE68DB" w:rsidRPr="00F47DF7" w:rsidRDefault="00564E77" w:rsidP="00E277B3">
      <w:pPr>
        <w:spacing w:after="240" w:line="264" w:lineRule="auto"/>
        <w:rPr>
          <w:sz w:val="24"/>
        </w:rPr>
      </w:pPr>
      <w:r w:rsidRPr="00F47DF7">
        <w:rPr>
          <w:sz w:val="24"/>
        </w:rPr>
        <w:t>The RECS</w:t>
      </w:r>
      <w:r w:rsidR="00AE68DB" w:rsidRPr="00F47DF7">
        <w:rPr>
          <w:sz w:val="24"/>
        </w:rPr>
        <w:t xml:space="preserve"> data also includes demographic data about the respondent, including thei</w:t>
      </w:r>
      <w:r w:rsidR="00E277B3" w:rsidRPr="00F47DF7">
        <w:rPr>
          <w:sz w:val="24"/>
        </w:rPr>
        <w:t>r census division location, the number of heating degree days in their area, the type of house they live in, and whether their home is in an urban or rural setting.</w:t>
      </w:r>
    </w:p>
    <w:p w:rsidR="00E277B3" w:rsidRPr="00F47DF7" w:rsidRDefault="00E277B3" w:rsidP="00E277B3">
      <w:pPr>
        <w:spacing w:after="240" w:line="264" w:lineRule="auto"/>
        <w:rPr>
          <w:sz w:val="24"/>
        </w:rPr>
      </w:pPr>
      <w:r w:rsidRPr="00F47DF7">
        <w:rPr>
          <w:sz w:val="24"/>
        </w:rPr>
        <w:t xml:space="preserve">The appliance fractions were estimated using a regression technique called logistic regression that estimates the likelihood of a binary (i.e. yes or no) outcome. In this case the outcome is whether or not the home uses the wood burning appliance. </w:t>
      </w:r>
      <w:r w:rsidR="00476C9E" w:rsidRPr="00F47DF7">
        <w:rPr>
          <w:sz w:val="24"/>
        </w:rPr>
        <w:t>T</w:t>
      </w:r>
      <w:r w:rsidR="00D15C97" w:rsidRPr="00F47DF7">
        <w:rPr>
          <w:sz w:val="24"/>
        </w:rPr>
        <w:t>he result</w:t>
      </w:r>
      <w:r w:rsidR="00476C9E" w:rsidRPr="00F47DF7">
        <w:rPr>
          <w:sz w:val="24"/>
        </w:rPr>
        <w:t xml:space="preserve"> of the regression analysis </w:t>
      </w:r>
      <w:r w:rsidR="00D15C97" w:rsidRPr="00F47DF7">
        <w:rPr>
          <w:sz w:val="24"/>
        </w:rPr>
        <w:t xml:space="preserve">is </w:t>
      </w:r>
      <w:r w:rsidR="00476C9E" w:rsidRPr="00F47DF7">
        <w:rPr>
          <w:sz w:val="24"/>
        </w:rPr>
        <w:t xml:space="preserve">an equation that uses the </w:t>
      </w:r>
      <w:r w:rsidRPr="00F47DF7">
        <w:rPr>
          <w:sz w:val="24"/>
        </w:rPr>
        <w:t>demographic variables to predict</w:t>
      </w:r>
      <w:r w:rsidR="00476C9E" w:rsidRPr="00F47DF7">
        <w:rPr>
          <w:sz w:val="24"/>
        </w:rPr>
        <w:t xml:space="preserve"> the proportion of homes in each county that uses each appliance</w:t>
      </w:r>
      <w:r w:rsidRPr="00F47DF7">
        <w:rPr>
          <w:sz w:val="24"/>
        </w:rPr>
        <w:t>.</w:t>
      </w:r>
    </w:p>
    <w:p w:rsidR="00E277B3" w:rsidRPr="00F47DF7" w:rsidRDefault="00476C9E" w:rsidP="00E277B3">
      <w:pPr>
        <w:spacing w:after="240" w:line="264" w:lineRule="auto"/>
        <w:rPr>
          <w:sz w:val="24"/>
        </w:rPr>
      </w:pPr>
      <w:r w:rsidRPr="00F47DF7">
        <w:rPr>
          <w:sz w:val="24"/>
        </w:rPr>
        <w:lastRenderedPageBreak/>
        <w:t>To estimate the appliance fraction for each county, the regression equation is used with the number of heating degree days in each county from NOAA (2016) and each unique combination of:</w:t>
      </w:r>
    </w:p>
    <w:p w:rsidR="00E277B3" w:rsidRPr="00F47DF7" w:rsidRDefault="00476C9E" w:rsidP="00476C9E">
      <w:pPr>
        <w:numPr>
          <w:ilvl w:val="0"/>
          <w:numId w:val="19"/>
        </w:numPr>
        <w:spacing w:after="0" w:line="264" w:lineRule="auto"/>
        <w:rPr>
          <w:sz w:val="24"/>
        </w:rPr>
      </w:pPr>
      <w:r w:rsidRPr="00F47DF7">
        <w:rPr>
          <w:sz w:val="24"/>
        </w:rPr>
        <w:t>Home type (5 types),</w:t>
      </w:r>
    </w:p>
    <w:p w:rsidR="00E277B3" w:rsidRPr="00F47DF7" w:rsidRDefault="00476C9E" w:rsidP="00476C9E">
      <w:pPr>
        <w:numPr>
          <w:ilvl w:val="0"/>
          <w:numId w:val="19"/>
        </w:numPr>
        <w:spacing w:after="0" w:line="264" w:lineRule="auto"/>
        <w:rPr>
          <w:sz w:val="24"/>
        </w:rPr>
      </w:pPr>
      <w:r w:rsidRPr="00F47DF7">
        <w:rPr>
          <w:sz w:val="24"/>
        </w:rPr>
        <w:t>Urban or rural setting,</w:t>
      </w:r>
    </w:p>
    <w:p w:rsidR="00E277B3" w:rsidRPr="00F47DF7" w:rsidRDefault="00476C9E" w:rsidP="00476C9E">
      <w:pPr>
        <w:numPr>
          <w:ilvl w:val="0"/>
          <w:numId w:val="19"/>
        </w:numPr>
        <w:spacing w:after="0" w:line="264" w:lineRule="auto"/>
        <w:rPr>
          <w:sz w:val="24"/>
        </w:rPr>
      </w:pPr>
      <w:r w:rsidRPr="00F47DF7">
        <w:rPr>
          <w:sz w:val="24"/>
        </w:rPr>
        <w:t>Appliance type</w:t>
      </w:r>
      <w:r w:rsidR="00E277B3" w:rsidRPr="00F47DF7">
        <w:rPr>
          <w:sz w:val="24"/>
        </w:rPr>
        <w:t xml:space="preserve"> (fireplaces, woodstoves, and furnaces)</w:t>
      </w:r>
      <w:r w:rsidRPr="00F47DF7">
        <w:rPr>
          <w:sz w:val="24"/>
        </w:rPr>
        <w:t xml:space="preserve">, and </w:t>
      </w:r>
    </w:p>
    <w:p w:rsidR="00E277B3" w:rsidRPr="00F47DF7" w:rsidRDefault="00476C9E" w:rsidP="00E277B3">
      <w:pPr>
        <w:numPr>
          <w:ilvl w:val="0"/>
          <w:numId w:val="19"/>
        </w:numPr>
        <w:spacing w:after="240" w:line="264" w:lineRule="auto"/>
        <w:rPr>
          <w:sz w:val="24"/>
        </w:rPr>
      </w:pPr>
      <w:r w:rsidRPr="00F47DF7">
        <w:rPr>
          <w:sz w:val="24"/>
        </w:rPr>
        <w:t>B</w:t>
      </w:r>
      <w:r w:rsidR="00E277B3" w:rsidRPr="00F47DF7">
        <w:rPr>
          <w:sz w:val="24"/>
        </w:rPr>
        <w:t>urn types (main heat or other heating; only main heating was used for furnaces)</w:t>
      </w:r>
    </w:p>
    <w:p w:rsidR="00AE68DB" w:rsidRPr="00F47DF7" w:rsidRDefault="00476C9E" w:rsidP="00476C9E">
      <w:pPr>
        <w:spacing w:after="0" w:line="264" w:lineRule="auto"/>
        <w:rPr>
          <w:sz w:val="24"/>
        </w:rPr>
      </w:pPr>
      <w:r w:rsidRPr="00F47DF7">
        <w:rPr>
          <w:sz w:val="24"/>
        </w:rPr>
        <w:t>The result is 50 unique appliance fractions for each county.</w:t>
      </w:r>
      <w:r w:rsidR="00564E77" w:rsidRPr="00F47DF7">
        <w:rPr>
          <w:sz w:val="24"/>
        </w:rPr>
        <w:t xml:space="preserve"> These appliance fractions are multiplied by the number of homes in each county in each category. For example, the appliance fraction for main heating by woodstoves in urban mobile homes is multiplied by the number of urban mobile homes in each county to determine the total number of woodstoves that were used for main heating in urban mobile homes. This process is repeated for all home types, appliance types, and burn types.</w:t>
      </w:r>
    </w:p>
    <w:p w:rsidR="00A5747E" w:rsidRPr="00F47DF7" w:rsidRDefault="00A5747E" w:rsidP="00476C9E">
      <w:pPr>
        <w:spacing w:after="0" w:line="264" w:lineRule="auto"/>
        <w:rPr>
          <w:sz w:val="24"/>
        </w:rPr>
      </w:pPr>
    </w:p>
    <w:p w:rsidR="00A5747E" w:rsidRPr="00F47DF7" w:rsidRDefault="00A5747E" w:rsidP="00476C9E">
      <w:pPr>
        <w:spacing w:after="0" w:line="264" w:lineRule="auto"/>
        <w:rPr>
          <w:sz w:val="24"/>
        </w:rPr>
      </w:pPr>
      <w:r w:rsidRPr="00F47DF7">
        <w:rPr>
          <w:sz w:val="24"/>
        </w:rPr>
        <w:t xml:space="preserve">For fireplaces, the appliance fractions are also adjusted to account for the fraction of fireplaces that burn natural gas or propane rather than wood. Data from RECS </w:t>
      </w:r>
      <w:r w:rsidR="002B5CE1" w:rsidRPr="00F47DF7">
        <w:rPr>
          <w:sz w:val="24"/>
        </w:rPr>
        <w:t xml:space="preserve">suggests that approximately 49 percent of fireplaces in urban homes </w:t>
      </w:r>
      <w:r w:rsidR="00DD2C02" w:rsidRPr="00F47DF7">
        <w:rPr>
          <w:sz w:val="24"/>
        </w:rPr>
        <w:t>and 47 percent of fireplaces in rural homes burn wood. These assumptions about the ratio of wood to gas fireplaces can be adjusted in the RWC Tool, in the table called “</w:t>
      </w:r>
      <w:proofErr w:type="spellStart"/>
      <w:r w:rsidR="00DD2C02" w:rsidRPr="00F47DF7">
        <w:rPr>
          <w:sz w:val="24"/>
        </w:rPr>
        <w:t>ApplFracBurnRate</w:t>
      </w:r>
      <w:proofErr w:type="spellEnd"/>
      <w:r w:rsidR="00DD2C02" w:rsidRPr="00F47DF7">
        <w:rPr>
          <w:sz w:val="24"/>
        </w:rPr>
        <w:t>” in the column called “</w:t>
      </w:r>
      <w:proofErr w:type="spellStart"/>
      <w:r w:rsidR="00DD2C02" w:rsidRPr="00F47DF7">
        <w:rPr>
          <w:sz w:val="24"/>
        </w:rPr>
        <w:t>WoodRatio</w:t>
      </w:r>
      <w:proofErr w:type="spellEnd"/>
      <w:r w:rsidR="00DD2C02" w:rsidRPr="00F47DF7">
        <w:rPr>
          <w:sz w:val="24"/>
        </w:rPr>
        <w:t xml:space="preserve">.” The default assumption of the RWC tool is that all woodstoves are 100 percent wood burning. </w:t>
      </w:r>
    </w:p>
    <w:p w:rsidR="00476C9E" w:rsidRPr="00F47DF7" w:rsidRDefault="00476C9E" w:rsidP="00476C9E">
      <w:pPr>
        <w:spacing w:after="0" w:line="264" w:lineRule="auto"/>
        <w:rPr>
          <w:sz w:val="24"/>
        </w:rPr>
      </w:pPr>
    </w:p>
    <w:p w:rsidR="00CE001F" w:rsidRPr="00F47DF7" w:rsidRDefault="00CE001F" w:rsidP="00E60C9B">
      <w:pPr>
        <w:rPr>
          <w:b/>
          <w:sz w:val="24"/>
        </w:rPr>
      </w:pPr>
      <w:r w:rsidRPr="00F47DF7">
        <w:rPr>
          <w:b/>
          <w:sz w:val="24"/>
        </w:rPr>
        <w:t xml:space="preserve">Outdoor Hydronic Heaters </w:t>
      </w:r>
      <w:r w:rsidR="00B945FC" w:rsidRPr="00F47DF7">
        <w:rPr>
          <w:b/>
          <w:sz w:val="24"/>
        </w:rPr>
        <w:t>(OHHs)</w:t>
      </w:r>
    </w:p>
    <w:p w:rsidR="00CE001F" w:rsidRPr="00F47DF7" w:rsidRDefault="00CE001F" w:rsidP="00EB0E1F">
      <w:pPr>
        <w:rPr>
          <w:sz w:val="24"/>
        </w:rPr>
      </w:pPr>
      <w:r w:rsidRPr="00F47DF7">
        <w:rPr>
          <w:sz w:val="24"/>
        </w:rPr>
        <w:t xml:space="preserve">For </w:t>
      </w:r>
      <w:r w:rsidR="00940946" w:rsidRPr="00F47DF7">
        <w:rPr>
          <w:sz w:val="24"/>
        </w:rPr>
        <w:t>OHHs</w:t>
      </w:r>
      <w:r w:rsidRPr="00F47DF7">
        <w:rPr>
          <w:sz w:val="24"/>
        </w:rPr>
        <w:t xml:space="preserve"> a different approach </w:t>
      </w:r>
      <w:r w:rsidR="002649E9" w:rsidRPr="00F47DF7">
        <w:rPr>
          <w:sz w:val="24"/>
        </w:rPr>
        <w:t>is</w:t>
      </w:r>
      <w:r w:rsidRPr="00F47DF7">
        <w:rPr>
          <w:sz w:val="24"/>
        </w:rPr>
        <w:t xml:space="preserve"> used to </w:t>
      </w:r>
      <w:r w:rsidR="002649E9" w:rsidRPr="00F47DF7">
        <w:rPr>
          <w:sz w:val="24"/>
        </w:rPr>
        <w:t>determine</w:t>
      </w:r>
      <w:r w:rsidRPr="00F47DF7">
        <w:rPr>
          <w:sz w:val="24"/>
        </w:rPr>
        <w:t xml:space="preserve"> the number of appliances</w:t>
      </w:r>
      <w:r w:rsidR="00564E77" w:rsidRPr="00F47DF7">
        <w:rPr>
          <w:sz w:val="24"/>
        </w:rPr>
        <w:t xml:space="preserve"> </w:t>
      </w:r>
      <w:r w:rsidR="00B945FC" w:rsidRPr="00F47DF7">
        <w:rPr>
          <w:sz w:val="24"/>
        </w:rPr>
        <w:t>in use</w:t>
      </w:r>
      <w:r w:rsidRPr="00F47DF7">
        <w:rPr>
          <w:sz w:val="24"/>
        </w:rPr>
        <w:t xml:space="preserve">. </w:t>
      </w:r>
      <w:r w:rsidR="00564E77" w:rsidRPr="00F47DF7">
        <w:rPr>
          <w:sz w:val="24"/>
        </w:rPr>
        <w:t xml:space="preserve">There are not enough survey responses to RECS by respondents that use OHHs to allow for the type of regression analysis used for the other appliance types. Therefore the appliance fractions for OHHs </w:t>
      </w:r>
      <w:r w:rsidR="00B63BEE" w:rsidRPr="00F47DF7">
        <w:rPr>
          <w:sz w:val="24"/>
        </w:rPr>
        <w:t xml:space="preserve">are </w:t>
      </w:r>
      <w:r w:rsidR="00564E77" w:rsidRPr="00F47DF7">
        <w:rPr>
          <w:sz w:val="24"/>
        </w:rPr>
        <w:t>calculated using data from the American Housing Survey. In 2011 (the only year in which this question was included in the AHS), the AHS asked whether the respondent used an OHH. Like the RECS data, the AHS includes demographic data about the respondent, including their census region and division location, and climate zone, which is defined by number of heating degree days.</w:t>
      </w:r>
    </w:p>
    <w:p w:rsidR="00E60C9B" w:rsidRPr="00F47DF7" w:rsidRDefault="00564E77" w:rsidP="00EB0E1F">
      <w:pPr>
        <w:rPr>
          <w:sz w:val="24"/>
        </w:rPr>
      </w:pPr>
      <w:r w:rsidRPr="00F47DF7">
        <w:rPr>
          <w:sz w:val="24"/>
        </w:rPr>
        <w:t xml:space="preserve">The total number of estimated OHHs </w:t>
      </w:r>
      <w:r w:rsidR="00B63BEE" w:rsidRPr="00F47DF7">
        <w:rPr>
          <w:sz w:val="24"/>
        </w:rPr>
        <w:t xml:space="preserve">are </w:t>
      </w:r>
      <w:r w:rsidRPr="00F47DF7">
        <w:rPr>
          <w:sz w:val="24"/>
        </w:rPr>
        <w:t xml:space="preserve">divided into each unique combination of census region and climate zone. </w:t>
      </w:r>
      <w:r w:rsidR="00E60C9B" w:rsidRPr="00F47DF7">
        <w:rPr>
          <w:sz w:val="24"/>
        </w:rPr>
        <w:t xml:space="preserve">This total OHHs population </w:t>
      </w:r>
      <w:r w:rsidR="00B63BEE" w:rsidRPr="00F47DF7">
        <w:rPr>
          <w:sz w:val="24"/>
        </w:rPr>
        <w:t xml:space="preserve">is </w:t>
      </w:r>
      <w:r w:rsidR="00E60C9B" w:rsidRPr="00F47DF7">
        <w:rPr>
          <w:sz w:val="24"/>
        </w:rPr>
        <w:t>then distributed to each county within the unique census region and climate zone based on proportion of rural population. For example, there are estimated to be approximately 15,000 OHHs in the coldest climate zone of the Northeast census region, which includes 100 counties. These 15,000 OHHs are distributed to the counties with the highest proportion of rural population.</w:t>
      </w:r>
    </w:p>
    <w:p w:rsidR="00564E77" w:rsidRPr="00F47DF7" w:rsidRDefault="00E60C9B" w:rsidP="00EB0E1F">
      <w:pPr>
        <w:rPr>
          <w:sz w:val="24"/>
        </w:rPr>
      </w:pPr>
      <w:r w:rsidRPr="00F47DF7">
        <w:rPr>
          <w:sz w:val="24"/>
        </w:rPr>
        <w:t xml:space="preserve">There are two exceptions to this methodology. The first is that for the West census region, the OHH population </w:t>
      </w:r>
      <w:r w:rsidR="00B63BEE" w:rsidRPr="00F47DF7">
        <w:rPr>
          <w:sz w:val="24"/>
        </w:rPr>
        <w:t xml:space="preserve">is </w:t>
      </w:r>
      <w:r w:rsidRPr="00F47DF7">
        <w:rPr>
          <w:sz w:val="24"/>
        </w:rPr>
        <w:t xml:space="preserve">apportioned based on unique combinations of census division (rather than </w:t>
      </w:r>
      <w:r w:rsidRPr="00F47DF7">
        <w:rPr>
          <w:sz w:val="24"/>
        </w:rPr>
        <w:lastRenderedPageBreak/>
        <w:t>census region) and climate zone. The second is that there are some states, particularly Michigan, Ohio, and Wisconsin, that prefer to distribute the OHHs based on inverse population density rather than rural population. In this way, most of the OHHs are distributed to the least dense (people/mi</w:t>
      </w:r>
      <w:r w:rsidRPr="00F47DF7">
        <w:rPr>
          <w:sz w:val="24"/>
          <w:vertAlign w:val="superscript"/>
        </w:rPr>
        <w:t>2</w:t>
      </w:r>
      <w:r w:rsidRPr="00F47DF7">
        <w:rPr>
          <w:sz w:val="24"/>
        </w:rPr>
        <w:t>) counties. The RWC tool offers the capability in the “Edit Assumptions” window to redistribute the emissions from OHHs and furnaces based on inverse population density rather than rural population.</w:t>
      </w:r>
      <w:r w:rsidR="00D65247" w:rsidRPr="00F47DF7">
        <w:rPr>
          <w:sz w:val="24"/>
        </w:rPr>
        <w:t xml:space="preserve"> The user may wish to run the tool with and without this option selected to see if the emissions distribution in the selected state(s) are more appropriate. However, it is recommended that for most states the inverse population density method should NOT be chosen.</w:t>
      </w:r>
    </w:p>
    <w:p w:rsidR="00D659BA" w:rsidRPr="00F47DF7" w:rsidRDefault="00D659BA" w:rsidP="00EB0E1F">
      <w:pPr>
        <w:rPr>
          <w:sz w:val="24"/>
        </w:rPr>
      </w:pPr>
      <w:r w:rsidRPr="00F47DF7">
        <w:rPr>
          <w:sz w:val="24"/>
        </w:rPr>
        <w:t xml:space="preserve">The appliance fractions for OHHs </w:t>
      </w:r>
      <w:r w:rsidR="00B63BEE" w:rsidRPr="00F47DF7">
        <w:rPr>
          <w:sz w:val="24"/>
        </w:rPr>
        <w:t xml:space="preserve">are </w:t>
      </w:r>
      <w:r w:rsidRPr="00F47DF7">
        <w:rPr>
          <w:sz w:val="24"/>
        </w:rPr>
        <w:t>estimated by dividing the number of OHHs distributed to each county by the number of occupied houses in each county in 2011. This number is then multiplied by the number of occupied houses in 2014 to estimate the county-level OHH population in 2014.</w:t>
      </w:r>
    </w:p>
    <w:p w:rsidR="00DD2C02" w:rsidRPr="00F47DF7" w:rsidRDefault="00DD2C02" w:rsidP="00EB0E1F">
      <w:pPr>
        <w:rPr>
          <w:sz w:val="24"/>
        </w:rPr>
      </w:pPr>
    </w:p>
    <w:p w:rsidR="00DD2C02" w:rsidRPr="00F47DF7" w:rsidRDefault="00DD2C02" w:rsidP="00EB0E1F">
      <w:pPr>
        <w:rPr>
          <w:sz w:val="24"/>
        </w:rPr>
      </w:pPr>
    </w:p>
    <w:p w:rsidR="00724DB0" w:rsidRPr="00F47DF7" w:rsidRDefault="00724DB0" w:rsidP="00EB0E1F">
      <w:pPr>
        <w:rPr>
          <w:b/>
          <w:sz w:val="24"/>
        </w:rPr>
      </w:pPr>
      <w:r w:rsidRPr="00F47DF7">
        <w:rPr>
          <w:b/>
          <w:sz w:val="24"/>
        </w:rPr>
        <w:t xml:space="preserve">Wax </w:t>
      </w:r>
      <w:proofErr w:type="spellStart"/>
      <w:r w:rsidRPr="00F47DF7">
        <w:rPr>
          <w:b/>
          <w:sz w:val="24"/>
        </w:rPr>
        <w:t>Firelogs</w:t>
      </w:r>
      <w:proofErr w:type="spellEnd"/>
      <w:r w:rsidRPr="00F47DF7">
        <w:rPr>
          <w:b/>
          <w:sz w:val="24"/>
        </w:rPr>
        <w:t xml:space="preserve"> and Outdoor Wood Burning Devices</w:t>
      </w:r>
    </w:p>
    <w:p w:rsidR="00724DB0" w:rsidRPr="00F47DF7" w:rsidRDefault="00724DB0" w:rsidP="00EB0E1F">
      <w:pPr>
        <w:rPr>
          <w:sz w:val="24"/>
        </w:rPr>
      </w:pPr>
      <w:r w:rsidRPr="00F47DF7">
        <w:rPr>
          <w:sz w:val="24"/>
        </w:rPr>
        <w:t xml:space="preserve">Data </w:t>
      </w:r>
      <w:r w:rsidR="00B63BEE" w:rsidRPr="00F47DF7">
        <w:rPr>
          <w:sz w:val="24"/>
        </w:rPr>
        <w:t xml:space="preserve">are </w:t>
      </w:r>
      <w:r w:rsidRPr="00F47DF7">
        <w:rPr>
          <w:sz w:val="24"/>
        </w:rPr>
        <w:t xml:space="preserve">unavailable to update the activity data for wax </w:t>
      </w:r>
      <w:proofErr w:type="spellStart"/>
      <w:r w:rsidRPr="00F47DF7">
        <w:rPr>
          <w:sz w:val="24"/>
        </w:rPr>
        <w:t>firelogs</w:t>
      </w:r>
      <w:proofErr w:type="spellEnd"/>
      <w:r w:rsidRPr="00F47DF7">
        <w:rPr>
          <w:sz w:val="24"/>
        </w:rPr>
        <w:t xml:space="preserve"> and outdoor wood burning devices (e.g. firepits or chimeneas). The activity data for these source categories </w:t>
      </w:r>
      <w:r w:rsidR="00B63BEE" w:rsidRPr="00F47DF7">
        <w:rPr>
          <w:sz w:val="24"/>
        </w:rPr>
        <w:t xml:space="preserve">is </w:t>
      </w:r>
      <w:r w:rsidRPr="00F47DF7">
        <w:rPr>
          <w:sz w:val="24"/>
        </w:rPr>
        <w:t xml:space="preserve">pulled forward from the 2011 NEI methodology, which </w:t>
      </w:r>
      <w:r w:rsidR="00B63BEE" w:rsidRPr="00F47DF7">
        <w:rPr>
          <w:sz w:val="24"/>
        </w:rPr>
        <w:t xml:space="preserve">is </w:t>
      </w:r>
      <w:r w:rsidRPr="00F47DF7">
        <w:rPr>
          <w:sz w:val="24"/>
        </w:rPr>
        <w:t xml:space="preserve">based mostly on expert judgment. </w:t>
      </w:r>
    </w:p>
    <w:p w:rsidR="00464D17" w:rsidRPr="00F47DF7" w:rsidRDefault="007D2F23" w:rsidP="007E0F46">
      <w:pPr>
        <w:pStyle w:val="Heading3"/>
        <w:tabs>
          <w:tab w:val="num" w:pos="720"/>
        </w:tabs>
        <w:ind w:left="720" w:hanging="720"/>
        <w:rPr>
          <w:rFonts w:ascii="Times New Roman" w:hAnsi="Times New Roman"/>
          <w:color w:val="auto"/>
          <w:sz w:val="24"/>
          <w:szCs w:val="24"/>
        </w:rPr>
      </w:pPr>
      <w:bookmarkStart w:id="7" w:name="_Toc449605615"/>
      <w:r w:rsidRPr="00F47DF7">
        <w:rPr>
          <w:rFonts w:ascii="Times New Roman" w:hAnsi="Times New Roman"/>
          <w:color w:val="auto"/>
          <w:sz w:val="24"/>
          <w:szCs w:val="24"/>
        </w:rPr>
        <w:t>c</w:t>
      </w:r>
      <w:r w:rsidR="00464D17" w:rsidRPr="00F47DF7">
        <w:rPr>
          <w:rFonts w:ascii="Times New Roman" w:hAnsi="Times New Roman"/>
          <w:color w:val="auto"/>
          <w:sz w:val="24"/>
          <w:szCs w:val="24"/>
        </w:rPr>
        <w:t>.</w:t>
      </w:r>
      <w:r w:rsidR="007E0F46" w:rsidRPr="00F47DF7">
        <w:rPr>
          <w:rFonts w:ascii="Times New Roman" w:hAnsi="Times New Roman"/>
          <w:color w:val="auto"/>
          <w:sz w:val="24"/>
          <w:szCs w:val="24"/>
        </w:rPr>
        <w:t xml:space="preserve"> </w:t>
      </w:r>
      <w:r w:rsidR="00464D17" w:rsidRPr="00F47DF7">
        <w:rPr>
          <w:rFonts w:ascii="Times New Roman" w:hAnsi="Times New Roman"/>
          <w:color w:val="auto"/>
          <w:sz w:val="24"/>
          <w:szCs w:val="24"/>
        </w:rPr>
        <w:t>Burn Rates</w:t>
      </w:r>
      <w:bookmarkEnd w:id="7"/>
    </w:p>
    <w:p w:rsidR="00D82C0D" w:rsidRPr="00F47DF7" w:rsidRDefault="00D82C0D" w:rsidP="00EB0E1F">
      <w:pPr>
        <w:rPr>
          <w:sz w:val="24"/>
        </w:rPr>
      </w:pPr>
      <w:r w:rsidRPr="00F47DF7">
        <w:rPr>
          <w:sz w:val="24"/>
        </w:rPr>
        <w:t xml:space="preserve">Burn </w:t>
      </w:r>
      <w:r w:rsidR="00D659BA" w:rsidRPr="00F47DF7">
        <w:rPr>
          <w:sz w:val="24"/>
        </w:rPr>
        <w:t>r</w:t>
      </w:r>
      <w:r w:rsidRPr="00F47DF7">
        <w:rPr>
          <w:sz w:val="24"/>
        </w:rPr>
        <w:t xml:space="preserve">ates are the amount of wood burned annually per appliance. </w:t>
      </w:r>
      <w:r w:rsidR="00D659BA" w:rsidRPr="00F47DF7">
        <w:rPr>
          <w:sz w:val="24"/>
        </w:rPr>
        <w:t>The burn rates for fireplaces, woodstoves, and indoor furnaces in the RWC tool are estimated using EIA RECS data.</w:t>
      </w:r>
    </w:p>
    <w:p w:rsidR="00D659BA" w:rsidRPr="00F47DF7" w:rsidRDefault="00D659BA" w:rsidP="00EB0E1F">
      <w:pPr>
        <w:rPr>
          <w:sz w:val="24"/>
        </w:rPr>
      </w:pPr>
      <w:r w:rsidRPr="00F47DF7">
        <w:rPr>
          <w:sz w:val="24"/>
        </w:rPr>
        <w:t xml:space="preserve">Similar to the methodology for estimating the appliance fractions, the burn rates are estimated using regression analysis based on each unique combination of home type, urban or rural setting, appliance type, and burn type. </w:t>
      </w:r>
      <w:r w:rsidR="004308C3" w:rsidRPr="00F47DF7">
        <w:rPr>
          <w:sz w:val="24"/>
        </w:rPr>
        <w:t>The results of the regression analysis show that t</w:t>
      </w:r>
      <w:r w:rsidRPr="00F47DF7">
        <w:rPr>
          <w:sz w:val="24"/>
        </w:rPr>
        <w:t xml:space="preserve">he number of heating degree days </w:t>
      </w:r>
      <w:r w:rsidR="004308C3" w:rsidRPr="00F47DF7">
        <w:rPr>
          <w:sz w:val="24"/>
        </w:rPr>
        <w:t>i</w:t>
      </w:r>
      <w:r w:rsidRPr="00F47DF7">
        <w:rPr>
          <w:sz w:val="24"/>
        </w:rPr>
        <w:t xml:space="preserve">s not a significant predictor variable </w:t>
      </w:r>
      <w:r w:rsidR="004308C3" w:rsidRPr="00F47DF7">
        <w:rPr>
          <w:sz w:val="24"/>
        </w:rPr>
        <w:t xml:space="preserve">for most of the United States, and therefore it </w:t>
      </w:r>
      <w:r w:rsidR="00B63BEE" w:rsidRPr="00F47DF7">
        <w:rPr>
          <w:sz w:val="24"/>
        </w:rPr>
        <w:t xml:space="preserve">is </w:t>
      </w:r>
      <w:r w:rsidR="004308C3" w:rsidRPr="00F47DF7">
        <w:rPr>
          <w:sz w:val="24"/>
        </w:rPr>
        <w:t xml:space="preserve">not included in the analysis </w:t>
      </w:r>
      <w:r w:rsidRPr="00F47DF7">
        <w:rPr>
          <w:sz w:val="24"/>
        </w:rPr>
        <w:t>for all census divisions except the South Atlantic division.</w:t>
      </w:r>
    </w:p>
    <w:p w:rsidR="00D659BA" w:rsidRPr="00F47DF7" w:rsidRDefault="004308C3" w:rsidP="00EB0E1F">
      <w:pPr>
        <w:rPr>
          <w:sz w:val="24"/>
        </w:rPr>
      </w:pPr>
      <w:r w:rsidRPr="00F47DF7">
        <w:rPr>
          <w:sz w:val="24"/>
        </w:rPr>
        <w:t>The burn rates match the level of specificity of the appliance fractions. For example</w:t>
      </w:r>
      <w:r w:rsidR="00C269C1" w:rsidRPr="00F47DF7">
        <w:rPr>
          <w:sz w:val="24"/>
        </w:rPr>
        <w:t>,</w:t>
      </w:r>
      <w:r w:rsidRPr="00F47DF7">
        <w:rPr>
          <w:sz w:val="24"/>
        </w:rPr>
        <w:t xml:space="preserve"> there are unique burn rates and appliance fractions for each county for rural mobile homes that use fireplaces as a secondary heat source, as well as all other combinations of home type, appliance type, and burn type.</w:t>
      </w:r>
    </w:p>
    <w:p w:rsidR="00D659BA" w:rsidRPr="00F47DF7" w:rsidRDefault="00E83F89" w:rsidP="00EB0E1F">
      <w:pPr>
        <w:rPr>
          <w:sz w:val="24"/>
        </w:rPr>
      </w:pPr>
      <w:r w:rsidRPr="00F47DF7">
        <w:rPr>
          <w:sz w:val="24"/>
        </w:rPr>
        <w:t xml:space="preserve">The AHS data used to estimate the appliance fractions for OHHs does not include data on the amount of wood burned. Therefore, the burn rates for OHHs </w:t>
      </w:r>
      <w:r w:rsidR="00B63BEE" w:rsidRPr="00F47DF7">
        <w:rPr>
          <w:sz w:val="24"/>
        </w:rPr>
        <w:t xml:space="preserve">are </w:t>
      </w:r>
      <w:r w:rsidRPr="00F47DF7">
        <w:rPr>
          <w:sz w:val="24"/>
        </w:rPr>
        <w:t xml:space="preserve">pulled forward from the 2011 methodology, which </w:t>
      </w:r>
      <w:r w:rsidR="00B63BEE" w:rsidRPr="00F47DF7">
        <w:rPr>
          <w:sz w:val="24"/>
        </w:rPr>
        <w:t xml:space="preserve">is </w:t>
      </w:r>
      <w:r w:rsidRPr="00F47DF7">
        <w:rPr>
          <w:sz w:val="24"/>
        </w:rPr>
        <w:t xml:space="preserve">based largely on expert judgment. </w:t>
      </w:r>
    </w:p>
    <w:p w:rsidR="00724DB0" w:rsidRPr="00F47DF7" w:rsidRDefault="00724DB0" w:rsidP="00724DB0">
      <w:pPr>
        <w:rPr>
          <w:sz w:val="24"/>
        </w:rPr>
      </w:pPr>
      <w:r w:rsidRPr="00F47DF7">
        <w:rPr>
          <w:sz w:val="24"/>
        </w:rPr>
        <w:lastRenderedPageBreak/>
        <w:t xml:space="preserve">Similarly, the burn rates for wax </w:t>
      </w:r>
      <w:proofErr w:type="spellStart"/>
      <w:r w:rsidRPr="00F47DF7">
        <w:rPr>
          <w:sz w:val="24"/>
        </w:rPr>
        <w:t>firelogs</w:t>
      </w:r>
      <w:proofErr w:type="spellEnd"/>
      <w:r w:rsidRPr="00F47DF7">
        <w:rPr>
          <w:sz w:val="24"/>
        </w:rPr>
        <w:t xml:space="preserve"> and outdoor wood burning devices </w:t>
      </w:r>
      <w:r w:rsidR="00B63BEE" w:rsidRPr="00F47DF7">
        <w:rPr>
          <w:sz w:val="24"/>
        </w:rPr>
        <w:t xml:space="preserve">are </w:t>
      </w:r>
      <w:r w:rsidRPr="00F47DF7">
        <w:rPr>
          <w:sz w:val="24"/>
        </w:rPr>
        <w:t xml:space="preserve">pulled forward from the 2011 NEI methodology, which </w:t>
      </w:r>
      <w:r w:rsidR="00B63BEE" w:rsidRPr="00F47DF7">
        <w:rPr>
          <w:sz w:val="24"/>
        </w:rPr>
        <w:t xml:space="preserve">is </w:t>
      </w:r>
      <w:r w:rsidRPr="00F47DF7">
        <w:rPr>
          <w:sz w:val="24"/>
        </w:rPr>
        <w:t>based mostly on expert judgment.</w:t>
      </w:r>
    </w:p>
    <w:p w:rsidR="00DD2C02" w:rsidRPr="00F47DF7" w:rsidRDefault="00DD2C02" w:rsidP="00724DB0">
      <w:pPr>
        <w:rPr>
          <w:sz w:val="24"/>
        </w:rPr>
      </w:pPr>
      <w:r w:rsidRPr="00F47DF7">
        <w:rPr>
          <w:sz w:val="24"/>
        </w:rPr>
        <w:t>The burn rates for specific counties and SCCs can be adjusted in the RWC tool in the table called “</w:t>
      </w:r>
      <w:proofErr w:type="spellStart"/>
      <w:r w:rsidRPr="00F47DF7">
        <w:rPr>
          <w:sz w:val="24"/>
        </w:rPr>
        <w:t>BurnRateOverride</w:t>
      </w:r>
      <w:proofErr w:type="spellEnd"/>
      <w:r w:rsidRPr="00F47DF7">
        <w:rPr>
          <w:sz w:val="24"/>
        </w:rPr>
        <w:t>” in the column called “</w:t>
      </w:r>
      <w:proofErr w:type="spellStart"/>
      <w:r w:rsidRPr="00F47DF7">
        <w:rPr>
          <w:sz w:val="24"/>
        </w:rPr>
        <w:t>BurnRate</w:t>
      </w:r>
      <w:proofErr w:type="spellEnd"/>
      <w:r w:rsidRPr="00F47DF7">
        <w:rPr>
          <w:sz w:val="24"/>
        </w:rPr>
        <w:t>.” The user can enter a specific burn rate (tons of wood burned per appliance). If no burn rate is entered in this table, the default burn rates estimated from RECS will be used.</w:t>
      </w:r>
    </w:p>
    <w:p w:rsidR="00464D17" w:rsidRPr="00F47DF7" w:rsidRDefault="007D2F23" w:rsidP="007E0F46">
      <w:pPr>
        <w:pStyle w:val="Heading3"/>
        <w:tabs>
          <w:tab w:val="num" w:pos="720"/>
        </w:tabs>
        <w:ind w:left="720" w:hanging="720"/>
        <w:rPr>
          <w:rFonts w:ascii="Times New Roman" w:hAnsi="Times New Roman"/>
          <w:color w:val="auto"/>
          <w:sz w:val="24"/>
          <w:szCs w:val="24"/>
        </w:rPr>
      </w:pPr>
      <w:bookmarkStart w:id="8" w:name="_Toc449605616"/>
      <w:r w:rsidRPr="00F47DF7">
        <w:rPr>
          <w:rFonts w:ascii="Times New Roman" w:hAnsi="Times New Roman"/>
          <w:color w:val="auto"/>
          <w:sz w:val="24"/>
          <w:szCs w:val="24"/>
        </w:rPr>
        <w:t>d</w:t>
      </w:r>
      <w:r w:rsidR="00464D17" w:rsidRPr="00F47DF7">
        <w:rPr>
          <w:rFonts w:ascii="Times New Roman" w:hAnsi="Times New Roman"/>
          <w:color w:val="auto"/>
          <w:sz w:val="24"/>
          <w:szCs w:val="24"/>
        </w:rPr>
        <w:t>.</w:t>
      </w:r>
      <w:r w:rsidR="007E0F46" w:rsidRPr="00F47DF7">
        <w:rPr>
          <w:rFonts w:ascii="Times New Roman" w:hAnsi="Times New Roman"/>
          <w:color w:val="auto"/>
          <w:sz w:val="24"/>
          <w:szCs w:val="24"/>
        </w:rPr>
        <w:t xml:space="preserve"> </w:t>
      </w:r>
      <w:r w:rsidR="00464D17" w:rsidRPr="00F47DF7">
        <w:rPr>
          <w:rFonts w:ascii="Times New Roman" w:hAnsi="Times New Roman"/>
          <w:color w:val="auto"/>
          <w:sz w:val="24"/>
          <w:szCs w:val="24"/>
        </w:rPr>
        <w:t>Wood Density</w:t>
      </w:r>
      <w:bookmarkEnd w:id="8"/>
    </w:p>
    <w:p w:rsidR="00204696" w:rsidRPr="00F47DF7" w:rsidRDefault="005B2D21" w:rsidP="00EB0E1F">
      <w:pPr>
        <w:rPr>
          <w:sz w:val="24"/>
        </w:rPr>
      </w:pPr>
      <w:r w:rsidRPr="00F47DF7">
        <w:rPr>
          <w:sz w:val="24"/>
        </w:rPr>
        <w:t xml:space="preserve">To compute average density of wood by county, </w:t>
      </w:r>
      <w:r w:rsidR="001B1C3F" w:rsidRPr="00F47DF7">
        <w:rPr>
          <w:sz w:val="24"/>
        </w:rPr>
        <w:t xml:space="preserve">the density of </w:t>
      </w:r>
      <w:r w:rsidRPr="00F47DF7">
        <w:rPr>
          <w:sz w:val="24"/>
        </w:rPr>
        <w:t xml:space="preserve">oven dried </w:t>
      </w:r>
      <w:r w:rsidR="001B1C3F" w:rsidRPr="00F47DF7">
        <w:rPr>
          <w:sz w:val="24"/>
        </w:rPr>
        <w:t xml:space="preserve">wood </w:t>
      </w:r>
      <w:r w:rsidR="00541B19" w:rsidRPr="00F47DF7">
        <w:rPr>
          <w:sz w:val="24"/>
        </w:rPr>
        <w:t xml:space="preserve">is used </w:t>
      </w:r>
      <w:r w:rsidR="00D923B4" w:rsidRPr="00F47DF7">
        <w:rPr>
          <w:sz w:val="24"/>
        </w:rPr>
        <w:t xml:space="preserve">because </w:t>
      </w:r>
      <w:r w:rsidRPr="00F47DF7">
        <w:rPr>
          <w:sz w:val="24"/>
        </w:rPr>
        <w:t xml:space="preserve">emission factors </w:t>
      </w:r>
      <w:r w:rsidR="001B1C3F" w:rsidRPr="00F47DF7">
        <w:rPr>
          <w:sz w:val="24"/>
        </w:rPr>
        <w:t xml:space="preserve">developed by EPA </w:t>
      </w:r>
      <w:r w:rsidR="00D923B4" w:rsidRPr="00F47DF7">
        <w:rPr>
          <w:sz w:val="24"/>
        </w:rPr>
        <w:t xml:space="preserve">are </w:t>
      </w:r>
      <w:r w:rsidRPr="00F47DF7">
        <w:rPr>
          <w:sz w:val="24"/>
        </w:rPr>
        <w:t>based on oven dried wood</w:t>
      </w:r>
      <w:r w:rsidR="00D923B4" w:rsidRPr="00F47DF7">
        <w:rPr>
          <w:sz w:val="24"/>
        </w:rPr>
        <w:t xml:space="preserve"> mass units</w:t>
      </w:r>
      <w:r w:rsidRPr="00F47DF7">
        <w:rPr>
          <w:sz w:val="24"/>
        </w:rPr>
        <w:t>.</w:t>
      </w:r>
      <w:r w:rsidR="00D923B4" w:rsidRPr="00F47DF7">
        <w:rPr>
          <w:sz w:val="24"/>
        </w:rPr>
        <w:t xml:space="preserve"> D</w:t>
      </w:r>
      <w:r w:rsidR="00AB2799" w:rsidRPr="00F47DF7">
        <w:rPr>
          <w:sz w:val="24"/>
        </w:rPr>
        <w:t>ri</w:t>
      </w:r>
      <w:r w:rsidR="00D923B4" w:rsidRPr="00F47DF7">
        <w:rPr>
          <w:sz w:val="24"/>
        </w:rPr>
        <w:t xml:space="preserve">ed wood density data </w:t>
      </w:r>
      <w:r w:rsidR="00541B19" w:rsidRPr="00F47DF7">
        <w:rPr>
          <w:sz w:val="24"/>
        </w:rPr>
        <w:t>are</w:t>
      </w:r>
      <w:r w:rsidR="00D923B4" w:rsidRPr="00F47DF7">
        <w:rPr>
          <w:sz w:val="24"/>
        </w:rPr>
        <w:t xml:space="preserve"> obtained from t</w:t>
      </w:r>
      <w:r w:rsidRPr="00F47DF7">
        <w:rPr>
          <w:sz w:val="24"/>
        </w:rPr>
        <w:t>he U</w:t>
      </w:r>
      <w:r w:rsidR="002E7B26" w:rsidRPr="00F47DF7">
        <w:rPr>
          <w:sz w:val="24"/>
        </w:rPr>
        <w:t>.</w:t>
      </w:r>
      <w:r w:rsidRPr="00F47DF7">
        <w:rPr>
          <w:sz w:val="24"/>
        </w:rPr>
        <w:t>S</w:t>
      </w:r>
      <w:r w:rsidR="002E7B26" w:rsidRPr="00F47DF7">
        <w:rPr>
          <w:sz w:val="24"/>
        </w:rPr>
        <w:t>.</w:t>
      </w:r>
      <w:r w:rsidRPr="00F47DF7">
        <w:rPr>
          <w:sz w:val="24"/>
        </w:rPr>
        <w:t xml:space="preserve"> Forest </w:t>
      </w:r>
      <w:r w:rsidR="00D923B4" w:rsidRPr="00F47DF7">
        <w:rPr>
          <w:sz w:val="24"/>
        </w:rPr>
        <w:t>S</w:t>
      </w:r>
      <w:r w:rsidRPr="00F47DF7">
        <w:rPr>
          <w:sz w:val="24"/>
        </w:rPr>
        <w:t xml:space="preserve">ervice </w:t>
      </w:r>
      <w:r w:rsidR="00D923B4" w:rsidRPr="00F47DF7">
        <w:rPr>
          <w:sz w:val="24"/>
        </w:rPr>
        <w:t>(</w:t>
      </w:r>
      <w:r w:rsidR="00AB2799" w:rsidRPr="00F47DF7">
        <w:rPr>
          <w:sz w:val="24"/>
        </w:rPr>
        <w:t>USDA, 2007</w:t>
      </w:r>
      <w:r w:rsidR="00D923B4" w:rsidRPr="00F47DF7">
        <w:rPr>
          <w:sz w:val="24"/>
        </w:rPr>
        <w:t xml:space="preserve">) for </w:t>
      </w:r>
      <w:r w:rsidRPr="00F47DF7">
        <w:rPr>
          <w:sz w:val="24"/>
        </w:rPr>
        <w:t>various wood species.</w:t>
      </w:r>
      <w:r w:rsidR="00AD66B2" w:rsidRPr="00F47DF7">
        <w:rPr>
          <w:sz w:val="24"/>
        </w:rPr>
        <w:t xml:space="preserve"> </w:t>
      </w:r>
      <w:r w:rsidRPr="00F47DF7">
        <w:rPr>
          <w:sz w:val="24"/>
        </w:rPr>
        <w:t xml:space="preserve">The </w:t>
      </w:r>
      <w:r w:rsidR="00D923B4" w:rsidRPr="00F47DF7">
        <w:rPr>
          <w:sz w:val="24"/>
        </w:rPr>
        <w:t>F</w:t>
      </w:r>
      <w:r w:rsidRPr="00F47DF7">
        <w:rPr>
          <w:sz w:val="24"/>
        </w:rPr>
        <w:t xml:space="preserve">orest </w:t>
      </w:r>
      <w:r w:rsidR="00D923B4" w:rsidRPr="00F47DF7">
        <w:rPr>
          <w:sz w:val="24"/>
        </w:rPr>
        <w:t>S</w:t>
      </w:r>
      <w:r w:rsidRPr="00F47DF7">
        <w:rPr>
          <w:sz w:val="24"/>
        </w:rPr>
        <w:t xml:space="preserve">ervice </w:t>
      </w:r>
      <w:r w:rsidR="00204696" w:rsidRPr="00F47DF7">
        <w:rPr>
          <w:sz w:val="24"/>
        </w:rPr>
        <w:t xml:space="preserve">developed </w:t>
      </w:r>
      <w:r w:rsidR="00D923B4" w:rsidRPr="00F47DF7">
        <w:rPr>
          <w:sz w:val="24"/>
        </w:rPr>
        <w:t>a d</w:t>
      </w:r>
      <w:r w:rsidRPr="00F47DF7">
        <w:rPr>
          <w:sz w:val="24"/>
        </w:rPr>
        <w:t>ata</w:t>
      </w:r>
      <w:r w:rsidR="00D923B4" w:rsidRPr="00F47DF7">
        <w:rPr>
          <w:sz w:val="24"/>
        </w:rPr>
        <w:t>base (</w:t>
      </w:r>
      <w:r w:rsidRPr="00F47DF7">
        <w:rPr>
          <w:sz w:val="24"/>
        </w:rPr>
        <w:t xml:space="preserve">called the </w:t>
      </w:r>
      <w:r w:rsidR="00782315" w:rsidRPr="00F47DF7">
        <w:rPr>
          <w:sz w:val="24"/>
        </w:rPr>
        <w:t>T</w:t>
      </w:r>
      <w:r w:rsidRPr="00F47DF7">
        <w:rPr>
          <w:sz w:val="24"/>
        </w:rPr>
        <w:t xml:space="preserve">imber </w:t>
      </w:r>
      <w:r w:rsidR="00782315" w:rsidRPr="00F47DF7">
        <w:rPr>
          <w:sz w:val="24"/>
        </w:rPr>
        <w:t>P</w:t>
      </w:r>
      <w:r w:rsidRPr="00F47DF7">
        <w:rPr>
          <w:sz w:val="24"/>
        </w:rPr>
        <w:t xml:space="preserve">roducts </w:t>
      </w:r>
      <w:r w:rsidR="00782315" w:rsidRPr="00F47DF7">
        <w:rPr>
          <w:sz w:val="24"/>
        </w:rPr>
        <w:t>O</w:t>
      </w:r>
      <w:r w:rsidRPr="00F47DF7">
        <w:rPr>
          <w:sz w:val="24"/>
        </w:rPr>
        <w:t>utput</w:t>
      </w:r>
      <w:r w:rsidR="00D923B4" w:rsidRPr="00F47DF7">
        <w:rPr>
          <w:sz w:val="24"/>
        </w:rPr>
        <w:t>) that contain</w:t>
      </w:r>
      <w:r w:rsidR="00541B19" w:rsidRPr="00F47DF7">
        <w:rPr>
          <w:sz w:val="24"/>
        </w:rPr>
        <w:t>s</w:t>
      </w:r>
      <w:r w:rsidR="00D923B4" w:rsidRPr="00F47DF7">
        <w:rPr>
          <w:sz w:val="24"/>
        </w:rPr>
        <w:t xml:space="preserve"> </w:t>
      </w:r>
      <w:r w:rsidRPr="00F47DF7">
        <w:rPr>
          <w:sz w:val="24"/>
        </w:rPr>
        <w:t xml:space="preserve">survey </w:t>
      </w:r>
      <w:r w:rsidR="00D923B4" w:rsidRPr="00F47DF7">
        <w:rPr>
          <w:sz w:val="24"/>
        </w:rPr>
        <w:t xml:space="preserve">results </w:t>
      </w:r>
      <w:r w:rsidRPr="00F47DF7">
        <w:rPr>
          <w:sz w:val="24"/>
        </w:rPr>
        <w:t xml:space="preserve">of sawmill operators </w:t>
      </w:r>
      <w:r w:rsidR="00D923B4" w:rsidRPr="00F47DF7">
        <w:rPr>
          <w:sz w:val="24"/>
        </w:rPr>
        <w:t>that</w:t>
      </w:r>
      <w:r w:rsidRPr="00F47DF7">
        <w:rPr>
          <w:sz w:val="24"/>
        </w:rPr>
        <w:t xml:space="preserve"> </w:t>
      </w:r>
      <w:r w:rsidR="002E7B26" w:rsidRPr="00F47DF7">
        <w:rPr>
          <w:sz w:val="24"/>
        </w:rPr>
        <w:t xml:space="preserve">includes the </w:t>
      </w:r>
      <w:r w:rsidRPr="00F47DF7">
        <w:rPr>
          <w:sz w:val="24"/>
        </w:rPr>
        <w:t>volume of wood by species for several different categories of use</w:t>
      </w:r>
      <w:r w:rsidR="00204696" w:rsidRPr="00F47DF7">
        <w:rPr>
          <w:sz w:val="24"/>
        </w:rPr>
        <w:t xml:space="preserve"> - </w:t>
      </w:r>
      <w:r w:rsidRPr="00F47DF7">
        <w:rPr>
          <w:sz w:val="24"/>
        </w:rPr>
        <w:t>one of the uses being fuel</w:t>
      </w:r>
      <w:r w:rsidR="00D923B4" w:rsidRPr="00F47DF7">
        <w:rPr>
          <w:sz w:val="24"/>
        </w:rPr>
        <w:t xml:space="preserve"> </w:t>
      </w:r>
      <w:r w:rsidRPr="00F47DF7">
        <w:rPr>
          <w:sz w:val="24"/>
        </w:rPr>
        <w:t>wood.</w:t>
      </w:r>
    </w:p>
    <w:p w:rsidR="002E7B26" w:rsidRPr="00F47DF7" w:rsidRDefault="005B2D21" w:rsidP="00EB0E1F">
      <w:pPr>
        <w:rPr>
          <w:sz w:val="24"/>
        </w:rPr>
      </w:pPr>
      <w:r w:rsidRPr="00F47DF7">
        <w:rPr>
          <w:sz w:val="24"/>
        </w:rPr>
        <w:t>Using the oven dried density by species multiplied by the per</w:t>
      </w:r>
      <w:r w:rsidR="00D923B4" w:rsidRPr="00F47DF7">
        <w:rPr>
          <w:sz w:val="24"/>
        </w:rPr>
        <w:t>-</w:t>
      </w:r>
      <w:r w:rsidRPr="00F47DF7">
        <w:rPr>
          <w:sz w:val="24"/>
        </w:rPr>
        <w:t>species volume</w:t>
      </w:r>
      <w:r w:rsidR="00D923B4" w:rsidRPr="00F47DF7">
        <w:rPr>
          <w:sz w:val="24"/>
        </w:rPr>
        <w:t>s</w:t>
      </w:r>
      <w:r w:rsidRPr="00F47DF7">
        <w:rPr>
          <w:sz w:val="24"/>
        </w:rPr>
        <w:t xml:space="preserve"> </w:t>
      </w:r>
      <w:r w:rsidR="00541B19" w:rsidRPr="00F47DF7">
        <w:rPr>
          <w:sz w:val="24"/>
        </w:rPr>
        <w:t>gives</w:t>
      </w:r>
      <w:r w:rsidRPr="00F47DF7">
        <w:rPr>
          <w:sz w:val="24"/>
        </w:rPr>
        <w:t xml:space="preserve"> a per species weight</w:t>
      </w:r>
      <w:r w:rsidR="00D923B4" w:rsidRPr="00F47DF7">
        <w:rPr>
          <w:sz w:val="24"/>
        </w:rPr>
        <w:t xml:space="preserve"> </w:t>
      </w:r>
      <w:r w:rsidR="005D3405" w:rsidRPr="00F47DF7">
        <w:rPr>
          <w:sz w:val="24"/>
        </w:rPr>
        <w:t xml:space="preserve">which </w:t>
      </w:r>
      <w:r w:rsidR="00541B19" w:rsidRPr="00F47DF7">
        <w:rPr>
          <w:sz w:val="24"/>
        </w:rPr>
        <w:t>is</w:t>
      </w:r>
      <w:r w:rsidR="005D3405" w:rsidRPr="00F47DF7">
        <w:rPr>
          <w:sz w:val="24"/>
        </w:rPr>
        <w:t xml:space="preserve"> summed to calculate</w:t>
      </w:r>
      <w:r w:rsidR="00D923B4" w:rsidRPr="00F47DF7">
        <w:rPr>
          <w:sz w:val="24"/>
        </w:rPr>
        <w:t xml:space="preserve"> t</w:t>
      </w:r>
      <w:r w:rsidRPr="00F47DF7">
        <w:rPr>
          <w:sz w:val="24"/>
        </w:rPr>
        <w:t xml:space="preserve">he total </w:t>
      </w:r>
      <w:r w:rsidR="005D3405" w:rsidRPr="00F47DF7">
        <w:rPr>
          <w:sz w:val="24"/>
        </w:rPr>
        <w:t>weight</w:t>
      </w:r>
      <w:r w:rsidRPr="00F47DF7">
        <w:rPr>
          <w:sz w:val="24"/>
        </w:rPr>
        <w:t xml:space="preserve"> for the county</w:t>
      </w:r>
      <w:r w:rsidR="005D3405" w:rsidRPr="00F47DF7">
        <w:rPr>
          <w:sz w:val="24"/>
        </w:rPr>
        <w:t>.</w:t>
      </w:r>
      <w:r w:rsidR="00AD66B2" w:rsidRPr="00F47DF7">
        <w:rPr>
          <w:sz w:val="24"/>
        </w:rPr>
        <w:t xml:space="preserve"> </w:t>
      </w:r>
      <w:r w:rsidR="005D3405" w:rsidRPr="00F47DF7">
        <w:rPr>
          <w:sz w:val="24"/>
        </w:rPr>
        <w:t xml:space="preserve">This </w:t>
      </w:r>
      <w:r w:rsidR="00541B19" w:rsidRPr="00F47DF7">
        <w:rPr>
          <w:sz w:val="24"/>
        </w:rPr>
        <w:t>is</w:t>
      </w:r>
      <w:r w:rsidRPr="00F47DF7">
        <w:rPr>
          <w:sz w:val="24"/>
        </w:rPr>
        <w:t xml:space="preserve"> then divided by the total </w:t>
      </w:r>
      <w:r w:rsidR="005D3405" w:rsidRPr="00F47DF7">
        <w:rPr>
          <w:sz w:val="24"/>
        </w:rPr>
        <w:t>volume</w:t>
      </w:r>
      <w:r w:rsidRPr="00F47DF7">
        <w:rPr>
          <w:sz w:val="24"/>
        </w:rPr>
        <w:t xml:space="preserve"> of </w:t>
      </w:r>
      <w:r w:rsidR="005D3405" w:rsidRPr="00F47DF7">
        <w:rPr>
          <w:sz w:val="24"/>
        </w:rPr>
        <w:t xml:space="preserve">wood in </w:t>
      </w:r>
      <w:r w:rsidRPr="00F47DF7">
        <w:rPr>
          <w:sz w:val="24"/>
        </w:rPr>
        <w:t xml:space="preserve">the county to get the average </w:t>
      </w:r>
      <w:r w:rsidR="005D3405" w:rsidRPr="00F47DF7">
        <w:rPr>
          <w:sz w:val="24"/>
        </w:rPr>
        <w:t>density by county</w:t>
      </w:r>
      <w:r w:rsidRPr="00F47DF7">
        <w:rPr>
          <w:sz w:val="24"/>
        </w:rPr>
        <w:t>.</w:t>
      </w:r>
      <w:r w:rsidR="00AD66B2" w:rsidRPr="00F47DF7">
        <w:rPr>
          <w:sz w:val="24"/>
        </w:rPr>
        <w:t xml:space="preserve"> </w:t>
      </w:r>
      <w:r w:rsidRPr="00F47DF7">
        <w:rPr>
          <w:sz w:val="24"/>
        </w:rPr>
        <w:t xml:space="preserve">If a county specific density </w:t>
      </w:r>
      <w:r w:rsidR="00541B19" w:rsidRPr="00F47DF7">
        <w:rPr>
          <w:sz w:val="24"/>
        </w:rPr>
        <w:t>is</w:t>
      </w:r>
      <w:r w:rsidRPr="00F47DF7">
        <w:rPr>
          <w:sz w:val="24"/>
        </w:rPr>
        <w:t xml:space="preserve"> not available, regional averages </w:t>
      </w:r>
      <w:r w:rsidR="00541B19" w:rsidRPr="00F47DF7">
        <w:rPr>
          <w:sz w:val="24"/>
        </w:rPr>
        <w:t>are</w:t>
      </w:r>
      <w:r w:rsidRPr="00F47DF7">
        <w:rPr>
          <w:sz w:val="24"/>
        </w:rPr>
        <w:t xml:space="preserve"> used instead.</w:t>
      </w:r>
    </w:p>
    <w:p w:rsidR="00AB2799" w:rsidRPr="00F47DF7" w:rsidRDefault="00FD06D7" w:rsidP="00EB0E1F">
      <w:pPr>
        <w:rPr>
          <w:sz w:val="24"/>
        </w:rPr>
      </w:pPr>
      <w:r w:rsidRPr="00F47DF7">
        <w:rPr>
          <w:sz w:val="24"/>
        </w:rPr>
        <w:t>T</w:t>
      </w:r>
      <w:r w:rsidR="005B2D21" w:rsidRPr="00F47DF7">
        <w:rPr>
          <w:sz w:val="24"/>
        </w:rPr>
        <w:t xml:space="preserve">he </w:t>
      </w:r>
      <w:r w:rsidRPr="00F47DF7">
        <w:rPr>
          <w:sz w:val="24"/>
        </w:rPr>
        <w:t xml:space="preserve">calculated density by county from the Forest Service data </w:t>
      </w:r>
      <w:r w:rsidR="00541B19" w:rsidRPr="00F47DF7">
        <w:rPr>
          <w:sz w:val="24"/>
        </w:rPr>
        <w:t>is</w:t>
      </w:r>
      <w:r w:rsidRPr="00F47DF7">
        <w:rPr>
          <w:sz w:val="24"/>
        </w:rPr>
        <w:t xml:space="preserve"> then converted to</w:t>
      </w:r>
      <w:r w:rsidR="005B2D21" w:rsidRPr="00F47DF7">
        <w:rPr>
          <w:sz w:val="24"/>
        </w:rPr>
        <w:t xml:space="preserve"> </w:t>
      </w:r>
      <w:r w:rsidRPr="00F47DF7">
        <w:rPr>
          <w:sz w:val="24"/>
        </w:rPr>
        <w:t>tons/</w:t>
      </w:r>
      <w:r w:rsidR="005B2D21" w:rsidRPr="00F47DF7">
        <w:rPr>
          <w:sz w:val="24"/>
        </w:rPr>
        <w:t>cords.</w:t>
      </w:r>
      <w:r w:rsidR="00AD66B2" w:rsidRPr="00F47DF7">
        <w:rPr>
          <w:sz w:val="24"/>
        </w:rPr>
        <w:t xml:space="preserve"> </w:t>
      </w:r>
      <w:r w:rsidR="005B2D21" w:rsidRPr="00F47DF7">
        <w:rPr>
          <w:sz w:val="24"/>
        </w:rPr>
        <w:t>Officially a cord is defined as a stack of wood 4 feet wide, 8 feet long, and 4 feet tall</w:t>
      </w:r>
      <w:r w:rsidRPr="00F47DF7">
        <w:rPr>
          <w:sz w:val="24"/>
        </w:rPr>
        <w:t xml:space="preserve"> or </w:t>
      </w:r>
      <w:r w:rsidR="005B2D21" w:rsidRPr="00F47DF7">
        <w:rPr>
          <w:sz w:val="24"/>
        </w:rPr>
        <w:t>128</w:t>
      </w:r>
      <w:r w:rsidR="009166F2" w:rsidRPr="00F47DF7">
        <w:rPr>
          <w:sz w:val="24"/>
        </w:rPr>
        <w:t xml:space="preserve"> ft</w:t>
      </w:r>
      <w:r w:rsidR="009166F2" w:rsidRPr="00F47DF7">
        <w:rPr>
          <w:sz w:val="24"/>
          <w:vertAlign w:val="superscript"/>
        </w:rPr>
        <w:t>3</w:t>
      </w:r>
      <w:r w:rsidR="005B2D21" w:rsidRPr="00F47DF7">
        <w:rPr>
          <w:sz w:val="24"/>
        </w:rPr>
        <w:t>.</w:t>
      </w:r>
      <w:r w:rsidR="00AD66B2" w:rsidRPr="00F47DF7">
        <w:rPr>
          <w:sz w:val="24"/>
        </w:rPr>
        <w:t xml:space="preserve"> </w:t>
      </w:r>
      <w:r w:rsidR="005B2D21" w:rsidRPr="00F47DF7">
        <w:rPr>
          <w:sz w:val="24"/>
        </w:rPr>
        <w:t>However</w:t>
      </w:r>
      <w:r w:rsidR="009166F2" w:rsidRPr="00F47DF7">
        <w:rPr>
          <w:sz w:val="24"/>
        </w:rPr>
        <w:t>,</w:t>
      </w:r>
      <w:r w:rsidR="005B2D21" w:rsidRPr="00F47DF7">
        <w:rPr>
          <w:sz w:val="24"/>
        </w:rPr>
        <w:t xml:space="preserve"> to account for air spaces in the stack, </w:t>
      </w:r>
      <w:r w:rsidR="00541B19" w:rsidRPr="00F47DF7">
        <w:rPr>
          <w:sz w:val="24"/>
        </w:rPr>
        <w:t>a value of</w:t>
      </w:r>
      <w:r w:rsidRPr="00F47DF7">
        <w:rPr>
          <w:sz w:val="24"/>
        </w:rPr>
        <w:t xml:space="preserve"> </w:t>
      </w:r>
      <w:r w:rsidR="005B2D21" w:rsidRPr="00F47DF7">
        <w:rPr>
          <w:sz w:val="24"/>
        </w:rPr>
        <w:t xml:space="preserve">80 </w:t>
      </w:r>
      <w:r w:rsidR="009166F2" w:rsidRPr="00F47DF7">
        <w:rPr>
          <w:sz w:val="24"/>
        </w:rPr>
        <w:t>ft</w:t>
      </w:r>
      <w:r w:rsidR="009166F2" w:rsidRPr="00F47DF7">
        <w:rPr>
          <w:sz w:val="24"/>
          <w:vertAlign w:val="superscript"/>
        </w:rPr>
        <w:t>3</w:t>
      </w:r>
      <w:r w:rsidR="005B2D21" w:rsidRPr="00F47DF7">
        <w:rPr>
          <w:sz w:val="24"/>
        </w:rPr>
        <w:t xml:space="preserve"> per cord </w:t>
      </w:r>
      <w:r w:rsidR="00541B19" w:rsidRPr="00F47DF7">
        <w:rPr>
          <w:sz w:val="24"/>
        </w:rPr>
        <w:t xml:space="preserve">is assumed </w:t>
      </w:r>
      <w:r w:rsidR="005B2D21" w:rsidRPr="00F47DF7">
        <w:rPr>
          <w:sz w:val="24"/>
        </w:rPr>
        <w:t>instead.</w:t>
      </w:r>
    </w:p>
    <w:p w:rsidR="00336917" w:rsidRPr="00F47DF7" w:rsidRDefault="00AB2799" w:rsidP="00EB0E1F">
      <w:pPr>
        <w:rPr>
          <w:sz w:val="24"/>
        </w:rPr>
      </w:pPr>
      <w:r w:rsidRPr="00F47DF7">
        <w:rPr>
          <w:sz w:val="24"/>
        </w:rPr>
        <w:t>For wax</w:t>
      </w:r>
      <w:r w:rsidR="00FD06D7" w:rsidRPr="00F47DF7">
        <w:rPr>
          <w:sz w:val="24"/>
        </w:rPr>
        <w:t xml:space="preserve"> </w:t>
      </w:r>
      <w:proofErr w:type="spellStart"/>
      <w:r w:rsidR="00923F90" w:rsidRPr="00F47DF7">
        <w:rPr>
          <w:sz w:val="24"/>
        </w:rPr>
        <w:t>firelogs</w:t>
      </w:r>
      <w:proofErr w:type="spellEnd"/>
      <w:r w:rsidR="00923F90" w:rsidRPr="00F47DF7">
        <w:rPr>
          <w:sz w:val="24"/>
        </w:rPr>
        <w:t xml:space="preserve">, density </w:t>
      </w:r>
      <w:r w:rsidR="00541B19" w:rsidRPr="00F47DF7">
        <w:rPr>
          <w:sz w:val="24"/>
        </w:rPr>
        <w:t>is</w:t>
      </w:r>
      <w:r w:rsidR="00923F90" w:rsidRPr="00F47DF7">
        <w:rPr>
          <w:sz w:val="24"/>
        </w:rPr>
        <w:t xml:space="preserve"> </w:t>
      </w:r>
      <w:r w:rsidR="00FF58AF" w:rsidRPr="00F47DF7">
        <w:rPr>
          <w:sz w:val="24"/>
        </w:rPr>
        <w:t>assumed to not vary</w:t>
      </w:r>
      <w:r w:rsidR="00923F90" w:rsidRPr="00F47DF7">
        <w:rPr>
          <w:sz w:val="24"/>
        </w:rPr>
        <w:t xml:space="preserve"> from county to county, and </w:t>
      </w:r>
      <w:r w:rsidR="002E7B26" w:rsidRPr="00F47DF7">
        <w:rPr>
          <w:sz w:val="24"/>
        </w:rPr>
        <w:t xml:space="preserve">a </w:t>
      </w:r>
      <w:r w:rsidR="00923F90" w:rsidRPr="00F47DF7">
        <w:rPr>
          <w:sz w:val="24"/>
        </w:rPr>
        <w:t xml:space="preserve">density of 4.005 tons per cord </w:t>
      </w:r>
      <w:r w:rsidR="00541B19" w:rsidRPr="00F47DF7">
        <w:rPr>
          <w:sz w:val="24"/>
        </w:rPr>
        <w:t>is</w:t>
      </w:r>
      <w:r w:rsidR="00923F90" w:rsidRPr="00F47DF7">
        <w:rPr>
          <w:sz w:val="24"/>
        </w:rPr>
        <w:t xml:space="preserve"> used</w:t>
      </w:r>
      <w:r w:rsidR="00446AD8" w:rsidRPr="00F47DF7">
        <w:rPr>
          <w:sz w:val="24"/>
        </w:rPr>
        <w:t>.</w:t>
      </w:r>
      <w:r w:rsidR="00AD66B2" w:rsidRPr="00F47DF7">
        <w:rPr>
          <w:sz w:val="24"/>
        </w:rPr>
        <w:t xml:space="preserve"> </w:t>
      </w:r>
      <w:r w:rsidR="00113C3A" w:rsidRPr="00F47DF7">
        <w:rPr>
          <w:sz w:val="24"/>
        </w:rPr>
        <w:t xml:space="preserve">This </w:t>
      </w:r>
      <w:r w:rsidR="00541B19" w:rsidRPr="00F47DF7">
        <w:rPr>
          <w:sz w:val="24"/>
        </w:rPr>
        <w:t>is</w:t>
      </w:r>
      <w:r w:rsidR="00113C3A" w:rsidRPr="00F47DF7">
        <w:rPr>
          <w:sz w:val="24"/>
        </w:rPr>
        <w:t xml:space="preserve"> based on the volume of a typical 5 pound </w:t>
      </w:r>
      <w:proofErr w:type="spellStart"/>
      <w:r w:rsidR="00113C3A" w:rsidRPr="00F47DF7">
        <w:rPr>
          <w:sz w:val="24"/>
        </w:rPr>
        <w:t>firelog</w:t>
      </w:r>
      <w:proofErr w:type="spellEnd"/>
      <w:r w:rsidR="00113C3A" w:rsidRPr="00F47DF7">
        <w:rPr>
          <w:sz w:val="24"/>
        </w:rPr>
        <w:t>.</w:t>
      </w:r>
      <w:r w:rsidR="00AD66B2" w:rsidRPr="00F47DF7">
        <w:rPr>
          <w:sz w:val="24"/>
        </w:rPr>
        <w:t xml:space="preserve"> </w:t>
      </w:r>
      <w:r w:rsidR="00446AD8" w:rsidRPr="00F47DF7">
        <w:rPr>
          <w:sz w:val="24"/>
        </w:rPr>
        <w:t xml:space="preserve">For </w:t>
      </w:r>
      <w:r w:rsidR="00FD06D7" w:rsidRPr="00F47DF7">
        <w:rPr>
          <w:sz w:val="24"/>
        </w:rPr>
        <w:t xml:space="preserve">wax </w:t>
      </w:r>
      <w:proofErr w:type="spellStart"/>
      <w:r w:rsidR="00FD06D7" w:rsidRPr="00F47DF7">
        <w:rPr>
          <w:sz w:val="24"/>
        </w:rPr>
        <w:t>firelogs</w:t>
      </w:r>
      <w:proofErr w:type="spellEnd"/>
      <w:r w:rsidR="00FD06D7" w:rsidRPr="00F47DF7">
        <w:rPr>
          <w:sz w:val="24"/>
        </w:rPr>
        <w:t xml:space="preserve">, </w:t>
      </w:r>
      <w:r w:rsidR="00923F90" w:rsidRPr="00F47DF7">
        <w:rPr>
          <w:sz w:val="24"/>
        </w:rPr>
        <w:t xml:space="preserve">a cord </w:t>
      </w:r>
      <w:r w:rsidR="00541B19" w:rsidRPr="00F47DF7">
        <w:rPr>
          <w:sz w:val="24"/>
        </w:rPr>
        <w:t>is</w:t>
      </w:r>
      <w:r w:rsidR="00446AD8" w:rsidRPr="00F47DF7">
        <w:rPr>
          <w:sz w:val="24"/>
        </w:rPr>
        <w:t xml:space="preserve"> assumed </w:t>
      </w:r>
      <w:r w:rsidR="00923F90" w:rsidRPr="00F47DF7">
        <w:rPr>
          <w:sz w:val="24"/>
        </w:rPr>
        <w:t xml:space="preserve">to be 128 </w:t>
      </w:r>
      <w:r w:rsidR="009166F2" w:rsidRPr="00F47DF7">
        <w:rPr>
          <w:sz w:val="24"/>
        </w:rPr>
        <w:t>ft</w:t>
      </w:r>
      <w:r w:rsidR="009166F2" w:rsidRPr="00F47DF7">
        <w:rPr>
          <w:sz w:val="24"/>
          <w:vertAlign w:val="superscript"/>
        </w:rPr>
        <w:t>3</w:t>
      </w:r>
      <w:r w:rsidR="00923F90" w:rsidRPr="00F47DF7">
        <w:rPr>
          <w:sz w:val="24"/>
        </w:rPr>
        <w:t xml:space="preserve"> </w:t>
      </w:r>
      <w:r w:rsidR="00446AD8" w:rsidRPr="00F47DF7">
        <w:rPr>
          <w:sz w:val="24"/>
        </w:rPr>
        <w:t>because</w:t>
      </w:r>
      <w:r w:rsidR="00113C3A" w:rsidRPr="00F47DF7">
        <w:rPr>
          <w:sz w:val="24"/>
        </w:rPr>
        <w:t xml:space="preserve"> </w:t>
      </w:r>
      <w:r w:rsidR="005D3405" w:rsidRPr="00F47DF7">
        <w:rPr>
          <w:sz w:val="24"/>
        </w:rPr>
        <w:t xml:space="preserve">air </w:t>
      </w:r>
      <w:r w:rsidR="00113C3A" w:rsidRPr="00F47DF7">
        <w:rPr>
          <w:sz w:val="24"/>
        </w:rPr>
        <w:t>s</w:t>
      </w:r>
      <w:r w:rsidR="005D3405" w:rsidRPr="00F47DF7">
        <w:rPr>
          <w:sz w:val="24"/>
        </w:rPr>
        <w:t xml:space="preserve">paces </w:t>
      </w:r>
      <w:r w:rsidR="00FD06D7" w:rsidRPr="00F47DF7">
        <w:rPr>
          <w:sz w:val="24"/>
        </w:rPr>
        <w:t xml:space="preserve">assumptions are </w:t>
      </w:r>
      <w:r w:rsidR="00782315" w:rsidRPr="00F47DF7">
        <w:rPr>
          <w:sz w:val="24"/>
        </w:rPr>
        <w:t xml:space="preserve">not </w:t>
      </w:r>
      <w:r w:rsidR="00FD06D7" w:rsidRPr="00F47DF7">
        <w:rPr>
          <w:sz w:val="24"/>
        </w:rPr>
        <w:t>applicable.</w:t>
      </w:r>
    </w:p>
    <w:p w:rsidR="00AD66B2" w:rsidRPr="00F47DF7" w:rsidRDefault="00AD66B2" w:rsidP="00EB0E1F">
      <w:pPr>
        <w:rPr>
          <w:sz w:val="24"/>
        </w:rPr>
      </w:pPr>
      <w:r w:rsidRPr="00F47DF7">
        <w:rPr>
          <w:sz w:val="24"/>
        </w:rPr>
        <w:t>The wood density data can be found in the RWC tool in the ta</w:t>
      </w:r>
      <w:r w:rsidR="00D15C97" w:rsidRPr="00F47DF7">
        <w:rPr>
          <w:sz w:val="24"/>
        </w:rPr>
        <w:t>ble called “Master County Table,</w:t>
      </w:r>
      <w:r w:rsidRPr="00F47DF7">
        <w:rPr>
          <w:sz w:val="24"/>
        </w:rPr>
        <w:t>”</w:t>
      </w:r>
      <w:r w:rsidR="00D15C97" w:rsidRPr="00F47DF7">
        <w:rPr>
          <w:sz w:val="24"/>
        </w:rPr>
        <w:t xml:space="preserve"> in the “</w:t>
      </w:r>
      <w:proofErr w:type="spellStart"/>
      <w:r w:rsidR="00D15C97" w:rsidRPr="00F47DF7">
        <w:rPr>
          <w:sz w:val="24"/>
        </w:rPr>
        <w:t>WoodDensity</w:t>
      </w:r>
      <w:proofErr w:type="spellEnd"/>
      <w:r w:rsidR="00D15C97" w:rsidRPr="00F47DF7">
        <w:rPr>
          <w:sz w:val="24"/>
        </w:rPr>
        <w:t>” column.</w:t>
      </w:r>
    </w:p>
    <w:p w:rsidR="00995CD8" w:rsidRPr="00F47DF7" w:rsidRDefault="00995CD8" w:rsidP="00995CD8">
      <w:pPr>
        <w:pStyle w:val="Heading3"/>
        <w:rPr>
          <w:rFonts w:ascii="Times New Roman" w:hAnsi="Times New Roman"/>
          <w:color w:val="auto"/>
          <w:sz w:val="24"/>
          <w:szCs w:val="24"/>
        </w:rPr>
      </w:pPr>
      <w:bookmarkStart w:id="9" w:name="_Toc449605617"/>
      <w:r w:rsidRPr="00F47DF7">
        <w:rPr>
          <w:rFonts w:ascii="Times New Roman" w:hAnsi="Times New Roman"/>
          <w:color w:val="auto"/>
          <w:sz w:val="24"/>
          <w:szCs w:val="24"/>
        </w:rPr>
        <w:t>e. Certification Profiles</w:t>
      </w:r>
      <w:bookmarkEnd w:id="9"/>
    </w:p>
    <w:p w:rsidR="00995CD8" w:rsidRPr="00F47DF7" w:rsidRDefault="00995CD8" w:rsidP="00995CD8">
      <w:pPr>
        <w:pStyle w:val="BodyText"/>
        <w:rPr>
          <w:sz w:val="24"/>
        </w:rPr>
      </w:pPr>
      <w:r w:rsidRPr="00F47DF7">
        <w:rPr>
          <w:sz w:val="24"/>
        </w:rPr>
        <w:t xml:space="preserve">Because the data from EIA’s RECS does </w:t>
      </w:r>
      <w:r w:rsidR="00EF3A21" w:rsidRPr="00F47DF7">
        <w:rPr>
          <w:sz w:val="24"/>
        </w:rPr>
        <w:t xml:space="preserve">not </w:t>
      </w:r>
      <w:r w:rsidRPr="00F47DF7">
        <w:rPr>
          <w:sz w:val="24"/>
        </w:rPr>
        <w:t xml:space="preserve">specify whether the respondent uses a woodstove or fireplace insert that is certified, </w:t>
      </w:r>
      <w:r w:rsidR="00E149E8" w:rsidRPr="00F47DF7">
        <w:rPr>
          <w:sz w:val="24"/>
        </w:rPr>
        <w:t>the general data on the number of woodstoves and fireplaces must be split into specific SCCs based on assumptions. In the RWC tool, these assumptions are found in the “Certification Profiles” table. The certification profiles are grouped by Appliance Type (woodstove or fireplace) and</w:t>
      </w:r>
      <w:r w:rsidR="004C77F4" w:rsidRPr="00F47DF7">
        <w:rPr>
          <w:sz w:val="24"/>
        </w:rPr>
        <w:t xml:space="preserve"> county</w:t>
      </w:r>
      <w:r w:rsidR="00E149E8" w:rsidRPr="00F47DF7">
        <w:rPr>
          <w:sz w:val="24"/>
        </w:rPr>
        <w:t xml:space="preserve">. </w:t>
      </w:r>
    </w:p>
    <w:p w:rsidR="00DC7D60" w:rsidRPr="00F47DF7" w:rsidRDefault="00DC7D60" w:rsidP="00995CD8">
      <w:pPr>
        <w:pStyle w:val="BodyText"/>
        <w:rPr>
          <w:sz w:val="24"/>
        </w:rPr>
      </w:pPr>
      <w:r w:rsidRPr="00F47DF7">
        <w:rPr>
          <w:sz w:val="24"/>
        </w:rPr>
        <w:t xml:space="preserve">The certification profile assumptions can be adjusted in the tool, but the profile ratios when grouped by appliance type and </w:t>
      </w:r>
      <w:r w:rsidR="004C77F4" w:rsidRPr="00F47DF7">
        <w:rPr>
          <w:sz w:val="24"/>
        </w:rPr>
        <w:t xml:space="preserve">county </w:t>
      </w:r>
      <w:r w:rsidRPr="00F47DF7">
        <w:rPr>
          <w:sz w:val="24"/>
        </w:rPr>
        <w:t xml:space="preserve">should sum to 1. For example, </w:t>
      </w:r>
      <w:r w:rsidR="004C77F4" w:rsidRPr="00F47DF7">
        <w:rPr>
          <w:sz w:val="24"/>
        </w:rPr>
        <w:t xml:space="preserve">if you filter the table on “woodstoves” and “Autauga, AL,” </w:t>
      </w:r>
      <w:r w:rsidRPr="00F47DF7">
        <w:rPr>
          <w:sz w:val="24"/>
        </w:rPr>
        <w:t xml:space="preserve">the sum of the </w:t>
      </w:r>
      <w:r w:rsidR="004C77F4" w:rsidRPr="00F47DF7">
        <w:rPr>
          <w:sz w:val="24"/>
        </w:rPr>
        <w:t xml:space="preserve">certification </w:t>
      </w:r>
      <w:r w:rsidRPr="00F47DF7">
        <w:rPr>
          <w:sz w:val="24"/>
        </w:rPr>
        <w:t xml:space="preserve">ratios should equal 1. </w:t>
      </w:r>
      <w:r w:rsidR="005E3D34" w:rsidRPr="00F47DF7">
        <w:rPr>
          <w:i/>
          <w:sz w:val="24"/>
        </w:rPr>
        <w:t>It is recommended that caution should be taken before adjusting these assumptions.</w:t>
      </w:r>
    </w:p>
    <w:p w:rsidR="00E149E8" w:rsidRPr="00F47DF7" w:rsidRDefault="00E149E8" w:rsidP="00995CD8">
      <w:pPr>
        <w:pStyle w:val="BodyText"/>
        <w:rPr>
          <w:sz w:val="24"/>
        </w:rPr>
      </w:pPr>
      <w:r w:rsidRPr="00F47DF7">
        <w:rPr>
          <w:sz w:val="24"/>
        </w:rPr>
        <w:lastRenderedPageBreak/>
        <w:t xml:space="preserve">Table 2 shows the </w:t>
      </w:r>
      <w:r w:rsidR="004C77F4" w:rsidRPr="00F47DF7">
        <w:rPr>
          <w:sz w:val="24"/>
        </w:rPr>
        <w:t xml:space="preserve">default regional </w:t>
      </w:r>
      <w:r w:rsidRPr="00F47DF7">
        <w:rPr>
          <w:sz w:val="24"/>
        </w:rPr>
        <w:t>certification profiles for woodstoves, which are used to split the general data on woodstove populations into four SCC</w:t>
      </w:r>
      <w:r w:rsidR="00AD66B2" w:rsidRPr="00F47DF7">
        <w:rPr>
          <w:sz w:val="24"/>
        </w:rPr>
        <w:t>s</w:t>
      </w:r>
      <w:r w:rsidRPr="00F47DF7">
        <w:rPr>
          <w:sz w:val="24"/>
        </w:rPr>
        <w:t>: freestanding non-EPA certified stoves, freestanding EPA certified non-catalytic stoves,</w:t>
      </w:r>
      <w:r w:rsidR="00DC7D60" w:rsidRPr="00F47DF7">
        <w:rPr>
          <w:sz w:val="24"/>
        </w:rPr>
        <w:t xml:space="preserve"> freestanding EPA certified catalytic stoves, and pellet stoves.</w:t>
      </w:r>
    </w:p>
    <w:p w:rsidR="00DC7D60" w:rsidRPr="00F47DF7" w:rsidRDefault="004C77F4" w:rsidP="00995CD8">
      <w:pPr>
        <w:pStyle w:val="BodyText"/>
        <w:rPr>
          <w:sz w:val="24"/>
        </w:rPr>
      </w:pPr>
      <w:r w:rsidRPr="00F47DF7">
        <w:rPr>
          <w:sz w:val="24"/>
        </w:rPr>
        <w:t xml:space="preserve">RECS is used to estimate these certification profiles. </w:t>
      </w:r>
      <w:r w:rsidR="00DC7D60" w:rsidRPr="00F47DF7">
        <w:rPr>
          <w:sz w:val="24"/>
        </w:rPr>
        <w:t xml:space="preserve">Although RECS does not specifically ask whether the woodstove is EPA certified, the 2009 edition does ask the age of the appliance. It </w:t>
      </w:r>
      <w:r w:rsidR="00EF3A21" w:rsidRPr="00F47DF7">
        <w:rPr>
          <w:sz w:val="24"/>
        </w:rPr>
        <w:t xml:space="preserve">is </w:t>
      </w:r>
      <w:r w:rsidR="00DC7D60" w:rsidRPr="00F47DF7">
        <w:rPr>
          <w:sz w:val="24"/>
        </w:rPr>
        <w:t xml:space="preserve">assumed that any appliance older than 20 years old is uncertified, </w:t>
      </w:r>
      <w:r w:rsidR="00EF3A21" w:rsidRPr="00F47DF7">
        <w:rPr>
          <w:sz w:val="24"/>
        </w:rPr>
        <w:t xml:space="preserve">since the appliance would have been built prior to </w:t>
      </w:r>
      <w:r w:rsidR="00DC7D60" w:rsidRPr="00F47DF7">
        <w:rPr>
          <w:sz w:val="24"/>
        </w:rPr>
        <w:t xml:space="preserve"> </w:t>
      </w:r>
      <w:r w:rsidR="00EF3A21" w:rsidRPr="00F47DF7">
        <w:rPr>
          <w:sz w:val="24"/>
        </w:rPr>
        <w:t xml:space="preserve"> the first NSPS for woodstoves finalized in 19</w:t>
      </w:r>
      <w:r w:rsidR="00D15C97" w:rsidRPr="00F47DF7">
        <w:rPr>
          <w:sz w:val="24"/>
        </w:rPr>
        <w:t>8</w:t>
      </w:r>
      <w:r w:rsidR="00EF3A21" w:rsidRPr="00F47DF7">
        <w:rPr>
          <w:sz w:val="24"/>
        </w:rPr>
        <w:t>8</w:t>
      </w:r>
      <w:r w:rsidR="00DC7D60" w:rsidRPr="00F47DF7">
        <w:rPr>
          <w:sz w:val="24"/>
        </w:rPr>
        <w:t>. All appliances less than 20 years old are assumed to be EPA certified. The split between EPA certified non-catalytic and catalytic stoves is based on data provided by Minnesota from their 2014/2015 residential wood survey.</w:t>
      </w:r>
      <w:r w:rsidR="00AD66B2" w:rsidRPr="00F47DF7">
        <w:rPr>
          <w:sz w:val="24"/>
        </w:rPr>
        <w:t xml:space="preserve"> The certification profile for pellet stoves is based on the proportion of respondents to RECS that use a </w:t>
      </w:r>
      <w:proofErr w:type="gramStart"/>
      <w:r w:rsidR="00AD66B2" w:rsidRPr="00F47DF7">
        <w:rPr>
          <w:sz w:val="24"/>
        </w:rPr>
        <w:t>woodstove</w:t>
      </w:r>
      <w:proofErr w:type="gramEnd"/>
      <w:r w:rsidR="00AD66B2" w:rsidRPr="00F47DF7">
        <w:rPr>
          <w:sz w:val="24"/>
        </w:rPr>
        <w:t xml:space="preserve"> but their main fuel source is wood pellets, rather than cordwood.</w:t>
      </w:r>
    </w:p>
    <w:p w:rsidR="004C77F4" w:rsidRPr="00F47DF7" w:rsidRDefault="004C77F4" w:rsidP="00995CD8">
      <w:pPr>
        <w:pStyle w:val="BodyText"/>
        <w:rPr>
          <w:sz w:val="24"/>
        </w:rPr>
      </w:pPr>
      <w:r w:rsidRPr="00F47DF7">
        <w:rPr>
          <w:sz w:val="24"/>
        </w:rPr>
        <w:t>The default certification profiles are estimated at the Census Region level, but the tool allows the profiles to be adjusted for each county.</w:t>
      </w:r>
    </w:p>
    <w:p w:rsidR="00E149E8" w:rsidRPr="00F47DF7" w:rsidRDefault="00E149E8" w:rsidP="00E149E8">
      <w:pPr>
        <w:pStyle w:val="Caption"/>
        <w:keepNext/>
        <w:jc w:val="center"/>
        <w:rPr>
          <w:b w:val="0"/>
          <w:sz w:val="24"/>
          <w:szCs w:val="24"/>
        </w:rPr>
      </w:pPr>
      <w:r w:rsidRPr="00F47DF7">
        <w:rPr>
          <w:sz w:val="24"/>
          <w:szCs w:val="24"/>
        </w:rPr>
        <w:t xml:space="preserve">Table </w:t>
      </w:r>
      <w:r w:rsidRPr="00F47DF7">
        <w:rPr>
          <w:sz w:val="24"/>
          <w:szCs w:val="24"/>
        </w:rPr>
        <w:fldChar w:fldCharType="begin"/>
      </w:r>
      <w:r w:rsidRPr="00F47DF7">
        <w:rPr>
          <w:sz w:val="24"/>
          <w:szCs w:val="24"/>
        </w:rPr>
        <w:instrText xml:space="preserve"> SEQ Table \* ARABIC </w:instrText>
      </w:r>
      <w:r w:rsidRPr="00F47DF7">
        <w:rPr>
          <w:sz w:val="24"/>
          <w:szCs w:val="24"/>
        </w:rPr>
        <w:fldChar w:fldCharType="separate"/>
      </w:r>
      <w:r w:rsidR="00975A86" w:rsidRPr="00F47DF7">
        <w:rPr>
          <w:noProof/>
          <w:sz w:val="24"/>
          <w:szCs w:val="24"/>
        </w:rPr>
        <w:t>2</w:t>
      </w:r>
      <w:r w:rsidRPr="00F47DF7">
        <w:rPr>
          <w:sz w:val="24"/>
          <w:szCs w:val="24"/>
        </w:rPr>
        <w:fldChar w:fldCharType="end"/>
      </w:r>
      <w:r w:rsidRPr="00F47DF7">
        <w:rPr>
          <w:sz w:val="24"/>
          <w:szCs w:val="24"/>
        </w:rPr>
        <w:t xml:space="preserve">. </w:t>
      </w:r>
      <w:r w:rsidRPr="00F47DF7">
        <w:rPr>
          <w:b w:val="0"/>
          <w:sz w:val="24"/>
          <w:szCs w:val="24"/>
        </w:rPr>
        <w:t>Certification Profiles for Woodstoves</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66"/>
        <w:gridCol w:w="4874"/>
        <w:gridCol w:w="1147"/>
        <w:gridCol w:w="552"/>
        <w:gridCol w:w="552"/>
        <w:gridCol w:w="552"/>
        <w:gridCol w:w="552"/>
      </w:tblGrid>
      <w:tr w:rsidR="00F47DF7" w:rsidRPr="00837E90" w:rsidTr="00B026E1">
        <w:trPr>
          <w:tblHeader/>
          <w:tblCellSpacing w:w="0" w:type="dxa"/>
        </w:trPr>
        <w:tc>
          <w:tcPr>
            <w:tcW w:w="1166" w:type="dxa"/>
            <w:shd w:val="clear" w:color="auto" w:fill="F1291C"/>
            <w:vAlign w:val="center"/>
            <w:hideMark/>
          </w:tcPr>
          <w:p w:rsidR="00AD66B2" w:rsidRPr="00837E90" w:rsidRDefault="00AD66B2" w:rsidP="00E149E8">
            <w:pPr>
              <w:spacing w:after="0" w:line="240" w:lineRule="auto"/>
              <w:jc w:val="center"/>
              <w:rPr>
                <w:b/>
                <w:bCs/>
                <w:sz w:val="24"/>
              </w:rPr>
            </w:pPr>
            <w:r w:rsidRPr="00837E90">
              <w:rPr>
                <w:rFonts w:ascii="Calibri" w:hAnsi="Calibri"/>
                <w:b/>
                <w:bCs/>
                <w:szCs w:val="22"/>
              </w:rPr>
              <w:t>SCC</w:t>
            </w:r>
          </w:p>
        </w:tc>
        <w:tc>
          <w:tcPr>
            <w:tcW w:w="4874" w:type="dxa"/>
            <w:shd w:val="clear" w:color="auto" w:fill="F1291C"/>
            <w:vAlign w:val="center"/>
            <w:hideMark/>
          </w:tcPr>
          <w:p w:rsidR="00AD66B2" w:rsidRPr="00837E90" w:rsidRDefault="00AD66B2" w:rsidP="00E149E8">
            <w:pPr>
              <w:spacing w:after="0" w:line="240" w:lineRule="auto"/>
              <w:jc w:val="center"/>
              <w:rPr>
                <w:b/>
                <w:bCs/>
                <w:sz w:val="24"/>
              </w:rPr>
            </w:pPr>
            <w:r w:rsidRPr="00837E90">
              <w:rPr>
                <w:rFonts w:ascii="Calibri" w:hAnsi="Calibri"/>
                <w:b/>
                <w:bCs/>
                <w:szCs w:val="22"/>
              </w:rPr>
              <w:t>Description</w:t>
            </w:r>
          </w:p>
        </w:tc>
        <w:tc>
          <w:tcPr>
            <w:tcW w:w="1147" w:type="dxa"/>
            <w:shd w:val="clear" w:color="auto" w:fill="F1291C"/>
            <w:vAlign w:val="center"/>
            <w:hideMark/>
          </w:tcPr>
          <w:p w:rsidR="00AD66B2" w:rsidRPr="00837E90" w:rsidRDefault="00AD66B2" w:rsidP="00E149E8">
            <w:pPr>
              <w:spacing w:after="0" w:line="240" w:lineRule="auto"/>
              <w:jc w:val="center"/>
              <w:rPr>
                <w:b/>
                <w:bCs/>
                <w:sz w:val="24"/>
              </w:rPr>
            </w:pPr>
            <w:r w:rsidRPr="00837E90">
              <w:rPr>
                <w:rFonts w:ascii="Calibri" w:hAnsi="Calibri"/>
                <w:b/>
                <w:bCs/>
                <w:szCs w:val="22"/>
              </w:rPr>
              <w:t>Appliance Type</w:t>
            </w:r>
          </w:p>
        </w:tc>
        <w:tc>
          <w:tcPr>
            <w:tcW w:w="552" w:type="dxa"/>
            <w:shd w:val="clear" w:color="auto" w:fill="F1291C"/>
            <w:vAlign w:val="center"/>
            <w:hideMark/>
          </w:tcPr>
          <w:p w:rsidR="00AD66B2" w:rsidRPr="00837E90" w:rsidRDefault="00AD66B2" w:rsidP="00E149E8">
            <w:pPr>
              <w:spacing w:after="0" w:line="240" w:lineRule="auto"/>
              <w:jc w:val="center"/>
              <w:rPr>
                <w:b/>
                <w:bCs/>
                <w:sz w:val="24"/>
              </w:rPr>
            </w:pPr>
            <w:r w:rsidRPr="00837E90">
              <w:rPr>
                <w:rFonts w:ascii="Calibri" w:hAnsi="Calibri"/>
                <w:b/>
                <w:bCs/>
                <w:szCs w:val="22"/>
              </w:rPr>
              <w:t>NE</w:t>
            </w:r>
          </w:p>
        </w:tc>
        <w:tc>
          <w:tcPr>
            <w:tcW w:w="552" w:type="dxa"/>
            <w:shd w:val="clear" w:color="auto" w:fill="F1291C"/>
            <w:vAlign w:val="center"/>
          </w:tcPr>
          <w:p w:rsidR="00AD66B2" w:rsidRPr="00837E90" w:rsidRDefault="00AD66B2" w:rsidP="00B026E1">
            <w:pPr>
              <w:spacing w:after="0" w:line="240" w:lineRule="auto"/>
              <w:jc w:val="center"/>
              <w:rPr>
                <w:b/>
                <w:bCs/>
                <w:sz w:val="24"/>
              </w:rPr>
            </w:pPr>
            <w:r w:rsidRPr="00837E90">
              <w:rPr>
                <w:rFonts w:ascii="Calibri" w:hAnsi="Calibri"/>
                <w:b/>
                <w:bCs/>
                <w:szCs w:val="22"/>
              </w:rPr>
              <w:t>MW</w:t>
            </w:r>
          </w:p>
        </w:tc>
        <w:tc>
          <w:tcPr>
            <w:tcW w:w="552" w:type="dxa"/>
            <w:shd w:val="clear" w:color="auto" w:fill="F1291C"/>
            <w:vAlign w:val="center"/>
            <w:hideMark/>
          </w:tcPr>
          <w:p w:rsidR="00AD66B2" w:rsidRPr="00837E90" w:rsidRDefault="00AD66B2" w:rsidP="00E149E8">
            <w:pPr>
              <w:spacing w:after="0" w:line="240" w:lineRule="auto"/>
              <w:jc w:val="center"/>
              <w:rPr>
                <w:b/>
                <w:bCs/>
                <w:sz w:val="24"/>
              </w:rPr>
            </w:pPr>
            <w:r w:rsidRPr="00837E90">
              <w:rPr>
                <w:rFonts w:ascii="Calibri" w:hAnsi="Calibri"/>
                <w:b/>
                <w:bCs/>
                <w:szCs w:val="22"/>
              </w:rPr>
              <w:t>S</w:t>
            </w:r>
          </w:p>
        </w:tc>
        <w:tc>
          <w:tcPr>
            <w:tcW w:w="552" w:type="dxa"/>
            <w:shd w:val="clear" w:color="auto" w:fill="F1291C"/>
            <w:vAlign w:val="center"/>
            <w:hideMark/>
          </w:tcPr>
          <w:p w:rsidR="00AD66B2" w:rsidRPr="00837E90" w:rsidRDefault="00AD66B2" w:rsidP="00E149E8">
            <w:pPr>
              <w:spacing w:after="0" w:line="240" w:lineRule="auto"/>
              <w:jc w:val="center"/>
              <w:rPr>
                <w:b/>
                <w:bCs/>
                <w:sz w:val="24"/>
              </w:rPr>
            </w:pPr>
            <w:r w:rsidRPr="00837E90">
              <w:rPr>
                <w:rFonts w:ascii="Calibri" w:hAnsi="Calibri"/>
                <w:b/>
                <w:bCs/>
                <w:szCs w:val="22"/>
              </w:rPr>
              <w:t>W</w:t>
            </w:r>
          </w:p>
        </w:tc>
      </w:tr>
      <w:tr w:rsidR="00F47DF7" w:rsidRPr="00837E90" w:rsidTr="00B026E1">
        <w:trPr>
          <w:tblCellSpacing w:w="0" w:type="dxa"/>
        </w:trPr>
        <w:tc>
          <w:tcPr>
            <w:tcW w:w="1166"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2104008310</w:t>
            </w:r>
          </w:p>
        </w:tc>
        <w:tc>
          <w:tcPr>
            <w:tcW w:w="4874"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 freestanding, non-EPA certified</w:t>
            </w:r>
          </w:p>
        </w:tc>
        <w:tc>
          <w:tcPr>
            <w:tcW w:w="1147"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0.286</w:t>
            </w:r>
          </w:p>
        </w:tc>
        <w:tc>
          <w:tcPr>
            <w:tcW w:w="552" w:type="dxa"/>
            <w:shd w:val="clear" w:color="auto" w:fill="FFFFFF"/>
          </w:tcPr>
          <w:p w:rsidR="00AD66B2" w:rsidRPr="00837E90" w:rsidRDefault="00AD66B2" w:rsidP="00B026E1">
            <w:pPr>
              <w:spacing w:after="0" w:line="240" w:lineRule="auto"/>
              <w:jc w:val="right"/>
              <w:rPr>
                <w:sz w:val="24"/>
              </w:rPr>
            </w:pPr>
            <w:r w:rsidRPr="00837E90">
              <w:rPr>
                <w:rFonts w:ascii="Calibri" w:hAnsi="Calibri"/>
                <w:szCs w:val="22"/>
              </w:rPr>
              <w:t>0.286</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0.286</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0.286</w:t>
            </w:r>
          </w:p>
        </w:tc>
      </w:tr>
      <w:tr w:rsidR="00F47DF7" w:rsidRPr="00837E90" w:rsidTr="00B026E1">
        <w:trPr>
          <w:tblCellSpacing w:w="0" w:type="dxa"/>
        </w:trPr>
        <w:tc>
          <w:tcPr>
            <w:tcW w:w="1166"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2104008320</w:t>
            </w:r>
          </w:p>
        </w:tc>
        <w:tc>
          <w:tcPr>
            <w:tcW w:w="4874"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 freestanding, EPA certified, non-catalytic</w:t>
            </w:r>
          </w:p>
        </w:tc>
        <w:tc>
          <w:tcPr>
            <w:tcW w:w="1147"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0.355</w:t>
            </w:r>
          </w:p>
        </w:tc>
        <w:tc>
          <w:tcPr>
            <w:tcW w:w="552" w:type="dxa"/>
            <w:shd w:val="clear" w:color="auto" w:fill="FFFFFF"/>
          </w:tcPr>
          <w:p w:rsidR="00AD66B2" w:rsidRPr="00837E90" w:rsidRDefault="00AD66B2" w:rsidP="00B026E1">
            <w:pPr>
              <w:spacing w:after="0" w:line="240" w:lineRule="auto"/>
              <w:jc w:val="right"/>
              <w:rPr>
                <w:sz w:val="24"/>
              </w:rPr>
            </w:pPr>
            <w:r w:rsidRPr="00837E90">
              <w:rPr>
                <w:rFonts w:ascii="Calibri" w:hAnsi="Calibri"/>
                <w:szCs w:val="22"/>
              </w:rPr>
              <w:t>0.355</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0.355</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0.355</w:t>
            </w:r>
          </w:p>
        </w:tc>
      </w:tr>
      <w:tr w:rsidR="00F47DF7" w:rsidRPr="00837E90" w:rsidTr="00B026E1">
        <w:trPr>
          <w:tblCellSpacing w:w="0" w:type="dxa"/>
        </w:trPr>
        <w:tc>
          <w:tcPr>
            <w:tcW w:w="1166"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2104008330</w:t>
            </w:r>
          </w:p>
        </w:tc>
        <w:tc>
          <w:tcPr>
            <w:tcW w:w="4874"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 freestanding, EPA certified, catalytic</w:t>
            </w:r>
          </w:p>
        </w:tc>
        <w:tc>
          <w:tcPr>
            <w:tcW w:w="1147"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0.237</w:t>
            </w:r>
          </w:p>
        </w:tc>
        <w:tc>
          <w:tcPr>
            <w:tcW w:w="552" w:type="dxa"/>
            <w:shd w:val="clear" w:color="auto" w:fill="FFFFFF"/>
          </w:tcPr>
          <w:p w:rsidR="00AD66B2" w:rsidRPr="00837E90" w:rsidRDefault="00AD66B2" w:rsidP="00B026E1">
            <w:pPr>
              <w:spacing w:after="0" w:line="240" w:lineRule="auto"/>
              <w:jc w:val="right"/>
              <w:rPr>
                <w:sz w:val="24"/>
              </w:rPr>
            </w:pPr>
            <w:r w:rsidRPr="00837E90">
              <w:rPr>
                <w:rFonts w:ascii="Calibri" w:hAnsi="Calibri"/>
                <w:szCs w:val="22"/>
              </w:rPr>
              <w:t>0.237</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0.237</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0.237</w:t>
            </w:r>
          </w:p>
        </w:tc>
      </w:tr>
      <w:tr w:rsidR="00F47DF7" w:rsidRPr="00837E90" w:rsidTr="00B026E1">
        <w:trPr>
          <w:tblCellSpacing w:w="0" w:type="dxa"/>
        </w:trPr>
        <w:tc>
          <w:tcPr>
            <w:tcW w:w="1166"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2104008400</w:t>
            </w:r>
          </w:p>
        </w:tc>
        <w:tc>
          <w:tcPr>
            <w:tcW w:w="4874"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 pellet-fired, general</w:t>
            </w:r>
          </w:p>
        </w:tc>
        <w:tc>
          <w:tcPr>
            <w:tcW w:w="1147" w:type="dxa"/>
            <w:shd w:val="clear" w:color="auto" w:fill="FFFFFF"/>
            <w:hideMark/>
          </w:tcPr>
          <w:p w:rsidR="00AD66B2" w:rsidRPr="00837E90" w:rsidRDefault="00AD66B2" w:rsidP="00E149E8">
            <w:pPr>
              <w:spacing w:after="0" w:line="240" w:lineRule="auto"/>
              <w:rPr>
                <w:sz w:val="24"/>
              </w:rPr>
            </w:pPr>
            <w:r w:rsidRPr="00837E90">
              <w:rPr>
                <w:rFonts w:ascii="Calibri" w:hAnsi="Calibri"/>
                <w:szCs w:val="22"/>
              </w:rPr>
              <w:t>Woodstove</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0.122</w:t>
            </w:r>
          </w:p>
        </w:tc>
        <w:tc>
          <w:tcPr>
            <w:tcW w:w="552" w:type="dxa"/>
            <w:shd w:val="clear" w:color="auto" w:fill="FFFFFF"/>
          </w:tcPr>
          <w:p w:rsidR="00AD66B2" w:rsidRPr="00837E90" w:rsidRDefault="00AD66B2" w:rsidP="00B026E1">
            <w:pPr>
              <w:spacing w:after="0" w:line="240" w:lineRule="auto"/>
              <w:jc w:val="right"/>
              <w:rPr>
                <w:sz w:val="24"/>
              </w:rPr>
            </w:pPr>
            <w:r w:rsidRPr="00837E90">
              <w:rPr>
                <w:rFonts w:ascii="Calibri" w:hAnsi="Calibri"/>
                <w:szCs w:val="22"/>
              </w:rPr>
              <w:t>0.122</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0.122</w:t>
            </w:r>
          </w:p>
        </w:tc>
        <w:tc>
          <w:tcPr>
            <w:tcW w:w="552" w:type="dxa"/>
            <w:shd w:val="clear" w:color="auto" w:fill="FFFFFF"/>
            <w:hideMark/>
          </w:tcPr>
          <w:p w:rsidR="00AD66B2" w:rsidRPr="00837E90" w:rsidRDefault="00AD66B2" w:rsidP="00E149E8">
            <w:pPr>
              <w:spacing w:after="0" w:line="240" w:lineRule="auto"/>
              <w:jc w:val="right"/>
              <w:rPr>
                <w:sz w:val="24"/>
              </w:rPr>
            </w:pPr>
            <w:r w:rsidRPr="00837E90">
              <w:rPr>
                <w:rFonts w:ascii="Calibri" w:hAnsi="Calibri"/>
                <w:szCs w:val="22"/>
              </w:rPr>
              <w:t>0.122</w:t>
            </w:r>
          </w:p>
        </w:tc>
      </w:tr>
      <w:tr w:rsidR="00F47DF7" w:rsidRPr="00837E90" w:rsidTr="00B026E1">
        <w:trPr>
          <w:tblCellSpacing w:w="0" w:type="dxa"/>
        </w:trPr>
        <w:tc>
          <w:tcPr>
            <w:tcW w:w="1166" w:type="dxa"/>
            <w:shd w:val="clear" w:color="auto" w:fill="FFFFFF"/>
          </w:tcPr>
          <w:p w:rsidR="00AD66B2" w:rsidRPr="00837E90" w:rsidRDefault="00AD66B2" w:rsidP="00E149E8">
            <w:pPr>
              <w:spacing w:after="0" w:line="240" w:lineRule="auto"/>
              <w:rPr>
                <w:rFonts w:ascii="Calibri" w:hAnsi="Calibri"/>
                <w:szCs w:val="22"/>
              </w:rPr>
            </w:pPr>
          </w:p>
        </w:tc>
        <w:tc>
          <w:tcPr>
            <w:tcW w:w="4874" w:type="dxa"/>
            <w:shd w:val="clear" w:color="auto" w:fill="FFFFFF"/>
          </w:tcPr>
          <w:p w:rsidR="00AD66B2" w:rsidRPr="00837E90" w:rsidRDefault="00AD66B2" w:rsidP="00E149E8">
            <w:pPr>
              <w:spacing w:after="0" w:line="240" w:lineRule="auto"/>
              <w:rPr>
                <w:rFonts w:ascii="Calibri" w:hAnsi="Calibri"/>
                <w:szCs w:val="22"/>
              </w:rPr>
            </w:pPr>
          </w:p>
        </w:tc>
        <w:tc>
          <w:tcPr>
            <w:tcW w:w="1147" w:type="dxa"/>
            <w:shd w:val="clear" w:color="auto" w:fill="FFFFFF"/>
          </w:tcPr>
          <w:p w:rsidR="00AD66B2" w:rsidRPr="00837E90" w:rsidRDefault="00AD66B2" w:rsidP="00E149E8">
            <w:pPr>
              <w:spacing w:after="0" w:line="240" w:lineRule="auto"/>
              <w:rPr>
                <w:rFonts w:ascii="Calibri" w:hAnsi="Calibri"/>
                <w:szCs w:val="22"/>
              </w:rPr>
            </w:pPr>
            <w:r w:rsidRPr="00837E90">
              <w:rPr>
                <w:rFonts w:ascii="Calibri" w:hAnsi="Calibri"/>
                <w:szCs w:val="22"/>
              </w:rPr>
              <w:t>Total</w:t>
            </w:r>
          </w:p>
        </w:tc>
        <w:tc>
          <w:tcPr>
            <w:tcW w:w="552" w:type="dxa"/>
            <w:shd w:val="clear" w:color="auto" w:fill="FFFFFF"/>
          </w:tcPr>
          <w:p w:rsidR="00AD66B2" w:rsidRPr="00837E90" w:rsidRDefault="00AD66B2" w:rsidP="00E149E8">
            <w:pPr>
              <w:spacing w:after="0" w:line="240" w:lineRule="auto"/>
              <w:jc w:val="right"/>
              <w:rPr>
                <w:rFonts w:ascii="Calibri" w:hAnsi="Calibri"/>
                <w:szCs w:val="22"/>
              </w:rPr>
            </w:pPr>
            <w:r w:rsidRPr="00837E90">
              <w:rPr>
                <w:rFonts w:ascii="Calibri" w:hAnsi="Calibri"/>
                <w:szCs w:val="22"/>
              </w:rPr>
              <w:t>1</w:t>
            </w:r>
          </w:p>
        </w:tc>
        <w:tc>
          <w:tcPr>
            <w:tcW w:w="552" w:type="dxa"/>
            <w:shd w:val="clear" w:color="auto" w:fill="FFFFFF"/>
          </w:tcPr>
          <w:p w:rsidR="00AD66B2" w:rsidRPr="00837E90" w:rsidRDefault="00AD66B2" w:rsidP="00B026E1">
            <w:pPr>
              <w:spacing w:after="0" w:line="240" w:lineRule="auto"/>
              <w:jc w:val="right"/>
              <w:rPr>
                <w:rFonts w:ascii="Calibri" w:hAnsi="Calibri"/>
                <w:szCs w:val="22"/>
              </w:rPr>
            </w:pPr>
            <w:r w:rsidRPr="00837E90">
              <w:rPr>
                <w:rFonts w:ascii="Calibri" w:hAnsi="Calibri"/>
                <w:szCs w:val="22"/>
              </w:rPr>
              <w:t>1</w:t>
            </w:r>
          </w:p>
        </w:tc>
        <w:tc>
          <w:tcPr>
            <w:tcW w:w="552" w:type="dxa"/>
            <w:shd w:val="clear" w:color="auto" w:fill="FFFFFF"/>
          </w:tcPr>
          <w:p w:rsidR="00AD66B2" w:rsidRPr="00837E90" w:rsidRDefault="00AD66B2" w:rsidP="00E149E8">
            <w:pPr>
              <w:spacing w:after="0" w:line="240" w:lineRule="auto"/>
              <w:jc w:val="right"/>
              <w:rPr>
                <w:rFonts w:ascii="Calibri" w:hAnsi="Calibri"/>
                <w:szCs w:val="22"/>
              </w:rPr>
            </w:pPr>
            <w:r w:rsidRPr="00837E90">
              <w:rPr>
                <w:rFonts w:ascii="Calibri" w:hAnsi="Calibri"/>
                <w:szCs w:val="22"/>
              </w:rPr>
              <w:t>1</w:t>
            </w:r>
          </w:p>
        </w:tc>
        <w:tc>
          <w:tcPr>
            <w:tcW w:w="552" w:type="dxa"/>
            <w:shd w:val="clear" w:color="auto" w:fill="FFFFFF"/>
          </w:tcPr>
          <w:p w:rsidR="00AD66B2" w:rsidRPr="00837E90" w:rsidRDefault="00AD66B2" w:rsidP="00E149E8">
            <w:pPr>
              <w:spacing w:after="0" w:line="240" w:lineRule="auto"/>
              <w:jc w:val="right"/>
              <w:rPr>
                <w:rFonts w:ascii="Calibri" w:hAnsi="Calibri"/>
                <w:szCs w:val="22"/>
              </w:rPr>
            </w:pPr>
            <w:r w:rsidRPr="00837E90">
              <w:rPr>
                <w:rFonts w:ascii="Calibri" w:hAnsi="Calibri"/>
                <w:szCs w:val="22"/>
              </w:rPr>
              <w:t>1</w:t>
            </w:r>
          </w:p>
        </w:tc>
      </w:tr>
    </w:tbl>
    <w:p w:rsidR="00E149E8" w:rsidRPr="00837E90" w:rsidRDefault="00E149E8" w:rsidP="00995CD8">
      <w:pPr>
        <w:pStyle w:val="BodyText"/>
      </w:pPr>
    </w:p>
    <w:p w:rsidR="004C77F4" w:rsidRPr="00F47DF7" w:rsidRDefault="004C77F4" w:rsidP="00995CD8">
      <w:pPr>
        <w:pStyle w:val="BodyText"/>
        <w:rPr>
          <w:sz w:val="24"/>
        </w:rPr>
      </w:pPr>
    </w:p>
    <w:p w:rsidR="00AD66B2" w:rsidRPr="00F47DF7" w:rsidRDefault="00AD66B2" w:rsidP="00995CD8">
      <w:pPr>
        <w:pStyle w:val="BodyText"/>
        <w:rPr>
          <w:sz w:val="24"/>
        </w:rPr>
      </w:pPr>
      <w:r w:rsidRPr="00F47DF7">
        <w:rPr>
          <w:sz w:val="24"/>
        </w:rPr>
        <w:t>Table 3 shows the</w:t>
      </w:r>
      <w:r w:rsidR="004C77F4" w:rsidRPr="00F47DF7">
        <w:rPr>
          <w:sz w:val="24"/>
        </w:rPr>
        <w:t xml:space="preserve"> default</w:t>
      </w:r>
      <w:r w:rsidRPr="00F47DF7">
        <w:rPr>
          <w:sz w:val="24"/>
        </w:rPr>
        <w:t xml:space="preserve"> </w:t>
      </w:r>
      <w:r w:rsidR="004C77F4" w:rsidRPr="00F47DF7">
        <w:rPr>
          <w:sz w:val="24"/>
        </w:rPr>
        <w:t xml:space="preserve">regional </w:t>
      </w:r>
      <w:r w:rsidRPr="00F47DF7">
        <w:rPr>
          <w:sz w:val="24"/>
        </w:rPr>
        <w:t xml:space="preserve">certification profiles for fireplaces, which are used to split the general data on fireplace populations into four SCCs: general fireplaces, non-EPA certified fireplace inserts, EPA certified non-catalytic inserts, and EPA certified catalytic inserts. The AHS asks respondents whether their fireplace has an </w:t>
      </w:r>
      <w:proofErr w:type="gramStart"/>
      <w:r w:rsidRPr="00F47DF7">
        <w:rPr>
          <w:sz w:val="24"/>
        </w:rPr>
        <w:t>insert, and</w:t>
      </w:r>
      <w:proofErr w:type="gramEnd"/>
      <w:r w:rsidRPr="00F47DF7">
        <w:rPr>
          <w:sz w:val="24"/>
        </w:rPr>
        <w:t xml:space="preserve"> reports these data at the census region level. The split between certified and non-certified, and catalytic and non-catalytic inserts are based on data provided by Minnesota from their 2014/2015 residential wood survey.</w:t>
      </w:r>
    </w:p>
    <w:p w:rsidR="004C77F4" w:rsidRPr="00F47DF7" w:rsidRDefault="004C77F4" w:rsidP="00995CD8">
      <w:pPr>
        <w:pStyle w:val="BodyText"/>
        <w:rPr>
          <w:sz w:val="24"/>
        </w:rPr>
      </w:pPr>
    </w:p>
    <w:p w:rsidR="004C77F4" w:rsidRPr="00837E90" w:rsidRDefault="004C77F4" w:rsidP="00995CD8">
      <w:pPr>
        <w:pStyle w:val="BodyText"/>
      </w:pPr>
    </w:p>
    <w:p w:rsidR="00E149E8" w:rsidRPr="00837E90" w:rsidRDefault="00E149E8" w:rsidP="00E149E8">
      <w:pPr>
        <w:pStyle w:val="Caption"/>
        <w:keepNext/>
        <w:jc w:val="center"/>
        <w:rPr>
          <w:b w:val="0"/>
          <w:sz w:val="22"/>
        </w:rPr>
      </w:pPr>
      <w:r w:rsidRPr="00837E90">
        <w:rPr>
          <w:sz w:val="22"/>
        </w:rPr>
        <w:t xml:space="preserve">Table </w:t>
      </w:r>
      <w:r w:rsidRPr="00837E90">
        <w:rPr>
          <w:sz w:val="22"/>
        </w:rPr>
        <w:fldChar w:fldCharType="begin"/>
      </w:r>
      <w:r w:rsidRPr="00837E90">
        <w:rPr>
          <w:sz w:val="22"/>
        </w:rPr>
        <w:instrText xml:space="preserve"> SEQ Table \* ARABIC </w:instrText>
      </w:r>
      <w:r w:rsidRPr="00837E90">
        <w:rPr>
          <w:sz w:val="22"/>
        </w:rPr>
        <w:fldChar w:fldCharType="separate"/>
      </w:r>
      <w:r w:rsidR="00975A86" w:rsidRPr="00837E90">
        <w:rPr>
          <w:noProof/>
          <w:sz w:val="22"/>
        </w:rPr>
        <w:t>3</w:t>
      </w:r>
      <w:r w:rsidRPr="00837E90">
        <w:rPr>
          <w:sz w:val="22"/>
        </w:rPr>
        <w:fldChar w:fldCharType="end"/>
      </w:r>
      <w:r w:rsidRPr="00837E90">
        <w:rPr>
          <w:sz w:val="22"/>
        </w:rPr>
        <w:t xml:space="preserve">. </w:t>
      </w:r>
      <w:r w:rsidRPr="00837E90">
        <w:rPr>
          <w:b w:val="0"/>
          <w:sz w:val="22"/>
        </w:rPr>
        <w:t>Certification Profiles for Fireplaces</w:t>
      </w:r>
    </w:p>
    <w:tbl>
      <w:tblPr>
        <w:tblW w:w="9906" w:type="dxa"/>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66"/>
        <w:gridCol w:w="5133"/>
        <w:gridCol w:w="1399"/>
        <w:gridCol w:w="552"/>
        <w:gridCol w:w="552"/>
        <w:gridCol w:w="552"/>
        <w:gridCol w:w="552"/>
      </w:tblGrid>
      <w:tr w:rsidR="00F47DF7" w:rsidRPr="00837E90" w:rsidTr="00B026E1">
        <w:trPr>
          <w:tblHeader/>
          <w:tblCellSpacing w:w="0" w:type="dxa"/>
        </w:trPr>
        <w:tc>
          <w:tcPr>
            <w:tcW w:w="0" w:type="auto"/>
            <w:shd w:val="clear" w:color="auto" w:fill="F1291C"/>
            <w:vAlign w:val="center"/>
            <w:hideMark/>
          </w:tcPr>
          <w:p w:rsidR="00E149E8" w:rsidRPr="00837E90" w:rsidRDefault="00E149E8" w:rsidP="00995CD8">
            <w:pPr>
              <w:spacing w:after="0" w:line="240" w:lineRule="auto"/>
              <w:jc w:val="center"/>
              <w:rPr>
                <w:b/>
                <w:bCs/>
                <w:sz w:val="24"/>
              </w:rPr>
            </w:pPr>
            <w:r w:rsidRPr="00837E90">
              <w:rPr>
                <w:rFonts w:ascii="Calibri" w:hAnsi="Calibri"/>
                <w:b/>
                <w:bCs/>
                <w:szCs w:val="22"/>
              </w:rPr>
              <w:t>SCC</w:t>
            </w:r>
          </w:p>
        </w:tc>
        <w:tc>
          <w:tcPr>
            <w:tcW w:w="0" w:type="auto"/>
            <w:shd w:val="clear" w:color="auto" w:fill="F1291C"/>
            <w:vAlign w:val="center"/>
            <w:hideMark/>
          </w:tcPr>
          <w:p w:rsidR="00E149E8" w:rsidRPr="00837E90" w:rsidRDefault="00E149E8" w:rsidP="00995CD8">
            <w:pPr>
              <w:spacing w:after="0" w:line="240" w:lineRule="auto"/>
              <w:jc w:val="center"/>
              <w:rPr>
                <w:b/>
                <w:bCs/>
                <w:sz w:val="24"/>
              </w:rPr>
            </w:pPr>
            <w:r w:rsidRPr="00837E90">
              <w:rPr>
                <w:rFonts w:ascii="Calibri" w:hAnsi="Calibri"/>
                <w:b/>
                <w:bCs/>
                <w:szCs w:val="22"/>
              </w:rPr>
              <w:t>Description</w:t>
            </w:r>
          </w:p>
        </w:tc>
        <w:tc>
          <w:tcPr>
            <w:tcW w:w="0" w:type="auto"/>
            <w:shd w:val="clear" w:color="auto" w:fill="F1291C"/>
            <w:vAlign w:val="center"/>
            <w:hideMark/>
          </w:tcPr>
          <w:p w:rsidR="00E149E8" w:rsidRPr="00837E90" w:rsidRDefault="00E149E8" w:rsidP="00995CD8">
            <w:pPr>
              <w:spacing w:after="0" w:line="240" w:lineRule="auto"/>
              <w:jc w:val="center"/>
              <w:rPr>
                <w:b/>
                <w:bCs/>
                <w:sz w:val="24"/>
              </w:rPr>
            </w:pPr>
            <w:proofErr w:type="spellStart"/>
            <w:r w:rsidRPr="00837E90">
              <w:rPr>
                <w:rFonts w:ascii="Calibri" w:hAnsi="Calibri"/>
                <w:b/>
                <w:bCs/>
                <w:szCs w:val="22"/>
              </w:rPr>
              <w:t>ApplianceType</w:t>
            </w:r>
            <w:proofErr w:type="spellEnd"/>
          </w:p>
        </w:tc>
        <w:tc>
          <w:tcPr>
            <w:tcW w:w="0" w:type="auto"/>
            <w:shd w:val="clear" w:color="auto" w:fill="F1291C"/>
            <w:vAlign w:val="center"/>
            <w:hideMark/>
          </w:tcPr>
          <w:p w:rsidR="00E149E8" w:rsidRPr="00837E90" w:rsidRDefault="00E149E8" w:rsidP="00995CD8">
            <w:pPr>
              <w:spacing w:after="0" w:line="240" w:lineRule="auto"/>
              <w:jc w:val="center"/>
              <w:rPr>
                <w:b/>
                <w:bCs/>
                <w:sz w:val="24"/>
              </w:rPr>
            </w:pPr>
            <w:r w:rsidRPr="00837E90">
              <w:rPr>
                <w:rFonts w:ascii="Calibri" w:hAnsi="Calibri"/>
                <w:b/>
                <w:bCs/>
                <w:szCs w:val="22"/>
              </w:rPr>
              <w:t>NE</w:t>
            </w:r>
          </w:p>
        </w:tc>
        <w:tc>
          <w:tcPr>
            <w:tcW w:w="0" w:type="auto"/>
            <w:shd w:val="clear" w:color="auto" w:fill="F1291C"/>
            <w:vAlign w:val="center"/>
          </w:tcPr>
          <w:p w:rsidR="00E149E8" w:rsidRPr="00837E90" w:rsidRDefault="00E149E8" w:rsidP="00B026E1">
            <w:pPr>
              <w:spacing w:after="0" w:line="240" w:lineRule="auto"/>
              <w:jc w:val="center"/>
              <w:rPr>
                <w:b/>
                <w:bCs/>
                <w:sz w:val="24"/>
              </w:rPr>
            </w:pPr>
            <w:r w:rsidRPr="00837E90">
              <w:rPr>
                <w:rFonts w:ascii="Calibri" w:hAnsi="Calibri"/>
                <w:b/>
                <w:bCs/>
                <w:szCs w:val="22"/>
              </w:rPr>
              <w:t>MW</w:t>
            </w:r>
          </w:p>
        </w:tc>
        <w:tc>
          <w:tcPr>
            <w:tcW w:w="0" w:type="auto"/>
            <w:shd w:val="clear" w:color="auto" w:fill="F1291C"/>
            <w:vAlign w:val="center"/>
            <w:hideMark/>
          </w:tcPr>
          <w:p w:rsidR="00E149E8" w:rsidRPr="00837E90" w:rsidRDefault="00E149E8" w:rsidP="00995CD8">
            <w:pPr>
              <w:spacing w:after="0" w:line="240" w:lineRule="auto"/>
              <w:jc w:val="center"/>
              <w:rPr>
                <w:b/>
                <w:bCs/>
                <w:sz w:val="24"/>
              </w:rPr>
            </w:pPr>
            <w:r w:rsidRPr="00837E90">
              <w:rPr>
                <w:rFonts w:ascii="Calibri" w:hAnsi="Calibri"/>
                <w:b/>
                <w:bCs/>
                <w:szCs w:val="22"/>
              </w:rPr>
              <w:t>S</w:t>
            </w:r>
          </w:p>
        </w:tc>
        <w:tc>
          <w:tcPr>
            <w:tcW w:w="0" w:type="auto"/>
            <w:shd w:val="clear" w:color="auto" w:fill="F1291C"/>
            <w:vAlign w:val="center"/>
            <w:hideMark/>
          </w:tcPr>
          <w:p w:rsidR="00E149E8" w:rsidRPr="00837E90" w:rsidRDefault="00E149E8" w:rsidP="00995CD8">
            <w:pPr>
              <w:spacing w:after="0" w:line="240" w:lineRule="auto"/>
              <w:jc w:val="center"/>
              <w:rPr>
                <w:b/>
                <w:bCs/>
                <w:sz w:val="24"/>
              </w:rPr>
            </w:pPr>
            <w:r w:rsidRPr="00837E90">
              <w:rPr>
                <w:rFonts w:ascii="Calibri" w:hAnsi="Calibri"/>
                <w:b/>
                <w:bCs/>
                <w:szCs w:val="22"/>
              </w:rPr>
              <w:t>W</w:t>
            </w:r>
          </w:p>
        </w:tc>
      </w:tr>
      <w:tr w:rsidR="00F47DF7" w:rsidRPr="00837E90" w:rsidTr="00E149E8">
        <w:trPr>
          <w:tblCellSpacing w:w="0" w:type="dxa"/>
        </w:trPr>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2104008100</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Fireplace: general</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Fireplace</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0.487</w:t>
            </w:r>
          </w:p>
        </w:tc>
        <w:tc>
          <w:tcPr>
            <w:tcW w:w="0" w:type="auto"/>
            <w:shd w:val="clear" w:color="auto" w:fill="FFFFFF"/>
          </w:tcPr>
          <w:p w:rsidR="00E149E8" w:rsidRPr="00837E90" w:rsidRDefault="00E149E8" w:rsidP="00B026E1">
            <w:pPr>
              <w:spacing w:after="0" w:line="240" w:lineRule="auto"/>
              <w:jc w:val="right"/>
              <w:rPr>
                <w:sz w:val="24"/>
              </w:rPr>
            </w:pPr>
            <w:r w:rsidRPr="00837E90">
              <w:rPr>
                <w:rFonts w:ascii="Calibri" w:hAnsi="Calibri"/>
                <w:szCs w:val="22"/>
              </w:rPr>
              <w:t>0.438</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0.575</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0.523</w:t>
            </w:r>
          </w:p>
        </w:tc>
      </w:tr>
      <w:tr w:rsidR="00F47DF7" w:rsidRPr="00837E90" w:rsidTr="00E149E8">
        <w:trPr>
          <w:tblCellSpacing w:w="0" w:type="dxa"/>
        </w:trPr>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2104008210</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Woodstove: fireplace inserts; non-EPA certified</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Fireplace</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0.278</w:t>
            </w:r>
          </w:p>
        </w:tc>
        <w:tc>
          <w:tcPr>
            <w:tcW w:w="0" w:type="auto"/>
            <w:shd w:val="clear" w:color="auto" w:fill="FFFFFF"/>
          </w:tcPr>
          <w:p w:rsidR="00E149E8" w:rsidRPr="00837E90" w:rsidRDefault="00E149E8" w:rsidP="00B026E1">
            <w:pPr>
              <w:spacing w:after="0" w:line="240" w:lineRule="auto"/>
              <w:jc w:val="right"/>
              <w:rPr>
                <w:sz w:val="24"/>
              </w:rPr>
            </w:pPr>
            <w:r w:rsidRPr="00837E90">
              <w:rPr>
                <w:rFonts w:ascii="Calibri" w:hAnsi="Calibri"/>
                <w:szCs w:val="22"/>
              </w:rPr>
              <w:t>0.305</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0.23</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0.258</w:t>
            </w:r>
          </w:p>
        </w:tc>
      </w:tr>
      <w:tr w:rsidR="00F47DF7" w:rsidRPr="00837E90" w:rsidTr="00E149E8">
        <w:trPr>
          <w:tblCellSpacing w:w="0" w:type="dxa"/>
        </w:trPr>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lastRenderedPageBreak/>
              <w:t>2104008220</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Woodstove: fireplace inserts; EPA certified; non-catalytic</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Fireplace</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0.182</w:t>
            </w:r>
          </w:p>
        </w:tc>
        <w:tc>
          <w:tcPr>
            <w:tcW w:w="0" w:type="auto"/>
            <w:shd w:val="clear" w:color="auto" w:fill="FFFFFF"/>
          </w:tcPr>
          <w:p w:rsidR="00E149E8" w:rsidRPr="00837E90" w:rsidRDefault="00E149E8" w:rsidP="00B026E1">
            <w:pPr>
              <w:spacing w:after="0" w:line="240" w:lineRule="auto"/>
              <w:jc w:val="right"/>
              <w:rPr>
                <w:sz w:val="24"/>
              </w:rPr>
            </w:pPr>
            <w:r w:rsidRPr="00837E90">
              <w:rPr>
                <w:rFonts w:ascii="Calibri" w:hAnsi="Calibri"/>
                <w:szCs w:val="22"/>
              </w:rPr>
              <w:t>0.199</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0.151</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0.169</w:t>
            </w:r>
          </w:p>
        </w:tc>
      </w:tr>
      <w:tr w:rsidR="00F47DF7" w:rsidRPr="00837E90" w:rsidTr="00E149E8">
        <w:trPr>
          <w:tblCellSpacing w:w="0" w:type="dxa"/>
        </w:trPr>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2104008230</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Woodstove: fireplace inserts; EPA certified; catalytic</w:t>
            </w:r>
          </w:p>
        </w:tc>
        <w:tc>
          <w:tcPr>
            <w:tcW w:w="0" w:type="auto"/>
            <w:shd w:val="clear" w:color="auto" w:fill="FFFFFF"/>
            <w:hideMark/>
          </w:tcPr>
          <w:p w:rsidR="00E149E8" w:rsidRPr="00837E90" w:rsidRDefault="00E149E8" w:rsidP="00995CD8">
            <w:pPr>
              <w:spacing w:after="0" w:line="240" w:lineRule="auto"/>
              <w:rPr>
                <w:sz w:val="24"/>
              </w:rPr>
            </w:pPr>
            <w:r w:rsidRPr="00837E90">
              <w:rPr>
                <w:rFonts w:ascii="Calibri" w:hAnsi="Calibri"/>
                <w:szCs w:val="22"/>
              </w:rPr>
              <w:t>Fireplace</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0.053</w:t>
            </w:r>
          </w:p>
        </w:tc>
        <w:tc>
          <w:tcPr>
            <w:tcW w:w="0" w:type="auto"/>
            <w:shd w:val="clear" w:color="auto" w:fill="FFFFFF"/>
          </w:tcPr>
          <w:p w:rsidR="00E149E8" w:rsidRPr="00837E90" w:rsidRDefault="00E149E8" w:rsidP="00E149E8">
            <w:pPr>
              <w:spacing w:after="0" w:line="240" w:lineRule="auto"/>
              <w:jc w:val="right"/>
              <w:rPr>
                <w:sz w:val="24"/>
              </w:rPr>
            </w:pPr>
            <w:r w:rsidRPr="00837E90">
              <w:rPr>
                <w:rFonts w:ascii="Calibri" w:hAnsi="Calibri"/>
                <w:szCs w:val="22"/>
              </w:rPr>
              <w:t>0.058</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0.044</w:t>
            </w:r>
          </w:p>
        </w:tc>
        <w:tc>
          <w:tcPr>
            <w:tcW w:w="0" w:type="auto"/>
            <w:shd w:val="clear" w:color="auto" w:fill="FFFFFF"/>
            <w:hideMark/>
          </w:tcPr>
          <w:p w:rsidR="00E149E8" w:rsidRPr="00837E90" w:rsidRDefault="00E149E8" w:rsidP="00995CD8">
            <w:pPr>
              <w:spacing w:after="0" w:line="240" w:lineRule="auto"/>
              <w:jc w:val="right"/>
              <w:rPr>
                <w:sz w:val="24"/>
              </w:rPr>
            </w:pPr>
            <w:r w:rsidRPr="00837E90">
              <w:rPr>
                <w:rFonts w:ascii="Calibri" w:hAnsi="Calibri"/>
                <w:szCs w:val="22"/>
              </w:rPr>
              <w:t>0.05</w:t>
            </w:r>
            <w:r w:rsidR="00EF3A21" w:rsidRPr="00837E90">
              <w:rPr>
                <w:rFonts w:ascii="Calibri" w:hAnsi="Calibri"/>
                <w:szCs w:val="22"/>
              </w:rPr>
              <w:t>0</w:t>
            </w:r>
          </w:p>
        </w:tc>
      </w:tr>
      <w:tr w:rsidR="00F47DF7" w:rsidRPr="00837E90" w:rsidTr="00E149E8">
        <w:trPr>
          <w:tblCellSpacing w:w="0" w:type="dxa"/>
        </w:trPr>
        <w:tc>
          <w:tcPr>
            <w:tcW w:w="0" w:type="auto"/>
            <w:shd w:val="clear" w:color="auto" w:fill="FFFFFF"/>
          </w:tcPr>
          <w:p w:rsidR="00AD66B2" w:rsidRPr="00837E90" w:rsidRDefault="00AD66B2" w:rsidP="00995CD8">
            <w:pPr>
              <w:spacing w:after="0" w:line="240" w:lineRule="auto"/>
              <w:rPr>
                <w:rFonts w:ascii="Calibri" w:hAnsi="Calibri"/>
                <w:szCs w:val="22"/>
              </w:rPr>
            </w:pPr>
          </w:p>
        </w:tc>
        <w:tc>
          <w:tcPr>
            <w:tcW w:w="0" w:type="auto"/>
            <w:shd w:val="clear" w:color="auto" w:fill="FFFFFF"/>
          </w:tcPr>
          <w:p w:rsidR="00AD66B2" w:rsidRPr="00837E90" w:rsidRDefault="00AD66B2" w:rsidP="00995CD8">
            <w:pPr>
              <w:spacing w:after="0" w:line="240" w:lineRule="auto"/>
              <w:rPr>
                <w:rFonts w:ascii="Calibri" w:hAnsi="Calibri"/>
                <w:szCs w:val="22"/>
              </w:rPr>
            </w:pPr>
          </w:p>
        </w:tc>
        <w:tc>
          <w:tcPr>
            <w:tcW w:w="0" w:type="auto"/>
            <w:shd w:val="clear" w:color="auto" w:fill="FFFFFF"/>
          </w:tcPr>
          <w:p w:rsidR="00AD66B2" w:rsidRPr="00837E90" w:rsidRDefault="00AD66B2" w:rsidP="00995CD8">
            <w:pPr>
              <w:spacing w:after="0" w:line="240" w:lineRule="auto"/>
              <w:rPr>
                <w:rFonts w:ascii="Calibri" w:hAnsi="Calibri"/>
                <w:szCs w:val="22"/>
              </w:rPr>
            </w:pPr>
            <w:r w:rsidRPr="00837E90">
              <w:rPr>
                <w:rFonts w:ascii="Calibri" w:hAnsi="Calibri"/>
                <w:szCs w:val="22"/>
              </w:rPr>
              <w:t>Total</w:t>
            </w:r>
          </w:p>
        </w:tc>
        <w:tc>
          <w:tcPr>
            <w:tcW w:w="0" w:type="auto"/>
            <w:shd w:val="clear" w:color="auto" w:fill="FFFFFF"/>
          </w:tcPr>
          <w:p w:rsidR="00AD66B2" w:rsidRPr="00837E90" w:rsidRDefault="00AD66B2" w:rsidP="00995CD8">
            <w:pPr>
              <w:spacing w:after="0" w:line="240" w:lineRule="auto"/>
              <w:jc w:val="right"/>
              <w:rPr>
                <w:rFonts w:ascii="Calibri" w:hAnsi="Calibri"/>
                <w:szCs w:val="22"/>
              </w:rPr>
            </w:pPr>
            <w:r w:rsidRPr="00837E90">
              <w:rPr>
                <w:rFonts w:ascii="Calibri" w:hAnsi="Calibri"/>
                <w:szCs w:val="22"/>
              </w:rPr>
              <w:t>1</w:t>
            </w:r>
          </w:p>
        </w:tc>
        <w:tc>
          <w:tcPr>
            <w:tcW w:w="0" w:type="auto"/>
            <w:shd w:val="clear" w:color="auto" w:fill="FFFFFF"/>
          </w:tcPr>
          <w:p w:rsidR="00AD66B2" w:rsidRPr="00837E90" w:rsidRDefault="00AD66B2" w:rsidP="00E149E8">
            <w:pPr>
              <w:spacing w:after="0" w:line="240" w:lineRule="auto"/>
              <w:jc w:val="right"/>
              <w:rPr>
                <w:rFonts w:ascii="Calibri" w:hAnsi="Calibri"/>
                <w:szCs w:val="22"/>
              </w:rPr>
            </w:pPr>
            <w:r w:rsidRPr="00837E90">
              <w:rPr>
                <w:rFonts w:ascii="Calibri" w:hAnsi="Calibri"/>
                <w:szCs w:val="22"/>
              </w:rPr>
              <w:t>1</w:t>
            </w:r>
          </w:p>
        </w:tc>
        <w:tc>
          <w:tcPr>
            <w:tcW w:w="0" w:type="auto"/>
            <w:shd w:val="clear" w:color="auto" w:fill="FFFFFF"/>
          </w:tcPr>
          <w:p w:rsidR="00AD66B2" w:rsidRPr="00837E90" w:rsidRDefault="00AD66B2" w:rsidP="00995CD8">
            <w:pPr>
              <w:spacing w:after="0" w:line="240" w:lineRule="auto"/>
              <w:jc w:val="right"/>
              <w:rPr>
                <w:rFonts w:ascii="Calibri" w:hAnsi="Calibri"/>
                <w:szCs w:val="22"/>
              </w:rPr>
            </w:pPr>
            <w:r w:rsidRPr="00837E90">
              <w:rPr>
                <w:rFonts w:ascii="Calibri" w:hAnsi="Calibri"/>
                <w:szCs w:val="22"/>
              </w:rPr>
              <w:t>1</w:t>
            </w:r>
          </w:p>
        </w:tc>
        <w:tc>
          <w:tcPr>
            <w:tcW w:w="0" w:type="auto"/>
            <w:shd w:val="clear" w:color="auto" w:fill="FFFFFF"/>
          </w:tcPr>
          <w:p w:rsidR="00AD66B2" w:rsidRPr="00837E90" w:rsidRDefault="00AD66B2" w:rsidP="00995CD8">
            <w:pPr>
              <w:spacing w:after="0" w:line="240" w:lineRule="auto"/>
              <w:jc w:val="right"/>
              <w:rPr>
                <w:rFonts w:ascii="Calibri" w:hAnsi="Calibri"/>
                <w:szCs w:val="22"/>
              </w:rPr>
            </w:pPr>
            <w:r w:rsidRPr="00837E90">
              <w:rPr>
                <w:rFonts w:ascii="Calibri" w:hAnsi="Calibri"/>
                <w:szCs w:val="22"/>
              </w:rPr>
              <w:t>1</w:t>
            </w:r>
          </w:p>
        </w:tc>
      </w:tr>
    </w:tbl>
    <w:p w:rsidR="00D80D41" w:rsidRPr="00F47DF7" w:rsidRDefault="00D80D41" w:rsidP="00D80D41">
      <w:pPr>
        <w:pStyle w:val="Heading3"/>
        <w:rPr>
          <w:rFonts w:ascii="Times New Roman" w:hAnsi="Times New Roman"/>
          <w:color w:val="auto"/>
          <w:sz w:val="24"/>
          <w:szCs w:val="24"/>
        </w:rPr>
      </w:pPr>
      <w:bookmarkStart w:id="10" w:name="_Toc449605618"/>
      <w:r w:rsidRPr="00F47DF7">
        <w:rPr>
          <w:rFonts w:ascii="Times New Roman" w:hAnsi="Times New Roman"/>
          <w:color w:val="auto"/>
          <w:sz w:val="24"/>
          <w:szCs w:val="24"/>
        </w:rPr>
        <w:t>f. Appliance and Burn Ban Adjustments</w:t>
      </w:r>
      <w:bookmarkEnd w:id="10"/>
    </w:p>
    <w:p w:rsidR="00D80D41" w:rsidRPr="00F47DF7" w:rsidRDefault="00D80D41" w:rsidP="00D80D41">
      <w:pPr>
        <w:pStyle w:val="BodyText"/>
        <w:rPr>
          <w:sz w:val="24"/>
        </w:rPr>
      </w:pPr>
      <w:r w:rsidRPr="00F47DF7">
        <w:rPr>
          <w:sz w:val="24"/>
        </w:rPr>
        <w:t>The RWC tool also allows users to make adjustments to specific SCCs in specific counties to account for appliance or burn bans. Users can update the table “Appliance or Burn Bans” with additional SCCs and counties where the emissions should be adjusted. The calculated throughput and emissions for that SCC and county will be multiplied by the value in the “Adjustment Factor” column. If, for example, a particular county has banned OHHs, then add the county FIPS code and the correct SCC (2104008610 for OHHs</w:t>
      </w:r>
      <w:proofErr w:type="gramStart"/>
      <w:r w:rsidRPr="00F47DF7">
        <w:rPr>
          <w:sz w:val="24"/>
        </w:rPr>
        <w:t>), and</w:t>
      </w:r>
      <w:proofErr w:type="gramEnd"/>
      <w:r w:rsidRPr="00F47DF7">
        <w:rPr>
          <w:sz w:val="24"/>
        </w:rPr>
        <w:t xml:space="preserve"> set the adjustment factor to 0. This will zero out the throughput and emissions for OHHs in that county.</w:t>
      </w:r>
    </w:p>
    <w:p w:rsidR="00D80D41" w:rsidRPr="00F47DF7" w:rsidRDefault="00D80D41" w:rsidP="00D80D41">
      <w:pPr>
        <w:pStyle w:val="BodyText"/>
        <w:rPr>
          <w:sz w:val="24"/>
        </w:rPr>
      </w:pPr>
      <w:r w:rsidRPr="00F47DF7">
        <w:rPr>
          <w:sz w:val="24"/>
        </w:rPr>
        <w:t xml:space="preserve">If a county has instituted a burn ban that is expected to reduce burning by 50%, the adjustment factor could be set to 0.5. This would reduce the calculated throughput and emissions for </w:t>
      </w:r>
      <w:r w:rsidR="00B03150" w:rsidRPr="00F47DF7">
        <w:rPr>
          <w:sz w:val="24"/>
        </w:rPr>
        <w:t>the listed SCC by 50%.</w:t>
      </w:r>
    </w:p>
    <w:p w:rsidR="00D80D41" w:rsidRPr="00F47DF7" w:rsidRDefault="00D80D41" w:rsidP="00D80D41">
      <w:pPr>
        <w:pStyle w:val="BodyText"/>
        <w:rPr>
          <w:sz w:val="24"/>
        </w:rPr>
      </w:pPr>
    </w:p>
    <w:p w:rsidR="00464D17" w:rsidRPr="00F47DF7" w:rsidRDefault="00464D17" w:rsidP="007E0F46">
      <w:pPr>
        <w:pStyle w:val="Heading2"/>
        <w:numPr>
          <w:ilvl w:val="0"/>
          <w:numId w:val="0"/>
        </w:numPr>
        <w:tabs>
          <w:tab w:val="num" w:pos="720"/>
        </w:tabs>
        <w:ind w:left="720" w:hanging="720"/>
        <w:rPr>
          <w:rFonts w:ascii="Times New Roman" w:hAnsi="Times New Roman" w:cs="Times New Roman"/>
          <w:color w:val="auto"/>
          <w:sz w:val="24"/>
          <w:szCs w:val="24"/>
        </w:rPr>
      </w:pPr>
      <w:bookmarkStart w:id="11" w:name="_Toc449605619"/>
      <w:r w:rsidRPr="00F47DF7">
        <w:rPr>
          <w:rFonts w:ascii="Times New Roman" w:hAnsi="Times New Roman" w:cs="Times New Roman"/>
          <w:color w:val="auto"/>
          <w:sz w:val="24"/>
          <w:szCs w:val="24"/>
        </w:rPr>
        <w:t>2.</w:t>
      </w:r>
      <w:r w:rsidR="007E0F46" w:rsidRPr="00F47DF7">
        <w:rPr>
          <w:rFonts w:ascii="Times New Roman" w:hAnsi="Times New Roman" w:cs="Times New Roman"/>
          <w:color w:val="auto"/>
          <w:sz w:val="24"/>
          <w:szCs w:val="24"/>
        </w:rPr>
        <w:t xml:space="preserve"> </w:t>
      </w:r>
      <w:r w:rsidRPr="00F47DF7">
        <w:rPr>
          <w:rFonts w:ascii="Times New Roman" w:hAnsi="Times New Roman" w:cs="Times New Roman"/>
          <w:color w:val="auto"/>
          <w:sz w:val="24"/>
          <w:szCs w:val="24"/>
        </w:rPr>
        <w:t>E</w:t>
      </w:r>
      <w:r w:rsidR="000A72CC" w:rsidRPr="00F47DF7">
        <w:rPr>
          <w:rFonts w:ascii="Times New Roman" w:hAnsi="Times New Roman" w:cs="Times New Roman"/>
          <w:color w:val="auto"/>
          <w:sz w:val="24"/>
          <w:szCs w:val="24"/>
        </w:rPr>
        <w:t>mission Factors</w:t>
      </w:r>
      <w:bookmarkEnd w:id="11"/>
    </w:p>
    <w:p w:rsidR="00D34C5A" w:rsidRPr="00F47DF7" w:rsidRDefault="00464D17" w:rsidP="00D34C5A">
      <w:pPr>
        <w:rPr>
          <w:sz w:val="24"/>
        </w:rPr>
      </w:pPr>
      <w:r w:rsidRPr="00F47DF7">
        <w:rPr>
          <w:sz w:val="24"/>
        </w:rPr>
        <w:t>The emission factors used are expressed as tons of pollutant produced for every ton of wood burned.</w:t>
      </w:r>
      <w:r w:rsidR="00AD66B2" w:rsidRPr="00F47DF7">
        <w:rPr>
          <w:sz w:val="24"/>
        </w:rPr>
        <w:t xml:space="preserve"> </w:t>
      </w:r>
      <w:r w:rsidR="00EF3B9E" w:rsidRPr="00F47DF7">
        <w:rPr>
          <w:sz w:val="24"/>
        </w:rPr>
        <w:t xml:space="preserve">The emission factors </w:t>
      </w:r>
      <w:r w:rsidR="001F6FA7" w:rsidRPr="00F47DF7">
        <w:rPr>
          <w:sz w:val="24"/>
        </w:rPr>
        <w:t xml:space="preserve">were </w:t>
      </w:r>
      <w:r w:rsidR="00E83F89" w:rsidRPr="00F47DF7">
        <w:rPr>
          <w:sz w:val="24"/>
        </w:rPr>
        <w:t xml:space="preserve">last </w:t>
      </w:r>
      <w:r w:rsidR="001F6FA7" w:rsidRPr="00F47DF7">
        <w:rPr>
          <w:sz w:val="24"/>
        </w:rPr>
        <w:t xml:space="preserve">reviewed </w:t>
      </w:r>
      <w:r w:rsidR="00E83F89" w:rsidRPr="00F47DF7">
        <w:rPr>
          <w:sz w:val="24"/>
        </w:rPr>
        <w:t xml:space="preserve">for the 2011 NEI </w:t>
      </w:r>
      <w:r w:rsidR="001F6FA7" w:rsidRPr="00F47DF7">
        <w:rPr>
          <w:sz w:val="24"/>
        </w:rPr>
        <w:t xml:space="preserve">by the </w:t>
      </w:r>
      <w:r w:rsidR="00782315" w:rsidRPr="00F47DF7">
        <w:rPr>
          <w:sz w:val="24"/>
        </w:rPr>
        <w:t>ERTAC committee</w:t>
      </w:r>
      <w:r w:rsidR="00E83F89" w:rsidRPr="00F47DF7">
        <w:rPr>
          <w:sz w:val="24"/>
        </w:rPr>
        <w:t>.</w:t>
      </w:r>
      <w:r w:rsidR="00782315" w:rsidRPr="00F47DF7">
        <w:rPr>
          <w:sz w:val="24"/>
        </w:rPr>
        <w:t xml:space="preserve"> </w:t>
      </w:r>
      <w:r w:rsidR="00995CD8" w:rsidRPr="00F47DF7">
        <w:rPr>
          <w:sz w:val="24"/>
        </w:rPr>
        <w:t>The emission factors are show</w:t>
      </w:r>
      <w:r w:rsidR="00E30B0F" w:rsidRPr="00F47DF7">
        <w:rPr>
          <w:sz w:val="24"/>
        </w:rPr>
        <w:t>n</w:t>
      </w:r>
      <w:r w:rsidR="00995CD8" w:rsidRPr="00F47DF7">
        <w:rPr>
          <w:sz w:val="24"/>
        </w:rPr>
        <w:t xml:space="preserve"> in the Appendix.</w:t>
      </w:r>
    </w:p>
    <w:p w:rsidR="00D34C5A" w:rsidRPr="00F47DF7" w:rsidRDefault="00D34C5A" w:rsidP="00D34C5A">
      <w:pPr>
        <w:rPr>
          <w:sz w:val="24"/>
        </w:rPr>
      </w:pPr>
      <w:r w:rsidRPr="00F47DF7">
        <w:rPr>
          <w:sz w:val="24"/>
        </w:rPr>
        <w:t xml:space="preserve">The references for the emission factors are listed in the references section. Many </w:t>
      </w:r>
      <w:r w:rsidRPr="00F47DF7">
        <w:rPr>
          <w:sz w:val="24"/>
          <w:lang w:val="x-none"/>
        </w:rPr>
        <w:t xml:space="preserve">of the emission factors used to determine national emission estimates for RWC </w:t>
      </w:r>
      <w:r w:rsidR="004D36AA" w:rsidRPr="00F47DF7">
        <w:rPr>
          <w:sz w:val="24"/>
        </w:rPr>
        <w:t xml:space="preserve">are </w:t>
      </w:r>
      <w:r w:rsidRPr="00F47DF7">
        <w:rPr>
          <w:sz w:val="24"/>
          <w:lang w:val="x-none"/>
        </w:rPr>
        <w:t>from</w:t>
      </w:r>
      <w:r w:rsidRPr="00F47DF7">
        <w:rPr>
          <w:sz w:val="24"/>
        </w:rPr>
        <w:t xml:space="preserve"> </w:t>
      </w:r>
      <w:r w:rsidRPr="00F47DF7">
        <w:rPr>
          <w:sz w:val="24"/>
          <w:lang w:val="x-none"/>
        </w:rPr>
        <w:t>EPA’s AP-42 document (Tables 1.9-1, 1.10-3, and 1.10-4).</w:t>
      </w:r>
      <w:r w:rsidRPr="00F47DF7">
        <w:rPr>
          <w:sz w:val="24"/>
        </w:rPr>
        <w:t xml:space="preserve"> </w:t>
      </w:r>
      <w:r w:rsidRPr="00F47DF7">
        <w:rPr>
          <w:sz w:val="24"/>
          <w:lang w:val="x-none"/>
        </w:rPr>
        <w:t>Some of the stove and insert factors were adjusted</w:t>
      </w:r>
      <w:r w:rsidRPr="00F47DF7">
        <w:rPr>
          <w:sz w:val="24"/>
        </w:rPr>
        <w:t xml:space="preserve"> </w:t>
      </w:r>
      <w:r w:rsidRPr="00F47DF7">
        <w:rPr>
          <w:sz w:val="24"/>
          <w:lang w:val="x-none"/>
        </w:rPr>
        <w:t xml:space="preserve">based on new data developed in the reference </w:t>
      </w:r>
      <w:r w:rsidRPr="00F47DF7">
        <w:rPr>
          <w:i/>
          <w:sz w:val="24"/>
          <w:lang w:val="x-none"/>
        </w:rPr>
        <w:t>Review of Wood Heater and Fireplace Emission Factors</w:t>
      </w:r>
      <w:r w:rsidRPr="00F47DF7">
        <w:rPr>
          <w:i/>
          <w:sz w:val="24"/>
        </w:rPr>
        <w:t xml:space="preserve"> </w:t>
      </w:r>
      <w:r w:rsidRPr="00F47DF7">
        <w:rPr>
          <w:sz w:val="24"/>
        </w:rPr>
        <w:t>(Houck et al. 2001)</w:t>
      </w:r>
      <w:r w:rsidRPr="00F47DF7">
        <w:rPr>
          <w:i/>
          <w:sz w:val="24"/>
          <w:lang w:val="x-none"/>
        </w:rPr>
        <w:t>.</w:t>
      </w:r>
      <w:r w:rsidRPr="00F47DF7">
        <w:rPr>
          <w:i/>
          <w:sz w:val="24"/>
        </w:rPr>
        <w:t xml:space="preserve"> </w:t>
      </w:r>
      <w:r w:rsidRPr="00F47DF7">
        <w:rPr>
          <w:sz w:val="24"/>
          <w:lang w:val="x-none"/>
        </w:rPr>
        <w:t>The</w:t>
      </w:r>
      <w:r w:rsidRPr="00F47DF7">
        <w:rPr>
          <w:sz w:val="24"/>
        </w:rPr>
        <w:t xml:space="preserve"> </w:t>
      </w:r>
      <w:r w:rsidRPr="00F47DF7">
        <w:rPr>
          <w:sz w:val="24"/>
          <w:lang w:val="x-none"/>
        </w:rPr>
        <w:t>emission factors generated by Houck, et. al.</w:t>
      </w:r>
      <w:r w:rsidRPr="00F47DF7">
        <w:rPr>
          <w:sz w:val="24"/>
        </w:rPr>
        <w:t xml:space="preserve"> </w:t>
      </w:r>
      <w:r w:rsidRPr="00F47DF7">
        <w:rPr>
          <w:sz w:val="24"/>
          <w:lang w:val="x-none"/>
        </w:rPr>
        <w:t xml:space="preserve">for 7-PAH and 16-PAH </w:t>
      </w:r>
      <w:proofErr w:type="spellStart"/>
      <w:r w:rsidRPr="00F47DF7">
        <w:rPr>
          <w:sz w:val="24"/>
        </w:rPr>
        <w:t>a</w:t>
      </w:r>
      <w:r w:rsidRPr="00F47DF7">
        <w:rPr>
          <w:sz w:val="24"/>
          <w:lang w:val="x-none"/>
        </w:rPr>
        <w:t>re</w:t>
      </w:r>
      <w:proofErr w:type="spellEnd"/>
      <w:r w:rsidRPr="00F47DF7">
        <w:rPr>
          <w:sz w:val="24"/>
          <w:lang w:val="x-none"/>
        </w:rPr>
        <w:t xml:space="preserve"> lower than the associated AP-42</w:t>
      </w:r>
      <w:r w:rsidRPr="00F47DF7">
        <w:rPr>
          <w:sz w:val="24"/>
        </w:rPr>
        <w:t xml:space="preserve"> </w:t>
      </w:r>
      <w:r w:rsidRPr="00F47DF7">
        <w:rPr>
          <w:sz w:val="24"/>
          <w:lang w:val="x-none"/>
        </w:rPr>
        <w:t>emission factors. Therefore, the AP-42 PAH emission factors were adjusted downward by 62% for conventional</w:t>
      </w:r>
      <w:r w:rsidRPr="00F47DF7">
        <w:rPr>
          <w:sz w:val="24"/>
        </w:rPr>
        <w:t xml:space="preserve"> </w:t>
      </w:r>
      <w:r w:rsidRPr="00F47DF7">
        <w:rPr>
          <w:sz w:val="24"/>
          <w:lang w:val="x-none"/>
        </w:rPr>
        <w:t xml:space="preserve">woodstoves, 51% for catalytic woodstoves, and 40% for non-catalytic woodstoves. </w:t>
      </w:r>
    </w:p>
    <w:p w:rsidR="008226F1" w:rsidRPr="00F47DF7" w:rsidRDefault="008226F1" w:rsidP="008226F1">
      <w:pPr>
        <w:autoSpaceDE w:val="0"/>
        <w:autoSpaceDN w:val="0"/>
        <w:adjustRightInd w:val="0"/>
        <w:snapToGrid w:val="0"/>
        <w:rPr>
          <w:sz w:val="24"/>
        </w:rPr>
      </w:pPr>
      <w:r w:rsidRPr="00F47DF7">
        <w:rPr>
          <w:sz w:val="24"/>
        </w:rPr>
        <w:t>In</w:t>
      </w:r>
      <w:r w:rsidR="00761A8D" w:rsidRPr="00F47DF7">
        <w:rPr>
          <w:sz w:val="24"/>
        </w:rPr>
        <w:t xml:space="preserve"> version 3.0 the volatile organic compounds (VOC) emission factor for pellet stoves</w:t>
      </w:r>
      <w:r w:rsidRPr="00F47DF7">
        <w:rPr>
          <w:sz w:val="24"/>
        </w:rPr>
        <w:t xml:space="preserve"> was updated</w:t>
      </w:r>
      <w:r w:rsidR="00761A8D" w:rsidRPr="00F47DF7">
        <w:rPr>
          <w:sz w:val="24"/>
        </w:rPr>
        <w:t>. Based on a review of the literature, the previous VOC emission factor used in the RWC tool, 0.041 lb./ton of wood, was deemed to be too low, given that it is much lower than emission factors for individual hazardous air pollutant (HAP) VOC compounds as reported in the literature. The pellet stove VOC emission factor was updated based on the ratio of the sum of the HAP-VOC emission factors to the VOC emission factor for EPA certified non-catalytic woodstoves. This ratio is multiplied by the sum of the HAP-VOC emission factors for pellet stoves to estimate the VOC emission factor for pellet stoves, of 2.2 lb./ton of wood.</w:t>
      </w:r>
    </w:p>
    <w:p w:rsidR="00782315" w:rsidRPr="00F47DF7" w:rsidRDefault="008226F1" w:rsidP="00853479">
      <w:pPr>
        <w:spacing w:after="240" w:line="264" w:lineRule="auto"/>
        <w:rPr>
          <w:sz w:val="24"/>
        </w:rPr>
      </w:pPr>
      <w:r w:rsidRPr="00F47DF7">
        <w:rPr>
          <w:sz w:val="24"/>
        </w:rPr>
        <w:lastRenderedPageBreak/>
        <w:t xml:space="preserve">In version 3.1 of the tool, there were changes made to all emission factors for EPA-certified non-catalytic and catalytic wood stoves and fireplace inserts to account for an increase in appliances that meet emissions standards from EPA and Washington state. </w:t>
      </w:r>
    </w:p>
    <w:p w:rsidR="008226F1" w:rsidRPr="00F47DF7" w:rsidRDefault="008226F1" w:rsidP="008226F1">
      <w:pPr>
        <w:pStyle w:val="BodyText"/>
        <w:rPr>
          <w:sz w:val="24"/>
        </w:rPr>
      </w:pPr>
      <w:r w:rsidRPr="00F47DF7">
        <w:rPr>
          <w:sz w:val="24"/>
        </w:rPr>
        <w:t>The particulate matter (PM</w:t>
      </w:r>
      <w:r w:rsidRPr="00F47DF7">
        <w:rPr>
          <w:sz w:val="24"/>
          <w:vertAlign w:val="subscript"/>
        </w:rPr>
        <w:t>10</w:t>
      </w:r>
      <w:r w:rsidRPr="00F47DF7">
        <w:rPr>
          <w:sz w:val="24"/>
        </w:rPr>
        <w:t>) EFs in the most recent version of the Residential Wood Combustion (RWC) Tool (v3.0) are based on an average of the Phase I and Phase II EFs from the 1988 New Source Performance Standards (NSPS) included in AP-42 (</w:t>
      </w:r>
      <w:r w:rsidRPr="00F47DF7">
        <w:rPr>
          <w:sz w:val="24"/>
        </w:rPr>
        <w:fldChar w:fldCharType="begin"/>
      </w:r>
      <w:r w:rsidRPr="00F47DF7">
        <w:rPr>
          <w:sz w:val="24"/>
        </w:rPr>
        <w:instrText xml:space="preserve"> REF _Ref464049301 \h </w:instrText>
      </w:r>
      <w:r w:rsidRPr="00F47DF7">
        <w:rPr>
          <w:sz w:val="24"/>
        </w:rPr>
      </w:r>
      <w:r w:rsidR="00837E90" w:rsidRPr="00F47DF7">
        <w:rPr>
          <w:sz w:val="24"/>
        </w:rPr>
        <w:instrText xml:space="preserve"> \* MERGEFORMAT </w:instrText>
      </w:r>
      <w:r w:rsidRPr="00F47DF7">
        <w:rPr>
          <w:sz w:val="24"/>
        </w:rPr>
        <w:fldChar w:fldCharType="separate"/>
      </w:r>
      <w:r w:rsidR="00975A86" w:rsidRPr="00F47DF7">
        <w:rPr>
          <w:sz w:val="24"/>
        </w:rPr>
        <w:t xml:space="preserve">Table </w:t>
      </w:r>
      <w:r w:rsidR="00975A86" w:rsidRPr="00F47DF7">
        <w:rPr>
          <w:noProof/>
          <w:sz w:val="24"/>
        </w:rPr>
        <w:t>4</w:t>
      </w:r>
      <w:r w:rsidRPr="00F47DF7">
        <w:rPr>
          <w:sz w:val="24"/>
        </w:rPr>
        <w:fldChar w:fldCharType="end"/>
      </w:r>
      <w:r w:rsidRPr="00F47DF7">
        <w:rPr>
          <w:sz w:val="24"/>
        </w:rPr>
        <w:t xml:space="preserve">). </w:t>
      </w:r>
    </w:p>
    <w:p w:rsidR="008226F1" w:rsidRPr="00F47DF7" w:rsidRDefault="008226F1" w:rsidP="008226F1">
      <w:pPr>
        <w:pStyle w:val="BodyText"/>
        <w:rPr>
          <w:sz w:val="24"/>
        </w:rPr>
      </w:pPr>
      <w:r w:rsidRPr="00F47DF7">
        <w:rPr>
          <w:sz w:val="24"/>
        </w:rPr>
        <w:t xml:space="preserve">While EPA did not update the federal NSPS until 2015, the Regulatory Impact Analysis (RIA) for the 2015 NSPS notes that the state of Washington introduced more stringent emissions standards for woodstoves in 1995. These standards result in approximately 40 percent less emissions than the Phase II EPA NSPS. </w:t>
      </w:r>
    </w:p>
    <w:p w:rsidR="008226F1" w:rsidRPr="00F47DF7" w:rsidRDefault="008226F1" w:rsidP="008226F1">
      <w:pPr>
        <w:pStyle w:val="Caption"/>
        <w:keepNext/>
        <w:jc w:val="center"/>
        <w:rPr>
          <w:b w:val="0"/>
          <w:sz w:val="24"/>
          <w:szCs w:val="24"/>
        </w:rPr>
      </w:pPr>
      <w:bookmarkStart w:id="12" w:name="_Ref464049301"/>
      <w:r w:rsidRPr="00F47DF7">
        <w:rPr>
          <w:sz w:val="24"/>
          <w:szCs w:val="24"/>
        </w:rPr>
        <w:t xml:space="preserve">Table </w:t>
      </w:r>
      <w:r w:rsidRPr="00F47DF7">
        <w:rPr>
          <w:sz w:val="24"/>
          <w:szCs w:val="24"/>
        </w:rPr>
        <w:fldChar w:fldCharType="begin"/>
      </w:r>
      <w:r w:rsidRPr="00F47DF7">
        <w:rPr>
          <w:sz w:val="24"/>
          <w:szCs w:val="24"/>
        </w:rPr>
        <w:instrText xml:space="preserve"> SEQ Table \* ARABIC </w:instrText>
      </w:r>
      <w:r w:rsidRPr="00F47DF7">
        <w:rPr>
          <w:sz w:val="24"/>
          <w:szCs w:val="24"/>
        </w:rPr>
        <w:fldChar w:fldCharType="separate"/>
      </w:r>
      <w:r w:rsidR="00975A86" w:rsidRPr="00F47DF7">
        <w:rPr>
          <w:noProof/>
          <w:sz w:val="24"/>
          <w:szCs w:val="24"/>
        </w:rPr>
        <w:t>4</w:t>
      </w:r>
      <w:r w:rsidRPr="00F47DF7">
        <w:rPr>
          <w:sz w:val="24"/>
          <w:szCs w:val="24"/>
        </w:rPr>
        <w:fldChar w:fldCharType="end"/>
      </w:r>
      <w:bookmarkEnd w:id="12"/>
      <w:r w:rsidRPr="00F47DF7">
        <w:rPr>
          <w:sz w:val="24"/>
          <w:szCs w:val="24"/>
        </w:rPr>
        <w:t xml:space="preserve">. </w:t>
      </w:r>
      <w:r w:rsidRPr="00F47DF7">
        <w:rPr>
          <w:b w:val="0"/>
          <w:sz w:val="24"/>
          <w:szCs w:val="24"/>
        </w:rPr>
        <w:t>Particulate Matter (PM</w:t>
      </w:r>
      <w:r w:rsidRPr="00F47DF7">
        <w:rPr>
          <w:b w:val="0"/>
          <w:sz w:val="24"/>
          <w:szCs w:val="24"/>
          <w:vertAlign w:val="subscript"/>
        </w:rPr>
        <w:t>10</w:t>
      </w:r>
      <w:r w:rsidRPr="00F47DF7">
        <w:rPr>
          <w:b w:val="0"/>
          <w:sz w:val="24"/>
          <w:szCs w:val="24"/>
        </w:rPr>
        <w:t>) Woodstove Standards and Emission Factors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1335"/>
        <w:gridCol w:w="1335"/>
        <w:gridCol w:w="1095"/>
        <w:gridCol w:w="1536"/>
      </w:tblGrid>
      <w:tr w:rsidR="00F47DF7" w:rsidRPr="00837E90" w:rsidTr="000E1284">
        <w:trPr>
          <w:jc w:val="center"/>
        </w:trPr>
        <w:tc>
          <w:tcPr>
            <w:tcW w:w="1852" w:type="dxa"/>
            <w:tcBorders>
              <w:top w:val="nil"/>
              <w:left w:val="nil"/>
              <w:bottom w:val="single" w:sz="4" w:space="0" w:color="auto"/>
              <w:right w:val="nil"/>
            </w:tcBorders>
            <w:shd w:val="clear" w:color="auto" w:fill="auto"/>
          </w:tcPr>
          <w:p w:rsidR="008226F1" w:rsidRPr="00837E90" w:rsidRDefault="008226F1" w:rsidP="008226F1">
            <w:pPr>
              <w:rPr>
                <w:rFonts w:ascii="Arial Narrow" w:hAnsi="Arial Narrow"/>
              </w:rPr>
            </w:pPr>
          </w:p>
        </w:tc>
        <w:tc>
          <w:tcPr>
            <w:tcW w:w="1335" w:type="dxa"/>
            <w:tcBorders>
              <w:top w:val="nil"/>
              <w:left w:val="nil"/>
              <w:bottom w:val="single" w:sz="4" w:space="0" w:color="auto"/>
              <w:right w:val="nil"/>
            </w:tcBorders>
            <w:shd w:val="clear" w:color="auto" w:fill="auto"/>
          </w:tcPr>
          <w:p w:rsidR="008226F1" w:rsidRPr="00837E90" w:rsidRDefault="008226F1" w:rsidP="000E1284">
            <w:pPr>
              <w:jc w:val="center"/>
              <w:rPr>
                <w:rFonts w:ascii="Arial Narrow" w:hAnsi="Arial Narrow"/>
              </w:rPr>
            </w:pPr>
          </w:p>
        </w:tc>
        <w:tc>
          <w:tcPr>
            <w:tcW w:w="1335" w:type="dxa"/>
            <w:tcBorders>
              <w:top w:val="nil"/>
              <w:left w:val="nil"/>
              <w:bottom w:val="single" w:sz="4" w:space="0" w:color="auto"/>
              <w:right w:val="single" w:sz="4" w:space="0" w:color="auto"/>
            </w:tcBorders>
            <w:shd w:val="clear" w:color="auto" w:fill="auto"/>
          </w:tcPr>
          <w:p w:rsidR="008226F1" w:rsidRPr="00837E90" w:rsidRDefault="008226F1" w:rsidP="000E1284">
            <w:pPr>
              <w:jc w:val="center"/>
              <w:rPr>
                <w:rFonts w:ascii="Arial Narrow" w:hAnsi="Arial Narrow"/>
              </w:rPr>
            </w:pPr>
          </w:p>
        </w:tc>
        <w:tc>
          <w:tcPr>
            <w:tcW w:w="2631" w:type="dxa"/>
            <w:gridSpan w:val="2"/>
            <w:tcBorders>
              <w:left w:val="single" w:sz="4" w:space="0" w:color="auto"/>
            </w:tcBorders>
            <w:shd w:val="clear" w:color="auto" w:fill="C4BC96"/>
          </w:tcPr>
          <w:p w:rsidR="008226F1" w:rsidRPr="00837E90" w:rsidRDefault="008226F1" w:rsidP="000E1284">
            <w:pPr>
              <w:jc w:val="center"/>
              <w:rPr>
                <w:rFonts w:ascii="Arial Narrow" w:hAnsi="Arial Narrow"/>
                <w:b/>
              </w:rPr>
            </w:pPr>
            <w:r w:rsidRPr="00837E90">
              <w:rPr>
                <w:rFonts w:ascii="Arial Narrow" w:hAnsi="Arial Narrow"/>
                <w:b/>
              </w:rPr>
              <w:t xml:space="preserve"> PM</w:t>
            </w:r>
            <w:r w:rsidRPr="00837E90">
              <w:rPr>
                <w:rFonts w:ascii="Arial Narrow" w:hAnsi="Arial Narrow"/>
                <w:b/>
                <w:vertAlign w:val="subscript"/>
              </w:rPr>
              <w:t>10</w:t>
            </w:r>
            <w:r w:rsidRPr="00837E90">
              <w:rPr>
                <w:rFonts w:ascii="Arial Narrow" w:hAnsi="Arial Narrow"/>
                <w:b/>
              </w:rPr>
              <w:t xml:space="preserve"> EF (lb/ton)</w:t>
            </w:r>
          </w:p>
        </w:tc>
      </w:tr>
      <w:tr w:rsidR="00F47DF7" w:rsidRPr="00837E90" w:rsidTr="000E1284">
        <w:trPr>
          <w:jc w:val="center"/>
        </w:trPr>
        <w:tc>
          <w:tcPr>
            <w:tcW w:w="1852" w:type="dxa"/>
            <w:tcBorders>
              <w:top w:val="single" w:sz="4" w:space="0" w:color="auto"/>
            </w:tcBorders>
            <w:shd w:val="clear" w:color="auto" w:fill="C4BC96"/>
          </w:tcPr>
          <w:p w:rsidR="008226F1" w:rsidRPr="00837E90" w:rsidRDefault="008226F1" w:rsidP="000E1284">
            <w:pPr>
              <w:jc w:val="center"/>
              <w:rPr>
                <w:rFonts w:ascii="Arial Narrow" w:hAnsi="Arial Narrow"/>
                <w:b/>
              </w:rPr>
            </w:pPr>
            <w:r w:rsidRPr="00837E90">
              <w:rPr>
                <w:rFonts w:ascii="Arial Narrow" w:hAnsi="Arial Narrow"/>
                <w:b/>
              </w:rPr>
              <w:t>Standard</w:t>
            </w:r>
          </w:p>
        </w:tc>
        <w:tc>
          <w:tcPr>
            <w:tcW w:w="1335" w:type="dxa"/>
            <w:tcBorders>
              <w:top w:val="single" w:sz="4" w:space="0" w:color="auto"/>
            </w:tcBorders>
            <w:shd w:val="clear" w:color="auto" w:fill="C4BC96"/>
          </w:tcPr>
          <w:p w:rsidR="008226F1" w:rsidRPr="00837E90" w:rsidRDefault="008226F1" w:rsidP="000E1284">
            <w:pPr>
              <w:jc w:val="center"/>
              <w:rPr>
                <w:rFonts w:ascii="Arial Narrow" w:hAnsi="Arial Narrow"/>
                <w:b/>
              </w:rPr>
            </w:pPr>
            <w:r w:rsidRPr="00837E90">
              <w:rPr>
                <w:rFonts w:ascii="Arial Narrow" w:hAnsi="Arial Narrow"/>
                <w:b/>
              </w:rPr>
              <w:t>Source</w:t>
            </w:r>
          </w:p>
        </w:tc>
        <w:tc>
          <w:tcPr>
            <w:tcW w:w="1335" w:type="dxa"/>
            <w:tcBorders>
              <w:top w:val="single" w:sz="4" w:space="0" w:color="auto"/>
            </w:tcBorders>
            <w:shd w:val="clear" w:color="auto" w:fill="C4BC96"/>
          </w:tcPr>
          <w:p w:rsidR="008226F1" w:rsidRPr="00837E90" w:rsidRDefault="008226F1" w:rsidP="000E1284">
            <w:pPr>
              <w:jc w:val="center"/>
              <w:rPr>
                <w:rFonts w:ascii="Arial Narrow" w:hAnsi="Arial Narrow"/>
                <w:b/>
              </w:rPr>
            </w:pPr>
            <w:r w:rsidRPr="00837E90">
              <w:rPr>
                <w:rFonts w:ascii="Arial Narrow" w:hAnsi="Arial Narrow"/>
                <w:b/>
              </w:rPr>
              <w:t>Years</w:t>
            </w:r>
          </w:p>
        </w:tc>
        <w:tc>
          <w:tcPr>
            <w:tcW w:w="1095" w:type="dxa"/>
            <w:shd w:val="clear" w:color="auto" w:fill="C4BC96"/>
          </w:tcPr>
          <w:p w:rsidR="008226F1" w:rsidRPr="00837E90" w:rsidRDefault="008226F1" w:rsidP="000E1284">
            <w:pPr>
              <w:jc w:val="center"/>
              <w:rPr>
                <w:rFonts w:ascii="Arial Narrow" w:hAnsi="Arial Narrow"/>
                <w:b/>
              </w:rPr>
            </w:pPr>
            <w:r w:rsidRPr="00837E90">
              <w:rPr>
                <w:rFonts w:ascii="Arial Narrow" w:hAnsi="Arial Narrow"/>
                <w:b/>
              </w:rPr>
              <w:t>Catalytic</w:t>
            </w:r>
          </w:p>
        </w:tc>
        <w:tc>
          <w:tcPr>
            <w:tcW w:w="1536" w:type="dxa"/>
            <w:shd w:val="clear" w:color="auto" w:fill="C4BC96"/>
          </w:tcPr>
          <w:p w:rsidR="008226F1" w:rsidRPr="00837E90" w:rsidRDefault="008226F1" w:rsidP="000E1284">
            <w:pPr>
              <w:jc w:val="center"/>
              <w:rPr>
                <w:rFonts w:ascii="Arial Narrow" w:hAnsi="Arial Narrow"/>
                <w:b/>
              </w:rPr>
            </w:pPr>
            <w:r w:rsidRPr="00837E90">
              <w:rPr>
                <w:rFonts w:ascii="Arial Narrow" w:hAnsi="Arial Narrow"/>
                <w:b/>
              </w:rPr>
              <w:t>Non-Catalytic</w:t>
            </w:r>
          </w:p>
        </w:tc>
      </w:tr>
      <w:tr w:rsidR="00F47DF7" w:rsidRPr="00837E90" w:rsidTr="000E1284">
        <w:trPr>
          <w:jc w:val="center"/>
        </w:trPr>
        <w:tc>
          <w:tcPr>
            <w:tcW w:w="1852"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’88 NSPS Phase I</w:t>
            </w:r>
          </w:p>
        </w:tc>
        <w:tc>
          <w:tcPr>
            <w:tcW w:w="1335"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AP-42</w:t>
            </w:r>
          </w:p>
        </w:tc>
        <w:tc>
          <w:tcPr>
            <w:tcW w:w="1335"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1988-1990</w:t>
            </w:r>
          </w:p>
        </w:tc>
        <w:tc>
          <w:tcPr>
            <w:tcW w:w="1095"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19.6</w:t>
            </w:r>
          </w:p>
        </w:tc>
        <w:tc>
          <w:tcPr>
            <w:tcW w:w="1536"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20.0</w:t>
            </w:r>
          </w:p>
        </w:tc>
      </w:tr>
      <w:tr w:rsidR="00F47DF7" w:rsidRPr="00837E90" w:rsidTr="000E1284">
        <w:trPr>
          <w:jc w:val="center"/>
        </w:trPr>
        <w:tc>
          <w:tcPr>
            <w:tcW w:w="1852" w:type="dxa"/>
            <w:shd w:val="clear" w:color="auto" w:fill="F2F2F2"/>
          </w:tcPr>
          <w:p w:rsidR="008226F1" w:rsidRPr="00837E90" w:rsidRDefault="008226F1" w:rsidP="000E1284">
            <w:pPr>
              <w:jc w:val="center"/>
              <w:rPr>
                <w:rFonts w:ascii="Arial Narrow" w:hAnsi="Arial Narrow"/>
                <w:sz w:val="20"/>
              </w:rPr>
            </w:pPr>
            <w:r w:rsidRPr="00837E90">
              <w:rPr>
                <w:rFonts w:ascii="Arial Narrow" w:hAnsi="Arial Narrow"/>
                <w:sz w:val="20"/>
              </w:rPr>
              <w:t>’88 NSPS Phase II</w:t>
            </w:r>
          </w:p>
        </w:tc>
        <w:tc>
          <w:tcPr>
            <w:tcW w:w="1335" w:type="dxa"/>
            <w:shd w:val="clear" w:color="auto" w:fill="F2F2F2"/>
          </w:tcPr>
          <w:p w:rsidR="008226F1" w:rsidRPr="00837E90" w:rsidRDefault="008226F1" w:rsidP="000E1284">
            <w:pPr>
              <w:jc w:val="center"/>
              <w:rPr>
                <w:rFonts w:ascii="Arial Narrow" w:hAnsi="Arial Narrow"/>
                <w:sz w:val="20"/>
              </w:rPr>
            </w:pPr>
            <w:r w:rsidRPr="00837E90">
              <w:rPr>
                <w:rFonts w:ascii="Arial Narrow" w:hAnsi="Arial Narrow"/>
                <w:sz w:val="20"/>
              </w:rPr>
              <w:t>AP-42</w:t>
            </w:r>
          </w:p>
        </w:tc>
        <w:tc>
          <w:tcPr>
            <w:tcW w:w="1335" w:type="dxa"/>
            <w:shd w:val="clear" w:color="auto" w:fill="F2F2F2"/>
          </w:tcPr>
          <w:p w:rsidR="008226F1" w:rsidRPr="00837E90" w:rsidRDefault="008226F1" w:rsidP="000E1284">
            <w:pPr>
              <w:jc w:val="center"/>
              <w:rPr>
                <w:rFonts w:ascii="Arial Narrow" w:hAnsi="Arial Narrow"/>
                <w:sz w:val="20"/>
              </w:rPr>
            </w:pPr>
            <w:r w:rsidRPr="00837E90">
              <w:rPr>
                <w:rFonts w:ascii="Arial Narrow" w:hAnsi="Arial Narrow"/>
                <w:sz w:val="20"/>
              </w:rPr>
              <w:t>1990- 1995</w:t>
            </w:r>
          </w:p>
        </w:tc>
        <w:tc>
          <w:tcPr>
            <w:tcW w:w="1095" w:type="dxa"/>
            <w:shd w:val="clear" w:color="auto" w:fill="F2F2F2"/>
          </w:tcPr>
          <w:p w:rsidR="008226F1" w:rsidRPr="00837E90" w:rsidRDefault="008226F1" w:rsidP="000E1284">
            <w:pPr>
              <w:jc w:val="center"/>
              <w:rPr>
                <w:rFonts w:ascii="Arial Narrow" w:hAnsi="Arial Narrow"/>
                <w:sz w:val="20"/>
              </w:rPr>
            </w:pPr>
            <w:r w:rsidRPr="00837E90">
              <w:rPr>
                <w:rFonts w:ascii="Arial Narrow" w:hAnsi="Arial Narrow"/>
                <w:sz w:val="20"/>
              </w:rPr>
              <w:t>16.2</w:t>
            </w:r>
          </w:p>
        </w:tc>
        <w:tc>
          <w:tcPr>
            <w:tcW w:w="1536" w:type="dxa"/>
            <w:shd w:val="clear" w:color="auto" w:fill="F2F2F2"/>
          </w:tcPr>
          <w:p w:rsidR="008226F1" w:rsidRPr="00837E90" w:rsidRDefault="008226F1" w:rsidP="000E1284">
            <w:pPr>
              <w:jc w:val="center"/>
              <w:rPr>
                <w:rFonts w:ascii="Arial Narrow" w:hAnsi="Arial Narrow"/>
                <w:sz w:val="20"/>
              </w:rPr>
            </w:pPr>
            <w:r w:rsidRPr="00837E90">
              <w:rPr>
                <w:rFonts w:ascii="Arial Narrow" w:hAnsi="Arial Narrow"/>
                <w:sz w:val="20"/>
              </w:rPr>
              <w:t>14.6</w:t>
            </w:r>
          </w:p>
        </w:tc>
      </w:tr>
      <w:tr w:rsidR="00F47DF7" w:rsidRPr="00837E90" w:rsidTr="000E1284">
        <w:trPr>
          <w:jc w:val="center"/>
        </w:trPr>
        <w:tc>
          <w:tcPr>
            <w:tcW w:w="1852"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WA Standards</w:t>
            </w:r>
          </w:p>
        </w:tc>
        <w:tc>
          <w:tcPr>
            <w:tcW w:w="1335"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2015 NSPS</w:t>
            </w:r>
            <w:r w:rsidRPr="00837E90">
              <w:rPr>
                <w:rStyle w:val="FootnoteReference"/>
                <w:rFonts w:ascii="Arial Narrow" w:hAnsi="Arial Narrow"/>
                <w:sz w:val="20"/>
              </w:rPr>
              <w:footnoteReference w:id="1"/>
            </w:r>
          </w:p>
        </w:tc>
        <w:tc>
          <w:tcPr>
            <w:tcW w:w="1335"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1995-2015</w:t>
            </w:r>
          </w:p>
        </w:tc>
        <w:tc>
          <w:tcPr>
            <w:tcW w:w="1095"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9.72</w:t>
            </w:r>
          </w:p>
        </w:tc>
        <w:tc>
          <w:tcPr>
            <w:tcW w:w="1536" w:type="dxa"/>
            <w:shd w:val="clear" w:color="auto" w:fill="auto"/>
          </w:tcPr>
          <w:p w:rsidR="008226F1" w:rsidRPr="00837E90" w:rsidRDefault="008226F1" w:rsidP="000E1284">
            <w:pPr>
              <w:jc w:val="center"/>
              <w:rPr>
                <w:rFonts w:ascii="Arial Narrow" w:hAnsi="Arial Narrow"/>
                <w:sz w:val="20"/>
              </w:rPr>
            </w:pPr>
            <w:r w:rsidRPr="00837E90">
              <w:rPr>
                <w:rFonts w:ascii="Arial Narrow" w:hAnsi="Arial Narrow"/>
                <w:sz w:val="20"/>
              </w:rPr>
              <w:t>8.76</w:t>
            </w:r>
          </w:p>
        </w:tc>
      </w:tr>
    </w:tbl>
    <w:p w:rsidR="008226F1" w:rsidRPr="00316AB9" w:rsidRDefault="008226F1" w:rsidP="008226F1">
      <w:pPr>
        <w:pStyle w:val="BodyText"/>
        <w:rPr>
          <w:sz w:val="24"/>
        </w:rPr>
      </w:pPr>
    </w:p>
    <w:p w:rsidR="008226F1" w:rsidRPr="00316AB9" w:rsidRDefault="008226F1" w:rsidP="008226F1">
      <w:pPr>
        <w:pStyle w:val="BodyText"/>
        <w:rPr>
          <w:sz w:val="24"/>
        </w:rPr>
      </w:pPr>
      <w:r w:rsidRPr="00316AB9">
        <w:rPr>
          <w:sz w:val="24"/>
        </w:rPr>
        <w:t xml:space="preserve">When EPA calculated the baseline residential wood combustion emissions for the 2015 NSPS RIA, they assumed that shipments of woodstoves after 1995 would meet the more stringent Washington state standards. </w:t>
      </w:r>
    </w:p>
    <w:p w:rsidR="008226F1" w:rsidRPr="00316AB9" w:rsidRDefault="008226F1" w:rsidP="008226F1">
      <w:pPr>
        <w:pStyle w:val="BodyText"/>
        <w:rPr>
          <w:sz w:val="24"/>
        </w:rPr>
      </w:pPr>
      <w:r w:rsidRPr="00316AB9">
        <w:rPr>
          <w:sz w:val="24"/>
        </w:rPr>
        <w:t xml:space="preserve">Because the EPA-certified non-catalytic and catalytic SCCs include many stoves of various ages that meet different standards, </w:t>
      </w:r>
      <w:proofErr w:type="spellStart"/>
      <w:r w:rsidRPr="00316AB9">
        <w:rPr>
          <w:sz w:val="24"/>
        </w:rPr>
        <w:t>Abt</w:t>
      </w:r>
      <w:proofErr w:type="spellEnd"/>
      <w:r w:rsidRPr="00316AB9">
        <w:rPr>
          <w:sz w:val="24"/>
        </w:rPr>
        <w:t xml:space="preserve"> developed a methodology to estimate the number of woodstoves that fall under each of the standards shown in Table 1. This enables creation of a weighted-average emission factor for certified woodstoves.</w:t>
      </w:r>
    </w:p>
    <w:p w:rsidR="008226F1" w:rsidRPr="00316AB9" w:rsidRDefault="008226F1" w:rsidP="008226F1">
      <w:pPr>
        <w:pStyle w:val="BodyText"/>
        <w:rPr>
          <w:sz w:val="24"/>
        </w:rPr>
      </w:pPr>
      <w:r w:rsidRPr="00316AB9">
        <w:rPr>
          <w:sz w:val="24"/>
        </w:rPr>
        <w:t xml:space="preserve">EIA’s Residential Energy Consumption Survey (RECS) contains data on energy use in homes, including the age of heating devices (including woodstoves) used in homes in the United States. RECS data are available for the years 1997, 2001, 2005, and 2009. </w:t>
      </w:r>
      <w:proofErr w:type="spellStart"/>
      <w:r w:rsidRPr="00316AB9">
        <w:rPr>
          <w:sz w:val="24"/>
        </w:rPr>
        <w:t>Abt</w:t>
      </w:r>
      <w:proofErr w:type="spellEnd"/>
      <w:r w:rsidRPr="00316AB9">
        <w:rPr>
          <w:sz w:val="24"/>
        </w:rPr>
        <w:t xml:space="preserve"> used the RECS data to determine the proportion of stoves in each data year that fall under each standard. </w:t>
      </w:r>
      <w:proofErr w:type="spellStart"/>
      <w:r w:rsidRPr="00316AB9">
        <w:rPr>
          <w:sz w:val="24"/>
        </w:rPr>
        <w:t>Abt</w:t>
      </w:r>
      <w:proofErr w:type="spellEnd"/>
      <w:r w:rsidRPr="00316AB9">
        <w:rPr>
          <w:sz w:val="24"/>
        </w:rPr>
        <w:t xml:space="preserve"> then projected the data to determine the proportion of stoves in 2014 that would meet each standard (Figure 1). We use this proportion to determine a weighted average EF for PM</w:t>
      </w:r>
      <w:r w:rsidRPr="00316AB9">
        <w:rPr>
          <w:sz w:val="24"/>
        </w:rPr>
        <w:softHyphen/>
      </w:r>
      <w:r w:rsidRPr="00316AB9">
        <w:rPr>
          <w:sz w:val="24"/>
          <w:vertAlign w:val="subscript"/>
        </w:rPr>
        <w:t>10</w:t>
      </w:r>
      <w:r w:rsidRPr="00316AB9">
        <w:rPr>
          <w:sz w:val="24"/>
        </w:rPr>
        <w:t xml:space="preserve"> and CO</w:t>
      </w:r>
      <w:r w:rsidR="002725F6" w:rsidRPr="00316AB9">
        <w:rPr>
          <w:sz w:val="24"/>
        </w:rPr>
        <w:t xml:space="preserve"> (</w:t>
      </w:r>
      <w:r w:rsidR="002725F6" w:rsidRPr="00316AB9">
        <w:rPr>
          <w:sz w:val="24"/>
        </w:rPr>
        <w:fldChar w:fldCharType="begin"/>
      </w:r>
      <w:r w:rsidR="002725F6" w:rsidRPr="00316AB9">
        <w:rPr>
          <w:sz w:val="24"/>
        </w:rPr>
        <w:instrText xml:space="preserve"> REF _Ref464049411 \h </w:instrText>
      </w:r>
      <w:r w:rsidR="002725F6" w:rsidRPr="00316AB9">
        <w:rPr>
          <w:sz w:val="24"/>
        </w:rPr>
      </w:r>
      <w:r w:rsidR="00837E90" w:rsidRPr="00316AB9">
        <w:rPr>
          <w:sz w:val="24"/>
        </w:rPr>
        <w:instrText xml:space="preserve"> \* MERGEFORMAT </w:instrText>
      </w:r>
      <w:r w:rsidR="002725F6" w:rsidRPr="00316AB9">
        <w:rPr>
          <w:sz w:val="24"/>
        </w:rPr>
        <w:fldChar w:fldCharType="separate"/>
      </w:r>
      <w:r w:rsidR="00975A86" w:rsidRPr="00316AB9">
        <w:rPr>
          <w:sz w:val="24"/>
        </w:rPr>
        <w:t xml:space="preserve">Table </w:t>
      </w:r>
      <w:r w:rsidR="00975A86" w:rsidRPr="00316AB9">
        <w:rPr>
          <w:noProof/>
          <w:sz w:val="24"/>
        </w:rPr>
        <w:t>5</w:t>
      </w:r>
      <w:r w:rsidR="002725F6" w:rsidRPr="00316AB9">
        <w:rPr>
          <w:sz w:val="24"/>
        </w:rPr>
        <w:fldChar w:fldCharType="end"/>
      </w:r>
      <w:r w:rsidRPr="00316AB9">
        <w:rPr>
          <w:sz w:val="24"/>
        </w:rPr>
        <w:t>).</w:t>
      </w:r>
    </w:p>
    <w:p w:rsidR="008226F1" w:rsidRPr="00837E90" w:rsidRDefault="008226F1" w:rsidP="008226F1">
      <w:pPr>
        <w:pStyle w:val="BodyText"/>
      </w:pPr>
    </w:p>
    <w:p w:rsidR="008226F1" w:rsidRPr="00837E90" w:rsidRDefault="00837E90" w:rsidP="008226F1">
      <w:pPr>
        <w:pStyle w:val="BodyText"/>
        <w:jc w:val="center"/>
      </w:pPr>
      <w:r w:rsidRPr="00837E90">
        <w:rPr>
          <w:noProof/>
        </w:rPr>
        <w:drawing>
          <wp:inline distT="0" distB="0" distL="0" distR="0">
            <wp:extent cx="4574540" cy="2745740"/>
            <wp:effectExtent l="0" t="0" r="0" b="0"/>
            <wp:docPr id="1" name="Chart 2" descr="Proportion of woodstoves meeting each emissions standard. Data for 1997 – 2009 are from EIA REC. Data for 2014 are projections of the RECS data"/>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226F1" w:rsidRPr="00316AB9" w:rsidRDefault="008226F1" w:rsidP="008226F1">
      <w:pPr>
        <w:pStyle w:val="BodyText"/>
        <w:jc w:val="center"/>
        <w:rPr>
          <w:sz w:val="24"/>
        </w:rPr>
      </w:pPr>
      <w:r w:rsidRPr="00316AB9">
        <w:rPr>
          <w:b/>
          <w:sz w:val="24"/>
        </w:rPr>
        <w:t xml:space="preserve">Figure 1. </w:t>
      </w:r>
      <w:r w:rsidRPr="00316AB9">
        <w:rPr>
          <w:sz w:val="24"/>
        </w:rPr>
        <w:t>Proportion of woodstoves meeting each emissions standard. Data for 1997 – 2009 are from EIA REC. Data for 2014 are projections of the RECS data.</w:t>
      </w:r>
    </w:p>
    <w:p w:rsidR="008226F1" w:rsidRPr="00316AB9" w:rsidRDefault="008226F1" w:rsidP="008226F1">
      <w:pPr>
        <w:pStyle w:val="BodyText"/>
        <w:rPr>
          <w:sz w:val="24"/>
        </w:rPr>
      </w:pPr>
      <w:r w:rsidRPr="00316AB9">
        <w:rPr>
          <w:sz w:val="24"/>
        </w:rPr>
        <w:t xml:space="preserve"> </w:t>
      </w:r>
    </w:p>
    <w:p w:rsidR="008226F1" w:rsidRPr="00316AB9" w:rsidRDefault="008226F1" w:rsidP="008226F1">
      <w:pPr>
        <w:pStyle w:val="Caption"/>
        <w:keepNext/>
        <w:jc w:val="center"/>
        <w:rPr>
          <w:sz w:val="24"/>
          <w:szCs w:val="24"/>
        </w:rPr>
      </w:pPr>
      <w:bookmarkStart w:id="13" w:name="_Ref464049411"/>
      <w:r w:rsidRPr="00316AB9">
        <w:rPr>
          <w:sz w:val="24"/>
          <w:szCs w:val="24"/>
        </w:rPr>
        <w:t xml:space="preserve">Table </w:t>
      </w:r>
      <w:r w:rsidRPr="00316AB9">
        <w:rPr>
          <w:sz w:val="24"/>
          <w:szCs w:val="24"/>
        </w:rPr>
        <w:fldChar w:fldCharType="begin"/>
      </w:r>
      <w:r w:rsidRPr="00316AB9">
        <w:rPr>
          <w:sz w:val="24"/>
          <w:szCs w:val="24"/>
        </w:rPr>
        <w:instrText xml:space="preserve"> SEQ Table \* ARABIC </w:instrText>
      </w:r>
      <w:r w:rsidRPr="00316AB9">
        <w:rPr>
          <w:sz w:val="24"/>
          <w:szCs w:val="24"/>
        </w:rPr>
        <w:fldChar w:fldCharType="separate"/>
      </w:r>
      <w:r w:rsidR="00975A86" w:rsidRPr="00316AB9">
        <w:rPr>
          <w:noProof/>
          <w:sz w:val="24"/>
          <w:szCs w:val="24"/>
        </w:rPr>
        <w:t>5</w:t>
      </w:r>
      <w:r w:rsidRPr="00316AB9">
        <w:rPr>
          <w:sz w:val="24"/>
          <w:szCs w:val="24"/>
        </w:rPr>
        <w:fldChar w:fldCharType="end"/>
      </w:r>
      <w:bookmarkEnd w:id="13"/>
      <w:r w:rsidRPr="00316AB9">
        <w:rPr>
          <w:sz w:val="24"/>
          <w:szCs w:val="24"/>
        </w:rPr>
        <w:t xml:space="preserve">. </w:t>
      </w:r>
      <w:r w:rsidRPr="00316AB9">
        <w:rPr>
          <w:b w:val="0"/>
          <w:sz w:val="24"/>
          <w:szCs w:val="24"/>
        </w:rPr>
        <w:t>Previous and Updated Emission Factors for PM</w:t>
      </w:r>
      <w:r w:rsidRPr="00316AB9">
        <w:rPr>
          <w:b w:val="0"/>
          <w:sz w:val="24"/>
          <w:szCs w:val="24"/>
          <w:vertAlign w:val="subscript"/>
        </w:rPr>
        <w:t>10</w:t>
      </w:r>
      <w:r w:rsidRPr="00316AB9">
        <w:rPr>
          <w:b w:val="0"/>
          <w:sz w:val="24"/>
          <w:szCs w:val="24"/>
        </w:rPr>
        <w:t xml:space="preserve"> and CO.</w:t>
      </w:r>
    </w:p>
    <w:tbl>
      <w:tblPr>
        <w:tblW w:w="6708" w:type="dxa"/>
        <w:jc w:val="center"/>
        <w:tblLook w:val="04A0" w:firstRow="1" w:lastRow="0" w:firstColumn="1" w:lastColumn="0" w:noHBand="0" w:noVBand="1"/>
        <w:tblCaption w:val="Table 5. Previous and Updated Emission Factors for PM10 and CO."/>
        <w:tblDescription w:val=" Previous EFs (v3.0) Updated EFs (v3.1)&#10; PM10 (lb/ton) CO (lb/ton) PM10 (lb/ton) CO (lb/ton)&#10;"/>
      </w:tblPr>
      <w:tblGrid>
        <w:gridCol w:w="1326"/>
        <w:gridCol w:w="1449"/>
        <w:gridCol w:w="1249"/>
        <w:gridCol w:w="1435"/>
        <w:gridCol w:w="1249"/>
      </w:tblGrid>
      <w:tr w:rsidR="00F47DF7" w:rsidRPr="00837E90" w:rsidTr="008226F1">
        <w:trPr>
          <w:trHeight w:val="300"/>
          <w:jc w:val="center"/>
        </w:trPr>
        <w:tc>
          <w:tcPr>
            <w:tcW w:w="1326" w:type="dxa"/>
            <w:tcBorders>
              <w:top w:val="nil"/>
              <w:left w:val="nil"/>
              <w:bottom w:val="nil"/>
              <w:right w:val="nil"/>
            </w:tcBorders>
            <w:shd w:val="clear" w:color="auto" w:fill="auto"/>
            <w:noWrap/>
            <w:vAlign w:val="bottom"/>
            <w:hideMark/>
          </w:tcPr>
          <w:p w:rsidR="008226F1" w:rsidRPr="00837E90" w:rsidRDefault="008226F1" w:rsidP="008226F1">
            <w:pPr>
              <w:spacing w:line="240" w:lineRule="auto"/>
              <w:rPr>
                <w:rFonts w:ascii="Arial Narrow" w:hAnsi="Arial Narrow"/>
                <w:szCs w:val="22"/>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C4BC96"/>
            <w:noWrap/>
            <w:vAlign w:val="bottom"/>
            <w:hideMark/>
          </w:tcPr>
          <w:p w:rsidR="008226F1" w:rsidRPr="00837E90" w:rsidRDefault="002725F6" w:rsidP="008226F1">
            <w:pPr>
              <w:spacing w:line="240" w:lineRule="auto"/>
              <w:jc w:val="center"/>
              <w:rPr>
                <w:rFonts w:ascii="Arial Narrow" w:hAnsi="Arial Narrow"/>
                <w:b/>
                <w:szCs w:val="22"/>
              </w:rPr>
            </w:pPr>
            <w:r w:rsidRPr="00837E90">
              <w:rPr>
                <w:rFonts w:ascii="Arial Narrow" w:hAnsi="Arial Narrow"/>
                <w:b/>
                <w:szCs w:val="22"/>
              </w:rPr>
              <w:t xml:space="preserve">Previous </w:t>
            </w:r>
            <w:r w:rsidR="008226F1" w:rsidRPr="00837E90">
              <w:rPr>
                <w:rFonts w:ascii="Arial Narrow" w:hAnsi="Arial Narrow"/>
                <w:b/>
                <w:szCs w:val="22"/>
              </w:rPr>
              <w:t>EFs</w:t>
            </w:r>
            <w:r w:rsidRPr="00837E90">
              <w:rPr>
                <w:rFonts w:ascii="Arial Narrow" w:hAnsi="Arial Narrow"/>
                <w:b/>
                <w:szCs w:val="22"/>
              </w:rPr>
              <w:t xml:space="preserve"> (v3.0)</w:t>
            </w:r>
          </w:p>
        </w:tc>
        <w:tc>
          <w:tcPr>
            <w:tcW w:w="2684" w:type="dxa"/>
            <w:gridSpan w:val="2"/>
            <w:tcBorders>
              <w:top w:val="single" w:sz="4" w:space="0" w:color="auto"/>
              <w:left w:val="nil"/>
              <w:bottom w:val="single" w:sz="4" w:space="0" w:color="auto"/>
              <w:right w:val="single" w:sz="4" w:space="0" w:color="auto"/>
            </w:tcBorders>
            <w:shd w:val="clear" w:color="auto" w:fill="C4BC96"/>
            <w:noWrap/>
            <w:vAlign w:val="bottom"/>
            <w:hideMark/>
          </w:tcPr>
          <w:p w:rsidR="008226F1" w:rsidRPr="00837E90" w:rsidRDefault="002725F6" w:rsidP="008226F1">
            <w:pPr>
              <w:spacing w:line="240" w:lineRule="auto"/>
              <w:jc w:val="center"/>
              <w:rPr>
                <w:rFonts w:ascii="Arial Narrow" w:hAnsi="Arial Narrow"/>
                <w:b/>
                <w:szCs w:val="22"/>
              </w:rPr>
            </w:pPr>
            <w:r w:rsidRPr="00837E90">
              <w:rPr>
                <w:rFonts w:ascii="Arial Narrow" w:hAnsi="Arial Narrow"/>
                <w:b/>
                <w:szCs w:val="22"/>
              </w:rPr>
              <w:t>Updated</w:t>
            </w:r>
            <w:r w:rsidR="008226F1" w:rsidRPr="00837E90">
              <w:rPr>
                <w:rFonts w:ascii="Arial Narrow" w:hAnsi="Arial Narrow"/>
                <w:b/>
                <w:szCs w:val="22"/>
              </w:rPr>
              <w:t xml:space="preserve"> EFs</w:t>
            </w:r>
            <w:r w:rsidRPr="00837E90">
              <w:rPr>
                <w:rFonts w:ascii="Arial Narrow" w:hAnsi="Arial Narrow"/>
                <w:b/>
                <w:szCs w:val="22"/>
              </w:rPr>
              <w:t xml:space="preserve"> (v3.1)</w:t>
            </w:r>
          </w:p>
        </w:tc>
      </w:tr>
      <w:tr w:rsidR="00F47DF7" w:rsidRPr="00837E90" w:rsidTr="008226F1">
        <w:trPr>
          <w:trHeight w:val="300"/>
          <w:jc w:val="center"/>
        </w:trPr>
        <w:tc>
          <w:tcPr>
            <w:tcW w:w="1326" w:type="dxa"/>
            <w:tcBorders>
              <w:top w:val="nil"/>
              <w:left w:val="nil"/>
              <w:bottom w:val="nil"/>
              <w:right w:val="nil"/>
            </w:tcBorders>
            <w:shd w:val="clear" w:color="auto" w:fill="auto"/>
            <w:noWrap/>
            <w:vAlign w:val="bottom"/>
            <w:hideMark/>
          </w:tcPr>
          <w:p w:rsidR="008226F1" w:rsidRPr="00837E90" w:rsidRDefault="008226F1" w:rsidP="008226F1">
            <w:pPr>
              <w:spacing w:line="240" w:lineRule="auto"/>
              <w:rPr>
                <w:rFonts w:ascii="Arial Narrow" w:hAnsi="Arial Narrow"/>
                <w:szCs w:val="22"/>
              </w:rPr>
            </w:pPr>
          </w:p>
        </w:tc>
        <w:tc>
          <w:tcPr>
            <w:tcW w:w="1449" w:type="dxa"/>
            <w:tcBorders>
              <w:top w:val="nil"/>
              <w:left w:val="single" w:sz="4" w:space="0" w:color="auto"/>
              <w:bottom w:val="single" w:sz="4" w:space="0" w:color="auto"/>
              <w:right w:val="single" w:sz="4" w:space="0" w:color="auto"/>
            </w:tcBorders>
            <w:shd w:val="clear" w:color="auto" w:fill="C4BC96"/>
            <w:noWrap/>
            <w:vAlign w:val="bottom"/>
            <w:hideMark/>
          </w:tcPr>
          <w:p w:rsidR="008226F1" w:rsidRPr="00837E90" w:rsidRDefault="008226F1" w:rsidP="008226F1">
            <w:pPr>
              <w:spacing w:line="240" w:lineRule="auto"/>
              <w:jc w:val="center"/>
              <w:rPr>
                <w:rFonts w:ascii="Arial Narrow" w:hAnsi="Arial Narrow"/>
                <w:b/>
                <w:szCs w:val="22"/>
              </w:rPr>
            </w:pPr>
            <w:r w:rsidRPr="00837E90">
              <w:rPr>
                <w:rFonts w:ascii="Arial Narrow" w:hAnsi="Arial Narrow"/>
                <w:b/>
                <w:szCs w:val="22"/>
              </w:rPr>
              <w:t>PM10 (lb/ton)</w:t>
            </w:r>
          </w:p>
        </w:tc>
        <w:tc>
          <w:tcPr>
            <w:tcW w:w="1249" w:type="dxa"/>
            <w:tcBorders>
              <w:top w:val="nil"/>
              <w:left w:val="nil"/>
              <w:bottom w:val="single" w:sz="4" w:space="0" w:color="auto"/>
              <w:right w:val="single" w:sz="4" w:space="0" w:color="auto"/>
            </w:tcBorders>
            <w:shd w:val="clear" w:color="auto" w:fill="C4BC96"/>
            <w:noWrap/>
            <w:vAlign w:val="bottom"/>
            <w:hideMark/>
          </w:tcPr>
          <w:p w:rsidR="008226F1" w:rsidRPr="00837E90" w:rsidRDefault="008226F1" w:rsidP="008226F1">
            <w:pPr>
              <w:spacing w:line="240" w:lineRule="auto"/>
              <w:jc w:val="center"/>
              <w:rPr>
                <w:rFonts w:ascii="Arial Narrow" w:hAnsi="Arial Narrow"/>
                <w:b/>
                <w:szCs w:val="22"/>
              </w:rPr>
            </w:pPr>
            <w:r w:rsidRPr="00837E90">
              <w:rPr>
                <w:rFonts w:ascii="Arial Narrow" w:hAnsi="Arial Narrow"/>
                <w:b/>
                <w:szCs w:val="22"/>
              </w:rPr>
              <w:t>CO (lb/ton)</w:t>
            </w:r>
          </w:p>
        </w:tc>
        <w:tc>
          <w:tcPr>
            <w:tcW w:w="1435" w:type="dxa"/>
            <w:tcBorders>
              <w:top w:val="nil"/>
              <w:left w:val="nil"/>
              <w:bottom w:val="single" w:sz="4" w:space="0" w:color="auto"/>
              <w:right w:val="single" w:sz="4" w:space="0" w:color="auto"/>
            </w:tcBorders>
            <w:shd w:val="clear" w:color="auto" w:fill="C4BC96"/>
            <w:noWrap/>
            <w:vAlign w:val="bottom"/>
            <w:hideMark/>
          </w:tcPr>
          <w:p w:rsidR="008226F1" w:rsidRPr="00837E90" w:rsidRDefault="008226F1" w:rsidP="008226F1">
            <w:pPr>
              <w:spacing w:line="240" w:lineRule="auto"/>
              <w:jc w:val="center"/>
              <w:rPr>
                <w:rFonts w:ascii="Arial Narrow" w:hAnsi="Arial Narrow"/>
                <w:b/>
                <w:szCs w:val="22"/>
              </w:rPr>
            </w:pPr>
            <w:r w:rsidRPr="00837E90">
              <w:rPr>
                <w:rFonts w:ascii="Arial Narrow" w:hAnsi="Arial Narrow"/>
                <w:b/>
                <w:szCs w:val="22"/>
              </w:rPr>
              <w:t>PM10 (lb/ton)</w:t>
            </w:r>
          </w:p>
        </w:tc>
        <w:tc>
          <w:tcPr>
            <w:tcW w:w="1249" w:type="dxa"/>
            <w:tcBorders>
              <w:top w:val="nil"/>
              <w:left w:val="nil"/>
              <w:bottom w:val="single" w:sz="4" w:space="0" w:color="auto"/>
              <w:right w:val="single" w:sz="4" w:space="0" w:color="auto"/>
            </w:tcBorders>
            <w:shd w:val="clear" w:color="auto" w:fill="C4BC96"/>
            <w:noWrap/>
            <w:vAlign w:val="bottom"/>
            <w:hideMark/>
          </w:tcPr>
          <w:p w:rsidR="008226F1" w:rsidRPr="00837E90" w:rsidRDefault="008226F1" w:rsidP="008226F1">
            <w:pPr>
              <w:spacing w:line="240" w:lineRule="auto"/>
              <w:jc w:val="center"/>
              <w:rPr>
                <w:rFonts w:ascii="Arial Narrow" w:hAnsi="Arial Narrow"/>
                <w:b/>
                <w:szCs w:val="22"/>
              </w:rPr>
            </w:pPr>
            <w:r w:rsidRPr="00837E90">
              <w:rPr>
                <w:rFonts w:ascii="Arial Narrow" w:hAnsi="Arial Narrow"/>
                <w:b/>
                <w:szCs w:val="22"/>
              </w:rPr>
              <w:t>CO (lb/ton)</w:t>
            </w:r>
          </w:p>
        </w:tc>
      </w:tr>
      <w:tr w:rsidR="00F47DF7" w:rsidRPr="00837E90" w:rsidTr="008226F1">
        <w:trPr>
          <w:trHeight w:val="300"/>
          <w:jc w:val="center"/>
        </w:trPr>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Catalytic</w:t>
            </w:r>
          </w:p>
        </w:tc>
        <w:tc>
          <w:tcPr>
            <w:tcW w:w="1449" w:type="dxa"/>
            <w:tcBorders>
              <w:top w:val="nil"/>
              <w:left w:val="nil"/>
              <w:bottom w:val="single" w:sz="4" w:space="0" w:color="auto"/>
              <w:right w:val="single" w:sz="4" w:space="0" w:color="auto"/>
            </w:tcBorders>
            <w:shd w:val="clear" w:color="auto" w:fill="auto"/>
            <w:noWrap/>
            <w:vAlign w:val="bottom"/>
            <w:hideMark/>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20.4</w:t>
            </w:r>
          </w:p>
        </w:tc>
        <w:tc>
          <w:tcPr>
            <w:tcW w:w="1249" w:type="dxa"/>
            <w:tcBorders>
              <w:top w:val="nil"/>
              <w:left w:val="nil"/>
              <w:bottom w:val="single" w:sz="4" w:space="0" w:color="auto"/>
              <w:right w:val="single" w:sz="4" w:space="0" w:color="auto"/>
            </w:tcBorders>
            <w:shd w:val="clear" w:color="auto" w:fill="auto"/>
            <w:noWrap/>
            <w:vAlign w:val="bottom"/>
            <w:hideMark/>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104.4</w:t>
            </w:r>
          </w:p>
        </w:tc>
        <w:tc>
          <w:tcPr>
            <w:tcW w:w="1435" w:type="dxa"/>
            <w:tcBorders>
              <w:top w:val="nil"/>
              <w:left w:val="nil"/>
              <w:bottom w:val="single" w:sz="4" w:space="0" w:color="auto"/>
              <w:right w:val="single" w:sz="4" w:space="0" w:color="auto"/>
            </w:tcBorders>
            <w:shd w:val="clear" w:color="auto" w:fill="auto"/>
            <w:noWrap/>
            <w:vAlign w:val="bottom"/>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15.2</w:t>
            </w:r>
          </w:p>
        </w:tc>
        <w:tc>
          <w:tcPr>
            <w:tcW w:w="1249" w:type="dxa"/>
            <w:tcBorders>
              <w:top w:val="nil"/>
              <w:left w:val="nil"/>
              <w:bottom w:val="single" w:sz="4" w:space="0" w:color="auto"/>
              <w:right w:val="single" w:sz="4" w:space="0" w:color="auto"/>
            </w:tcBorders>
            <w:shd w:val="clear" w:color="auto" w:fill="auto"/>
            <w:noWrap/>
            <w:vAlign w:val="bottom"/>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92.3</w:t>
            </w:r>
          </w:p>
        </w:tc>
      </w:tr>
      <w:tr w:rsidR="00F47DF7" w:rsidRPr="00837E90" w:rsidTr="008226F1">
        <w:trPr>
          <w:trHeight w:val="300"/>
          <w:jc w:val="center"/>
        </w:trPr>
        <w:tc>
          <w:tcPr>
            <w:tcW w:w="1326" w:type="dxa"/>
            <w:tcBorders>
              <w:top w:val="nil"/>
              <w:left w:val="single" w:sz="4" w:space="0" w:color="auto"/>
              <w:bottom w:val="single" w:sz="4" w:space="0" w:color="auto"/>
              <w:right w:val="single" w:sz="4" w:space="0" w:color="auto"/>
            </w:tcBorders>
            <w:shd w:val="clear" w:color="auto" w:fill="auto"/>
            <w:noWrap/>
            <w:vAlign w:val="bottom"/>
            <w:hideMark/>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Non-Catalytic</w:t>
            </w:r>
          </w:p>
        </w:tc>
        <w:tc>
          <w:tcPr>
            <w:tcW w:w="1449" w:type="dxa"/>
            <w:tcBorders>
              <w:top w:val="nil"/>
              <w:left w:val="nil"/>
              <w:bottom w:val="single" w:sz="4" w:space="0" w:color="auto"/>
              <w:right w:val="single" w:sz="4" w:space="0" w:color="auto"/>
            </w:tcBorders>
            <w:shd w:val="clear" w:color="auto" w:fill="auto"/>
            <w:noWrap/>
            <w:vAlign w:val="bottom"/>
            <w:hideMark/>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19.6</w:t>
            </w:r>
          </w:p>
        </w:tc>
        <w:tc>
          <w:tcPr>
            <w:tcW w:w="1249" w:type="dxa"/>
            <w:tcBorders>
              <w:top w:val="nil"/>
              <w:left w:val="nil"/>
              <w:bottom w:val="single" w:sz="4" w:space="0" w:color="auto"/>
              <w:right w:val="single" w:sz="4" w:space="0" w:color="auto"/>
            </w:tcBorders>
            <w:shd w:val="clear" w:color="auto" w:fill="auto"/>
            <w:noWrap/>
            <w:vAlign w:val="bottom"/>
            <w:hideMark/>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140.8</w:t>
            </w:r>
          </w:p>
        </w:tc>
        <w:tc>
          <w:tcPr>
            <w:tcW w:w="1435" w:type="dxa"/>
            <w:tcBorders>
              <w:top w:val="nil"/>
              <w:left w:val="nil"/>
              <w:bottom w:val="single" w:sz="4" w:space="0" w:color="auto"/>
              <w:right w:val="single" w:sz="4" w:space="0" w:color="auto"/>
            </w:tcBorders>
            <w:shd w:val="clear" w:color="auto" w:fill="auto"/>
            <w:noWrap/>
            <w:vAlign w:val="bottom"/>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14.5</w:t>
            </w:r>
          </w:p>
        </w:tc>
        <w:tc>
          <w:tcPr>
            <w:tcW w:w="1249" w:type="dxa"/>
            <w:tcBorders>
              <w:top w:val="nil"/>
              <w:left w:val="nil"/>
              <w:bottom w:val="single" w:sz="4" w:space="0" w:color="auto"/>
              <w:right w:val="single" w:sz="4" w:space="0" w:color="auto"/>
            </w:tcBorders>
            <w:shd w:val="clear" w:color="auto" w:fill="auto"/>
            <w:noWrap/>
            <w:vAlign w:val="bottom"/>
          </w:tcPr>
          <w:p w:rsidR="008226F1" w:rsidRPr="00837E90" w:rsidRDefault="008226F1" w:rsidP="008226F1">
            <w:pPr>
              <w:spacing w:line="240" w:lineRule="auto"/>
              <w:jc w:val="center"/>
              <w:rPr>
                <w:rFonts w:ascii="Arial Narrow" w:hAnsi="Arial Narrow"/>
                <w:sz w:val="20"/>
                <w:szCs w:val="22"/>
              </w:rPr>
            </w:pPr>
            <w:r w:rsidRPr="00837E90">
              <w:rPr>
                <w:rFonts w:ascii="Arial Narrow" w:hAnsi="Arial Narrow"/>
                <w:sz w:val="20"/>
                <w:szCs w:val="22"/>
              </w:rPr>
              <w:t>122.6</w:t>
            </w:r>
          </w:p>
        </w:tc>
      </w:tr>
    </w:tbl>
    <w:p w:rsidR="008226F1" w:rsidRPr="00837E90" w:rsidRDefault="008226F1" w:rsidP="008226F1">
      <w:pPr>
        <w:pStyle w:val="BodyText"/>
      </w:pPr>
      <w:r w:rsidRPr="00837E90">
        <w:t xml:space="preserve"> </w:t>
      </w:r>
    </w:p>
    <w:p w:rsidR="008226F1" w:rsidRPr="000E0654" w:rsidRDefault="008226F1" w:rsidP="008226F1">
      <w:pPr>
        <w:pStyle w:val="BodyText"/>
        <w:spacing w:line="240" w:lineRule="auto"/>
        <w:rPr>
          <w:sz w:val="24"/>
        </w:rPr>
      </w:pPr>
      <w:r w:rsidRPr="000E0654">
        <w:rPr>
          <w:sz w:val="24"/>
        </w:rPr>
        <w:t>For the different wood stove emissions standards, AP-42 only provides different EFs for PM</w:t>
      </w:r>
      <w:r w:rsidRPr="000E0654">
        <w:rPr>
          <w:sz w:val="24"/>
          <w:vertAlign w:val="subscript"/>
        </w:rPr>
        <w:t>10</w:t>
      </w:r>
      <w:r w:rsidRPr="000E0654">
        <w:rPr>
          <w:sz w:val="24"/>
        </w:rPr>
        <w:t xml:space="preserve"> and CO. For all other pollutants, including HAPs, </w:t>
      </w:r>
      <w:proofErr w:type="spellStart"/>
      <w:r w:rsidRPr="000E0654">
        <w:rPr>
          <w:sz w:val="24"/>
        </w:rPr>
        <w:t>Abt</w:t>
      </w:r>
      <w:proofErr w:type="spellEnd"/>
      <w:r w:rsidRPr="000E0654">
        <w:rPr>
          <w:sz w:val="24"/>
        </w:rPr>
        <w:t xml:space="preserve"> adjusts the EF based on the percent decrease in the PM</w:t>
      </w:r>
      <w:r w:rsidRPr="000E0654">
        <w:rPr>
          <w:sz w:val="24"/>
          <w:vertAlign w:val="subscript"/>
        </w:rPr>
        <w:t>10</w:t>
      </w:r>
      <w:r w:rsidRPr="000E0654">
        <w:rPr>
          <w:sz w:val="24"/>
          <w:vertAlign w:val="superscript"/>
        </w:rPr>
        <w:t xml:space="preserve"> </w:t>
      </w:r>
      <w:r w:rsidRPr="000E0654">
        <w:rPr>
          <w:sz w:val="24"/>
        </w:rPr>
        <w:t>EF, which is 25 percent for catalytic and 26 for non-catalytic stoves.</w:t>
      </w:r>
    </w:p>
    <w:p w:rsidR="003633BE" w:rsidRPr="000E0654" w:rsidRDefault="003633BE" w:rsidP="008226F1">
      <w:pPr>
        <w:pStyle w:val="BodyText"/>
        <w:spacing w:line="240" w:lineRule="auto"/>
        <w:rPr>
          <w:sz w:val="24"/>
          <w:vertAlign w:val="superscript"/>
        </w:rPr>
      </w:pPr>
      <w:r w:rsidRPr="000E0654">
        <w:rPr>
          <w:sz w:val="24"/>
        </w:rPr>
        <w:t>The EF for mercury is taken from AP-42, Chapter 1.6 Wood Residue Combustion in Boilers. The original EF of 3.50E-06 lbs. Hg/MMBtu was converted to a factor of 4.26E-05 lbs. Hg/ton of wood using a heating value of 15.3 MMBtu/cord from the U</w:t>
      </w:r>
      <w:r w:rsidR="00F90EF2" w:rsidRPr="000E0654">
        <w:rPr>
          <w:sz w:val="24"/>
        </w:rPr>
        <w:t xml:space="preserve">.S. Forest Service </w:t>
      </w:r>
      <w:r w:rsidRPr="000E0654">
        <w:rPr>
          <w:sz w:val="24"/>
        </w:rPr>
        <w:t>(</w:t>
      </w:r>
      <w:r w:rsidR="00F90EF2" w:rsidRPr="000E0654">
        <w:rPr>
          <w:sz w:val="24"/>
        </w:rPr>
        <w:t xml:space="preserve">USDA </w:t>
      </w:r>
      <w:r w:rsidRPr="000E0654">
        <w:rPr>
          <w:sz w:val="24"/>
        </w:rPr>
        <w:t>2004) and an average density from the RWC Tool of 1.26 tons per cord.</w:t>
      </w:r>
    </w:p>
    <w:p w:rsidR="008226F1" w:rsidRPr="00837E90" w:rsidRDefault="008226F1" w:rsidP="00853479">
      <w:pPr>
        <w:spacing w:after="240" w:line="264" w:lineRule="auto"/>
      </w:pPr>
    </w:p>
    <w:p w:rsidR="005B1906" w:rsidRPr="00837E90" w:rsidRDefault="005B1906" w:rsidP="00F92A85">
      <w:pPr>
        <w:sectPr w:rsidR="005B1906" w:rsidRPr="00837E90" w:rsidSect="00FC627B">
          <w:headerReference w:type="default" r:id="rId13"/>
          <w:pgSz w:w="12240" w:h="15840" w:code="1"/>
          <w:pgMar w:top="1440" w:right="1440" w:bottom="1440" w:left="1440" w:header="720" w:footer="720" w:gutter="0"/>
          <w:cols w:space="720"/>
          <w:docGrid w:linePitch="360"/>
        </w:sectPr>
      </w:pPr>
    </w:p>
    <w:p w:rsidR="00567356" w:rsidRPr="00837E90" w:rsidRDefault="00894B91" w:rsidP="005B1906">
      <w:pPr>
        <w:pStyle w:val="Heading1ES"/>
        <w:rPr>
          <w:rFonts w:ascii="Times New Roman" w:hAnsi="Times New Roman"/>
          <w:color w:val="auto"/>
        </w:rPr>
      </w:pPr>
      <w:bookmarkStart w:id="14" w:name="_Toc449605620"/>
      <w:r w:rsidRPr="00837E90">
        <w:rPr>
          <w:rFonts w:ascii="Times New Roman" w:hAnsi="Times New Roman"/>
          <w:color w:val="auto"/>
        </w:rPr>
        <w:lastRenderedPageBreak/>
        <w:t>C. Description and Use of the RWC Tool</w:t>
      </w:r>
      <w:bookmarkEnd w:id="14"/>
    </w:p>
    <w:p w:rsidR="005E17A2" w:rsidRPr="00316AB9" w:rsidRDefault="00D76A76" w:rsidP="00EB0E1F">
      <w:pPr>
        <w:rPr>
          <w:sz w:val="24"/>
        </w:rPr>
      </w:pPr>
      <w:r w:rsidRPr="00316AB9">
        <w:rPr>
          <w:sz w:val="24"/>
        </w:rPr>
        <w:t xml:space="preserve">The RWC Tool was developed in Microsoft Access to allow S/L/T agencies to </w:t>
      </w:r>
      <w:r w:rsidR="005E17A2" w:rsidRPr="00316AB9">
        <w:rPr>
          <w:sz w:val="24"/>
        </w:rPr>
        <w:t xml:space="preserve">adjust assumptions and </w:t>
      </w:r>
      <w:r w:rsidRPr="00316AB9">
        <w:rPr>
          <w:sz w:val="24"/>
        </w:rPr>
        <w:t>calculate annual emission</w:t>
      </w:r>
      <w:r w:rsidR="00656E8E" w:rsidRPr="00316AB9">
        <w:rPr>
          <w:sz w:val="24"/>
        </w:rPr>
        <w:t>s from RWC sources</w:t>
      </w:r>
      <w:r w:rsidRPr="00316AB9">
        <w:rPr>
          <w:sz w:val="24"/>
        </w:rPr>
        <w:t>. The Tool is designed to allow users to update county-level input parameter</w:t>
      </w:r>
      <w:r w:rsidR="00AC1BE3" w:rsidRPr="00316AB9">
        <w:rPr>
          <w:sz w:val="24"/>
        </w:rPr>
        <w:t>s</w:t>
      </w:r>
      <w:r w:rsidRPr="00316AB9">
        <w:rPr>
          <w:sz w:val="24"/>
        </w:rPr>
        <w:t xml:space="preserve"> (based on local survey</w:t>
      </w:r>
      <w:r w:rsidR="00AC1BE3" w:rsidRPr="00316AB9">
        <w:rPr>
          <w:sz w:val="24"/>
        </w:rPr>
        <w:t xml:space="preserve"> data</w:t>
      </w:r>
      <w:r w:rsidRPr="00316AB9">
        <w:rPr>
          <w:sz w:val="24"/>
        </w:rPr>
        <w:t xml:space="preserve">) and then calculate county-level emissions by </w:t>
      </w:r>
      <w:r w:rsidR="005E17A2" w:rsidRPr="00316AB9">
        <w:rPr>
          <w:sz w:val="24"/>
        </w:rPr>
        <w:t xml:space="preserve">clicking on the button in the Control Module form called </w:t>
      </w:r>
      <w:r w:rsidRPr="00316AB9">
        <w:rPr>
          <w:sz w:val="24"/>
        </w:rPr>
        <w:t xml:space="preserve">“Create </w:t>
      </w:r>
      <w:r w:rsidR="005E17A2" w:rsidRPr="00316AB9">
        <w:rPr>
          <w:sz w:val="24"/>
        </w:rPr>
        <w:t xml:space="preserve">Emissions </w:t>
      </w:r>
      <w:r w:rsidRPr="00316AB9">
        <w:rPr>
          <w:sz w:val="24"/>
        </w:rPr>
        <w:t>Inventory</w:t>
      </w:r>
      <w:r w:rsidR="005E17A2" w:rsidRPr="00316AB9">
        <w:rPr>
          <w:sz w:val="24"/>
        </w:rPr>
        <w:t>.</w:t>
      </w:r>
      <w:r w:rsidRPr="00316AB9">
        <w:rPr>
          <w:sz w:val="24"/>
        </w:rPr>
        <w:t>”</w:t>
      </w:r>
      <w:r w:rsidR="00656E8E" w:rsidRPr="00316AB9">
        <w:rPr>
          <w:sz w:val="24"/>
        </w:rPr>
        <w:t xml:space="preserve"> </w:t>
      </w:r>
    </w:p>
    <w:p w:rsidR="005E17A2" w:rsidRPr="00316AB9" w:rsidRDefault="005E17A2" w:rsidP="00EB0E1F">
      <w:pPr>
        <w:rPr>
          <w:sz w:val="24"/>
        </w:rPr>
      </w:pPr>
      <w:r w:rsidRPr="00316AB9">
        <w:rPr>
          <w:sz w:val="24"/>
        </w:rPr>
        <w:t xml:space="preserve">The results of the calculated emissions inventory are also exported to a separate database called “RWC Tool Output – EIS Format.” </w:t>
      </w:r>
      <w:r w:rsidRPr="00316AB9">
        <w:rPr>
          <w:b/>
          <w:sz w:val="24"/>
        </w:rPr>
        <w:t xml:space="preserve">This output database must be saved in the same folder as the RWC tool for the tool to run correctly. </w:t>
      </w:r>
      <w:r w:rsidRPr="00316AB9">
        <w:rPr>
          <w:sz w:val="24"/>
        </w:rPr>
        <w:t xml:space="preserve">The output database is in staging table format which can be used with the EPA Bridge Tool to generate XML </w:t>
      </w:r>
      <w:r w:rsidR="00AC1BE3" w:rsidRPr="00316AB9">
        <w:rPr>
          <w:sz w:val="24"/>
        </w:rPr>
        <w:t xml:space="preserve">files </w:t>
      </w:r>
      <w:r w:rsidRPr="00316AB9">
        <w:rPr>
          <w:sz w:val="24"/>
        </w:rPr>
        <w:t>to be uploaded to the Central Data Exchange.</w:t>
      </w:r>
    </w:p>
    <w:p w:rsidR="00C377C3" w:rsidRPr="00316AB9" w:rsidRDefault="00BC630D" w:rsidP="00EB0E1F">
      <w:pPr>
        <w:rPr>
          <w:sz w:val="24"/>
        </w:rPr>
      </w:pPr>
      <w:r w:rsidRPr="00316AB9">
        <w:rPr>
          <w:sz w:val="24"/>
        </w:rPr>
        <w:fldChar w:fldCharType="begin"/>
      </w:r>
      <w:r w:rsidRPr="00316AB9">
        <w:rPr>
          <w:sz w:val="24"/>
        </w:rPr>
        <w:instrText xml:space="preserve"> REF _Ref416173800 \h </w:instrText>
      </w:r>
      <w:r w:rsidRPr="00316AB9">
        <w:rPr>
          <w:sz w:val="24"/>
        </w:rPr>
      </w:r>
      <w:r w:rsidRPr="00316AB9">
        <w:rPr>
          <w:sz w:val="24"/>
        </w:rPr>
        <w:instrText xml:space="preserve"> \* MERGEFORMAT </w:instrText>
      </w:r>
      <w:r w:rsidRPr="00316AB9">
        <w:rPr>
          <w:sz w:val="24"/>
        </w:rPr>
        <w:fldChar w:fldCharType="separate"/>
      </w:r>
      <w:r w:rsidR="00975A86" w:rsidRPr="00316AB9">
        <w:rPr>
          <w:sz w:val="24"/>
        </w:rPr>
        <w:t xml:space="preserve">Figure </w:t>
      </w:r>
      <w:r w:rsidR="00975A86" w:rsidRPr="00316AB9">
        <w:rPr>
          <w:noProof/>
          <w:sz w:val="24"/>
        </w:rPr>
        <w:t>1</w:t>
      </w:r>
      <w:r w:rsidRPr="00316AB9">
        <w:rPr>
          <w:sz w:val="24"/>
        </w:rPr>
        <w:fldChar w:fldCharType="end"/>
      </w:r>
      <w:r w:rsidR="00D76A76" w:rsidRPr="00316AB9">
        <w:rPr>
          <w:sz w:val="24"/>
        </w:rPr>
        <w:t xml:space="preserve"> provides the flow of the RWC Tool calculations. The </w:t>
      </w:r>
      <w:r w:rsidR="00B300BC" w:rsidRPr="00316AB9">
        <w:rPr>
          <w:sz w:val="24"/>
        </w:rPr>
        <w:t>green</w:t>
      </w:r>
      <w:r w:rsidR="00D76A76" w:rsidRPr="00316AB9">
        <w:rPr>
          <w:sz w:val="24"/>
        </w:rPr>
        <w:t xml:space="preserve"> boxes in Figure 1 show calculated values wh</w:t>
      </w:r>
      <w:r w:rsidR="00CA6A0B" w:rsidRPr="00316AB9">
        <w:rPr>
          <w:sz w:val="24"/>
        </w:rPr>
        <w:t>ereas</w:t>
      </w:r>
      <w:r w:rsidR="00D76A76" w:rsidRPr="00316AB9">
        <w:rPr>
          <w:sz w:val="24"/>
        </w:rPr>
        <w:t xml:space="preserve"> the </w:t>
      </w:r>
      <w:r w:rsidR="00B300BC" w:rsidRPr="00316AB9">
        <w:rPr>
          <w:sz w:val="24"/>
        </w:rPr>
        <w:t xml:space="preserve">gray </w:t>
      </w:r>
      <w:r w:rsidR="00D76A76" w:rsidRPr="00316AB9">
        <w:rPr>
          <w:sz w:val="24"/>
        </w:rPr>
        <w:t>boxes show data inputs</w:t>
      </w:r>
      <w:r w:rsidR="00B300BC" w:rsidRPr="00316AB9">
        <w:rPr>
          <w:sz w:val="24"/>
        </w:rPr>
        <w:t xml:space="preserve"> or assumptions</w:t>
      </w:r>
      <w:r w:rsidR="00D76A76" w:rsidRPr="00316AB9">
        <w:rPr>
          <w:sz w:val="24"/>
        </w:rPr>
        <w:t>.</w:t>
      </w:r>
    </w:p>
    <w:p w:rsidR="00455355" w:rsidRPr="00316AB9" w:rsidRDefault="00D76A76" w:rsidP="007B2C1E">
      <w:pPr>
        <w:rPr>
          <w:sz w:val="24"/>
        </w:rPr>
      </w:pPr>
      <w:r w:rsidRPr="00316AB9">
        <w:rPr>
          <w:sz w:val="24"/>
        </w:rPr>
        <w:t>As shown in</w:t>
      </w:r>
      <w:r w:rsidR="002725F6" w:rsidRPr="00316AB9">
        <w:rPr>
          <w:sz w:val="24"/>
        </w:rPr>
        <w:t xml:space="preserve"> Table 6</w:t>
      </w:r>
      <w:r w:rsidRPr="00316AB9">
        <w:rPr>
          <w:sz w:val="24"/>
        </w:rPr>
        <w:t>, t</w:t>
      </w:r>
      <w:r w:rsidR="001F6BAA" w:rsidRPr="00316AB9">
        <w:rPr>
          <w:sz w:val="24"/>
        </w:rPr>
        <w:t>he RWC Tool consists of several tables of parameters used to calculate emis</w:t>
      </w:r>
      <w:r w:rsidR="00A83CC4" w:rsidRPr="00316AB9">
        <w:rPr>
          <w:sz w:val="24"/>
        </w:rPr>
        <w:t xml:space="preserve">sions associated with burning.  </w:t>
      </w:r>
      <w:r w:rsidR="00787D55" w:rsidRPr="00316AB9">
        <w:rPr>
          <w:sz w:val="24"/>
        </w:rPr>
        <w:t xml:space="preserve">Each </w:t>
      </w:r>
      <w:r w:rsidR="00685791" w:rsidRPr="00316AB9">
        <w:rPr>
          <w:sz w:val="24"/>
        </w:rPr>
        <w:t>is</w:t>
      </w:r>
      <w:r w:rsidR="00787D55" w:rsidRPr="00316AB9">
        <w:rPr>
          <w:sz w:val="24"/>
        </w:rPr>
        <w:t xml:space="preserve"> described below.</w:t>
      </w:r>
    </w:p>
    <w:p w:rsidR="00BA4D71" w:rsidRPr="00316AB9" w:rsidRDefault="00BA4D71" w:rsidP="00EB0E1F">
      <w:pPr>
        <w:pStyle w:val="Caption"/>
        <w:keepNext/>
        <w:spacing w:after="240"/>
        <w:jc w:val="center"/>
        <w:rPr>
          <w:sz w:val="24"/>
          <w:szCs w:val="24"/>
        </w:rPr>
      </w:pPr>
      <w:bookmarkStart w:id="15" w:name="_Ref416173800"/>
      <w:bookmarkStart w:id="16" w:name="_Toc416345740"/>
      <w:r w:rsidRPr="00316AB9">
        <w:rPr>
          <w:sz w:val="24"/>
          <w:szCs w:val="24"/>
        </w:rPr>
        <w:lastRenderedPageBreak/>
        <w:t xml:space="preserve">Figure </w:t>
      </w:r>
      <w:r w:rsidRPr="00316AB9">
        <w:rPr>
          <w:sz w:val="24"/>
          <w:szCs w:val="24"/>
        </w:rPr>
        <w:fldChar w:fldCharType="begin"/>
      </w:r>
      <w:r w:rsidRPr="00316AB9">
        <w:rPr>
          <w:sz w:val="24"/>
          <w:szCs w:val="24"/>
        </w:rPr>
        <w:instrText xml:space="preserve"> SEQ Figure \* ARABIC </w:instrText>
      </w:r>
      <w:r w:rsidRPr="00316AB9">
        <w:rPr>
          <w:sz w:val="24"/>
          <w:szCs w:val="24"/>
        </w:rPr>
        <w:fldChar w:fldCharType="separate"/>
      </w:r>
      <w:r w:rsidR="00975A86" w:rsidRPr="00316AB9">
        <w:rPr>
          <w:noProof/>
          <w:sz w:val="24"/>
          <w:szCs w:val="24"/>
        </w:rPr>
        <w:t>1</w:t>
      </w:r>
      <w:r w:rsidRPr="00316AB9">
        <w:rPr>
          <w:sz w:val="24"/>
          <w:szCs w:val="24"/>
        </w:rPr>
        <w:fldChar w:fldCharType="end"/>
      </w:r>
      <w:bookmarkEnd w:id="15"/>
      <w:r w:rsidRPr="00316AB9">
        <w:rPr>
          <w:sz w:val="24"/>
          <w:szCs w:val="24"/>
        </w:rPr>
        <w:t xml:space="preserve">. </w:t>
      </w:r>
      <w:r w:rsidR="005F40E8" w:rsidRPr="00316AB9">
        <w:rPr>
          <w:b w:val="0"/>
          <w:sz w:val="24"/>
          <w:szCs w:val="24"/>
        </w:rPr>
        <w:t>RWC Tool Data</w:t>
      </w:r>
      <w:r w:rsidRPr="00316AB9">
        <w:rPr>
          <w:b w:val="0"/>
          <w:sz w:val="24"/>
          <w:szCs w:val="24"/>
        </w:rPr>
        <w:t xml:space="preserve"> Flow Diagram</w:t>
      </w:r>
      <w:bookmarkEnd w:id="16"/>
    </w:p>
    <w:p w:rsidR="00455355" w:rsidRPr="00837E90" w:rsidRDefault="00837E90" w:rsidP="00415D9B">
      <w:pPr>
        <w:jc w:val="center"/>
      </w:pPr>
      <w:r w:rsidRPr="00837E90">
        <w:rPr>
          <w:noProof/>
        </w:rPr>
        <w:drawing>
          <wp:inline distT="0" distB="0" distL="0" distR="0">
            <wp:extent cx="5951220" cy="4267200"/>
            <wp:effectExtent l="0" t="0" r="0" b="0"/>
            <wp:docPr id="2" name="Picture 1" descr="Figure 1. RWC Tool Data 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1220" cy="4267200"/>
                    </a:xfrm>
                    <a:prstGeom prst="rect">
                      <a:avLst/>
                    </a:prstGeom>
                    <a:noFill/>
                    <a:ln>
                      <a:noFill/>
                    </a:ln>
                  </pic:spPr>
                </pic:pic>
              </a:graphicData>
            </a:graphic>
          </wp:inline>
        </w:drawing>
      </w:r>
    </w:p>
    <w:p w:rsidR="00BC630D" w:rsidRPr="00316AB9" w:rsidRDefault="00BC630D" w:rsidP="00BC630D">
      <w:pPr>
        <w:pStyle w:val="Caption"/>
        <w:keepNext/>
        <w:spacing w:after="240"/>
        <w:jc w:val="center"/>
        <w:rPr>
          <w:sz w:val="24"/>
          <w:szCs w:val="24"/>
        </w:rPr>
      </w:pPr>
      <w:bookmarkStart w:id="17" w:name="_Ref416173903"/>
      <w:bookmarkStart w:id="18" w:name="_Toc416345744"/>
      <w:r w:rsidRPr="00316AB9">
        <w:rPr>
          <w:sz w:val="24"/>
          <w:szCs w:val="24"/>
        </w:rPr>
        <w:t xml:space="preserve">Table </w:t>
      </w:r>
      <w:r w:rsidRPr="00316AB9">
        <w:rPr>
          <w:sz w:val="24"/>
          <w:szCs w:val="24"/>
        </w:rPr>
        <w:fldChar w:fldCharType="begin"/>
      </w:r>
      <w:r w:rsidRPr="00316AB9">
        <w:rPr>
          <w:sz w:val="24"/>
          <w:szCs w:val="24"/>
        </w:rPr>
        <w:instrText xml:space="preserve"> SEQ Table \* ARABIC </w:instrText>
      </w:r>
      <w:r w:rsidRPr="00316AB9">
        <w:rPr>
          <w:sz w:val="24"/>
          <w:szCs w:val="24"/>
        </w:rPr>
        <w:fldChar w:fldCharType="separate"/>
      </w:r>
      <w:r w:rsidR="00975A86" w:rsidRPr="00316AB9">
        <w:rPr>
          <w:noProof/>
          <w:sz w:val="24"/>
          <w:szCs w:val="24"/>
        </w:rPr>
        <w:t>6</w:t>
      </w:r>
      <w:r w:rsidRPr="00316AB9">
        <w:rPr>
          <w:sz w:val="24"/>
          <w:szCs w:val="24"/>
        </w:rPr>
        <w:fldChar w:fldCharType="end"/>
      </w:r>
      <w:bookmarkEnd w:id="17"/>
      <w:r w:rsidRPr="00316AB9">
        <w:rPr>
          <w:sz w:val="24"/>
          <w:szCs w:val="24"/>
        </w:rPr>
        <w:t xml:space="preserve">. </w:t>
      </w:r>
      <w:r w:rsidRPr="00316AB9">
        <w:rPr>
          <w:b w:val="0"/>
          <w:sz w:val="24"/>
          <w:szCs w:val="24"/>
        </w:rPr>
        <w:t>Listing and Descriptions of the Tables Included in the RWC Tool</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2573"/>
        <w:gridCol w:w="5077"/>
      </w:tblGrid>
      <w:tr w:rsidR="00F47DF7" w:rsidRPr="00837E90" w:rsidTr="00B8169A">
        <w:trPr>
          <w:tblHeader/>
        </w:trPr>
        <w:tc>
          <w:tcPr>
            <w:tcW w:w="1728" w:type="dxa"/>
            <w:shd w:val="clear" w:color="auto" w:fill="auto"/>
          </w:tcPr>
          <w:p w:rsidR="00FF46E1" w:rsidRPr="00837E90" w:rsidRDefault="00B300BC" w:rsidP="00B71E0D">
            <w:pPr>
              <w:spacing w:after="0" w:line="240" w:lineRule="auto"/>
              <w:rPr>
                <w:b/>
                <w:sz w:val="20"/>
                <w:szCs w:val="22"/>
              </w:rPr>
            </w:pPr>
            <w:r w:rsidRPr="00837E90">
              <w:rPr>
                <w:b/>
                <w:sz w:val="20"/>
                <w:szCs w:val="22"/>
              </w:rPr>
              <w:t>Data Element</w:t>
            </w:r>
          </w:p>
        </w:tc>
        <w:tc>
          <w:tcPr>
            <w:tcW w:w="2592" w:type="dxa"/>
            <w:shd w:val="clear" w:color="auto" w:fill="auto"/>
          </w:tcPr>
          <w:p w:rsidR="00FF46E1" w:rsidRPr="00837E90" w:rsidRDefault="00FF46E1" w:rsidP="00B71E0D">
            <w:pPr>
              <w:spacing w:after="0" w:line="240" w:lineRule="auto"/>
              <w:rPr>
                <w:b/>
                <w:sz w:val="20"/>
                <w:szCs w:val="22"/>
              </w:rPr>
            </w:pPr>
            <w:r w:rsidRPr="00837E90">
              <w:rPr>
                <w:b/>
                <w:sz w:val="20"/>
                <w:szCs w:val="22"/>
              </w:rPr>
              <w:t>Location in RWC Tool</w:t>
            </w:r>
          </w:p>
        </w:tc>
        <w:tc>
          <w:tcPr>
            <w:tcW w:w="5238" w:type="dxa"/>
            <w:shd w:val="clear" w:color="auto" w:fill="auto"/>
          </w:tcPr>
          <w:p w:rsidR="00FF46E1" w:rsidRPr="00837E90" w:rsidRDefault="00B300BC" w:rsidP="00B71E0D">
            <w:pPr>
              <w:spacing w:after="0" w:line="240" w:lineRule="auto"/>
              <w:rPr>
                <w:b/>
                <w:sz w:val="20"/>
                <w:szCs w:val="22"/>
              </w:rPr>
            </w:pPr>
            <w:r w:rsidRPr="00837E90">
              <w:rPr>
                <w:b/>
                <w:sz w:val="20"/>
                <w:szCs w:val="22"/>
              </w:rPr>
              <w:t>Data Element</w:t>
            </w:r>
            <w:r w:rsidR="00FF46E1" w:rsidRPr="00837E90">
              <w:rPr>
                <w:b/>
                <w:sz w:val="20"/>
                <w:szCs w:val="22"/>
              </w:rPr>
              <w:t xml:space="preserve"> Description</w:t>
            </w:r>
          </w:p>
        </w:tc>
      </w:tr>
      <w:tr w:rsidR="00F47DF7" w:rsidRPr="00837E90" w:rsidTr="00FF46E1">
        <w:tc>
          <w:tcPr>
            <w:tcW w:w="1728" w:type="dxa"/>
          </w:tcPr>
          <w:p w:rsidR="00FF46E1" w:rsidRPr="00837E90" w:rsidRDefault="00FF46E1" w:rsidP="00B71E0D">
            <w:pPr>
              <w:spacing w:after="0" w:line="240" w:lineRule="auto"/>
              <w:rPr>
                <w:sz w:val="20"/>
                <w:szCs w:val="22"/>
              </w:rPr>
            </w:pPr>
            <w:r w:rsidRPr="00837E90">
              <w:rPr>
                <w:sz w:val="20"/>
                <w:szCs w:val="22"/>
              </w:rPr>
              <w:t>Occupied Housing Units</w:t>
            </w:r>
          </w:p>
        </w:tc>
        <w:tc>
          <w:tcPr>
            <w:tcW w:w="2592" w:type="dxa"/>
          </w:tcPr>
          <w:p w:rsidR="00FF46E1" w:rsidRPr="00837E90" w:rsidRDefault="00FF46E1" w:rsidP="00B71E0D">
            <w:pPr>
              <w:spacing w:after="0" w:line="240" w:lineRule="auto"/>
              <w:rPr>
                <w:sz w:val="20"/>
                <w:szCs w:val="22"/>
              </w:rPr>
            </w:pPr>
            <w:proofErr w:type="spellStart"/>
            <w:r w:rsidRPr="00837E90">
              <w:rPr>
                <w:sz w:val="20"/>
                <w:szCs w:val="22"/>
              </w:rPr>
              <w:t>Homes_by_House_Type</w:t>
            </w:r>
            <w:proofErr w:type="spellEnd"/>
            <w:r w:rsidRPr="00837E90">
              <w:rPr>
                <w:sz w:val="20"/>
                <w:szCs w:val="22"/>
              </w:rPr>
              <w:t>;</w:t>
            </w:r>
          </w:p>
          <w:p w:rsidR="00FF46E1" w:rsidRPr="00837E90" w:rsidRDefault="00FF46E1" w:rsidP="00B71E0D">
            <w:pPr>
              <w:spacing w:after="0" w:line="240" w:lineRule="auto"/>
              <w:rPr>
                <w:sz w:val="20"/>
                <w:szCs w:val="22"/>
              </w:rPr>
            </w:pPr>
            <w:r w:rsidRPr="00837E90">
              <w:rPr>
                <w:sz w:val="20"/>
                <w:szCs w:val="22"/>
              </w:rPr>
              <w:t>Master County Table</w:t>
            </w:r>
          </w:p>
        </w:tc>
        <w:tc>
          <w:tcPr>
            <w:tcW w:w="5238" w:type="dxa"/>
          </w:tcPr>
          <w:p w:rsidR="00FF46E1" w:rsidRPr="00837E90" w:rsidRDefault="00B300BC" w:rsidP="00FF46E1">
            <w:pPr>
              <w:spacing w:after="0" w:line="240" w:lineRule="auto"/>
              <w:rPr>
                <w:sz w:val="20"/>
                <w:szCs w:val="22"/>
              </w:rPr>
            </w:pPr>
            <w:r w:rsidRPr="00837E90">
              <w:rPr>
                <w:sz w:val="20"/>
                <w:szCs w:val="22"/>
              </w:rPr>
              <w:t>N</w:t>
            </w:r>
            <w:r w:rsidR="00FF46E1" w:rsidRPr="00837E90">
              <w:rPr>
                <w:sz w:val="20"/>
                <w:szCs w:val="22"/>
              </w:rPr>
              <w:t>umber of occupied housing units in 2014. “</w:t>
            </w:r>
            <w:proofErr w:type="spellStart"/>
            <w:r w:rsidR="00FF46E1" w:rsidRPr="00837E90">
              <w:rPr>
                <w:sz w:val="20"/>
                <w:szCs w:val="22"/>
              </w:rPr>
              <w:t>Homes_by_House_Type</w:t>
            </w:r>
            <w:proofErr w:type="spellEnd"/>
            <w:r w:rsidR="00FF46E1" w:rsidRPr="00837E90">
              <w:rPr>
                <w:sz w:val="20"/>
                <w:szCs w:val="22"/>
              </w:rPr>
              <w:t xml:space="preserve">” provides data for each house type. “Master County Table” provides the total number of homes. </w:t>
            </w:r>
          </w:p>
        </w:tc>
      </w:tr>
      <w:tr w:rsidR="00F47DF7" w:rsidRPr="00837E90" w:rsidTr="00FF46E1">
        <w:tc>
          <w:tcPr>
            <w:tcW w:w="1728" w:type="dxa"/>
          </w:tcPr>
          <w:p w:rsidR="00FF46E1" w:rsidRPr="00837E90" w:rsidRDefault="00FF46E1" w:rsidP="00FF46E1">
            <w:pPr>
              <w:spacing w:after="0" w:line="240" w:lineRule="auto"/>
              <w:rPr>
                <w:sz w:val="20"/>
                <w:szCs w:val="22"/>
              </w:rPr>
            </w:pPr>
            <w:r w:rsidRPr="00837E90">
              <w:rPr>
                <w:sz w:val="20"/>
                <w:szCs w:val="22"/>
              </w:rPr>
              <w:t>Appliance Fraction</w:t>
            </w:r>
          </w:p>
        </w:tc>
        <w:tc>
          <w:tcPr>
            <w:tcW w:w="2592" w:type="dxa"/>
          </w:tcPr>
          <w:p w:rsidR="00FF46E1" w:rsidRPr="00837E90" w:rsidRDefault="00FF46E1" w:rsidP="00FF46E1">
            <w:pPr>
              <w:spacing w:after="0" w:line="240" w:lineRule="auto"/>
              <w:ind w:left="351" w:hanging="360"/>
              <w:rPr>
                <w:sz w:val="20"/>
                <w:szCs w:val="22"/>
              </w:rPr>
            </w:pPr>
            <w:proofErr w:type="spellStart"/>
            <w:r w:rsidRPr="00837E90">
              <w:rPr>
                <w:sz w:val="20"/>
                <w:szCs w:val="22"/>
              </w:rPr>
              <w:t>ApplFracBurnRate</w:t>
            </w:r>
            <w:proofErr w:type="spellEnd"/>
            <w:r w:rsidRPr="00837E90">
              <w:rPr>
                <w:sz w:val="20"/>
                <w:szCs w:val="22"/>
              </w:rPr>
              <w:t xml:space="preserve"> (for woodstoves, fireplaces, and furnaces)</w:t>
            </w:r>
          </w:p>
          <w:p w:rsidR="00FF46E1" w:rsidRPr="00837E90" w:rsidRDefault="00FF46E1" w:rsidP="00FF46E1">
            <w:pPr>
              <w:spacing w:after="0" w:line="240" w:lineRule="auto"/>
              <w:ind w:left="351" w:hanging="351"/>
              <w:rPr>
                <w:sz w:val="20"/>
                <w:szCs w:val="22"/>
              </w:rPr>
            </w:pPr>
            <w:proofErr w:type="spellStart"/>
            <w:r w:rsidRPr="00837E90">
              <w:rPr>
                <w:sz w:val="20"/>
                <w:szCs w:val="22"/>
              </w:rPr>
              <w:t>ApplFracBurnRate_other</w:t>
            </w:r>
            <w:proofErr w:type="spellEnd"/>
            <w:r w:rsidRPr="00837E90">
              <w:rPr>
                <w:sz w:val="20"/>
                <w:szCs w:val="22"/>
              </w:rPr>
              <w:t xml:space="preserve"> (for OHHs, wax </w:t>
            </w:r>
            <w:proofErr w:type="spellStart"/>
            <w:r w:rsidRPr="00837E90">
              <w:rPr>
                <w:sz w:val="20"/>
                <w:szCs w:val="22"/>
              </w:rPr>
              <w:t>firelogs</w:t>
            </w:r>
            <w:proofErr w:type="spellEnd"/>
            <w:r w:rsidRPr="00837E90">
              <w:rPr>
                <w:sz w:val="20"/>
                <w:szCs w:val="22"/>
              </w:rPr>
              <w:t>, and outdoor devices)</w:t>
            </w:r>
          </w:p>
        </w:tc>
        <w:tc>
          <w:tcPr>
            <w:tcW w:w="5238" w:type="dxa"/>
          </w:tcPr>
          <w:p w:rsidR="00FF46E1" w:rsidRPr="00837E90" w:rsidRDefault="00B300BC" w:rsidP="00FF46E1">
            <w:pPr>
              <w:spacing w:after="0" w:line="240" w:lineRule="auto"/>
              <w:ind w:hanging="9"/>
              <w:rPr>
                <w:sz w:val="20"/>
                <w:szCs w:val="22"/>
              </w:rPr>
            </w:pPr>
            <w:r w:rsidRPr="00837E90">
              <w:rPr>
                <w:sz w:val="20"/>
                <w:szCs w:val="22"/>
              </w:rPr>
              <w:t>F</w:t>
            </w:r>
            <w:r w:rsidR="00FF46E1" w:rsidRPr="00837E90">
              <w:rPr>
                <w:sz w:val="20"/>
                <w:szCs w:val="22"/>
              </w:rPr>
              <w:t>raction of homes in each county that use each type of wood burning appliance. The appliance fractions in the “</w:t>
            </w:r>
            <w:proofErr w:type="spellStart"/>
            <w:r w:rsidR="00FF46E1" w:rsidRPr="00837E90">
              <w:rPr>
                <w:sz w:val="20"/>
                <w:szCs w:val="22"/>
              </w:rPr>
              <w:t>ApplFracBurnRate</w:t>
            </w:r>
            <w:proofErr w:type="spellEnd"/>
            <w:r w:rsidR="00FF46E1" w:rsidRPr="00837E90">
              <w:rPr>
                <w:sz w:val="20"/>
                <w:szCs w:val="22"/>
              </w:rPr>
              <w:t>” table (used for woodstoves, fireplaces, and furnaces) are split into separate fractions by house type. The appliance fractions in the “</w:t>
            </w:r>
            <w:proofErr w:type="spellStart"/>
            <w:r w:rsidR="00FF46E1" w:rsidRPr="00837E90">
              <w:rPr>
                <w:sz w:val="20"/>
                <w:szCs w:val="22"/>
              </w:rPr>
              <w:t>ApplFracBurnRate_other</w:t>
            </w:r>
            <w:proofErr w:type="spellEnd"/>
            <w:r w:rsidR="00FF46E1" w:rsidRPr="00837E90">
              <w:rPr>
                <w:sz w:val="20"/>
                <w:szCs w:val="22"/>
              </w:rPr>
              <w:t xml:space="preserve">” table (used for OHHs, wax </w:t>
            </w:r>
            <w:proofErr w:type="spellStart"/>
            <w:r w:rsidR="00FF46E1" w:rsidRPr="00837E90">
              <w:rPr>
                <w:sz w:val="20"/>
                <w:szCs w:val="22"/>
              </w:rPr>
              <w:t>firelogs</w:t>
            </w:r>
            <w:proofErr w:type="spellEnd"/>
            <w:r w:rsidR="00FF46E1" w:rsidRPr="00837E90">
              <w:rPr>
                <w:sz w:val="20"/>
                <w:szCs w:val="22"/>
              </w:rPr>
              <w:t>, and outdoor devices) apply to all houses in the county.</w:t>
            </w:r>
          </w:p>
        </w:tc>
      </w:tr>
      <w:tr w:rsidR="00F47DF7" w:rsidRPr="00837E90" w:rsidTr="00FF46E1">
        <w:tc>
          <w:tcPr>
            <w:tcW w:w="1728" w:type="dxa"/>
          </w:tcPr>
          <w:p w:rsidR="00FF46E1" w:rsidRPr="00837E90" w:rsidRDefault="00FF46E1" w:rsidP="00B71E0D">
            <w:pPr>
              <w:spacing w:after="0" w:line="240" w:lineRule="auto"/>
              <w:rPr>
                <w:sz w:val="20"/>
                <w:szCs w:val="22"/>
              </w:rPr>
            </w:pPr>
            <w:r w:rsidRPr="00837E90">
              <w:rPr>
                <w:sz w:val="20"/>
                <w:szCs w:val="22"/>
              </w:rPr>
              <w:t>Burn Rates</w:t>
            </w:r>
          </w:p>
        </w:tc>
        <w:tc>
          <w:tcPr>
            <w:tcW w:w="2592" w:type="dxa"/>
          </w:tcPr>
          <w:p w:rsidR="00FF46E1" w:rsidRPr="00837E90" w:rsidRDefault="00FF46E1" w:rsidP="00FF46E1">
            <w:pPr>
              <w:spacing w:after="0" w:line="240" w:lineRule="auto"/>
              <w:ind w:left="351" w:hanging="360"/>
              <w:rPr>
                <w:sz w:val="20"/>
                <w:szCs w:val="22"/>
              </w:rPr>
            </w:pPr>
            <w:proofErr w:type="spellStart"/>
            <w:r w:rsidRPr="00837E90">
              <w:rPr>
                <w:sz w:val="20"/>
                <w:szCs w:val="22"/>
              </w:rPr>
              <w:t>ApplFracBurnRate</w:t>
            </w:r>
            <w:proofErr w:type="spellEnd"/>
            <w:r w:rsidRPr="00837E90">
              <w:rPr>
                <w:sz w:val="20"/>
                <w:szCs w:val="22"/>
              </w:rPr>
              <w:t xml:space="preserve"> (for woodstoves, fireplaces, and furnaces)</w:t>
            </w:r>
          </w:p>
          <w:p w:rsidR="00FF46E1" w:rsidRPr="00837E90" w:rsidRDefault="00FF46E1" w:rsidP="00FF46E1">
            <w:pPr>
              <w:spacing w:after="0" w:line="240" w:lineRule="auto"/>
              <w:rPr>
                <w:sz w:val="20"/>
                <w:szCs w:val="22"/>
              </w:rPr>
            </w:pPr>
            <w:proofErr w:type="spellStart"/>
            <w:r w:rsidRPr="00837E90">
              <w:rPr>
                <w:sz w:val="20"/>
                <w:szCs w:val="22"/>
              </w:rPr>
              <w:t>ApplFracBurnRate_other</w:t>
            </w:r>
            <w:proofErr w:type="spellEnd"/>
            <w:r w:rsidRPr="00837E90">
              <w:rPr>
                <w:sz w:val="20"/>
                <w:szCs w:val="22"/>
              </w:rPr>
              <w:t xml:space="preserve"> (for OHHs, wax </w:t>
            </w:r>
            <w:proofErr w:type="spellStart"/>
            <w:r w:rsidRPr="00837E90">
              <w:rPr>
                <w:sz w:val="20"/>
                <w:szCs w:val="22"/>
              </w:rPr>
              <w:t>firelogs</w:t>
            </w:r>
            <w:proofErr w:type="spellEnd"/>
            <w:r w:rsidRPr="00837E90">
              <w:rPr>
                <w:sz w:val="20"/>
                <w:szCs w:val="22"/>
              </w:rPr>
              <w:t>, and outdoor devices)</w:t>
            </w:r>
          </w:p>
        </w:tc>
        <w:tc>
          <w:tcPr>
            <w:tcW w:w="5238" w:type="dxa"/>
          </w:tcPr>
          <w:p w:rsidR="00FF46E1" w:rsidRPr="00837E90" w:rsidRDefault="00B300BC" w:rsidP="00B300BC">
            <w:pPr>
              <w:spacing w:after="0" w:line="240" w:lineRule="auto"/>
              <w:rPr>
                <w:sz w:val="20"/>
                <w:szCs w:val="22"/>
              </w:rPr>
            </w:pPr>
            <w:r w:rsidRPr="00837E90">
              <w:rPr>
                <w:sz w:val="20"/>
                <w:szCs w:val="22"/>
              </w:rPr>
              <w:t>B</w:t>
            </w:r>
            <w:r w:rsidR="00FF46E1" w:rsidRPr="00837E90">
              <w:rPr>
                <w:sz w:val="20"/>
                <w:szCs w:val="22"/>
              </w:rPr>
              <w:t>urn rates</w:t>
            </w:r>
            <w:r w:rsidRPr="00837E90">
              <w:rPr>
                <w:sz w:val="20"/>
                <w:szCs w:val="22"/>
              </w:rPr>
              <w:t xml:space="preserve">, which are the number of </w:t>
            </w:r>
            <w:r w:rsidR="00FF46E1" w:rsidRPr="00837E90">
              <w:rPr>
                <w:sz w:val="20"/>
                <w:szCs w:val="22"/>
              </w:rPr>
              <w:t>cords burned per year per appliance.</w:t>
            </w:r>
            <w:r w:rsidRPr="00837E90">
              <w:rPr>
                <w:sz w:val="20"/>
                <w:szCs w:val="22"/>
              </w:rPr>
              <w:t xml:space="preserve"> The burn rates in the “</w:t>
            </w:r>
            <w:proofErr w:type="spellStart"/>
            <w:r w:rsidRPr="00837E90">
              <w:rPr>
                <w:sz w:val="20"/>
                <w:szCs w:val="22"/>
              </w:rPr>
              <w:t>ApplFracBurnRate</w:t>
            </w:r>
            <w:proofErr w:type="spellEnd"/>
            <w:r w:rsidRPr="00837E90">
              <w:rPr>
                <w:sz w:val="20"/>
                <w:szCs w:val="22"/>
              </w:rPr>
              <w:t>” table (used for woodstoves, fireplaces, and furnaces) are split into separate rates by house type. The burn rates in the “</w:t>
            </w:r>
            <w:proofErr w:type="spellStart"/>
            <w:r w:rsidRPr="00837E90">
              <w:rPr>
                <w:sz w:val="20"/>
                <w:szCs w:val="22"/>
              </w:rPr>
              <w:t>ApplFracBurnRate_other</w:t>
            </w:r>
            <w:proofErr w:type="spellEnd"/>
            <w:r w:rsidRPr="00837E90">
              <w:rPr>
                <w:sz w:val="20"/>
                <w:szCs w:val="22"/>
              </w:rPr>
              <w:t xml:space="preserve">” table (used for OHHs, wax </w:t>
            </w:r>
            <w:proofErr w:type="spellStart"/>
            <w:r w:rsidRPr="00837E90">
              <w:rPr>
                <w:sz w:val="20"/>
                <w:szCs w:val="22"/>
              </w:rPr>
              <w:t>firelogs</w:t>
            </w:r>
            <w:proofErr w:type="spellEnd"/>
            <w:r w:rsidRPr="00837E90">
              <w:rPr>
                <w:sz w:val="20"/>
                <w:szCs w:val="22"/>
              </w:rPr>
              <w:t>, and outdoor devices) apply to all houses in the county.</w:t>
            </w:r>
          </w:p>
        </w:tc>
      </w:tr>
      <w:tr w:rsidR="00F47DF7" w:rsidRPr="00837E90" w:rsidTr="00FF46E1">
        <w:tc>
          <w:tcPr>
            <w:tcW w:w="1728" w:type="dxa"/>
          </w:tcPr>
          <w:p w:rsidR="00FF46E1" w:rsidRPr="00837E90" w:rsidRDefault="00B300BC" w:rsidP="00B71E0D">
            <w:pPr>
              <w:spacing w:after="0" w:line="240" w:lineRule="auto"/>
              <w:rPr>
                <w:sz w:val="20"/>
                <w:szCs w:val="22"/>
              </w:rPr>
            </w:pPr>
            <w:r w:rsidRPr="00837E90">
              <w:rPr>
                <w:sz w:val="20"/>
                <w:szCs w:val="22"/>
              </w:rPr>
              <w:t>Wood Density</w:t>
            </w:r>
          </w:p>
        </w:tc>
        <w:tc>
          <w:tcPr>
            <w:tcW w:w="2592" w:type="dxa"/>
          </w:tcPr>
          <w:p w:rsidR="00FF46E1" w:rsidRPr="00837E90" w:rsidRDefault="00B300BC" w:rsidP="00B71E0D">
            <w:pPr>
              <w:spacing w:after="0" w:line="240" w:lineRule="auto"/>
              <w:rPr>
                <w:sz w:val="20"/>
                <w:szCs w:val="22"/>
              </w:rPr>
            </w:pPr>
            <w:r w:rsidRPr="00837E90">
              <w:rPr>
                <w:sz w:val="20"/>
                <w:szCs w:val="22"/>
              </w:rPr>
              <w:t>Master County Table</w:t>
            </w:r>
          </w:p>
        </w:tc>
        <w:tc>
          <w:tcPr>
            <w:tcW w:w="5238" w:type="dxa"/>
          </w:tcPr>
          <w:p w:rsidR="00FF46E1" w:rsidRPr="00837E90" w:rsidRDefault="00B300BC" w:rsidP="00B300BC">
            <w:pPr>
              <w:spacing w:after="0" w:line="240" w:lineRule="auto"/>
              <w:rPr>
                <w:sz w:val="20"/>
                <w:szCs w:val="22"/>
              </w:rPr>
            </w:pPr>
            <w:r w:rsidRPr="00837E90">
              <w:rPr>
                <w:sz w:val="20"/>
                <w:szCs w:val="22"/>
              </w:rPr>
              <w:t>Density (</w:t>
            </w:r>
            <w:r w:rsidR="00FF46E1" w:rsidRPr="00837E90">
              <w:rPr>
                <w:sz w:val="20"/>
                <w:szCs w:val="22"/>
              </w:rPr>
              <w:t>tons/cord</w:t>
            </w:r>
            <w:r w:rsidRPr="00837E90">
              <w:rPr>
                <w:sz w:val="20"/>
                <w:szCs w:val="22"/>
              </w:rPr>
              <w:t>) of firewood in each county.</w:t>
            </w:r>
          </w:p>
        </w:tc>
      </w:tr>
      <w:tr w:rsidR="00F47DF7" w:rsidRPr="00837E90" w:rsidTr="00FF46E1">
        <w:tc>
          <w:tcPr>
            <w:tcW w:w="1728" w:type="dxa"/>
          </w:tcPr>
          <w:p w:rsidR="00B300BC" w:rsidRPr="00837E90" w:rsidRDefault="00B300BC" w:rsidP="00B71E0D">
            <w:pPr>
              <w:spacing w:after="0" w:line="240" w:lineRule="auto"/>
              <w:rPr>
                <w:sz w:val="20"/>
                <w:szCs w:val="22"/>
              </w:rPr>
            </w:pPr>
            <w:r w:rsidRPr="00837E90">
              <w:rPr>
                <w:sz w:val="20"/>
                <w:szCs w:val="22"/>
              </w:rPr>
              <w:lastRenderedPageBreak/>
              <w:t>Certification Profiles</w:t>
            </w:r>
          </w:p>
        </w:tc>
        <w:tc>
          <w:tcPr>
            <w:tcW w:w="2592" w:type="dxa"/>
          </w:tcPr>
          <w:p w:rsidR="00B300BC" w:rsidRPr="00837E90" w:rsidRDefault="00B300BC" w:rsidP="00B71E0D">
            <w:pPr>
              <w:spacing w:after="0" w:line="240" w:lineRule="auto"/>
              <w:rPr>
                <w:sz w:val="20"/>
                <w:szCs w:val="22"/>
              </w:rPr>
            </w:pPr>
            <w:r w:rsidRPr="00837E90">
              <w:rPr>
                <w:sz w:val="20"/>
                <w:szCs w:val="22"/>
              </w:rPr>
              <w:t>Certification Profiles</w:t>
            </w:r>
          </w:p>
        </w:tc>
        <w:tc>
          <w:tcPr>
            <w:tcW w:w="5238" w:type="dxa"/>
          </w:tcPr>
          <w:p w:rsidR="00B300BC" w:rsidRPr="00837E90" w:rsidRDefault="00B300BC" w:rsidP="00B300BC">
            <w:pPr>
              <w:spacing w:after="0" w:line="240" w:lineRule="auto"/>
              <w:rPr>
                <w:sz w:val="20"/>
                <w:szCs w:val="22"/>
              </w:rPr>
            </w:pPr>
            <w:r w:rsidRPr="00837E90">
              <w:rPr>
                <w:sz w:val="20"/>
                <w:szCs w:val="22"/>
              </w:rPr>
              <w:t>Assumptions used to split general data on the total number of fireplaces or woodstoves into specific SCCs.</w:t>
            </w:r>
          </w:p>
        </w:tc>
      </w:tr>
      <w:tr w:rsidR="00F47DF7" w:rsidRPr="00837E90" w:rsidTr="00FF46E1">
        <w:tc>
          <w:tcPr>
            <w:tcW w:w="1728" w:type="dxa"/>
          </w:tcPr>
          <w:p w:rsidR="00FF46E1" w:rsidRPr="00837E90" w:rsidRDefault="00FF46E1" w:rsidP="00B300BC">
            <w:pPr>
              <w:spacing w:after="0" w:line="240" w:lineRule="auto"/>
              <w:rPr>
                <w:sz w:val="20"/>
                <w:szCs w:val="22"/>
              </w:rPr>
            </w:pPr>
            <w:r w:rsidRPr="00837E90">
              <w:rPr>
                <w:sz w:val="20"/>
                <w:szCs w:val="22"/>
              </w:rPr>
              <w:t xml:space="preserve">Emission </w:t>
            </w:r>
            <w:r w:rsidR="00B300BC" w:rsidRPr="00837E90">
              <w:rPr>
                <w:sz w:val="20"/>
                <w:szCs w:val="22"/>
              </w:rPr>
              <w:t>Factor</w:t>
            </w:r>
          </w:p>
        </w:tc>
        <w:tc>
          <w:tcPr>
            <w:tcW w:w="2592" w:type="dxa"/>
          </w:tcPr>
          <w:p w:rsidR="00FF46E1" w:rsidRPr="00837E90" w:rsidRDefault="00B300BC" w:rsidP="00B71E0D">
            <w:pPr>
              <w:spacing w:after="0" w:line="240" w:lineRule="auto"/>
              <w:rPr>
                <w:sz w:val="20"/>
                <w:szCs w:val="22"/>
              </w:rPr>
            </w:pPr>
            <w:r w:rsidRPr="00837E90">
              <w:rPr>
                <w:sz w:val="20"/>
                <w:szCs w:val="22"/>
              </w:rPr>
              <w:t>Emission Factor by SCC</w:t>
            </w:r>
          </w:p>
        </w:tc>
        <w:tc>
          <w:tcPr>
            <w:tcW w:w="5238" w:type="dxa"/>
          </w:tcPr>
          <w:p w:rsidR="00FF46E1" w:rsidRPr="00837E90" w:rsidRDefault="00B300BC" w:rsidP="00B300BC">
            <w:pPr>
              <w:spacing w:after="0" w:line="240" w:lineRule="auto"/>
              <w:rPr>
                <w:sz w:val="20"/>
                <w:szCs w:val="22"/>
              </w:rPr>
            </w:pPr>
            <w:r w:rsidRPr="00837E90">
              <w:rPr>
                <w:sz w:val="20"/>
                <w:szCs w:val="22"/>
              </w:rPr>
              <w:t>E</w:t>
            </w:r>
            <w:r w:rsidR="00FF46E1" w:rsidRPr="00837E90">
              <w:rPr>
                <w:sz w:val="20"/>
                <w:szCs w:val="22"/>
              </w:rPr>
              <w:t>mission factor with units</w:t>
            </w:r>
            <w:r w:rsidRPr="00837E90">
              <w:rPr>
                <w:sz w:val="20"/>
                <w:szCs w:val="22"/>
              </w:rPr>
              <w:t xml:space="preserve"> by pollutant and SCC.</w:t>
            </w:r>
          </w:p>
        </w:tc>
      </w:tr>
      <w:tr w:rsidR="00F47DF7" w:rsidRPr="00837E90" w:rsidTr="00FF46E1">
        <w:tc>
          <w:tcPr>
            <w:tcW w:w="1728" w:type="dxa"/>
          </w:tcPr>
          <w:p w:rsidR="00B300BC" w:rsidRPr="00837E90" w:rsidRDefault="00B300BC" w:rsidP="00B300BC">
            <w:pPr>
              <w:spacing w:after="0" w:line="240" w:lineRule="auto"/>
              <w:rPr>
                <w:sz w:val="20"/>
                <w:szCs w:val="22"/>
              </w:rPr>
            </w:pPr>
            <w:r w:rsidRPr="00837E90">
              <w:rPr>
                <w:sz w:val="20"/>
                <w:szCs w:val="22"/>
              </w:rPr>
              <w:t>Burn Ban Adjustments</w:t>
            </w:r>
          </w:p>
        </w:tc>
        <w:tc>
          <w:tcPr>
            <w:tcW w:w="2592" w:type="dxa"/>
          </w:tcPr>
          <w:p w:rsidR="00B300BC" w:rsidRPr="00837E90" w:rsidRDefault="00B300BC" w:rsidP="00B71E0D">
            <w:pPr>
              <w:spacing w:after="0" w:line="240" w:lineRule="auto"/>
              <w:rPr>
                <w:sz w:val="20"/>
                <w:szCs w:val="22"/>
              </w:rPr>
            </w:pPr>
            <w:r w:rsidRPr="00837E90">
              <w:rPr>
                <w:sz w:val="20"/>
                <w:szCs w:val="22"/>
              </w:rPr>
              <w:t>Appliance or Burn Bans</w:t>
            </w:r>
          </w:p>
        </w:tc>
        <w:tc>
          <w:tcPr>
            <w:tcW w:w="5238" w:type="dxa"/>
          </w:tcPr>
          <w:p w:rsidR="00B300BC" w:rsidRPr="00837E90" w:rsidRDefault="00B300BC" w:rsidP="00B300BC">
            <w:pPr>
              <w:spacing w:after="0" w:line="240" w:lineRule="auto"/>
              <w:rPr>
                <w:sz w:val="20"/>
                <w:szCs w:val="22"/>
              </w:rPr>
            </w:pPr>
            <w:r w:rsidRPr="00837E90">
              <w:rPr>
                <w:sz w:val="20"/>
                <w:szCs w:val="22"/>
              </w:rPr>
              <w:t xml:space="preserve">Assumptions that can be used to adjust throughput and calculated emissions for specific SCCs in specific counties. Can be used to account for banned appliances, such as OHHs or furnaces. </w:t>
            </w:r>
          </w:p>
        </w:tc>
      </w:tr>
    </w:tbl>
    <w:p w:rsidR="00A83CC4" w:rsidRPr="00837E90" w:rsidRDefault="00A83CC4" w:rsidP="00F92A85"/>
    <w:p w:rsidR="00BA4D71" w:rsidRPr="00837E90" w:rsidRDefault="00BA4D71" w:rsidP="00F014EE">
      <w:pPr>
        <w:spacing w:after="240" w:line="264" w:lineRule="auto"/>
        <w:rPr>
          <w:szCs w:val="22"/>
        </w:rPr>
      </w:pPr>
    </w:p>
    <w:p w:rsidR="00BA4D71" w:rsidRPr="00837E90" w:rsidRDefault="00BA4D71" w:rsidP="00EB0E1F">
      <w:pPr>
        <w:spacing w:after="240" w:line="264" w:lineRule="auto"/>
        <w:sectPr w:rsidR="00BA4D71" w:rsidRPr="00837E90" w:rsidSect="00FC627B">
          <w:headerReference w:type="default" r:id="rId15"/>
          <w:pgSz w:w="12240" w:h="15840" w:code="1"/>
          <w:pgMar w:top="1440" w:right="1440" w:bottom="1440" w:left="1440" w:header="720" w:footer="720" w:gutter="0"/>
          <w:cols w:space="720"/>
          <w:docGrid w:linePitch="360"/>
        </w:sectPr>
      </w:pPr>
    </w:p>
    <w:p w:rsidR="005B168D" w:rsidRPr="00837E90" w:rsidRDefault="00E82DAD" w:rsidP="005B1906">
      <w:pPr>
        <w:pStyle w:val="Heading1ES"/>
        <w:rPr>
          <w:rFonts w:ascii="Times New Roman" w:hAnsi="Times New Roman"/>
          <w:color w:val="auto"/>
        </w:rPr>
      </w:pPr>
      <w:bookmarkStart w:id="19" w:name="_Toc449605621"/>
      <w:r w:rsidRPr="00837E90">
        <w:rPr>
          <w:rFonts w:ascii="Times New Roman" w:hAnsi="Times New Roman"/>
          <w:color w:val="auto"/>
        </w:rPr>
        <w:lastRenderedPageBreak/>
        <w:t>D</w:t>
      </w:r>
      <w:r w:rsidR="00894B91" w:rsidRPr="00837E90">
        <w:rPr>
          <w:rFonts w:ascii="Times New Roman" w:hAnsi="Times New Roman"/>
          <w:color w:val="auto"/>
        </w:rPr>
        <w:t>. References</w:t>
      </w:r>
      <w:bookmarkEnd w:id="19"/>
    </w:p>
    <w:p w:rsidR="005E17A2" w:rsidRPr="000E0654" w:rsidRDefault="005E17A2" w:rsidP="00BA4D71">
      <w:pPr>
        <w:spacing w:after="240"/>
        <w:ind w:left="720" w:hanging="720"/>
        <w:rPr>
          <w:sz w:val="24"/>
        </w:rPr>
      </w:pPr>
      <w:r w:rsidRPr="000E0654">
        <w:rPr>
          <w:sz w:val="24"/>
        </w:rPr>
        <w:t xml:space="preserve">Energy Information Administration (EIA). 2016. </w:t>
      </w:r>
      <w:hyperlink r:id="rId16" w:history="1">
        <w:r w:rsidRPr="000E0654">
          <w:rPr>
            <w:rStyle w:val="Hyperlink"/>
            <w:sz w:val="24"/>
          </w:rPr>
          <w:t>Residential Energy Consumption Survey (RECS).</w:t>
        </w:r>
      </w:hyperlink>
      <w:r w:rsidRPr="000E0654">
        <w:rPr>
          <w:sz w:val="24"/>
        </w:rPr>
        <w:t xml:space="preserve"> Last accessed </w:t>
      </w:r>
      <w:r w:rsidR="00316AB9" w:rsidRPr="000E0654">
        <w:rPr>
          <w:sz w:val="24"/>
        </w:rPr>
        <w:t>May 2019</w:t>
      </w:r>
      <w:r w:rsidRPr="000E0654">
        <w:rPr>
          <w:sz w:val="24"/>
        </w:rPr>
        <w:t>.</w:t>
      </w:r>
    </w:p>
    <w:p w:rsidR="00D659BA" w:rsidRPr="000E0654" w:rsidRDefault="00D659BA" w:rsidP="00BA4D71">
      <w:pPr>
        <w:spacing w:after="240"/>
        <w:ind w:left="720" w:hanging="720"/>
        <w:rPr>
          <w:sz w:val="24"/>
        </w:rPr>
      </w:pPr>
      <w:r w:rsidRPr="000E0654">
        <w:rPr>
          <w:sz w:val="24"/>
        </w:rPr>
        <w:t xml:space="preserve">National Oceanic and Atmospheric Administration (NOAA). </w:t>
      </w:r>
      <w:hyperlink r:id="rId17" w:history="1">
        <w:r w:rsidRPr="000E0654">
          <w:rPr>
            <w:rStyle w:val="Hyperlink"/>
            <w:sz w:val="24"/>
          </w:rPr>
          <w:t>2016. Degree Day Statistics</w:t>
        </w:r>
      </w:hyperlink>
      <w:r w:rsidRPr="000E0654">
        <w:rPr>
          <w:sz w:val="24"/>
        </w:rPr>
        <w:t xml:space="preserve">. Available at Last accessed </w:t>
      </w:r>
      <w:r w:rsidR="00A52905" w:rsidRPr="000E0654">
        <w:rPr>
          <w:sz w:val="24"/>
        </w:rPr>
        <w:t>May 2019</w:t>
      </w:r>
      <w:r w:rsidRPr="000E0654">
        <w:rPr>
          <w:sz w:val="24"/>
        </w:rPr>
        <w:t>.</w:t>
      </w:r>
    </w:p>
    <w:p w:rsidR="005E17A2" w:rsidRPr="000E0654" w:rsidRDefault="005E17A2" w:rsidP="005E17A2">
      <w:pPr>
        <w:spacing w:after="240"/>
        <w:ind w:left="720" w:hanging="720"/>
        <w:rPr>
          <w:sz w:val="24"/>
        </w:rPr>
      </w:pPr>
      <w:r w:rsidRPr="000E0654">
        <w:rPr>
          <w:sz w:val="24"/>
        </w:rPr>
        <w:t>Office of the Attorney General Environmental Protection Bureau (OAGEB). 2008. Smoke Gets in Your Lungs: Outdoor Wood Boilers in New York State.</w:t>
      </w:r>
    </w:p>
    <w:p w:rsidR="00894D7D" w:rsidRPr="000E0654" w:rsidRDefault="00894D7D" w:rsidP="00894B91">
      <w:pPr>
        <w:spacing w:after="240"/>
        <w:ind w:left="720" w:hanging="720"/>
        <w:rPr>
          <w:sz w:val="24"/>
        </w:rPr>
      </w:pPr>
      <w:r w:rsidRPr="000E0654">
        <w:rPr>
          <w:sz w:val="24"/>
        </w:rPr>
        <w:t xml:space="preserve">U.S. Census Bureau. </w:t>
      </w:r>
      <w:hyperlink r:id="rId18" w:history="1">
        <w:r w:rsidRPr="000E0654">
          <w:rPr>
            <w:rStyle w:val="Hyperlink"/>
            <w:sz w:val="24"/>
          </w:rPr>
          <w:t>2016a. American Community Survey</w:t>
        </w:r>
      </w:hyperlink>
      <w:r w:rsidRPr="000E0654">
        <w:rPr>
          <w:sz w:val="24"/>
        </w:rPr>
        <w:t xml:space="preserve">. Last accessed </w:t>
      </w:r>
      <w:r w:rsidR="007B6D96" w:rsidRPr="000E0654">
        <w:rPr>
          <w:sz w:val="24"/>
        </w:rPr>
        <w:t>May 2019</w:t>
      </w:r>
      <w:r w:rsidRPr="000E0654">
        <w:rPr>
          <w:sz w:val="24"/>
        </w:rPr>
        <w:t xml:space="preserve">. </w:t>
      </w:r>
    </w:p>
    <w:p w:rsidR="00894D7D" w:rsidRPr="000E0654" w:rsidRDefault="00894D7D" w:rsidP="00894D7D">
      <w:pPr>
        <w:spacing w:after="240"/>
        <w:ind w:left="720" w:hanging="720"/>
        <w:rPr>
          <w:sz w:val="24"/>
        </w:rPr>
      </w:pPr>
      <w:r w:rsidRPr="000E0654">
        <w:rPr>
          <w:sz w:val="24"/>
        </w:rPr>
        <w:t xml:space="preserve">U.S. Census Bureau. </w:t>
      </w:r>
      <w:hyperlink r:id="rId19" w:history="1">
        <w:r w:rsidRPr="000E0654">
          <w:rPr>
            <w:rStyle w:val="Hyperlink"/>
            <w:sz w:val="24"/>
          </w:rPr>
          <w:t>2016b. American Housing Survey</w:t>
        </w:r>
      </w:hyperlink>
      <w:r w:rsidRPr="000E0654">
        <w:rPr>
          <w:sz w:val="24"/>
        </w:rPr>
        <w:t xml:space="preserve">. Last accessed </w:t>
      </w:r>
      <w:r w:rsidR="007B6D96" w:rsidRPr="000E0654">
        <w:rPr>
          <w:sz w:val="24"/>
        </w:rPr>
        <w:t>May 2019</w:t>
      </w:r>
    </w:p>
    <w:p w:rsidR="006965A6" w:rsidRPr="000E0654" w:rsidRDefault="00AB2799" w:rsidP="00894B91">
      <w:pPr>
        <w:spacing w:after="240"/>
        <w:ind w:left="720" w:hanging="720"/>
        <w:rPr>
          <w:sz w:val="24"/>
        </w:rPr>
      </w:pPr>
      <w:r w:rsidRPr="000E0654">
        <w:rPr>
          <w:sz w:val="24"/>
        </w:rPr>
        <w:t>U</w:t>
      </w:r>
      <w:r w:rsidR="006965A6" w:rsidRPr="000E0654">
        <w:rPr>
          <w:sz w:val="24"/>
        </w:rPr>
        <w:t>.S.</w:t>
      </w:r>
      <w:r w:rsidRPr="000E0654">
        <w:rPr>
          <w:sz w:val="24"/>
        </w:rPr>
        <w:t xml:space="preserve"> Department of Agriculture</w:t>
      </w:r>
      <w:r w:rsidR="005E17A2" w:rsidRPr="000E0654">
        <w:rPr>
          <w:sz w:val="24"/>
        </w:rPr>
        <w:t xml:space="preserve"> (USDA)</w:t>
      </w:r>
      <w:r w:rsidR="00D15C97" w:rsidRPr="000E0654">
        <w:rPr>
          <w:sz w:val="24"/>
        </w:rPr>
        <w:t xml:space="preserve">. 2007. </w:t>
      </w:r>
      <w:r w:rsidRPr="000E0654">
        <w:rPr>
          <w:sz w:val="24"/>
        </w:rPr>
        <w:t xml:space="preserve"> “</w:t>
      </w:r>
      <w:hyperlink r:id="rId20" w:history="1">
        <w:r w:rsidRPr="000E0654">
          <w:rPr>
            <w:rStyle w:val="Hyperlink"/>
            <w:sz w:val="24"/>
          </w:rPr>
          <w:t>Timber Products Output Survey</w:t>
        </w:r>
      </w:hyperlink>
      <w:r w:rsidRPr="000E0654">
        <w:rPr>
          <w:sz w:val="24"/>
        </w:rPr>
        <w:t xml:space="preserve">,” </w:t>
      </w:r>
      <w:r w:rsidR="003633BE" w:rsidRPr="000E0654">
        <w:rPr>
          <w:sz w:val="24"/>
        </w:rPr>
        <w:t>U.S. Forest</w:t>
      </w:r>
      <w:r w:rsidR="006965A6" w:rsidRPr="000E0654">
        <w:rPr>
          <w:sz w:val="24"/>
        </w:rPr>
        <w:t xml:space="preserve"> Service, r</w:t>
      </w:r>
      <w:r w:rsidRPr="000E0654">
        <w:rPr>
          <w:sz w:val="24"/>
        </w:rPr>
        <w:t>etrieved via query</w:t>
      </w:r>
      <w:r w:rsidR="006965A6" w:rsidRPr="000E0654">
        <w:rPr>
          <w:sz w:val="24"/>
        </w:rPr>
        <w:t xml:space="preserve"> November 2007.</w:t>
      </w:r>
    </w:p>
    <w:p w:rsidR="005E17A2" w:rsidRPr="000E0654" w:rsidRDefault="003633BE" w:rsidP="00894B91">
      <w:pPr>
        <w:spacing w:after="240"/>
        <w:ind w:left="720" w:hanging="720"/>
        <w:rPr>
          <w:sz w:val="24"/>
        </w:rPr>
      </w:pPr>
      <w:r w:rsidRPr="000E0654">
        <w:rPr>
          <w:sz w:val="24"/>
        </w:rPr>
        <w:t xml:space="preserve">U.S. Department of Agriculture (USDA). </w:t>
      </w:r>
      <w:hyperlink r:id="rId21" w:history="1">
        <w:r w:rsidRPr="000E0654">
          <w:rPr>
            <w:rStyle w:val="Hyperlink"/>
            <w:sz w:val="24"/>
          </w:rPr>
          <w:t>2004. Fuel Value Calculator</w:t>
        </w:r>
      </w:hyperlink>
      <w:r w:rsidRPr="000E0654">
        <w:rPr>
          <w:sz w:val="24"/>
        </w:rPr>
        <w:t xml:space="preserve">. U.S. Forest Service. </w:t>
      </w:r>
    </w:p>
    <w:p w:rsidR="008566A5" w:rsidRPr="000E0654" w:rsidRDefault="008566A5" w:rsidP="00894B91">
      <w:pPr>
        <w:spacing w:after="240"/>
        <w:ind w:left="720" w:hanging="720"/>
        <w:rPr>
          <w:b/>
          <w:sz w:val="24"/>
          <w:u w:val="single"/>
        </w:rPr>
      </w:pPr>
      <w:r w:rsidRPr="000E0654">
        <w:rPr>
          <w:b/>
          <w:sz w:val="24"/>
          <w:u w:val="single"/>
        </w:rPr>
        <w:t>Emissions factors sources:</w:t>
      </w:r>
    </w:p>
    <w:p w:rsidR="008566A5" w:rsidRPr="000E0654" w:rsidRDefault="008566A5" w:rsidP="008566A5">
      <w:pPr>
        <w:numPr>
          <w:ilvl w:val="0"/>
          <w:numId w:val="21"/>
        </w:numPr>
        <w:rPr>
          <w:sz w:val="24"/>
        </w:rPr>
      </w:pPr>
      <w:proofErr w:type="spellStart"/>
      <w:r w:rsidRPr="000E0654">
        <w:rPr>
          <w:sz w:val="24"/>
        </w:rPr>
        <w:t>Aurell</w:t>
      </w:r>
      <w:proofErr w:type="spellEnd"/>
      <w:r w:rsidRPr="000E0654">
        <w:rPr>
          <w:sz w:val="24"/>
        </w:rPr>
        <w:t>, J.</w:t>
      </w:r>
      <w:r w:rsidR="00461229" w:rsidRPr="000E0654">
        <w:rPr>
          <w:sz w:val="24"/>
        </w:rPr>
        <w:t>, B.K. Gullett, D. Tabor, et al. 2012. Semivolatile and Volatile Organic Compound Emissions from Wood-Fired Hydronic Heaters. Environmental Science and Technology, 46: 7898-7904.</w:t>
      </w:r>
    </w:p>
    <w:p w:rsidR="008566A5" w:rsidRPr="000E0654" w:rsidRDefault="008566A5" w:rsidP="008566A5">
      <w:pPr>
        <w:numPr>
          <w:ilvl w:val="0"/>
          <w:numId w:val="21"/>
        </w:numPr>
        <w:rPr>
          <w:sz w:val="24"/>
        </w:rPr>
      </w:pPr>
      <w:r w:rsidRPr="000E0654">
        <w:rPr>
          <w:sz w:val="24"/>
        </w:rPr>
        <w:t xml:space="preserve">Hays, M.D., et al. 2003. </w:t>
      </w:r>
      <w:r w:rsidRPr="000E0654">
        <w:rPr>
          <w:rFonts w:eastAsia="Calibri"/>
          <w:sz w:val="24"/>
        </w:rPr>
        <w:t>Polycyclic aromatic hydrocarbon size distributions in aerosols from appliances of residential wood combustion as determined by direct thermal desorption—GC/MS</w:t>
      </w:r>
      <w:r w:rsidRPr="000E0654">
        <w:rPr>
          <w:sz w:val="24"/>
        </w:rPr>
        <w:t>. Journal of Aerosol Science, 34:1061-1084.</w:t>
      </w:r>
    </w:p>
    <w:p w:rsidR="008566A5" w:rsidRPr="000E0654" w:rsidRDefault="008566A5" w:rsidP="008566A5">
      <w:pPr>
        <w:numPr>
          <w:ilvl w:val="0"/>
          <w:numId w:val="21"/>
        </w:numPr>
        <w:rPr>
          <w:sz w:val="24"/>
        </w:rPr>
      </w:pPr>
      <w:r w:rsidRPr="000E0654">
        <w:rPr>
          <w:sz w:val="24"/>
          <w:lang w:val="x-none"/>
        </w:rPr>
        <w:t>Houck, J.E., J. Crouch, and R.H. Huntley. 2001. Review of Wood Heater and Fireplace Emission Factors</w:t>
      </w:r>
      <w:r w:rsidRPr="000E0654">
        <w:rPr>
          <w:i/>
          <w:sz w:val="24"/>
          <w:lang w:val="x-none"/>
        </w:rPr>
        <w:t>.</w:t>
      </w:r>
      <w:r w:rsidRPr="000E0654">
        <w:rPr>
          <w:i/>
          <w:sz w:val="24"/>
        </w:rPr>
        <w:t xml:space="preserve"> </w:t>
      </w:r>
      <w:r w:rsidRPr="000E0654">
        <w:rPr>
          <w:sz w:val="24"/>
          <w:lang w:val="x-none"/>
        </w:rPr>
        <w:t>Technical presentation at the International Emission Inventory Conference “One Atmosphere, One</w:t>
      </w:r>
      <w:r w:rsidRPr="000E0654">
        <w:rPr>
          <w:sz w:val="24"/>
        </w:rPr>
        <w:t xml:space="preserve"> </w:t>
      </w:r>
      <w:r w:rsidRPr="000E0654">
        <w:rPr>
          <w:sz w:val="24"/>
          <w:lang w:val="x-none"/>
        </w:rPr>
        <w:t>Inventory, Many Challenges,” Denver, CO, April 30 - May 3, 2001.</w:t>
      </w:r>
    </w:p>
    <w:p w:rsidR="007B6D96" w:rsidRPr="000E0654" w:rsidRDefault="008566A5" w:rsidP="002A1B28">
      <w:pPr>
        <w:numPr>
          <w:ilvl w:val="0"/>
          <w:numId w:val="21"/>
        </w:numPr>
        <w:rPr>
          <w:sz w:val="24"/>
        </w:rPr>
      </w:pPr>
      <w:r w:rsidRPr="000E0654">
        <w:rPr>
          <w:sz w:val="24"/>
        </w:rPr>
        <w:t xml:space="preserve">Houck, J.E. and B.N. Eagle. 2006. Task 6 Technical Memorandum 4 (Final Report): </w:t>
      </w:r>
      <w:hyperlink r:id="rId22" w:history="1">
        <w:r w:rsidRPr="000E0654">
          <w:rPr>
            <w:rStyle w:val="Hyperlink"/>
            <w:sz w:val="24"/>
          </w:rPr>
          <w:t>Control Analysis and Documentation for Residential Wood Combustion in the MANE-VU</w:t>
        </w:r>
      </w:hyperlink>
      <w:r w:rsidRPr="000E0654">
        <w:rPr>
          <w:sz w:val="24"/>
        </w:rPr>
        <w:t xml:space="preserve"> Region. Prepared for MARAMA.</w:t>
      </w:r>
    </w:p>
    <w:p w:rsidR="008566A5" w:rsidRPr="000E0654" w:rsidRDefault="008566A5" w:rsidP="002A1B28">
      <w:pPr>
        <w:numPr>
          <w:ilvl w:val="0"/>
          <w:numId w:val="21"/>
        </w:numPr>
        <w:rPr>
          <w:sz w:val="24"/>
        </w:rPr>
      </w:pPr>
      <w:r w:rsidRPr="000E0654">
        <w:rPr>
          <w:sz w:val="24"/>
        </w:rPr>
        <w:t xml:space="preserve">Li, V.S. and S.R. Rosenthal. 2006. </w:t>
      </w:r>
      <w:hyperlink r:id="rId23" w:history="1">
        <w:r w:rsidRPr="000E0654">
          <w:rPr>
            <w:rStyle w:val="Hyperlink"/>
            <w:sz w:val="24"/>
          </w:rPr>
          <w:t>Content and Emission Characteristics of Artificial Wax Firelogs</w:t>
        </w:r>
      </w:hyperlink>
      <w:r w:rsidRPr="000E0654">
        <w:rPr>
          <w:sz w:val="24"/>
        </w:rPr>
        <w:t>. Poster presentation at 15</w:t>
      </w:r>
      <w:r w:rsidRPr="000E0654">
        <w:rPr>
          <w:sz w:val="24"/>
          <w:vertAlign w:val="superscript"/>
        </w:rPr>
        <w:t>th</w:t>
      </w:r>
      <w:r w:rsidRPr="000E0654">
        <w:rPr>
          <w:sz w:val="24"/>
        </w:rPr>
        <w:t xml:space="preserve"> International Emission Inventory Conference. New Orleans, Louisiana. May 15-18, 2006.</w:t>
      </w:r>
    </w:p>
    <w:p w:rsidR="007B6D96" w:rsidRPr="000E0654" w:rsidRDefault="008566A5" w:rsidP="00175266">
      <w:pPr>
        <w:numPr>
          <w:ilvl w:val="0"/>
          <w:numId w:val="21"/>
        </w:numPr>
        <w:spacing w:after="240"/>
        <w:rPr>
          <w:sz w:val="24"/>
        </w:rPr>
      </w:pPr>
      <w:r w:rsidRPr="000E0654">
        <w:rPr>
          <w:sz w:val="24"/>
          <w:lang w:val="x-none"/>
        </w:rPr>
        <w:lastRenderedPageBreak/>
        <w:t xml:space="preserve">U.S. Environmental Protection Agency. 1996. </w:t>
      </w:r>
      <w:hyperlink r:id="rId24" w:history="1">
        <w:r w:rsidRPr="000E0654">
          <w:rPr>
            <w:rStyle w:val="Hyperlink"/>
            <w:sz w:val="24"/>
            <w:lang w:val="x-none"/>
          </w:rPr>
          <w:t>AP-42, Fifth Edition, Chapter 1 External Combustion</w:t>
        </w:r>
        <w:r w:rsidRPr="000E0654">
          <w:rPr>
            <w:rStyle w:val="Hyperlink"/>
            <w:sz w:val="24"/>
          </w:rPr>
          <w:t xml:space="preserve"> </w:t>
        </w:r>
        <w:r w:rsidRPr="000E0654">
          <w:rPr>
            <w:rStyle w:val="Hyperlink"/>
            <w:sz w:val="24"/>
            <w:lang w:val="x-none"/>
          </w:rPr>
          <w:t>Sources, Section 1.9 Residential Fireplaces, 1.10 Residential Wood Stove, Supplement B</w:t>
        </w:r>
      </w:hyperlink>
      <w:r w:rsidR="007B6D96" w:rsidRPr="000E0654">
        <w:rPr>
          <w:sz w:val="24"/>
        </w:rPr>
        <w:t>.</w:t>
      </w:r>
    </w:p>
    <w:p w:rsidR="003633BE" w:rsidRPr="000E0654" w:rsidRDefault="00FB19D8" w:rsidP="00175266">
      <w:pPr>
        <w:numPr>
          <w:ilvl w:val="0"/>
          <w:numId w:val="21"/>
        </w:numPr>
        <w:spacing w:after="240"/>
        <w:rPr>
          <w:sz w:val="24"/>
        </w:rPr>
      </w:pPr>
      <w:r w:rsidRPr="000E0654">
        <w:rPr>
          <w:sz w:val="24"/>
        </w:rPr>
        <w:t>U.S. Environmental Protection Agency</w:t>
      </w:r>
      <w:r w:rsidR="008566A5" w:rsidRPr="000E0654">
        <w:rPr>
          <w:sz w:val="24"/>
        </w:rPr>
        <w:t xml:space="preserve">. </w:t>
      </w:r>
      <w:r w:rsidR="003633BE" w:rsidRPr="000E0654">
        <w:rPr>
          <w:sz w:val="24"/>
        </w:rPr>
        <w:t>2003</w:t>
      </w:r>
      <w:r w:rsidR="008566A5" w:rsidRPr="000E0654">
        <w:rPr>
          <w:sz w:val="24"/>
        </w:rPr>
        <w:t xml:space="preserve">. </w:t>
      </w:r>
      <w:hyperlink r:id="rId25" w:history="1">
        <w:r w:rsidR="003633BE" w:rsidRPr="000E0654">
          <w:rPr>
            <w:rStyle w:val="Hyperlink"/>
            <w:sz w:val="24"/>
            <w:lang w:val="x-none"/>
          </w:rPr>
          <w:t>AP-42, Fifth Edition, Chapter 1 External Combustion</w:t>
        </w:r>
        <w:r w:rsidR="003633BE" w:rsidRPr="000E0654">
          <w:rPr>
            <w:rStyle w:val="Hyperlink"/>
            <w:sz w:val="24"/>
          </w:rPr>
          <w:t xml:space="preserve"> </w:t>
        </w:r>
        <w:r w:rsidR="003633BE" w:rsidRPr="000E0654">
          <w:rPr>
            <w:rStyle w:val="Hyperlink"/>
            <w:sz w:val="24"/>
            <w:lang w:val="x-none"/>
          </w:rPr>
          <w:t>Sources, Section 1.</w:t>
        </w:r>
        <w:r w:rsidR="003633BE" w:rsidRPr="000E0654">
          <w:rPr>
            <w:rStyle w:val="Hyperlink"/>
            <w:sz w:val="24"/>
          </w:rPr>
          <w:t>6. Wood Residue Combustion in Boilers</w:t>
        </w:r>
      </w:hyperlink>
      <w:r w:rsidR="003633BE" w:rsidRPr="000E0654">
        <w:rPr>
          <w:sz w:val="24"/>
        </w:rPr>
        <w:t xml:space="preserve">. </w:t>
      </w:r>
    </w:p>
    <w:p w:rsidR="008566A5" w:rsidRPr="000E0654" w:rsidRDefault="008566A5" w:rsidP="008566A5">
      <w:pPr>
        <w:numPr>
          <w:ilvl w:val="0"/>
          <w:numId w:val="21"/>
        </w:numPr>
        <w:spacing w:after="240"/>
        <w:rPr>
          <w:sz w:val="24"/>
        </w:rPr>
      </w:pPr>
      <w:r w:rsidRPr="000E0654">
        <w:rPr>
          <w:sz w:val="24"/>
          <w:lang w:val="x-none"/>
        </w:rPr>
        <w:t xml:space="preserve">U.S. </w:t>
      </w:r>
      <w:r w:rsidR="00FB19D8" w:rsidRPr="000E0654">
        <w:rPr>
          <w:sz w:val="24"/>
        </w:rPr>
        <w:t>Environmental Protection Agency</w:t>
      </w:r>
      <w:r w:rsidRPr="000E0654">
        <w:rPr>
          <w:sz w:val="24"/>
        </w:rPr>
        <w:t>. 2003.</w:t>
      </w:r>
      <w:r w:rsidRPr="000E0654">
        <w:rPr>
          <w:sz w:val="24"/>
          <w:lang w:val="x-none"/>
        </w:rPr>
        <w:t xml:space="preserve"> Documentation of</w:t>
      </w:r>
      <w:r w:rsidRPr="000E0654">
        <w:rPr>
          <w:sz w:val="24"/>
        </w:rPr>
        <w:t xml:space="preserve"> </w:t>
      </w:r>
      <w:r w:rsidRPr="000E0654">
        <w:rPr>
          <w:sz w:val="24"/>
          <w:lang w:val="x-none"/>
        </w:rPr>
        <w:t xml:space="preserve">Emissions Estimation methods for Year 2000 and 2001 Mobile Source and </w:t>
      </w:r>
      <w:proofErr w:type="spellStart"/>
      <w:r w:rsidRPr="000E0654">
        <w:rPr>
          <w:sz w:val="24"/>
          <w:lang w:val="x-none"/>
        </w:rPr>
        <w:t>NonPoint</w:t>
      </w:r>
      <w:proofErr w:type="spellEnd"/>
      <w:r w:rsidRPr="000E0654">
        <w:rPr>
          <w:sz w:val="24"/>
          <w:lang w:val="x-none"/>
        </w:rPr>
        <w:t xml:space="preserve"> Source Dioxin</w:t>
      </w:r>
      <w:r w:rsidRPr="000E0654">
        <w:rPr>
          <w:sz w:val="24"/>
        </w:rPr>
        <w:t xml:space="preserve"> </w:t>
      </w:r>
      <w:r w:rsidRPr="000E0654">
        <w:rPr>
          <w:sz w:val="24"/>
          <w:lang w:val="x-none"/>
        </w:rPr>
        <w:t xml:space="preserve">Inventories. Prepared by E.H. </w:t>
      </w:r>
      <w:proofErr w:type="spellStart"/>
      <w:r w:rsidRPr="000E0654">
        <w:rPr>
          <w:sz w:val="24"/>
          <w:lang w:val="x-none"/>
        </w:rPr>
        <w:t>Pechan</w:t>
      </w:r>
      <w:proofErr w:type="spellEnd"/>
      <w:r w:rsidRPr="000E0654">
        <w:rPr>
          <w:sz w:val="24"/>
          <w:lang w:val="x-none"/>
        </w:rPr>
        <w:t xml:space="preserve"> &amp; Associates.</w:t>
      </w:r>
    </w:p>
    <w:p w:rsidR="00782315" w:rsidRPr="00837E90" w:rsidRDefault="00E82DAD" w:rsidP="00E82DAD">
      <w:pPr>
        <w:pStyle w:val="Heading1ES"/>
        <w:rPr>
          <w:rFonts w:ascii="Times New Roman" w:hAnsi="Times New Roman"/>
          <w:color w:val="auto"/>
        </w:rPr>
      </w:pPr>
      <w:bookmarkStart w:id="20" w:name="_Toc449605622"/>
      <w:r w:rsidRPr="00837E90">
        <w:rPr>
          <w:rFonts w:ascii="Times New Roman" w:hAnsi="Times New Roman"/>
          <w:color w:val="auto"/>
        </w:rPr>
        <w:lastRenderedPageBreak/>
        <w:t>E. Appendix: Emission Factors</w:t>
      </w:r>
      <w:bookmarkEnd w:id="20"/>
    </w:p>
    <w:p w:rsidR="00E82DAD" w:rsidRPr="000E0654" w:rsidRDefault="00E82DAD" w:rsidP="00E82DAD">
      <w:pPr>
        <w:pStyle w:val="Caption"/>
        <w:keepNext/>
        <w:rPr>
          <w:sz w:val="24"/>
          <w:szCs w:val="24"/>
        </w:rPr>
      </w:pPr>
      <w:bookmarkStart w:id="21" w:name="_Toc416345745"/>
      <w:r w:rsidRPr="000E0654">
        <w:rPr>
          <w:sz w:val="24"/>
          <w:szCs w:val="24"/>
        </w:rPr>
        <w:t xml:space="preserve">Table </w:t>
      </w:r>
      <w:r w:rsidRPr="000E0654">
        <w:rPr>
          <w:sz w:val="24"/>
          <w:szCs w:val="24"/>
        </w:rPr>
        <w:fldChar w:fldCharType="begin"/>
      </w:r>
      <w:r w:rsidRPr="000E0654">
        <w:rPr>
          <w:sz w:val="24"/>
          <w:szCs w:val="24"/>
        </w:rPr>
        <w:instrText xml:space="preserve"> SEQ Table \* ARABIC </w:instrText>
      </w:r>
      <w:r w:rsidRPr="000E0654">
        <w:rPr>
          <w:sz w:val="24"/>
          <w:szCs w:val="24"/>
        </w:rPr>
        <w:fldChar w:fldCharType="separate"/>
      </w:r>
      <w:r w:rsidR="00975A86" w:rsidRPr="000E0654">
        <w:rPr>
          <w:noProof/>
          <w:sz w:val="24"/>
          <w:szCs w:val="24"/>
        </w:rPr>
        <w:t>7</w:t>
      </w:r>
      <w:r w:rsidRPr="000E0654">
        <w:rPr>
          <w:sz w:val="24"/>
          <w:szCs w:val="24"/>
        </w:rPr>
        <w:fldChar w:fldCharType="end"/>
      </w:r>
      <w:r w:rsidRPr="000E0654">
        <w:rPr>
          <w:sz w:val="24"/>
          <w:szCs w:val="24"/>
        </w:rPr>
        <w:t>. Emission factors for Residential Wood Combustion appliances.</w:t>
      </w:r>
      <w:bookmarkEnd w:id="21"/>
    </w:p>
    <w:tbl>
      <w:tblPr>
        <w:tblW w:w="98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556"/>
        <w:gridCol w:w="2610"/>
        <w:gridCol w:w="995"/>
        <w:gridCol w:w="566"/>
      </w:tblGrid>
      <w:tr w:rsidR="00F47DF7" w:rsidRPr="00837E90" w:rsidTr="00B8169A">
        <w:trPr>
          <w:trHeight w:val="300"/>
          <w:tblHeader/>
        </w:trPr>
        <w:tc>
          <w:tcPr>
            <w:tcW w:w="1129" w:type="dxa"/>
            <w:shd w:val="clear" w:color="auto" w:fill="auto"/>
            <w:noWrap/>
            <w:vAlign w:val="center"/>
            <w:hideMark/>
          </w:tcPr>
          <w:p w:rsidR="008226F1" w:rsidRPr="00647597" w:rsidRDefault="008226F1" w:rsidP="004D36AA">
            <w:pPr>
              <w:spacing w:after="0" w:line="240" w:lineRule="auto"/>
              <w:jc w:val="center"/>
              <w:rPr>
                <w:b/>
                <w:sz w:val="20"/>
                <w:szCs w:val="20"/>
              </w:rPr>
            </w:pPr>
            <w:bookmarkStart w:id="22" w:name="_GoBack" w:colFirst="0" w:colLast="4"/>
            <w:r w:rsidRPr="00647597">
              <w:rPr>
                <w:b/>
                <w:sz w:val="20"/>
                <w:szCs w:val="20"/>
              </w:rPr>
              <w:t>SCC</w:t>
            </w:r>
          </w:p>
        </w:tc>
        <w:tc>
          <w:tcPr>
            <w:tcW w:w="4556" w:type="dxa"/>
            <w:shd w:val="clear" w:color="auto" w:fill="auto"/>
            <w:noWrap/>
            <w:vAlign w:val="center"/>
            <w:hideMark/>
          </w:tcPr>
          <w:p w:rsidR="008226F1" w:rsidRPr="00647597" w:rsidRDefault="008226F1" w:rsidP="004D36AA">
            <w:pPr>
              <w:spacing w:after="0" w:line="240" w:lineRule="auto"/>
              <w:jc w:val="center"/>
              <w:rPr>
                <w:b/>
                <w:sz w:val="20"/>
                <w:szCs w:val="20"/>
              </w:rPr>
            </w:pPr>
            <w:r w:rsidRPr="00647597">
              <w:rPr>
                <w:b/>
                <w:sz w:val="20"/>
                <w:szCs w:val="20"/>
              </w:rPr>
              <w:t>Description</w:t>
            </w:r>
          </w:p>
        </w:tc>
        <w:tc>
          <w:tcPr>
            <w:tcW w:w="2610" w:type="dxa"/>
            <w:shd w:val="clear" w:color="auto" w:fill="auto"/>
            <w:noWrap/>
            <w:vAlign w:val="center"/>
            <w:hideMark/>
          </w:tcPr>
          <w:p w:rsidR="008226F1" w:rsidRPr="00647597" w:rsidRDefault="008226F1" w:rsidP="004D36AA">
            <w:pPr>
              <w:spacing w:after="0" w:line="240" w:lineRule="auto"/>
              <w:jc w:val="center"/>
              <w:rPr>
                <w:b/>
                <w:sz w:val="20"/>
                <w:szCs w:val="20"/>
              </w:rPr>
            </w:pPr>
            <w:r w:rsidRPr="00647597">
              <w:rPr>
                <w:b/>
                <w:sz w:val="20"/>
                <w:szCs w:val="20"/>
              </w:rPr>
              <w:t>Pollutant</w:t>
            </w:r>
          </w:p>
        </w:tc>
        <w:tc>
          <w:tcPr>
            <w:tcW w:w="992" w:type="dxa"/>
            <w:shd w:val="clear" w:color="auto" w:fill="auto"/>
            <w:noWrap/>
            <w:vAlign w:val="bottom"/>
            <w:hideMark/>
          </w:tcPr>
          <w:p w:rsidR="008226F1" w:rsidRPr="00647597" w:rsidRDefault="008226F1" w:rsidP="008226F1">
            <w:pPr>
              <w:spacing w:after="0"/>
              <w:rPr>
                <w:b/>
                <w:bCs/>
                <w:sz w:val="20"/>
                <w:szCs w:val="20"/>
              </w:rPr>
            </w:pPr>
            <w:r w:rsidRPr="00647597">
              <w:rPr>
                <w:b/>
                <w:bCs/>
                <w:sz w:val="20"/>
                <w:szCs w:val="20"/>
              </w:rPr>
              <w:t>Emission Factor (lb/ton)</w:t>
            </w:r>
          </w:p>
        </w:tc>
        <w:tc>
          <w:tcPr>
            <w:tcW w:w="513" w:type="dxa"/>
            <w:shd w:val="clear" w:color="auto" w:fill="auto"/>
            <w:noWrap/>
            <w:vAlign w:val="center"/>
            <w:hideMark/>
          </w:tcPr>
          <w:p w:rsidR="008226F1" w:rsidRPr="00647597" w:rsidRDefault="008226F1" w:rsidP="004D36AA">
            <w:pPr>
              <w:spacing w:after="0" w:line="240" w:lineRule="auto"/>
              <w:jc w:val="center"/>
              <w:rPr>
                <w:b/>
                <w:sz w:val="20"/>
                <w:szCs w:val="20"/>
              </w:rPr>
            </w:pPr>
            <w:r w:rsidRPr="00647597">
              <w:rPr>
                <w:b/>
                <w:sz w:val="20"/>
                <w:szCs w:val="20"/>
              </w:rPr>
              <w:t>Ref.</w:t>
            </w:r>
          </w:p>
        </w:tc>
      </w:tr>
      <w:bookmarkEnd w:id="22"/>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3.16E-10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2.34E-10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3.56E-10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2.2E-10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1.98E-10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4.56E-10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2.58E-10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0.157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1.65E-10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6.44E-10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1.25E-09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2.28E-10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1.07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0.123</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1.8</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0.686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0.001</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149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0.357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7.87E-10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1.79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8226F1"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14.4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0.265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lastRenderedPageBreak/>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1.67E-10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6.66E-10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0.472</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23.6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3</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23.6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3</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2104008100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Fireplace: general</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18.9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3.16E-10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2.34E-10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3.56E-10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2.2E-10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1.98E-10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4.56E-10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2.58E-10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0.39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1.65E-10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6.44E-10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1.25E-09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2.28E-10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Acenaphthene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0.00621</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Acenaphthylene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0.132</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0.616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0.091</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Anthracene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0.00869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1.938</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Benzo[a]anthracene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0.000577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lastRenderedPageBreak/>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Benzo[a]fluoranthene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0.000321</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0.000979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Benzo[b]fluoranthene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0.000592</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Benzo[e]Pyrene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0.000589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w:t>
            </w:r>
            <w:proofErr w:type="spellStart"/>
            <w:r w:rsidRPr="00837E90">
              <w:rPr>
                <w:rFonts w:ascii="Calibri" w:hAnsi="Calibri"/>
                <w:sz w:val="18"/>
                <w:szCs w:val="18"/>
              </w:rPr>
              <w:t>g,h,i</w:t>
            </w:r>
            <w:proofErr w:type="spellEnd"/>
            <w:r w:rsidRPr="00837E90">
              <w:rPr>
                <w:rFonts w:ascii="Calibri" w:hAnsi="Calibri"/>
                <w:sz w:val="18"/>
                <w:szCs w:val="18"/>
              </w:rPr>
              <w:t>,]Perylene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0.000201</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Benzo[k]Fluoranthene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0.000509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Cadmium</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0.000022</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230.8</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0.000472</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0.16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Dibenzo[ah]anthracene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3.92E-05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4.6E-09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0.000249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Fluorene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0.0149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1.45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Indeno[1; 2; 3 . cd]pyrene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0.000408</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Manganese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0.00017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8226F1" w:rsidRPr="00837E90" w:rsidRDefault="003633BE" w:rsidP="003633BE">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64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Methylchrysene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5.84E-05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0.179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Nickel</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0.000014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2.8</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1.67E-10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6.66E-10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o-Xylene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0.202</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Perylene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0.000155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0.0484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0.295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30.6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30.6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0.000217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Toluene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0.73</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2104008210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non-EPA certified</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53</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2.22E-10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2.34E-10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lastRenderedPageBreak/>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1.73E-10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2.63E-10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1.85E-10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1.63E-10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1.85E-10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1.47E-10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1.85E-10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3.37E-10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1.91E-10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0.129464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1.22E-10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4.76E-10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9.25E-10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1.69E-10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Acenaphthene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0.002989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Acenaphthylene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0.009543</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0.467551</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0.029888</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0.665816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Anthracene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0.002693</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0.709464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Benzo[a]anthracene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0.000427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Benzo[a]fluoranthene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0.000237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0.000725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Benzo[b]Fluoranthene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0.000438</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Benzo[e]Pyrene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0.000436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w:t>
            </w:r>
            <w:proofErr w:type="spellStart"/>
            <w:r w:rsidRPr="00837E90">
              <w:rPr>
                <w:rFonts w:ascii="Calibri" w:hAnsi="Calibri"/>
                <w:sz w:val="18"/>
                <w:szCs w:val="18"/>
              </w:rPr>
              <w:t>g,h,i</w:t>
            </w:r>
            <w:proofErr w:type="spellEnd"/>
            <w:r w:rsidRPr="00837E90">
              <w:rPr>
                <w:rFonts w:ascii="Calibri" w:hAnsi="Calibri"/>
                <w:sz w:val="18"/>
                <w:szCs w:val="18"/>
              </w:rPr>
              <w:t>,]Perylene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0.000149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Benzo[k]Fluoranthene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0.000377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Cadmium</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1.48E-05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122.6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0.000349</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0.341786</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Dibenzo[ah]anthracene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2.9E-05</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lastRenderedPageBreak/>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5.87E-10</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0.000184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Fluorene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0.004187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1.642347</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Indeno[1; 2; 3 . cd]pyrene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0.000302</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8226F1" w:rsidRPr="00837E90" w:rsidRDefault="008226F1" w:rsidP="004D36AA">
            <w:pPr>
              <w:spacing w:after="0" w:line="240" w:lineRule="auto"/>
              <w:rPr>
                <w:rFonts w:ascii="Calibri" w:hAnsi="Calibri"/>
                <w:sz w:val="18"/>
                <w:szCs w:val="18"/>
              </w:rPr>
            </w:pPr>
            <w:r w:rsidRPr="00837E90">
              <w:rPr>
                <w:rFonts w:ascii="Calibri" w:hAnsi="Calibri"/>
                <w:sz w:val="18"/>
                <w:szCs w:val="18"/>
              </w:rPr>
              <w:t>Manganese</w:t>
            </w:r>
          </w:p>
        </w:tc>
        <w:tc>
          <w:tcPr>
            <w:tcW w:w="992" w:type="dxa"/>
            <w:shd w:val="clear" w:color="auto" w:fill="auto"/>
            <w:noWrap/>
            <w:vAlign w:val="bottom"/>
            <w:hideMark/>
          </w:tcPr>
          <w:p w:rsidR="008226F1" w:rsidRPr="00837E90" w:rsidRDefault="008226F1" w:rsidP="008226F1">
            <w:pPr>
              <w:spacing w:after="0"/>
              <w:jc w:val="right"/>
              <w:rPr>
                <w:rFonts w:ascii="Calibri" w:hAnsi="Calibri"/>
                <w:sz w:val="18"/>
                <w:szCs w:val="22"/>
              </w:rPr>
            </w:pPr>
            <w:r w:rsidRPr="00837E90">
              <w:rPr>
                <w:rFonts w:ascii="Calibri" w:hAnsi="Calibri"/>
                <w:sz w:val="18"/>
                <w:szCs w:val="22"/>
              </w:rPr>
              <w:t>0.000104</w:t>
            </w:r>
          </w:p>
        </w:tc>
        <w:tc>
          <w:tcPr>
            <w:tcW w:w="513" w:type="dxa"/>
            <w:shd w:val="clear" w:color="auto" w:fill="auto"/>
            <w:noWrap/>
            <w:vAlign w:val="center"/>
            <w:hideMark/>
          </w:tcPr>
          <w:p w:rsidR="008226F1" w:rsidRPr="00837E90" w:rsidRDefault="008226F1"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3633BE">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21.0102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Methylchrysene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4.32E-05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0.043056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Nickel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1.48E-05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1.686735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4.93E-10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0.000115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0.035288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0.360281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0.000161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0.295918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8.877551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2.23E-10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2.65E-10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1.92E-10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0.145294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9.31E-10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0.002295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0.026004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0.395647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0.023396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0.670588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0.003055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1.090824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0.000239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0.00073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Benzo[b]Fluoranthene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0.000441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Benzo[e]Pyrene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w:t>
            </w:r>
            <w:proofErr w:type="spellStart"/>
            <w:r w:rsidRPr="00837E90">
              <w:rPr>
                <w:rFonts w:ascii="Calibri" w:hAnsi="Calibri"/>
                <w:sz w:val="18"/>
                <w:szCs w:val="18"/>
              </w:rPr>
              <w:t>g,h,i</w:t>
            </w:r>
            <w:proofErr w:type="spellEnd"/>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Benzo[k]Fluoranthene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0.000379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92.3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0.000351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0.395647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Dibenzo[ah]anthracene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2.92E-05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1.7E-09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0.000185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0.00535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0.731686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Indeno[1; 2; 3 . cd]pyrene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19.37255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Methylchrysene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4.35E-05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0.071082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1.490196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4.96E-10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o-Xylene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0.138588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0.000116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0.018329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15.2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15.2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0.000162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0.298039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Toluene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0.387451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2104008230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fireplace inserts;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11.17647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3.16E-10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3.56E-10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2.2E-10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4.56E-10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6.44E-10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1.25E-09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2.28E-10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0.00621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0.132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0.616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0.091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0.00869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1.938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0.000577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0.000321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0.000979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Benzo[b]fluoranthene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0.000592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Benzo[e]Pyrene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0.000589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w:t>
            </w:r>
            <w:proofErr w:type="spellStart"/>
            <w:r w:rsidRPr="00837E90">
              <w:rPr>
                <w:rFonts w:ascii="Calibri" w:hAnsi="Calibri"/>
                <w:sz w:val="18"/>
                <w:szCs w:val="18"/>
              </w:rPr>
              <w:t>g,h,i</w:t>
            </w:r>
            <w:proofErr w:type="spellEnd"/>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0.000201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Benzo[k]Fluoranthene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0.000509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Cadmium</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0.000022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230.8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0.000472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Dibenzo[ah]anthracene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3.92E-05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4.6E-09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0.000249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0.0149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Indeno[1; 2; 3 . cd]pyrene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0.000408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Manganese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Methylchrysene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5.84E-05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0.179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Nickel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0.000014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6.66E-10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o-Xylene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0.202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0.000155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0.0484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0.295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30.6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30.6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0.000217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Toluene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0.73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53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2.22E-10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2.63E-10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3.37E-10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1.91E-10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0.129464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1.22E-10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4.76E-10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9.25E-10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1.69E-10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0.002989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0.009543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0.467551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0.029888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0.665816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0.002693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0.709464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0.000427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0.000237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0.000725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Benzo[b]Fluoranthene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0.000438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Benzo[e]Pyrene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0.000436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w:t>
            </w:r>
            <w:proofErr w:type="spellStart"/>
            <w:r w:rsidRPr="00837E90">
              <w:rPr>
                <w:rFonts w:ascii="Calibri" w:hAnsi="Calibri"/>
                <w:sz w:val="18"/>
                <w:szCs w:val="18"/>
              </w:rPr>
              <w:t>g,h,i</w:t>
            </w:r>
            <w:proofErr w:type="spellEnd"/>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0.000149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Benzo[k]Fluoranthene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0.000377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Cadmium</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1.48E-05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122.6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0.000349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0.341786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Dibenzo[ah]anthracene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2.9E-05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5.87E-10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0.000184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0.004187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1.642347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Indeno[1; 2; 3 . cd]pyrene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0.000302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Manganese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21.0102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Methylchrysene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4.32E-05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0.043056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Nickel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1.48E-05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1.686735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4.93E-10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0.000115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0.035288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0.360281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0.000161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0.295918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2104008320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non-catalytic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8.877551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2.23E-10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2.65E-10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1.92E-10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0.145294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9.31E-10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0.002295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0.026004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0.395647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0.023396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0.670588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0.003055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1.090824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0.000239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0.00073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Benzo[b]Fluoranthene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0.000441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Benzo[e]Pyrene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0.000439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w:t>
            </w:r>
            <w:proofErr w:type="spellStart"/>
            <w:r w:rsidRPr="00837E90">
              <w:rPr>
                <w:rFonts w:ascii="Calibri" w:hAnsi="Calibri"/>
                <w:sz w:val="18"/>
                <w:szCs w:val="18"/>
              </w:rPr>
              <w:t>g,h,i</w:t>
            </w:r>
            <w:proofErr w:type="spellEnd"/>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Benzo[k]Fluoranthene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0.000379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92.3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0.000351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0.395647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Dibenzo[ah]anthracene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2.92E-05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1.7E-09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0.000185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0.00535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0.731686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Indeno[1; 2; 3 . cd]pyrene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0.000304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19.37255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Methylchrysene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4.35E-05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0.071082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1.490196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4.96E-10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o-Xylene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0.138588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0.000116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0.018329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15.2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15.2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0.000162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2</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0.298039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Toluene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0.387451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2104008330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freestanding, EPA certified, catalytic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11.17647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0.00095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0.094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0.0101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0.0289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0.0067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15.9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7.52E-05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0.0155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3.8E-09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5.48E-05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0.316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0.248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0.423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3.32E-05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3.06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3.06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4.84E-05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2104008400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Woodstove: pellet-fired, general</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2.198</w:t>
            </w:r>
          </w:p>
        </w:tc>
        <w:tc>
          <w:tcPr>
            <w:tcW w:w="513" w:type="dxa"/>
            <w:shd w:val="clear" w:color="auto" w:fill="auto"/>
            <w:noWrap/>
            <w:vAlign w:val="center"/>
            <w:hideMark/>
          </w:tcPr>
          <w:p w:rsidR="003633BE" w:rsidRPr="00837E90" w:rsidRDefault="003633BE" w:rsidP="00A9689B">
            <w:pPr>
              <w:spacing w:after="0" w:line="240" w:lineRule="auto"/>
              <w:jc w:val="right"/>
              <w:rPr>
                <w:rFonts w:ascii="Calibri" w:hAnsi="Calibri"/>
                <w:sz w:val="18"/>
                <w:szCs w:val="18"/>
              </w:rPr>
            </w:pPr>
            <w:r w:rsidRPr="00837E90">
              <w:rPr>
                <w:rFonts w:ascii="Calibri" w:hAnsi="Calibri"/>
                <w:sz w:val="18"/>
                <w:szCs w:val="18"/>
              </w:rPr>
              <w:t>4, 6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0.029032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0.682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0.043792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2.78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0.002733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0.131139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8.33E-10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26.1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0.148635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0.241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27.6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27.6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2.03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2104008510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Furnace: Indoor, cordwood-fired, non-EPA certified</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11.7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0.029032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0.682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0.043792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2.78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0.002733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2907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1</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360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1</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0.131139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8.33E-10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0.148635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Nitrous 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0.0188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1</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0.241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1</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1</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2.03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2104008610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Hydronic heater: outdoor</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67.4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1</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1,2,3,4,6,7,8-Heptachlorodibenzo-p-Dioxin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3.16E-10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1,2,3,4,7,8,9-Heptachlorodibenzofuran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3.56E-10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1,2,3,4,7,8-Hexachlorodibenzo-p-Dioxin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2.2E-10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1,2,3,6,7,8-Hexachlorodibenzo-p-Dioxin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1.98E-10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1,2,3,7,8,9-Hexachlorodibenzo-p-Dioxin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4.56E-10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1,2,3,7,8-Pentachlorodibenzo-p-Dioxin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2.58E-10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1,3-Butadiene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0.157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2,3,4,6,7,8-Hexachlorodibenzofuran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1.65E-10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2,3,4,7,8-Pentachlorodibenzofuran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6.44E-10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1.25E-09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2,3,7,8-Tetrachlorodibenzo-p-Dioxin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2.28E-10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Acetaldehyde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1.07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Acrolein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0.123</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Ammonia</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0.686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0.001</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Cresols (Includes o, m, &amp; p)/Cresylic Acids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0.357</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Dioxins/Furans as 2,3,7,8-TCDD TEQs - WHO2005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7.87E-10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Formaldehyde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1.79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Mercury</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4.26E-05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7</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Methane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14.4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0.265</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Octachlorodibenzofuran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1.67E-10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Octachlorodibenzo-p-Dioxin</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6.66E-10</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8</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lastRenderedPageBreak/>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Phenol</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0.472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23.6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3</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Sulfur Dioxide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6</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2104008700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Outdoor wood burning device, NEC</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18.9</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4</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0.00168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Acenaphthylene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0.00748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0.00232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1.068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0.0012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Benzo[a]Pyrene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0.0012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Benzo[b]Fluoranthene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0.00112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w:t>
            </w:r>
            <w:proofErr w:type="spellStart"/>
            <w:r w:rsidRPr="00837E90">
              <w:rPr>
                <w:rFonts w:ascii="Calibri" w:hAnsi="Calibri"/>
                <w:sz w:val="18"/>
                <w:szCs w:val="18"/>
              </w:rPr>
              <w:t>g,h,i</w:t>
            </w:r>
            <w:proofErr w:type="spellEnd"/>
            <w:r w:rsidRPr="00837E90">
              <w:rPr>
                <w:rFonts w:ascii="Calibri" w:hAnsi="Calibri"/>
                <w:sz w:val="18"/>
                <w:szCs w:val="18"/>
              </w:rPr>
              <w:t>,]Perylene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0.00068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Benzo[k]Fluoranthene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Carbon Monoxide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125.08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Chrysene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0.00188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Dibenzo[</w:t>
            </w:r>
            <w:proofErr w:type="spellStart"/>
            <w:r w:rsidRPr="00837E90">
              <w:rPr>
                <w:rFonts w:ascii="Calibri" w:hAnsi="Calibri"/>
                <w:sz w:val="18"/>
                <w:szCs w:val="18"/>
              </w:rPr>
              <w:t>a,h</w:t>
            </w:r>
            <w:proofErr w:type="spellEnd"/>
            <w:r w:rsidRPr="00837E90">
              <w:rPr>
                <w:rFonts w:ascii="Calibri" w:hAnsi="Calibri"/>
                <w:sz w:val="18"/>
                <w:szCs w:val="18"/>
              </w:rPr>
              <w:t>]Anthracene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Fluoranthene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0.00428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Fluorene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0.00548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Indeno[1,2,3-c,d]Pyrene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0.00068</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Naphthalene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0.09756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Nitrogen Oxides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7.684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Phenanthrene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0.01724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PM10</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29.32</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Primary PM2.5</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28.4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Pyrene</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0.00424</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r w:rsidR="00F47DF7" w:rsidRPr="00837E90" w:rsidTr="008226F1">
        <w:trPr>
          <w:trHeight w:val="300"/>
        </w:trPr>
        <w:tc>
          <w:tcPr>
            <w:tcW w:w="1129"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2104009000</w:t>
            </w:r>
          </w:p>
        </w:tc>
        <w:tc>
          <w:tcPr>
            <w:tcW w:w="4556"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 xml:space="preserve">Residential </w:t>
            </w:r>
            <w:proofErr w:type="spellStart"/>
            <w:r w:rsidRPr="00837E90">
              <w:rPr>
                <w:rFonts w:ascii="Calibri" w:hAnsi="Calibri"/>
                <w:sz w:val="18"/>
                <w:szCs w:val="18"/>
              </w:rPr>
              <w:t>Firelog</w:t>
            </w:r>
            <w:proofErr w:type="spellEnd"/>
            <w:r w:rsidRPr="00837E90">
              <w:rPr>
                <w:rFonts w:ascii="Calibri" w:hAnsi="Calibri"/>
                <w:sz w:val="18"/>
                <w:szCs w:val="18"/>
              </w:rPr>
              <w:t xml:space="preserve"> Total: All Combustor Types</w:t>
            </w:r>
          </w:p>
        </w:tc>
        <w:tc>
          <w:tcPr>
            <w:tcW w:w="2610" w:type="dxa"/>
            <w:shd w:val="clear" w:color="auto" w:fill="auto"/>
            <w:noWrap/>
            <w:vAlign w:val="center"/>
            <w:hideMark/>
          </w:tcPr>
          <w:p w:rsidR="003633BE" w:rsidRPr="00837E90" w:rsidRDefault="003633BE" w:rsidP="004D36AA">
            <w:pPr>
              <w:spacing w:after="0" w:line="240" w:lineRule="auto"/>
              <w:rPr>
                <w:rFonts w:ascii="Calibri" w:hAnsi="Calibri"/>
                <w:sz w:val="18"/>
                <w:szCs w:val="18"/>
              </w:rPr>
            </w:pPr>
            <w:r w:rsidRPr="00837E90">
              <w:rPr>
                <w:rFonts w:ascii="Calibri" w:hAnsi="Calibri"/>
                <w:sz w:val="18"/>
                <w:szCs w:val="18"/>
              </w:rPr>
              <w:t>Volatile Organic Compounds</w:t>
            </w:r>
          </w:p>
        </w:tc>
        <w:tc>
          <w:tcPr>
            <w:tcW w:w="992" w:type="dxa"/>
            <w:shd w:val="clear" w:color="auto" w:fill="auto"/>
            <w:noWrap/>
            <w:vAlign w:val="bottom"/>
            <w:hideMark/>
          </w:tcPr>
          <w:p w:rsidR="003633BE" w:rsidRPr="00837E90" w:rsidRDefault="003633BE" w:rsidP="008226F1">
            <w:pPr>
              <w:spacing w:after="0"/>
              <w:jc w:val="right"/>
              <w:rPr>
                <w:rFonts w:ascii="Calibri" w:hAnsi="Calibri"/>
                <w:sz w:val="18"/>
                <w:szCs w:val="22"/>
              </w:rPr>
            </w:pPr>
            <w:r w:rsidRPr="00837E90">
              <w:rPr>
                <w:rFonts w:ascii="Calibri" w:hAnsi="Calibri"/>
                <w:sz w:val="18"/>
                <w:szCs w:val="22"/>
              </w:rPr>
              <w:t>39.56</w:t>
            </w:r>
          </w:p>
        </w:tc>
        <w:tc>
          <w:tcPr>
            <w:tcW w:w="513" w:type="dxa"/>
            <w:shd w:val="clear" w:color="auto" w:fill="auto"/>
            <w:noWrap/>
            <w:vAlign w:val="center"/>
            <w:hideMark/>
          </w:tcPr>
          <w:p w:rsidR="003633BE" w:rsidRPr="00837E90" w:rsidRDefault="003633BE" w:rsidP="004D36AA">
            <w:pPr>
              <w:spacing w:after="0" w:line="240" w:lineRule="auto"/>
              <w:jc w:val="right"/>
              <w:rPr>
                <w:rFonts w:ascii="Calibri" w:hAnsi="Calibri"/>
                <w:sz w:val="18"/>
                <w:szCs w:val="18"/>
              </w:rPr>
            </w:pPr>
            <w:r w:rsidRPr="00837E90">
              <w:rPr>
                <w:rFonts w:ascii="Calibri" w:hAnsi="Calibri"/>
                <w:sz w:val="18"/>
                <w:szCs w:val="18"/>
              </w:rPr>
              <w:t>5</w:t>
            </w:r>
          </w:p>
        </w:tc>
      </w:tr>
    </w:tbl>
    <w:p w:rsidR="00203B11" w:rsidRPr="00837E90" w:rsidRDefault="00203B11" w:rsidP="00724DB0"/>
    <w:p w:rsidR="00EB0E1F" w:rsidRPr="00837E90" w:rsidRDefault="00203B11" w:rsidP="00203B11">
      <w:pPr>
        <w:pStyle w:val="Heading1ES"/>
        <w:rPr>
          <w:rFonts w:ascii="Times New Roman" w:hAnsi="Times New Roman"/>
          <w:color w:val="auto"/>
        </w:rPr>
      </w:pPr>
      <w:bookmarkStart w:id="23" w:name="_Toc449605623"/>
      <w:r w:rsidRPr="00837E90">
        <w:rPr>
          <w:rFonts w:ascii="Times New Roman" w:hAnsi="Times New Roman"/>
          <w:color w:val="auto"/>
        </w:rPr>
        <w:lastRenderedPageBreak/>
        <w:t xml:space="preserve">F. </w:t>
      </w:r>
      <w:r w:rsidR="00E63FEE" w:rsidRPr="00837E90">
        <w:rPr>
          <w:rFonts w:ascii="Times New Roman" w:hAnsi="Times New Roman"/>
          <w:color w:val="auto"/>
        </w:rPr>
        <w:t>Getting Started with the RWC Tool</w:t>
      </w:r>
      <w:bookmarkEnd w:id="23"/>
    </w:p>
    <w:p w:rsidR="00E63FEE" w:rsidRPr="000E0654" w:rsidRDefault="00E63FEE" w:rsidP="00E63FEE">
      <w:pPr>
        <w:rPr>
          <w:sz w:val="24"/>
        </w:rPr>
      </w:pPr>
      <w:r w:rsidRPr="000E0654">
        <w:rPr>
          <w:sz w:val="24"/>
        </w:rPr>
        <w:t xml:space="preserve">The first time you open the RWC tool, you may see a yellow ribbon stating that “Some active content has been disabled.” Click </w:t>
      </w:r>
      <w:r w:rsidRPr="000E0654">
        <w:rPr>
          <w:b/>
          <w:sz w:val="24"/>
        </w:rPr>
        <w:t>Enable Content</w:t>
      </w:r>
      <w:r w:rsidRPr="000E0654">
        <w:rPr>
          <w:sz w:val="24"/>
        </w:rPr>
        <w:t>. This will allow the tool to run.</w:t>
      </w:r>
    </w:p>
    <w:p w:rsidR="00E63FEE" w:rsidRPr="00837E90" w:rsidRDefault="00837E90" w:rsidP="00E63FEE">
      <w:pPr>
        <w:rPr>
          <w:noProof/>
        </w:rPr>
      </w:pPr>
      <w:r w:rsidRPr="00837E90">
        <w:rPr>
          <w:noProof/>
        </w:rPr>
        <mc:AlternateContent>
          <mc:Choice Requires="wps">
            <w:drawing>
              <wp:anchor distT="0" distB="0" distL="114300" distR="114300" simplePos="0" relativeHeight="251655680" behindDoc="0" locked="0" layoutInCell="1" allowOverlap="1">
                <wp:simplePos x="0" y="0"/>
                <wp:positionH relativeFrom="column">
                  <wp:posOffset>3257550</wp:posOffset>
                </wp:positionH>
                <wp:positionV relativeFrom="paragraph">
                  <wp:posOffset>888365</wp:posOffset>
                </wp:positionV>
                <wp:extent cx="1181100" cy="476250"/>
                <wp:effectExtent l="19050" t="19050" r="19050" b="19050"/>
                <wp:wrapNone/>
                <wp:docPr id="13" name="Rectangl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476250"/>
                        </a:xfrm>
                        <a:prstGeom prst="rect">
                          <a:avLst/>
                        </a:prstGeom>
                        <a:noFill/>
                        <a:ln w="28575">
                          <a:solidFill>
                            <a:srgbClr val="F1291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7AE1D" id="Rectangle 4" o:spid="_x0000_s1026" style="position:absolute;margin-left:256.5pt;margin-top:69.95pt;width:93pt;height:3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B8wwIAALwFAAAOAAAAZHJzL2Uyb0RvYy54bWysVFFv0zAQfkfiP1h+zxKnbptWS6c2aRHS&#10;gInBD3ATp7FI7GC7zQbiv3N22m5lPAAiUpKzzz7f993nu755aBt04NoIJVNMriKMuCxUKeQuxZ8/&#10;bYIEI2OZLFmjJE/xIzf4ZvH61XXfzXmsatWUXCMIIs2871JcW9vNw9AUNW+ZuVIdl+CslG6ZhaHe&#10;haVmPURvmzCOoknYK112WhXcGJjNByde+PhVxQv7oaoMt6hJMeRm/Vf779Z9w8U1m+8062pRHNNg&#10;/5BFy4SEQ8+hcmYZ2mvxIlQrCq2MquxVodpQVZUouMcAaEj0C5r7mnXcYwFyTHemyfy/sMX7w51G&#10;ooTajTCSrIUafQTWmNw1HFGPiT/YW2MdOrAGVN8zkozy6WYSrOgsCehoNQpmNFkFZBonq3G8XE7W&#10;9IfbXfJiDq/SzIoDP1EMM3+G4Vhtx840fIqD0YFBRYmrX+jzOv19pmHfmbmH5oTgzfvuTjsIprtV&#10;xReDpMpqAMmXWqu+5qwEUodwFxvcwMBWtO3fqRLIYXurPCsPlW5dQKghevCCejwLyvFUwCQhCSER&#10;6K4AH51O4rFXHGR82t1pY99w1SJnpFgD9T46OwCQAdxpiTtMqo1oGi/aRqI+xXEyno79DqMaUTqv&#10;R6l326zRA0sbEs9IdqTqYlkrLNy+RrQpTiL3DPfB0bGWpT/GMtEMNmTdSBf8d3qYRbN1sk5oQOPJ&#10;OqBRngfLTUaDyYZMx/koz7KceD0QOq9FWXLpUj3JgdC/VkMUnu/cBSRzgXzjnpfIQ3aRxkk7p/+T&#10;hlzpBwltVfkIMtBqaCHQ8sColf6GUQ/tI8Xm655pjlHzVoKUZoRS12/8gI6nMQz0c8/2uYfJAkKl&#10;2GI0mJkdetS+02JXw0nE11iqJcivEl4ZTppDVpC3G0CL8AiO7cz1oOdjv+qp6S5+AgAA//8DAFBL&#10;AwQUAAYACAAAACEAEBswaOMAAAALAQAADwAAAGRycy9kb3ducmV2LnhtbEyPwU7DMBBE70j8g7VI&#10;XFDrJC0RDnGqCAlRIXFoacXVjU0SNV5HttsGvp7lBMedGc2+KVeTHdjZ+NA7lJDOE2AGG6d7bCXs&#10;3p9nD8BCVKjV4NBI+DIBVtX1VakK7S64MedtbBmVYCiUhC7GseA8NJ2xKszdaJC8T+etinT6lmuv&#10;LlRuB54lSc6t6pE+dGo0T51pjtuTlbAeh+/67e5l06N/rfP9cb3LPpZS3t5M9SOwaKb4F4ZffEKH&#10;ipgO7oQ6sEHCfbqgLZGMhRDAKJELQcpBQpYuBfCq5P83VD8AAAD//wMAUEsBAi0AFAAGAAgAAAAh&#10;ALaDOJL+AAAA4QEAABMAAAAAAAAAAAAAAAAAAAAAAFtDb250ZW50X1R5cGVzXS54bWxQSwECLQAU&#10;AAYACAAAACEAOP0h/9YAAACUAQAACwAAAAAAAAAAAAAAAAAvAQAAX3JlbHMvLnJlbHNQSwECLQAU&#10;AAYACAAAACEAPBYwfMMCAAC8BQAADgAAAAAAAAAAAAAAAAAuAgAAZHJzL2Uyb0RvYy54bWxQSwEC&#10;LQAUAAYACAAAACEAEBswaOMAAAALAQAADwAAAAAAAAAAAAAAAAAdBQAAZHJzL2Rvd25yZXYueG1s&#10;UEsFBgAAAAAEAAQA8wAAAC0GAAAAAA==&#10;" filled="f" strokecolor="#f1291c" strokeweight="2.25pt"/>
            </w:pict>
          </mc:Fallback>
        </mc:AlternateContent>
      </w:r>
      <w:r w:rsidRPr="00837E90">
        <w:rPr>
          <w:noProof/>
        </w:rPr>
        <w:drawing>
          <wp:inline distT="0" distB="0" distL="0" distR="0">
            <wp:extent cx="5943600" cy="1729740"/>
            <wp:effectExtent l="0" t="0" r="0" b="0"/>
            <wp:docPr id="5" name="Picture 1" descr="The first time you open the RWC tool, you may see a yellow ribbon stating that “Some active content has been disabled.” Click Enable Content. This will allow the tool to 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b="68512"/>
                    <a:stretch>
                      <a:fillRect/>
                    </a:stretch>
                  </pic:blipFill>
                  <pic:spPr bwMode="auto">
                    <a:xfrm>
                      <a:off x="0" y="0"/>
                      <a:ext cx="5943600" cy="1729740"/>
                    </a:xfrm>
                    <a:prstGeom prst="rect">
                      <a:avLst/>
                    </a:prstGeom>
                    <a:noFill/>
                    <a:ln>
                      <a:noFill/>
                    </a:ln>
                  </pic:spPr>
                </pic:pic>
              </a:graphicData>
            </a:graphic>
          </wp:inline>
        </w:drawing>
      </w:r>
    </w:p>
    <w:p w:rsidR="00E63FEE" w:rsidRPr="00837E90" w:rsidRDefault="00E63FEE" w:rsidP="00E63FEE">
      <w:pPr>
        <w:rPr>
          <w:noProof/>
        </w:rPr>
      </w:pPr>
    </w:p>
    <w:p w:rsidR="00E63FEE" w:rsidRPr="000E0654" w:rsidRDefault="00E63FEE" w:rsidP="00E63FEE">
      <w:pPr>
        <w:rPr>
          <w:b/>
          <w:noProof/>
          <w:sz w:val="24"/>
        </w:rPr>
      </w:pPr>
      <w:r w:rsidRPr="000E0654">
        <w:rPr>
          <w:noProof/>
          <w:sz w:val="24"/>
        </w:rPr>
        <w:t xml:space="preserve">You might also need to enable macros to run. Click </w:t>
      </w:r>
      <w:r w:rsidRPr="000E0654">
        <w:rPr>
          <w:b/>
          <w:noProof/>
          <w:sz w:val="24"/>
        </w:rPr>
        <w:t>File</w:t>
      </w:r>
      <w:r w:rsidRPr="000E0654">
        <w:rPr>
          <w:noProof/>
          <w:sz w:val="24"/>
        </w:rPr>
        <w:t xml:space="preserve"> then </w:t>
      </w:r>
      <w:r w:rsidRPr="000E0654">
        <w:rPr>
          <w:b/>
          <w:noProof/>
          <w:sz w:val="24"/>
        </w:rPr>
        <w:t>Options.</w:t>
      </w:r>
    </w:p>
    <w:p w:rsidR="00E63FEE" w:rsidRPr="00837E90" w:rsidRDefault="00837E90" w:rsidP="00E63FEE">
      <w:pPr>
        <w:rPr>
          <w:noProof/>
        </w:rPr>
      </w:pPr>
      <w:r w:rsidRPr="00837E90">
        <w:rPr>
          <w:noProof/>
        </w:rPr>
        <mc:AlternateContent>
          <mc:Choice Requires="wps">
            <w:drawing>
              <wp:anchor distT="0" distB="0" distL="114300" distR="114300" simplePos="0" relativeHeight="251657728" behindDoc="0" locked="0" layoutInCell="1" allowOverlap="1">
                <wp:simplePos x="0" y="0"/>
                <wp:positionH relativeFrom="column">
                  <wp:posOffset>104775</wp:posOffset>
                </wp:positionH>
                <wp:positionV relativeFrom="paragraph">
                  <wp:posOffset>3830955</wp:posOffset>
                </wp:positionV>
                <wp:extent cx="742950" cy="285750"/>
                <wp:effectExtent l="19050" t="19050" r="19050" b="19050"/>
                <wp:wrapNone/>
                <wp:docPr id="12" name="Rectangl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85750"/>
                        </a:xfrm>
                        <a:prstGeom prst="rect">
                          <a:avLst/>
                        </a:prstGeom>
                        <a:noFill/>
                        <a:ln w="28575">
                          <a:solidFill>
                            <a:srgbClr val="F1291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3B755" id="Rectangle 6" o:spid="_x0000_s1026" style="position:absolute;margin-left:8.25pt;margin-top:301.65pt;width:58.5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4rvvgIAALsFAAAOAAAAZHJzL2Uyb0RvYy54bWysVNuO0zAQfUfiHyy/Z3Np2iZV01WbtAhp&#10;gRULH+AmTmPh2MF2my6If2fstN0tywMgIiUZx/bxnDMnM789thwdqNJMigyHNwFGVJSyYmKX4c+f&#10;Nl6CkTZEVIRLQTP8SDW+Xbx+Ne+7GY1kI3lFFQIQoWd9l+HGmG7m+7psaEv0jeyogMlaqpYYGKqd&#10;XynSA3rL/SgIJn4vVdUpWVKt4WsxTOKFw69rWpoPda2pQTzDkJtxT+WeW/v0F3My2ynSNaw8pUH+&#10;IYuWMAGHXqAKYgjaK/YCqmWlklrW5qaUrS/rmpXUcQA2YfALm4eGdNRxAXF0d5FJ/z/Y8v3hXiFW&#10;Qe0ijARpoUYfQTUidpyiieNEj+ZOG8sOooHV9zxMRsV0M/FWcZp48Wg18tI4WXnhNEpW42i5nKzj&#10;H3Z3RcsZ3FIRww70LDF8+TMOp2pbdab+Ew5GBwIVDW39fJfX+e0y9ftOzxw1awQXPnT3ylLQ3Z0s&#10;v2gkZN4ASbpUSvYNJRWIOsBdbbADDVvRtn8nKxCH7I10qhxr1VpAqCE6OkM9XgxldSrh4zSO0jHY&#10;roSpKBlPIR4SPm/ulDZvqGyRDTKsQHkHTg7AY1h6XmLPEnLDOHee5QL1J1C3Q0vOKjvrSKrdNudq&#10;EGkTRmmYnw6+WtYyAz8fZ22Gk8Bew+9g1ViLyh1jCONDDDJzYcF/Z4c0SNfJOom9OJqsvTgoCm+5&#10;yWNvsgmn42JU5HkROjuE8axhVUWFTfXshjD+azME/uWXu6Kkr5hv7PWSuU+u0jhb5/x+spCt/OCg&#10;rawewQVKDh0EOh4EjVTfMOqhe2RYf90TRTHibwU4KQ3j2LYbN4jH0wgG6vnM9vkMESVAZdhgNIS5&#10;GVrUvlNs18BJoauxkEtwX82cM6wzh6wgbzuADuEYnLqZbUHPx27VU89d/AQAAP//AwBQSwMEFAAG&#10;AAgAAAAhACJOjuTgAAAACgEAAA8AAABkcnMvZG93bnJldi54bWxMj1FLwzAUhd8F/0O4gi/iUpdZ&#10;Rm06iiAOwYfNjb1mTWzLkpuSZFv113v3NB/PuR/nnlMuRmfZyYTYe5TwNMmAGWy87rGVsPl6e5wD&#10;i0mhVtajkfBjIiyq25tSFdqfcWVO69QyCsFYKAldSkPBeWw641Sc+MEg3b59cCqRDC3XQZ0p3Fk+&#10;zbKcO9UjfejUYF470xzWRydhOdjf+vPhfdVj+Kjz7WG5me5mUt7fjfULsGTGdIXhUp+qQ0Wd9v6I&#10;OjJLOn8mUkKeCQHsAghBzp6c2VwAr0r+f0L1BwAA//8DAFBLAQItABQABgAIAAAAIQC2gziS/gAA&#10;AOEBAAATAAAAAAAAAAAAAAAAAAAAAABbQ29udGVudF9UeXBlc10ueG1sUEsBAi0AFAAGAAgAAAAh&#10;ADj9If/WAAAAlAEAAAsAAAAAAAAAAAAAAAAALwEAAF9yZWxzLy5yZWxzUEsBAi0AFAAGAAgAAAAh&#10;ACijiu++AgAAuwUAAA4AAAAAAAAAAAAAAAAALgIAAGRycy9lMm9Eb2MueG1sUEsBAi0AFAAGAAgA&#10;AAAhACJOjuTgAAAACgEAAA8AAAAAAAAAAAAAAAAAGAUAAGRycy9kb3ducmV2LnhtbFBLBQYAAAAA&#10;BAAEAPMAAAAlBgAAAAA=&#10;" filled="f" strokecolor="#f1291c" strokeweight="2.25pt"/>
            </w:pict>
          </mc:Fallback>
        </mc:AlternateContent>
      </w:r>
      <w:r w:rsidRPr="00837E90">
        <w:rPr>
          <w:noProof/>
        </w:rPr>
        <mc:AlternateContent>
          <mc:Choice Requires="wps">
            <w:drawing>
              <wp:anchor distT="0" distB="0" distL="114300" distR="114300" simplePos="0" relativeHeight="251656704" behindDoc="0" locked="0" layoutInCell="1" allowOverlap="1">
                <wp:simplePos x="0" y="0"/>
                <wp:positionH relativeFrom="column">
                  <wp:posOffset>-114300</wp:posOffset>
                </wp:positionH>
                <wp:positionV relativeFrom="paragraph">
                  <wp:posOffset>106680</wp:posOffset>
                </wp:positionV>
                <wp:extent cx="742950" cy="476250"/>
                <wp:effectExtent l="19050" t="19050" r="19050" b="19050"/>
                <wp:wrapNone/>
                <wp:docPr id="11" name="Rectangl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476250"/>
                        </a:xfrm>
                        <a:prstGeom prst="rect">
                          <a:avLst/>
                        </a:prstGeom>
                        <a:noFill/>
                        <a:ln w="28575">
                          <a:solidFill>
                            <a:srgbClr val="F1291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B287B" id="Rectangle 5" o:spid="_x0000_s1026" style="position:absolute;margin-left:-9pt;margin-top:8.4pt;width:58.5pt;height: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J3ZwQIAALsFAAAOAAAAZHJzL2Uyb0RvYy54bWysVNuO0zAQfUfiHyy/Z3Np2qRV01WbtAhp&#10;gRULH+AmTmPh2MF2my6If2fstN0tywMgIiUZe+zxnDPHM789thwdqNJMigyHNwFGVJSyYmKX4c+f&#10;Nl6KkTZEVIRLQTP8SDW+Xbx+Ne+7GY1kI3lFFYIgQs/6LsONMd3M93XZ0JboG9lRAc5aqpYYGKqd&#10;XynSQ/SW+1EQTPxeqqpTsqRaw2wxOPHCxa9rWpoPda2pQTzDkJtxX+W+W/v1F3My2ynSNaw8pUH+&#10;IYuWMAGHXkIVxBC0V+xFqJaVSmpZm5tStr6sa1ZShwHQhMEvaB4a0lGHBcjR3YUm/f/Clu8P9wqx&#10;CmoXYiRICzX6CKwRseMUjR0mejR32lh0YA2ovudhOiqSzcRbxdPUi0erkTeN05UXJlG6GkfL5WQd&#10;/7C7K1rO4JWKGHagZ4ph5s8wnKpt2Un8pzgYHQhUNLT1811e57/L1O87PXPQrBCc+dDdKwtBd3ey&#10;/KKRkHkDIOlSKdk3lFRA6hDuaoMdaNiKtv07WQE5ZG+kY+VYq9YGhBqioxPU40VQlqcSJpM4mo5B&#10;diW44mQSgT0kfN7cKW3eUNkia2RYAfMuODkAjmHpeYk9S8gN49xplgvUZzhKx8lQJC05q6zXgVS7&#10;bc7VQNImjKZhfjr4alnLDFw+ztoMp4F9hutg2ViLyh1jCOODDTRzYYP/Tg7TYLpO12nsxdFk7cVB&#10;UXjLTR57k02YjItRkedF6OQQxrOGVRUVNtWzGsL4r8UQ+JcrdwVJXyHf2Oclcp9cpXGWzvn/JCFb&#10;+UFBW1k9ggqUHDoIdDwwGqm+YdRD98iw/ronimLE3wpQ0jSMY9tu3CAeJxEM1HPP9rmHiBJCZdhg&#10;NJi5GVrUvlNs18BJoVOFkEtQX82cMqwyh6wgbzuADuEQnLqZbUHPx27VU89d/AQAAP//AwBQSwME&#10;FAAGAAgAAAAhAAVfqxrfAAAACAEAAA8AAABkcnMvZG93bnJldi54bWxMj0FLw0AQhe+C/2EZwYu0&#10;mxQJaZpNCYJYBA+tFa/b7DQJzc6G3W0b/fWOJz0Nj/d4875yPdlBXNCH3pGCdJ6AQGqc6alVsH9/&#10;nuUgQtRk9OAIFXxhgHV1e1PqwrgrbfGyi63gEgqFVtDFOBZShqZDq8PcjUjsHZ23OrL0rTReX7nc&#10;DnKRJJm0uif+0OkRnzpsTruzVbAZh+/67eFl25N/rbOP02a/+HxU6v5uqlcgIk7xLwy/83k6VLzp&#10;4M5kghgUzNKcWSIbGSNwYLlkfeCb5iCrUv4HqH4AAAD//wMAUEsBAi0AFAAGAAgAAAAhALaDOJL+&#10;AAAA4QEAABMAAAAAAAAAAAAAAAAAAAAAAFtDb250ZW50X1R5cGVzXS54bWxQSwECLQAUAAYACAAA&#10;ACEAOP0h/9YAAACUAQAACwAAAAAAAAAAAAAAAAAvAQAAX3JlbHMvLnJlbHNQSwECLQAUAAYACAAA&#10;ACEAOOSd2cECAAC7BQAADgAAAAAAAAAAAAAAAAAuAgAAZHJzL2Uyb0RvYy54bWxQSwECLQAUAAYA&#10;CAAAACEABV+rGt8AAAAIAQAADwAAAAAAAAAAAAAAAAAbBQAAZHJzL2Rvd25yZXYueG1sUEsFBgAA&#10;AAAEAAQA8wAAACcGAAAAAA==&#10;" filled="f" strokecolor="#f1291c" strokeweight="2.25pt"/>
            </w:pict>
          </mc:Fallback>
        </mc:AlternateContent>
      </w:r>
      <w:r w:rsidRPr="00837E90">
        <w:rPr>
          <w:noProof/>
        </w:rPr>
        <w:drawing>
          <wp:inline distT="0" distB="0" distL="0" distR="0">
            <wp:extent cx="5943600" cy="4328160"/>
            <wp:effectExtent l="0" t="0" r="0" b="0"/>
            <wp:docPr id="6" name="Picture 1" descr="You might also need to enable macros to run. Click File then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b="7382"/>
                    <a:stretch>
                      <a:fillRect/>
                    </a:stretch>
                  </pic:blipFill>
                  <pic:spPr bwMode="auto">
                    <a:xfrm>
                      <a:off x="0" y="0"/>
                      <a:ext cx="5943600" cy="4328160"/>
                    </a:xfrm>
                    <a:prstGeom prst="rect">
                      <a:avLst/>
                    </a:prstGeom>
                    <a:noFill/>
                    <a:ln>
                      <a:noFill/>
                    </a:ln>
                  </pic:spPr>
                </pic:pic>
              </a:graphicData>
            </a:graphic>
          </wp:inline>
        </w:drawing>
      </w:r>
    </w:p>
    <w:p w:rsidR="00E63FEE" w:rsidRPr="00837E90" w:rsidRDefault="00E63FEE" w:rsidP="00E63FEE">
      <w:pPr>
        <w:rPr>
          <w:noProof/>
        </w:rPr>
      </w:pPr>
    </w:p>
    <w:p w:rsidR="00E63FEE" w:rsidRPr="000E0654" w:rsidRDefault="00E63FEE" w:rsidP="00E63FEE">
      <w:pPr>
        <w:rPr>
          <w:noProof/>
          <w:sz w:val="24"/>
        </w:rPr>
      </w:pPr>
      <w:r w:rsidRPr="000E0654">
        <w:rPr>
          <w:noProof/>
          <w:sz w:val="24"/>
        </w:rPr>
        <w:lastRenderedPageBreak/>
        <w:t xml:space="preserve">In the window that opens, click </w:t>
      </w:r>
      <w:r w:rsidRPr="000E0654">
        <w:rPr>
          <w:b/>
          <w:noProof/>
          <w:sz w:val="24"/>
        </w:rPr>
        <w:t>Trust Center</w:t>
      </w:r>
      <w:r w:rsidRPr="000E0654">
        <w:rPr>
          <w:noProof/>
          <w:sz w:val="24"/>
        </w:rPr>
        <w:t xml:space="preserve">, and then </w:t>
      </w:r>
      <w:r w:rsidRPr="000E0654">
        <w:rPr>
          <w:b/>
          <w:noProof/>
          <w:sz w:val="24"/>
        </w:rPr>
        <w:t>Trust Center Settings.</w:t>
      </w:r>
      <w:r w:rsidRPr="000E0654">
        <w:rPr>
          <w:noProof/>
          <w:sz w:val="24"/>
        </w:rPr>
        <w:t xml:space="preserve"> </w:t>
      </w:r>
    </w:p>
    <w:p w:rsidR="00E63FEE" w:rsidRPr="00837E90" w:rsidRDefault="00837E90" w:rsidP="00E63FEE">
      <w:pPr>
        <w:rPr>
          <w:noProof/>
        </w:rPr>
      </w:pPr>
      <w:r w:rsidRPr="00837E90">
        <w:rPr>
          <w:noProof/>
        </w:rPr>
        <mc:AlternateContent>
          <mc:Choice Requires="wps">
            <w:drawing>
              <wp:anchor distT="0" distB="0" distL="114300" distR="114300" simplePos="0" relativeHeight="251658752" behindDoc="0" locked="0" layoutInCell="1" allowOverlap="1">
                <wp:simplePos x="0" y="0"/>
                <wp:positionH relativeFrom="column">
                  <wp:posOffset>-9525</wp:posOffset>
                </wp:positionH>
                <wp:positionV relativeFrom="paragraph">
                  <wp:posOffset>2136140</wp:posOffset>
                </wp:positionV>
                <wp:extent cx="1123950" cy="314325"/>
                <wp:effectExtent l="19050" t="19050" r="19050" b="19050"/>
                <wp:wrapNone/>
                <wp:docPr id="10" name="Rectangl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314325"/>
                        </a:xfrm>
                        <a:prstGeom prst="rect">
                          <a:avLst/>
                        </a:prstGeom>
                        <a:noFill/>
                        <a:ln w="28575">
                          <a:solidFill>
                            <a:srgbClr val="F1291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1F224" id="Rectangle 7" o:spid="_x0000_s1026" style="position:absolute;margin-left:-.75pt;margin-top:168.2pt;width:88.5pt;height:2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kUwgIAALwFAAAOAAAAZHJzL2Uyb0RvYy54bWysVFFv0zAQfkfiP1h+zxKnaZtWS6c2aRHS&#10;gInBD3ATp7Fw7GC7zQbiv3N22m5lPAAiUpKzzz7f993nu755aAU6MG24khkmVxFGTJaq4nKX4c+f&#10;NkGKkbFUVlQoyTL8yAy+Wbx+dd13cxarRomKaQRBpJn3XYYba7t5GJqyYS01V6pjEpy10i21MNS7&#10;sNK0h+itCOMomoS90lWnVcmMgdlicOKFj1/XrLQf6towi0SGITfrv9p/t+4bLq7pfKdp1/DymAb9&#10;hyxayiUceg5VUEvRXvMXoVpeamVUba9K1YaqrnnJPAZAQ6Jf0Nw3tGMeC5BjujNN5v+FLd8f7jTi&#10;FdQO6JG0hRp9BNao3AmGph4Te7C3xjp0YA2ovuckHRXTzSRYJbM0SEarUTBL0lVApnG6GsfL5WSd&#10;/HC7K1bO4VWaWn5gJ4ph5s8wHKvt2JmGT3EwOlCoKHH1C31ep7/PNOw7M/fQnBC8ed/daQfBdLeq&#10;/GKQVHkDINlSa9U3jFZA6hDuYoMbGNiKtv07VQE5dG+VZ+Wh1q0LCDVED15Qj2dBOZ5KmCQkHs3G&#10;QGwJvhFJRvH4mPFpd6eNfcNUi5yRYQ3U++j0AEAGcKcl7jCpNlwIL1ohUZ/hOB1Px36HUYJXzutR&#10;6t02F3pgaUPiGcmPB18sa7mF2yd4m+E0cs9wHxwda1n5YyzlYrCBZyFd8N/pYRbN1uk6TYIknqyD&#10;JCqKYLnJk2CyIdNxMSryvCBeDySZN7yqmHSpnuRAkr9WQxSe79wFJHOBfOOel8hDepHGSTun/5OG&#10;XOkHCW1V9Qgy0GpoIdDywGiU/oZRD+0jw+brnmqGkXgrQUozkiSu3/hBMp7GMNDPPdvnHipLCJVh&#10;i9Fg5nboUftO810DJxFfY6mWIL+ae2U4aQ5ZQd5uAC3CIzi2M9eDno/9qqemu/gJAAD//wMAUEsD&#10;BBQABgAIAAAAIQCzdSUV4gAAAAoBAAAPAAAAZHJzL2Rvd25yZXYueG1sTI/LTsMwEEX3SPyDNUhs&#10;UOv0kVBCnCpCQlRILFpadevGJolqjyPbbQNfz3QFy7lzdOdMsRysYWftQ+dQwGScANNYO9VhI2D7&#10;+TpaAAtRopLGoRbwrQMsy9ubQubKXXCtz5vYMCrBkEsBbYx9znmoW21lGLteI+2+nLcy0ugbrry8&#10;ULk1fJokGbeyQ7rQyl6/tLo+bk5WwKo3P9XHw9u6Q/9eZbvjajvdz4W4vxuqZ2BRD/EPhqs+qUNJ&#10;Tgd3QhWYETCapEQKmM2yObAr8JhScqBkkT4BLwv+/4XyFwAA//8DAFBLAQItABQABgAIAAAAIQC2&#10;gziS/gAAAOEBAAATAAAAAAAAAAAAAAAAAAAAAABbQ29udGVudF9UeXBlc10ueG1sUEsBAi0AFAAG&#10;AAgAAAAhADj9If/WAAAAlAEAAAsAAAAAAAAAAAAAAAAALwEAAF9yZWxzLy5yZWxzUEsBAi0AFAAG&#10;AAgAAAAhAELwqRTCAgAAvAUAAA4AAAAAAAAAAAAAAAAALgIAAGRycy9lMm9Eb2MueG1sUEsBAi0A&#10;FAAGAAgAAAAhALN1JRXiAAAACgEAAA8AAAAAAAAAAAAAAAAAHAUAAGRycy9kb3ducmV2LnhtbFBL&#10;BQYAAAAABAAEAPMAAAArBgAAAAA=&#10;" filled="f" strokecolor="#f1291c" strokeweight="2.25pt"/>
            </w:pict>
          </mc:Fallback>
        </mc:AlternateContent>
      </w:r>
      <w:r w:rsidRPr="00837E90">
        <w:rPr>
          <w:noProof/>
        </w:rPr>
        <mc:AlternateContent>
          <mc:Choice Requires="wps">
            <w:drawing>
              <wp:anchor distT="0" distB="0" distL="114300" distR="114300" simplePos="0" relativeHeight="251659776" behindDoc="0" locked="0" layoutInCell="1" allowOverlap="1">
                <wp:simplePos x="0" y="0"/>
                <wp:positionH relativeFrom="column">
                  <wp:posOffset>4657725</wp:posOffset>
                </wp:positionH>
                <wp:positionV relativeFrom="paragraph">
                  <wp:posOffset>2393315</wp:posOffset>
                </wp:positionV>
                <wp:extent cx="1123950" cy="314325"/>
                <wp:effectExtent l="19050" t="19050" r="19050" b="19050"/>
                <wp:wrapNone/>
                <wp:docPr id="9" name="Rectangl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314325"/>
                        </a:xfrm>
                        <a:prstGeom prst="rect">
                          <a:avLst/>
                        </a:prstGeom>
                        <a:noFill/>
                        <a:ln w="28575">
                          <a:solidFill>
                            <a:srgbClr val="F1291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F625C" id="Rectangle 8" o:spid="_x0000_s1026" style="position:absolute;margin-left:366.75pt;margin-top:188.45pt;width:88.5pt;height:2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swgIAALsFAAAOAAAAZHJzL2Uyb0RvYy54bWysVMGOmzAQvVfqP1i+s2BCEohCVgkkVaVt&#10;u+q2H+CACVbBprYTsq367x2bJLvp9tBWRQLGHns8783zzG+PbYMOTGkuRYrJTYARE4Usudil+POn&#10;jRdjpA0VJW2kYCl+ZBrfLl6/mvfdjIWylk3JFIIgQs/6LsW1Md3M93VRs5bqG9kxAc5KqpYaGKqd&#10;XyraQ/S28cMgmPi9VGWnZMG0htl8cOKFi19VrDAfqkozg5oUQ27GfZX7bu3XX8zpbKdoV/PilAb9&#10;hyxaygUcegmVU0PRXvEXoVpeKKllZW4K2fqyqnjBHAZAQ4Jf0DzUtGMOC5CjuwtN+v+FLd4f7hXi&#10;ZYoTjARtoUQfgTQqdg1DsYPEjuZOGwsOrAHU94zEo3y6mXirKIm9aLQaeUkUrzwyDePVOFwuJ+vo&#10;h91dsmIGr1TU8AM7MwwzfwbhVGxLztR/ioPRgUJBiS2f7/I6/12mft/pmUNmdeDMh+5eWQi6u5PF&#10;F42EzGoAyZZKyb5mtAROh3BXG+xAw1a07d/JEsiheyMdK8dKtTYglBAdnZ4eL3qyPBUwSUg4SsYg&#10;uwJ8IxKNwvEp4/PuTmnzhskWWSPFCqh30ekBgAzgzkvsYUJueNM4zTYC9SkO4/F07HZo2fDSeh1K&#10;tdtmjRpY2pAwIdnp4KtlLTdw+RrepjgO7DNcB0vHWpTuGEN5M9jAcyNs8N/pIQmSdbyOIy8KJ2sv&#10;CvLcW26yyJtsyHScj/Isy4nTA4lmNS9LJmyqZzmQ6K/VEPiXK3cFSV8h39jnJXKfXqVx1s75/6Qh&#10;W/pBQltZPoIMlBw6CHQ8MGqpvmHUQ/dIsf66p4ph1LwVIKWERJFtN24QjachDNRzz/a5h4oCQqXY&#10;YDSYmRla1L5TfFfDScTVWMglyK/iThlWmkNWkLcdQIdwCE7dzLag52O36qnnLn4CAAD//wMAUEsD&#10;BBQABgAIAAAAIQBAjdUR4wAAAAsBAAAPAAAAZHJzL2Rvd25yZXYueG1sTI/BTsMwDIbvSLxDZCQu&#10;iKVrS8dK3alCQkxIHDaGuGZNaKslTpVkW+HpCSc42v70+/ur1WQ0OynnB0sI81kCTFFr5UAdwu7t&#10;6fYemA+CpNCWFMKX8rCqLy8qUUp7po06bUPHYgj5UiD0IYwl577tlRF+ZkdF8fZpnREhjq7j0olz&#10;DDeap0lScCMGih96MarHXrWH7dEgrEf93bzePG8Gci9N8X5Y79KPHPH6amoegAU1hT8YfvWjOtTR&#10;aW+PJD3TCIssu4soQrYolsAisZwncbNHyNMiB15X/H+H+gcAAP//AwBQSwECLQAUAAYACAAAACEA&#10;toM4kv4AAADhAQAAEwAAAAAAAAAAAAAAAAAAAAAAW0NvbnRlbnRfVHlwZXNdLnhtbFBLAQItABQA&#10;BgAIAAAAIQA4/SH/1gAAAJQBAAALAAAAAAAAAAAAAAAAAC8BAABfcmVscy8ucmVsc1BLAQItABQA&#10;BgAIAAAAIQAsLavswgIAALsFAAAOAAAAAAAAAAAAAAAAAC4CAABkcnMvZTJvRG9jLnhtbFBLAQIt&#10;ABQABgAIAAAAIQBAjdUR4wAAAAsBAAAPAAAAAAAAAAAAAAAAABwFAABkcnMvZG93bnJldi54bWxQ&#10;SwUGAAAAAAQABADzAAAALAYAAAAA&#10;" filled="f" strokecolor="#f1291c" strokeweight="2.25pt"/>
            </w:pict>
          </mc:Fallback>
        </mc:AlternateContent>
      </w:r>
      <w:r w:rsidRPr="00837E90">
        <w:rPr>
          <w:noProof/>
        </w:rPr>
        <w:drawing>
          <wp:inline distT="0" distB="0" distL="0" distR="0">
            <wp:extent cx="5943600" cy="2865120"/>
            <wp:effectExtent l="0" t="0" r="0" b="0"/>
            <wp:docPr id="7" name="Picture 1" descr="In the window that opens, click Trust Center, and then Trust Center Setting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b="40865"/>
                    <a:stretch>
                      <a:fillRect/>
                    </a:stretch>
                  </pic:blipFill>
                  <pic:spPr bwMode="auto">
                    <a:xfrm>
                      <a:off x="0" y="0"/>
                      <a:ext cx="5943600" cy="2865120"/>
                    </a:xfrm>
                    <a:prstGeom prst="rect">
                      <a:avLst/>
                    </a:prstGeom>
                    <a:noFill/>
                    <a:ln>
                      <a:noFill/>
                    </a:ln>
                  </pic:spPr>
                </pic:pic>
              </a:graphicData>
            </a:graphic>
          </wp:inline>
        </w:drawing>
      </w:r>
    </w:p>
    <w:p w:rsidR="00E63FEE" w:rsidRPr="00837E90" w:rsidRDefault="00E63FEE" w:rsidP="00E63FEE"/>
    <w:p w:rsidR="00E63FEE" w:rsidRPr="000E0654" w:rsidRDefault="00E63FEE" w:rsidP="00E63FEE">
      <w:pPr>
        <w:rPr>
          <w:sz w:val="24"/>
        </w:rPr>
      </w:pPr>
      <w:r w:rsidRPr="000E0654">
        <w:rPr>
          <w:sz w:val="24"/>
        </w:rPr>
        <w:t xml:space="preserve">In the next window that opens, click </w:t>
      </w:r>
      <w:r w:rsidRPr="000E0654">
        <w:rPr>
          <w:b/>
          <w:sz w:val="24"/>
        </w:rPr>
        <w:t>Macro Settings</w:t>
      </w:r>
      <w:r w:rsidRPr="000E0654">
        <w:rPr>
          <w:sz w:val="24"/>
        </w:rPr>
        <w:t xml:space="preserve">, and then select </w:t>
      </w:r>
      <w:r w:rsidRPr="000E0654">
        <w:rPr>
          <w:b/>
          <w:sz w:val="24"/>
        </w:rPr>
        <w:t>Disable all macros with notification</w:t>
      </w:r>
      <w:r w:rsidRPr="000E0654">
        <w:rPr>
          <w:sz w:val="24"/>
        </w:rPr>
        <w:t>.</w:t>
      </w:r>
    </w:p>
    <w:p w:rsidR="00E63FEE" w:rsidRPr="00837E90" w:rsidRDefault="00837E90" w:rsidP="00E63FEE">
      <w:pPr>
        <w:rPr>
          <w:noProof/>
        </w:rPr>
      </w:pPr>
      <w:r w:rsidRPr="00837E90">
        <w:rPr>
          <w:noProof/>
        </w:rPr>
        <mc:AlternateContent>
          <mc:Choice Requires="wps">
            <w:drawing>
              <wp:anchor distT="0" distB="0" distL="114300" distR="114300" simplePos="0" relativeHeight="251661824" behindDoc="0" locked="0" layoutInCell="1" allowOverlap="1">
                <wp:simplePos x="0" y="0"/>
                <wp:positionH relativeFrom="column">
                  <wp:posOffset>1276350</wp:posOffset>
                </wp:positionH>
                <wp:positionV relativeFrom="paragraph">
                  <wp:posOffset>703580</wp:posOffset>
                </wp:positionV>
                <wp:extent cx="1590675" cy="161925"/>
                <wp:effectExtent l="19050" t="19050" r="19050" b="19050"/>
                <wp:wrapNone/>
                <wp:docPr id="4" name="Rectangl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61925"/>
                        </a:xfrm>
                        <a:prstGeom prst="rect">
                          <a:avLst/>
                        </a:prstGeom>
                        <a:noFill/>
                        <a:ln w="28575">
                          <a:solidFill>
                            <a:srgbClr val="F1291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A4E1E" id="Rectangle 10" o:spid="_x0000_s1026" style="position:absolute;margin-left:100.5pt;margin-top:55.4pt;width:125.25pt;height:1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YLJwgIAALwFAAAOAAAAZHJzL2Uyb0RvYy54bWysVNGOmzAQfK/Uf7D8zoEJSSA6ckogqSpd&#10;21Ov/QAHTLAKNrWdkGvVf+/aJLmk14e2KhLgxXi8Mzve27tD26A9U5pLkWJyE2DERCFLLrYp/vxp&#10;7cUYaUNFSRspWIqfmMZ389evbvtuxkJZy6ZkCgGI0LO+S3FtTDfzfV3UrKX6RnZMwGQlVUsNhGrr&#10;l4r2gN42fhgEE7+XquyULJjW8DUfJvHc4VcVK8yHqtLMoCbFkJtxT+WeG/v057d0tlW0q3lxTIP+&#10;QxYt5QI2PUPl1FC0U/wFVMsLJbWszE0hW19WFS+Y4wBsSPALm8eadsxxAXF0d5ZJ/z/Y4v3+QSFe&#10;pjjCSNAWSvQRRKNi2zBEAseJHcy9NpYdjAZW3zMSj/LpeuItoyT2otFy5CVRvPTINIyX43CxmKyi&#10;H3Z1yYoZ3FJRw/fsJDF8+TMOx2pbdab+Mw5GewoVJbZ+vsvr9HaZ+n2nZ46aNYIbPnYPylLQ3b0s&#10;vmgkZFYDS7ZQSvY1oyWIOsBdLbCBhqVo07+TJahDd0Y6VQ6Vai0g1BAdnKGezoayOhXwkYyTYDId&#10;Y1TAHJmQJBwfMz6t7pQ2b5hskR2kWIH2Dp3ugchA7vSL3UzINW8aZ9pGoD7FYTwGfEdMNry0sy5Q&#10;203WqEGlNQkTkh031pe/tdzA6Wt4m+I4sNdwHqwcK1G6bQzlzTAGnRthwX/nhyRIVvEqjrwonKy8&#10;KMhzb7HOIm+yJtNxPsqzLCfODySa1bwsmbCpnuxAor92Q+Cfz9wVJX3FfG2vl8x9epXGyTun97OH&#10;bOkHC21k+QQ2UHJoIdDyYFBL9Q2jHtpHivXXHVUMo+atACslJIpsv3FBNJ6GEKjLmc3lDBUFQKXY&#10;YDQMMzP0qF2n+LaGnYirsZALsF/FnTOsNYesIG8bQItwDI7tzPagy9j99dx05z8BAAD//wMAUEsD&#10;BBQABgAIAAAAIQBJafGt4gAAAAsBAAAPAAAAZHJzL2Rvd25yZXYueG1sTI9RS8MwFIXfBf9DuIIv&#10;4pJ2W5HadBRBHIIPmxNfsya2ZclNSbKt+uu9Ps3He87h3PNVq8lZdjIhDh4lZDMBzGDr9YCdhN37&#10;8/0DsJgUamU9GgnfJsKqvr6qVKn9GTfmtE0doxKMpZLQpzSWnMe2N07FmR8Nkvflg1OJztBxHdSZ&#10;yp3luRAFd2pA+tCr0Tz1pj1sj07CerQ/zdvdy2bA8NoUH4f1Lv9cSHl7MzWPwJKZ0iUMf/NpOtS0&#10;ae+PqCOzEnKREUsiIxPEQInFMlsC25MyL+bA64r/Z6h/AQAA//8DAFBLAQItABQABgAIAAAAIQC2&#10;gziS/gAAAOEBAAATAAAAAAAAAAAAAAAAAAAAAABbQ29udGVudF9UeXBlc10ueG1sUEsBAi0AFAAG&#10;AAgAAAAhADj9If/WAAAAlAEAAAsAAAAAAAAAAAAAAAAALwEAAF9yZWxzLy5yZWxzUEsBAi0AFAAG&#10;AAgAAAAhABHRgsnCAgAAvAUAAA4AAAAAAAAAAAAAAAAALgIAAGRycy9lMm9Eb2MueG1sUEsBAi0A&#10;FAAGAAgAAAAhAElp8a3iAAAACwEAAA8AAAAAAAAAAAAAAAAAHAUAAGRycy9kb3ducmV2LnhtbFBL&#10;BQYAAAAABAAEAPMAAAArBgAAAAA=&#10;" filled="f" strokecolor="#f1291c" strokeweight="2.25pt"/>
            </w:pict>
          </mc:Fallback>
        </mc:AlternateContent>
      </w:r>
      <w:r w:rsidRPr="00837E90">
        <w:rPr>
          <w:noProof/>
        </w:rPr>
        <mc:AlternateContent>
          <mc:Choice Requires="wps">
            <w:drawing>
              <wp:anchor distT="0" distB="0" distL="114300" distR="114300" simplePos="0" relativeHeight="251660800" behindDoc="0" locked="0" layoutInCell="1" allowOverlap="1">
                <wp:simplePos x="0" y="0"/>
                <wp:positionH relativeFrom="column">
                  <wp:posOffset>-85725</wp:posOffset>
                </wp:positionH>
                <wp:positionV relativeFrom="paragraph">
                  <wp:posOffset>1198880</wp:posOffset>
                </wp:positionV>
                <wp:extent cx="1123950" cy="314325"/>
                <wp:effectExtent l="19050" t="19050" r="19050" b="19050"/>
                <wp:wrapNone/>
                <wp:docPr id="3" name="Rectangl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314325"/>
                        </a:xfrm>
                        <a:prstGeom prst="rect">
                          <a:avLst/>
                        </a:prstGeom>
                        <a:noFill/>
                        <a:ln w="28575">
                          <a:solidFill>
                            <a:srgbClr val="F1291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BB273" id="Rectangle 9" o:spid="_x0000_s1026" style="position:absolute;margin-left:-6.75pt;margin-top:94.4pt;width:88.5pt;height:2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BowwgIAALsFAAAOAAAAZHJzL2Uyb0RvYy54bWysVFFvmzAQfp+0/2D5nYKBJBCVVAkk06Ru&#10;q9btBzhggjWwme2EdtP++84mSZt1D9s0JODss8/3fff5rm8euhYdmNJcigyTqwAjJkpZcbHL8OdP&#10;Gy/BSBsqKtpKwTL8yDS+Wbx+dT30cxbKRrYVUwiCCD0f+gw3xvRz39dlwzqqr2TPBDhrqTpqYKh2&#10;fqXoANG71g+DYOoPUlW9kiXTGmaL0YkXLn5ds9J8qGvNDGozDLkZ91Xuu7Vff3FN5ztF+4aXxzTo&#10;P2TRUS7g0HOoghqK9oq/CNXxUkkta3NVys6Xdc1L5jAAGhL8gua+oT1zWIAc3Z9p0v8vbPn+cKcQ&#10;rzIcYSRoByX6CKRRsWsZSh0k9mButbHgwBpBfc9JEhWzzdRbxWnixdEq8tI4WXlkFiarSbhcTtfx&#10;D7u7YuUcXqmo4Qd2Yhhm/gzCsdiWnJn/FAejA4WCEls+3+V1+rtM/aHXc4fM6sCZ9/2dshB0fyvL&#10;LxoJmTcAki2VkkPDaAWcjuEuNtiBhq1oO7yTFZBD90Y6Vh5q1dmAUEL04PT0eNaT5amESULCKJ2A&#10;7ErwRSSOwskx49PuXmnzhskOWSPDCqh30ekBgIzgTkvsYUJueNs6zbYCDRkOk8ls4nZo2fLKeh1K&#10;tdvmrRpZ2pAwJfnx4ItlHTdw+VreZTgJ7DNeB0vHWlTuGEN5O9rAcyts8N/pIQ3SdbJOYi8Op2sv&#10;DorCW27y2JtuyGxSREWeF8TpgcTzhlcVEzbVkxxI/NdqCPzzlbuApC+Qb+zzErlPL9I4aef0f9KQ&#10;Lf0ooa2sHkEGSo4dBDoeGI1U3zAaoHtkWH/dU8Uwat8KkFJK4ti2GzeIJ7MQBuq5Z/vcQ0UJoTJs&#10;MBrN3Iwtat8rvmvgJOJqLOQS5FdzpwwrzTEryNsOoEM4BMduZlvQ87Fb9dRzFz8BAAD//wMAUEsD&#10;BBQABgAIAAAAIQAPjHtN4QAAAAsBAAAPAAAAZHJzL2Rvd25yZXYueG1sTI9RS8MwFIXfBf9DuIIv&#10;sqVrtZTadBRBHIIPmxNfsya2ZclNSbKt+uu9fdLHe87HuedU68kadtY+DA4FrJYJMI2tUwN2Avbv&#10;z4sCWIgSlTQOtYBvHWBdX19VslTuglt93sWOUQiGUgroYxxLzkPbayvD0o0ayfty3spIp++48vJC&#10;4dbwNElybuWA9KGXo37qdXvcnayAzWh+mre7l+2A/rXJP46bffp5L8TtzdQ8Aot6in8wzPWpOtTU&#10;6eBOqAIzAhar7IFQMoqCNsxEPisHAWlWZMDriv/fUP8CAAD//wMAUEsBAi0AFAAGAAgAAAAhALaD&#10;OJL+AAAA4QEAABMAAAAAAAAAAAAAAAAAAAAAAFtDb250ZW50X1R5cGVzXS54bWxQSwECLQAUAAYA&#10;CAAAACEAOP0h/9YAAACUAQAACwAAAAAAAAAAAAAAAAAvAQAAX3JlbHMvLnJlbHNQSwECLQAUAAYA&#10;CAAAACEA3XQaMMICAAC7BQAADgAAAAAAAAAAAAAAAAAuAgAAZHJzL2Uyb0RvYy54bWxQSwECLQAU&#10;AAYACAAAACEAD4x7TeEAAAALAQAADwAAAAAAAAAAAAAAAAAcBQAAZHJzL2Rvd25yZXYueG1sUEsF&#10;BgAAAAAEAAQA8wAAACoGAAAAAA==&#10;" filled="f" strokecolor="#f1291c" strokeweight="2.25pt"/>
            </w:pict>
          </mc:Fallback>
        </mc:AlternateContent>
      </w:r>
      <w:r w:rsidRPr="00837E90">
        <w:rPr>
          <w:noProof/>
        </w:rPr>
        <w:drawing>
          <wp:inline distT="0" distB="0" distL="0" distR="0">
            <wp:extent cx="5943600" cy="2125980"/>
            <wp:effectExtent l="0" t="0" r="0" b="0"/>
            <wp:docPr id="8" name="Picture 1" descr="In the next window that opens, click Macro Settings, and then select Disable all macros with no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b="56189"/>
                    <a:stretch>
                      <a:fillRect/>
                    </a:stretch>
                  </pic:blipFill>
                  <pic:spPr bwMode="auto">
                    <a:xfrm>
                      <a:off x="0" y="0"/>
                      <a:ext cx="5943600" cy="2125980"/>
                    </a:xfrm>
                    <a:prstGeom prst="rect">
                      <a:avLst/>
                    </a:prstGeom>
                    <a:noFill/>
                    <a:ln>
                      <a:noFill/>
                    </a:ln>
                  </pic:spPr>
                </pic:pic>
              </a:graphicData>
            </a:graphic>
          </wp:inline>
        </w:drawing>
      </w:r>
    </w:p>
    <w:p w:rsidR="00E63FEE" w:rsidRPr="00837E90" w:rsidRDefault="00E63FEE" w:rsidP="00E63FEE">
      <w:pPr>
        <w:rPr>
          <w:noProof/>
        </w:rPr>
      </w:pPr>
    </w:p>
    <w:p w:rsidR="00E63FEE" w:rsidRPr="000E0654" w:rsidRDefault="00E63FEE" w:rsidP="00E63FEE">
      <w:pPr>
        <w:rPr>
          <w:sz w:val="24"/>
        </w:rPr>
      </w:pPr>
      <w:r w:rsidRPr="000E0654">
        <w:rPr>
          <w:noProof/>
          <w:sz w:val="24"/>
        </w:rPr>
        <w:t xml:space="preserve">Click </w:t>
      </w:r>
      <w:r w:rsidRPr="000E0654">
        <w:rPr>
          <w:b/>
          <w:noProof/>
          <w:sz w:val="24"/>
        </w:rPr>
        <w:t>OK</w:t>
      </w:r>
      <w:r w:rsidRPr="000E0654">
        <w:rPr>
          <w:noProof/>
          <w:sz w:val="24"/>
        </w:rPr>
        <w:t>. You are now ready to run the RWC tool.</w:t>
      </w:r>
    </w:p>
    <w:sectPr w:rsidR="00E63FEE" w:rsidRPr="000E0654" w:rsidSect="00FC627B">
      <w:headerReference w:type="defaul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905" w:rsidRDefault="00A52905">
      <w:r>
        <w:separator/>
      </w:r>
    </w:p>
  </w:endnote>
  <w:endnote w:type="continuationSeparator" w:id="0">
    <w:p w:rsidR="00A52905" w:rsidRDefault="00A52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905" w:rsidRPr="00BE2604" w:rsidRDefault="00A52905" w:rsidP="0054671C">
    <w:pPr>
      <w:pStyle w:val="Footer"/>
      <w:pBdr>
        <w:top w:val="single" w:sz="12" w:space="1" w:color="898D8D"/>
      </w:pBdr>
      <w:jc w:val="right"/>
      <w:rPr>
        <w:szCs w:val="22"/>
      </w:rPr>
    </w:pPr>
    <w:r w:rsidRPr="0054671C">
      <w:rPr>
        <w:rStyle w:val="PageNumber"/>
        <w:b/>
        <w:noProof/>
        <w:color w:val="DA291C"/>
        <w:szCs w:val="22"/>
      </w:rPr>
      <w:t>Abt</w:t>
    </w:r>
    <w:r w:rsidRPr="00BE2604">
      <w:rPr>
        <w:rStyle w:val="PageNumber"/>
        <w:b/>
        <w:noProof/>
        <w:color w:val="DA291C"/>
        <w:szCs w:val="22"/>
      </w:rPr>
      <w:t xml:space="preserve"> Associates</w:t>
    </w:r>
    <w:r w:rsidRPr="00BE2604">
      <w:rPr>
        <w:szCs w:val="22"/>
      </w:rPr>
      <w:t xml:space="preserve"> </w:t>
    </w:r>
    <w:r w:rsidRPr="00BE2604">
      <w:rPr>
        <w:szCs w:val="22"/>
      </w:rPr>
      <w:tab/>
    </w:r>
    <w:r w:rsidRPr="00BE2604">
      <w:rPr>
        <w:szCs w:val="22"/>
      </w:rPr>
      <w:tab/>
    </w:r>
    <w:r w:rsidRPr="00BE2604">
      <w:rPr>
        <w:rStyle w:val="PageNumber"/>
        <w:b/>
        <w:szCs w:val="22"/>
      </w:rPr>
      <w:t>▌pg.</w:t>
    </w:r>
    <w:r w:rsidRPr="00BE2604">
      <w:rPr>
        <w:rStyle w:val="PageNumber"/>
        <w:b/>
        <w:color w:val="FF0000"/>
        <w:szCs w:val="22"/>
      </w:rPr>
      <w:t xml:space="preserve"> </w:t>
    </w:r>
    <w:r w:rsidRPr="008D5F39">
      <w:rPr>
        <w:rStyle w:val="PageNumber"/>
        <w:b/>
      </w:rPr>
      <w:fldChar w:fldCharType="begin"/>
    </w:r>
    <w:r w:rsidRPr="008D5F39">
      <w:rPr>
        <w:rStyle w:val="PageNumber"/>
        <w:b/>
      </w:rPr>
      <w:instrText xml:space="preserve"> PAGE   \* MERGEFORMAT </w:instrText>
    </w:r>
    <w:r w:rsidRPr="008D5F39">
      <w:rPr>
        <w:rStyle w:val="PageNumber"/>
        <w:b/>
      </w:rPr>
      <w:fldChar w:fldCharType="separate"/>
    </w:r>
    <w:r w:rsidRPr="008D5F39">
      <w:rPr>
        <w:rStyle w:val="PageNumber"/>
        <w:b/>
        <w:noProof/>
      </w:rPr>
      <w:t>12</w:t>
    </w:r>
    <w:r w:rsidRPr="008D5F39">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905" w:rsidRDefault="00A52905">
      <w:r>
        <w:separator/>
      </w:r>
    </w:p>
  </w:footnote>
  <w:footnote w:type="continuationSeparator" w:id="0">
    <w:p w:rsidR="00A52905" w:rsidRDefault="00A52905">
      <w:r>
        <w:continuationSeparator/>
      </w:r>
    </w:p>
  </w:footnote>
  <w:footnote w:id="1">
    <w:p w:rsidR="00A52905" w:rsidRDefault="00A52905" w:rsidP="008226F1">
      <w:pPr>
        <w:pStyle w:val="FootnoteText"/>
      </w:pPr>
      <w:r>
        <w:rPr>
          <w:rStyle w:val="FootnoteReference"/>
        </w:rPr>
        <w:footnoteRef/>
      </w:r>
      <w:r>
        <w:t xml:space="preserve"> U.S. EPA. 2015. </w:t>
      </w:r>
      <w:hyperlink r:id="rId1" w:history="1">
        <w:r w:rsidRPr="00316AB9">
          <w:rPr>
            <w:rStyle w:val="Hyperlink"/>
          </w:rPr>
          <w:t>Regulatory Impact Analysis for Residential Wood Heaters NSPS Revision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905" w:rsidRPr="00794B35" w:rsidRDefault="00A52905" w:rsidP="005B1906">
    <w:pPr>
      <w:pBdr>
        <w:bottom w:val="single" w:sz="12" w:space="1" w:color="898D8D"/>
      </w:pBdr>
      <w:tabs>
        <w:tab w:val="center" w:pos="4507"/>
        <w:tab w:val="right" w:pos="9000"/>
      </w:tabs>
      <w:spacing w:after="180" w:line="264" w:lineRule="auto"/>
      <w:jc w:val="right"/>
      <w:rPr>
        <w:b/>
        <w:color w:val="595959"/>
        <w:szCs w:val="20"/>
      </w:rPr>
    </w:pPr>
    <w:r>
      <w:rPr>
        <w:b/>
        <w:color w:val="595959"/>
        <w:szCs w:val="20"/>
      </w:rPr>
      <w:t>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905" w:rsidRPr="00794B35" w:rsidRDefault="00A52905" w:rsidP="005B1906">
    <w:pPr>
      <w:pBdr>
        <w:bottom w:val="single" w:sz="12" w:space="1" w:color="898D8D"/>
      </w:pBdr>
      <w:tabs>
        <w:tab w:val="center" w:pos="4507"/>
        <w:tab w:val="right" w:pos="9000"/>
      </w:tabs>
      <w:spacing w:after="180" w:line="264" w:lineRule="auto"/>
      <w:jc w:val="right"/>
      <w:rPr>
        <w:b/>
        <w:color w:val="595959"/>
        <w:szCs w:val="20"/>
      </w:rPr>
    </w:pPr>
    <w:r>
      <w:rPr>
        <w:b/>
        <w:color w:val="595959"/>
        <w:szCs w:val="20"/>
      </w:rPr>
      <w:t>RESIDENTIAL WOOD COMBUSTION TOOL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905" w:rsidRPr="004B2318" w:rsidRDefault="00A52905" w:rsidP="004B2318">
    <w:pPr>
      <w:pBdr>
        <w:bottom w:val="single" w:sz="12" w:space="1" w:color="898D8D"/>
      </w:pBdr>
      <w:tabs>
        <w:tab w:val="center" w:pos="4507"/>
        <w:tab w:val="right" w:pos="9000"/>
      </w:tabs>
      <w:spacing w:after="180" w:line="264" w:lineRule="auto"/>
      <w:jc w:val="right"/>
      <w:rPr>
        <w:b/>
        <w:color w:val="595959"/>
        <w:szCs w:val="20"/>
      </w:rPr>
    </w:pPr>
    <w:r>
      <w:rPr>
        <w:b/>
        <w:color w:val="595959"/>
        <w:szCs w:val="20"/>
      </w:rPr>
      <w:t>RESIDENTIAL WOOD COMBUSTION TOOL</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905" w:rsidRPr="004B2318" w:rsidRDefault="00A52905" w:rsidP="004B2318">
    <w:pPr>
      <w:pBdr>
        <w:bottom w:val="single" w:sz="12" w:space="1" w:color="898D8D"/>
      </w:pBdr>
      <w:tabs>
        <w:tab w:val="center" w:pos="4507"/>
        <w:tab w:val="right" w:pos="9000"/>
      </w:tabs>
      <w:spacing w:after="180" w:line="264" w:lineRule="auto"/>
      <w:jc w:val="right"/>
      <w:rPr>
        <w:b/>
        <w:color w:val="595959"/>
        <w:szCs w:val="20"/>
      </w:rPr>
    </w:pPr>
    <w:r>
      <w:rPr>
        <w:b/>
        <w:color w:val="595959"/>
        <w:szCs w:val="20"/>
      </w:rPr>
      <w:t>RESIDENTIAL WOOD COMBUSTION TOOL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FB456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303A7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2C683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E9E78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BE4B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2AAA1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6C34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67016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1D048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EAA3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C3582"/>
    <w:multiLevelType w:val="hybridMultilevel"/>
    <w:tmpl w:val="41A6DFD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5A75B7"/>
    <w:multiLevelType w:val="hybridMultilevel"/>
    <w:tmpl w:val="CFDA9AAA"/>
    <w:lvl w:ilvl="0" w:tplc="11180C7A">
      <w:start w:val="1"/>
      <w:numFmt w:val="lowerLetter"/>
      <w:lvlText w:val="(%1)"/>
      <w:lvlJc w:val="left"/>
      <w:pPr>
        <w:ind w:left="1440" w:hanging="360"/>
      </w:pPr>
      <w:rPr>
        <w:rFonts w:ascii="Arial" w:eastAsia="Times New Roman" w:hAnsi="Arial"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4622BC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589094A"/>
    <w:multiLevelType w:val="hybridMultilevel"/>
    <w:tmpl w:val="3A2648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53494D"/>
    <w:multiLevelType w:val="hybridMultilevel"/>
    <w:tmpl w:val="924E30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2601321"/>
    <w:multiLevelType w:val="hybridMultilevel"/>
    <w:tmpl w:val="27B6E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0308EC"/>
    <w:multiLevelType w:val="hybridMultilevel"/>
    <w:tmpl w:val="BB040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C818E5"/>
    <w:multiLevelType w:val="hybridMultilevel"/>
    <w:tmpl w:val="B1442730"/>
    <w:lvl w:ilvl="0" w:tplc="04090001">
      <w:start w:val="2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AF7EDA"/>
    <w:multiLevelType w:val="hybridMultilevel"/>
    <w:tmpl w:val="D640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110807"/>
    <w:multiLevelType w:val="hybridMultilevel"/>
    <w:tmpl w:val="64C42CF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EA1BD2"/>
    <w:multiLevelType w:val="hybridMultilevel"/>
    <w:tmpl w:val="D85A9F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4"/>
  </w:num>
  <w:num w:numId="3">
    <w:abstractNumId w:val="2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3"/>
  </w:num>
  <w:num w:numId="16">
    <w:abstractNumId w:val="18"/>
  </w:num>
  <w:num w:numId="17">
    <w:abstractNumId w:val="17"/>
  </w:num>
  <w:num w:numId="18">
    <w:abstractNumId w:val="11"/>
  </w:num>
  <w:num w:numId="19">
    <w:abstractNumId w:val="10"/>
  </w:num>
  <w:num w:numId="20">
    <w:abstractNumId w:val="1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C0B"/>
    <w:rsid w:val="00004E7D"/>
    <w:rsid w:val="00007338"/>
    <w:rsid w:val="000133E7"/>
    <w:rsid w:val="000175A1"/>
    <w:rsid w:val="0001764B"/>
    <w:rsid w:val="00020FE4"/>
    <w:rsid w:val="00021127"/>
    <w:rsid w:val="000218B0"/>
    <w:rsid w:val="000223E0"/>
    <w:rsid w:val="00022731"/>
    <w:rsid w:val="00035007"/>
    <w:rsid w:val="0004133C"/>
    <w:rsid w:val="0004654E"/>
    <w:rsid w:val="0007527D"/>
    <w:rsid w:val="0008281F"/>
    <w:rsid w:val="00084590"/>
    <w:rsid w:val="00087FB6"/>
    <w:rsid w:val="00096A9D"/>
    <w:rsid w:val="000A0E5E"/>
    <w:rsid w:val="000A4A70"/>
    <w:rsid w:val="000A72CC"/>
    <w:rsid w:val="000B2D65"/>
    <w:rsid w:val="000B76DE"/>
    <w:rsid w:val="000C5001"/>
    <w:rsid w:val="000C7FF6"/>
    <w:rsid w:val="000D01B1"/>
    <w:rsid w:val="000D5300"/>
    <w:rsid w:val="000E0654"/>
    <w:rsid w:val="000E1284"/>
    <w:rsid w:val="000E148B"/>
    <w:rsid w:val="000E2995"/>
    <w:rsid w:val="000E494C"/>
    <w:rsid w:val="000E7AF6"/>
    <w:rsid w:val="001017B7"/>
    <w:rsid w:val="00106A49"/>
    <w:rsid w:val="0011173D"/>
    <w:rsid w:val="00113C3A"/>
    <w:rsid w:val="00113DA3"/>
    <w:rsid w:val="001152F8"/>
    <w:rsid w:val="00121253"/>
    <w:rsid w:val="0015017B"/>
    <w:rsid w:val="00153D2D"/>
    <w:rsid w:val="00170612"/>
    <w:rsid w:val="00171AE7"/>
    <w:rsid w:val="0017455B"/>
    <w:rsid w:val="00174A5C"/>
    <w:rsid w:val="00193FF7"/>
    <w:rsid w:val="00195234"/>
    <w:rsid w:val="0019691B"/>
    <w:rsid w:val="001A279A"/>
    <w:rsid w:val="001A652A"/>
    <w:rsid w:val="001A6F14"/>
    <w:rsid w:val="001B1C3F"/>
    <w:rsid w:val="001B4688"/>
    <w:rsid w:val="001B74A3"/>
    <w:rsid w:val="001C47A7"/>
    <w:rsid w:val="001D5E2D"/>
    <w:rsid w:val="001E0067"/>
    <w:rsid w:val="001E1848"/>
    <w:rsid w:val="001F1A8E"/>
    <w:rsid w:val="001F6BAA"/>
    <w:rsid w:val="001F6FA7"/>
    <w:rsid w:val="002004F3"/>
    <w:rsid w:val="00203B11"/>
    <w:rsid w:val="00204696"/>
    <w:rsid w:val="00204C92"/>
    <w:rsid w:val="002113E2"/>
    <w:rsid w:val="00221322"/>
    <w:rsid w:val="002272D9"/>
    <w:rsid w:val="00235DB3"/>
    <w:rsid w:val="002361B7"/>
    <w:rsid w:val="00236E39"/>
    <w:rsid w:val="002405E1"/>
    <w:rsid w:val="00241B48"/>
    <w:rsid w:val="002468C7"/>
    <w:rsid w:val="00246994"/>
    <w:rsid w:val="002556DB"/>
    <w:rsid w:val="0025742F"/>
    <w:rsid w:val="0026083A"/>
    <w:rsid w:val="002649E9"/>
    <w:rsid w:val="00265613"/>
    <w:rsid w:val="00267587"/>
    <w:rsid w:val="00270DD7"/>
    <w:rsid w:val="002710EC"/>
    <w:rsid w:val="002725F6"/>
    <w:rsid w:val="00277C21"/>
    <w:rsid w:val="00281CFE"/>
    <w:rsid w:val="00290FA3"/>
    <w:rsid w:val="00294808"/>
    <w:rsid w:val="002956E6"/>
    <w:rsid w:val="002A127B"/>
    <w:rsid w:val="002B2CD5"/>
    <w:rsid w:val="002B5CE1"/>
    <w:rsid w:val="002B66C1"/>
    <w:rsid w:val="002C0EC8"/>
    <w:rsid w:val="002C4317"/>
    <w:rsid w:val="002C4707"/>
    <w:rsid w:val="002C57BC"/>
    <w:rsid w:val="002C7158"/>
    <w:rsid w:val="002D0975"/>
    <w:rsid w:val="002D40F4"/>
    <w:rsid w:val="002D47CC"/>
    <w:rsid w:val="002D51DE"/>
    <w:rsid w:val="002E40A0"/>
    <w:rsid w:val="002E7B26"/>
    <w:rsid w:val="002F2ABD"/>
    <w:rsid w:val="002F4A04"/>
    <w:rsid w:val="002F7A90"/>
    <w:rsid w:val="003024F6"/>
    <w:rsid w:val="00306871"/>
    <w:rsid w:val="0030798D"/>
    <w:rsid w:val="003105B3"/>
    <w:rsid w:val="00316AB9"/>
    <w:rsid w:val="003201F6"/>
    <w:rsid w:val="00320D47"/>
    <w:rsid w:val="00320FCF"/>
    <w:rsid w:val="00321E89"/>
    <w:rsid w:val="00322AB0"/>
    <w:rsid w:val="00323AE8"/>
    <w:rsid w:val="00324709"/>
    <w:rsid w:val="0032750F"/>
    <w:rsid w:val="00330BE4"/>
    <w:rsid w:val="00335588"/>
    <w:rsid w:val="00335949"/>
    <w:rsid w:val="0033646B"/>
    <w:rsid w:val="00336917"/>
    <w:rsid w:val="00336AF5"/>
    <w:rsid w:val="00340355"/>
    <w:rsid w:val="003428A1"/>
    <w:rsid w:val="0034735E"/>
    <w:rsid w:val="00347636"/>
    <w:rsid w:val="00350210"/>
    <w:rsid w:val="00351026"/>
    <w:rsid w:val="00354C3B"/>
    <w:rsid w:val="00357E16"/>
    <w:rsid w:val="00361D89"/>
    <w:rsid w:val="003633BE"/>
    <w:rsid w:val="00375C59"/>
    <w:rsid w:val="00384D7A"/>
    <w:rsid w:val="0039035F"/>
    <w:rsid w:val="00393D39"/>
    <w:rsid w:val="00394CC5"/>
    <w:rsid w:val="00395B2A"/>
    <w:rsid w:val="0039767B"/>
    <w:rsid w:val="003A40B0"/>
    <w:rsid w:val="003A68A6"/>
    <w:rsid w:val="003B02B8"/>
    <w:rsid w:val="003B322F"/>
    <w:rsid w:val="003B5853"/>
    <w:rsid w:val="003C4822"/>
    <w:rsid w:val="003C4F05"/>
    <w:rsid w:val="003C79F9"/>
    <w:rsid w:val="003C7D57"/>
    <w:rsid w:val="003D172D"/>
    <w:rsid w:val="003D6813"/>
    <w:rsid w:val="003E12D5"/>
    <w:rsid w:val="003E601F"/>
    <w:rsid w:val="004075D3"/>
    <w:rsid w:val="00410AA0"/>
    <w:rsid w:val="004147BF"/>
    <w:rsid w:val="00415626"/>
    <w:rsid w:val="00415D9B"/>
    <w:rsid w:val="00422764"/>
    <w:rsid w:val="00422C37"/>
    <w:rsid w:val="0042499A"/>
    <w:rsid w:val="004259D9"/>
    <w:rsid w:val="0042651D"/>
    <w:rsid w:val="00427A1E"/>
    <w:rsid w:val="004308C3"/>
    <w:rsid w:val="00435C48"/>
    <w:rsid w:val="00436EF3"/>
    <w:rsid w:val="00437C85"/>
    <w:rsid w:val="0044144C"/>
    <w:rsid w:val="00443F95"/>
    <w:rsid w:val="0044620D"/>
    <w:rsid w:val="00446AD8"/>
    <w:rsid w:val="00455355"/>
    <w:rsid w:val="004554A0"/>
    <w:rsid w:val="00456568"/>
    <w:rsid w:val="00461229"/>
    <w:rsid w:val="00464D17"/>
    <w:rsid w:val="004674CE"/>
    <w:rsid w:val="00467529"/>
    <w:rsid w:val="004759D4"/>
    <w:rsid w:val="004767CE"/>
    <w:rsid w:val="00476C9E"/>
    <w:rsid w:val="004803CC"/>
    <w:rsid w:val="00481592"/>
    <w:rsid w:val="00483F03"/>
    <w:rsid w:val="00485CB6"/>
    <w:rsid w:val="00487506"/>
    <w:rsid w:val="00495366"/>
    <w:rsid w:val="004A788D"/>
    <w:rsid w:val="004B00B7"/>
    <w:rsid w:val="004B00FA"/>
    <w:rsid w:val="004B2318"/>
    <w:rsid w:val="004B79DD"/>
    <w:rsid w:val="004C1AD1"/>
    <w:rsid w:val="004C4D3F"/>
    <w:rsid w:val="004C54E4"/>
    <w:rsid w:val="004C77F4"/>
    <w:rsid w:val="004D36AA"/>
    <w:rsid w:val="004D589A"/>
    <w:rsid w:val="004D71C2"/>
    <w:rsid w:val="004F2B0D"/>
    <w:rsid w:val="004F2C7A"/>
    <w:rsid w:val="004F3455"/>
    <w:rsid w:val="004F4A2B"/>
    <w:rsid w:val="0050169E"/>
    <w:rsid w:val="0050368F"/>
    <w:rsid w:val="00506354"/>
    <w:rsid w:val="00506C7D"/>
    <w:rsid w:val="00507120"/>
    <w:rsid w:val="00510FDB"/>
    <w:rsid w:val="00511655"/>
    <w:rsid w:val="00520518"/>
    <w:rsid w:val="00520AFA"/>
    <w:rsid w:val="00524EDB"/>
    <w:rsid w:val="0052616D"/>
    <w:rsid w:val="00527D31"/>
    <w:rsid w:val="0053276F"/>
    <w:rsid w:val="0053460C"/>
    <w:rsid w:val="00537141"/>
    <w:rsid w:val="00537BE6"/>
    <w:rsid w:val="00541B19"/>
    <w:rsid w:val="0054671C"/>
    <w:rsid w:val="005509F5"/>
    <w:rsid w:val="00552A2E"/>
    <w:rsid w:val="005567B8"/>
    <w:rsid w:val="00556DDD"/>
    <w:rsid w:val="00557EC0"/>
    <w:rsid w:val="00564E77"/>
    <w:rsid w:val="00567356"/>
    <w:rsid w:val="00571BBA"/>
    <w:rsid w:val="005723D1"/>
    <w:rsid w:val="00575C05"/>
    <w:rsid w:val="00582189"/>
    <w:rsid w:val="00584304"/>
    <w:rsid w:val="00595E74"/>
    <w:rsid w:val="00596428"/>
    <w:rsid w:val="0059695B"/>
    <w:rsid w:val="005A0509"/>
    <w:rsid w:val="005A1E19"/>
    <w:rsid w:val="005A57CC"/>
    <w:rsid w:val="005A5A9F"/>
    <w:rsid w:val="005B019C"/>
    <w:rsid w:val="005B1282"/>
    <w:rsid w:val="005B168D"/>
    <w:rsid w:val="005B1906"/>
    <w:rsid w:val="005B1BEB"/>
    <w:rsid w:val="005B2D21"/>
    <w:rsid w:val="005C11CB"/>
    <w:rsid w:val="005C6F06"/>
    <w:rsid w:val="005D289C"/>
    <w:rsid w:val="005D3405"/>
    <w:rsid w:val="005D75A1"/>
    <w:rsid w:val="005E17A2"/>
    <w:rsid w:val="005E1D16"/>
    <w:rsid w:val="005E34EC"/>
    <w:rsid w:val="005E3C58"/>
    <w:rsid w:val="005E3D34"/>
    <w:rsid w:val="005E73E6"/>
    <w:rsid w:val="005E7D42"/>
    <w:rsid w:val="005F1404"/>
    <w:rsid w:val="005F40E8"/>
    <w:rsid w:val="005F5B8D"/>
    <w:rsid w:val="00600A63"/>
    <w:rsid w:val="00605E58"/>
    <w:rsid w:val="00606BC4"/>
    <w:rsid w:val="00611AD5"/>
    <w:rsid w:val="00612E4F"/>
    <w:rsid w:val="00621EDD"/>
    <w:rsid w:val="006240FC"/>
    <w:rsid w:val="00626291"/>
    <w:rsid w:val="00631EFD"/>
    <w:rsid w:val="006323CB"/>
    <w:rsid w:val="00636C0B"/>
    <w:rsid w:val="006431F5"/>
    <w:rsid w:val="006453DB"/>
    <w:rsid w:val="00646F9A"/>
    <w:rsid w:val="00647597"/>
    <w:rsid w:val="00651687"/>
    <w:rsid w:val="00652178"/>
    <w:rsid w:val="00656E8E"/>
    <w:rsid w:val="00666199"/>
    <w:rsid w:val="00667586"/>
    <w:rsid w:val="00672D79"/>
    <w:rsid w:val="00676896"/>
    <w:rsid w:val="00676BF9"/>
    <w:rsid w:val="00682852"/>
    <w:rsid w:val="0068555B"/>
    <w:rsid w:val="00685791"/>
    <w:rsid w:val="006950A3"/>
    <w:rsid w:val="006965A6"/>
    <w:rsid w:val="00696F5F"/>
    <w:rsid w:val="00697907"/>
    <w:rsid w:val="006A11C1"/>
    <w:rsid w:val="006A514D"/>
    <w:rsid w:val="006A5A36"/>
    <w:rsid w:val="006B3D41"/>
    <w:rsid w:val="006B45C3"/>
    <w:rsid w:val="006C10E2"/>
    <w:rsid w:val="006C6151"/>
    <w:rsid w:val="006C6833"/>
    <w:rsid w:val="006D3664"/>
    <w:rsid w:val="006D419C"/>
    <w:rsid w:val="006D4D7A"/>
    <w:rsid w:val="006D5623"/>
    <w:rsid w:val="006D7B31"/>
    <w:rsid w:val="006E1A01"/>
    <w:rsid w:val="006F0EBE"/>
    <w:rsid w:val="006F644D"/>
    <w:rsid w:val="00724DB0"/>
    <w:rsid w:val="007317B5"/>
    <w:rsid w:val="00734A41"/>
    <w:rsid w:val="00740764"/>
    <w:rsid w:val="00745B06"/>
    <w:rsid w:val="00746F5A"/>
    <w:rsid w:val="00753624"/>
    <w:rsid w:val="00755CF3"/>
    <w:rsid w:val="00756994"/>
    <w:rsid w:val="00760838"/>
    <w:rsid w:val="00760C45"/>
    <w:rsid w:val="00761447"/>
    <w:rsid w:val="00761A8D"/>
    <w:rsid w:val="007620BC"/>
    <w:rsid w:val="00763896"/>
    <w:rsid w:val="007730A9"/>
    <w:rsid w:val="007732FA"/>
    <w:rsid w:val="00776DD3"/>
    <w:rsid w:val="00782315"/>
    <w:rsid w:val="007854FB"/>
    <w:rsid w:val="00787D55"/>
    <w:rsid w:val="00795C71"/>
    <w:rsid w:val="007A2BD9"/>
    <w:rsid w:val="007A2E2A"/>
    <w:rsid w:val="007A60A1"/>
    <w:rsid w:val="007B09DE"/>
    <w:rsid w:val="007B14F4"/>
    <w:rsid w:val="007B1AFB"/>
    <w:rsid w:val="007B2358"/>
    <w:rsid w:val="007B2C1E"/>
    <w:rsid w:val="007B6D96"/>
    <w:rsid w:val="007C23D6"/>
    <w:rsid w:val="007C3C62"/>
    <w:rsid w:val="007C43D4"/>
    <w:rsid w:val="007C65C5"/>
    <w:rsid w:val="007D2F23"/>
    <w:rsid w:val="007E0F46"/>
    <w:rsid w:val="007E15A1"/>
    <w:rsid w:val="007E682B"/>
    <w:rsid w:val="007E69A5"/>
    <w:rsid w:val="007F1247"/>
    <w:rsid w:val="00806953"/>
    <w:rsid w:val="00810410"/>
    <w:rsid w:val="00811A1F"/>
    <w:rsid w:val="008144BC"/>
    <w:rsid w:val="008226F1"/>
    <w:rsid w:val="0082287A"/>
    <w:rsid w:val="00824EF0"/>
    <w:rsid w:val="00825855"/>
    <w:rsid w:val="00826C7E"/>
    <w:rsid w:val="00836AA4"/>
    <w:rsid w:val="00837798"/>
    <w:rsid w:val="00837CF1"/>
    <w:rsid w:val="00837E90"/>
    <w:rsid w:val="00853479"/>
    <w:rsid w:val="008566A5"/>
    <w:rsid w:val="0086304C"/>
    <w:rsid w:val="00865AC7"/>
    <w:rsid w:val="0086651F"/>
    <w:rsid w:val="00867D11"/>
    <w:rsid w:val="0088279C"/>
    <w:rsid w:val="008922F1"/>
    <w:rsid w:val="00892614"/>
    <w:rsid w:val="00894B91"/>
    <w:rsid w:val="00894D7D"/>
    <w:rsid w:val="00897937"/>
    <w:rsid w:val="008A67F4"/>
    <w:rsid w:val="008A79E6"/>
    <w:rsid w:val="008B34B3"/>
    <w:rsid w:val="008B7DBC"/>
    <w:rsid w:val="008C7F3D"/>
    <w:rsid w:val="008D20AE"/>
    <w:rsid w:val="008D218E"/>
    <w:rsid w:val="008D2435"/>
    <w:rsid w:val="008D5F39"/>
    <w:rsid w:val="008D6CF2"/>
    <w:rsid w:val="008D7716"/>
    <w:rsid w:val="008E6EBB"/>
    <w:rsid w:val="008F7061"/>
    <w:rsid w:val="00901051"/>
    <w:rsid w:val="00901E26"/>
    <w:rsid w:val="00911B33"/>
    <w:rsid w:val="009166F2"/>
    <w:rsid w:val="00917FCA"/>
    <w:rsid w:val="00920A2E"/>
    <w:rsid w:val="00920B34"/>
    <w:rsid w:val="00923F90"/>
    <w:rsid w:val="00924006"/>
    <w:rsid w:val="00930B5A"/>
    <w:rsid w:val="00934138"/>
    <w:rsid w:val="0093432D"/>
    <w:rsid w:val="00934472"/>
    <w:rsid w:val="00936D44"/>
    <w:rsid w:val="00940946"/>
    <w:rsid w:val="00940ACA"/>
    <w:rsid w:val="00942E70"/>
    <w:rsid w:val="00950846"/>
    <w:rsid w:val="00950EA8"/>
    <w:rsid w:val="009539A5"/>
    <w:rsid w:val="00954268"/>
    <w:rsid w:val="00957680"/>
    <w:rsid w:val="00961F68"/>
    <w:rsid w:val="00967C57"/>
    <w:rsid w:val="009716DB"/>
    <w:rsid w:val="00971952"/>
    <w:rsid w:val="00975A86"/>
    <w:rsid w:val="00977390"/>
    <w:rsid w:val="00980998"/>
    <w:rsid w:val="00994466"/>
    <w:rsid w:val="00995CD8"/>
    <w:rsid w:val="009A227A"/>
    <w:rsid w:val="009A3937"/>
    <w:rsid w:val="009A6F41"/>
    <w:rsid w:val="009A7743"/>
    <w:rsid w:val="009B5ECA"/>
    <w:rsid w:val="009C30D6"/>
    <w:rsid w:val="009C3401"/>
    <w:rsid w:val="009D121B"/>
    <w:rsid w:val="009D182A"/>
    <w:rsid w:val="009D2827"/>
    <w:rsid w:val="009E3210"/>
    <w:rsid w:val="009E33F0"/>
    <w:rsid w:val="009E4AB3"/>
    <w:rsid w:val="009E7799"/>
    <w:rsid w:val="009F144F"/>
    <w:rsid w:val="00A01CEB"/>
    <w:rsid w:val="00A01F74"/>
    <w:rsid w:val="00A0203F"/>
    <w:rsid w:val="00A041A9"/>
    <w:rsid w:val="00A06634"/>
    <w:rsid w:val="00A1130A"/>
    <w:rsid w:val="00A11726"/>
    <w:rsid w:val="00A15F27"/>
    <w:rsid w:val="00A170F3"/>
    <w:rsid w:val="00A213EF"/>
    <w:rsid w:val="00A21B67"/>
    <w:rsid w:val="00A21F24"/>
    <w:rsid w:val="00A251B8"/>
    <w:rsid w:val="00A25C4A"/>
    <w:rsid w:val="00A3306E"/>
    <w:rsid w:val="00A33383"/>
    <w:rsid w:val="00A50571"/>
    <w:rsid w:val="00A52905"/>
    <w:rsid w:val="00A5693D"/>
    <w:rsid w:val="00A5747E"/>
    <w:rsid w:val="00A61671"/>
    <w:rsid w:val="00A710A4"/>
    <w:rsid w:val="00A72058"/>
    <w:rsid w:val="00A80EBC"/>
    <w:rsid w:val="00A83CC4"/>
    <w:rsid w:val="00A867FF"/>
    <w:rsid w:val="00A8739A"/>
    <w:rsid w:val="00A93067"/>
    <w:rsid w:val="00A9424A"/>
    <w:rsid w:val="00A94937"/>
    <w:rsid w:val="00A966CC"/>
    <w:rsid w:val="00A9689B"/>
    <w:rsid w:val="00AA0C2A"/>
    <w:rsid w:val="00AA6289"/>
    <w:rsid w:val="00AA6D5F"/>
    <w:rsid w:val="00AB14F7"/>
    <w:rsid w:val="00AB229C"/>
    <w:rsid w:val="00AB2799"/>
    <w:rsid w:val="00AB6E86"/>
    <w:rsid w:val="00AB7B60"/>
    <w:rsid w:val="00AC12A2"/>
    <w:rsid w:val="00AC1BE3"/>
    <w:rsid w:val="00AC2657"/>
    <w:rsid w:val="00AC5F09"/>
    <w:rsid w:val="00AC624E"/>
    <w:rsid w:val="00AC6437"/>
    <w:rsid w:val="00AC6E0C"/>
    <w:rsid w:val="00AD2AF0"/>
    <w:rsid w:val="00AD2DEC"/>
    <w:rsid w:val="00AD3BCD"/>
    <w:rsid w:val="00AD60A0"/>
    <w:rsid w:val="00AD66B2"/>
    <w:rsid w:val="00AE03C6"/>
    <w:rsid w:val="00AE0443"/>
    <w:rsid w:val="00AE1051"/>
    <w:rsid w:val="00AE3627"/>
    <w:rsid w:val="00AE68DB"/>
    <w:rsid w:val="00AF507F"/>
    <w:rsid w:val="00AF6AB9"/>
    <w:rsid w:val="00B026E1"/>
    <w:rsid w:val="00B03150"/>
    <w:rsid w:val="00B038BF"/>
    <w:rsid w:val="00B055F0"/>
    <w:rsid w:val="00B12DE7"/>
    <w:rsid w:val="00B13720"/>
    <w:rsid w:val="00B14D87"/>
    <w:rsid w:val="00B22233"/>
    <w:rsid w:val="00B24E42"/>
    <w:rsid w:val="00B300BC"/>
    <w:rsid w:val="00B318AB"/>
    <w:rsid w:val="00B37001"/>
    <w:rsid w:val="00B439BF"/>
    <w:rsid w:val="00B47B9D"/>
    <w:rsid w:val="00B52E69"/>
    <w:rsid w:val="00B555C1"/>
    <w:rsid w:val="00B60D07"/>
    <w:rsid w:val="00B63BEE"/>
    <w:rsid w:val="00B65025"/>
    <w:rsid w:val="00B66C80"/>
    <w:rsid w:val="00B71E0D"/>
    <w:rsid w:val="00B7222E"/>
    <w:rsid w:val="00B73052"/>
    <w:rsid w:val="00B73ECB"/>
    <w:rsid w:val="00B8108D"/>
    <w:rsid w:val="00B8169A"/>
    <w:rsid w:val="00B825B4"/>
    <w:rsid w:val="00B848BB"/>
    <w:rsid w:val="00B8555A"/>
    <w:rsid w:val="00B8711E"/>
    <w:rsid w:val="00B931DF"/>
    <w:rsid w:val="00B945FC"/>
    <w:rsid w:val="00B95987"/>
    <w:rsid w:val="00B961D9"/>
    <w:rsid w:val="00B97808"/>
    <w:rsid w:val="00BA2987"/>
    <w:rsid w:val="00BA4D71"/>
    <w:rsid w:val="00BB0335"/>
    <w:rsid w:val="00BB22C8"/>
    <w:rsid w:val="00BB3E3A"/>
    <w:rsid w:val="00BB7712"/>
    <w:rsid w:val="00BB774A"/>
    <w:rsid w:val="00BC203B"/>
    <w:rsid w:val="00BC224B"/>
    <w:rsid w:val="00BC3BB0"/>
    <w:rsid w:val="00BC3DFF"/>
    <w:rsid w:val="00BC512E"/>
    <w:rsid w:val="00BC5EEC"/>
    <w:rsid w:val="00BC630D"/>
    <w:rsid w:val="00BD09E3"/>
    <w:rsid w:val="00BD0F86"/>
    <w:rsid w:val="00BD351C"/>
    <w:rsid w:val="00BD4B45"/>
    <w:rsid w:val="00BD6066"/>
    <w:rsid w:val="00BD6F00"/>
    <w:rsid w:val="00BE19C5"/>
    <w:rsid w:val="00BE2604"/>
    <w:rsid w:val="00BE7BCC"/>
    <w:rsid w:val="00BF306F"/>
    <w:rsid w:val="00BF3224"/>
    <w:rsid w:val="00BF5CD8"/>
    <w:rsid w:val="00BF6716"/>
    <w:rsid w:val="00BF74D6"/>
    <w:rsid w:val="00C024C0"/>
    <w:rsid w:val="00C058F2"/>
    <w:rsid w:val="00C06940"/>
    <w:rsid w:val="00C11D1D"/>
    <w:rsid w:val="00C12D04"/>
    <w:rsid w:val="00C137BC"/>
    <w:rsid w:val="00C23770"/>
    <w:rsid w:val="00C23929"/>
    <w:rsid w:val="00C269C1"/>
    <w:rsid w:val="00C31FD0"/>
    <w:rsid w:val="00C33302"/>
    <w:rsid w:val="00C366D8"/>
    <w:rsid w:val="00C37772"/>
    <w:rsid w:val="00C377C3"/>
    <w:rsid w:val="00C379AA"/>
    <w:rsid w:val="00C504D2"/>
    <w:rsid w:val="00C5452F"/>
    <w:rsid w:val="00C56554"/>
    <w:rsid w:val="00C56D86"/>
    <w:rsid w:val="00C57207"/>
    <w:rsid w:val="00C64910"/>
    <w:rsid w:val="00C64E36"/>
    <w:rsid w:val="00C6779C"/>
    <w:rsid w:val="00C714D8"/>
    <w:rsid w:val="00C73A4E"/>
    <w:rsid w:val="00C76F73"/>
    <w:rsid w:val="00C818C8"/>
    <w:rsid w:val="00C830A5"/>
    <w:rsid w:val="00C87DE1"/>
    <w:rsid w:val="00C9546E"/>
    <w:rsid w:val="00CA5F4C"/>
    <w:rsid w:val="00CA6A0B"/>
    <w:rsid w:val="00CB0FE1"/>
    <w:rsid w:val="00CB4961"/>
    <w:rsid w:val="00CC47D2"/>
    <w:rsid w:val="00CC4C59"/>
    <w:rsid w:val="00CD3689"/>
    <w:rsid w:val="00CE001F"/>
    <w:rsid w:val="00CE2709"/>
    <w:rsid w:val="00CF1E49"/>
    <w:rsid w:val="00CF5C45"/>
    <w:rsid w:val="00CF62BC"/>
    <w:rsid w:val="00CF65CC"/>
    <w:rsid w:val="00D061B1"/>
    <w:rsid w:val="00D061D2"/>
    <w:rsid w:val="00D07A87"/>
    <w:rsid w:val="00D10EB0"/>
    <w:rsid w:val="00D118F8"/>
    <w:rsid w:val="00D11B0B"/>
    <w:rsid w:val="00D11F17"/>
    <w:rsid w:val="00D127B9"/>
    <w:rsid w:val="00D15C97"/>
    <w:rsid w:val="00D16C57"/>
    <w:rsid w:val="00D26E3F"/>
    <w:rsid w:val="00D336C7"/>
    <w:rsid w:val="00D34C5A"/>
    <w:rsid w:val="00D41633"/>
    <w:rsid w:val="00D44ABB"/>
    <w:rsid w:val="00D458F7"/>
    <w:rsid w:val="00D53438"/>
    <w:rsid w:val="00D65247"/>
    <w:rsid w:val="00D659BA"/>
    <w:rsid w:val="00D7249A"/>
    <w:rsid w:val="00D731B7"/>
    <w:rsid w:val="00D76A19"/>
    <w:rsid w:val="00D76A76"/>
    <w:rsid w:val="00D807CC"/>
    <w:rsid w:val="00D80D41"/>
    <w:rsid w:val="00D82747"/>
    <w:rsid w:val="00D82C0D"/>
    <w:rsid w:val="00D9201F"/>
    <w:rsid w:val="00D923B4"/>
    <w:rsid w:val="00D941D7"/>
    <w:rsid w:val="00DA3CE1"/>
    <w:rsid w:val="00DA41A3"/>
    <w:rsid w:val="00DA41AD"/>
    <w:rsid w:val="00DA7539"/>
    <w:rsid w:val="00DB24A7"/>
    <w:rsid w:val="00DB3C69"/>
    <w:rsid w:val="00DB4FE8"/>
    <w:rsid w:val="00DB5758"/>
    <w:rsid w:val="00DB60F8"/>
    <w:rsid w:val="00DB6542"/>
    <w:rsid w:val="00DB70F0"/>
    <w:rsid w:val="00DC241F"/>
    <w:rsid w:val="00DC7125"/>
    <w:rsid w:val="00DC7D60"/>
    <w:rsid w:val="00DD2C02"/>
    <w:rsid w:val="00DD2FBB"/>
    <w:rsid w:val="00DD4E45"/>
    <w:rsid w:val="00DE543B"/>
    <w:rsid w:val="00DE6A7C"/>
    <w:rsid w:val="00DE70BD"/>
    <w:rsid w:val="00DF23A8"/>
    <w:rsid w:val="00DF48DB"/>
    <w:rsid w:val="00E03218"/>
    <w:rsid w:val="00E045FC"/>
    <w:rsid w:val="00E0795E"/>
    <w:rsid w:val="00E10133"/>
    <w:rsid w:val="00E11A3B"/>
    <w:rsid w:val="00E149E8"/>
    <w:rsid w:val="00E14B91"/>
    <w:rsid w:val="00E202C9"/>
    <w:rsid w:val="00E25DF5"/>
    <w:rsid w:val="00E277B3"/>
    <w:rsid w:val="00E3079C"/>
    <w:rsid w:val="00E30B0F"/>
    <w:rsid w:val="00E344C1"/>
    <w:rsid w:val="00E34C37"/>
    <w:rsid w:val="00E35128"/>
    <w:rsid w:val="00E37F17"/>
    <w:rsid w:val="00E40A99"/>
    <w:rsid w:val="00E50B89"/>
    <w:rsid w:val="00E5387D"/>
    <w:rsid w:val="00E54EEA"/>
    <w:rsid w:val="00E56CE7"/>
    <w:rsid w:val="00E60C9B"/>
    <w:rsid w:val="00E63FEE"/>
    <w:rsid w:val="00E651C8"/>
    <w:rsid w:val="00E656D7"/>
    <w:rsid w:val="00E65AE2"/>
    <w:rsid w:val="00E672D5"/>
    <w:rsid w:val="00E74C5D"/>
    <w:rsid w:val="00E82DAD"/>
    <w:rsid w:val="00E83F89"/>
    <w:rsid w:val="00E91385"/>
    <w:rsid w:val="00E94631"/>
    <w:rsid w:val="00E9547F"/>
    <w:rsid w:val="00EA6845"/>
    <w:rsid w:val="00EB0E1F"/>
    <w:rsid w:val="00EB3FC0"/>
    <w:rsid w:val="00EB5709"/>
    <w:rsid w:val="00EB6936"/>
    <w:rsid w:val="00EB6E96"/>
    <w:rsid w:val="00EB766A"/>
    <w:rsid w:val="00EC21B3"/>
    <w:rsid w:val="00EC3EA3"/>
    <w:rsid w:val="00EC45EE"/>
    <w:rsid w:val="00EC6115"/>
    <w:rsid w:val="00ED20F2"/>
    <w:rsid w:val="00ED2554"/>
    <w:rsid w:val="00ED470C"/>
    <w:rsid w:val="00EE7C7A"/>
    <w:rsid w:val="00EF147F"/>
    <w:rsid w:val="00EF19A3"/>
    <w:rsid w:val="00EF1CF1"/>
    <w:rsid w:val="00EF3A21"/>
    <w:rsid w:val="00EF3B9E"/>
    <w:rsid w:val="00EF7CFB"/>
    <w:rsid w:val="00F005B3"/>
    <w:rsid w:val="00F014EE"/>
    <w:rsid w:val="00F01A27"/>
    <w:rsid w:val="00F01F9B"/>
    <w:rsid w:val="00F0252A"/>
    <w:rsid w:val="00F03366"/>
    <w:rsid w:val="00F0445E"/>
    <w:rsid w:val="00F062B1"/>
    <w:rsid w:val="00F15F06"/>
    <w:rsid w:val="00F164EE"/>
    <w:rsid w:val="00F17321"/>
    <w:rsid w:val="00F20A25"/>
    <w:rsid w:val="00F32180"/>
    <w:rsid w:val="00F41CDE"/>
    <w:rsid w:val="00F47DF7"/>
    <w:rsid w:val="00F678F3"/>
    <w:rsid w:val="00F90EF2"/>
    <w:rsid w:val="00F92A85"/>
    <w:rsid w:val="00F952DB"/>
    <w:rsid w:val="00F9784C"/>
    <w:rsid w:val="00FA6ECA"/>
    <w:rsid w:val="00FB19D8"/>
    <w:rsid w:val="00FB307D"/>
    <w:rsid w:val="00FB4C7E"/>
    <w:rsid w:val="00FB7AE8"/>
    <w:rsid w:val="00FC3B7F"/>
    <w:rsid w:val="00FC627B"/>
    <w:rsid w:val="00FD06D7"/>
    <w:rsid w:val="00FD2B46"/>
    <w:rsid w:val="00FD600F"/>
    <w:rsid w:val="00FE41B7"/>
    <w:rsid w:val="00FE51AD"/>
    <w:rsid w:val="00FF3495"/>
    <w:rsid w:val="00FF46E1"/>
    <w:rsid w:val="00FF58AF"/>
    <w:rsid w:val="00FF59A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5EEFAAB"/>
  <w15:chartTrackingRefBased/>
  <w15:docId w15:val="{68A0D4A9-AC46-479F-B77C-4A73596B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0E1F"/>
    <w:pPr>
      <w:spacing w:after="200" w:line="276" w:lineRule="auto"/>
    </w:pPr>
    <w:rPr>
      <w:sz w:val="22"/>
      <w:szCs w:val="24"/>
    </w:rPr>
  </w:style>
  <w:style w:type="paragraph" w:styleId="Heading1">
    <w:name w:val="heading 1"/>
    <w:basedOn w:val="Normal"/>
    <w:next w:val="Normal"/>
    <w:link w:val="Heading1Char"/>
    <w:uiPriority w:val="9"/>
    <w:qFormat/>
    <w:rsid w:val="005B190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7E0F46"/>
    <w:pPr>
      <w:numPr>
        <w:ilvl w:val="1"/>
      </w:numPr>
      <w:pBdr>
        <w:top w:val="single" w:sz="6" w:space="1" w:color="D0D3D4"/>
        <w:bottom w:val="single" w:sz="6" w:space="1" w:color="D0D3D4"/>
      </w:pBdr>
      <w:shd w:val="clear" w:color="auto" w:fill="D0D3D4"/>
      <w:tabs>
        <w:tab w:val="num" w:pos="720"/>
      </w:tabs>
      <w:spacing w:before="120" w:after="120" w:line="264" w:lineRule="auto"/>
      <w:ind w:left="720" w:hanging="720"/>
      <w:outlineLvl w:val="1"/>
    </w:pPr>
    <w:rPr>
      <w:rFonts w:ascii="Arial" w:hAnsi="Arial" w:cs="Arial"/>
      <w:b/>
      <w:bCs/>
      <w:iCs/>
      <w:color w:val="000000"/>
      <w:szCs w:val="28"/>
    </w:rPr>
  </w:style>
  <w:style w:type="paragraph" w:styleId="Heading3">
    <w:name w:val="heading 3"/>
    <w:basedOn w:val="Normal"/>
    <w:next w:val="BodyText"/>
    <w:link w:val="Heading3Char"/>
    <w:qFormat/>
    <w:rsid w:val="007E0F46"/>
    <w:pPr>
      <w:keepNext/>
      <w:spacing w:before="60" w:after="120" w:line="264" w:lineRule="auto"/>
      <w:outlineLvl w:val="2"/>
    </w:pPr>
    <w:rPr>
      <w:rFonts w:ascii="Arial" w:hAnsi="Arial"/>
      <w:b/>
      <w:color w:val="DA291C"/>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uiPriority w:val="9"/>
    <w:rsid w:val="005B1906"/>
    <w:rPr>
      <w:rFonts w:ascii="Cambria" w:eastAsia="Times New Roman" w:hAnsi="Cambria" w:cs="Times New Roman"/>
      <w:b/>
      <w:bCs/>
      <w:kern w:val="32"/>
      <w:sz w:val="32"/>
      <w:szCs w:val="32"/>
    </w:rPr>
  </w:style>
  <w:style w:type="character" w:customStyle="1" w:styleId="Heading2Char">
    <w:name w:val="Heading 2 Char"/>
    <w:link w:val="Heading2"/>
    <w:rsid w:val="007E0F46"/>
    <w:rPr>
      <w:rFonts w:ascii="Arial" w:hAnsi="Arial" w:cs="Arial"/>
      <w:b/>
      <w:bCs/>
      <w:iCs/>
      <w:color w:val="000000"/>
      <w:sz w:val="24"/>
      <w:szCs w:val="28"/>
      <w:shd w:val="clear" w:color="auto" w:fill="D0D3D4"/>
    </w:rPr>
  </w:style>
  <w:style w:type="paragraph" w:styleId="BodyText">
    <w:name w:val="Body Text"/>
    <w:basedOn w:val="Normal"/>
    <w:link w:val="BodyTextChar"/>
    <w:uiPriority w:val="99"/>
    <w:semiHidden/>
    <w:unhideWhenUsed/>
    <w:rsid w:val="007E0F46"/>
    <w:pPr>
      <w:spacing w:after="120"/>
    </w:pPr>
  </w:style>
  <w:style w:type="character" w:customStyle="1" w:styleId="BodyTextChar">
    <w:name w:val="Body Text Char"/>
    <w:link w:val="BodyText"/>
    <w:uiPriority w:val="99"/>
    <w:semiHidden/>
    <w:rsid w:val="007E0F46"/>
    <w:rPr>
      <w:sz w:val="24"/>
      <w:szCs w:val="24"/>
    </w:rPr>
  </w:style>
  <w:style w:type="character" w:customStyle="1" w:styleId="Heading3Char">
    <w:name w:val="Heading 3 Char"/>
    <w:link w:val="Heading3"/>
    <w:rsid w:val="007E0F46"/>
    <w:rPr>
      <w:rFonts w:ascii="Arial" w:hAnsi="Arial"/>
      <w:b/>
      <w:color w:val="DA291C"/>
    </w:rPr>
  </w:style>
  <w:style w:type="paragraph" w:styleId="BalloonText">
    <w:name w:val="Balloon Text"/>
    <w:basedOn w:val="Normal"/>
    <w:semiHidden/>
    <w:rsid w:val="00270DD7"/>
    <w:rPr>
      <w:rFonts w:ascii="Tahoma" w:hAnsi="Tahoma" w:cs="Tahoma"/>
      <w:sz w:val="16"/>
      <w:szCs w:val="16"/>
    </w:rPr>
  </w:style>
  <w:style w:type="character" w:styleId="CommentReference">
    <w:name w:val="annotation reference"/>
    <w:semiHidden/>
    <w:rsid w:val="002C7158"/>
    <w:rPr>
      <w:sz w:val="16"/>
      <w:szCs w:val="16"/>
    </w:rPr>
  </w:style>
  <w:style w:type="paragraph" w:styleId="CommentText">
    <w:name w:val="annotation text"/>
    <w:basedOn w:val="Normal"/>
    <w:semiHidden/>
    <w:rsid w:val="002C7158"/>
    <w:rPr>
      <w:sz w:val="20"/>
      <w:szCs w:val="20"/>
    </w:rPr>
  </w:style>
  <w:style w:type="paragraph" w:styleId="CommentSubject">
    <w:name w:val="annotation subject"/>
    <w:basedOn w:val="CommentText"/>
    <w:next w:val="CommentText"/>
    <w:semiHidden/>
    <w:rsid w:val="002C7158"/>
    <w:rPr>
      <w:b/>
      <w:bCs/>
    </w:rPr>
  </w:style>
  <w:style w:type="character" w:styleId="Hyperlink">
    <w:name w:val="Hyperlink"/>
    <w:uiPriority w:val="99"/>
    <w:unhideWhenUsed/>
    <w:rsid w:val="00795C71"/>
    <w:rPr>
      <w:color w:val="0000FF"/>
      <w:u w:val="single"/>
    </w:rPr>
  </w:style>
  <w:style w:type="paragraph" w:styleId="Caption">
    <w:name w:val="caption"/>
    <w:aliases w:val="table caption style,RIA: Caption + 12 pt,RIA: Caption,Caption Preamble,RIA: Caption1,RIA: Caption + 12 pt1,RIA: Caption2,RIA: Caption3,RIA: Caption + 12 pt2,RIA: Caption4,RIA: Caption + 12 pt3,RIA: Caption5,RIA: Caption11,RIA: Caption + 12 pt4"/>
    <w:basedOn w:val="Normal"/>
    <w:next w:val="Normal"/>
    <w:link w:val="CaptionChar"/>
    <w:qFormat/>
    <w:rsid w:val="00BD4B45"/>
    <w:rPr>
      <w:b/>
      <w:bCs/>
      <w:sz w:val="20"/>
      <w:szCs w:val="20"/>
    </w:rPr>
  </w:style>
  <w:style w:type="character" w:customStyle="1" w:styleId="CaptionChar">
    <w:name w:val="Caption Char"/>
    <w:aliases w:val="table caption style Char,RIA: Caption + 12 pt Char,RIA: Caption Char,Caption Preamble Char,RIA: Caption1 Char,RIA: Caption + 12 pt1 Char,RIA: Caption2 Char,RIA: Caption3 Char,RIA: Caption + 12 pt2 Char,RIA: Caption4 Char,RIA: Caption5 Char"/>
    <w:link w:val="Caption"/>
    <w:uiPriority w:val="35"/>
    <w:rsid w:val="00894B91"/>
    <w:rPr>
      <w:b/>
      <w:bCs/>
    </w:rPr>
  </w:style>
  <w:style w:type="character" w:styleId="FollowedHyperlink">
    <w:name w:val="FollowedHyperlink"/>
    <w:uiPriority w:val="99"/>
    <w:semiHidden/>
    <w:unhideWhenUsed/>
    <w:rsid w:val="00C366D8"/>
    <w:rPr>
      <w:color w:val="800080"/>
      <w:u w:val="single"/>
    </w:rPr>
  </w:style>
  <w:style w:type="paragraph" w:styleId="Header">
    <w:name w:val="header"/>
    <w:basedOn w:val="Normal"/>
    <w:link w:val="HeaderChar"/>
    <w:uiPriority w:val="99"/>
    <w:unhideWhenUsed/>
    <w:rsid w:val="00621EDD"/>
    <w:pPr>
      <w:tabs>
        <w:tab w:val="center" w:pos="4680"/>
        <w:tab w:val="right" w:pos="9360"/>
      </w:tabs>
    </w:pPr>
  </w:style>
  <w:style w:type="character" w:customStyle="1" w:styleId="HeaderChar">
    <w:name w:val="Header Char"/>
    <w:link w:val="Header"/>
    <w:uiPriority w:val="99"/>
    <w:rsid w:val="00621EDD"/>
    <w:rPr>
      <w:sz w:val="24"/>
      <w:szCs w:val="24"/>
    </w:rPr>
  </w:style>
  <w:style w:type="paragraph" w:styleId="Footer">
    <w:name w:val="footer"/>
    <w:basedOn w:val="Normal"/>
    <w:link w:val="FooterChar"/>
    <w:uiPriority w:val="99"/>
    <w:unhideWhenUsed/>
    <w:rsid w:val="00621EDD"/>
    <w:pPr>
      <w:tabs>
        <w:tab w:val="center" w:pos="4680"/>
        <w:tab w:val="right" w:pos="9360"/>
      </w:tabs>
    </w:pPr>
  </w:style>
  <w:style w:type="character" w:customStyle="1" w:styleId="FooterChar">
    <w:name w:val="Footer Char"/>
    <w:link w:val="Footer"/>
    <w:uiPriority w:val="99"/>
    <w:rsid w:val="00621EDD"/>
    <w:rPr>
      <w:sz w:val="24"/>
      <w:szCs w:val="24"/>
    </w:rPr>
  </w:style>
  <w:style w:type="paragraph" w:styleId="Revision">
    <w:name w:val="Revision"/>
    <w:hidden/>
    <w:uiPriority w:val="99"/>
    <w:semiHidden/>
    <w:rsid w:val="00336AF5"/>
    <w:rPr>
      <w:sz w:val="24"/>
      <w:szCs w:val="24"/>
    </w:rPr>
  </w:style>
  <w:style w:type="table" w:styleId="TableGrid">
    <w:name w:val="Table Grid"/>
    <w:basedOn w:val="TableNormal"/>
    <w:uiPriority w:val="59"/>
    <w:rsid w:val="00651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B5853"/>
  </w:style>
  <w:style w:type="paragraph" w:customStyle="1" w:styleId="CoverTextRed16pt">
    <w:name w:val="Cover Text  Red 16pt"/>
    <w:basedOn w:val="Normal"/>
    <w:rsid w:val="005B1906"/>
    <w:pPr>
      <w:tabs>
        <w:tab w:val="left" w:pos="720"/>
        <w:tab w:val="left" w:pos="1080"/>
        <w:tab w:val="left" w:pos="1440"/>
        <w:tab w:val="left" w:pos="1800"/>
        <w:tab w:val="left" w:pos="6660"/>
      </w:tabs>
      <w:spacing w:line="264" w:lineRule="auto"/>
      <w:ind w:left="5213" w:right="-547"/>
      <w:jc w:val="right"/>
    </w:pPr>
    <w:rPr>
      <w:rFonts w:ascii="Arial" w:hAnsi="Arial"/>
      <w:b/>
      <w:color w:val="DA291C"/>
      <w:sz w:val="32"/>
      <w:szCs w:val="32"/>
    </w:rPr>
  </w:style>
  <w:style w:type="paragraph" w:customStyle="1" w:styleId="CoverText11pt">
    <w:name w:val="Cover Text 11 pt"/>
    <w:basedOn w:val="Normal"/>
    <w:rsid w:val="005B1906"/>
    <w:pPr>
      <w:tabs>
        <w:tab w:val="left" w:pos="720"/>
        <w:tab w:val="left" w:pos="1080"/>
        <w:tab w:val="left" w:pos="1440"/>
        <w:tab w:val="left" w:pos="1800"/>
        <w:tab w:val="left" w:pos="6660"/>
      </w:tabs>
      <w:spacing w:line="264" w:lineRule="auto"/>
      <w:ind w:left="6490" w:right="-540"/>
      <w:jc w:val="right"/>
    </w:pPr>
    <w:rPr>
      <w:rFonts w:ascii="Arial" w:hAnsi="Arial"/>
      <w:i/>
      <w:color w:val="616662"/>
    </w:rPr>
  </w:style>
  <w:style w:type="paragraph" w:customStyle="1" w:styleId="CoverText-Address">
    <w:name w:val="Cover Text - Address"/>
    <w:basedOn w:val="Normal"/>
    <w:rsid w:val="005B1906"/>
    <w:pPr>
      <w:tabs>
        <w:tab w:val="left" w:pos="720"/>
        <w:tab w:val="left" w:pos="1080"/>
        <w:tab w:val="left" w:pos="1440"/>
        <w:tab w:val="left" w:pos="1800"/>
        <w:tab w:val="left" w:pos="6660"/>
      </w:tabs>
      <w:spacing w:line="264" w:lineRule="auto"/>
      <w:ind w:left="5213" w:right="-547"/>
      <w:jc w:val="right"/>
    </w:pPr>
    <w:rPr>
      <w:rFonts w:ascii="Arial" w:hAnsi="Arial"/>
      <w:color w:val="616662"/>
    </w:rPr>
  </w:style>
  <w:style w:type="paragraph" w:customStyle="1" w:styleId="CoverTextGreyBold">
    <w:name w:val="Cover Text Grey Bold"/>
    <w:basedOn w:val="Normal"/>
    <w:rsid w:val="005B1906"/>
    <w:pPr>
      <w:tabs>
        <w:tab w:val="left" w:pos="720"/>
        <w:tab w:val="left" w:pos="1080"/>
        <w:tab w:val="left" w:pos="1440"/>
        <w:tab w:val="left" w:pos="1800"/>
        <w:tab w:val="left" w:pos="6660"/>
      </w:tabs>
      <w:spacing w:line="264" w:lineRule="auto"/>
      <w:ind w:left="5213" w:right="-547"/>
      <w:jc w:val="right"/>
    </w:pPr>
    <w:rPr>
      <w:rFonts w:ascii="Arial" w:hAnsi="Arial"/>
      <w:b/>
      <w:color w:val="616662"/>
    </w:rPr>
  </w:style>
  <w:style w:type="paragraph" w:customStyle="1" w:styleId="Heading1ES">
    <w:name w:val="Heading 1 ES"/>
    <w:basedOn w:val="Heading1"/>
    <w:qFormat/>
    <w:rsid w:val="005B1906"/>
    <w:pPr>
      <w:keepLines/>
      <w:pageBreakBefore/>
      <w:pBdr>
        <w:top w:val="single" w:sz="6" w:space="3" w:color="DA291C"/>
        <w:bottom w:val="single" w:sz="6" w:space="3" w:color="DA291C"/>
      </w:pBdr>
      <w:shd w:val="clear" w:color="auto" w:fill="DA291C"/>
      <w:spacing w:before="0" w:after="180" w:line="264" w:lineRule="auto"/>
    </w:pPr>
    <w:rPr>
      <w:rFonts w:ascii="Arial" w:hAnsi="Arial"/>
      <w:bCs w:val="0"/>
      <w:color w:val="FFFFFF"/>
      <w:kern w:val="28"/>
      <w:sz w:val="28"/>
      <w:szCs w:val="20"/>
    </w:rPr>
  </w:style>
  <w:style w:type="paragraph" w:styleId="TOCHeading">
    <w:name w:val="TOC Heading"/>
    <w:basedOn w:val="Heading1"/>
    <w:next w:val="Normal"/>
    <w:uiPriority w:val="39"/>
    <w:semiHidden/>
    <w:unhideWhenUsed/>
    <w:qFormat/>
    <w:rsid w:val="005B1906"/>
    <w:pPr>
      <w:keepLines/>
      <w:spacing w:before="480" w:after="0"/>
      <w:outlineLvl w:val="9"/>
    </w:pPr>
    <w:rPr>
      <w:color w:val="365F91"/>
      <w:kern w:val="0"/>
      <w:sz w:val="28"/>
      <w:szCs w:val="28"/>
      <w:lang w:eastAsia="ja-JP"/>
    </w:rPr>
  </w:style>
  <w:style w:type="paragraph" w:styleId="TOC1">
    <w:name w:val="toc 1"/>
    <w:basedOn w:val="Normal"/>
    <w:next w:val="Normal"/>
    <w:autoRedefine/>
    <w:uiPriority w:val="39"/>
    <w:unhideWhenUsed/>
    <w:rsid w:val="005B1906"/>
  </w:style>
  <w:style w:type="paragraph" w:styleId="TOC2">
    <w:name w:val="toc 2"/>
    <w:basedOn w:val="Normal"/>
    <w:next w:val="Normal"/>
    <w:autoRedefine/>
    <w:uiPriority w:val="39"/>
    <w:unhideWhenUsed/>
    <w:rsid w:val="002556DB"/>
    <w:pPr>
      <w:ind w:left="240"/>
    </w:pPr>
  </w:style>
  <w:style w:type="paragraph" w:styleId="TOC3">
    <w:name w:val="toc 3"/>
    <w:basedOn w:val="Normal"/>
    <w:next w:val="Normal"/>
    <w:autoRedefine/>
    <w:uiPriority w:val="39"/>
    <w:unhideWhenUsed/>
    <w:rsid w:val="002556DB"/>
    <w:pPr>
      <w:ind w:left="480"/>
    </w:pPr>
  </w:style>
  <w:style w:type="paragraph" w:styleId="TableofFigures">
    <w:name w:val="table of figures"/>
    <w:basedOn w:val="Normal"/>
    <w:next w:val="Normal"/>
    <w:uiPriority w:val="99"/>
    <w:unhideWhenUsed/>
    <w:rsid w:val="00BC630D"/>
  </w:style>
  <w:style w:type="paragraph" w:styleId="FootnoteText">
    <w:name w:val="footnote text"/>
    <w:basedOn w:val="Normal"/>
    <w:link w:val="FootnoteTextChar"/>
    <w:rsid w:val="00354C3B"/>
    <w:rPr>
      <w:sz w:val="20"/>
      <w:szCs w:val="20"/>
    </w:rPr>
  </w:style>
  <w:style w:type="character" w:customStyle="1" w:styleId="FootnoteTextChar">
    <w:name w:val="Footnote Text Char"/>
    <w:basedOn w:val="DefaultParagraphFont"/>
    <w:link w:val="FootnoteText"/>
    <w:rsid w:val="00354C3B"/>
  </w:style>
  <w:style w:type="character" w:styleId="FootnoteReference">
    <w:name w:val="footnote reference"/>
    <w:rsid w:val="00354C3B"/>
    <w:rPr>
      <w:vertAlign w:val="superscript"/>
    </w:rPr>
  </w:style>
  <w:style w:type="paragraph" w:styleId="ListParagraph">
    <w:name w:val="List Paragraph"/>
    <w:basedOn w:val="Normal"/>
    <w:uiPriority w:val="34"/>
    <w:qFormat/>
    <w:rsid w:val="00EB0E1F"/>
    <w:pPr>
      <w:spacing w:after="0" w:line="264" w:lineRule="auto"/>
      <w:ind w:left="720"/>
      <w:contextualSpacing/>
    </w:pPr>
    <w:rPr>
      <w:szCs w:val="20"/>
    </w:rPr>
  </w:style>
  <w:style w:type="character" w:styleId="UnresolvedMention">
    <w:name w:val="Unresolved Mention"/>
    <w:basedOn w:val="DefaultParagraphFont"/>
    <w:uiPriority w:val="99"/>
    <w:semiHidden/>
    <w:unhideWhenUsed/>
    <w:rsid w:val="00316A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56489">
      <w:bodyDiv w:val="1"/>
      <w:marLeft w:val="0"/>
      <w:marRight w:val="0"/>
      <w:marTop w:val="0"/>
      <w:marBottom w:val="0"/>
      <w:divBdr>
        <w:top w:val="none" w:sz="0" w:space="0" w:color="auto"/>
        <w:left w:val="none" w:sz="0" w:space="0" w:color="auto"/>
        <w:bottom w:val="none" w:sz="0" w:space="0" w:color="auto"/>
        <w:right w:val="none" w:sz="0" w:space="0" w:color="auto"/>
      </w:divBdr>
    </w:div>
    <w:div w:id="105589851">
      <w:bodyDiv w:val="1"/>
      <w:marLeft w:val="0"/>
      <w:marRight w:val="0"/>
      <w:marTop w:val="0"/>
      <w:marBottom w:val="0"/>
      <w:divBdr>
        <w:top w:val="none" w:sz="0" w:space="0" w:color="auto"/>
        <w:left w:val="none" w:sz="0" w:space="0" w:color="auto"/>
        <w:bottom w:val="none" w:sz="0" w:space="0" w:color="auto"/>
        <w:right w:val="none" w:sz="0" w:space="0" w:color="auto"/>
      </w:divBdr>
    </w:div>
    <w:div w:id="572356751">
      <w:bodyDiv w:val="1"/>
      <w:marLeft w:val="0"/>
      <w:marRight w:val="0"/>
      <w:marTop w:val="0"/>
      <w:marBottom w:val="0"/>
      <w:divBdr>
        <w:top w:val="none" w:sz="0" w:space="0" w:color="auto"/>
        <w:left w:val="none" w:sz="0" w:space="0" w:color="auto"/>
        <w:bottom w:val="none" w:sz="0" w:space="0" w:color="auto"/>
        <w:right w:val="none" w:sz="0" w:space="0" w:color="auto"/>
      </w:divBdr>
    </w:div>
    <w:div w:id="745423177">
      <w:bodyDiv w:val="1"/>
      <w:marLeft w:val="0"/>
      <w:marRight w:val="0"/>
      <w:marTop w:val="0"/>
      <w:marBottom w:val="0"/>
      <w:divBdr>
        <w:top w:val="none" w:sz="0" w:space="0" w:color="auto"/>
        <w:left w:val="none" w:sz="0" w:space="0" w:color="auto"/>
        <w:bottom w:val="none" w:sz="0" w:space="0" w:color="auto"/>
        <w:right w:val="none" w:sz="0" w:space="0" w:color="auto"/>
      </w:divBdr>
    </w:div>
    <w:div w:id="1073629136">
      <w:bodyDiv w:val="1"/>
      <w:marLeft w:val="0"/>
      <w:marRight w:val="0"/>
      <w:marTop w:val="0"/>
      <w:marBottom w:val="0"/>
      <w:divBdr>
        <w:top w:val="none" w:sz="0" w:space="0" w:color="auto"/>
        <w:left w:val="none" w:sz="0" w:space="0" w:color="auto"/>
        <w:bottom w:val="none" w:sz="0" w:space="0" w:color="auto"/>
        <w:right w:val="none" w:sz="0" w:space="0" w:color="auto"/>
      </w:divBdr>
    </w:div>
    <w:div w:id="1089615911">
      <w:bodyDiv w:val="1"/>
      <w:marLeft w:val="0"/>
      <w:marRight w:val="0"/>
      <w:marTop w:val="0"/>
      <w:marBottom w:val="0"/>
      <w:divBdr>
        <w:top w:val="none" w:sz="0" w:space="0" w:color="auto"/>
        <w:left w:val="none" w:sz="0" w:space="0" w:color="auto"/>
        <w:bottom w:val="none" w:sz="0" w:space="0" w:color="auto"/>
        <w:right w:val="none" w:sz="0" w:space="0" w:color="auto"/>
      </w:divBdr>
    </w:div>
    <w:div w:id="1133401832">
      <w:bodyDiv w:val="1"/>
      <w:marLeft w:val="0"/>
      <w:marRight w:val="0"/>
      <w:marTop w:val="0"/>
      <w:marBottom w:val="0"/>
      <w:divBdr>
        <w:top w:val="none" w:sz="0" w:space="0" w:color="auto"/>
        <w:left w:val="none" w:sz="0" w:space="0" w:color="auto"/>
        <w:bottom w:val="none" w:sz="0" w:space="0" w:color="auto"/>
        <w:right w:val="none" w:sz="0" w:space="0" w:color="auto"/>
      </w:divBdr>
    </w:div>
    <w:div w:id="1246188968">
      <w:bodyDiv w:val="1"/>
      <w:marLeft w:val="0"/>
      <w:marRight w:val="0"/>
      <w:marTop w:val="0"/>
      <w:marBottom w:val="0"/>
      <w:divBdr>
        <w:top w:val="none" w:sz="0" w:space="0" w:color="auto"/>
        <w:left w:val="none" w:sz="0" w:space="0" w:color="auto"/>
        <w:bottom w:val="none" w:sz="0" w:space="0" w:color="auto"/>
        <w:right w:val="none" w:sz="0" w:space="0" w:color="auto"/>
      </w:divBdr>
    </w:div>
    <w:div w:id="1720402288">
      <w:bodyDiv w:val="1"/>
      <w:marLeft w:val="0"/>
      <w:marRight w:val="0"/>
      <w:marTop w:val="0"/>
      <w:marBottom w:val="0"/>
      <w:divBdr>
        <w:top w:val="none" w:sz="0" w:space="0" w:color="auto"/>
        <w:left w:val="none" w:sz="0" w:space="0" w:color="auto"/>
        <w:bottom w:val="none" w:sz="0" w:space="0" w:color="auto"/>
        <w:right w:val="none" w:sz="0" w:space="0" w:color="auto"/>
      </w:divBdr>
    </w:div>
    <w:div w:id="1726681130">
      <w:bodyDiv w:val="1"/>
      <w:marLeft w:val="0"/>
      <w:marRight w:val="0"/>
      <w:marTop w:val="0"/>
      <w:marBottom w:val="0"/>
      <w:divBdr>
        <w:top w:val="none" w:sz="0" w:space="0" w:color="auto"/>
        <w:left w:val="none" w:sz="0" w:space="0" w:color="auto"/>
        <w:bottom w:val="none" w:sz="0" w:space="0" w:color="auto"/>
        <w:right w:val="none" w:sz="0" w:space="0" w:color="auto"/>
      </w:divBdr>
    </w:div>
    <w:div w:id="1781954365">
      <w:bodyDiv w:val="1"/>
      <w:marLeft w:val="0"/>
      <w:marRight w:val="0"/>
      <w:marTop w:val="0"/>
      <w:marBottom w:val="0"/>
      <w:divBdr>
        <w:top w:val="none" w:sz="0" w:space="0" w:color="auto"/>
        <w:left w:val="none" w:sz="0" w:space="0" w:color="auto"/>
        <w:bottom w:val="none" w:sz="0" w:space="0" w:color="auto"/>
        <w:right w:val="none" w:sz="0" w:space="0" w:color="auto"/>
      </w:divBdr>
    </w:div>
    <w:div w:id="188718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census.gov/programs-surveys/acs/"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www.fpl.fs.fed.us/documnts/techline/fuel-value-calculator.pdf"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www.cpc.ncep.noaa.gov/products/analysis_monitoring/cdus/degree_days/" TargetMode="External"/><Relationship Id="rId25" Type="http://schemas.openxmlformats.org/officeDocument/2006/relationships/hyperlink" Target="https://www3.epa.gov/ttn/chief/ap42/ch01/index.html" TargetMode="External"/><Relationship Id="rId2" Type="http://schemas.openxmlformats.org/officeDocument/2006/relationships/numbering" Target="numbering.xml"/><Relationship Id="rId16" Type="http://schemas.openxmlformats.org/officeDocument/2006/relationships/hyperlink" Target="https://www.eia.gov/consumption/residential/" TargetMode="External"/><Relationship Id="rId20" Type="http://schemas.openxmlformats.org/officeDocument/2006/relationships/hyperlink" Target="https://www.nrs.fs.fed.us/fia/topics/tpo/"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3.epa.gov/ttn/chief/ap42/ch01/index.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3.epa.gov/ttn/chief/conference/ei15/poster/li.pdf" TargetMode="External"/><Relationship Id="rId28"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hyperlink" Target="https://www.census.gov/programs-surveys/ahs.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hyperlink" Target="http://www.marama.org/publications_folder/ResWoodCombustion/RWC_FinalReport_121906.pdf" TargetMode="External"/><Relationship Id="rId27" Type="http://schemas.openxmlformats.org/officeDocument/2006/relationships/image" Target="media/image5.png"/><Relationship Id="rId30"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epa.gov/sites/production/files/2015-02/documents/20150204-residential-wood-heaters-ria.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urfile01\dur1-vol2\Common\ERD\GAIA%20WA%204-98\Task%202%20-%20Tool%20Development\Residential%20Wood\EFs\RECS%20Woodstove.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2"/>
          <c:order val="0"/>
          <c:tx>
            <c:strRef>
              <c:f>'Stove age projections'!$D$57</c:f>
              <c:strCache>
                <c:ptCount val="1"/>
                <c:pt idx="0">
                  <c:v>NSPS Phase I</c:v>
                </c:pt>
              </c:strCache>
            </c:strRef>
          </c:tx>
          <c:invertIfNegative val="0"/>
          <c:cat>
            <c:numRef>
              <c:f>'Stove age projections'!$E$46:$I$46</c:f>
              <c:numCache>
                <c:formatCode>General</c:formatCode>
                <c:ptCount val="5"/>
                <c:pt idx="0">
                  <c:v>1997</c:v>
                </c:pt>
                <c:pt idx="1">
                  <c:v>2001</c:v>
                </c:pt>
                <c:pt idx="2">
                  <c:v>2005</c:v>
                </c:pt>
                <c:pt idx="3">
                  <c:v>2009</c:v>
                </c:pt>
                <c:pt idx="4">
                  <c:v>2014</c:v>
                </c:pt>
              </c:numCache>
            </c:numRef>
          </c:cat>
          <c:val>
            <c:numRef>
              <c:f>'Stove age projections'!$E$57:$I$57</c:f>
              <c:numCache>
                <c:formatCode>General</c:formatCode>
                <c:ptCount val="5"/>
                <c:pt idx="0">
                  <c:v>0.7086466133489131</c:v>
                </c:pt>
                <c:pt idx="1">
                  <c:v>0.46182901542403604</c:v>
                </c:pt>
                <c:pt idx="2">
                  <c:v>0.44601059437288065</c:v>
                </c:pt>
                <c:pt idx="3">
                  <c:v>0.47377506371209166</c:v>
                </c:pt>
                <c:pt idx="4">
                  <c:v>0.32444622747503615</c:v>
                </c:pt>
              </c:numCache>
            </c:numRef>
          </c:val>
          <c:extLst>
            <c:ext xmlns:c16="http://schemas.microsoft.com/office/drawing/2014/chart" uri="{C3380CC4-5D6E-409C-BE32-E72D297353CC}">
              <c16:uniqueId val="{00000000-3237-4919-B32E-4254A4A47710}"/>
            </c:ext>
          </c:extLst>
        </c:ser>
        <c:ser>
          <c:idx val="1"/>
          <c:order val="1"/>
          <c:tx>
            <c:strRef>
              <c:f>'Stove age projections'!$D$56</c:f>
              <c:strCache>
                <c:ptCount val="1"/>
                <c:pt idx="0">
                  <c:v>NSPS Phase II</c:v>
                </c:pt>
              </c:strCache>
            </c:strRef>
          </c:tx>
          <c:invertIfNegative val="0"/>
          <c:cat>
            <c:numRef>
              <c:f>'Stove age projections'!$E$46:$I$46</c:f>
              <c:numCache>
                <c:formatCode>General</c:formatCode>
                <c:ptCount val="5"/>
                <c:pt idx="0">
                  <c:v>1997</c:v>
                </c:pt>
                <c:pt idx="1">
                  <c:v>2001</c:v>
                </c:pt>
                <c:pt idx="2">
                  <c:v>2005</c:v>
                </c:pt>
                <c:pt idx="3">
                  <c:v>2009</c:v>
                </c:pt>
                <c:pt idx="4">
                  <c:v>2014</c:v>
                </c:pt>
              </c:numCache>
            </c:numRef>
          </c:cat>
          <c:val>
            <c:numRef>
              <c:f>'Stove age projections'!$E$56:$I$56</c:f>
              <c:numCache>
                <c:formatCode>General</c:formatCode>
                <c:ptCount val="5"/>
                <c:pt idx="0">
                  <c:v>0.24379607912404444</c:v>
                </c:pt>
                <c:pt idx="1">
                  <c:v>0.30788601028269075</c:v>
                </c:pt>
                <c:pt idx="2">
                  <c:v>0.29734039624858716</c:v>
                </c:pt>
                <c:pt idx="3">
                  <c:v>0.31970312184673616</c:v>
                </c:pt>
                <c:pt idx="4">
                  <c:v>0.35190466826235856</c:v>
                </c:pt>
              </c:numCache>
            </c:numRef>
          </c:val>
          <c:extLst>
            <c:ext xmlns:c16="http://schemas.microsoft.com/office/drawing/2014/chart" uri="{C3380CC4-5D6E-409C-BE32-E72D297353CC}">
              <c16:uniqueId val="{00000001-3237-4919-B32E-4254A4A47710}"/>
            </c:ext>
          </c:extLst>
        </c:ser>
        <c:ser>
          <c:idx val="0"/>
          <c:order val="2"/>
          <c:tx>
            <c:strRef>
              <c:f>'Stove age projections'!$D$55</c:f>
              <c:strCache>
                <c:ptCount val="1"/>
                <c:pt idx="0">
                  <c:v>WA </c:v>
                </c:pt>
              </c:strCache>
            </c:strRef>
          </c:tx>
          <c:invertIfNegative val="0"/>
          <c:cat>
            <c:numRef>
              <c:f>'Stove age projections'!$E$46:$I$46</c:f>
              <c:numCache>
                <c:formatCode>General</c:formatCode>
                <c:ptCount val="5"/>
                <c:pt idx="0">
                  <c:v>1997</c:v>
                </c:pt>
                <c:pt idx="1">
                  <c:v>2001</c:v>
                </c:pt>
                <c:pt idx="2">
                  <c:v>2005</c:v>
                </c:pt>
                <c:pt idx="3">
                  <c:v>2009</c:v>
                </c:pt>
                <c:pt idx="4">
                  <c:v>2014</c:v>
                </c:pt>
              </c:numCache>
            </c:numRef>
          </c:cat>
          <c:val>
            <c:numRef>
              <c:f>'Stove age projections'!$E$55:$I$55</c:f>
              <c:numCache>
                <c:formatCode>General</c:formatCode>
                <c:ptCount val="5"/>
                <c:pt idx="0">
                  <c:v>4.7557307527042431E-2</c:v>
                </c:pt>
                <c:pt idx="1">
                  <c:v>0.23028497429327324</c:v>
                </c:pt>
                <c:pt idx="2">
                  <c:v>0.25664900937853219</c:v>
                </c:pt>
                <c:pt idx="3">
                  <c:v>0.20652181444117212</c:v>
                </c:pt>
                <c:pt idx="4">
                  <c:v>0.32364910426260707</c:v>
                </c:pt>
              </c:numCache>
            </c:numRef>
          </c:val>
          <c:extLst>
            <c:ext xmlns:c16="http://schemas.microsoft.com/office/drawing/2014/chart" uri="{C3380CC4-5D6E-409C-BE32-E72D297353CC}">
              <c16:uniqueId val="{00000002-3237-4919-B32E-4254A4A47710}"/>
            </c:ext>
          </c:extLst>
        </c:ser>
        <c:dLbls>
          <c:showLegendKey val="0"/>
          <c:showVal val="0"/>
          <c:showCatName val="0"/>
          <c:showSerName val="0"/>
          <c:showPercent val="0"/>
          <c:showBubbleSize val="0"/>
        </c:dLbls>
        <c:gapWidth val="150"/>
        <c:overlap val="100"/>
        <c:axId val="151510016"/>
        <c:axId val="166318848"/>
      </c:barChart>
      <c:catAx>
        <c:axId val="151510016"/>
        <c:scaling>
          <c:orientation val="minMax"/>
        </c:scaling>
        <c:delete val="0"/>
        <c:axPos val="b"/>
        <c:numFmt formatCode="General" sourceLinked="1"/>
        <c:majorTickMark val="out"/>
        <c:minorTickMark val="none"/>
        <c:tickLblPos val="nextTo"/>
        <c:crossAx val="166318848"/>
        <c:crosses val="autoZero"/>
        <c:auto val="1"/>
        <c:lblAlgn val="ctr"/>
        <c:lblOffset val="100"/>
        <c:noMultiLvlLbl val="0"/>
      </c:catAx>
      <c:valAx>
        <c:axId val="166318848"/>
        <c:scaling>
          <c:orientation val="minMax"/>
          <c:max val="1"/>
        </c:scaling>
        <c:delete val="0"/>
        <c:axPos val="l"/>
        <c:majorGridlines/>
        <c:title>
          <c:tx>
            <c:rich>
              <a:bodyPr rot="-5400000" vert="horz"/>
              <a:lstStyle/>
              <a:p>
                <a:pPr>
                  <a:defRPr/>
                </a:pPr>
                <a:r>
                  <a:rPr lang="en-US"/>
                  <a:t>Proportion of Certified</a:t>
                </a:r>
                <a:r>
                  <a:rPr lang="en-US" baseline="0"/>
                  <a:t> Woodstoves</a:t>
                </a:r>
                <a:endParaRPr lang="en-US"/>
              </a:p>
            </c:rich>
          </c:tx>
          <c:overlay val="0"/>
        </c:title>
        <c:numFmt formatCode="General" sourceLinked="1"/>
        <c:majorTickMark val="out"/>
        <c:minorTickMark val="none"/>
        <c:tickLblPos val="nextTo"/>
        <c:crossAx val="15151001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9C411-417F-4576-9F20-ECD3CECF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36</Pages>
  <Words>9681</Words>
  <Characters>69204</Characters>
  <Application>Microsoft Office Word</Application>
  <DocSecurity>0</DocSecurity>
  <Lines>576</Lines>
  <Paragraphs>157</Paragraphs>
  <ScaleCrop>false</ScaleCrop>
  <HeadingPairs>
    <vt:vector size="2" baseType="variant">
      <vt:variant>
        <vt:lpstr>Title</vt:lpstr>
      </vt:variant>
      <vt:variant>
        <vt:i4>1</vt:i4>
      </vt:variant>
    </vt:vector>
  </HeadingPairs>
  <TitlesOfParts>
    <vt:vector size="1" baseType="lpstr">
      <vt:lpstr>New Methodology for Estimating Emissions from Residential Wood Combustion</vt:lpstr>
    </vt:vector>
  </TitlesOfParts>
  <Company>Abt Associates Inc.</Company>
  <LinksUpToDate>false</LinksUpToDate>
  <CharactersWithSpaces>78728</CharactersWithSpaces>
  <SharedDoc>false</SharedDoc>
  <HLinks>
    <vt:vector size="96" baseType="variant">
      <vt:variant>
        <vt:i4>3801198</vt:i4>
      </vt:variant>
      <vt:variant>
        <vt:i4>123</vt:i4>
      </vt:variant>
      <vt:variant>
        <vt:i4>0</vt:i4>
      </vt:variant>
      <vt:variant>
        <vt:i4>5</vt:i4>
      </vt:variant>
      <vt:variant>
        <vt:lpwstr>http://www.census.gov/programs-surveys/ahs.html</vt:lpwstr>
      </vt:variant>
      <vt:variant>
        <vt:lpwstr/>
      </vt:variant>
      <vt:variant>
        <vt:i4>1179707</vt:i4>
      </vt:variant>
      <vt:variant>
        <vt:i4>80</vt:i4>
      </vt:variant>
      <vt:variant>
        <vt:i4>0</vt:i4>
      </vt:variant>
      <vt:variant>
        <vt:i4>5</vt:i4>
      </vt:variant>
      <vt:variant>
        <vt:lpwstr/>
      </vt:variant>
      <vt:variant>
        <vt:lpwstr>_Toc449605623</vt:lpwstr>
      </vt:variant>
      <vt:variant>
        <vt:i4>1179707</vt:i4>
      </vt:variant>
      <vt:variant>
        <vt:i4>74</vt:i4>
      </vt:variant>
      <vt:variant>
        <vt:i4>0</vt:i4>
      </vt:variant>
      <vt:variant>
        <vt:i4>5</vt:i4>
      </vt:variant>
      <vt:variant>
        <vt:lpwstr/>
      </vt:variant>
      <vt:variant>
        <vt:lpwstr>_Toc449605622</vt:lpwstr>
      </vt:variant>
      <vt:variant>
        <vt:i4>1179707</vt:i4>
      </vt:variant>
      <vt:variant>
        <vt:i4>68</vt:i4>
      </vt:variant>
      <vt:variant>
        <vt:i4>0</vt:i4>
      </vt:variant>
      <vt:variant>
        <vt:i4>5</vt:i4>
      </vt:variant>
      <vt:variant>
        <vt:lpwstr/>
      </vt:variant>
      <vt:variant>
        <vt:lpwstr>_Toc449605621</vt:lpwstr>
      </vt:variant>
      <vt:variant>
        <vt:i4>1179707</vt:i4>
      </vt:variant>
      <vt:variant>
        <vt:i4>62</vt:i4>
      </vt:variant>
      <vt:variant>
        <vt:i4>0</vt:i4>
      </vt:variant>
      <vt:variant>
        <vt:i4>5</vt:i4>
      </vt:variant>
      <vt:variant>
        <vt:lpwstr/>
      </vt:variant>
      <vt:variant>
        <vt:lpwstr>_Toc449605620</vt:lpwstr>
      </vt:variant>
      <vt:variant>
        <vt:i4>1114171</vt:i4>
      </vt:variant>
      <vt:variant>
        <vt:i4>56</vt:i4>
      </vt:variant>
      <vt:variant>
        <vt:i4>0</vt:i4>
      </vt:variant>
      <vt:variant>
        <vt:i4>5</vt:i4>
      </vt:variant>
      <vt:variant>
        <vt:lpwstr/>
      </vt:variant>
      <vt:variant>
        <vt:lpwstr>_Toc449605619</vt:lpwstr>
      </vt:variant>
      <vt:variant>
        <vt:i4>1114171</vt:i4>
      </vt:variant>
      <vt:variant>
        <vt:i4>50</vt:i4>
      </vt:variant>
      <vt:variant>
        <vt:i4>0</vt:i4>
      </vt:variant>
      <vt:variant>
        <vt:i4>5</vt:i4>
      </vt:variant>
      <vt:variant>
        <vt:lpwstr/>
      </vt:variant>
      <vt:variant>
        <vt:lpwstr>_Toc449605618</vt:lpwstr>
      </vt:variant>
      <vt:variant>
        <vt:i4>1114171</vt:i4>
      </vt:variant>
      <vt:variant>
        <vt:i4>44</vt:i4>
      </vt:variant>
      <vt:variant>
        <vt:i4>0</vt:i4>
      </vt:variant>
      <vt:variant>
        <vt:i4>5</vt:i4>
      </vt:variant>
      <vt:variant>
        <vt:lpwstr/>
      </vt:variant>
      <vt:variant>
        <vt:lpwstr>_Toc449605617</vt:lpwstr>
      </vt:variant>
      <vt:variant>
        <vt:i4>1114171</vt:i4>
      </vt:variant>
      <vt:variant>
        <vt:i4>38</vt:i4>
      </vt:variant>
      <vt:variant>
        <vt:i4>0</vt:i4>
      </vt:variant>
      <vt:variant>
        <vt:i4>5</vt:i4>
      </vt:variant>
      <vt:variant>
        <vt:lpwstr/>
      </vt:variant>
      <vt:variant>
        <vt:lpwstr>_Toc449605616</vt:lpwstr>
      </vt:variant>
      <vt:variant>
        <vt:i4>1114171</vt:i4>
      </vt:variant>
      <vt:variant>
        <vt:i4>32</vt:i4>
      </vt:variant>
      <vt:variant>
        <vt:i4>0</vt:i4>
      </vt:variant>
      <vt:variant>
        <vt:i4>5</vt:i4>
      </vt:variant>
      <vt:variant>
        <vt:lpwstr/>
      </vt:variant>
      <vt:variant>
        <vt:lpwstr>_Toc449605615</vt:lpwstr>
      </vt:variant>
      <vt:variant>
        <vt:i4>1114171</vt:i4>
      </vt:variant>
      <vt:variant>
        <vt:i4>26</vt:i4>
      </vt:variant>
      <vt:variant>
        <vt:i4>0</vt:i4>
      </vt:variant>
      <vt:variant>
        <vt:i4>5</vt:i4>
      </vt:variant>
      <vt:variant>
        <vt:lpwstr/>
      </vt:variant>
      <vt:variant>
        <vt:lpwstr>_Toc449605614</vt:lpwstr>
      </vt:variant>
      <vt:variant>
        <vt:i4>1114171</vt:i4>
      </vt:variant>
      <vt:variant>
        <vt:i4>20</vt:i4>
      </vt:variant>
      <vt:variant>
        <vt:i4>0</vt:i4>
      </vt:variant>
      <vt:variant>
        <vt:i4>5</vt:i4>
      </vt:variant>
      <vt:variant>
        <vt:lpwstr/>
      </vt:variant>
      <vt:variant>
        <vt:lpwstr>_Toc449605613</vt:lpwstr>
      </vt:variant>
      <vt:variant>
        <vt:i4>1114171</vt:i4>
      </vt:variant>
      <vt:variant>
        <vt:i4>14</vt:i4>
      </vt:variant>
      <vt:variant>
        <vt:i4>0</vt:i4>
      </vt:variant>
      <vt:variant>
        <vt:i4>5</vt:i4>
      </vt:variant>
      <vt:variant>
        <vt:lpwstr/>
      </vt:variant>
      <vt:variant>
        <vt:lpwstr>_Toc449605612</vt:lpwstr>
      </vt:variant>
      <vt:variant>
        <vt:i4>1114171</vt:i4>
      </vt:variant>
      <vt:variant>
        <vt:i4>8</vt:i4>
      </vt:variant>
      <vt:variant>
        <vt:i4>0</vt:i4>
      </vt:variant>
      <vt:variant>
        <vt:i4>5</vt:i4>
      </vt:variant>
      <vt:variant>
        <vt:lpwstr/>
      </vt:variant>
      <vt:variant>
        <vt:lpwstr>_Toc449605611</vt:lpwstr>
      </vt:variant>
      <vt:variant>
        <vt:i4>1114171</vt:i4>
      </vt:variant>
      <vt:variant>
        <vt:i4>2</vt:i4>
      </vt:variant>
      <vt:variant>
        <vt:i4>0</vt:i4>
      </vt:variant>
      <vt:variant>
        <vt:i4>5</vt:i4>
      </vt:variant>
      <vt:variant>
        <vt:lpwstr/>
      </vt:variant>
      <vt:variant>
        <vt:lpwstr>_Toc449605610</vt:lpwstr>
      </vt:variant>
      <vt:variant>
        <vt:i4>8060983</vt:i4>
      </vt:variant>
      <vt:variant>
        <vt:i4>0</vt:i4>
      </vt:variant>
      <vt:variant>
        <vt:i4>0</vt:i4>
      </vt:variant>
      <vt:variant>
        <vt:i4>5</vt:i4>
      </vt:variant>
      <vt:variant>
        <vt:lpwstr>https://www.epa.gov/sites/production/files/2015-02/documents/20150204-residential-wood-heaters-ria.pdf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Methodology for Estimating Emissions from Residential Wood Combustion</dc:title>
  <dc:subject/>
  <dc:creator>Roy Huntley</dc:creator>
  <cp:keywords/>
  <cp:lastModifiedBy>StClair, Aimee</cp:lastModifiedBy>
  <cp:revision>8</cp:revision>
  <cp:lastPrinted>2016-10-12T19:30:00Z</cp:lastPrinted>
  <dcterms:created xsi:type="dcterms:W3CDTF">2019-05-03T16:28:00Z</dcterms:created>
  <dcterms:modified xsi:type="dcterms:W3CDTF">2019-05-03T16:55:00Z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-1906673003</vt:i4>
  </property>
</Properties>
</file>