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892" w:rsidRPr="00B8613E" w:rsidRDefault="000F5892">
      <w:pPr>
        <w:shd w:val="clear" w:color="auto" w:fill="FFFFFF"/>
        <w:rPr>
          <w:sz w:val="24"/>
          <w:szCs w:val="24"/>
        </w:rPr>
      </w:pPr>
      <w:r w:rsidRPr="00B8613E">
        <w:rPr>
          <w:b/>
          <w:bCs/>
          <w:spacing w:val="-1"/>
          <w:sz w:val="24"/>
          <w:szCs w:val="24"/>
        </w:rPr>
        <w:t xml:space="preserve">FUGITIVE DUST FROM </w:t>
      </w:r>
      <w:r w:rsidR="009832F3" w:rsidRPr="00B8613E">
        <w:rPr>
          <w:b/>
          <w:bCs/>
          <w:spacing w:val="-1"/>
          <w:sz w:val="24"/>
          <w:szCs w:val="24"/>
        </w:rPr>
        <w:t>UN</w:t>
      </w:r>
      <w:r w:rsidRPr="00B8613E">
        <w:rPr>
          <w:b/>
          <w:bCs/>
          <w:spacing w:val="-1"/>
          <w:sz w:val="24"/>
          <w:szCs w:val="24"/>
        </w:rPr>
        <w:t>PAVED ROADS</w:t>
      </w:r>
    </w:p>
    <w:p w:rsidR="002F475F" w:rsidRPr="00B8613E" w:rsidRDefault="002F475F" w:rsidP="002F475F">
      <w:pPr>
        <w:shd w:val="clear" w:color="auto" w:fill="FFFFFF"/>
        <w:spacing w:before="202" w:line="230" w:lineRule="exact"/>
        <w:rPr>
          <w:b/>
          <w:i/>
          <w:spacing w:val="-1"/>
          <w:sz w:val="24"/>
          <w:szCs w:val="24"/>
        </w:rPr>
      </w:pPr>
      <w:r w:rsidRPr="00B8613E">
        <w:rPr>
          <w:b/>
          <w:i/>
          <w:spacing w:val="-1"/>
          <w:sz w:val="24"/>
          <w:szCs w:val="24"/>
        </w:rPr>
        <w:t>a. Source Category Description</w:t>
      </w:r>
    </w:p>
    <w:p w:rsidR="002F475F" w:rsidRPr="00B8613E" w:rsidRDefault="000F5892" w:rsidP="002F475F">
      <w:pPr>
        <w:shd w:val="clear" w:color="auto" w:fill="FFFFFF"/>
        <w:spacing w:before="202" w:line="230" w:lineRule="exact"/>
        <w:rPr>
          <w:sz w:val="24"/>
          <w:szCs w:val="24"/>
        </w:rPr>
      </w:pPr>
      <w:r w:rsidRPr="00B8613E">
        <w:rPr>
          <w:spacing w:val="-1"/>
          <w:sz w:val="24"/>
          <w:szCs w:val="24"/>
        </w:rPr>
        <w:t xml:space="preserve">Fugitive dust emissions from </w:t>
      </w:r>
      <w:r w:rsidR="009832F3" w:rsidRPr="00B8613E">
        <w:rPr>
          <w:spacing w:val="-1"/>
          <w:sz w:val="24"/>
          <w:szCs w:val="24"/>
        </w:rPr>
        <w:t>un</w:t>
      </w:r>
      <w:r w:rsidRPr="00B8613E">
        <w:rPr>
          <w:spacing w:val="-1"/>
          <w:sz w:val="24"/>
          <w:szCs w:val="24"/>
        </w:rPr>
        <w:t>paved road traf</w:t>
      </w:r>
      <w:r w:rsidR="004D61F5" w:rsidRPr="00B8613E">
        <w:rPr>
          <w:spacing w:val="-1"/>
          <w:sz w:val="24"/>
          <w:szCs w:val="24"/>
        </w:rPr>
        <w:t>fic</w:t>
      </w:r>
      <w:r w:rsidR="00584EA2" w:rsidRPr="00B8613E">
        <w:rPr>
          <w:spacing w:val="-1"/>
          <w:sz w:val="24"/>
          <w:szCs w:val="24"/>
        </w:rPr>
        <w:t xml:space="preserve"> were estimated for PM10-PRI,</w:t>
      </w:r>
      <w:r w:rsidRPr="00B8613E">
        <w:rPr>
          <w:spacing w:val="-1"/>
          <w:sz w:val="24"/>
          <w:szCs w:val="24"/>
        </w:rPr>
        <w:t xml:space="preserve"> PM10-FIL</w:t>
      </w:r>
      <w:r w:rsidR="00584EA2" w:rsidRPr="00B8613E">
        <w:rPr>
          <w:spacing w:val="-1"/>
          <w:sz w:val="24"/>
          <w:szCs w:val="24"/>
        </w:rPr>
        <w:t>, PM25-PRI, and PM25-FIL</w:t>
      </w:r>
      <w:r w:rsidRPr="00B8613E">
        <w:rPr>
          <w:sz w:val="24"/>
          <w:szCs w:val="24"/>
        </w:rPr>
        <w:t>.</w:t>
      </w:r>
      <w:r w:rsidR="00D93EA5" w:rsidRPr="00B8613E">
        <w:rPr>
          <w:sz w:val="24"/>
          <w:szCs w:val="24"/>
        </w:rPr>
        <w:t xml:space="preserve"> </w:t>
      </w:r>
      <w:r w:rsidRPr="00B8613E">
        <w:rPr>
          <w:sz w:val="24"/>
          <w:szCs w:val="24"/>
        </w:rPr>
        <w:t xml:space="preserve">Since there are no PM-CON emissions for this category, PM10-PRI emissions are equal to PM10-FIL </w:t>
      </w:r>
      <w:r w:rsidR="004D61F5" w:rsidRPr="00B8613E">
        <w:rPr>
          <w:sz w:val="24"/>
          <w:szCs w:val="24"/>
        </w:rPr>
        <w:t>emissions</w:t>
      </w:r>
      <w:r w:rsidR="00584EA2" w:rsidRPr="00B8613E">
        <w:rPr>
          <w:sz w:val="24"/>
          <w:szCs w:val="24"/>
        </w:rPr>
        <w:t xml:space="preserve"> and PM25-PRI emissions are equal to PM25-FIL</w:t>
      </w:r>
      <w:r w:rsidR="00E47A76" w:rsidRPr="00B8613E">
        <w:rPr>
          <w:sz w:val="24"/>
          <w:szCs w:val="24"/>
        </w:rPr>
        <w:t xml:space="preserve"> emissions</w:t>
      </w:r>
      <w:r w:rsidR="00D93EA5" w:rsidRPr="00B8613E">
        <w:rPr>
          <w:sz w:val="24"/>
          <w:szCs w:val="24"/>
        </w:rPr>
        <w:t>.</w:t>
      </w:r>
    </w:p>
    <w:p w:rsidR="002F475F" w:rsidRPr="00B8613E" w:rsidRDefault="002F475F">
      <w:pPr>
        <w:shd w:val="clear" w:color="auto" w:fill="FFFFFF"/>
        <w:spacing w:before="202" w:line="230" w:lineRule="exact"/>
        <w:rPr>
          <w:sz w:val="24"/>
          <w:szCs w:val="24"/>
        </w:rPr>
      </w:pPr>
      <w:r w:rsidRPr="00B8613E">
        <w:rPr>
          <w:sz w:val="24"/>
          <w:szCs w:val="24"/>
        </w:rPr>
        <w:t>For this source category, the following SCC was assigned:</w:t>
      </w:r>
    </w:p>
    <w:p w:rsidR="004C68A6" w:rsidRPr="00B8613E" w:rsidRDefault="004C68A6">
      <w:pPr>
        <w:shd w:val="clear" w:color="auto" w:fill="FFFFFF"/>
        <w:spacing w:before="202" w:line="230" w:lineRule="exact"/>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For this source category, the following SCC was assigned"/>
        <w:tblDescription w:val="SCC SCC Level 1 SCC Level 2 SCC Level 3 SCC Level 4"/>
      </w:tblPr>
      <w:tblGrid>
        <w:gridCol w:w="1416"/>
        <w:gridCol w:w="1838"/>
        <w:gridCol w:w="2351"/>
        <w:gridCol w:w="2060"/>
        <w:gridCol w:w="1620"/>
      </w:tblGrid>
      <w:tr w:rsidR="004C68A6" w:rsidRPr="00B8613E">
        <w:trPr>
          <w:jc w:val="center"/>
        </w:trPr>
        <w:tc>
          <w:tcPr>
            <w:tcW w:w="0" w:type="auto"/>
            <w:noWrap/>
          </w:tcPr>
          <w:p w:rsidR="004C68A6" w:rsidRPr="00B8613E" w:rsidRDefault="004C68A6" w:rsidP="00250964">
            <w:pPr>
              <w:rPr>
                <w:b/>
                <w:bCs/>
                <w:sz w:val="24"/>
                <w:szCs w:val="24"/>
              </w:rPr>
            </w:pPr>
            <w:r w:rsidRPr="00B8613E">
              <w:rPr>
                <w:b/>
                <w:bCs/>
                <w:sz w:val="24"/>
                <w:szCs w:val="24"/>
              </w:rPr>
              <w:t>SCC</w:t>
            </w:r>
          </w:p>
        </w:tc>
        <w:tc>
          <w:tcPr>
            <w:tcW w:w="1838" w:type="dxa"/>
            <w:noWrap/>
          </w:tcPr>
          <w:p w:rsidR="004C68A6" w:rsidRPr="00B8613E" w:rsidRDefault="004C68A6" w:rsidP="00250964">
            <w:pPr>
              <w:rPr>
                <w:b/>
                <w:bCs/>
                <w:sz w:val="24"/>
                <w:szCs w:val="24"/>
              </w:rPr>
            </w:pPr>
            <w:r w:rsidRPr="00B8613E">
              <w:rPr>
                <w:b/>
                <w:bCs/>
                <w:sz w:val="24"/>
                <w:szCs w:val="24"/>
              </w:rPr>
              <w:t>SCC Level 1</w:t>
            </w:r>
          </w:p>
        </w:tc>
        <w:tc>
          <w:tcPr>
            <w:tcW w:w="2351" w:type="dxa"/>
            <w:noWrap/>
          </w:tcPr>
          <w:p w:rsidR="004C68A6" w:rsidRPr="00B8613E" w:rsidRDefault="004C68A6" w:rsidP="00250964">
            <w:pPr>
              <w:rPr>
                <w:b/>
                <w:bCs/>
                <w:sz w:val="24"/>
                <w:szCs w:val="24"/>
              </w:rPr>
            </w:pPr>
            <w:r w:rsidRPr="00B8613E">
              <w:rPr>
                <w:b/>
                <w:bCs/>
                <w:sz w:val="24"/>
                <w:szCs w:val="24"/>
              </w:rPr>
              <w:t>SCC Level 2</w:t>
            </w:r>
          </w:p>
        </w:tc>
        <w:tc>
          <w:tcPr>
            <w:tcW w:w="2060" w:type="dxa"/>
            <w:noWrap/>
          </w:tcPr>
          <w:p w:rsidR="004C68A6" w:rsidRPr="00B8613E" w:rsidRDefault="004C68A6" w:rsidP="00250964">
            <w:pPr>
              <w:rPr>
                <w:b/>
                <w:bCs/>
                <w:sz w:val="24"/>
                <w:szCs w:val="24"/>
              </w:rPr>
            </w:pPr>
            <w:r w:rsidRPr="00B8613E">
              <w:rPr>
                <w:b/>
                <w:bCs/>
                <w:sz w:val="24"/>
                <w:szCs w:val="24"/>
              </w:rPr>
              <w:t>SCC Level 3</w:t>
            </w:r>
          </w:p>
        </w:tc>
        <w:tc>
          <w:tcPr>
            <w:tcW w:w="1620" w:type="dxa"/>
            <w:noWrap/>
          </w:tcPr>
          <w:p w:rsidR="004C68A6" w:rsidRPr="00B8613E" w:rsidRDefault="004C68A6" w:rsidP="00250964">
            <w:pPr>
              <w:rPr>
                <w:b/>
                <w:bCs/>
                <w:sz w:val="24"/>
                <w:szCs w:val="24"/>
              </w:rPr>
            </w:pPr>
            <w:r w:rsidRPr="00B8613E">
              <w:rPr>
                <w:b/>
                <w:bCs/>
                <w:sz w:val="24"/>
                <w:szCs w:val="24"/>
              </w:rPr>
              <w:t>SCC Level 4</w:t>
            </w:r>
          </w:p>
        </w:tc>
      </w:tr>
      <w:tr w:rsidR="004C68A6" w:rsidRPr="00B8613E">
        <w:trPr>
          <w:jc w:val="center"/>
        </w:trPr>
        <w:tc>
          <w:tcPr>
            <w:tcW w:w="0" w:type="auto"/>
            <w:vAlign w:val="bottom"/>
          </w:tcPr>
          <w:p w:rsidR="004C68A6" w:rsidRPr="00B8613E" w:rsidRDefault="009832F3">
            <w:pPr>
              <w:rPr>
                <w:sz w:val="24"/>
                <w:szCs w:val="24"/>
              </w:rPr>
            </w:pPr>
            <w:r w:rsidRPr="00B8613E">
              <w:rPr>
                <w:sz w:val="24"/>
                <w:szCs w:val="24"/>
              </w:rPr>
              <w:t>2296</w:t>
            </w:r>
            <w:r w:rsidR="004C68A6" w:rsidRPr="00B8613E">
              <w:rPr>
                <w:sz w:val="24"/>
                <w:szCs w:val="24"/>
              </w:rPr>
              <w:t>000000</w:t>
            </w:r>
          </w:p>
        </w:tc>
        <w:tc>
          <w:tcPr>
            <w:tcW w:w="1838" w:type="dxa"/>
            <w:vAlign w:val="bottom"/>
          </w:tcPr>
          <w:p w:rsidR="004C68A6" w:rsidRPr="00B8613E" w:rsidRDefault="004C68A6">
            <w:pPr>
              <w:rPr>
                <w:sz w:val="24"/>
                <w:szCs w:val="24"/>
              </w:rPr>
            </w:pPr>
            <w:r w:rsidRPr="00B8613E">
              <w:rPr>
                <w:sz w:val="24"/>
                <w:szCs w:val="24"/>
              </w:rPr>
              <w:t>Mobile Sources</w:t>
            </w:r>
          </w:p>
        </w:tc>
        <w:tc>
          <w:tcPr>
            <w:tcW w:w="2351" w:type="dxa"/>
          </w:tcPr>
          <w:p w:rsidR="004C68A6" w:rsidRPr="00B8613E" w:rsidRDefault="009832F3" w:rsidP="00250964">
            <w:pPr>
              <w:rPr>
                <w:sz w:val="24"/>
                <w:szCs w:val="24"/>
              </w:rPr>
            </w:pPr>
            <w:r w:rsidRPr="00B8613E">
              <w:rPr>
                <w:sz w:val="24"/>
                <w:szCs w:val="24"/>
              </w:rPr>
              <w:t>Unp</w:t>
            </w:r>
            <w:r w:rsidR="004C68A6" w:rsidRPr="00B8613E">
              <w:rPr>
                <w:sz w:val="24"/>
                <w:szCs w:val="24"/>
              </w:rPr>
              <w:t>aved Roads</w:t>
            </w:r>
          </w:p>
        </w:tc>
        <w:tc>
          <w:tcPr>
            <w:tcW w:w="2060" w:type="dxa"/>
          </w:tcPr>
          <w:p w:rsidR="004C68A6" w:rsidRPr="00B8613E" w:rsidRDefault="009832F3" w:rsidP="00250964">
            <w:pPr>
              <w:rPr>
                <w:color w:val="000000"/>
                <w:sz w:val="24"/>
                <w:szCs w:val="24"/>
              </w:rPr>
            </w:pPr>
            <w:r w:rsidRPr="00B8613E">
              <w:rPr>
                <w:sz w:val="24"/>
                <w:szCs w:val="24"/>
              </w:rPr>
              <w:t>All unp</w:t>
            </w:r>
            <w:r w:rsidR="004C68A6" w:rsidRPr="00B8613E">
              <w:rPr>
                <w:sz w:val="24"/>
                <w:szCs w:val="24"/>
              </w:rPr>
              <w:t>aved Roads</w:t>
            </w:r>
          </w:p>
        </w:tc>
        <w:tc>
          <w:tcPr>
            <w:tcW w:w="1620" w:type="dxa"/>
          </w:tcPr>
          <w:p w:rsidR="004C68A6" w:rsidRPr="00B8613E" w:rsidRDefault="004C68A6" w:rsidP="00250964">
            <w:pPr>
              <w:rPr>
                <w:sz w:val="24"/>
                <w:szCs w:val="24"/>
              </w:rPr>
            </w:pPr>
            <w:r w:rsidRPr="00B8613E">
              <w:rPr>
                <w:sz w:val="24"/>
                <w:szCs w:val="24"/>
              </w:rPr>
              <w:t>Total: Fugitives</w:t>
            </w:r>
          </w:p>
        </w:tc>
      </w:tr>
    </w:tbl>
    <w:p w:rsidR="000F5892" w:rsidRPr="00B8613E" w:rsidRDefault="000F5892">
      <w:pPr>
        <w:shd w:val="clear" w:color="auto" w:fill="FFFFFF"/>
        <w:spacing w:before="422" w:line="230" w:lineRule="exact"/>
        <w:rPr>
          <w:sz w:val="24"/>
          <w:szCs w:val="24"/>
        </w:rPr>
      </w:pPr>
      <w:r w:rsidRPr="00B8613E">
        <w:rPr>
          <w:sz w:val="24"/>
          <w:szCs w:val="24"/>
        </w:rPr>
        <w:t xml:space="preserve">Uncontrolled </w:t>
      </w:r>
      <w:r w:rsidR="009832F3" w:rsidRPr="00B8613E">
        <w:rPr>
          <w:sz w:val="24"/>
          <w:szCs w:val="24"/>
        </w:rPr>
        <w:t>un</w:t>
      </w:r>
      <w:r w:rsidRPr="00B8613E">
        <w:rPr>
          <w:sz w:val="24"/>
          <w:szCs w:val="24"/>
        </w:rPr>
        <w:t xml:space="preserve">paved road emissions were calculated at the </w:t>
      </w:r>
      <w:r w:rsidR="00AC2FDB" w:rsidRPr="00B8613E">
        <w:rPr>
          <w:sz w:val="24"/>
          <w:szCs w:val="24"/>
        </w:rPr>
        <w:t>county</w:t>
      </w:r>
      <w:r w:rsidRPr="00B8613E">
        <w:rPr>
          <w:sz w:val="24"/>
          <w:szCs w:val="24"/>
        </w:rPr>
        <w:t xml:space="preserve"> level by roadway </w:t>
      </w:r>
      <w:r w:rsidR="00AC2FDB" w:rsidRPr="00B8613E">
        <w:rPr>
          <w:sz w:val="24"/>
          <w:szCs w:val="24"/>
        </w:rPr>
        <w:t xml:space="preserve">type </w:t>
      </w:r>
      <w:r w:rsidR="008C0149" w:rsidRPr="00B8613E">
        <w:rPr>
          <w:sz w:val="24"/>
          <w:szCs w:val="24"/>
        </w:rPr>
        <w:t>for the year 2014</w:t>
      </w:r>
      <w:r w:rsidRPr="00B8613E">
        <w:rPr>
          <w:sz w:val="24"/>
          <w:szCs w:val="24"/>
        </w:rPr>
        <w:t>.</w:t>
      </w:r>
      <w:r w:rsidR="00D93EA5" w:rsidRPr="00B8613E">
        <w:rPr>
          <w:sz w:val="24"/>
          <w:szCs w:val="24"/>
        </w:rPr>
        <w:t xml:space="preserve"> </w:t>
      </w:r>
      <w:r w:rsidRPr="00B8613E">
        <w:rPr>
          <w:sz w:val="24"/>
          <w:szCs w:val="24"/>
        </w:rPr>
        <w:t xml:space="preserve">This was done </w:t>
      </w:r>
      <w:r w:rsidRPr="00B8613E">
        <w:rPr>
          <w:spacing w:val="-1"/>
          <w:sz w:val="24"/>
          <w:szCs w:val="24"/>
        </w:rPr>
        <w:t xml:space="preserve">by multiplying the </w:t>
      </w:r>
      <w:r w:rsidR="00AC2FDB" w:rsidRPr="00B8613E">
        <w:rPr>
          <w:spacing w:val="-1"/>
          <w:sz w:val="24"/>
          <w:szCs w:val="24"/>
        </w:rPr>
        <w:t>county</w:t>
      </w:r>
      <w:r w:rsidRPr="00B8613E">
        <w:rPr>
          <w:spacing w:val="-1"/>
          <w:sz w:val="24"/>
          <w:szCs w:val="24"/>
        </w:rPr>
        <w:t xml:space="preserve">/roadway class </w:t>
      </w:r>
      <w:r w:rsidR="009832F3" w:rsidRPr="00B8613E">
        <w:rPr>
          <w:spacing w:val="-1"/>
          <w:sz w:val="24"/>
          <w:szCs w:val="24"/>
        </w:rPr>
        <w:t>un</w:t>
      </w:r>
      <w:r w:rsidR="00AC2FDB" w:rsidRPr="00B8613E">
        <w:rPr>
          <w:spacing w:val="-1"/>
          <w:sz w:val="24"/>
          <w:szCs w:val="24"/>
        </w:rPr>
        <w:t xml:space="preserve">paved road </w:t>
      </w:r>
      <w:r w:rsidR="008C0149" w:rsidRPr="00B8613E">
        <w:rPr>
          <w:spacing w:val="-1"/>
          <w:sz w:val="24"/>
          <w:szCs w:val="24"/>
        </w:rPr>
        <w:t>vehicle miles traveled (</w:t>
      </w:r>
      <w:r w:rsidRPr="00B8613E">
        <w:rPr>
          <w:spacing w:val="-1"/>
          <w:sz w:val="24"/>
          <w:szCs w:val="24"/>
        </w:rPr>
        <w:t>VMT</w:t>
      </w:r>
      <w:r w:rsidR="008C0149" w:rsidRPr="00B8613E">
        <w:rPr>
          <w:spacing w:val="-1"/>
          <w:sz w:val="24"/>
          <w:szCs w:val="24"/>
        </w:rPr>
        <w:t>)</w:t>
      </w:r>
      <w:r w:rsidRPr="00B8613E">
        <w:rPr>
          <w:spacing w:val="-1"/>
          <w:sz w:val="24"/>
          <w:szCs w:val="24"/>
        </w:rPr>
        <w:t xml:space="preserve"> by the appropriate </w:t>
      </w:r>
      <w:r w:rsidR="00584EA2" w:rsidRPr="00B8613E">
        <w:rPr>
          <w:spacing w:val="-1"/>
          <w:sz w:val="24"/>
          <w:szCs w:val="24"/>
        </w:rPr>
        <w:t>un</w:t>
      </w:r>
      <w:r w:rsidRPr="00B8613E">
        <w:rPr>
          <w:spacing w:val="-1"/>
          <w:sz w:val="24"/>
          <w:szCs w:val="24"/>
        </w:rPr>
        <w:t xml:space="preserve">paved </w:t>
      </w:r>
      <w:r w:rsidRPr="00B8613E">
        <w:rPr>
          <w:sz w:val="24"/>
          <w:szCs w:val="24"/>
        </w:rPr>
        <w:t>road emission factor.</w:t>
      </w:r>
      <w:r w:rsidR="00D93EA5" w:rsidRPr="00B8613E">
        <w:rPr>
          <w:sz w:val="24"/>
          <w:szCs w:val="24"/>
        </w:rPr>
        <w:t xml:space="preserve"> </w:t>
      </w:r>
      <w:r w:rsidRPr="00B8613E">
        <w:rPr>
          <w:sz w:val="24"/>
          <w:szCs w:val="24"/>
        </w:rPr>
        <w:t xml:space="preserve">Next, </w:t>
      </w:r>
      <w:r w:rsidRPr="00B8613E">
        <w:rPr>
          <w:spacing w:val="-1"/>
          <w:sz w:val="24"/>
          <w:szCs w:val="24"/>
        </w:rPr>
        <w:t xml:space="preserve">control factors were applied to the </w:t>
      </w:r>
      <w:r w:rsidR="009832F3" w:rsidRPr="00B8613E">
        <w:rPr>
          <w:spacing w:val="-1"/>
          <w:sz w:val="24"/>
          <w:szCs w:val="24"/>
        </w:rPr>
        <w:t>un</w:t>
      </w:r>
      <w:r w:rsidRPr="00B8613E">
        <w:rPr>
          <w:spacing w:val="-1"/>
          <w:sz w:val="24"/>
          <w:szCs w:val="24"/>
        </w:rPr>
        <w:t>paved road emissions in PM</w:t>
      </w:r>
      <w:r w:rsidRPr="00B8613E">
        <w:rPr>
          <w:spacing w:val="-1"/>
          <w:sz w:val="24"/>
          <w:szCs w:val="24"/>
          <w:vertAlign w:val="subscript"/>
        </w:rPr>
        <w:t>10</w:t>
      </w:r>
      <w:r w:rsidRPr="00B8613E">
        <w:rPr>
          <w:spacing w:val="-1"/>
          <w:sz w:val="24"/>
          <w:szCs w:val="24"/>
        </w:rPr>
        <w:t xml:space="preserve"> nonattainment </w:t>
      </w:r>
      <w:r w:rsidR="004D61F5" w:rsidRPr="00B8613E">
        <w:rPr>
          <w:spacing w:val="-1"/>
          <w:sz w:val="24"/>
          <w:szCs w:val="24"/>
        </w:rPr>
        <w:t xml:space="preserve">and maintenance </w:t>
      </w:r>
      <w:r w:rsidRPr="00B8613E">
        <w:rPr>
          <w:spacing w:val="-1"/>
          <w:sz w:val="24"/>
          <w:szCs w:val="24"/>
        </w:rPr>
        <w:t>area counties.</w:t>
      </w:r>
      <w:r w:rsidR="00E03803" w:rsidRPr="00B8613E">
        <w:rPr>
          <w:spacing w:val="-1"/>
          <w:sz w:val="24"/>
          <w:szCs w:val="24"/>
        </w:rPr>
        <w:t xml:space="preserve"> </w:t>
      </w:r>
      <w:r w:rsidRPr="00B8613E">
        <w:rPr>
          <w:spacing w:val="-1"/>
          <w:sz w:val="24"/>
          <w:szCs w:val="24"/>
        </w:rPr>
        <w:t xml:space="preserve">Emissions </w:t>
      </w:r>
      <w:r w:rsidRPr="00B8613E">
        <w:rPr>
          <w:sz w:val="24"/>
          <w:szCs w:val="24"/>
        </w:rPr>
        <w:t>by roadway class were then totaled to the county level</w:t>
      </w:r>
      <w:r w:rsidR="00441311" w:rsidRPr="00B8613E">
        <w:rPr>
          <w:sz w:val="24"/>
          <w:szCs w:val="24"/>
        </w:rPr>
        <w:t xml:space="preserve"> and adjusted for meteorological conditions. Emissions were then summed to the state level and distributed based on census rural and “like-rural” populations </w:t>
      </w:r>
      <w:r w:rsidRPr="00B8613E">
        <w:rPr>
          <w:sz w:val="24"/>
          <w:szCs w:val="24"/>
        </w:rPr>
        <w:t>for reporting in the NEI.</w:t>
      </w:r>
      <w:r w:rsidR="00D93EA5" w:rsidRPr="00B8613E">
        <w:rPr>
          <w:sz w:val="24"/>
          <w:szCs w:val="24"/>
        </w:rPr>
        <w:t xml:space="preserve"> </w:t>
      </w:r>
      <w:r w:rsidRPr="00B8613E">
        <w:rPr>
          <w:sz w:val="24"/>
          <w:szCs w:val="24"/>
        </w:rPr>
        <w:t xml:space="preserve">The following provides further details on the emission factor equation, </w:t>
      </w:r>
      <w:r w:rsidR="00AC2FDB" w:rsidRPr="00B8613E">
        <w:rPr>
          <w:sz w:val="24"/>
          <w:szCs w:val="24"/>
        </w:rPr>
        <w:t xml:space="preserve">determination of </w:t>
      </w:r>
      <w:r w:rsidR="00584EA2" w:rsidRPr="00B8613E">
        <w:rPr>
          <w:sz w:val="24"/>
          <w:szCs w:val="24"/>
        </w:rPr>
        <w:t>un</w:t>
      </w:r>
      <w:r w:rsidR="00AC2FDB" w:rsidRPr="00B8613E">
        <w:rPr>
          <w:sz w:val="24"/>
          <w:szCs w:val="24"/>
        </w:rPr>
        <w:t>paved road VMT</w:t>
      </w:r>
      <w:r w:rsidRPr="00B8613E">
        <w:rPr>
          <w:sz w:val="24"/>
          <w:szCs w:val="24"/>
        </w:rPr>
        <w:t>, and controls.</w:t>
      </w:r>
    </w:p>
    <w:p w:rsidR="000F5892" w:rsidRPr="00B8613E" w:rsidRDefault="004C68A6">
      <w:pPr>
        <w:shd w:val="clear" w:color="auto" w:fill="FFFFFF"/>
        <w:spacing w:before="202"/>
        <w:rPr>
          <w:b/>
          <w:i/>
          <w:sz w:val="24"/>
          <w:szCs w:val="24"/>
        </w:rPr>
      </w:pPr>
      <w:r w:rsidRPr="00B8613E">
        <w:rPr>
          <w:b/>
          <w:i/>
          <w:sz w:val="24"/>
          <w:szCs w:val="24"/>
        </w:rPr>
        <w:t xml:space="preserve">b. </w:t>
      </w:r>
      <w:r w:rsidR="000F5892" w:rsidRPr="00B8613E">
        <w:rPr>
          <w:b/>
          <w:i/>
          <w:sz w:val="24"/>
          <w:szCs w:val="24"/>
        </w:rPr>
        <w:t>Emission Factor Equation</w:t>
      </w:r>
    </w:p>
    <w:p w:rsidR="000F5892" w:rsidRPr="00B8613E" w:rsidRDefault="000F5892">
      <w:pPr>
        <w:shd w:val="clear" w:color="auto" w:fill="FFFFFF"/>
        <w:spacing w:before="202" w:line="221" w:lineRule="exact"/>
        <w:rPr>
          <w:sz w:val="24"/>
          <w:szCs w:val="24"/>
        </w:rPr>
      </w:pPr>
      <w:r w:rsidRPr="00B8613E">
        <w:rPr>
          <w:spacing w:val="-1"/>
          <w:sz w:val="24"/>
          <w:szCs w:val="24"/>
        </w:rPr>
        <w:t>Re</w:t>
      </w:r>
      <w:r w:rsidR="009832F3" w:rsidRPr="00B8613E">
        <w:rPr>
          <w:spacing w:val="-1"/>
          <w:sz w:val="24"/>
          <w:szCs w:val="24"/>
        </w:rPr>
        <w:t>-</w:t>
      </w:r>
      <w:r w:rsidRPr="00B8613E">
        <w:rPr>
          <w:spacing w:val="-1"/>
          <w:sz w:val="24"/>
          <w:szCs w:val="24"/>
        </w:rPr>
        <w:t xml:space="preserve">entrained road dust emissions for </w:t>
      </w:r>
      <w:r w:rsidR="009832F3" w:rsidRPr="00B8613E">
        <w:rPr>
          <w:spacing w:val="-1"/>
          <w:sz w:val="24"/>
          <w:szCs w:val="24"/>
        </w:rPr>
        <w:t>un</w:t>
      </w:r>
      <w:r w:rsidRPr="00B8613E">
        <w:rPr>
          <w:spacing w:val="-1"/>
          <w:sz w:val="24"/>
          <w:szCs w:val="24"/>
        </w:rPr>
        <w:t xml:space="preserve">paved roads were estimated using paved road VMT and the emission factor </w:t>
      </w:r>
      <w:r w:rsidRPr="00B8613E">
        <w:rPr>
          <w:sz w:val="24"/>
          <w:szCs w:val="24"/>
        </w:rPr>
        <w:t xml:space="preserve">equation from </w:t>
      </w:r>
      <w:r w:rsidR="00456E27" w:rsidRPr="00B8613E">
        <w:rPr>
          <w:sz w:val="24"/>
          <w:szCs w:val="24"/>
        </w:rPr>
        <w:t>AP-42</w:t>
      </w:r>
      <w:r w:rsidRPr="00B8613E">
        <w:rPr>
          <w:sz w:val="24"/>
          <w:szCs w:val="24"/>
          <w:vertAlign w:val="superscript"/>
        </w:rPr>
        <w:t>1</w:t>
      </w:r>
      <w:r w:rsidR="00456E27" w:rsidRPr="00B8613E">
        <w:rPr>
          <w:sz w:val="24"/>
          <w:szCs w:val="24"/>
        </w:rPr>
        <w:t>:</w:t>
      </w:r>
    </w:p>
    <w:p w:rsidR="000F5892" w:rsidRPr="00B8613E" w:rsidRDefault="000F5892">
      <w:pPr>
        <w:shd w:val="clear" w:color="auto" w:fill="FFFFFF"/>
        <w:spacing w:before="206"/>
        <w:ind w:left="5"/>
        <w:jc w:val="center"/>
        <w:rPr>
          <w:sz w:val="24"/>
          <w:szCs w:val="24"/>
        </w:rPr>
      </w:pPr>
      <w:r w:rsidRPr="00B8613E">
        <w:rPr>
          <w:spacing w:val="-5"/>
          <w:sz w:val="24"/>
          <w:szCs w:val="24"/>
        </w:rPr>
        <w:t>E = [k</w:t>
      </w:r>
      <w:r w:rsidR="00264690" w:rsidRPr="00B8613E">
        <w:rPr>
          <w:spacing w:val="-5"/>
          <w:sz w:val="24"/>
          <w:szCs w:val="24"/>
        </w:rPr>
        <w:t xml:space="preserve"> </w:t>
      </w:r>
      <w:r w:rsidR="003823E5" w:rsidRPr="00B8613E">
        <w:rPr>
          <w:spacing w:val="-5"/>
          <w:sz w:val="24"/>
          <w:szCs w:val="24"/>
        </w:rPr>
        <w:t>×</w:t>
      </w:r>
      <w:r w:rsidR="00264690" w:rsidRPr="00B8613E">
        <w:rPr>
          <w:spacing w:val="-5"/>
          <w:sz w:val="24"/>
          <w:szCs w:val="24"/>
        </w:rPr>
        <w:t xml:space="preserve"> (s/12</w:t>
      </w:r>
      <w:r w:rsidRPr="00B8613E">
        <w:rPr>
          <w:spacing w:val="-5"/>
          <w:sz w:val="24"/>
          <w:szCs w:val="24"/>
        </w:rPr>
        <w:t>)</w:t>
      </w:r>
      <w:r w:rsidR="00D93EA5" w:rsidRPr="00B8613E">
        <w:rPr>
          <w:spacing w:val="-5"/>
          <w:sz w:val="24"/>
          <w:szCs w:val="24"/>
          <w:vertAlign w:val="superscript"/>
        </w:rPr>
        <w:t>1</w:t>
      </w:r>
      <w:r w:rsidR="00264690" w:rsidRPr="00B8613E">
        <w:rPr>
          <w:spacing w:val="-5"/>
          <w:sz w:val="24"/>
          <w:szCs w:val="24"/>
          <w:vertAlign w:val="superscript"/>
        </w:rPr>
        <w:t xml:space="preserve"> </w:t>
      </w:r>
      <w:r w:rsidR="003823E5" w:rsidRPr="00B8613E">
        <w:rPr>
          <w:spacing w:val="-5"/>
          <w:sz w:val="24"/>
          <w:szCs w:val="24"/>
        </w:rPr>
        <w:t>×</w:t>
      </w:r>
      <w:r w:rsidR="00264690" w:rsidRPr="00B8613E">
        <w:rPr>
          <w:spacing w:val="-5"/>
          <w:sz w:val="24"/>
          <w:szCs w:val="24"/>
        </w:rPr>
        <w:t xml:space="preserve"> </w:t>
      </w:r>
      <w:r w:rsidRPr="00B8613E">
        <w:rPr>
          <w:spacing w:val="-5"/>
          <w:sz w:val="24"/>
          <w:szCs w:val="24"/>
        </w:rPr>
        <w:t>(</w:t>
      </w:r>
      <w:r w:rsidR="00264690" w:rsidRPr="00B8613E">
        <w:rPr>
          <w:spacing w:val="-5"/>
          <w:sz w:val="24"/>
          <w:szCs w:val="24"/>
        </w:rPr>
        <w:t>SPD/30</w:t>
      </w:r>
      <w:r w:rsidRPr="00B8613E">
        <w:rPr>
          <w:spacing w:val="-5"/>
          <w:sz w:val="24"/>
          <w:szCs w:val="24"/>
        </w:rPr>
        <w:t>)</w:t>
      </w:r>
      <w:r w:rsidR="00264690" w:rsidRPr="00B8613E">
        <w:rPr>
          <w:spacing w:val="-5"/>
          <w:sz w:val="24"/>
          <w:szCs w:val="24"/>
          <w:vertAlign w:val="superscript"/>
        </w:rPr>
        <w:t>0.5</w:t>
      </w:r>
      <w:r w:rsidRPr="00B8613E">
        <w:rPr>
          <w:spacing w:val="-5"/>
          <w:sz w:val="24"/>
          <w:szCs w:val="24"/>
        </w:rPr>
        <w:t>]</w:t>
      </w:r>
      <w:r w:rsidR="00264690" w:rsidRPr="00B8613E">
        <w:rPr>
          <w:spacing w:val="-5"/>
          <w:sz w:val="24"/>
          <w:szCs w:val="24"/>
        </w:rPr>
        <w:t xml:space="preserve"> / (M/0.5)</w:t>
      </w:r>
      <w:r w:rsidR="00264690" w:rsidRPr="00B8613E">
        <w:rPr>
          <w:spacing w:val="-5"/>
          <w:sz w:val="24"/>
          <w:szCs w:val="24"/>
          <w:vertAlign w:val="superscript"/>
        </w:rPr>
        <w:t xml:space="preserve">0.2 </w:t>
      </w:r>
      <w:r w:rsidR="00264690" w:rsidRPr="00B8613E">
        <w:rPr>
          <w:spacing w:val="-5"/>
          <w:sz w:val="24"/>
          <w:szCs w:val="24"/>
        </w:rPr>
        <w:t>- C</w:t>
      </w:r>
    </w:p>
    <w:p w:rsidR="00584EA2" w:rsidRPr="00B8613E" w:rsidRDefault="00584EA2">
      <w:pPr>
        <w:shd w:val="clear" w:color="auto" w:fill="FFFFFF"/>
        <w:tabs>
          <w:tab w:val="left" w:pos="1152"/>
        </w:tabs>
        <w:spacing w:before="202" w:line="230" w:lineRule="exact"/>
        <w:rPr>
          <w:sz w:val="24"/>
          <w:szCs w:val="24"/>
        </w:rPr>
      </w:pPr>
      <w:r w:rsidRPr="00B8613E">
        <w:rPr>
          <w:spacing w:val="-2"/>
          <w:sz w:val="24"/>
          <w:szCs w:val="24"/>
        </w:rPr>
        <w:t>W</w:t>
      </w:r>
      <w:r w:rsidR="000F5892" w:rsidRPr="00B8613E">
        <w:rPr>
          <w:spacing w:val="-2"/>
          <w:sz w:val="24"/>
          <w:szCs w:val="24"/>
        </w:rPr>
        <w:t>here</w:t>
      </w:r>
      <w:r w:rsidRPr="00B8613E">
        <w:rPr>
          <w:spacing w:val="-2"/>
          <w:sz w:val="24"/>
          <w:szCs w:val="24"/>
        </w:rPr>
        <w:t xml:space="preserve"> k and C are empirical constants given in Table 1, with</w:t>
      </w:r>
      <w:r w:rsidR="000F5892" w:rsidRPr="00B8613E">
        <w:rPr>
          <w:spacing w:val="-2"/>
          <w:sz w:val="24"/>
          <w:szCs w:val="24"/>
        </w:rPr>
        <w:t>:</w:t>
      </w:r>
      <w:r w:rsidR="000F5892" w:rsidRPr="00B8613E">
        <w:rPr>
          <w:sz w:val="24"/>
          <w:szCs w:val="24"/>
        </w:rPr>
        <w:tab/>
      </w:r>
    </w:p>
    <w:p w:rsidR="000F5892" w:rsidRPr="00B8613E" w:rsidRDefault="00584EA2">
      <w:pPr>
        <w:shd w:val="clear" w:color="auto" w:fill="FFFFFF"/>
        <w:tabs>
          <w:tab w:val="left" w:pos="1152"/>
        </w:tabs>
        <w:spacing w:before="202" w:line="230" w:lineRule="exact"/>
        <w:rPr>
          <w:sz w:val="24"/>
          <w:szCs w:val="24"/>
        </w:rPr>
      </w:pPr>
      <w:r w:rsidRPr="00B8613E">
        <w:rPr>
          <w:sz w:val="24"/>
          <w:szCs w:val="24"/>
        </w:rPr>
        <w:tab/>
      </w:r>
      <w:r w:rsidR="000F5892" w:rsidRPr="00B8613E">
        <w:rPr>
          <w:sz w:val="24"/>
          <w:szCs w:val="24"/>
        </w:rPr>
        <w:t xml:space="preserve">E = </w:t>
      </w:r>
      <w:r w:rsidR="00264690" w:rsidRPr="00B8613E">
        <w:rPr>
          <w:sz w:val="24"/>
          <w:szCs w:val="24"/>
        </w:rPr>
        <w:t>un</w:t>
      </w:r>
      <w:r w:rsidR="000F5892" w:rsidRPr="00B8613E">
        <w:rPr>
          <w:sz w:val="24"/>
          <w:szCs w:val="24"/>
        </w:rPr>
        <w:t>paved road dust emission factor (</w:t>
      </w:r>
      <w:r w:rsidR="00264690" w:rsidRPr="00B8613E">
        <w:rPr>
          <w:sz w:val="24"/>
          <w:szCs w:val="24"/>
        </w:rPr>
        <w:t>lb</w:t>
      </w:r>
      <w:r w:rsidR="000F5892" w:rsidRPr="00B8613E">
        <w:rPr>
          <w:sz w:val="24"/>
          <w:szCs w:val="24"/>
        </w:rPr>
        <w:t>/VMT)</w:t>
      </w:r>
    </w:p>
    <w:p w:rsidR="000F5892" w:rsidRPr="00B8613E" w:rsidRDefault="000F5892">
      <w:pPr>
        <w:shd w:val="clear" w:color="auto" w:fill="FFFFFF"/>
        <w:spacing w:line="230" w:lineRule="exact"/>
        <w:ind w:left="1152"/>
        <w:rPr>
          <w:sz w:val="24"/>
          <w:szCs w:val="24"/>
        </w:rPr>
      </w:pPr>
      <w:r w:rsidRPr="00B8613E">
        <w:rPr>
          <w:sz w:val="24"/>
          <w:szCs w:val="24"/>
        </w:rPr>
        <w:t>k = particle size multiplier (</w:t>
      </w:r>
      <w:r w:rsidR="00264690" w:rsidRPr="00B8613E">
        <w:rPr>
          <w:sz w:val="24"/>
          <w:szCs w:val="24"/>
        </w:rPr>
        <w:t>lb/VMT</w:t>
      </w:r>
      <w:r w:rsidRPr="00B8613E">
        <w:rPr>
          <w:sz w:val="24"/>
          <w:szCs w:val="24"/>
        </w:rPr>
        <w:t>)</w:t>
      </w:r>
    </w:p>
    <w:p w:rsidR="000F5892" w:rsidRPr="00B8613E" w:rsidRDefault="000F5892">
      <w:pPr>
        <w:shd w:val="clear" w:color="auto" w:fill="FFFFFF"/>
        <w:spacing w:line="230" w:lineRule="exact"/>
        <w:ind w:left="1152"/>
        <w:rPr>
          <w:sz w:val="24"/>
          <w:szCs w:val="24"/>
        </w:rPr>
      </w:pPr>
      <w:r w:rsidRPr="00B8613E">
        <w:rPr>
          <w:spacing w:val="-1"/>
          <w:sz w:val="24"/>
          <w:szCs w:val="24"/>
        </w:rPr>
        <w:t xml:space="preserve">s = </w:t>
      </w:r>
      <w:r w:rsidR="00264690" w:rsidRPr="00B8613E">
        <w:rPr>
          <w:spacing w:val="-1"/>
          <w:sz w:val="24"/>
          <w:szCs w:val="24"/>
        </w:rPr>
        <w:t>surface material silt content (%)</w:t>
      </w:r>
    </w:p>
    <w:p w:rsidR="000F5892" w:rsidRPr="00B8613E" w:rsidRDefault="00264690">
      <w:pPr>
        <w:shd w:val="clear" w:color="auto" w:fill="FFFFFF"/>
        <w:spacing w:line="230" w:lineRule="exact"/>
        <w:ind w:left="1152"/>
        <w:rPr>
          <w:sz w:val="24"/>
          <w:szCs w:val="24"/>
        </w:rPr>
      </w:pPr>
      <w:r w:rsidRPr="00B8613E">
        <w:rPr>
          <w:sz w:val="24"/>
          <w:szCs w:val="24"/>
        </w:rPr>
        <w:t>SPD</w:t>
      </w:r>
      <w:r w:rsidR="000F5892" w:rsidRPr="00B8613E">
        <w:rPr>
          <w:sz w:val="24"/>
          <w:szCs w:val="24"/>
        </w:rPr>
        <w:t xml:space="preserve"> = </w:t>
      </w:r>
      <w:r w:rsidRPr="00B8613E">
        <w:rPr>
          <w:sz w:val="24"/>
          <w:szCs w:val="24"/>
        </w:rPr>
        <w:t>mean vehicle speed (mph)</w:t>
      </w:r>
    </w:p>
    <w:p w:rsidR="00264690" w:rsidRPr="00B8613E" w:rsidRDefault="00264690">
      <w:pPr>
        <w:shd w:val="clear" w:color="auto" w:fill="FFFFFF"/>
        <w:spacing w:line="230" w:lineRule="exact"/>
        <w:ind w:left="1152"/>
        <w:rPr>
          <w:sz w:val="24"/>
          <w:szCs w:val="24"/>
        </w:rPr>
      </w:pPr>
      <w:r w:rsidRPr="00B8613E">
        <w:rPr>
          <w:sz w:val="24"/>
          <w:szCs w:val="24"/>
        </w:rPr>
        <w:t>M = surface material moisture content (%)</w:t>
      </w:r>
    </w:p>
    <w:p w:rsidR="00264690" w:rsidRPr="00B8613E" w:rsidRDefault="00264690">
      <w:pPr>
        <w:shd w:val="clear" w:color="auto" w:fill="FFFFFF"/>
        <w:spacing w:line="230" w:lineRule="exact"/>
        <w:ind w:left="1152"/>
        <w:rPr>
          <w:sz w:val="24"/>
          <w:szCs w:val="24"/>
        </w:rPr>
      </w:pPr>
      <w:r w:rsidRPr="00B8613E">
        <w:rPr>
          <w:sz w:val="24"/>
          <w:szCs w:val="24"/>
        </w:rPr>
        <w:t>C = emission factor for 1980’s vehicle fleet exhaust, brake wear, and tire wear (lb/VMT)</w:t>
      </w:r>
    </w:p>
    <w:p w:rsidR="00584EA2" w:rsidRPr="00B8613E" w:rsidRDefault="00584EA2" w:rsidP="005F4213">
      <w:pPr>
        <w:shd w:val="clear" w:color="auto" w:fill="FFFFFF"/>
        <w:spacing w:before="100" w:beforeAutospacing="1" w:after="100" w:afterAutospacing="1" w:line="230" w:lineRule="exact"/>
        <w:rPr>
          <w:sz w:val="24"/>
          <w:szCs w:val="24"/>
        </w:rPr>
      </w:pPr>
      <w:r w:rsidRPr="00B8613E">
        <w:rPr>
          <w:sz w:val="24"/>
          <w:szCs w:val="24"/>
        </w:rPr>
        <w:t>The uncontrolled emission factors without precipitation corrections are in</w:t>
      </w:r>
      <w:r w:rsidR="00761489" w:rsidRPr="00B8613E">
        <w:rPr>
          <w:sz w:val="24"/>
          <w:szCs w:val="24"/>
        </w:rPr>
        <w:t xml:space="preserve"> the worksheet “Emission Factor Calculations</w:t>
      </w:r>
      <w:r w:rsidRPr="00B8613E">
        <w:rPr>
          <w:sz w:val="24"/>
          <w:szCs w:val="24"/>
        </w:rPr>
        <w:t>” by county and roadway class.</w:t>
      </w:r>
    </w:p>
    <w:p w:rsidR="00584EA2" w:rsidRPr="00B8613E" w:rsidRDefault="00584EA2" w:rsidP="005F4213">
      <w:pPr>
        <w:shd w:val="clear" w:color="auto" w:fill="FFFFFF"/>
        <w:spacing w:before="100" w:beforeAutospacing="1" w:after="100" w:afterAutospacing="1" w:line="230" w:lineRule="exact"/>
        <w:rPr>
          <w:sz w:val="24"/>
          <w:szCs w:val="24"/>
        </w:rPr>
      </w:pPr>
      <w:r w:rsidRPr="00B8613E">
        <w:rPr>
          <w:sz w:val="24"/>
          <w:szCs w:val="24"/>
        </w:rPr>
        <w:t>Values used for the particle size multiplier and the 1980’s vehicle fleet exhaust, brake wear, and tire wear are provided in Table 1, and come from AP-42</w:t>
      </w:r>
      <w:r w:rsidR="00761489" w:rsidRPr="00B8613E">
        <w:rPr>
          <w:sz w:val="24"/>
          <w:szCs w:val="24"/>
          <w:vertAlign w:val="superscript"/>
        </w:rPr>
        <w:t>1</w:t>
      </w:r>
      <w:r w:rsidRPr="00B8613E">
        <w:rPr>
          <w:sz w:val="24"/>
          <w:szCs w:val="24"/>
        </w:rPr>
        <w:t xml:space="preserve"> defaults. </w:t>
      </w:r>
    </w:p>
    <w:p w:rsidR="00584EA2" w:rsidRPr="00B8613E" w:rsidRDefault="00584EA2" w:rsidP="005F4213">
      <w:pPr>
        <w:shd w:val="clear" w:color="auto" w:fill="FFFFFF"/>
        <w:spacing w:before="100" w:beforeAutospacing="1" w:after="100" w:afterAutospacing="1" w:line="230" w:lineRule="exact"/>
        <w:rPr>
          <w:sz w:val="24"/>
          <w:szCs w:val="24"/>
        </w:rPr>
      </w:pPr>
      <w:r w:rsidRPr="00B8613E">
        <w:rPr>
          <w:sz w:val="24"/>
          <w:szCs w:val="24"/>
        </w:rPr>
        <w:t>Average State-level unpaved road silt content values, developed as part of the 1985 NAPAP Inventory, were obtained from the Illinois State Water Survey</w:t>
      </w:r>
      <w:r w:rsidR="00456E27" w:rsidRPr="00B8613E">
        <w:rPr>
          <w:sz w:val="24"/>
          <w:szCs w:val="24"/>
          <w:vertAlign w:val="superscript"/>
        </w:rPr>
        <w:t>2</w:t>
      </w:r>
      <w:r w:rsidRPr="00B8613E">
        <w:rPr>
          <w:color w:val="0070C0"/>
          <w:sz w:val="24"/>
          <w:szCs w:val="24"/>
        </w:rPr>
        <w:t>.</w:t>
      </w:r>
      <w:r w:rsidRPr="00B8613E">
        <w:rPr>
          <w:sz w:val="24"/>
          <w:szCs w:val="24"/>
        </w:rPr>
        <w:t xml:space="preserve"> Silt contents of over 200 unpaved roads from over 30 States were obtained. Average silt contents of unpaved roads were calculated for each sate that had three or more samples for that State. For States that did not have three or more samples, the average for all samples from all States was used as a default value. The silt content values are by State and identifies if the values were based on a sample average or default value.</w:t>
      </w:r>
    </w:p>
    <w:p w:rsidR="004820A6" w:rsidRPr="00B8613E" w:rsidRDefault="00EA512F" w:rsidP="004820A6">
      <w:pPr>
        <w:shd w:val="clear" w:color="auto" w:fill="FFFFFF"/>
        <w:spacing w:before="100" w:beforeAutospacing="1" w:after="100" w:afterAutospacing="1"/>
        <w:rPr>
          <w:sz w:val="24"/>
          <w:szCs w:val="24"/>
          <w:vertAlign w:val="superscript"/>
        </w:rPr>
      </w:pPr>
      <w:r w:rsidRPr="00B8613E">
        <w:rPr>
          <w:b/>
          <w:sz w:val="24"/>
          <w:szCs w:val="24"/>
        </w:rPr>
        <w:t>Table 1:</w:t>
      </w:r>
      <w:r w:rsidRPr="00B8613E">
        <w:rPr>
          <w:sz w:val="24"/>
          <w:szCs w:val="24"/>
        </w:rPr>
        <w:t xml:space="preserve"> Constants for Unpaved Roads re-</w:t>
      </w:r>
      <w:r w:rsidR="008C0149" w:rsidRPr="00B8613E">
        <w:rPr>
          <w:sz w:val="24"/>
          <w:szCs w:val="24"/>
        </w:rPr>
        <w:t>entrained dust emission factor e</w:t>
      </w:r>
      <w:r w:rsidRPr="00B8613E">
        <w:rPr>
          <w:sz w:val="24"/>
          <w:szCs w:val="24"/>
        </w:rPr>
        <w:t>quation</w:t>
      </w:r>
      <w:r w:rsidRPr="00B8613E">
        <w:rPr>
          <w:sz w:val="24"/>
          <w:szCs w:val="24"/>
          <w:vertAlign w:val="superscript"/>
        </w:rPr>
        <w:t>1</w:t>
      </w:r>
    </w:p>
    <w:tbl>
      <w:tblPr>
        <w:tblStyle w:val="TableGrid"/>
        <w:tblW w:w="0" w:type="auto"/>
        <w:jc w:val="center"/>
        <w:tblLook w:val="04A0" w:firstRow="1" w:lastRow="0" w:firstColumn="1" w:lastColumn="0" w:noHBand="0" w:noVBand="1"/>
        <w:tblCaption w:val="Table 1: Constants for Unpaved Roads re-entrained dust emission factor equation1"/>
        <w:tblDescription w:val="Constant PM25-PRI/PM25-FIL PM10-PRI/PM10-FIL"/>
      </w:tblPr>
      <w:tblGrid>
        <w:gridCol w:w="1368"/>
        <w:gridCol w:w="2160"/>
        <w:gridCol w:w="2160"/>
      </w:tblGrid>
      <w:tr w:rsidR="00EA512F" w:rsidRPr="00B8613E" w:rsidTr="00D535EF">
        <w:trPr>
          <w:jc w:val="center"/>
        </w:trPr>
        <w:tc>
          <w:tcPr>
            <w:tcW w:w="1368" w:type="dxa"/>
          </w:tcPr>
          <w:p w:rsidR="00EA512F" w:rsidRPr="00B8613E" w:rsidRDefault="00EA512F" w:rsidP="004820A6">
            <w:pPr>
              <w:spacing w:before="100" w:beforeAutospacing="1" w:after="100" w:afterAutospacing="1"/>
              <w:jc w:val="center"/>
              <w:rPr>
                <w:b/>
                <w:sz w:val="24"/>
                <w:szCs w:val="24"/>
              </w:rPr>
            </w:pPr>
            <w:r w:rsidRPr="00B8613E">
              <w:rPr>
                <w:b/>
                <w:sz w:val="24"/>
                <w:szCs w:val="24"/>
              </w:rPr>
              <w:t>Constant</w:t>
            </w:r>
          </w:p>
        </w:tc>
        <w:tc>
          <w:tcPr>
            <w:tcW w:w="2160" w:type="dxa"/>
          </w:tcPr>
          <w:p w:rsidR="00EA512F" w:rsidRPr="00B8613E" w:rsidRDefault="00EA512F" w:rsidP="004820A6">
            <w:pPr>
              <w:spacing w:before="100" w:beforeAutospacing="1" w:after="100" w:afterAutospacing="1"/>
              <w:jc w:val="center"/>
              <w:rPr>
                <w:b/>
                <w:sz w:val="24"/>
                <w:szCs w:val="24"/>
              </w:rPr>
            </w:pPr>
            <w:r w:rsidRPr="00B8613E">
              <w:rPr>
                <w:b/>
                <w:sz w:val="24"/>
                <w:szCs w:val="24"/>
              </w:rPr>
              <w:t>PM25-PRI/PM25-</w:t>
            </w:r>
            <w:r w:rsidRPr="00B8613E">
              <w:rPr>
                <w:b/>
                <w:sz w:val="24"/>
                <w:szCs w:val="24"/>
              </w:rPr>
              <w:lastRenderedPageBreak/>
              <w:t>FIL</w:t>
            </w:r>
          </w:p>
        </w:tc>
        <w:tc>
          <w:tcPr>
            <w:tcW w:w="2160" w:type="dxa"/>
          </w:tcPr>
          <w:p w:rsidR="00EA512F" w:rsidRPr="00B8613E" w:rsidRDefault="00EA512F" w:rsidP="004820A6">
            <w:pPr>
              <w:spacing w:before="100" w:beforeAutospacing="1" w:after="100" w:afterAutospacing="1"/>
              <w:jc w:val="center"/>
              <w:rPr>
                <w:b/>
                <w:sz w:val="24"/>
                <w:szCs w:val="24"/>
              </w:rPr>
            </w:pPr>
            <w:r w:rsidRPr="00B8613E">
              <w:rPr>
                <w:b/>
                <w:sz w:val="24"/>
                <w:szCs w:val="24"/>
              </w:rPr>
              <w:lastRenderedPageBreak/>
              <w:t>PM10-PRI/PM10-</w:t>
            </w:r>
            <w:r w:rsidRPr="00B8613E">
              <w:rPr>
                <w:b/>
                <w:sz w:val="24"/>
                <w:szCs w:val="24"/>
              </w:rPr>
              <w:lastRenderedPageBreak/>
              <w:t>FIL</w:t>
            </w:r>
          </w:p>
        </w:tc>
      </w:tr>
      <w:tr w:rsidR="00EA512F" w:rsidRPr="00B8613E" w:rsidTr="00D535EF">
        <w:trPr>
          <w:jc w:val="center"/>
        </w:trPr>
        <w:tc>
          <w:tcPr>
            <w:tcW w:w="1368" w:type="dxa"/>
          </w:tcPr>
          <w:p w:rsidR="00EA512F" w:rsidRPr="00B8613E" w:rsidRDefault="00EA512F" w:rsidP="004820A6">
            <w:pPr>
              <w:spacing w:before="100" w:beforeAutospacing="1" w:after="100" w:afterAutospacing="1"/>
              <w:rPr>
                <w:sz w:val="24"/>
                <w:szCs w:val="24"/>
              </w:rPr>
            </w:pPr>
            <w:r w:rsidRPr="00B8613E">
              <w:rPr>
                <w:sz w:val="24"/>
                <w:szCs w:val="24"/>
              </w:rPr>
              <w:lastRenderedPageBreak/>
              <w:t>k (lb/VMT)</w:t>
            </w:r>
          </w:p>
        </w:tc>
        <w:tc>
          <w:tcPr>
            <w:tcW w:w="2160" w:type="dxa"/>
          </w:tcPr>
          <w:p w:rsidR="00EA512F" w:rsidRPr="00B8613E" w:rsidRDefault="00EA512F" w:rsidP="004820A6">
            <w:pPr>
              <w:spacing w:before="100" w:beforeAutospacing="1" w:after="100" w:afterAutospacing="1"/>
              <w:jc w:val="right"/>
              <w:rPr>
                <w:sz w:val="24"/>
                <w:szCs w:val="24"/>
              </w:rPr>
            </w:pPr>
            <w:r w:rsidRPr="00B8613E">
              <w:rPr>
                <w:sz w:val="24"/>
                <w:szCs w:val="24"/>
              </w:rPr>
              <w:t>0.18</w:t>
            </w:r>
          </w:p>
        </w:tc>
        <w:tc>
          <w:tcPr>
            <w:tcW w:w="2160" w:type="dxa"/>
          </w:tcPr>
          <w:p w:rsidR="00EA512F" w:rsidRPr="00B8613E" w:rsidRDefault="00EA512F" w:rsidP="004820A6">
            <w:pPr>
              <w:spacing w:before="100" w:beforeAutospacing="1" w:after="100" w:afterAutospacing="1"/>
              <w:jc w:val="right"/>
              <w:rPr>
                <w:sz w:val="24"/>
                <w:szCs w:val="24"/>
              </w:rPr>
            </w:pPr>
            <w:r w:rsidRPr="00B8613E">
              <w:rPr>
                <w:sz w:val="24"/>
                <w:szCs w:val="24"/>
              </w:rPr>
              <w:t>1.8</w:t>
            </w:r>
          </w:p>
        </w:tc>
      </w:tr>
      <w:tr w:rsidR="00EA512F" w:rsidRPr="00B8613E" w:rsidTr="00D535EF">
        <w:trPr>
          <w:jc w:val="center"/>
        </w:trPr>
        <w:tc>
          <w:tcPr>
            <w:tcW w:w="1368" w:type="dxa"/>
          </w:tcPr>
          <w:p w:rsidR="00EA512F" w:rsidRPr="00B8613E" w:rsidRDefault="00EA512F" w:rsidP="004820A6">
            <w:pPr>
              <w:spacing w:before="100" w:beforeAutospacing="1" w:after="100" w:afterAutospacing="1"/>
              <w:rPr>
                <w:sz w:val="24"/>
                <w:szCs w:val="24"/>
              </w:rPr>
            </w:pPr>
            <w:r w:rsidRPr="00B8613E">
              <w:rPr>
                <w:sz w:val="24"/>
                <w:szCs w:val="24"/>
              </w:rPr>
              <w:t>C</w:t>
            </w:r>
          </w:p>
        </w:tc>
        <w:tc>
          <w:tcPr>
            <w:tcW w:w="2160" w:type="dxa"/>
          </w:tcPr>
          <w:p w:rsidR="00EA512F" w:rsidRPr="00B8613E" w:rsidRDefault="00EA512F" w:rsidP="004820A6">
            <w:pPr>
              <w:spacing w:before="100" w:beforeAutospacing="1" w:after="100" w:afterAutospacing="1"/>
              <w:jc w:val="right"/>
              <w:rPr>
                <w:sz w:val="24"/>
                <w:szCs w:val="24"/>
              </w:rPr>
            </w:pPr>
            <w:r w:rsidRPr="00B8613E">
              <w:rPr>
                <w:sz w:val="24"/>
                <w:szCs w:val="24"/>
              </w:rPr>
              <w:t>0.00036</w:t>
            </w:r>
          </w:p>
        </w:tc>
        <w:tc>
          <w:tcPr>
            <w:tcW w:w="2160" w:type="dxa"/>
          </w:tcPr>
          <w:p w:rsidR="00EA512F" w:rsidRPr="00B8613E" w:rsidRDefault="00EA512F" w:rsidP="004820A6">
            <w:pPr>
              <w:spacing w:before="100" w:beforeAutospacing="1" w:after="100" w:afterAutospacing="1"/>
              <w:jc w:val="right"/>
              <w:rPr>
                <w:sz w:val="24"/>
                <w:szCs w:val="24"/>
              </w:rPr>
            </w:pPr>
            <w:r w:rsidRPr="00B8613E">
              <w:rPr>
                <w:sz w:val="24"/>
                <w:szCs w:val="24"/>
              </w:rPr>
              <w:t>0.00047</w:t>
            </w:r>
          </w:p>
        </w:tc>
      </w:tr>
    </w:tbl>
    <w:p w:rsidR="00D535EF" w:rsidRPr="00B8613E" w:rsidRDefault="00EA512F" w:rsidP="005F4213">
      <w:pPr>
        <w:shd w:val="clear" w:color="auto" w:fill="FFFFFF"/>
        <w:spacing w:before="100" w:beforeAutospacing="1" w:after="100" w:afterAutospacing="1" w:line="230" w:lineRule="exact"/>
        <w:rPr>
          <w:sz w:val="24"/>
          <w:szCs w:val="24"/>
        </w:rPr>
      </w:pPr>
      <w:r w:rsidRPr="00B8613E">
        <w:rPr>
          <w:sz w:val="24"/>
          <w:szCs w:val="24"/>
        </w:rPr>
        <w:t>Table 2 lists the speeds modeled on the unpaved roads by roadway class. These speeds were determined based on the average speeds modeled for onroad emission calculations and weighted to determine a single average speed for each of the roadway classes</w:t>
      </w:r>
      <w:r w:rsidRPr="00B8613E">
        <w:rPr>
          <w:color w:val="FF0000"/>
          <w:sz w:val="24"/>
          <w:szCs w:val="24"/>
        </w:rPr>
        <w:t xml:space="preserve">.  </w:t>
      </w:r>
      <w:r w:rsidR="001A4DBD" w:rsidRPr="00B8613E">
        <w:rPr>
          <w:sz w:val="24"/>
          <w:szCs w:val="24"/>
        </w:rPr>
        <w:t>The roadway class</w:t>
      </w:r>
      <w:r w:rsidRPr="00B8613E">
        <w:rPr>
          <w:sz w:val="24"/>
          <w:szCs w:val="24"/>
        </w:rPr>
        <w:t xml:space="preserve"> “Urban collector” with an average sp</w:t>
      </w:r>
      <w:r w:rsidR="008C0149" w:rsidRPr="00B8613E">
        <w:rPr>
          <w:sz w:val="24"/>
          <w:szCs w:val="24"/>
        </w:rPr>
        <w:t>eed of 20 mph was split into two</w:t>
      </w:r>
      <w:r w:rsidRPr="00B8613E">
        <w:rPr>
          <w:sz w:val="24"/>
          <w:szCs w:val="24"/>
        </w:rPr>
        <w:t xml:space="preserve"> sub-categories</w:t>
      </w:r>
      <w:r w:rsidR="008C0149" w:rsidRPr="00B8613E">
        <w:rPr>
          <w:sz w:val="24"/>
          <w:szCs w:val="24"/>
        </w:rPr>
        <w:t>,</w:t>
      </w:r>
      <w:r w:rsidRPr="00B8613E">
        <w:rPr>
          <w:sz w:val="24"/>
          <w:szCs w:val="24"/>
        </w:rPr>
        <w:t xml:space="preserve"> </w:t>
      </w:r>
      <w:r w:rsidR="001A4DBD" w:rsidRPr="00B8613E">
        <w:rPr>
          <w:sz w:val="24"/>
          <w:szCs w:val="24"/>
        </w:rPr>
        <w:t>“</w:t>
      </w:r>
      <w:r w:rsidRPr="00B8613E">
        <w:rPr>
          <w:sz w:val="24"/>
          <w:szCs w:val="24"/>
        </w:rPr>
        <w:t>Urban major collector</w:t>
      </w:r>
      <w:r w:rsidR="001A4DBD" w:rsidRPr="00B8613E">
        <w:rPr>
          <w:sz w:val="24"/>
          <w:szCs w:val="24"/>
        </w:rPr>
        <w:t>”</w:t>
      </w:r>
      <w:r w:rsidRPr="00B8613E">
        <w:rPr>
          <w:sz w:val="24"/>
          <w:szCs w:val="24"/>
        </w:rPr>
        <w:t xml:space="preserve"> and </w:t>
      </w:r>
      <w:r w:rsidR="001A4DBD" w:rsidRPr="00B8613E">
        <w:rPr>
          <w:sz w:val="24"/>
          <w:szCs w:val="24"/>
        </w:rPr>
        <w:t>“</w:t>
      </w:r>
      <w:r w:rsidRPr="00B8613E">
        <w:rPr>
          <w:sz w:val="24"/>
          <w:szCs w:val="24"/>
        </w:rPr>
        <w:t>Urban minor collector</w:t>
      </w:r>
      <w:r w:rsidR="001A4DBD" w:rsidRPr="00B8613E">
        <w:rPr>
          <w:sz w:val="24"/>
          <w:szCs w:val="24"/>
        </w:rPr>
        <w:t>”</w:t>
      </w:r>
      <w:r w:rsidR="008C0149" w:rsidRPr="00B8613E">
        <w:rPr>
          <w:sz w:val="24"/>
          <w:szCs w:val="24"/>
        </w:rPr>
        <w:t>,</w:t>
      </w:r>
      <w:r w:rsidRPr="00B8613E">
        <w:rPr>
          <w:sz w:val="24"/>
          <w:szCs w:val="24"/>
        </w:rPr>
        <w:t xml:space="preserve"> to</w:t>
      </w:r>
      <w:r w:rsidR="001A4DBD" w:rsidRPr="00B8613E">
        <w:rPr>
          <w:sz w:val="24"/>
          <w:szCs w:val="24"/>
        </w:rPr>
        <w:t xml:space="preserve"> correspond to</w:t>
      </w:r>
      <w:r w:rsidRPr="00B8613E">
        <w:rPr>
          <w:sz w:val="24"/>
          <w:szCs w:val="24"/>
        </w:rPr>
        <w:t xml:space="preserve"> the roadway types </w:t>
      </w:r>
      <w:r w:rsidR="008C0149" w:rsidRPr="00B8613E">
        <w:rPr>
          <w:sz w:val="24"/>
          <w:szCs w:val="24"/>
        </w:rPr>
        <w:t>found</w:t>
      </w:r>
      <w:r w:rsidRPr="00B8613E">
        <w:rPr>
          <w:sz w:val="24"/>
          <w:szCs w:val="24"/>
        </w:rPr>
        <w:t xml:space="preserve"> in the </w:t>
      </w:r>
      <w:r w:rsidR="008C0149" w:rsidRPr="00B8613E">
        <w:rPr>
          <w:sz w:val="24"/>
          <w:szCs w:val="24"/>
        </w:rPr>
        <w:t xml:space="preserve">2014 </w:t>
      </w:r>
      <w:r w:rsidRPr="00B8613E">
        <w:rPr>
          <w:sz w:val="24"/>
          <w:szCs w:val="24"/>
        </w:rPr>
        <w:t xml:space="preserve">VMT data. </w:t>
      </w:r>
    </w:p>
    <w:p w:rsidR="004820A6" w:rsidRPr="00B8613E" w:rsidRDefault="00EA512F" w:rsidP="004820A6">
      <w:pPr>
        <w:shd w:val="clear" w:color="auto" w:fill="FFFFFF"/>
        <w:spacing w:before="100" w:beforeAutospacing="1" w:after="100" w:afterAutospacing="1"/>
        <w:rPr>
          <w:sz w:val="24"/>
          <w:szCs w:val="24"/>
          <w:vertAlign w:val="superscript"/>
        </w:rPr>
      </w:pPr>
      <w:r w:rsidRPr="00B8613E">
        <w:rPr>
          <w:b/>
          <w:sz w:val="24"/>
          <w:szCs w:val="24"/>
        </w:rPr>
        <w:t>Table 2:</w:t>
      </w:r>
      <w:r w:rsidRPr="00B8613E">
        <w:rPr>
          <w:sz w:val="24"/>
          <w:szCs w:val="24"/>
        </w:rPr>
        <w:t xml:space="preserve"> Speeds modeled by roadway type on Unpaved Roads</w:t>
      </w:r>
      <w:r w:rsidR="00122E23" w:rsidRPr="00B8613E">
        <w:rPr>
          <w:sz w:val="24"/>
          <w:szCs w:val="24"/>
          <w:vertAlign w:val="superscript"/>
        </w:rPr>
        <w:t>3</w:t>
      </w:r>
    </w:p>
    <w:tbl>
      <w:tblPr>
        <w:tblStyle w:val="TableGrid"/>
        <w:tblW w:w="0" w:type="auto"/>
        <w:jc w:val="center"/>
        <w:tblLook w:val="04A0" w:firstRow="1" w:lastRow="0" w:firstColumn="1" w:lastColumn="0" w:noHBand="0" w:noVBand="1"/>
        <w:tblCaption w:val="Table 2: Speeds modeled by roadway type on Unpaved Roads3"/>
        <w:tblDescription w:val="Unpaved Roadway Type Speed (mph)"/>
      </w:tblPr>
      <w:tblGrid>
        <w:gridCol w:w="2808"/>
        <w:gridCol w:w="1350"/>
      </w:tblGrid>
      <w:tr w:rsidR="00D535EF" w:rsidRPr="00B8613E" w:rsidTr="00D535EF">
        <w:trPr>
          <w:trHeight w:val="255"/>
          <w:jc w:val="center"/>
        </w:trPr>
        <w:tc>
          <w:tcPr>
            <w:tcW w:w="2808" w:type="dxa"/>
            <w:noWrap/>
            <w:hideMark/>
          </w:tcPr>
          <w:p w:rsidR="00D535EF" w:rsidRPr="00B8613E" w:rsidRDefault="00D535EF" w:rsidP="004820A6">
            <w:pPr>
              <w:shd w:val="clear" w:color="auto" w:fill="FFFFFF"/>
              <w:spacing w:before="100" w:beforeAutospacing="1" w:after="100" w:afterAutospacing="1" w:line="230" w:lineRule="exact"/>
              <w:jc w:val="center"/>
              <w:rPr>
                <w:b/>
                <w:bCs/>
                <w:sz w:val="24"/>
                <w:szCs w:val="24"/>
              </w:rPr>
            </w:pPr>
            <w:r w:rsidRPr="00B8613E">
              <w:rPr>
                <w:b/>
                <w:bCs/>
                <w:sz w:val="24"/>
                <w:szCs w:val="24"/>
              </w:rPr>
              <w:t>Unpaved Roadway Type</w:t>
            </w:r>
          </w:p>
        </w:tc>
        <w:tc>
          <w:tcPr>
            <w:tcW w:w="1350" w:type="dxa"/>
            <w:noWrap/>
            <w:hideMark/>
          </w:tcPr>
          <w:p w:rsidR="00D535EF" w:rsidRPr="00B8613E" w:rsidRDefault="00D535EF" w:rsidP="004820A6">
            <w:pPr>
              <w:shd w:val="clear" w:color="auto" w:fill="FFFFFF"/>
              <w:spacing w:before="100" w:beforeAutospacing="1" w:after="100" w:afterAutospacing="1" w:line="230" w:lineRule="exact"/>
              <w:jc w:val="center"/>
              <w:rPr>
                <w:b/>
                <w:bCs/>
                <w:sz w:val="24"/>
                <w:szCs w:val="24"/>
              </w:rPr>
            </w:pPr>
            <w:r w:rsidRPr="00B8613E">
              <w:rPr>
                <w:b/>
                <w:bCs/>
                <w:sz w:val="24"/>
                <w:szCs w:val="24"/>
              </w:rPr>
              <w:t>Speed (mph)</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Rural Minor Arterial</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39</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Rural Major Collector</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34</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Rural Minor Collector</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30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Rural Local</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30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Urban Other Principal Arterial</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20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Urban Minor Arterial</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20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Urban Major Collector</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20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Urban Minor Collector</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20</w:t>
            </w:r>
          </w:p>
        </w:tc>
      </w:tr>
      <w:tr w:rsidR="00D535EF" w:rsidRPr="00B8613E" w:rsidTr="00D535EF">
        <w:trPr>
          <w:trHeight w:val="255"/>
          <w:jc w:val="center"/>
        </w:trPr>
        <w:tc>
          <w:tcPr>
            <w:tcW w:w="2808" w:type="dxa"/>
            <w:noWrap/>
            <w:hideMark/>
          </w:tcPr>
          <w:p w:rsidR="00D535EF" w:rsidRPr="00B8613E" w:rsidRDefault="00D535EF" w:rsidP="00D535EF">
            <w:pPr>
              <w:shd w:val="clear" w:color="auto" w:fill="FFFFFF"/>
              <w:spacing w:before="100" w:beforeAutospacing="1" w:after="100" w:afterAutospacing="1" w:line="230" w:lineRule="exact"/>
              <w:rPr>
                <w:sz w:val="24"/>
                <w:szCs w:val="24"/>
              </w:rPr>
            </w:pPr>
            <w:r w:rsidRPr="00B8613E">
              <w:rPr>
                <w:sz w:val="24"/>
                <w:szCs w:val="24"/>
              </w:rPr>
              <w:t>Urban Local</w:t>
            </w:r>
          </w:p>
        </w:tc>
        <w:tc>
          <w:tcPr>
            <w:tcW w:w="1350" w:type="dxa"/>
            <w:noWrap/>
            <w:hideMark/>
          </w:tcPr>
          <w:p w:rsidR="00D535EF" w:rsidRPr="00B8613E" w:rsidRDefault="00D535EF" w:rsidP="008C0149">
            <w:pPr>
              <w:shd w:val="clear" w:color="auto" w:fill="FFFFFF"/>
              <w:spacing w:before="100" w:beforeAutospacing="1" w:after="100" w:afterAutospacing="1" w:line="230" w:lineRule="exact"/>
              <w:jc w:val="center"/>
              <w:rPr>
                <w:sz w:val="24"/>
                <w:szCs w:val="24"/>
              </w:rPr>
            </w:pPr>
            <w:r w:rsidRPr="00B8613E">
              <w:rPr>
                <w:sz w:val="24"/>
                <w:szCs w:val="24"/>
              </w:rPr>
              <w:t>20</w:t>
            </w:r>
          </w:p>
        </w:tc>
      </w:tr>
    </w:tbl>
    <w:p w:rsidR="00C50658" w:rsidRPr="00B8613E" w:rsidRDefault="00C50658" w:rsidP="005F4213">
      <w:pPr>
        <w:shd w:val="clear" w:color="auto" w:fill="FFFFFF"/>
        <w:spacing w:before="100" w:beforeAutospacing="1" w:after="100" w:afterAutospacing="1" w:line="230" w:lineRule="exact"/>
        <w:rPr>
          <w:sz w:val="24"/>
          <w:szCs w:val="24"/>
        </w:rPr>
      </w:pPr>
      <w:r w:rsidRPr="00B8613E">
        <w:rPr>
          <w:sz w:val="24"/>
          <w:szCs w:val="24"/>
        </w:rPr>
        <w:t>The value of 0.5 percent for M was chosen as the national default as sufficient resources were not available at the time the emissions were calculated to determine more locally-specific values for this variable.</w:t>
      </w:r>
    </w:p>
    <w:p w:rsidR="00166461" w:rsidRPr="00B8613E" w:rsidRDefault="004C68A6" w:rsidP="00166461">
      <w:pPr>
        <w:shd w:val="clear" w:color="auto" w:fill="FFFFFF"/>
        <w:spacing w:before="100" w:beforeAutospacing="1" w:line="230" w:lineRule="exact"/>
        <w:rPr>
          <w:spacing w:val="-1"/>
          <w:sz w:val="24"/>
          <w:szCs w:val="24"/>
        </w:rPr>
      </w:pPr>
      <w:r w:rsidRPr="00B8613E">
        <w:rPr>
          <w:b/>
          <w:i/>
          <w:iCs/>
          <w:spacing w:val="-1"/>
          <w:sz w:val="24"/>
          <w:szCs w:val="24"/>
        </w:rPr>
        <w:t xml:space="preserve">c. </w:t>
      </w:r>
      <w:r w:rsidR="000F5892" w:rsidRPr="00B8613E">
        <w:rPr>
          <w:b/>
          <w:i/>
          <w:iCs/>
          <w:spacing w:val="-1"/>
          <w:sz w:val="24"/>
          <w:szCs w:val="24"/>
        </w:rPr>
        <w:t>Activity</w:t>
      </w:r>
      <w:r w:rsidR="004262C9" w:rsidRPr="00B8613E">
        <w:rPr>
          <w:b/>
          <w:i/>
          <w:iCs/>
          <w:spacing w:val="-1"/>
          <w:sz w:val="24"/>
          <w:szCs w:val="24"/>
        </w:rPr>
        <w:t xml:space="preserve"> Data</w:t>
      </w:r>
      <w:r w:rsidR="007C45CF" w:rsidRPr="00B8613E">
        <w:rPr>
          <w:b/>
          <w:i/>
          <w:iCs/>
          <w:spacing w:val="-1"/>
          <w:sz w:val="24"/>
          <w:szCs w:val="24"/>
        </w:rPr>
        <w:br/>
      </w:r>
      <w:r w:rsidR="007C45CF" w:rsidRPr="00B8613E">
        <w:rPr>
          <w:i/>
          <w:iCs/>
          <w:spacing w:val="-1"/>
          <w:sz w:val="24"/>
          <w:szCs w:val="24"/>
          <w:u w:val="single"/>
        </w:rPr>
        <w:br/>
      </w:r>
      <w:r w:rsidR="000F5892" w:rsidRPr="00B8613E">
        <w:rPr>
          <w:spacing w:val="-1"/>
          <w:sz w:val="24"/>
          <w:szCs w:val="24"/>
        </w:rPr>
        <w:t xml:space="preserve">Total annual VMT estimates by </w:t>
      </w:r>
      <w:r w:rsidR="003823E5" w:rsidRPr="00B8613E">
        <w:rPr>
          <w:spacing w:val="-1"/>
          <w:sz w:val="24"/>
          <w:szCs w:val="24"/>
        </w:rPr>
        <w:t>county</w:t>
      </w:r>
      <w:r w:rsidR="000F5892" w:rsidRPr="00B8613E">
        <w:rPr>
          <w:spacing w:val="-1"/>
          <w:sz w:val="24"/>
          <w:szCs w:val="24"/>
        </w:rPr>
        <w:t xml:space="preserve"> and roadway class were </w:t>
      </w:r>
      <w:r w:rsidR="003823E5" w:rsidRPr="00B8613E">
        <w:rPr>
          <w:spacing w:val="-1"/>
          <w:sz w:val="24"/>
          <w:szCs w:val="24"/>
        </w:rPr>
        <w:t xml:space="preserve">derived from </w:t>
      </w:r>
      <w:r w:rsidR="00441311" w:rsidRPr="00B8613E">
        <w:rPr>
          <w:spacing w:val="-1"/>
          <w:sz w:val="24"/>
          <w:szCs w:val="24"/>
        </w:rPr>
        <w:t>a 2014</w:t>
      </w:r>
      <w:r w:rsidR="004B0187" w:rsidRPr="00B8613E">
        <w:rPr>
          <w:spacing w:val="-1"/>
          <w:sz w:val="24"/>
          <w:szCs w:val="24"/>
        </w:rPr>
        <w:t xml:space="preserve"> </w:t>
      </w:r>
      <w:r w:rsidR="00441311" w:rsidRPr="00B8613E">
        <w:rPr>
          <w:spacing w:val="-1"/>
          <w:sz w:val="24"/>
          <w:szCs w:val="24"/>
        </w:rPr>
        <w:t>MOVES</w:t>
      </w:r>
      <w:r w:rsidR="004B0187" w:rsidRPr="00B8613E">
        <w:rPr>
          <w:spacing w:val="-1"/>
          <w:sz w:val="24"/>
          <w:szCs w:val="24"/>
        </w:rPr>
        <w:t xml:space="preserve"> run providing </w:t>
      </w:r>
      <w:r w:rsidR="00441311" w:rsidRPr="00B8613E">
        <w:rPr>
          <w:spacing w:val="-1"/>
          <w:sz w:val="24"/>
          <w:szCs w:val="24"/>
        </w:rPr>
        <w:t>county</w:t>
      </w:r>
      <w:r w:rsidR="004B0187" w:rsidRPr="00B8613E">
        <w:rPr>
          <w:spacing w:val="-1"/>
          <w:sz w:val="24"/>
          <w:szCs w:val="24"/>
        </w:rPr>
        <w:t xml:space="preserve">-level estimates of </w:t>
      </w:r>
      <w:r w:rsidR="00384AD9" w:rsidRPr="00B8613E">
        <w:rPr>
          <w:spacing w:val="-1"/>
          <w:sz w:val="24"/>
          <w:szCs w:val="24"/>
        </w:rPr>
        <w:t xml:space="preserve">total (paved and unpaved) </w:t>
      </w:r>
      <w:r w:rsidR="004B0187" w:rsidRPr="00B8613E">
        <w:rPr>
          <w:spacing w:val="-1"/>
          <w:sz w:val="24"/>
          <w:szCs w:val="24"/>
        </w:rPr>
        <w:t>VMT by ro</w:t>
      </w:r>
      <w:r w:rsidR="00441311" w:rsidRPr="00B8613E">
        <w:rPr>
          <w:spacing w:val="-1"/>
          <w:sz w:val="24"/>
          <w:szCs w:val="24"/>
        </w:rPr>
        <w:t>ad type</w:t>
      </w:r>
      <w:r w:rsidR="001A4DBD" w:rsidRPr="00B8613E">
        <w:rPr>
          <w:spacing w:val="-1"/>
          <w:sz w:val="24"/>
          <w:szCs w:val="24"/>
        </w:rPr>
        <w:t>.</w:t>
      </w:r>
      <w:r w:rsidR="00441311" w:rsidRPr="00B8613E">
        <w:rPr>
          <w:spacing w:val="-1"/>
          <w:sz w:val="24"/>
          <w:szCs w:val="24"/>
        </w:rPr>
        <w:t xml:space="preserve"> Unpaved VMT was calculated by multiplying total</w:t>
      </w:r>
      <w:r w:rsidR="00166461" w:rsidRPr="00B8613E">
        <w:rPr>
          <w:spacing w:val="-1"/>
          <w:sz w:val="24"/>
          <w:szCs w:val="24"/>
        </w:rPr>
        <w:t xml:space="preserve"> </w:t>
      </w:r>
      <w:r w:rsidR="00441311" w:rsidRPr="00B8613E">
        <w:rPr>
          <w:spacing w:val="-1"/>
          <w:sz w:val="24"/>
          <w:szCs w:val="24"/>
        </w:rPr>
        <w:t xml:space="preserve">VMT </w:t>
      </w:r>
      <w:r w:rsidR="00384AD9" w:rsidRPr="00B8613E">
        <w:rPr>
          <w:spacing w:val="-1"/>
          <w:sz w:val="24"/>
          <w:szCs w:val="24"/>
        </w:rPr>
        <w:t xml:space="preserve">in each county </w:t>
      </w:r>
      <w:r w:rsidR="00441311" w:rsidRPr="00B8613E">
        <w:rPr>
          <w:spacing w:val="-1"/>
          <w:sz w:val="24"/>
          <w:szCs w:val="24"/>
        </w:rPr>
        <w:t>by a census region-level ra</w:t>
      </w:r>
      <w:r w:rsidR="00166461" w:rsidRPr="00B8613E">
        <w:rPr>
          <w:spacing w:val="-1"/>
          <w:sz w:val="24"/>
          <w:szCs w:val="24"/>
        </w:rPr>
        <w:t>tio of unpaved VMT to total VMT</w:t>
      </w:r>
      <w:r w:rsidR="00384AD9" w:rsidRPr="00B8613E">
        <w:rPr>
          <w:spacing w:val="-1"/>
          <w:sz w:val="24"/>
          <w:szCs w:val="24"/>
        </w:rPr>
        <w:t xml:space="preserve">. </w:t>
      </w:r>
      <w:r w:rsidR="00166461" w:rsidRPr="00B8613E">
        <w:rPr>
          <w:spacing w:val="-1"/>
          <w:sz w:val="24"/>
          <w:szCs w:val="24"/>
        </w:rPr>
        <w:t xml:space="preserve"> </w:t>
      </w:r>
    </w:p>
    <w:p w:rsidR="00166461" w:rsidRPr="00B8613E" w:rsidRDefault="006330C7" w:rsidP="00166461">
      <w:pPr>
        <w:shd w:val="clear" w:color="auto" w:fill="FFFFFF"/>
        <w:spacing w:before="100" w:beforeAutospacing="1" w:after="100" w:afterAutospacing="1" w:line="230" w:lineRule="exact"/>
        <w:jc w:val="center"/>
        <w:rPr>
          <w:spacing w:val="-1"/>
          <w:sz w:val="24"/>
          <w:szCs w:val="24"/>
        </w:rPr>
      </w:pPr>
      <m:oMathPara>
        <m:oMathParaPr>
          <m:jc m:val="center"/>
        </m:oMathParaPr>
        <m:oMath>
          <m:f>
            <m:fPr>
              <m:ctrlPr>
                <w:rPr>
                  <w:rFonts w:ascii="Cambria Math" w:hAnsi="Cambria Math"/>
                  <w:i/>
                  <w:spacing w:val="-1"/>
                  <w:sz w:val="24"/>
                  <w:szCs w:val="24"/>
                </w:rPr>
              </m:ctrlPr>
            </m:fPr>
            <m:num>
              <m:sSub>
                <m:sSubPr>
                  <m:ctrlPr>
                    <w:rPr>
                      <w:rFonts w:ascii="Cambria Math" w:hAnsi="Cambria Math"/>
                      <w:i/>
                      <w:spacing w:val="-1"/>
                      <w:sz w:val="24"/>
                      <w:szCs w:val="24"/>
                    </w:rPr>
                  </m:ctrlPr>
                </m:sSubPr>
                <m:e>
                  <m:r>
                    <w:rPr>
                      <w:rFonts w:ascii="Cambria Math" w:hAnsi="Cambria Math"/>
                      <w:spacing w:val="-1"/>
                      <w:sz w:val="24"/>
                      <w:szCs w:val="24"/>
                    </w:rPr>
                    <m:t>Unpaved VMT from Version 1</m:t>
                  </m:r>
                </m:e>
                <m:sub>
                  <m:r>
                    <w:rPr>
                      <w:rFonts w:ascii="Cambria Math" w:hAnsi="Cambria Math"/>
                      <w:spacing w:val="-1"/>
                      <w:sz w:val="24"/>
                      <w:szCs w:val="24"/>
                    </w:rPr>
                    <m:t>by census region and road type</m:t>
                  </m:r>
                </m:sub>
              </m:sSub>
              <m:r>
                <w:rPr>
                  <w:rFonts w:ascii="Cambria Math" w:hAnsi="Cambria Math"/>
                  <w:spacing w:val="-1"/>
                  <w:sz w:val="24"/>
                  <w:szCs w:val="24"/>
                </w:rPr>
                <m:t xml:space="preserve"> </m:t>
              </m:r>
            </m:num>
            <m:den>
              <m:sSub>
                <m:sSubPr>
                  <m:ctrlPr>
                    <w:rPr>
                      <w:rFonts w:ascii="Cambria Math" w:hAnsi="Cambria Math"/>
                      <w:i/>
                      <w:spacing w:val="-1"/>
                      <w:sz w:val="24"/>
                      <w:szCs w:val="24"/>
                    </w:rPr>
                  </m:ctrlPr>
                </m:sSubPr>
                <m:e>
                  <m:r>
                    <w:rPr>
                      <w:rFonts w:ascii="Cambria Math" w:hAnsi="Cambria Math"/>
                      <w:spacing w:val="-1"/>
                      <w:sz w:val="24"/>
                      <w:szCs w:val="24"/>
                    </w:rPr>
                    <m:t>Total VMT from MOVES</m:t>
                  </m:r>
                </m:e>
                <m:sub>
                  <m:r>
                    <w:rPr>
                      <w:rFonts w:ascii="Cambria Math" w:hAnsi="Cambria Math"/>
                      <w:spacing w:val="-1"/>
                      <w:sz w:val="24"/>
                      <w:szCs w:val="24"/>
                    </w:rPr>
                    <m:t>by census region and road type</m:t>
                  </m:r>
                </m:sub>
              </m:sSub>
              <m:r>
                <w:rPr>
                  <w:rFonts w:ascii="Cambria Math" w:hAnsi="Cambria Math"/>
                  <w:spacing w:val="-1"/>
                  <w:sz w:val="24"/>
                  <w:szCs w:val="24"/>
                </w:rPr>
                <m:t xml:space="preserve"> </m:t>
              </m:r>
            </m:den>
          </m:f>
        </m:oMath>
      </m:oMathPara>
    </w:p>
    <w:p w:rsidR="004262C9" w:rsidRPr="00B8613E" w:rsidRDefault="00166461" w:rsidP="00C86E36">
      <w:pPr>
        <w:shd w:val="clear" w:color="auto" w:fill="FFFFFF"/>
        <w:spacing w:before="100" w:beforeAutospacing="1" w:after="100" w:afterAutospacing="1" w:line="230" w:lineRule="exact"/>
        <w:rPr>
          <w:spacing w:val="-1"/>
          <w:sz w:val="24"/>
          <w:szCs w:val="24"/>
        </w:rPr>
      </w:pPr>
      <w:r w:rsidRPr="00B8613E">
        <w:rPr>
          <w:spacing w:val="-1"/>
          <w:sz w:val="24"/>
          <w:szCs w:val="24"/>
        </w:rPr>
        <w:t xml:space="preserve">Table 3 lists the census region-level ratios. </w:t>
      </w:r>
      <w:r w:rsidR="00384AD9" w:rsidRPr="00B8613E">
        <w:rPr>
          <w:spacing w:val="-1"/>
          <w:sz w:val="24"/>
          <w:szCs w:val="24"/>
        </w:rPr>
        <w:t>These ratios were calculated based on the sum of the unpaved VMT in each census region in the EPA dataset calculated for the 2011 NEI divided by the sum of the total VMT in each census region. The origin of the unpaved/total split from the 2011 NEI was from data from FHWA from 1996 (the last year these data were available).</w:t>
      </w:r>
      <w:r w:rsidR="00384AD9" w:rsidRPr="00B8613E">
        <w:rPr>
          <w:spacing w:val="-1"/>
          <w:sz w:val="24"/>
          <w:szCs w:val="24"/>
          <w:vertAlign w:val="superscript"/>
        </w:rPr>
        <w:t>4</w:t>
      </w:r>
    </w:p>
    <w:p w:rsidR="004262C9" w:rsidRPr="00B8613E" w:rsidRDefault="004262C9" w:rsidP="004262C9">
      <w:pPr>
        <w:shd w:val="clear" w:color="auto" w:fill="FFFFFF"/>
        <w:spacing w:before="100" w:beforeAutospacing="1" w:line="230" w:lineRule="exact"/>
        <w:jc w:val="center"/>
        <w:rPr>
          <w:spacing w:val="-1"/>
          <w:sz w:val="24"/>
          <w:szCs w:val="24"/>
        </w:rPr>
      </w:pPr>
      <w:r w:rsidRPr="00B8613E">
        <w:rPr>
          <w:b/>
          <w:spacing w:val="-1"/>
          <w:sz w:val="24"/>
          <w:szCs w:val="24"/>
        </w:rPr>
        <w:t>Table 3.</w:t>
      </w:r>
      <w:r w:rsidRPr="00B8613E">
        <w:rPr>
          <w:spacing w:val="-1"/>
          <w:sz w:val="24"/>
          <w:szCs w:val="24"/>
        </w:rPr>
        <w:t xml:space="preserve"> Unpaved Ratios by Census Region and Road Type</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Caption w:val="Table 3. Unpaved Ratios by Census Region and Road Type"/>
        <w:tblDescription w:val="Region FHWA Road Type Unpaved Ratio"/>
      </w:tblPr>
      <w:tblGrid>
        <w:gridCol w:w="1747"/>
        <w:gridCol w:w="3966"/>
        <w:gridCol w:w="1601"/>
      </w:tblGrid>
      <w:tr w:rsidR="00517276" w:rsidRPr="00B8613E" w:rsidTr="004262C9">
        <w:trPr>
          <w:tblHeade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17276" w:rsidRPr="00B8613E" w:rsidRDefault="00517276" w:rsidP="00517276">
            <w:pPr>
              <w:widowControl/>
              <w:autoSpaceDE/>
              <w:autoSpaceDN/>
              <w:adjustRightInd/>
              <w:jc w:val="center"/>
              <w:rPr>
                <w:b/>
                <w:bCs/>
                <w:sz w:val="24"/>
                <w:szCs w:val="24"/>
              </w:rPr>
            </w:pPr>
            <w:r w:rsidRPr="00B8613E">
              <w:rPr>
                <w:b/>
                <w:bCs/>
                <w:color w:val="000000"/>
                <w:sz w:val="24"/>
                <w:szCs w:val="24"/>
              </w:rPr>
              <w:t>Region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17276" w:rsidRPr="00B8613E" w:rsidRDefault="00517276" w:rsidP="00517276">
            <w:pPr>
              <w:widowControl/>
              <w:autoSpaceDE/>
              <w:autoSpaceDN/>
              <w:adjustRightInd/>
              <w:jc w:val="center"/>
              <w:rPr>
                <w:b/>
                <w:bCs/>
                <w:sz w:val="24"/>
                <w:szCs w:val="24"/>
              </w:rPr>
            </w:pPr>
            <w:r w:rsidRPr="00B8613E">
              <w:rPr>
                <w:b/>
                <w:bCs/>
                <w:color w:val="000000"/>
                <w:sz w:val="24"/>
                <w:szCs w:val="24"/>
              </w:rPr>
              <w:t>FHWA Road Type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17276" w:rsidRPr="00B8613E" w:rsidRDefault="00517276" w:rsidP="00517276">
            <w:pPr>
              <w:widowControl/>
              <w:autoSpaceDE/>
              <w:autoSpaceDN/>
              <w:adjustRightInd/>
              <w:jc w:val="center"/>
              <w:rPr>
                <w:b/>
                <w:bCs/>
                <w:sz w:val="24"/>
                <w:szCs w:val="24"/>
              </w:rPr>
            </w:pPr>
            <w:r w:rsidRPr="00B8613E">
              <w:rPr>
                <w:b/>
                <w:bCs/>
                <w:color w:val="000000"/>
                <w:sz w:val="24"/>
                <w:szCs w:val="24"/>
              </w:rPr>
              <w:t>Unpaved Ratio</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2.70E-01</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7.18E-03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5.82E-02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lastRenderedPageBreak/>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8.99E-02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3.88E-03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4.72E-04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1.73E-01</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Midwest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4.08E-02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1.29E-04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1.09E-03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3.03E-03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3.71E-06</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1.74E-04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Northeast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1.72E-01</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1.61E-03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1.63E-02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3.17E-02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9.23E-04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3.12E-04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1.49E-02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South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3.03E-01</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7.03E-03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1.23E-01</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Rural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lastRenderedPageBreak/>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Interstate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Local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6.13E-02</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Major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3.26E-04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1.20E-04</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Minor Collector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3.24E-03</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Freeways and Expressways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r w:rsidR="00517276" w:rsidRPr="00B8613E" w:rsidTr="004262C9">
        <w:trPr>
          <w:tblCellSpacing w:w="0" w:type="dxa"/>
          <w:jc w:val="center"/>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West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rPr>
                <w:sz w:val="24"/>
                <w:szCs w:val="24"/>
              </w:rPr>
            </w:pPr>
            <w:r w:rsidRPr="00B8613E">
              <w:rPr>
                <w:color w:val="000000"/>
                <w:sz w:val="24"/>
                <w:szCs w:val="24"/>
              </w:rPr>
              <w:t>Urban Other Principal Arterial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517276" w:rsidRPr="00B8613E" w:rsidRDefault="00517276" w:rsidP="00517276">
            <w:pPr>
              <w:widowControl/>
              <w:autoSpaceDE/>
              <w:autoSpaceDN/>
              <w:adjustRightInd/>
              <w:jc w:val="right"/>
              <w:rPr>
                <w:sz w:val="24"/>
                <w:szCs w:val="24"/>
              </w:rPr>
            </w:pPr>
            <w:r w:rsidRPr="00B8613E">
              <w:rPr>
                <w:color w:val="000000"/>
                <w:sz w:val="24"/>
                <w:szCs w:val="24"/>
              </w:rPr>
              <w:t>0.00E+00</w:t>
            </w:r>
          </w:p>
        </w:tc>
      </w:tr>
    </w:tbl>
    <w:p w:rsidR="00517276" w:rsidRPr="00B8613E" w:rsidRDefault="004262C9" w:rsidP="00C86E36">
      <w:pPr>
        <w:shd w:val="clear" w:color="auto" w:fill="FFFFFF"/>
        <w:spacing w:before="100" w:beforeAutospacing="1" w:after="100" w:afterAutospacing="1" w:line="230" w:lineRule="exact"/>
        <w:rPr>
          <w:b/>
          <w:i/>
          <w:iCs/>
          <w:spacing w:val="-1"/>
          <w:sz w:val="24"/>
          <w:szCs w:val="24"/>
        </w:rPr>
      </w:pPr>
      <w:r w:rsidRPr="00B8613E">
        <w:rPr>
          <w:b/>
          <w:i/>
          <w:iCs/>
          <w:spacing w:val="-1"/>
          <w:sz w:val="24"/>
          <w:szCs w:val="24"/>
        </w:rPr>
        <w:t>d. Emissions</w:t>
      </w:r>
    </w:p>
    <w:p w:rsidR="004262C9" w:rsidRPr="00B8613E" w:rsidRDefault="004262C9" w:rsidP="00C86E36">
      <w:pPr>
        <w:shd w:val="clear" w:color="auto" w:fill="FFFFFF"/>
        <w:spacing w:before="100" w:beforeAutospacing="1" w:after="100" w:afterAutospacing="1" w:line="230" w:lineRule="exact"/>
        <w:rPr>
          <w:iCs/>
          <w:spacing w:val="-1"/>
          <w:sz w:val="24"/>
          <w:szCs w:val="24"/>
        </w:rPr>
      </w:pPr>
      <w:r w:rsidRPr="00B8613E">
        <w:rPr>
          <w:iCs/>
          <w:spacing w:val="-1"/>
          <w:sz w:val="24"/>
          <w:szCs w:val="24"/>
        </w:rPr>
        <w:t xml:space="preserve">County level PM </w:t>
      </w:r>
      <w:r w:rsidR="00497719" w:rsidRPr="00B8613E">
        <w:rPr>
          <w:iCs/>
          <w:spacing w:val="-1"/>
          <w:sz w:val="24"/>
          <w:szCs w:val="24"/>
        </w:rPr>
        <w:t xml:space="preserve">emissions </w:t>
      </w:r>
      <w:r w:rsidRPr="00B8613E">
        <w:rPr>
          <w:iCs/>
          <w:spacing w:val="-1"/>
          <w:sz w:val="24"/>
          <w:szCs w:val="24"/>
        </w:rPr>
        <w:t>wer</w:t>
      </w:r>
      <w:r w:rsidR="00497719" w:rsidRPr="00B8613E">
        <w:rPr>
          <w:iCs/>
          <w:spacing w:val="-1"/>
          <w:sz w:val="24"/>
          <w:szCs w:val="24"/>
        </w:rPr>
        <w:t xml:space="preserve">e calculated by multiplying the county </w:t>
      </w:r>
      <w:r w:rsidRPr="00B8613E">
        <w:rPr>
          <w:iCs/>
          <w:spacing w:val="-1"/>
          <w:sz w:val="24"/>
          <w:szCs w:val="24"/>
        </w:rPr>
        <w:t>unpaved VMT (by road type) by the emission factors calculated in section b</w:t>
      </w:r>
      <w:r w:rsidR="00497719" w:rsidRPr="00B8613E">
        <w:rPr>
          <w:iCs/>
          <w:spacing w:val="-1"/>
          <w:sz w:val="24"/>
          <w:szCs w:val="24"/>
        </w:rPr>
        <w:t xml:space="preserve"> and summing based on county and urban/rural classification</w:t>
      </w:r>
      <w:r w:rsidRPr="00B8613E">
        <w:rPr>
          <w:iCs/>
          <w:spacing w:val="-1"/>
          <w:sz w:val="24"/>
          <w:szCs w:val="24"/>
        </w:rPr>
        <w:t xml:space="preserve">. </w:t>
      </w:r>
    </w:p>
    <w:p w:rsidR="004262C9" w:rsidRPr="00B8613E" w:rsidRDefault="004262C9" w:rsidP="004262C9">
      <w:pPr>
        <w:shd w:val="clear" w:color="auto" w:fill="FFFFFF"/>
        <w:spacing w:before="100" w:beforeAutospacing="1" w:after="100" w:afterAutospacing="1" w:line="230" w:lineRule="exact"/>
        <w:rPr>
          <w:i/>
          <w:iCs/>
          <w:spacing w:val="-1"/>
          <w:sz w:val="24"/>
          <w:szCs w:val="24"/>
          <w:u w:val="single"/>
        </w:rPr>
      </w:pPr>
      <w:r w:rsidRPr="00B8613E">
        <w:rPr>
          <w:b/>
          <w:i/>
          <w:iCs/>
          <w:spacing w:val="-1"/>
          <w:sz w:val="24"/>
          <w:szCs w:val="24"/>
        </w:rPr>
        <w:t>e. Controls</w:t>
      </w:r>
    </w:p>
    <w:p w:rsidR="004262C9" w:rsidRPr="00B8613E" w:rsidRDefault="004262C9" w:rsidP="004262C9">
      <w:pPr>
        <w:shd w:val="clear" w:color="auto" w:fill="FFFFFF"/>
        <w:spacing w:before="202" w:line="230" w:lineRule="exact"/>
        <w:rPr>
          <w:sz w:val="24"/>
          <w:szCs w:val="24"/>
        </w:rPr>
      </w:pPr>
      <w:r w:rsidRPr="00B8613E">
        <w:rPr>
          <w:sz w:val="24"/>
          <w:szCs w:val="24"/>
        </w:rPr>
        <w:t>The controls assumed for unpaved roads varied by PM</w:t>
      </w:r>
      <w:r w:rsidRPr="00B8613E">
        <w:rPr>
          <w:sz w:val="24"/>
          <w:szCs w:val="24"/>
          <w:vertAlign w:val="subscript"/>
        </w:rPr>
        <w:t>10</w:t>
      </w:r>
      <w:r w:rsidRPr="00B8613E">
        <w:rPr>
          <w:sz w:val="24"/>
          <w:szCs w:val="24"/>
        </w:rPr>
        <w:t xml:space="preserve"> nonattainment area classification and by urban and rural areas. On urban unpaved roads in moderate PM</w:t>
      </w:r>
      <w:r w:rsidRPr="00B8613E">
        <w:rPr>
          <w:sz w:val="24"/>
          <w:szCs w:val="24"/>
          <w:vertAlign w:val="subscript"/>
        </w:rPr>
        <w:t>10</w:t>
      </w:r>
      <w:r w:rsidRPr="00B8613E">
        <w:rPr>
          <w:sz w:val="24"/>
          <w:szCs w:val="24"/>
        </w:rPr>
        <w:t xml:space="preserve"> nonattainment areas, paving of the unpaved road was assumed and a control efficiency of 96 percent and a rule penetration of 50 percent were applied. Controls were not applied to rural unpaved roads in moderate nonattainment areas.  Chemical stabilization, with a control efficiency of 75 percent and a rule penetration of 50 percent, was assumed for rural areas in serious PM</w:t>
      </w:r>
      <w:r w:rsidRPr="00B8613E">
        <w:rPr>
          <w:sz w:val="24"/>
          <w:szCs w:val="24"/>
          <w:vertAlign w:val="subscript"/>
        </w:rPr>
        <w:t>10</w:t>
      </w:r>
      <w:r w:rsidRPr="00B8613E">
        <w:rPr>
          <w:sz w:val="24"/>
          <w:szCs w:val="24"/>
        </w:rPr>
        <w:t xml:space="preserve"> nonattainment areas. A combination of paving and chemical stabilization, with a control efficiency of 90 percent and a rule penetration of 75 percent, was assumed for urban unpaved roads in serious PM</w:t>
      </w:r>
      <w:r w:rsidRPr="00B8613E">
        <w:rPr>
          <w:sz w:val="24"/>
          <w:szCs w:val="24"/>
          <w:vertAlign w:val="subscript"/>
        </w:rPr>
        <w:t>10</w:t>
      </w:r>
      <w:r w:rsidRPr="00B8613E">
        <w:rPr>
          <w:sz w:val="24"/>
          <w:szCs w:val="24"/>
        </w:rPr>
        <w:t xml:space="preserve"> nonattainment areas.  In counties currently at maintenance status, controls were assumed based on the severity (moderate or serious) of their prior nonattainment status.  Some counties had multiple partial areas with differing levels of nonattainment.  In these cases, controls were assumed to be applied based on the most serious level of nonattainment found within a given county.</w:t>
      </w:r>
    </w:p>
    <w:p w:rsidR="004262C9" w:rsidRPr="00B8613E" w:rsidRDefault="004262C9" w:rsidP="004262C9">
      <w:pPr>
        <w:shd w:val="clear" w:color="auto" w:fill="FFFFFF"/>
        <w:spacing w:before="100" w:beforeAutospacing="1" w:after="100" w:afterAutospacing="1" w:line="230" w:lineRule="exact"/>
        <w:rPr>
          <w:sz w:val="24"/>
          <w:szCs w:val="24"/>
        </w:rPr>
      </w:pPr>
      <w:r w:rsidRPr="00B8613E">
        <w:rPr>
          <w:sz w:val="24"/>
          <w:szCs w:val="24"/>
        </w:rPr>
        <w:t xml:space="preserve">Note that the controls were applied at the county level, and the controls differ by urban vs. rural roadway class. In the final emissions table, the emissions for all roadway classes were summed to the county level. Therefore, the emissions at the county level can represent several different control effectiveness and rule penetration levels. However, the control efficiency and rule penetration values were reported in the Controlled Emissions worksheet at the county level for urban and rural roadways separately. </w:t>
      </w:r>
    </w:p>
    <w:p w:rsidR="00497719" w:rsidRPr="00B8613E" w:rsidRDefault="00497719" w:rsidP="00C86E36">
      <w:pPr>
        <w:shd w:val="clear" w:color="auto" w:fill="FFFFFF"/>
        <w:spacing w:before="100" w:beforeAutospacing="1" w:after="100" w:afterAutospacing="1" w:line="230" w:lineRule="exact"/>
        <w:rPr>
          <w:b/>
          <w:i/>
          <w:iCs/>
          <w:spacing w:val="-1"/>
          <w:sz w:val="24"/>
          <w:szCs w:val="24"/>
        </w:rPr>
      </w:pPr>
      <w:r w:rsidRPr="00B8613E">
        <w:rPr>
          <w:b/>
          <w:i/>
          <w:iCs/>
          <w:spacing w:val="-1"/>
          <w:sz w:val="24"/>
          <w:szCs w:val="24"/>
        </w:rPr>
        <w:t>f. Meteorological Adjustment</w:t>
      </w:r>
    </w:p>
    <w:p w:rsidR="00497719" w:rsidRPr="00B8613E" w:rsidRDefault="00497719" w:rsidP="00C86E36">
      <w:pPr>
        <w:shd w:val="clear" w:color="auto" w:fill="FFFFFF"/>
        <w:spacing w:before="100" w:beforeAutospacing="1" w:after="100" w:afterAutospacing="1" w:line="230" w:lineRule="exact"/>
        <w:rPr>
          <w:iCs/>
          <w:spacing w:val="-1"/>
          <w:sz w:val="24"/>
          <w:szCs w:val="24"/>
        </w:rPr>
      </w:pPr>
      <w:r w:rsidRPr="00B8613E">
        <w:rPr>
          <w:iCs/>
          <w:spacing w:val="-1"/>
          <w:sz w:val="24"/>
          <w:szCs w:val="24"/>
        </w:rPr>
        <w:t>After controls were applied, emissions were summed to the county level and converted to tons in order for the meteorological adjustment to be applied</w:t>
      </w:r>
      <w:r w:rsidR="00384AD9" w:rsidRPr="00B8613E">
        <w:rPr>
          <w:iCs/>
          <w:spacing w:val="-1"/>
          <w:sz w:val="24"/>
          <w:szCs w:val="24"/>
        </w:rPr>
        <w:t xml:space="preserve">. The meteorological adjustment accounts for the fact that in some cases roads will be wet after it rains and therefore will result in significantly lower emissions. The county-level meteorological adjustment factors were developed by EPA based on </w:t>
      </w:r>
      <w:r w:rsidR="00DB0909" w:rsidRPr="00B8613E">
        <w:rPr>
          <w:iCs/>
          <w:spacing w:val="-1"/>
          <w:sz w:val="24"/>
          <w:szCs w:val="24"/>
        </w:rPr>
        <w:t>the ratio of the unadjusted NEI2014 version 1 emissions to the adjusted emissions in each county after the emissions were processed to create the SMOKE flat files. The county-level meteorological adjustment is a number between 0 and 1 that is multiplied by the estimated emissions.</w:t>
      </w:r>
    </w:p>
    <w:p w:rsidR="00C50658" w:rsidRPr="00B8613E" w:rsidRDefault="00497719" w:rsidP="00C86E36">
      <w:pPr>
        <w:shd w:val="clear" w:color="auto" w:fill="FFFFFF"/>
        <w:spacing w:before="100" w:beforeAutospacing="1" w:after="100" w:afterAutospacing="1" w:line="230" w:lineRule="exact"/>
        <w:rPr>
          <w:b/>
          <w:i/>
          <w:iCs/>
          <w:spacing w:val="-1"/>
          <w:sz w:val="24"/>
          <w:szCs w:val="24"/>
        </w:rPr>
      </w:pPr>
      <w:r w:rsidRPr="00B8613E">
        <w:rPr>
          <w:b/>
          <w:i/>
          <w:iCs/>
          <w:spacing w:val="-1"/>
          <w:sz w:val="24"/>
          <w:szCs w:val="24"/>
        </w:rPr>
        <w:t>g</w:t>
      </w:r>
      <w:r w:rsidR="00C50658" w:rsidRPr="00B8613E">
        <w:rPr>
          <w:b/>
          <w:i/>
          <w:iCs/>
          <w:spacing w:val="-1"/>
          <w:sz w:val="24"/>
          <w:szCs w:val="24"/>
        </w:rPr>
        <w:t xml:space="preserve">. </w:t>
      </w:r>
      <w:r w:rsidR="004262C9" w:rsidRPr="00B8613E">
        <w:rPr>
          <w:b/>
          <w:i/>
          <w:iCs/>
          <w:spacing w:val="-1"/>
          <w:sz w:val="24"/>
          <w:szCs w:val="24"/>
        </w:rPr>
        <w:t xml:space="preserve">Emissions </w:t>
      </w:r>
      <w:r w:rsidR="00F135A2" w:rsidRPr="00B8613E">
        <w:rPr>
          <w:b/>
          <w:i/>
          <w:iCs/>
          <w:spacing w:val="-1"/>
          <w:sz w:val="24"/>
          <w:szCs w:val="24"/>
        </w:rPr>
        <w:t>Redistribution</w:t>
      </w:r>
      <w:r w:rsidR="004262C9" w:rsidRPr="00B8613E">
        <w:rPr>
          <w:b/>
          <w:i/>
          <w:iCs/>
          <w:spacing w:val="-1"/>
          <w:sz w:val="24"/>
          <w:szCs w:val="24"/>
        </w:rPr>
        <w:t xml:space="preserve"> Procedure</w:t>
      </w:r>
    </w:p>
    <w:p w:rsidR="004D7A3D" w:rsidRPr="00B8613E" w:rsidRDefault="00F135A2" w:rsidP="004D7A3D">
      <w:pPr>
        <w:shd w:val="clear" w:color="auto" w:fill="FFFFFF"/>
        <w:spacing w:before="100" w:beforeAutospacing="1" w:after="100" w:afterAutospacing="1" w:line="230" w:lineRule="exact"/>
        <w:rPr>
          <w:iCs/>
          <w:spacing w:val="-1"/>
          <w:sz w:val="24"/>
          <w:szCs w:val="24"/>
          <w:u w:val="single"/>
        </w:rPr>
      </w:pPr>
      <w:r w:rsidRPr="00B8613E">
        <w:rPr>
          <w:iCs/>
          <w:spacing w:val="-1"/>
          <w:sz w:val="24"/>
          <w:szCs w:val="24"/>
        </w:rPr>
        <w:t>Unpaved roads are generally not located in urban centers, such as New York City or Chicago, so e</w:t>
      </w:r>
      <w:r w:rsidR="00497719" w:rsidRPr="00B8613E">
        <w:rPr>
          <w:iCs/>
          <w:spacing w:val="-1"/>
          <w:sz w:val="24"/>
          <w:szCs w:val="24"/>
        </w:rPr>
        <w:t xml:space="preserve">missions were </w:t>
      </w:r>
      <w:r w:rsidRPr="00B8613E">
        <w:rPr>
          <w:iCs/>
          <w:spacing w:val="-1"/>
          <w:sz w:val="24"/>
          <w:szCs w:val="24"/>
        </w:rPr>
        <w:t xml:space="preserve">redistributed away from these areas to reflect this. Emissions were </w:t>
      </w:r>
      <w:r w:rsidR="00497719" w:rsidRPr="00B8613E">
        <w:rPr>
          <w:iCs/>
          <w:spacing w:val="-1"/>
          <w:sz w:val="24"/>
          <w:szCs w:val="24"/>
        </w:rPr>
        <w:t>summed to the s</w:t>
      </w:r>
      <w:r w:rsidR="00CF4A4F" w:rsidRPr="00B8613E">
        <w:rPr>
          <w:iCs/>
          <w:spacing w:val="-1"/>
          <w:sz w:val="24"/>
          <w:szCs w:val="24"/>
        </w:rPr>
        <w:t xml:space="preserve">tate-level </w:t>
      </w:r>
      <w:r w:rsidRPr="00B8613E">
        <w:rPr>
          <w:iCs/>
          <w:spacing w:val="-1"/>
          <w:sz w:val="24"/>
          <w:szCs w:val="24"/>
        </w:rPr>
        <w:t>and redistributed</w:t>
      </w:r>
      <w:r w:rsidR="00CF4A4F" w:rsidRPr="00B8613E">
        <w:rPr>
          <w:iCs/>
          <w:spacing w:val="-1"/>
          <w:sz w:val="24"/>
          <w:szCs w:val="24"/>
        </w:rPr>
        <w:t xml:space="preserve"> </w:t>
      </w:r>
      <w:r w:rsidRPr="00B8613E">
        <w:rPr>
          <w:iCs/>
          <w:spacing w:val="-1"/>
          <w:sz w:val="24"/>
          <w:szCs w:val="24"/>
        </w:rPr>
        <w:t xml:space="preserve">back </w:t>
      </w:r>
      <w:r w:rsidR="00CF4A4F" w:rsidRPr="00B8613E">
        <w:rPr>
          <w:iCs/>
          <w:spacing w:val="-1"/>
          <w:sz w:val="24"/>
          <w:szCs w:val="24"/>
        </w:rPr>
        <w:t xml:space="preserve">to the county level based on the proportion </w:t>
      </w:r>
      <w:r w:rsidRPr="00B8613E">
        <w:rPr>
          <w:iCs/>
          <w:spacing w:val="-1"/>
          <w:sz w:val="24"/>
          <w:szCs w:val="24"/>
        </w:rPr>
        <w:t>of county to state</w:t>
      </w:r>
      <w:r w:rsidR="00CF4A4F" w:rsidRPr="00B8613E">
        <w:rPr>
          <w:iCs/>
          <w:spacing w:val="-1"/>
          <w:sz w:val="24"/>
          <w:szCs w:val="24"/>
        </w:rPr>
        <w:t xml:space="preserve"> rural </w:t>
      </w:r>
      <w:r w:rsidR="00497719" w:rsidRPr="00B8613E">
        <w:rPr>
          <w:iCs/>
          <w:spacing w:val="-1"/>
          <w:sz w:val="24"/>
          <w:szCs w:val="24"/>
        </w:rPr>
        <w:t>and “like-rural”</w:t>
      </w:r>
      <w:r w:rsidRPr="00B8613E">
        <w:rPr>
          <w:iCs/>
          <w:spacing w:val="-1"/>
          <w:sz w:val="24"/>
          <w:szCs w:val="24"/>
        </w:rPr>
        <w:t xml:space="preserve"> population</w:t>
      </w:r>
      <w:r w:rsidR="00CF4A4F" w:rsidRPr="00B8613E">
        <w:rPr>
          <w:iCs/>
          <w:spacing w:val="-1"/>
          <w:sz w:val="24"/>
          <w:szCs w:val="24"/>
        </w:rPr>
        <w:t xml:space="preserve">, according to the 2010 Census. </w:t>
      </w:r>
      <w:r w:rsidRPr="00B8613E">
        <w:rPr>
          <w:iCs/>
          <w:spacing w:val="-1"/>
          <w:sz w:val="24"/>
          <w:szCs w:val="24"/>
        </w:rPr>
        <w:t>“</w:t>
      </w:r>
      <w:r w:rsidRPr="00B8613E">
        <w:rPr>
          <w:sz w:val="24"/>
          <w:szCs w:val="24"/>
        </w:rPr>
        <w:t xml:space="preserve">Like-rural” population is defined as the population of urbanized areas and urban clusters with population densities’ equal </w:t>
      </w:r>
      <w:r w:rsidRPr="00B8613E">
        <w:rPr>
          <w:sz w:val="24"/>
          <w:szCs w:val="24"/>
        </w:rPr>
        <w:lastRenderedPageBreak/>
        <w:t>to or less than the maximum rural population density value for all counties in the US.</w:t>
      </w:r>
    </w:p>
    <w:p w:rsidR="007A48E8" w:rsidRPr="00B8613E" w:rsidRDefault="00497719" w:rsidP="007A48E8">
      <w:pPr>
        <w:shd w:val="clear" w:color="auto" w:fill="FFFFFF"/>
        <w:spacing w:before="202" w:after="100" w:afterAutospacing="1" w:line="230" w:lineRule="exact"/>
        <w:rPr>
          <w:b/>
          <w:i/>
          <w:sz w:val="24"/>
          <w:szCs w:val="24"/>
        </w:rPr>
      </w:pPr>
      <w:r w:rsidRPr="00B8613E">
        <w:rPr>
          <w:b/>
          <w:i/>
          <w:sz w:val="24"/>
          <w:szCs w:val="24"/>
        </w:rPr>
        <w:t>h</w:t>
      </w:r>
      <w:r w:rsidR="007A48E8" w:rsidRPr="00B8613E">
        <w:rPr>
          <w:b/>
          <w:i/>
          <w:sz w:val="24"/>
          <w:szCs w:val="24"/>
        </w:rPr>
        <w:t xml:space="preserve">. Changes </w:t>
      </w:r>
      <w:r w:rsidR="00585887" w:rsidRPr="00B8613E">
        <w:rPr>
          <w:b/>
          <w:i/>
          <w:sz w:val="24"/>
          <w:szCs w:val="24"/>
        </w:rPr>
        <w:t>from 2011</w:t>
      </w:r>
      <w:r w:rsidR="007A48E8" w:rsidRPr="00B8613E">
        <w:rPr>
          <w:b/>
          <w:i/>
          <w:sz w:val="24"/>
          <w:szCs w:val="24"/>
        </w:rPr>
        <w:t xml:space="preserve"> Methodology</w:t>
      </w:r>
    </w:p>
    <w:p w:rsidR="007A48E8" w:rsidRPr="00B8613E" w:rsidRDefault="007A48E8" w:rsidP="00384AD9">
      <w:pPr>
        <w:shd w:val="clear" w:color="auto" w:fill="FFFFFF"/>
        <w:spacing w:before="100" w:beforeAutospacing="1" w:after="100" w:afterAutospacing="1" w:line="230" w:lineRule="exact"/>
        <w:rPr>
          <w:spacing w:val="-1"/>
          <w:sz w:val="24"/>
          <w:szCs w:val="24"/>
        </w:rPr>
      </w:pPr>
      <w:r w:rsidRPr="00B8613E">
        <w:rPr>
          <w:spacing w:val="-1"/>
          <w:sz w:val="24"/>
          <w:szCs w:val="24"/>
        </w:rPr>
        <w:t>The methodology described above contains several adjustments from the methodology use</w:t>
      </w:r>
      <w:r w:rsidR="007112E2" w:rsidRPr="00B8613E">
        <w:rPr>
          <w:spacing w:val="-1"/>
          <w:sz w:val="24"/>
          <w:szCs w:val="24"/>
        </w:rPr>
        <w:t xml:space="preserve">d to compose the 2011 version. </w:t>
      </w:r>
      <w:r w:rsidRPr="00B8613E">
        <w:rPr>
          <w:spacing w:val="-1"/>
          <w:sz w:val="24"/>
          <w:szCs w:val="24"/>
        </w:rPr>
        <w:t xml:space="preserve">This is due in part to differences in data sources used to compile the inventory. In 2014, </w:t>
      </w:r>
      <w:r w:rsidR="007112E2" w:rsidRPr="00B8613E">
        <w:rPr>
          <w:spacing w:val="-1"/>
          <w:sz w:val="24"/>
          <w:szCs w:val="24"/>
        </w:rPr>
        <w:t>VMT was obtained from a MOVES run instead an NMIM run</w:t>
      </w:r>
      <w:bookmarkStart w:id="0" w:name="_GoBack"/>
      <w:bookmarkEnd w:id="0"/>
      <w:r w:rsidR="007112E2" w:rsidRPr="00B8613E">
        <w:rPr>
          <w:spacing w:val="-1"/>
          <w:sz w:val="24"/>
          <w:szCs w:val="24"/>
        </w:rPr>
        <w:t xml:space="preserve"> and separated in paved and unpaved values based on census-region level ratios. Emissions were also redistributed based on rural and “like-rural” county population.</w:t>
      </w:r>
    </w:p>
    <w:p w:rsidR="00585887" w:rsidRPr="00B8613E" w:rsidRDefault="00497719" w:rsidP="0058588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roofErr w:type="spellStart"/>
      <w:r w:rsidRPr="00B8613E">
        <w:rPr>
          <w:b/>
          <w:i/>
          <w:sz w:val="24"/>
          <w:szCs w:val="24"/>
        </w:rPr>
        <w:t>i</w:t>
      </w:r>
      <w:proofErr w:type="spellEnd"/>
      <w:r w:rsidR="00585887" w:rsidRPr="00B8613E">
        <w:rPr>
          <w:b/>
          <w:i/>
          <w:sz w:val="24"/>
          <w:szCs w:val="24"/>
        </w:rPr>
        <w:t>. Puerto Rico and US Virgin Islands Emissions Calculations</w:t>
      </w:r>
    </w:p>
    <w:p w:rsidR="00585887" w:rsidRPr="00B8613E" w:rsidRDefault="00585887" w:rsidP="0058588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
    <w:p w:rsidR="00585887" w:rsidRPr="00B8613E" w:rsidRDefault="00585887" w:rsidP="0058588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4"/>
          <w:szCs w:val="24"/>
        </w:rPr>
      </w:pPr>
      <w:r w:rsidRPr="00B8613E">
        <w:rPr>
          <w:sz w:val="24"/>
          <w:szCs w:val="24"/>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B8613E">
        <w:rPr>
          <w:sz w:val="24"/>
          <w:szCs w:val="24"/>
        </w:rPr>
        <w:t>tons</w:t>
      </w:r>
      <w:proofErr w:type="gramEnd"/>
      <w:r w:rsidRPr="00B8613E">
        <w:rPr>
          <w:sz w:val="24"/>
          <w:szCs w:val="24"/>
        </w:rPr>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122E23" w:rsidRPr="00B8613E" w:rsidRDefault="00497719" w:rsidP="00585887">
      <w:pPr>
        <w:shd w:val="clear" w:color="auto" w:fill="FFFFFF"/>
        <w:spacing w:before="202" w:after="100" w:afterAutospacing="1" w:line="230" w:lineRule="exact"/>
        <w:rPr>
          <w:b/>
          <w:i/>
          <w:spacing w:val="-1"/>
          <w:sz w:val="24"/>
          <w:szCs w:val="24"/>
        </w:rPr>
      </w:pPr>
      <w:r w:rsidRPr="00B8613E">
        <w:rPr>
          <w:b/>
          <w:i/>
          <w:spacing w:val="-1"/>
          <w:sz w:val="24"/>
          <w:szCs w:val="24"/>
        </w:rPr>
        <w:t>j</w:t>
      </w:r>
      <w:r w:rsidR="004C68A6" w:rsidRPr="00B8613E">
        <w:rPr>
          <w:b/>
          <w:i/>
          <w:spacing w:val="-1"/>
          <w:sz w:val="24"/>
          <w:szCs w:val="24"/>
        </w:rPr>
        <w:t xml:space="preserve">. </w:t>
      </w:r>
      <w:r w:rsidR="007A48E8" w:rsidRPr="00B8613E">
        <w:rPr>
          <w:b/>
          <w:i/>
          <w:spacing w:val="-1"/>
          <w:sz w:val="24"/>
          <w:szCs w:val="24"/>
        </w:rPr>
        <w:t>References</w:t>
      </w:r>
    </w:p>
    <w:p w:rsidR="000A49C4" w:rsidRPr="00B8613E" w:rsidRDefault="000F5892" w:rsidP="000A49C4">
      <w:pPr>
        <w:numPr>
          <w:ilvl w:val="0"/>
          <w:numId w:val="1"/>
        </w:numPr>
        <w:shd w:val="clear" w:color="auto" w:fill="FFFFFF"/>
        <w:tabs>
          <w:tab w:val="left" w:pos="576"/>
        </w:tabs>
        <w:spacing w:beforeLines="202" w:before="484"/>
        <w:ind w:left="576" w:hanging="576"/>
        <w:contextualSpacing/>
        <w:rPr>
          <w:spacing w:val="-4"/>
          <w:sz w:val="24"/>
          <w:szCs w:val="24"/>
        </w:rPr>
      </w:pPr>
      <w:r w:rsidRPr="00B8613E">
        <w:rPr>
          <w:sz w:val="24"/>
          <w:szCs w:val="24"/>
        </w:rPr>
        <w:t xml:space="preserve">United States Environmental Protection Agency, Office of Air Quality Planning and Standards. </w:t>
      </w:r>
      <w:r w:rsidRPr="00B8613E">
        <w:rPr>
          <w:spacing w:val="-1"/>
          <w:sz w:val="24"/>
          <w:szCs w:val="24"/>
        </w:rPr>
        <w:t xml:space="preserve">“Compilation of Air Pollutant Emission Factors, AP-42, Fifth Edition, Volume I: Stationary Point and Area </w:t>
      </w:r>
      <w:r w:rsidR="000A49C4" w:rsidRPr="00B8613E">
        <w:rPr>
          <w:sz w:val="24"/>
          <w:szCs w:val="24"/>
        </w:rPr>
        <w:t>Sources, Section 13.2.2, Unp</w:t>
      </w:r>
      <w:r w:rsidRPr="00B8613E">
        <w:rPr>
          <w:sz w:val="24"/>
          <w:szCs w:val="24"/>
        </w:rPr>
        <w:t xml:space="preserve">aved Roads.” Research Triangle Park, NC. </w:t>
      </w:r>
      <w:r w:rsidR="00D93EA5" w:rsidRPr="00B8613E">
        <w:rPr>
          <w:sz w:val="24"/>
          <w:szCs w:val="24"/>
        </w:rPr>
        <w:t xml:space="preserve">January </w:t>
      </w:r>
      <w:r w:rsidRPr="00B8613E">
        <w:rPr>
          <w:sz w:val="24"/>
          <w:szCs w:val="24"/>
        </w:rPr>
        <w:t>20</w:t>
      </w:r>
      <w:r w:rsidR="00D93EA5" w:rsidRPr="00B8613E">
        <w:rPr>
          <w:sz w:val="24"/>
          <w:szCs w:val="24"/>
        </w:rPr>
        <w:t>11</w:t>
      </w:r>
      <w:r w:rsidRPr="00B8613E">
        <w:rPr>
          <w:sz w:val="24"/>
          <w:szCs w:val="24"/>
        </w:rPr>
        <w:t>.</w:t>
      </w:r>
    </w:p>
    <w:p w:rsidR="000A49C4" w:rsidRPr="00B8613E" w:rsidRDefault="000A49C4" w:rsidP="00BA077E">
      <w:pPr>
        <w:pStyle w:val="ListParagraph"/>
        <w:numPr>
          <w:ilvl w:val="0"/>
          <w:numId w:val="1"/>
        </w:numPr>
        <w:spacing w:before="202"/>
        <w:ind w:left="547" w:hanging="547"/>
        <w:rPr>
          <w:spacing w:val="-4"/>
          <w:sz w:val="24"/>
          <w:szCs w:val="24"/>
        </w:rPr>
      </w:pPr>
      <w:r w:rsidRPr="00B8613E">
        <w:rPr>
          <w:spacing w:val="-4"/>
          <w:sz w:val="24"/>
          <w:szCs w:val="24"/>
        </w:rPr>
        <w:t>W. Barnard, G. Stensland, and D. Gatz, Illinois State Water Survey, “Evaluation of Potential Improvements in the Estimation of Unpaved Road Fugitive Emission Inventories,” paper 87-58.1, presented at the 80th Annual Meeting of the APCA. New Y</w:t>
      </w:r>
      <w:r w:rsidR="00122E23" w:rsidRPr="00B8613E">
        <w:rPr>
          <w:spacing w:val="-4"/>
          <w:sz w:val="24"/>
          <w:szCs w:val="24"/>
        </w:rPr>
        <w:t>ork, New York. June 21-26, 1987</w:t>
      </w:r>
    </w:p>
    <w:p w:rsidR="00122E23" w:rsidRPr="00B8613E" w:rsidRDefault="00122E23" w:rsidP="00122E23">
      <w:pPr>
        <w:numPr>
          <w:ilvl w:val="0"/>
          <w:numId w:val="1"/>
        </w:numPr>
        <w:shd w:val="clear" w:color="auto" w:fill="FFFFFF"/>
        <w:tabs>
          <w:tab w:val="left" w:pos="576"/>
        </w:tabs>
        <w:spacing w:before="202"/>
        <w:ind w:left="576" w:hanging="576"/>
        <w:contextualSpacing/>
        <w:rPr>
          <w:spacing w:val="-4"/>
          <w:sz w:val="24"/>
          <w:szCs w:val="24"/>
        </w:rPr>
      </w:pPr>
      <w:r w:rsidRPr="00B8613E">
        <w:rPr>
          <w:spacing w:val="-1"/>
          <w:sz w:val="24"/>
          <w:szCs w:val="24"/>
        </w:rPr>
        <w:t>United States Environmental Protection Agency, Clearinghouse for Inventories &amp; Emissions Factors. “</w:t>
      </w:r>
      <w:hyperlink r:id="rId8" w:history="1">
        <w:r w:rsidRPr="006330C7">
          <w:rPr>
            <w:rStyle w:val="Hyperlink"/>
            <w:spacing w:val="-1"/>
            <w:sz w:val="24"/>
            <w:szCs w:val="24"/>
          </w:rPr>
          <w:t>2011 National Emissions Inventory, version 2 Technical Support Document</w:t>
        </w:r>
      </w:hyperlink>
      <w:r w:rsidRPr="00B8613E">
        <w:rPr>
          <w:spacing w:val="-1"/>
          <w:sz w:val="24"/>
          <w:szCs w:val="24"/>
        </w:rPr>
        <w:t>.” Research Triangle Park, NC. August 2015.</w:t>
      </w:r>
      <w:r w:rsidR="006330C7">
        <w:rPr>
          <w:spacing w:val="-1"/>
          <w:sz w:val="24"/>
          <w:szCs w:val="24"/>
        </w:rPr>
        <w:t xml:space="preserve"> </w:t>
      </w:r>
      <w:r w:rsidR="00FC2337" w:rsidRPr="00B8613E">
        <w:rPr>
          <w:spacing w:val="-1"/>
          <w:sz w:val="24"/>
          <w:szCs w:val="24"/>
        </w:rPr>
        <w:t xml:space="preserve">(accessed </w:t>
      </w:r>
      <w:r w:rsidR="006330C7">
        <w:rPr>
          <w:spacing w:val="-1"/>
          <w:sz w:val="24"/>
          <w:szCs w:val="24"/>
        </w:rPr>
        <w:t>May 2019</w:t>
      </w:r>
      <w:r w:rsidR="00FC2337" w:rsidRPr="00B8613E">
        <w:rPr>
          <w:spacing w:val="-1"/>
          <w:sz w:val="24"/>
          <w:szCs w:val="24"/>
        </w:rPr>
        <w:t>)</w:t>
      </w:r>
    </w:p>
    <w:p w:rsidR="00384AD9" w:rsidRPr="00B8613E" w:rsidRDefault="00384AD9" w:rsidP="00384AD9">
      <w:pPr>
        <w:numPr>
          <w:ilvl w:val="0"/>
          <w:numId w:val="1"/>
        </w:numPr>
        <w:shd w:val="clear" w:color="auto" w:fill="FFFFFF"/>
        <w:tabs>
          <w:tab w:val="left" w:pos="576"/>
        </w:tabs>
        <w:spacing w:before="202" w:line="230" w:lineRule="exact"/>
        <w:ind w:left="576" w:hanging="576"/>
        <w:rPr>
          <w:spacing w:val="-4"/>
          <w:sz w:val="24"/>
          <w:szCs w:val="24"/>
        </w:rPr>
      </w:pPr>
      <w:r w:rsidRPr="00B8613E">
        <w:rPr>
          <w:sz w:val="24"/>
          <w:szCs w:val="24"/>
        </w:rPr>
        <w:t>Federal Highway Administration, “</w:t>
      </w:r>
      <w:hyperlink r:id="rId9" w:history="1">
        <w:r w:rsidRPr="006330C7">
          <w:rPr>
            <w:rStyle w:val="Hyperlink"/>
            <w:sz w:val="24"/>
            <w:szCs w:val="24"/>
          </w:rPr>
          <w:t>Highway Statistics 1996, Table HM-67</w:t>
        </w:r>
      </w:hyperlink>
      <w:r w:rsidRPr="00B8613E">
        <w:rPr>
          <w:sz w:val="24"/>
          <w:szCs w:val="24"/>
        </w:rPr>
        <w:t xml:space="preserve">.” 1996.. </w:t>
      </w:r>
    </w:p>
    <w:p w:rsidR="00384AD9" w:rsidRPr="00B8613E" w:rsidRDefault="00384AD9" w:rsidP="00384AD9">
      <w:pPr>
        <w:shd w:val="clear" w:color="auto" w:fill="FFFFFF"/>
        <w:tabs>
          <w:tab w:val="left" w:pos="576"/>
        </w:tabs>
        <w:spacing w:before="202"/>
        <w:ind w:left="576"/>
        <w:contextualSpacing/>
        <w:rPr>
          <w:spacing w:val="-4"/>
          <w:sz w:val="24"/>
          <w:szCs w:val="24"/>
        </w:rPr>
      </w:pPr>
    </w:p>
    <w:sectPr w:rsidR="00384AD9" w:rsidRPr="00B8613E" w:rsidSect="00585887">
      <w:pgSz w:w="12240" w:h="15840"/>
      <w:pgMar w:top="720" w:right="1440" w:bottom="720" w:left="1440"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EA2" w:rsidRDefault="00584EA2" w:rsidP="00881DD2">
      <w:r>
        <w:separator/>
      </w:r>
    </w:p>
  </w:endnote>
  <w:endnote w:type="continuationSeparator" w:id="0">
    <w:p w:rsidR="00584EA2" w:rsidRDefault="00584EA2" w:rsidP="00881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EA2" w:rsidRDefault="00584EA2" w:rsidP="00881DD2">
      <w:r>
        <w:separator/>
      </w:r>
    </w:p>
  </w:footnote>
  <w:footnote w:type="continuationSeparator" w:id="0">
    <w:p w:rsidR="00584EA2" w:rsidRDefault="00584EA2" w:rsidP="00881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34C41"/>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1" w15:restartNumberingAfterBreak="0">
    <w:nsid w:val="690D75F5"/>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2" w15:restartNumberingAfterBreak="0">
    <w:nsid w:val="7CE707E0"/>
    <w:multiLevelType w:val="hybridMultilevel"/>
    <w:tmpl w:val="9B9053A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02"/>
    <w:rsid w:val="0001450D"/>
    <w:rsid w:val="000316A7"/>
    <w:rsid w:val="000903E2"/>
    <w:rsid w:val="000A49C4"/>
    <w:rsid w:val="000B3E20"/>
    <w:rsid w:val="000F5892"/>
    <w:rsid w:val="00116F5C"/>
    <w:rsid w:val="00122E23"/>
    <w:rsid w:val="00135D54"/>
    <w:rsid w:val="00161853"/>
    <w:rsid w:val="00166461"/>
    <w:rsid w:val="001768DE"/>
    <w:rsid w:val="00185AA6"/>
    <w:rsid w:val="001A4DBD"/>
    <w:rsid w:val="001A5D3E"/>
    <w:rsid w:val="001B166D"/>
    <w:rsid w:val="001C07B8"/>
    <w:rsid w:val="001E31E1"/>
    <w:rsid w:val="00250964"/>
    <w:rsid w:val="00264690"/>
    <w:rsid w:val="002677DD"/>
    <w:rsid w:val="00270117"/>
    <w:rsid w:val="00275EBB"/>
    <w:rsid w:val="002A58DE"/>
    <w:rsid w:val="002B1BE8"/>
    <w:rsid w:val="002D00ED"/>
    <w:rsid w:val="002E0C89"/>
    <w:rsid w:val="002F475F"/>
    <w:rsid w:val="0036331C"/>
    <w:rsid w:val="003753D7"/>
    <w:rsid w:val="003823E5"/>
    <w:rsid w:val="00384AD9"/>
    <w:rsid w:val="003A58F6"/>
    <w:rsid w:val="003F431E"/>
    <w:rsid w:val="00405448"/>
    <w:rsid w:val="00412E36"/>
    <w:rsid w:val="004262C9"/>
    <w:rsid w:val="00441311"/>
    <w:rsid w:val="00441379"/>
    <w:rsid w:val="0044781B"/>
    <w:rsid w:val="00456183"/>
    <w:rsid w:val="00456E27"/>
    <w:rsid w:val="004820A6"/>
    <w:rsid w:val="00497719"/>
    <w:rsid w:val="004A7365"/>
    <w:rsid w:val="004B0187"/>
    <w:rsid w:val="004C68A6"/>
    <w:rsid w:val="004D3601"/>
    <w:rsid w:val="004D61F5"/>
    <w:rsid w:val="004D7A3D"/>
    <w:rsid w:val="00517276"/>
    <w:rsid w:val="00584EA2"/>
    <w:rsid w:val="00585887"/>
    <w:rsid w:val="005C0CF9"/>
    <w:rsid w:val="005D58C1"/>
    <w:rsid w:val="005F4213"/>
    <w:rsid w:val="0062215A"/>
    <w:rsid w:val="006330C7"/>
    <w:rsid w:val="00645B20"/>
    <w:rsid w:val="00666E54"/>
    <w:rsid w:val="00670391"/>
    <w:rsid w:val="00672D2A"/>
    <w:rsid w:val="006863BA"/>
    <w:rsid w:val="006A0911"/>
    <w:rsid w:val="006C119A"/>
    <w:rsid w:val="006D07F3"/>
    <w:rsid w:val="006E7664"/>
    <w:rsid w:val="007112E2"/>
    <w:rsid w:val="0072459B"/>
    <w:rsid w:val="007404B1"/>
    <w:rsid w:val="007443EB"/>
    <w:rsid w:val="007609E0"/>
    <w:rsid w:val="00761489"/>
    <w:rsid w:val="007A20FD"/>
    <w:rsid w:val="007A3A76"/>
    <w:rsid w:val="007A48E8"/>
    <w:rsid w:val="007C45CF"/>
    <w:rsid w:val="007F0BEA"/>
    <w:rsid w:val="00801455"/>
    <w:rsid w:val="0081671F"/>
    <w:rsid w:val="00827F53"/>
    <w:rsid w:val="00844401"/>
    <w:rsid w:val="0087110F"/>
    <w:rsid w:val="00881DD2"/>
    <w:rsid w:val="008C0149"/>
    <w:rsid w:val="008C74C6"/>
    <w:rsid w:val="008F4D78"/>
    <w:rsid w:val="00904AE8"/>
    <w:rsid w:val="00925FF3"/>
    <w:rsid w:val="0094134B"/>
    <w:rsid w:val="00947868"/>
    <w:rsid w:val="009832F3"/>
    <w:rsid w:val="00987E20"/>
    <w:rsid w:val="009C4563"/>
    <w:rsid w:val="009F1B8B"/>
    <w:rsid w:val="00A018C1"/>
    <w:rsid w:val="00A35DC7"/>
    <w:rsid w:val="00A44943"/>
    <w:rsid w:val="00A61251"/>
    <w:rsid w:val="00A83FA2"/>
    <w:rsid w:val="00AA0BB8"/>
    <w:rsid w:val="00AA3AC2"/>
    <w:rsid w:val="00AA4542"/>
    <w:rsid w:val="00AB535D"/>
    <w:rsid w:val="00AC16F8"/>
    <w:rsid w:val="00AC2FDB"/>
    <w:rsid w:val="00B53F02"/>
    <w:rsid w:val="00B660F0"/>
    <w:rsid w:val="00B83628"/>
    <w:rsid w:val="00B8613E"/>
    <w:rsid w:val="00BA077E"/>
    <w:rsid w:val="00BA3683"/>
    <w:rsid w:val="00BA51C8"/>
    <w:rsid w:val="00C50658"/>
    <w:rsid w:val="00C86E36"/>
    <w:rsid w:val="00C966DA"/>
    <w:rsid w:val="00CC65FA"/>
    <w:rsid w:val="00CD46BB"/>
    <w:rsid w:val="00CF4A4F"/>
    <w:rsid w:val="00D12A1D"/>
    <w:rsid w:val="00D535EF"/>
    <w:rsid w:val="00D93EA5"/>
    <w:rsid w:val="00D95718"/>
    <w:rsid w:val="00DB0909"/>
    <w:rsid w:val="00E03803"/>
    <w:rsid w:val="00E04524"/>
    <w:rsid w:val="00E213CF"/>
    <w:rsid w:val="00E47A76"/>
    <w:rsid w:val="00E52A42"/>
    <w:rsid w:val="00E662E4"/>
    <w:rsid w:val="00E73DEA"/>
    <w:rsid w:val="00E92207"/>
    <w:rsid w:val="00EA512F"/>
    <w:rsid w:val="00EB6CBB"/>
    <w:rsid w:val="00ED033C"/>
    <w:rsid w:val="00ED7528"/>
    <w:rsid w:val="00EF7D8B"/>
    <w:rsid w:val="00F135A2"/>
    <w:rsid w:val="00F17659"/>
    <w:rsid w:val="00F34FD6"/>
    <w:rsid w:val="00F534AB"/>
    <w:rsid w:val="00F55B53"/>
    <w:rsid w:val="00F84037"/>
    <w:rsid w:val="00FB6424"/>
    <w:rsid w:val="00FC162A"/>
    <w:rsid w:val="00FC2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34F2E"/>
  <w15:docId w15:val="{217FC814-1297-4147-8A1F-2E1CEE43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0BB8"/>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D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81DD2"/>
    <w:rPr>
      <w:color w:val="0000FF"/>
      <w:u w:val="single"/>
    </w:rPr>
  </w:style>
  <w:style w:type="paragraph" w:styleId="Header">
    <w:name w:val="header"/>
    <w:basedOn w:val="Normal"/>
    <w:link w:val="HeaderChar"/>
    <w:uiPriority w:val="99"/>
    <w:unhideWhenUsed/>
    <w:rsid w:val="00881DD2"/>
    <w:pPr>
      <w:tabs>
        <w:tab w:val="center" w:pos="4680"/>
        <w:tab w:val="right" w:pos="9360"/>
      </w:tabs>
    </w:pPr>
  </w:style>
  <w:style w:type="character" w:customStyle="1" w:styleId="HeaderChar">
    <w:name w:val="Header Char"/>
    <w:basedOn w:val="DefaultParagraphFont"/>
    <w:link w:val="Header"/>
    <w:uiPriority w:val="99"/>
    <w:rsid w:val="00881DD2"/>
    <w:rPr>
      <w:rFonts w:ascii="Times New Roman" w:hAnsi="Times New Roman" w:cs="Times New Roman"/>
      <w:sz w:val="20"/>
      <w:szCs w:val="20"/>
    </w:rPr>
  </w:style>
  <w:style w:type="paragraph" w:styleId="Footer">
    <w:name w:val="footer"/>
    <w:basedOn w:val="Normal"/>
    <w:link w:val="FooterChar"/>
    <w:uiPriority w:val="99"/>
    <w:semiHidden/>
    <w:unhideWhenUsed/>
    <w:rsid w:val="00881DD2"/>
    <w:pPr>
      <w:tabs>
        <w:tab w:val="center" w:pos="4680"/>
        <w:tab w:val="right" w:pos="9360"/>
      </w:tabs>
    </w:pPr>
  </w:style>
  <w:style w:type="character" w:customStyle="1" w:styleId="FooterChar">
    <w:name w:val="Footer Char"/>
    <w:basedOn w:val="DefaultParagraphFont"/>
    <w:link w:val="Footer"/>
    <w:uiPriority w:val="99"/>
    <w:semiHidden/>
    <w:rsid w:val="00881DD2"/>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881DD2"/>
    <w:rPr>
      <w:rFonts w:ascii="Tahoma" w:hAnsi="Tahoma" w:cs="Tahoma"/>
      <w:sz w:val="16"/>
      <w:szCs w:val="16"/>
    </w:rPr>
  </w:style>
  <w:style w:type="character" w:customStyle="1" w:styleId="BalloonTextChar">
    <w:name w:val="Balloon Text Char"/>
    <w:basedOn w:val="DefaultParagraphFont"/>
    <w:link w:val="BalloonText"/>
    <w:uiPriority w:val="99"/>
    <w:semiHidden/>
    <w:rsid w:val="00881DD2"/>
    <w:rPr>
      <w:rFonts w:ascii="Tahoma" w:hAnsi="Tahoma" w:cs="Tahoma"/>
      <w:sz w:val="16"/>
      <w:szCs w:val="16"/>
    </w:rPr>
  </w:style>
  <w:style w:type="character" w:styleId="FollowedHyperlink">
    <w:name w:val="FollowedHyperlink"/>
    <w:basedOn w:val="DefaultParagraphFont"/>
    <w:uiPriority w:val="99"/>
    <w:semiHidden/>
    <w:unhideWhenUsed/>
    <w:rsid w:val="00A35DC7"/>
    <w:rPr>
      <w:color w:val="800080" w:themeColor="followedHyperlink"/>
      <w:u w:val="single"/>
    </w:rPr>
  </w:style>
  <w:style w:type="paragraph" w:styleId="ListParagraph">
    <w:name w:val="List Paragraph"/>
    <w:basedOn w:val="Normal"/>
    <w:uiPriority w:val="34"/>
    <w:qFormat/>
    <w:rsid w:val="000A49C4"/>
    <w:pPr>
      <w:ind w:left="720"/>
      <w:contextualSpacing/>
    </w:pPr>
  </w:style>
  <w:style w:type="character" w:styleId="PlaceholderText">
    <w:name w:val="Placeholder Text"/>
    <w:basedOn w:val="DefaultParagraphFont"/>
    <w:uiPriority w:val="99"/>
    <w:semiHidden/>
    <w:rsid w:val="00166461"/>
    <w:rPr>
      <w:color w:val="808080"/>
    </w:rPr>
  </w:style>
  <w:style w:type="character" w:styleId="UnresolvedMention">
    <w:name w:val="Unresolved Mention"/>
    <w:basedOn w:val="DefaultParagraphFont"/>
    <w:uiPriority w:val="99"/>
    <w:semiHidden/>
    <w:unhideWhenUsed/>
    <w:rsid w:val="00633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145233">
      <w:bodyDiv w:val="1"/>
      <w:marLeft w:val="0"/>
      <w:marRight w:val="0"/>
      <w:marTop w:val="0"/>
      <w:marBottom w:val="0"/>
      <w:divBdr>
        <w:top w:val="none" w:sz="0" w:space="0" w:color="auto"/>
        <w:left w:val="none" w:sz="0" w:space="0" w:color="auto"/>
        <w:bottom w:val="none" w:sz="0" w:space="0" w:color="auto"/>
        <w:right w:val="none" w:sz="0" w:space="0" w:color="auto"/>
      </w:divBdr>
    </w:div>
    <w:div w:id="814293637">
      <w:bodyDiv w:val="1"/>
      <w:marLeft w:val="0"/>
      <w:marRight w:val="0"/>
      <w:marTop w:val="0"/>
      <w:marBottom w:val="0"/>
      <w:divBdr>
        <w:top w:val="none" w:sz="0" w:space="0" w:color="auto"/>
        <w:left w:val="none" w:sz="0" w:space="0" w:color="auto"/>
        <w:bottom w:val="none" w:sz="0" w:space="0" w:color="auto"/>
        <w:right w:val="none" w:sz="0" w:space="0" w:color="auto"/>
      </w:divBdr>
    </w:div>
    <w:div w:id="819226091">
      <w:bodyDiv w:val="1"/>
      <w:marLeft w:val="0"/>
      <w:marRight w:val="0"/>
      <w:marTop w:val="0"/>
      <w:marBottom w:val="0"/>
      <w:divBdr>
        <w:top w:val="none" w:sz="0" w:space="0" w:color="auto"/>
        <w:left w:val="none" w:sz="0" w:space="0" w:color="auto"/>
        <w:bottom w:val="none" w:sz="0" w:space="0" w:color="auto"/>
        <w:right w:val="none" w:sz="0" w:space="0" w:color="auto"/>
      </w:divBdr>
    </w:div>
    <w:div w:id="916205366">
      <w:bodyDiv w:val="1"/>
      <w:marLeft w:val="0"/>
      <w:marRight w:val="0"/>
      <w:marTop w:val="0"/>
      <w:marBottom w:val="0"/>
      <w:divBdr>
        <w:top w:val="none" w:sz="0" w:space="0" w:color="auto"/>
        <w:left w:val="none" w:sz="0" w:space="0" w:color="auto"/>
        <w:bottom w:val="none" w:sz="0" w:space="0" w:color="auto"/>
        <w:right w:val="none" w:sz="0" w:space="0" w:color="auto"/>
      </w:divBdr>
    </w:div>
    <w:div w:id="1201213246">
      <w:bodyDiv w:val="1"/>
      <w:marLeft w:val="0"/>
      <w:marRight w:val="0"/>
      <w:marTop w:val="0"/>
      <w:marBottom w:val="0"/>
      <w:divBdr>
        <w:top w:val="none" w:sz="0" w:space="0" w:color="auto"/>
        <w:left w:val="none" w:sz="0" w:space="0" w:color="auto"/>
        <w:bottom w:val="none" w:sz="0" w:space="0" w:color="auto"/>
        <w:right w:val="none" w:sz="0" w:space="0" w:color="auto"/>
      </w:divBdr>
    </w:div>
    <w:div w:id="1394425755">
      <w:bodyDiv w:val="1"/>
      <w:marLeft w:val="0"/>
      <w:marRight w:val="0"/>
      <w:marTop w:val="0"/>
      <w:marBottom w:val="0"/>
      <w:divBdr>
        <w:top w:val="none" w:sz="0" w:space="0" w:color="auto"/>
        <w:left w:val="none" w:sz="0" w:space="0" w:color="auto"/>
        <w:bottom w:val="none" w:sz="0" w:space="0" w:color="auto"/>
        <w:right w:val="none" w:sz="0" w:space="0" w:color="auto"/>
      </w:divBdr>
    </w:div>
    <w:div w:id="20715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air-emissions-inventor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hwa.dot.gov/ohim/1996/text/roa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02B39-8ADC-4701-B0B3-2B70E50C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1928</Words>
  <Characters>11039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DOCUMENTATION FOR THE FINAL 2002 NONPOINT SECTOR (FEB 06 version) NATIONAL EMISSION INVENTORY FOR CRITERIA AND HAZARDOUS AIR POLLUTANTS</vt:lpstr>
    </vt:vector>
  </TitlesOfParts>
  <Company>TranSystems</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THE FINAL 2002 NONPOINT SECTOR (FEB 06 version) NATIONAL EMISSION INVENTORY FOR CRITERIA AND HAZARDOUS AIR POLLUTANTS</dc:title>
  <dc:subject>2002 national emission inventory - nonpoint sources</dc:subject>
  <dc:creator>Jonathan_Dorn@abtassoc.com</dc:creator>
  <cp:keywords>nonpoint, area, emissions, inventory</cp:keywords>
  <cp:lastModifiedBy>StClair, Aimee</cp:lastModifiedBy>
  <cp:revision>3</cp:revision>
  <dcterms:created xsi:type="dcterms:W3CDTF">2019-05-03T19:36:00Z</dcterms:created>
  <dcterms:modified xsi:type="dcterms:W3CDTF">2019-05-03T19:52:00Z</dcterms:modified>
</cp:coreProperties>
</file>