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61A" w:rsidR="00D360C1" w:rsidP="00387957" w:rsidRDefault="00274DC7" w14:paraId="7CBD0B01" w14:textId="785EB0A6">
      <w:pPr>
        <w:pStyle w:val="Title"/>
      </w:pPr>
      <w:r>
        <w:t xml:space="preserve">Construction Dust – </w:t>
      </w:r>
      <w:r w:rsidR="00083DA8">
        <w:t>non-residential co</w:t>
      </w:r>
      <w:r w:rsidR="00D63432">
        <w:t>nstruction</w:t>
      </w:r>
    </w:p>
    <w:p w:rsidRPr="00886F17" w:rsidR="00D360C1" w:rsidP="00387957" w:rsidRDefault="00D360C1" w14:paraId="7B5C1AD9" w14:textId="77777777">
      <w:pPr>
        <w:pStyle w:val="Heading1"/>
      </w:pPr>
      <w:r w:rsidRPr="00886F17">
        <w:t>Source Category Description</w:t>
      </w:r>
    </w:p>
    <w:p w:rsidR="00D360C1" w:rsidP="00D360C1" w:rsidRDefault="007028D8" w14:paraId="177EEFD8" w14:textId="37A44F24">
      <w:pPr>
        <w:widowControl/>
        <w:tabs>
          <w:tab w:val="left" w:pos="0"/>
        </w:tabs>
        <w:rPr>
          <w:szCs w:val="20"/>
        </w:rPr>
      </w:pPr>
      <w:r>
        <w:rPr>
          <w:szCs w:val="20"/>
        </w:rPr>
        <w:t xml:space="preserve">Emissions from this source category include dust emissions from </w:t>
      </w:r>
      <w:r w:rsidR="00083DA8">
        <w:rPr>
          <w:szCs w:val="20"/>
        </w:rPr>
        <w:t>non-residential</w:t>
      </w:r>
      <w:r w:rsidR="00D63432">
        <w:rPr>
          <w:szCs w:val="20"/>
        </w:rPr>
        <w:t xml:space="preserve"> construction</w:t>
      </w:r>
      <w:r>
        <w:rPr>
          <w:szCs w:val="20"/>
        </w:rPr>
        <w:t>.</w:t>
      </w:r>
      <w:r w:rsidR="00D360C1">
        <w:rPr>
          <w:szCs w:val="20"/>
        </w:rPr>
        <w:t xml:space="preserve"> </w:t>
      </w:r>
      <w:r w:rsidR="002958BB">
        <w:rPr>
          <w:szCs w:val="20"/>
        </w:rPr>
        <w:t xml:space="preserve">Estimates of emissions of </w:t>
      </w:r>
      <w:r>
        <w:rPr>
          <w:szCs w:val="20"/>
        </w:rPr>
        <w:t>particulate matter less than 10 µm in diameter (PM10) and less than 2.5</w:t>
      </w:r>
      <w:r w:rsidR="00083DA8">
        <w:rPr>
          <w:szCs w:val="20"/>
        </w:rPr>
        <w:t xml:space="preserve"> µm in diameter (PM25) from non-residential</w:t>
      </w:r>
      <w:r>
        <w:rPr>
          <w:szCs w:val="20"/>
        </w:rPr>
        <w:t xml:space="preserve"> construction are based on the acreage disturbed for construction activities. </w:t>
      </w:r>
      <w:r w:rsidR="001A09E7">
        <w:rPr>
          <w:szCs w:val="20"/>
        </w:rPr>
        <w:t>I</w:t>
      </w:r>
      <w:r w:rsidR="00083DA8">
        <w:rPr>
          <w:szCs w:val="20"/>
        </w:rPr>
        <w:t>n 2014, non-residential</w:t>
      </w:r>
      <w:r>
        <w:rPr>
          <w:szCs w:val="20"/>
        </w:rPr>
        <w:t xml:space="preserve"> constructi</w:t>
      </w:r>
      <w:r w:rsidR="00805C15">
        <w:rPr>
          <w:szCs w:val="20"/>
        </w:rPr>
        <w:t xml:space="preserve">on resulted in approximately </w:t>
      </w:r>
      <w:r w:rsidR="00654A57">
        <w:rPr>
          <w:szCs w:val="20"/>
        </w:rPr>
        <w:t>9</w:t>
      </w:r>
      <w:r w:rsidR="00F06469">
        <w:rPr>
          <w:szCs w:val="20"/>
        </w:rPr>
        <w:t>86</w:t>
      </w:r>
      <w:r w:rsidR="00654A57">
        <w:rPr>
          <w:szCs w:val="20"/>
        </w:rPr>
        <w:t>,</w:t>
      </w:r>
      <w:r w:rsidR="00F06469">
        <w:rPr>
          <w:szCs w:val="20"/>
        </w:rPr>
        <w:t>889</w:t>
      </w:r>
      <w:r w:rsidR="00083DA8">
        <w:rPr>
          <w:szCs w:val="20"/>
        </w:rPr>
        <w:t xml:space="preserve"> tons</w:t>
      </w:r>
      <w:r w:rsidR="001A09E7">
        <w:rPr>
          <w:szCs w:val="20"/>
        </w:rPr>
        <w:t xml:space="preserve"> of </w:t>
      </w:r>
      <w:r>
        <w:rPr>
          <w:szCs w:val="20"/>
        </w:rPr>
        <w:t>PM10</w:t>
      </w:r>
      <w:r w:rsidR="00805C15">
        <w:rPr>
          <w:szCs w:val="20"/>
        </w:rPr>
        <w:t xml:space="preserve">-PRI and </w:t>
      </w:r>
      <w:r w:rsidR="00654A57">
        <w:rPr>
          <w:szCs w:val="20"/>
        </w:rPr>
        <w:t>9</w:t>
      </w:r>
      <w:r w:rsidR="00F06469">
        <w:rPr>
          <w:szCs w:val="20"/>
        </w:rPr>
        <w:t>8</w:t>
      </w:r>
      <w:r w:rsidR="00654A57">
        <w:rPr>
          <w:szCs w:val="20"/>
        </w:rPr>
        <w:t>,</w:t>
      </w:r>
      <w:r w:rsidR="00F06469">
        <w:rPr>
          <w:szCs w:val="20"/>
        </w:rPr>
        <w:t>689</w:t>
      </w:r>
      <w:r w:rsidR="00654A57">
        <w:rPr>
          <w:szCs w:val="20"/>
        </w:rPr>
        <w:t xml:space="preserve"> </w:t>
      </w:r>
      <w:r w:rsidR="001A09E7">
        <w:rPr>
          <w:szCs w:val="20"/>
        </w:rPr>
        <w:t xml:space="preserve">tons of </w:t>
      </w:r>
      <w:r>
        <w:rPr>
          <w:szCs w:val="20"/>
        </w:rPr>
        <w:t>PM25</w:t>
      </w:r>
      <w:r w:rsidR="00805C15">
        <w:rPr>
          <w:szCs w:val="20"/>
        </w:rPr>
        <w:t>-PRI</w:t>
      </w:r>
      <w:r w:rsidR="001A09E7">
        <w:rPr>
          <w:szCs w:val="20"/>
        </w:rPr>
        <w:t xml:space="preserve"> emissions.</w:t>
      </w:r>
    </w:p>
    <w:p w:rsidRPr="003E3AC3" w:rsidR="00D360C1" w:rsidP="00D360C1" w:rsidRDefault="00D360C1" w14:paraId="7BC3F26E" w14:textId="306B1138">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8566"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1872"/>
        <w:gridCol w:w="2304"/>
        <w:gridCol w:w="2227"/>
        <w:gridCol w:w="1296"/>
      </w:tblGrid>
      <w:tr w:rsidRPr="003E3AC3" w:rsidR="00D360C1" w:rsidTr="00274DC7" w14:paraId="4D8BCE6B" w14:textId="77777777">
        <w:trPr>
          <w:trHeight w:val="265"/>
          <w:jc w:val="center"/>
        </w:trPr>
        <w:tc>
          <w:tcPr>
            <w:tcW w:w="1222" w:type="dxa"/>
            <w:shd w:val="clear" w:color="auto" w:fill="D9D9D9"/>
            <w:noWrap/>
          </w:tcPr>
          <w:p w:rsidRPr="003E3AC3" w:rsidR="00D360C1" w:rsidP="00052E59" w:rsidRDefault="00D360C1" w14:paraId="2738524F" w14:textId="77777777">
            <w:pPr>
              <w:widowControl/>
              <w:tabs>
                <w:tab w:val="left" w:pos="0"/>
              </w:tabs>
              <w:spacing w:after="0"/>
              <w:rPr>
                <w:b/>
                <w:bCs/>
                <w:szCs w:val="20"/>
              </w:rPr>
            </w:pPr>
            <w:r w:rsidRPr="003E3AC3">
              <w:rPr>
                <w:b/>
                <w:bCs/>
                <w:szCs w:val="20"/>
              </w:rPr>
              <w:t>SCC</w:t>
            </w:r>
          </w:p>
        </w:tc>
        <w:tc>
          <w:tcPr>
            <w:tcW w:w="1872" w:type="dxa"/>
            <w:shd w:val="clear" w:color="auto" w:fill="D9D9D9"/>
            <w:noWrap/>
          </w:tcPr>
          <w:p w:rsidRPr="003E3AC3" w:rsidR="00D360C1" w:rsidP="00052E59" w:rsidRDefault="00D360C1" w14:paraId="36BA6D5A" w14:textId="77777777">
            <w:pPr>
              <w:widowControl/>
              <w:tabs>
                <w:tab w:val="left" w:pos="0"/>
              </w:tabs>
              <w:spacing w:after="0"/>
              <w:rPr>
                <w:b/>
                <w:bCs/>
                <w:szCs w:val="20"/>
              </w:rPr>
            </w:pPr>
            <w:r w:rsidRPr="003E3AC3">
              <w:rPr>
                <w:b/>
                <w:bCs/>
                <w:szCs w:val="20"/>
              </w:rPr>
              <w:t>SCC Level 1</w:t>
            </w:r>
          </w:p>
        </w:tc>
        <w:tc>
          <w:tcPr>
            <w:tcW w:w="2304" w:type="dxa"/>
            <w:shd w:val="clear" w:color="auto" w:fill="D9D9D9"/>
            <w:noWrap/>
          </w:tcPr>
          <w:p w:rsidRPr="003E3AC3" w:rsidR="00D360C1" w:rsidP="00052E59" w:rsidRDefault="00D360C1" w14:paraId="2901E891" w14:textId="77777777">
            <w:pPr>
              <w:widowControl/>
              <w:tabs>
                <w:tab w:val="left" w:pos="0"/>
              </w:tabs>
              <w:spacing w:after="0"/>
              <w:rPr>
                <w:b/>
                <w:bCs/>
                <w:szCs w:val="20"/>
              </w:rPr>
            </w:pPr>
            <w:r w:rsidRPr="003E3AC3">
              <w:rPr>
                <w:b/>
                <w:bCs/>
                <w:szCs w:val="20"/>
              </w:rPr>
              <w:t>SCC Level 2</w:t>
            </w:r>
          </w:p>
        </w:tc>
        <w:tc>
          <w:tcPr>
            <w:tcW w:w="1872" w:type="dxa"/>
            <w:shd w:val="clear" w:color="auto" w:fill="D9D9D9"/>
            <w:noWrap/>
          </w:tcPr>
          <w:p w:rsidRPr="003E3AC3" w:rsidR="00D360C1" w:rsidP="00052E59" w:rsidRDefault="00D360C1" w14:paraId="4943D878" w14:textId="77777777">
            <w:pPr>
              <w:widowControl/>
              <w:tabs>
                <w:tab w:val="left" w:pos="0"/>
              </w:tabs>
              <w:spacing w:after="0"/>
              <w:rPr>
                <w:b/>
                <w:bCs/>
                <w:szCs w:val="20"/>
              </w:rPr>
            </w:pPr>
            <w:r w:rsidRPr="003E3AC3">
              <w:rPr>
                <w:b/>
                <w:bCs/>
                <w:szCs w:val="20"/>
              </w:rPr>
              <w:t>SCC Level 3</w:t>
            </w:r>
          </w:p>
        </w:tc>
        <w:tc>
          <w:tcPr>
            <w:tcW w:w="1296" w:type="dxa"/>
            <w:shd w:val="clear" w:color="auto" w:fill="D9D9D9"/>
            <w:noWrap/>
          </w:tcPr>
          <w:p w:rsidRPr="003E3AC3" w:rsidR="00D360C1" w:rsidP="00052E59" w:rsidRDefault="00D360C1" w14:paraId="4AD44C9C" w14:textId="77777777">
            <w:pPr>
              <w:widowControl/>
              <w:tabs>
                <w:tab w:val="left" w:pos="0"/>
              </w:tabs>
              <w:spacing w:after="0"/>
              <w:rPr>
                <w:b/>
                <w:bCs/>
                <w:szCs w:val="20"/>
              </w:rPr>
            </w:pPr>
            <w:r w:rsidRPr="003E3AC3">
              <w:rPr>
                <w:b/>
                <w:bCs/>
                <w:szCs w:val="20"/>
              </w:rPr>
              <w:t>SCC Level 4</w:t>
            </w:r>
          </w:p>
        </w:tc>
      </w:tr>
      <w:tr w:rsidRPr="003E3AC3" w:rsidR="00083DA8" w:rsidTr="00274DC7" w14:paraId="46135A5B" w14:textId="77777777">
        <w:trPr>
          <w:trHeight w:val="404"/>
          <w:jc w:val="center"/>
        </w:trPr>
        <w:tc>
          <w:tcPr>
            <w:tcW w:w="1222" w:type="dxa"/>
            <w:vAlign w:val="center"/>
          </w:tcPr>
          <w:p w:rsidRPr="003733A0" w:rsidR="00083DA8" w:rsidP="00052E59" w:rsidRDefault="00083DA8" w14:paraId="077ABF3C" w14:textId="78A1832C">
            <w:pPr>
              <w:spacing w:after="0"/>
              <w:rPr>
                <w:szCs w:val="20"/>
              </w:rPr>
            </w:pPr>
            <w:r w:rsidRPr="005A54F0">
              <w:rPr>
                <w:szCs w:val="20"/>
              </w:rPr>
              <w:t>2311020000</w:t>
            </w:r>
          </w:p>
        </w:tc>
        <w:tc>
          <w:tcPr>
            <w:tcW w:w="1872" w:type="dxa"/>
            <w:vAlign w:val="center"/>
          </w:tcPr>
          <w:p w:rsidRPr="003733A0" w:rsidR="00083DA8" w:rsidP="00052E59" w:rsidRDefault="00083DA8" w14:paraId="0B07048B" w14:textId="0C8DE780">
            <w:pPr>
              <w:spacing w:after="0"/>
              <w:rPr>
                <w:szCs w:val="20"/>
              </w:rPr>
            </w:pPr>
            <w:r w:rsidRPr="005A54F0">
              <w:rPr>
                <w:szCs w:val="20"/>
              </w:rPr>
              <w:t>Industrial Processes</w:t>
            </w:r>
          </w:p>
        </w:tc>
        <w:tc>
          <w:tcPr>
            <w:tcW w:w="2304" w:type="dxa"/>
            <w:vAlign w:val="center"/>
          </w:tcPr>
          <w:p w:rsidRPr="003733A0" w:rsidR="00083DA8" w:rsidP="00052E59" w:rsidRDefault="00083DA8" w14:paraId="2745EE43" w14:textId="28450E74">
            <w:pPr>
              <w:spacing w:after="0"/>
              <w:rPr>
                <w:szCs w:val="20"/>
              </w:rPr>
            </w:pPr>
            <w:r w:rsidRPr="005A54F0">
              <w:rPr>
                <w:szCs w:val="20"/>
              </w:rPr>
              <w:t>Construction: SIC 15 - 17</w:t>
            </w:r>
          </w:p>
        </w:tc>
        <w:tc>
          <w:tcPr>
            <w:tcW w:w="1872" w:type="dxa"/>
            <w:vAlign w:val="center"/>
          </w:tcPr>
          <w:p w:rsidRPr="003733A0" w:rsidR="00083DA8" w:rsidP="00052E59" w:rsidRDefault="008B177F" w14:paraId="40D248CC" w14:textId="38C62DE5">
            <w:pPr>
              <w:spacing w:after="0"/>
              <w:rPr>
                <w:color w:val="000000"/>
                <w:szCs w:val="20"/>
              </w:rPr>
            </w:pPr>
            <w:r w:rsidRPr="008B177F">
              <w:rPr>
                <w:szCs w:val="20"/>
              </w:rPr>
              <w:t>Industrial</w:t>
            </w:r>
            <w:r>
              <w:rPr>
                <w:szCs w:val="20"/>
              </w:rPr>
              <w:t xml:space="preserve">/ </w:t>
            </w:r>
            <w:r w:rsidRPr="008B177F">
              <w:rPr>
                <w:szCs w:val="20"/>
              </w:rPr>
              <w:t>Commercial/Institutional</w:t>
            </w:r>
          </w:p>
        </w:tc>
        <w:tc>
          <w:tcPr>
            <w:tcW w:w="1296" w:type="dxa"/>
            <w:vAlign w:val="center"/>
          </w:tcPr>
          <w:p w:rsidRPr="003733A0" w:rsidR="00083DA8" w:rsidP="00052E59" w:rsidRDefault="00083DA8" w14:paraId="5E3F8663" w14:textId="378C109A">
            <w:pPr>
              <w:spacing w:after="0"/>
              <w:rPr>
                <w:color w:val="000000"/>
                <w:szCs w:val="20"/>
              </w:rPr>
            </w:pPr>
            <w:r w:rsidRPr="005A54F0">
              <w:rPr>
                <w:szCs w:val="20"/>
              </w:rPr>
              <w:t>Total</w:t>
            </w:r>
          </w:p>
        </w:tc>
      </w:tr>
    </w:tbl>
    <w:p w:rsidR="004E1CBE" w:rsidP="00D360C1" w:rsidRDefault="004E1CBE" w14:paraId="6F7E3F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D360C1" w:rsidP="00052E59" w:rsidRDefault="00D360C1" w14:paraId="36EA975F" w14:textId="77777777">
      <w:pPr>
        <w:pStyle w:val="Heading1"/>
      </w:pPr>
      <w:r w:rsidRPr="00052E59">
        <w:t>Overview</w:t>
      </w:r>
      <w:r>
        <w:t xml:space="preserve"> of Calculations</w:t>
      </w:r>
    </w:p>
    <w:p w:rsidRPr="002958BB" w:rsidR="002958BB" w:rsidP="00D360C1" w:rsidRDefault="00D360C1" w14:paraId="60BDF2C6" w14:textId="7BC499E7">
      <w:pPr>
        <w:widowControl/>
        <w:tabs>
          <w:tab w:val="left" w:pos="0"/>
        </w:tabs>
        <w:rPr>
          <w:szCs w:val="20"/>
        </w:rPr>
      </w:pPr>
      <w:r>
        <w:rPr>
          <w:szCs w:val="20"/>
        </w:rPr>
        <w:t xml:space="preserve">The calculations for </w:t>
      </w:r>
      <w:r w:rsidR="00BE0480">
        <w:rPr>
          <w:szCs w:val="20"/>
        </w:rPr>
        <w:t xml:space="preserve">estimating </w:t>
      </w:r>
      <w:r>
        <w:rPr>
          <w:szCs w:val="20"/>
        </w:rPr>
        <w:t xml:space="preserve">the emissions from </w:t>
      </w:r>
      <w:r w:rsidR="00083DA8">
        <w:rPr>
          <w:szCs w:val="20"/>
        </w:rPr>
        <w:t>non-residential</w:t>
      </w:r>
      <w:r w:rsidR="007028D8">
        <w:rPr>
          <w:szCs w:val="20"/>
        </w:rPr>
        <w:t xml:space="preserve"> construction</w:t>
      </w:r>
      <w:r>
        <w:rPr>
          <w:szCs w:val="20"/>
        </w:rPr>
        <w:t xml:space="preserve"> involve </w:t>
      </w:r>
      <w:r w:rsidR="00BE0480">
        <w:rPr>
          <w:szCs w:val="20"/>
        </w:rPr>
        <w:t xml:space="preserve">first </w:t>
      </w:r>
      <w:r w:rsidR="00052E59">
        <w:rPr>
          <w:szCs w:val="20"/>
        </w:rPr>
        <w:t xml:space="preserve">estimating the </w:t>
      </w:r>
      <w:r w:rsidR="009F43D7">
        <w:rPr>
          <w:szCs w:val="20"/>
        </w:rPr>
        <w:t xml:space="preserve">acres disturbed from </w:t>
      </w:r>
      <w:r w:rsidR="00083DA8">
        <w:rPr>
          <w:szCs w:val="20"/>
        </w:rPr>
        <w:t xml:space="preserve">non-residential construction </w:t>
      </w:r>
      <w:r w:rsidR="009F43D7">
        <w:rPr>
          <w:szCs w:val="20"/>
        </w:rPr>
        <w:t>in each c</w:t>
      </w:r>
      <w:r w:rsidR="00060A69">
        <w:rPr>
          <w:szCs w:val="20"/>
        </w:rPr>
        <w:t xml:space="preserve">ounty. </w:t>
      </w:r>
      <w:r w:rsidR="009E6CF6">
        <w:rPr>
          <w:szCs w:val="20"/>
        </w:rPr>
        <w:t>The value of national</w:t>
      </w:r>
      <w:r w:rsidR="00060A69">
        <w:rPr>
          <w:szCs w:val="20"/>
        </w:rPr>
        <w:t xml:space="preserve">-level </w:t>
      </w:r>
      <w:r w:rsidR="009E6CF6">
        <w:rPr>
          <w:szCs w:val="20"/>
        </w:rPr>
        <w:t>non-residential</w:t>
      </w:r>
      <w:r w:rsidR="009F43D7">
        <w:rPr>
          <w:szCs w:val="20"/>
        </w:rPr>
        <w:t xml:space="preserve"> construction spending</w:t>
      </w:r>
      <w:r w:rsidR="00E210F7">
        <w:rPr>
          <w:szCs w:val="20"/>
        </w:rPr>
        <w:t xml:space="preserve"> </w:t>
      </w:r>
      <w:r w:rsidR="00060A69">
        <w:rPr>
          <w:szCs w:val="20"/>
        </w:rPr>
        <w:t xml:space="preserve">is available from </w:t>
      </w:r>
      <w:r w:rsidR="009F43D7">
        <w:rPr>
          <w:szCs w:val="20"/>
        </w:rPr>
        <w:t xml:space="preserve">the </w:t>
      </w:r>
      <w:r w:rsidR="009E6CF6">
        <w:rPr>
          <w:szCs w:val="20"/>
        </w:rPr>
        <w:t xml:space="preserve">U.S. Census Bureau </w:t>
      </w:r>
      <w:r w:rsidR="00E210F7">
        <w:rPr>
          <w:szCs w:val="20"/>
        </w:rPr>
        <w:t xml:space="preserve">and is converted to acreage disturbed using </w:t>
      </w:r>
      <w:r w:rsidR="009E6CF6">
        <w:rPr>
          <w:szCs w:val="20"/>
        </w:rPr>
        <w:t xml:space="preserve">a </w:t>
      </w:r>
      <w:r w:rsidR="00E210F7">
        <w:rPr>
          <w:szCs w:val="20"/>
        </w:rPr>
        <w:t>conversion factor</w:t>
      </w:r>
      <w:r w:rsidR="009E6CF6">
        <w:rPr>
          <w:szCs w:val="20"/>
        </w:rPr>
        <w:t xml:space="preserve"> from a report by the Midwest Research Institute (MRI). The national</w:t>
      </w:r>
      <w:r w:rsidR="00060A69">
        <w:rPr>
          <w:szCs w:val="20"/>
        </w:rPr>
        <w:t xml:space="preserve">-level </w:t>
      </w:r>
      <w:r w:rsidR="00280860">
        <w:rPr>
          <w:szCs w:val="20"/>
        </w:rPr>
        <w:t>acres</w:t>
      </w:r>
      <w:r w:rsidR="00E210F7">
        <w:rPr>
          <w:szCs w:val="20"/>
        </w:rPr>
        <w:t xml:space="preserve"> disturbed</w:t>
      </w:r>
      <w:r w:rsidR="00060A69">
        <w:rPr>
          <w:szCs w:val="20"/>
        </w:rPr>
        <w:t xml:space="preserve"> are </w:t>
      </w:r>
      <w:r w:rsidR="00340DAC">
        <w:rPr>
          <w:szCs w:val="20"/>
        </w:rPr>
        <w:t xml:space="preserve">distributed to counties based on the proportion of </w:t>
      </w:r>
      <w:r w:rsidR="009E6CF6">
        <w:rPr>
          <w:szCs w:val="20"/>
        </w:rPr>
        <w:t>non-residential construction employment in each county</w:t>
      </w:r>
      <w:r w:rsidR="00340DAC">
        <w:rPr>
          <w:szCs w:val="20"/>
        </w:rPr>
        <w:t xml:space="preserve">. </w:t>
      </w:r>
      <w:r w:rsidR="00E210F7">
        <w:rPr>
          <w:szCs w:val="20"/>
        </w:rPr>
        <w:t xml:space="preserve">Emissions factors for PM10 and PM25 are calculated based on precipitation-evaporation values and dry silt content in each county. </w:t>
      </w:r>
      <w:r w:rsidR="00052E59">
        <w:rPr>
          <w:szCs w:val="20"/>
        </w:rPr>
        <w:t>Th</w:t>
      </w:r>
      <w:r w:rsidR="00AA771E">
        <w:rPr>
          <w:szCs w:val="20"/>
        </w:rPr>
        <w:t xml:space="preserve">e </w:t>
      </w:r>
      <w:r w:rsidR="006B3338">
        <w:rPr>
          <w:szCs w:val="20"/>
        </w:rPr>
        <w:t xml:space="preserve">total </w:t>
      </w:r>
      <w:r w:rsidR="00AA771E">
        <w:rPr>
          <w:szCs w:val="20"/>
        </w:rPr>
        <w:t>amount</w:t>
      </w:r>
      <w:r w:rsidR="006B3338">
        <w:rPr>
          <w:szCs w:val="20"/>
        </w:rPr>
        <w:t xml:space="preserve"> of </w:t>
      </w:r>
      <w:r w:rsidR="00E210F7">
        <w:rPr>
          <w:szCs w:val="20"/>
        </w:rPr>
        <w:t xml:space="preserve">acres disturbed </w:t>
      </w:r>
      <w:r w:rsidR="00052E59">
        <w:rPr>
          <w:szCs w:val="20"/>
        </w:rPr>
        <w:t xml:space="preserve">is multiplied </w:t>
      </w:r>
      <w:r w:rsidR="002958BB">
        <w:rPr>
          <w:szCs w:val="20"/>
        </w:rPr>
        <w:t xml:space="preserve">by </w:t>
      </w:r>
      <w:r w:rsidR="00E210F7">
        <w:rPr>
          <w:szCs w:val="20"/>
        </w:rPr>
        <w:t xml:space="preserve">these </w:t>
      </w:r>
      <w:r w:rsidR="002958BB">
        <w:rPr>
          <w:szCs w:val="20"/>
        </w:rPr>
        <w:t>emission</w:t>
      </w:r>
      <w:r w:rsidR="009944E8">
        <w:rPr>
          <w:szCs w:val="20"/>
        </w:rPr>
        <w:t>s</w:t>
      </w:r>
      <w:r w:rsidR="002958BB">
        <w:rPr>
          <w:szCs w:val="20"/>
        </w:rPr>
        <w:t xml:space="preserve"> factors </w:t>
      </w:r>
      <w:r w:rsidR="00052E59">
        <w:rPr>
          <w:szCs w:val="20"/>
        </w:rPr>
        <w:t>to estimate emissions</w:t>
      </w:r>
      <w:r w:rsidR="003F3D3C">
        <w:rPr>
          <w:szCs w:val="20"/>
        </w:rPr>
        <w:t xml:space="preserve"> </w:t>
      </w:r>
      <w:r w:rsidR="00B259AF">
        <w:rPr>
          <w:szCs w:val="20"/>
        </w:rPr>
        <w:t xml:space="preserve">of </w:t>
      </w:r>
      <w:r w:rsidR="00E210F7">
        <w:rPr>
          <w:szCs w:val="20"/>
        </w:rPr>
        <w:t>PM</w:t>
      </w:r>
      <w:r w:rsidR="00B259AF">
        <w:rPr>
          <w:szCs w:val="20"/>
        </w:rPr>
        <w:t xml:space="preserve"> </w:t>
      </w:r>
      <w:r w:rsidR="003F3D3C">
        <w:rPr>
          <w:szCs w:val="20"/>
        </w:rPr>
        <w:t xml:space="preserve">from </w:t>
      </w:r>
      <w:r w:rsidR="009E6CF6">
        <w:rPr>
          <w:szCs w:val="20"/>
        </w:rPr>
        <w:t>non-residential</w:t>
      </w:r>
      <w:r w:rsidR="00E210F7">
        <w:rPr>
          <w:szCs w:val="20"/>
        </w:rPr>
        <w:t xml:space="preserve"> construction</w:t>
      </w:r>
      <w:r w:rsidR="00052E59">
        <w:rPr>
          <w:szCs w:val="20"/>
        </w:rPr>
        <w:t>.</w:t>
      </w:r>
      <w:r w:rsidR="002958BB">
        <w:rPr>
          <w:szCs w:val="20"/>
        </w:rPr>
        <w:t xml:space="preserve"> Sources of data and calculations for the amount of </w:t>
      </w:r>
      <w:r w:rsidR="00083DA8">
        <w:rPr>
          <w:szCs w:val="20"/>
        </w:rPr>
        <w:t>non-residential construction</w:t>
      </w:r>
      <w:r w:rsidR="00E210F7">
        <w:rPr>
          <w:szCs w:val="20"/>
        </w:rPr>
        <w:t xml:space="preserve"> </w:t>
      </w:r>
      <w:r w:rsidR="00052E59">
        <w:rPr>
          <w:szCs w:val="20"/>
        </w:rPr>
        <w:t xml:space="preserve">are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F65ACC">
        <w:rPr>
          <w:szCs w:val="20"/>
        </w:rPr>
        <w:t>C</w:t>
      </w:r>
      <w:r w:rsidR="00052E59">
        <w:rPr>
          <w:szCs w:val="20"/>
        </w:rPr>
        <w:fldChar w:fldCharType="end"/>
      </w:r>
      <w:r w:rsidR="002958BB">
        <w:rPr>
          <w:szCs w:val="20"/>
        </w:rPr>
        <w:t>.</w:t>
      </w:r>
      <w:r w:rsidR="00052E59">
        <w:rPr>
          <w:szCs w:val="20"/>
        </w:rPr>
        <w:t xml:space="preserve"> The process of allocating </w:t>
      </w:r>
      <w:r w:rsidR="00083DA8">
        <w:rPr>
          <w:szCs w:val="20"/>
        </w:rPr>
        <w:t>non-residential construction</w:t>
      </w:r>
      <w:r w:rsidR="00E210F7">
        <w:rPr>
          <w:szCs w:val="20"/>
        </w:rPr>
        <w:t xml:space="preserve"> </w:t>
      </w:r>
      <w:r w:rsidR="00052E59">
        <w:rPr>
          <w:szCs w:val="20"/>
        </w:rPr>
        <w:t xml:space="preserve">activity data to the county level is discussed in section </w:t>
      </w:r>
      <w:r w:rsidR="00052E59">
        <w:rPr>
          <w:szCs w:val="20"/>
        </w:rPr>
        <w:fldChar w:fldCharType="begin"/>
      </w:r>
      <w:r w:rsidR="00052E59">
        <w:rPr>
          <w:szCs w:val="20"/>
        </w:rPr>
        <w:instrText xml:space="preserve"> REF _Ref477177506 \r \h </w:instrText>
      </w:r>
      <w:r w:rsidR="00052E59">
        <w:rPr>
          <w:szCs w:val="20"/>
        </w:rPr>
      </w:r>
      <w:r w:rsidR="00052E59">
        <w:rPr>
          <w:szCs w:val="20"/>
        </w:rPr>
        <w:fldChar w:fldCharType="separate"/>
      </w:r>
      <w:r w:rsidR="00F65ACC">
        <w:rPr>
          <w:szCs w:val="20"/>
        </w:rPr>
        <w:t>D</w:t>
      </w:r>
      <w:r w:rsidR="00052E59">
        <w:rPr>
          <w:szCs w:val="20"/>
        </w:rPr>
        <w:fldChar w:fldCharType="end"/>
      </w:r>
      <w:r w:rsidR="00052E59">
        <w:rPr>
          <w:szCs w:val="20"/>
        </w:rPr>
        <w:t>. Emission</w:t>
      </w:r>
      <w:r w:rsidR="009944E8">
        <w:rPr>
          <w:szCs w:val="20"/>
        </w:rPr>
        <w:t>s</w:t>
      </w:r>
      <w:r w:rsidR="00052E59">
        <w:rPr>
          <w:szCs w:val="20"/>
        </w:rPr>
        <w:t xml:space="preserve"> factors 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sidR="00F65ACC">
        <w:rPr>
          <w:szCs w:val="20"/>
        </w:rPr>
        <w:t>E</w:t>
      </w:r>
      <w:r w:rsidR="00B259AF">
        <w:rPr>
          <w:szCs w:val="20"/>
        </w:rPr>
        <w:fldChar w:fldCharType="end"/>
      </w:r>
      <w:r w:rsidR="00052E59">
        <w:rPr>
          <w:szCs w:val="20"/>
        </w:rPr>
        <w:t xml:space="preserve">. </w:t>
      </w:r>
      <w:r w:rsidR="008E2445">
        <w:rPr>
          <w:szCs w:val="20"/>
        </w:rPr>
        <w:t xml:space="preserve">The estimation of emissions from </w:t>
      </w:r>
      <w:r w:rsidR="00083DA8">
        <w:rPr>
          <w:szCs w:val="20"/>
        </w:rPr>
        <w:t>non-residential</w:t>
      </w:r>
      <w:r w:rsidR="00E210F7">
        <w:rPr>
          <w:szCs w:val="20"/>
        </w:rPr>
        <w:t xml:space="preserve"> construction </w:t>
      </w:r>
      <w:r w:rsidR="008E2445">
        <w:rPr>
          <w:szCs w:val="20"/>
        </w:rPr>
        <w:t xml:space="preserve">is discussed in section </w:t>
      </w:r>
      <w:r w:rsidR="008E2445">
        <w:rPr>
          <w:szCs w:val="20"/>
        </w:rPr>
        <w:fldChar w:fldCharType="begin"/>
      </w:r>
      <w:r w:rsidR="008E2445">
        <w:rPr>
          <w:szCs w:val="20"/>
        </w:rPr>
        <w:instrText xml:space="preserve"> REF _Ref477177564 \r \h </w:instrText>
      </w:r>
      <w:r w:rsidR="008E2445">
        <w:rPr>
          <w:szCs w:val="20"/>
        </w:rPr>
      </w:r>
      <w:r w:rsidR="008E2445">
        <w:rPr>
          <w:szCs w:val="20"/>
        </w:rPr>
        <w:fldChar w:fldCharType="separate"/>
      </w:r>
      <w:r w:rsidR="00F65ACC">
        <w:rPr>
          <w:szCs w:val="20"/>
        </w:rPr>
        <w:t>G</w:t>
      </w:r>
      <w:r w:rsidR="008E2445">
        <w:rPr>
          <w:szCs w:val="20"/>
        </w:rPr>
        <w:fldChar w:fldCharType="end"/>
      </w:r>
      <w:r w:rsidR="008E2445">
        <w:rPr>
          <w:szCs w:val="20"/>
        </w:rPr>
        <w:t>.</w:t>
      </w:r>
    </w:p>
    <w:p w:rsidR="00B97E6E" w:rsidP="00052E59" w:rsidRDefault="00B97E6E" w14:paraId="721778E8" w14:textId="77777777">
      <w:pPr>
        <w:pStyle w:val="Heading1"/>
      </w:pPr>
      <w:bookmarkStart w:name="_Ref477177316" w:id="0"/>
      <w:r w:rsidRPr="00886F17">
        <w:t>Activity Data</w:t>
      </w:r>
      <w:bookmarkEnd w:id="0"/>
    </w:p>
    <w:p w:rsidR="00172D7B" w:rsidP="00843C08" w:rsidRDefault="00B97E6E" w14:paraId="3CD1563A" w14:textId="7F0670F0">
      <w:pPr>
        <w:rPr>
          <w:szCs w:val="20"/>
        </w:rPr>
      </w:pPr>
      <w:r w:rsidRPr="003733A0">
        <w:rPr>
          <w:szCs w:val="20"/>
        </w:rPr>
        <w:t xml:space="preserve">The </w:t>
      </w:r>
      <w:r w:rsidR="008E2445">
        <w:rPr>
          <w:szCs w:val="20"/>
        </w:rPr>
        <w:t xml:space="preserve">activity data for this source category is the </w:t>
      </w:r>
      <w:r w:rsidR="00E210F7">
        <w:rPr>
          <w:szCs w:val="20"/>
        </w:rPr>
        <w:t xml:space="preserve">acreage disturbed from </w:t>
      </w:r>
      <w:r w:rsidR="009E6CF6">
        <w:rPr>
          <w:szCs w:val="20"/>
        </w:rPr>
        <w:t>non-residential</w:t>
      </w:r>
      <w:r w:rsidR="00E210F7">
        <w:rPr>
          <w:szCs w:val="20"/>
        </w:rPr>
        <w:t xml:space="preserve"> construction</w:t>
      </w:r>
      <w:r w:rsidR="008E2445">
        <w:rPr>
          <w:szCs w:val="20"/>
        </w:rPr>
        <w:t>, which</w:t>
      </w:r>
      <w:r>
        <w:rPr>
          <w:szCs w:val="20"/>
        </w:rPr>
        <w:t xml:space="preserve"> </w:t>
      </w:r>
      <w:r w:rsidR="002E5ADD">
        <w:rPr>
          <w:szCs w:val="20"/>
        </w:rPr>
        <w:t>i</w:t>
      </w:r>
      <w:r w:rsidRPr="003733A0">
        <w:rPr>
          <w:szCs w:val="20"/>
        </w:rPr>
        <w:t>s estimated using data from</w:t>
      </w:r>
      <w:r w:rsidR="009E6CF6">
        <w:rPr>
          <w:szCs w:val="20"/>
        </w:rPr>
        <w:t xml:space="preserve"> the U.S. Census Bureau’s</w:t>
      </w:r>
      <w:r w:rsidR="00BE7521">
        <w:rPr>
          <w:szCs w:val="20"/>
        </w:rPr>
        <w:t xml:space="preserve"> </w:t>
      </w:r>
      <w:r w:rsidR="009E6CF6">
        <w:rPr>
          <w:i/>
          <w:iCs/>
          <w:szCs w:val="20"/>
        </w:rPr>
        <w:t>Annual Value of Const</w:t>
      </w:r>
      <w:r w:rsidR="00654A57">
        <w:rPr>
          <w:i/>
          <w:iCs/>
          <w:szCs w:val="20"/>
        </w:rPr>
        <w:t>ruction Put in Place in the U.S</w:t>
      </w:r>
      <w:r w:rsidR="00654A57">
        <w:rPr>
          <w:rStyle w:val="BalloonTextChar"/>
          <w:szCs w:val="20"/>
        </w:rPr>
        <w:t>.</w:t>
      </w:r>
      <w:r w:rsidR="00BE7521">
        <w:rPr>
          <w:rStyle w:val="EndnoteReference"/>
          <w:szCs w:val="20"/>
        </w:rPr>
        <w:endnoteReference w:id="2"/>
      </w:r>
      <w:r w:rsidR="00E210F7">
        <w:rPr>
          <w:szCs w:val="20"/>
        </w:rPr>
        <w:t xml:space="preserve"> and </w:t>
      </w:r>
      <w:r w:rsidR="00C80050">
        <w:rPr>
          <w:szCs w:val="20"/>
        </w:rPr>
        <w:t>a conversion factor</w:t>
      </w:r>
      <w:r w:rsidR="0028323D">
        <w:rPr>
          <w:szCs w:val="20"/>
        </w:rPr>
        <w:t xml:space="preserve"> from MRI</w:t>
      </w:r>
      <w:r w:rsidR="00BE7521">
        <w:rPr>
          <w:szCs w:val="20"/>
        </w:rPr>
        <w:t xml:space="preserve">’s </w:t>
      </w:r>
      <w:r w:rsidRPr="00FD082C" w:rsidR="0028323D">
        <w:rPr>
          <w:bCs/>
          <w:i/>
        </w:rPr>
        <w:t>Estimating Particulate Matter Emissions from Construction Operations, Final Report</w:t>
      </w:r>
      <w:r w:rsidR="00BE7521">
        <w:rPr>
          <w:szCs w:val="20"/>
        </w:rPr>
        <w:t>.</w:t>
      </w:r>
      <w:bookmarkStart w:name="_Ref478672722" w:id="1"/>
      <w:r w:rsidR="00BE7521">
        <w:rPr>
          <w:rStyle w:val="EndnoteReference"/>
          <w:szCs w:val="20"/>
        </w:rPr>
        <w:endnoteReference w:id="3"/>
      </w:r>
      <w:bookmarkEnd w:id="1"/>
      <w:r w:rsidR="00172D7B">
        <w:rPr>
          <w:szCs w:val="20"/>
        </w:rPr>
        <w:t xml:space="preserve"> </w:t>
      </w:r>
      <w:r w:rsidR="00BE7521">
        <w:rPr>
          <w:szCs w:val="20"/>
        </w:rPr>
        <w:t xml:space="preserve"> </w:t>
      </w:r>
      <w:r w:rsidR="00172D7B">
        <w:rPr>
          <w:szCs w:val="20"/>
        </w:rPr>
        <w:t xml:space="preserve">The national-level non-residential construction spending data </w:t>
      </w:r>
      <w:r w:rsidR="00280860">
        <w:rPr>
          <w:szCs w:val="20"/>
        </w:rPr>
        <w:t xml:space="preserve">are </w:t>
      </w:r>
      <w:r w:rsidR="00172D7B">
        <w:rPr>
          <w:szCs w:val="20"/>
        </w:rPr>
        <w:t xml:space="preserve">allocated to the county-level based on the proportion of non-residential construction employees </w:t>
      </w:r>
      <w:r w:rsidR="00B81885">
        <w:rPr>
          <w:szCs w:val="20"/>
        </w:rPr>
        <w:t xml:space="preserve">(NAICS 2362) </w:t>
      </w:r>
      <w:r w:rsidR="00172D7B">
        <w:rPr>
          <w:szCs w:val="20"/>
        </w:rPr>
        <w:t xml:space="preserve">in each county. Employment data </w:t>
      </w:r>
      <w:r w:rsidR="00280860">
        <w:rPr>
          <w:szCs w:val="20"/>
        </w:rPr>
        <w:t>are</w:t>
      </w:r>
      <w:r w:rsidR="00172D7B">
        <w:rPr>
          <w:szCs w:val="20"/>
        </w:rPr>
        <w:t xml:space="preserve"> taken from the </w:t>
      </w:r>
      <w:r w:rsidRPr="008C02D0" w:rsidR="00172D7B">
        <w:rPr>
          <w:szCs w:val="20"/>
        </w:rPr>
        <w:t>U.S. Census Bureau’s 201</w:t>
      </w:r>
      <w:r w:rsidR="00343E1D">
        <w:rPr>
          <w:szCs w:val="20"/>
        </w:rPr>
        <w:t>6</w:t>
      </w:r>
      <w:r w:rsidRPr="008C02D0" w:rsidR="00172D7B">
        <w:rPr>
          <w:szCs w:val="20"/>
        </w:rPr>
        <w:t xml:space="preserve"> County Business Patterns (CBP)</w:t>
      </w:r>
      <w:r w:rsidR="00172D7B">
        <w:rPr>
          <w:szCs w:val="20"/>
        </w:rPr>
        <w:t xml:space="preserve">, and gaps in employment data are filled using a process described in detail in section </w:t>
      </w:r>
      <w:r w:rsidR="00172D7B">
        <w:rPr>
          <w:szCs w:val="20"/>
        </w:rPr>
        <w:fldChar w:fldCharType="begin"/>
      </w:r>
      <w:r w:rsidR="00172D7B">
        <w:rPr>
          <w:szCs w:val="20"/>
        </w:rPr>
        <w:instrText xml:space="preserve"> REF _Ref477177506 \r \h </w:instrText>
      </w:r>
      <w:r w:rsidR="00172D7B">
        <w:rPr>
          <w:szCs w:val="20"/>
        </w:rPr>
      </w:r>
      <w:r w:rsidR="00172D7B">
        <w:rPr>
          <w:szCs w:val="20"/>
        </w:rPr>
        <w:fldChar w:fldCharType="separate"/>
      </w:r>
      <w:r w:rsidR="00F65ACC">
        <w:rPr>
          <w:szCs w:val="20"/>
        </w:rPr>
        <w:t>D</w:t>
      </w:r>
      <w:r w:rsidR="00172D7B">
        <w:rPr>
          <w:szCs w:val="20"/>
        </w:rPr>
        <w:fldChar w:fldCharType="end"/>
      </w:r>
      <w:r w:rsidR="00172D7B">
        <w:rPr>
          <w:szCs w:val="2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172D7B" w:rsidTr="00D7323D" w14:paraId="6C69090A" w14:textId="77777777">
        <w:trPr>
          <w:trHeight w:val="585"/>
        </w:trPr>
        <w:tc>
          <w:tcPr>
            <w:tcW w:w="8748" w:type="dxa"/>
            <w:vAlign w:val="center"/>
          </w:tcPr>
          <w:p w:rsidRPr="00770E9B" w:rsidR="00172D7B" w:rsidP="00D7323D" w:rsidRDefault="004A4C3F" w14:paraId="15AFDE8A" w14:textId="17F3F791">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EmpFr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US</m:t>
                        </m:r>
                      </m:sub>
                    </m:sSub>
                  </m:den>
                </m:f>
              </m:oMath>
            </m:oMathPara>
          </w:p>
        </w:tc>
        <w:tc>
          <w:tcPr>
            <w:tcW w:w="828" w:type="dxa"/>
            <w:vAlign w:val="center"/>
          </w:tcPr>
          <w:p w:rsidRPr="003D471D" w:rsidR="00172D7B" w:rsidP="00D7323D" w:rsidRDefault="00172D7B" w14:paraId="16F91360" w14:textId="77777777">
            <w:pPr>
              <w:pStyle w:val="ListParagraph"/>
              <w:widowControl/>
              <w:numPr>
                <w:ilvl w:val="0"/>
                <w:numId w:val="10"/>
              </w:numPr>
              <w:autoSpaceDE/>
              <w:autoSpaceDN/>
              <w:adjustRightInd/>
              <w:jc w:val="center"/>
              <w:rPr>
                <w:szCs w:val="20"/>
              </w:rPr>
            </w:pPr>
          </w:p>
        </w:tc>
      </w:tr>
      <w:tr w:rsidR="00D7323D" w:rsidTr="00D7323D" w14:paraId="79491BCA" w14:textId="77777777">
        <w:trPr>
          <w:trHeight w:val="585"/>
        </w:trPr>
        <w:tc>
          <w:tcPr>
            <w:tcW w:w="8748" w:type="dxa"/>
            <w:vAlign w:val="center"/>
          </w:tcPr>
          <w:p w:rsidRPr="00770E9B" w:rsidR="00D7323D" w:rsidP="00D7323D" w:rsidRDefault="004A4C3F" w14:paraId="00195EBC" w14:textId="0791C474">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CS</m:t>
                    </m:r>
                  </m:e>
                  <m:sub>
                    <m:r>
                      <w:rPr>
                        <w:rFonts w:ascii="Cambria Math" w:hAnsi="Cambria Math"/>
                      </w:rPr>
                      <m:t>c</m:t>
                    </m:r>
                  </m:sub>
                </m:sSub>
                <m:r>
                  <w:rPr>
                    <w:rFonts w:ascii="Cambria Math" w:hAnsi="Cambria Math"/>
                  </w:rPr>
                  <m:t>=</m:t>
                </m:r>
                <m:sSub>
                  <m:sSubPr>
                    <m:ctrlPr>
                      <w:rPr>
                        <w:rFonts w:ascii="Cambria Math" w:hAnsi="Cambria Math" w:eastAsiaTheme="minorEastAsia"/>
                        <w:i/>
                      </w:rPr>
                    </m:ctrlPr>
                  </m:sSubPr>
                  <m:e>
                    <m:r>
                      <w:rPr>
                        <w:rFonts w:ascii="Cambria Math" w:hAnsi="Cambria Math" w:eastAsiaTheme="minorEastAsia"/>
                      </w:rPr>
                      <m:t>EmpFr</m:t>
                    </m:r>
                  </m:e>
                  <m:sub>
                    <m:r>
                      <w:rPr>
                        <w:rFonts w:ascii="Cambria Math" w:hAnsi="Cambria Math" w:eastAsiaTheme="minorEastAsia"/>
                      </w:rPr>
                      <m:t>c</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CS</m:t>
                    </m:r>
                  </m:e>
                  <m:sub>
                    <m:r>
                      <w:rPr>
                        <w:rFonts w:ascii="Cambria Math" w:hAnsi="Cambria Math" w:eastAsiaTheme="minorEastAsia"/>
                      </w:rPr>
                      <m:t>US</m:t>
                    </m:r>
                  </m:sub>
                </m:sSub>
              </m:oMath>
            </m:oMathPara>
          </w:p>
        </w:tc>
        <w:tc>
          <w:tcPr>
            <w:tcW w:w="828" w:type="dxa"/>
            <w:vAlign w:val="center"/>
          </w:tcPr>
          <w:p w:rsidRPr="003D471D" w:rsidR="00D7323D" w:rsidP="00D7323D" w:rsidRDefault="00D7323D" w14:paraId="6853FE21" w14:textId="77777777">
            <w:pPr>
              <w:pStyle w:val="ListParagraph"/>
              <w:widowControl/>
              <w:numPr>
                <w:ilvl w:val="0"/>
                <w:numId w:val="10"/>
              </w:numPr>
              <w:autoSpaceDE/>
              <w:autoSpaceDN/>
              <w:adjustRightInd/>
              <w:jc w:val="center"/>
              <w:rPr>
                <w:szCs w:val="20"/>
              </w:rPr>
            </w:pPr>
          </w:p>
        </w:tc>
      </w:tr>
    </w:tbl>
    <w:p w:rsidR="00D7323D" w:rsidP="00843C08" w:rsidRDefault="00D7323D" w14:paraId="7B949262" w14:textId="3254EBA9">
      <w:pPr>
        <w:rPr>
          <w:szCs w:val="20"/>
        </w:rPr>
      </w:pPr>
      <w:r>
        <w:rPr>
          <w:szCs w:val="20"/>
        </w:rPr>
        <w:t xml:space="preserve">Where: </w:t>
      </w:r>
    </w:p>
    <w:p w:rsidRPr="00FF7918" w:rsidR="00D7323D" w:rsidP="00D7323D" w:rsidRDefault="00D7323D" w14:paraId="5D520931" w14:textId="17741C65">
      <w:pPr>
        <w:pStyle w:val="NoSpacing"/>
      </w:pPr>
      <w:r>
        <w:rPr>
          <w:i/>
        </w:rPr>
        <w:tab/>
      </w:r>
      <w:r>
        <w:rPr>
          <w:i/>
        </w:rPr>
        <w:t>EmpFr</w:t>
      </w:r>
      <w:r w:rsidRPr="00FF7918">
        <w:rPr>
          <w:i/>
          <w:vertAlign w:val="subscript"/>
        </w:rPr>
        <w:t>c</w:t>
      </w:r>
      <w:r w:rsidRPr="00FF7918">
        <w:rPr>
          <w:vertAlign w:val="subscript"/>
        </w:rPr>
        <w:tab/>
      </w:r>
      <w:r w:rsidRPr="00FF7918">
        <w:t xml:space="preserve">= </w:t>
      </w:r>
      <w:r w:rsidRPr="00FF7918">
        <w:tab/>
      </w:r>
      <w:r w:rsidRPr="00FF7918">
        <w:t xml:space="preserve">The fraction of </w:t>
      </w:r>
      <w:r>
        <w:t xml:space="preserve">non-residential construction </w:t>
      </w:r>
      <w:r w:rsidRPr="00FF7918">
        <w:t xml:space="preserve">employees in county </w:t>
      </w:r>
      <w:r w:rsidRPr="00FF7918">
        <w:rPr>
          <w:i/>
        </w:rPr>
        <w:t>c</w:t>
      </w:r>
    </w:p>
    <w:p w:rsidRPr="00FF7918" w:rsidR="00D7323D" w:rsidP="00D7323D" w:rsidRDefault="00D7323D" w14:paraId="2F3777FD" w14:textId="47F99C90">
      <w:pPr>
        <w:pStyle w:val="NoSpacing"/>
        <w:rPr>
          <w:i/>
        </w:rPr>
      </w:pPr>
      <w:r w:rsidRPr="00FF7918">
        <w:rPr>
          <w:i/>
        </w:rPr>
        <w:tab/>
      </w:r>
      <w:r w:rsidRPr="00FF7918">
        <w:rPr>
          <w:i/>
        </w:rPr>
        <w:t>Emp</w:t>
      </w:r>
      <w:r w:rsidRPr="00FF7918">
        <w:rPr>
          <w:i/>
          <w:vertAlign w:val="subscript"/>
        </w:rPr>
        <w:t>c</w:t>
      </w:r>
      <w:r>
        <w:rPr>
          <w:i/>
        </w:rPr>
        <w:tab/>
      </w:r>
      <w:r w:rsidRPr="00FF7918">
        <w:t>=</w:t>
      </w:r>
      <w:r w:rsidRPr="00FF7918">
        <w:tab/>
      </w:r>
      <w:r w:rsidRPr="00FF7918">
        <w:t xml:space="preserve">The number of </w:t>
      </w:r>
      <w:r>
        <w:t xml:space="preserve">non-residential construction </w:t>
      </w:r>
      <w:r w:rsidRPr="00FF7918">
        <w:t xml:space="preserve">employees in county </w:t>
      </w:r>
      <w:r w:rsidRPr="00FF7918">
        <w:rPr>
          <w:i/>
        </w:rPr>
        <w:t>c</w:t>
      </w:r>
    </w:p>
    <w:p w:rsidRPr="00FF7918" w:rsidR="00D7323D" w:rsidP="00D7323D" w:rsidRDefault="00D7323D" w14:paraId="7E0300EB" w14:textId="3ED9DCE4">
      <w:pPr>
        <w:pStyle w:val="NoSpacing"/>
        <w:rPr>
          <w:i/>
        </w:rPr>
      </w:pPr>
      <w:r w:rsidRPr="00FF7918">
        <w:rPr>
          <w:i/>
        </w:rPr>
        <w:tab/>
      </w:r>
      <w:r w:rsidRPr="00FF7918">
        <w:rPr>
          <w:i/>
        </w:rPr>
        <w:t>Emp</w:t>
      </w:r>
      <w:r>
        <w:rPr>
          <w:i/>
          <w:vertAlign w:val="subscript"/>
        </w:rPr>
        <w:t>US</w:t>
      </w:r>
      <w:r>
        <w:rPr>
          <w:i/>
        </w:rPr>
        <w:tab/>
      </w:r>
      <w:r w:rsidRPr="00FF7918">
        <w:t>=</w:t>
      </w:r>
      <w:r w:rsidRPr="00FF7918">
        <w:tab/>
      </w:r>
      <w:r w:rsidRPr="00FF7918">
        <w:t xml:space="preserve">The number of </w:t>
      </w:r>
      <w:r>
        <w:t>non-residential construction employees in the US</w:t>
      </w:r>
    </w:p>
    <w:p w:rsidR="00D7323D" w:rsidP="00D7323D" w:rsidRDefault="00D7323D" w14:paraId="7B2A2B19" w14:textId="77777777">
      <w:pPr>
        <w:pStyle w:val="NoSpacing"/>
        <w:rPr>
          <w:rFonts w:eastAsiaTheme="minorEastAsia"/>
          <w:i/>
        </w:rPr>
      </w:pPr>
      <w:r>
        <w:rPr>
          <w:rFonts w:eastAsiaTheme="minorEastAsia"/>
        </w:rPr>
        <w:tab/>
      </w:r>
      <w:r w:rsidRPr="005866CD">
        <w:rPr>
          <w:rFonts w:eastAsiaTheme="minorEastAsia"/>
          <w:i/>
        </w:rPr>
        <w:t>CS</w:t>
      </w:r>
      <w:r w:rsidRPr="005866CD">
        <w:rPr>
          <w:rFonts w:eastAsiaTheme="minorEastAsia"/>
          <w:i/>
          <w:vertAlign w:val="subscript"/>
        </w:rPr>
        <w:t>c</w:t>
      </w:r>
      <w:r>
        <w:rPr>
          <w:rFonts w:eastAsiaTheme="minorEastAsia"/>
          <w:vertAlign w:val="subscript"/>
        </w:rPr>
        <w:tab/>
      </w:r>
      <w:r>
        <w:rPr>
          <w:rFonts w:eastAsiaTheme="minorEastAsia"/>
        </w:rPr>
        <w:t>=</w:t>
      </w:r>
      <w:r>
        <w:rPr>
          <w:rFonts w:eastAsiaTheme="minorEastAsia"/>
        </w:rPr>
        <w:tab/>
      </w:r>
      <w:r>
        <w:rPr>
          <w:rFonts w:eastAsiaTheme="minorEastAsia"/>
        </w:rPr>
        <w:t xml:space="preserve">Non-residential construction spending in county </w:t>
      </w:r>
      <w:r w:rsidRPr="005866CD">
        <w:rPr>
          <w:rFonts w:eastAsiaTheme="minorEastAsia"/>
          <w:i/>
        </w:rPr>
        <w:t>c</w:t>
      </w:r>
    </w:p>
    <w:p w:rsidR="00D7323D" w:rsidP="00D7323D" w:rsidRDefault="00D7323D" w14:paraId="1BC4590B" w14:textId="77777777">
      <w:pPr>
        <w:pStyle w:val="NoSpacing"/>
        <w:rPr>
          <w:rFonts w:eastAsiaTheme="minorEastAsia"/>
        </w:rPr>
      </w:pPr>
      <w:r>
        <w:rPr>
          <w:rFonts w:eastAsiaTheme="minorEastAsia"/>
          <w:i/>
        </w:rPr>
        <w:tab/>
      </w:r>
      <w:r>
        <w:rPr>
          <w:rFonts w:eastAsiaTheme="minorEastAsia"/>
          <w:i/>
        </w:rPr>
        <w:t>CS</w:t>
      </w:r>
      <w:r>
        <w:rPr>
          <w:rFonts w:eastAsiaTheme="minorEastAsia"/>
          <w:i/>
          <w:vertAlign w:val="subscript"/>
        </w:rPr>
        <w:t>US</w:t>
      </w:r>
      <w:r>
        <w:rPr>
          <w:rFonts w:eastAsiaTheme="minorEastAsia"/>
          <w:i/>
          <w:vertAlign w:val="subscript"/>
        </w:rPr>
        <w:tab/>
      </w:r>
      <w:r>
        <w:rPr>
          <w:rFonts w:eastAsiaTheme="minorEastAsia"/>
          <w:i/>
        </w:rPr>
        <w:t>=</w:t>
      </w:r>
      <w:r>
        <w:rPr>
          <w:rFonts w:eastAsiaTheme="minorEastAsia"/>
          <w:i/>
        </w:rPr>
        <w:tab/>
      </w:r>
      <w:r>
        <w:rPr>
          <w:rFonts w:eastAsiaTheme="minorEastAsia"/>
        </w:rPr>
        <w:t>Non-residential construction spending in the US</w:t>
      </w:r>
    </w:p>
    <w:p w:rsidR="00D7323D" w:rsidP="00D7323D" w:rsidRDefault="00D7323D" w14:paraId="046FE7EF" w14:textId="77777777">
      <w:pPr>
        <w:pStyle w:val="NoSpacing"/>
        <w:rPr>
          <w:rFonts w:eastAsiaTheme="minorEastAsia"/>
        </w:rPr>
      </w:pPr>
    </w:p>
    <w:p w:rsidRPr="00843C08" w:rsidR="001A09E7" w:rsidP="00843C08" w:rsidRDefault="00D7323D" w14:paraId="00B348E2" w14:textId="782D39C0">
      <w:r w:rsidR="00D7323D">
        <w:rPr/>
        <w:t xml:space="preserve">Non-residential construction spending is converted to acres disturbed using a conversion factor from MRI’s report. </w:t>
      </w:r>
      <w:r w:rsidRPr="00A77F25" w:rsidR="00843C08">
        <w:rPr/>
        <w:t xml:space="preserve">For the average acres disturbed per million dollars of non-residential construction, MRI reported a conversion factor of 2 acres/$1 million (in 1992 constant dollars). </w:t>
      </w:r>
      <w:r w:rsidR="00FE01A4">
        <w:rPr/>
        <w:t>T</w:t>
      </w:r>
      <w:r w:rsidRPr="00A77F25" w:rsidR="00843C08">
        <w:rPr/>
        <w:t xml:space="preserve">he 1992 conversion factor </w:t>
      </w:r>
      <w:r w:rsidR="00FE01A4">
        <w:rPr/>
        <w:t>is adjusted to 2017</w:t>
      </w:r>
      <w:r w:rsidRPr="00A77F25" w:rsidR="00843C08">
        <w:rPr/>
        <w:t xml:space="preserve"> using the </w:t>
      </w:r>
      <w:r w:rsidRPr="5048B501" w:rsidR="00843C08">
        <w:rPr>
          <w:i w:val="1"/>
          <w:iCs w:val="1"/>
        </w:rPr>
        <w:t>Price Deflator (Fisher) Index of New Single</w:t>
      </w:r>
      <w:r w:rsidRPr="5048B501" w:rsidR="00843C08">
        <w:rPr>
          <w:rFonts w:ascii="Cambria Math" w:hAnsi="Cambria Math" w:cs="Cambria Math"/>
          <w:i w:val="1"/>
          <w:iCs w:val="1"/>
        </w:rPr>
        <w:t>‐</w:t>
      </w:r>
      <w:r w:rsidRPr="5048B501" w:rsidR="00843C08">
        <w:rPr>
          <w:i w:val="1"/>
          <w:iCs w:val="1"/>
        </w:rPr>
        <w:t>Family Houses under Construction</w:t>
      </w:r>
      <w:r w:rsidRPr="00A77F25" w:rsidR="00843C08">
        <w:rPr/>
        <w:t>.</w:t>
      </w:r>
      <w:r w:rsidR="00843C08">
        <w:rPr>
          <w:rStyle w:val="EndnoteReference"/>
        </w:rPr>
        <w:endnoteReference w:id="4"/>
      </w:r>
      <w:r w:rsidRPr="00A77F25" w:rsidR="00843C08">
        <w:rPr/>
        <w:t xml:space="preserve"> </w:t>
      </w:r>
      <w:r w:rsidR="00D7323D">
        <w:rPr/>
        <w:t xml:space="preserve">In </w:t>
      </w:r>
      <w:r w:rsidR="00D7323D">
        <w:rPr/>
        <w:t xml:space="preserve">201</w:t>
      </w:r>
      <w:r w:rsidR="6CE2DCC8">
        <w:rPr/>
        <w:t xml:space="preserve">7</w:t>
      </w:r>
      <w:r w:rsidR="00D7323D">
        <w:rPr/>
        <w:t xml:space="preserve"> the conversion factor </w:t>
      </w:r>
      <w:r w:rsidR="00FE01A4">
        <w:rPr/>
        <w:t>was</w:t>
      </w:r>
      <w:r w:rsidR="00D7323D">
        <w:rPr/>
        <w:t xml:space="preserve"> </w:t>
      </w:r>
      <w:r w:rsidRPr="5048B501" w:rsidR="00520411">
        <w:rPr/>
        <w:t xml:space="preserve">1.009 </w:t>
      </w:r>
      <w:r w:rsidRPr="5048B501" w:rsidR="00520411">
        <w:rPr/>
        <w:lastRenderedPageBreak/>
        <w:t>acres per million dollars spent on non-r</w:t>
      </w:r>
      <w:r w:rsidRPr="5048B501" w:rsidR="00C80050">
        <w:rPr/>
        <w:t>esidential construction activities</w:t>
      </w:r>
      <w:r w:rsidR="00D7323D">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770E9B" w:rsidTr="00DF4A70" w14:paraId="510F7B67" w14:textId="77777777">
        <w:trPr>
          <w:trHeight w:val="585"/>
        </w:trPr>
        <w:tc>
          <w:tcPr>
            <w:tcW w:w="8748" w:type="dxa"/>
            <w:vAlign w:val="center"/>
          </w:tcPr>
          <w:p w:rsidRPr="00770E9B" w:rsidR="00770E9B" w:rsidP="00DF4A70" w:rsidRDefault="004A4C3F" w14:paraId="25BC0F25" w14:textId="7D013BC0">
            <w:pPr>
              <w:widowControl/>
              <w:autoSpaceDE/>
              <w:autoSpaceDN/>
              <w:adjustRightInd/>
              <w:jc w:val="center"/>
              <w:rPr>
                <w:szCs w:val="20"/>
              </w:rPr>
            </w:pPr>
            <m:oMathPara>
              <m:oMathParaPr>
                <m:jc m:val="center"/>
              </m:oMathParaPr>
              <m:oMath>
                <m:sSub>
                  <m:sSubPr>
                    <m:ctrlPr>
                      <w:rPr>
                        <w:rFonts w:ascii="Cambria Math" w:hAnsi="Cambria Math" w:eastAsiaTheme="minorEastAsia"/>
                        <w:i/>
                      </w:rPr>
                    </m:ctrlPr>
                  </m:sSubPr>
                  <m:e>
                    <m:r>
                      <w:rPr>
                        <w:rFonts w:ascii="Cambria Math" w:hAnsi="Cambria Math" w:eastAsiaTheme="minorEastAsia"/>
                      </w:rPr>
                      <m:t>Apd</m:t>
                    </m:r>
                  </m:e>
                  <m:sub>
                    <m:r>
                      <w:rPr>
                        <w:rFonts w:ascii="Cambria Math" w:hAnsi="Cambria Math" w:eastAsiaTheme="minorEastAsia"/>
                      </w:rPr>
                      <m:t>2017</m:t>
                    </m:r>
                  </m:sub>
                </m:sSub>
                <m:r>
                  <w:rPr>
                    <w:rFonts w:ascii="Cambria Math" w:hAnsi="Cambria Math" w:eastAsiaTheme="minorEastAsia"/>
                  </w:rPr>
                  <m:t xml:space="preserve">= </m:t>
                </m:r>
                <m:f>
                  <m:fPr>
                    <m:ctrlPr>
                      <w:rPr>
                        <w:rFonts w:ascii="Cambria Math" w:hAnsi="Cambria Math" w:eastAsiaTheme="minorEastAsia"/>
                        <w:i/>
                      </w:rPr>
                    </m:ctrlPr>
                  </m:fPr>
                  <m:num>
                    <m:r>
                      <w:rPr>
                        <w:rFonts w:ascii="Cambria Math" w:hAnsi="Cambria Math" w:eastAsiaTheme="minorEastAsia"/>
                      </w:rPr>
                      <m:t xml:space="preserve">2 acres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1992</m:t>
                        </m:r>
                      </m:sub>
                    </m:sSub>
                  </m:num>
                  <m:den>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2017</m:t>
                        </m:r>
                      </m:sub>
                    </m:sSub>
                  </m:den>
                </m:f>
              </m:oMath>
            </m:oMathPara>
          </w:p>
        </w:tc>
        <w:tc>
          <w:tcPr>
            <w:tcW w:w="828" w:type="dxa"/>
            <w:vAlign w:val="center"/>
          </w:tcPr>
          <w:p w:rsidRPr="003D471D" w:rsidR="00770E9B" w:rsidP="00D7323D" w:rsidRDefault="00770E9B" w14:paraId="3A9DC15A" w14:textId="77777777">
            <w:pPr>
              <w:pStyle w:val="ListParagraph"/>
              <w:widowControl/>
              <w:numPr>
                <w:ilvl w:val="0"/>
                <w:numId w:val="10"/>
              </w:numPr>
              <w:autoSpaceDE/>
              <w:autoSpaceDN/>
              <w:adjustRightInd/>
              <w:jc w:val="center"/>
              <w:rPr>
                <w:szCs w:val="20"/>
              </w:rPr>
            </w:pPr>
          </w:p>
        </w:tc>
      </w:tr>
    </w:tbl>
    <w:p w:rsidRPr="0006347C" w:rsidR="00986448" w:rsidP="00986448" w:rsidRDefault="00986448" w14:paraId="2655DEAA" w14:textId="77777777">
      <w:pPr>
        <w:widowControl/>
        <w:tabs>
          <w:tab w:val="left" w:pos="0"/>
        </w:tabs>
        <w:rPr>
          <w:szCs w:val="20"/>
        </w:rPr>
      </w:pPr>
      <w:r w:rsidRPr="0006347C">
        <w:rPr>
          <w:szCs w:val="20"/>
        </w:rPr>
        <w:t>Where:</w:t>
      </w:r>
    </w:p>
    <w:p w:rsidR="00843C08" w:rsidP="00843C08" w:rsidRDefault="00843C08" w14:paraId="6F23B62D" w14:textId="5B61EE11">
      <w:pPr>
        <w:pStyle w:val="NoSpacing"/>
        <w:rPr>
          <w:rFonts w:eastAsiaTheme="minorEastAsia"/>
          <w:i/>
        </w:rPr>
      </w:pPr>
      <w:r>
        <w:rPr>
          <w:rFonts w:eastAsiaTheme="minorEastAsia"/>
        </w:rPr>
        <w:tab/>
      </w:r>
      <w:r w:rsidRPr="002D3102">
        <w:rPr>
          <w:rFonts w:eastAsiaTheme="minorEastAsia"/>
          <w:i/>
        </w:rPr>
        <w:t>Apd</w:t>
      </w:r>
      <w:r w:rsidR="00FE01A4">
        <w:rPr>
          <w:rFonts w:eastAsiaTheme="minorEastAsia"/>
          <w:i/>
          <w:vertAlign w:val="subscript"/>
        </w:rPr>
        <w:t>2017</w:t>
      </w:r>
      <w:r>
        <w:rPr>
          <w:rFonts w:eastAsiaTheme="minorEastAsia"/>
          <w:vertAlign w:val="subscript"/>
        </w:rPr>
        <w:tab/>
      </w:r>
      <w:r>
        <w:rPr>
          <w:rFonts w:eastAsiaTheme="minorEastAsia"/>
        </w:rPr>
        <w:t>=</w:t>
      </w:r>
      <w:r>
        <w:rPr>
          <w:rFonts w:eastAsiaTheme="minorEastAsia"/>
        </w:rPr>
        <w:tab/>
      </w:r>
      <w:r>
        <w:rPr>
          <w:rFonts w:eastAsiaTheme="minorEastAsia"/>
        </w:rPr>
        <w:t xml:space="preserve">Acres disturbed per million dollars in </w:t>
      </w:r>
      <w:r w:rsidRPr="00FE01A4" w:rsidR="00FE01A4">
        <w:rPr>
          <w:rFonts w:eastAsiaTheme="minorEastAsia"/>
        </w:rPr>
        <w:t>2017</w:t>
      </w:r>
    </w:p>
    <w:p w:rsidR="00843C08" w:rsidP="00843C08" w:rsidRDefault="00843C08" w14:paraId="4810CDB7" w14:textId="77777777">
      <w:pPr>
        <w:pStyle w:val="NoSpacing"/>
      </w:pPr>
      <w:r>
        <w:rPr>
          <w:rFonts w:eastAsiaTheme="minorEastAsia"/>
          <w:i/>
        </w:rPr>
        <w:tab/>
      </w:r>
      <w:r>
        <w:rPr>
          <w:rFonts w:eastAsiaTheme="minorEastAsia"/>
          <w:i/>
        </w:rPr>
        <w:t>PD</w:t>
      </w:r>
      <w:r>
        <w:rPr>
          <w:rFonts w:eastAsiaTheme="minorEastAsia"/>
          <w:i/>
          <w:vertAlign w:val="subscript"/>
        </w:rPr>
        <w:t>1992</w:t>
      </w:r>
      <w:r>
        <w:rPr>
          <w:rFonts w:eastAsiaTheme="minorEastAsia"/>
          <w:i/>
          <w:vertAlign w:val="subscript"/>
        </w:rPr>
        <w:tab/>
      </w:r>
      <w:r>
        <w:rPr>
          <w:rFonts w:eastAsiaTheme="minorEastAsia"/>
        </w:rPr>
        <w:t>=</w:t>
      </w:r>
      <w:r>
        <w:rPr>
          <w:rFonts w:eastAsiaTheme="minorEastAsia"/>
        </w:rPr>
        <w:tab/>
      </w:r>
      <w:r w:rsidRPr="002D3102">
        <w:t>Price Deflator (Fisher) Index value in 1992</w:t>
      </w:r>
    </w:p>
    <w:p w:rsidR="00843C08" w:rsidP="00843C08" w:rsidRDefault="00843C08" w14:paraId="47B0B893" w14:textId="4EFEA8AE">
      <w:pPr>
        <w:pStyle w:val="NoSpacing"/>
        <w:rPr>
          <w:i/>
        </w:rPr>
      </w:pPr>
      <w:r>
        <w:tab/>
      </w:r>
      <w:r>
        <w:rPr>
          <w:i/>
        </w:rPr>
        <w:t>PD</w:t>
      </w:r>
      <w:r w:rsidR="00FE01A4">
        <w:rPr>
          <w:i/>
          <w:vertAlign w:val="subscript"/>
        </w:rPr>
        <w:t>2017</w:t>
      </w:r>
      <w:r>
        <w:rPr>
          <w:i/>
          <w:vertAlign w:val="subscript"/>
        </w:rPr>
        <w:tab/>
      </w:r>
      <w:r>
        <w:t>=</w:t>
      </w:r>
      <w:r>
        <w:tab/>
      </w:r>
      <w:r>
        <w:t>Price Deflat</w:t>
      </w:r>
      <w:r w:rsidR="00FE01A4">
        <w:t>or (Fisher) Index value in 2017</w:t>
      </w:r>
    </w:p>
    <w:p w:rsidRPr="002D3102" w:rsidR="00843C08" w:rsidP="00843C08" w:rsidRDefault="00843C08" w14:paraId="30471419" w14:textId="77777777">
      <w:pPr>
        <w:tabs>
          <w:tab w:val="left" w:pos="274"/>
          <w:tab w:val="left" w:pos="994"/>
          <w:tab w:val="left" w:pos="1267"/>
        </w:tabs>
        <w:spacing w:after="0"/>
        <w:rPr>
          <w:rFonts w:eastAsiaTheme="minorEastAsia"/>
          <w:i/>
        </w:rPr>
      </w:pPr>
    </w:p>
    <w:p w:rsidR="00F65ACC" w:rsidP="00EE7076" w:rsidRDefault="00D7323D" w14:paraId="0CAFFEC8" w14:textId="56CDE551">
      <w:r>
        <w:t xml:space="preserve">County-level non-residential construction spending (from equation 2) is then multiplied by this conversion factor to estimate county-level acreage disturbed from non-residential construction activities.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EE7076" w:rsidTr="00EE7076" w14:paraId="2CC188D5" w14:textId="77777777">
        <w:trPr>
          <w:trHeight w:val="585"/>
        </w:trPr>
        <w:tc>
          <w:tcPr>
            <w:tcW w:w="8748" w:type="dxa"/>
            <w:vAlign w:val="center"/>
          </w:tcPr>
          <w:p w:rsidRPr="00770E9B" w:rsidR="00EE7076" w:rsidP="00EE7076" w:rsidRDefault="004A4C3F" w14:paraId="36F1F25A" w14:textId="31A00844">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Apd</m:t>
                    </m:r>
                  </m:e>
                  <m:sub>
                    <m:r>
                      <w:rPr>
                        <w:rFonts w:ascii="Cambria Math" w:hAnsi="Cambria Math"/>
                        <w:szCs w:val="20"/>
                      </w:rPr>
                      <m:t>2017</m:t>
                    </m:r>
                  </m:sub>
                </m:sSub>
              </m:oMath>
            </m:oMathPara>
          </w:p>
        </w:tc>
        <w:tc>
          <w:tcPr>
            <w:tcW w:w="828" w:type="dxa"/>
            <w:vAlign w:val="center"/>
          </w:tcPr>
          <w:p w:rsidRPr="003D471D" w:rsidR="00EE7076" w:rsidP="00D7323D" w:rsidRDefault="00EE7076" w14:paraId="7AEB379D" w14:textId="77777777">
            <w:pPr>
              <w:pStyle w:val="ListParagraph"/>
              <w:widowControl/>
              <w:numPr>
                <w:ilvl w:val="0"/>
                <w:numId w:val="10"/>
              </w:numPr>
              <w:autoSpaceDE/>
              <w:autoSpaceDN/>
              <w:adjustRightInd/>
              <w:jc w:val="center"/>
              <w:rPr>
                <w:szCs w:val="20"/>
              </w:rPr>
            </w:pPr>
          </w:p>
        </w:tc>
      </w:tr>
    </w:tbl>
    <w:p w:rsidRPr="0006347C" w:rsidR="00EE7076" w:rsidP="00EE7076" w:rsidRDefault="00DF4A70" w14:paraId="120C74F2" w14:textId="77777777">
      <w:pPr>
        <w:widowControl/>
        <w:tabs>
          <w:tab w:val="left" w:pos="0"/>
        </w:tabs>
        <w:rPr>
          <w:szCs w:val="20"/>
        </w:rPr>
      </w:pPr>
      <w:r>
        <w:t xml:space="preserve"> </w:t>
      </w:r>
      <w:r w:rsidRPr="0006347C" w:rsidR="00EE7076">
        <w:rPr>
          <w:szCs w:val="20"/>
        </w:rPr>
        <w:t>Where:</w:t>
      </w:r>
    </w:p>
    <w:p w:rsidR="00D7323D" w:rsidP="00F65ACC" w:rsidRDefault="00D7323D" w14:paraId="6C081EC6" w14:textId="3DE7A645">
      <w:pPr>
        <w:pStyle w:val="NoSpacing"/>
        <w:rPr>
          <w:i/>
        </w:rPr>
      </w:pPr>
      <w:r>
        <w:tab/>
      </w:r>
      <w:r w:rsidRPr="009B2970">
        <w:rPr>
          <w:i/>
        </w:rPr>
        <w:t>A</w:t>
      </w:r>
      <w:r w:rsidRPr="009B2970">
        <w:rPr>
          <w:i/>
          <w:vertAlign w:val="subscript"/>
        </w:rPr>
        <w:t>c</w:t>
      </w:r>
      <w:r>
        <w:tab/>
      </w:r>
      <w:r>
        <w:t>=</w:t>
      </w:r>
      <w:r>
        <w:tab/>
      </w:r>
      <w:r>
        <w:t xml:space="preserve">Acres disturbed from non-residential construction in county </w:t>
      </w:r>
      <w:r>
        <w:rPr>
          <w:i/>
        </w:rPr>
        <w:t>c</w:t>
      </w:r>
    </w:p>
    <w:p w:rsidR="00D7323D" w:rsidP="00F65ACC" w:rsidRDefault="00D7323D" w14:paraId="7D27E791" w14:textId="77777777">
      <w:pPr>
        <w:pStyle w:val="NoSpacing"/>
        <w:rPr>
          <w:rFonts w:eastAsiaTheme="minorEastAsia"/>
          <w:i/>
        </w:rPr>
      </w:pPr>
      <w:r>
        <w:rPr>
          <w:rFonts w:eastAsiaTheme="minorEastAsia"/>
        </w:rPr>
        <w:tab/>
      </w:r>
      <w:r w:rsidRPr="005866CD">
        <w:rPr>
          <w:rFonts w:eastAsiaTheme="minorEastAsia"/>
          <w:i/>
        </w:rPr>
        <w:t>CS</w:t>
      </w:r>
      <w:r w:rsidRPr="005866CD">
        <w:rPr>
          <w:rFonts w:eastAsiaTheme="minorEastAsia"/>
          <w:i/>
          <w:vertAlign w:val="subscript"/>
        </w:rPr>
        <w:t>c</w:t>
      </w:r>
      <w:r>
        <w:rPr>
          <w:rFonts w:eastAsiaTheme="minorEastAsia"/>
          <w:vertAlign w:val="subscript"/>
        </w:rPr>
        <w:tab/>
      </w:r>
      <w:r>
        <w:rPr>
          <w:rFonts w:eastAsiaTheme="minorEastAsia"/>
        </w:rPr>
        <w:t>=</w:t>
      </w:r>
      <w:r>
        <w:rPr>
          <w:rFonts w:eastAsiaTheme="minorEastAsia"/>
        </w:rPr>
        <w:tab/>
      </w:r>
      <w:r>
        <w:rPr>
          <w:rFonts w:eastAsiaTheme="minorEastAsia"/>
        </w:rPr>
        <w:t xml:space="preserve">Non-residential construction spending in county </w:t>
      </w:r>
      <w:r w:rsidRPr="005866CD">
        <w:rPr>
          <w:rFonts w:eastAsiaTheme="minorEastAsia"/>
          <w:i/>
        </w:rPr>
        <w:t>c</w:t>
      </w:r>
    </w:p>
    <w:p w:rsidR="00F65ACC" w:rsidP="00F65ACC" w:rsidRDefault="00F65ACC" w14:paraId="50A3657B" w14:textId="6617E637">
      <w:pPr>
        <w:pStyle w:val="NoSpacing"/>
        <w:rPr>
          <w:rFonts w:eastAsiaTheme="minorEastAsia"/>
          <w:i/>
        </w:rPr>
      </w:pPr>
      <w:r>
        <w:rPr>
          <w:rFonts w:eastAsiaTheme="minorEastAsia"/>
        </w:rPr>
        <w:tab/>
      </w:r>
      <w:r w:rsidRPr="002D3102">
        <w:rPr>
          <w:rFonts w:eastAsiaTheme="minorEastAsia"/>
          <w:i/>
        </w:rPr>
        <w:t>Apd</w:t>
      </w:r>
      <w:r>
        <w:rPr>
          <w:rFonts w:eastAsiaTheme="minorEastAsia"/>
          <w:i/>
          <w:vertAlign w:val="subscript"/>
        </w:rPr>
        <w:t>2017</w:t>
      </w:r>
      <w:r>
        <w:rPr>
          <w:rFonts w:eastAsiaTheme="minorEastAsia"/>
          <w:vertAlign w:val="subscript"/>
        </w:rPr>
        <w:tab/>
      </w:r>
      <w:r>
        <w:rPr>
          <w:rFonts w:eastAsiaTheme="minorEastAsia"/>
        </w:rPr>
        <w:t>=</w:t>
      </w:r>
      <w:r>
        <w:rPr>
          <w:rFonts w:eastAsiaTheme="minorEastAsia"/>
        </w:rPr>
        <w:tab/>
      </w:r>
      <w:r>
        <w:rPr>
          <w:rFonts w:eastAsiaTheme="minorEastAsia"/>
        </w:rPr>
        <w:t xml:space="preserve">Acres disturbed per million dollars in </w:t>
      </w:r>
      <w:r w:rsidRPr="00FE01A4">
        <w:rPr>
          <w:rFonts w:eastAsiaTheme="minorEastAsia"/>
        </w:rPr>
        <w:t>2017</w:t>
      </w:r>
    </w:p>
    <w:p w:rsidRPr="00742035" w:rsidR="00742035" w:rsidP="00D7323D" w:rsidRDefault="00742035" w14:paraId="26C2FA3F" w14:textId="77777777">
      <w:pPr>
        <w:pStyle w:val="NoSpacing"/>
        <w:ind w:left="0" w:firstLine="0"/>
      </w:pPr>
    </w:p>
    <w:p w:rsidR="00B97E6E" w:rsidP="00052E59" w:rsidRDefault="007D6365" w14:paraId="229D649F" w14:textId="3B49A132">
      <w:pPr>
        <w:pStyle w:val="Heading1"/>
      </w:pPr>
      <w:bookmarkStart w:name="_Ref477177506" w:id="2"/>
      <w:r>
        <w:t>A</w:t>
      </w:r>
      <w:r w:rsidRPr="00203DFF" w:rsidR="00B97E6E">
        <w:t>llocation Procedure</w:t>
      </w:r>
      <w:bookmarkEnd w:id="2"/>
      <w:r w:rsidRPr="009820A2" w:rsidR="00B97E6E">
        <w:t xml:space="preserve"> </w:t>
      </w:r>
    </w:p>
    <w:p w:rsidRPr="008C02D0" w:rsidR="00172D7B" w:rsidP="00172D7B" w:rsidRDefault="00C80050" w14:paraId="41ECA866" w14:textId="5F715A6A">
      <w:pPr>
        <w:spacing w:after="0"/>
        <w:rPr>
          <w:szCs w:val="20"/>
        </w:rPr>
      </w:pPr>
      <w:bookmarkStart w:name="_Ref477177456" w:id="3"/>
      <w:r>
        <w:rPr>
          <w:szCs w:val="20"/>
        </w:rPr>
        <w:t xml:space="preserve">Employment data </w:t>
      </w:r>
      <w:r w:rsidR="00280860">
        <w:rPr>
          <w:szCs w:val="20"/>
        </w:rPr>
        <w:t>are</w:t>
      </w:r>
      <w:r w:rsidRPr="008C02D0" w:rsidR="00172D7B">
        <w:rPr>
          <w:szCs w:val="20"/>
        </w:rPr>
        <w:t xml:space="preserve"> obtained from the U.S. Census Bureau’s 201</w:t>
      </w:r>
      <w:r w:rsidR="00343E1D">
        <w:rPr>
          <w:szCs w:val="20"/>
        </w:rPr>
        <w:t>6</w:t>
      </w:r>
      <w:r w:rsidRPr="008C02D0" w:rsidR="00172D7B">
        <w:rPr>
          <w:szCs w:val="20"/>
        </w:rPr>
        <w:t xml:space="preserve"> County Business Patterns (CBP).</w:t>
      </w:r>
      <w:r w:rsidR="00654A57">
        <w:rPr>
          <w:rStyle w:val="EndnoteReference"/>
          <w:szCs w:val="20"/>
        </w:rPr>
        <w:endnoteReference w:id="5"/>
      </w:r>
      <w:r w:rsidRPr="008C02D0" w:rsidR="00172D7B">
        <w:rPr>
          <w:szCs w:val="20"/>
        </w:rPr>
        <w:t xml:space="preserve"> Due to concerns with releasing confidential business information, the </w:t>
      </w:r>
      <w:r w:rsidRPr="008C02D0" w:rsidR="00172D7B">
        <w:rPr>
          <w:i/>
          <w:iCs/>
          <w:szCs w:val="20"/>
        </w:rPr>
        <w:t>CBP</w:t>
      </w:r>
      <w:r w:rsidRPr="008C02D0" w:rsidR="00172D7B">
        <w:rPr>
          <w:szCs w:val="20"/>
        </w:rPr>
        <w:t xml:space="preserve"> does not release exact numbers for a given NAICS code if the data can be traced to an individual business. Instead, a </w:t>
      </w:r>
      <w:r w:rsidR="00172D7B">
        <w:rPr>
          <w:szCs w:val="20"/>
        </w:rPr>
        <w:t xml:space="preserve">series of range codes is used. </w:t>
      </w:r>
      <w:r w:rsidRPr="008C02D0" w:rsidR="00172D7B">
        <w:rPr>
          <w:szCs w:val="20"/>
        </w:rPr>
        <w:t xml:space="preserve">To estimate employment in counties and states with withheld data, </w:t>
      </w:r>
      <w:r w:rsidR="00FF2F0E">
        <w:rPr>
          <w:szCs w:val="20"/>
        </w:rPr>
        <w:t>the following procedure is</w:t>
      </w:r>
      <w:r w:rsidRPr="008C02D0" w:rsidR="00172D7B">
        <w:rPr>
          <w:szCs w:val="20"/>
        </w:rPr>
        <w:t xml:space="preserve"> used for NAICS code </w:t>
      </w:r>
      <w:r w:rsidR="00172D7B">
        <w:rPr>
          <w:szCs w:val="20"/>
        </w:rPr>
        <w:t>2362 (non-residential construction)</w:t>
      </w:r>
      <w:r w:rsidRPr="008C02D0" w:rsidR="00172D7B">
        <w:rPr>
          <w:szCs w:val="20"/>
        </w:rPr>
        <w:t xml:space="preserve">. </w:t>
      </w:r>
    </w:p>
    <w:p w:rsidRPr="008C02D0" w:rsidR="00172D7B" w:rsidP="00172D7B" w:rsidRDefault="00172D7B" w14:paraId="2F051744" w14:textId="77777777">
      <w:pPr>
        <w:spacing w:after="0"/>
        <w:rPr>
          <w:szCs w:val="20"/>
        </w:rPr>
      </w:pPr>
    </w:p>
    <w:p w:rsidRPr="008C02D0" w:rsidR="00172D7B" w:rsidP="00172D7B" w:rsidRDefault="00172D7B" w14:paraId="715A46BE" w14:textId="77777777">
      <w:pPr>
        <w:spacing w:after="0"/>
        <w:rPr>
          <w:szCs w:val="20"/>
        </w:rPr>
      </w:pPr>
      <w:r w:rsidRPr="008C02D0">
        <w:rPr>
          <w:szCs w:val="20"/>
        </w:rPr>
        <w:t>To gap-fill withheld state-level employment data:</w:t>
      </w:r>
    </w:p>
    <w:p w:rsidRPr="008C02D0" w:rsidR="00172D7B" w:rsidP="00172D7B" w:rsidRDefault="00172D7B" w14:paraId="2F58EC52" w14:textId="64B78A67">
      <w:pPr>
        <w:numPr>
          <w:ilvl w:val="0"/>
          <w:numId w:val="1"/>
        </w:numPr>
        <w:spacing w:after="0"/>
        <w:rPr>
          <w:szCs w:val="20"/>
        </w:rPr>
      </w:pPr>
      <w:r w:rsidRPr="008C02D0">
        <w:rPr>
          <w:szCs w:val="20"/>
        </w:rPr>
        <w:t>State-level data for s</w:t>
      </w:r>
      <w:r w:rsidR="00C80050">
        <w:rPr>
          <w:szCs w:val="20"/>
        </w:rPr>
        <w:t>tates with known employment are</w:t>
      </w:r>
      <w:r w:rsidRPr="008C02D0">
        <w:rPr>
          <w:szCs w:val="20"/>
        </w:rPr>
        <w:t xml:space="preserve"> summed to the national level.</w:t>
      </w:r>
    </w:p>
    <w:p w:rsidRPr="008C02D0" w:rsidR="00172D7B" w:rsidP="00172D7B" w:rsidRDefault="00C80050" w14:paraId="016EE507" w14:textId="391BA330">
      <w:pPr>
        <w:numPr>
          <w:ilvl w:val="0"/>
          <w:numId w:val="1"/>
        </w:numPr>
        <w:spacing w:after="0"/>
        <w:rPr>
          <w:szCs w:val="20"/>
        </w:rPr>
      </w:pPr>
      <w:r>
        <w:rPr>
          <w:szCs w:val="20"/>
        </w:rPr>
        <w:t>State-level known employment is</w:t>
      </w:r>
      <w:r w:rsidRPr="008C02D0" w:rsidR="00172D7B">
        <w:rPr>
          <w:szCs w:val="20"/>
        </w:rPr>
        <w:t xml:space="preserve"> subtracted from the national total reported in the national-level CBP.</w:t>
      </w:r>
    </w:p>
    <w:p w:rsidRPr="008C02D0" w:rsidR="00172D7B" w:rsidP="00172D7B" w:rsidRDefault="00C80050" w14:paraId="1654EBDA" w14:textId="24FBCD0F">
      <w:pPr>
        <w:numPr>
          <w:ilvl w:val="0"/>
          <w:numId w:val="1"/>
        </w:numPr>
        <w:spacing w:after="0"/>
        <w:rPr>
          <w:szCs w:val="20"/>
        </w:rPr>
      </w:pPr>
      <w:r>
        <w:rPr>
          <w:szCs w:val="20"/>
        </w:rPr>
        <w:t>Each of the withheld states is</w:t>
      </w:r>
      <w:r w:rsidRPr="008C02D0" w:rsidR="00172D7B">
        <w:rPr>
          <w:szCs w:val="20"/>
        </w:rPr>
        <w:t xml:space="preserve"> assigned the mi</w:t>
      </w:r>
      <w:r>
        <w:rPr>
          <w:szCs w:val="20"/>
        </w:rPr>
        <w:t xml:space="preserve">dpoint of the range code. </w:t>
      </w:r>
      <w:r>
        <w:rPr>
          <w:szCs w:val="20"/>
        </w:rPr>
        <w:fldChar w:fldCharType="begin"/>
      </w:r>
      <w:r>
        <w:rPr>
          <w:szCs w:val="20"/>
        </w:rPr>
        <w:instrText xml:space="preserve"> REF _Ref478726618 \h </w:instrText>
      </w:r>
      <w:r>
        <w:rPr>
          <w:szCs w:val="20"/>
        </w:rPr>
      </w:r>
      <w:r>
        <w:rPr>
          <w:szCs w:val="20"/>
        </w:rPr>
        <w:fldChar w:fldCharType="separate"/>
      </w:r>
      <w:r w:rsidR="00F65ACC">
        <w:t xml:space="preserve">Table </w:t>
      </w:r>
      <w:r w:rsidR="00F65ACC">
        <w:rPr>
          <w:noProof/>
        </w:rPr>
        <w:t>1</w:t>
      </w:r>
      <w:r>
        <w:rPr>
          <w:szCs w:val="20"/>
        </w:rPr>
        <w:fldChar w:fldCharType="end"/>
      </w:r>
      <w:r w:rsidRPr="008C02D0" w:rsidR="00172D7B">
        <w:rPr>
          <w:szCs w:val="20"/>
        </w:rPr>
        <w:t xml:space="preserve"> lists the range codes and midpoints.</w:t>
      </w:r>
    </w:p>
    <w:p w:rsidRPr="008C02D0" w:rsidR="00172D7B" w:rsidP="00172D7B" w:rsidRDefault="00172D7B" w14:paraId="52E8C769" w14:textId="6EAF2771">
      <w:pPr>
        <w:numPr>
          <w:ilvl w:val="0"/>
          <w:numId w:val="1"/>
        </w:numPr>
        <w:spacing w:after="0"/>
        <w:rPr>
          <w:szCs w:val="20"/>
        </w:rPr>
      </w:pPr>
      <w:r w:rsidRPr="008C02D0">
        <w:rPr>
          <w:szCs w:val="20"/>
        </w:rPr>
        <w:t>The midpoints for th</w:t>
      </w:r>
      <w:r w:rsidR="00C80050">
        <w:rPr>
          <w:szCs w:val="20"/>
        </w:rPr>
        <w:t>e states with withheld data are</w:t>
      </w:r>
      <w:r w:rsidRPr="008C02D0">
        <w:rPr>
          <w:szCs w:val="20"/>
        </w:rPr>
        <w:t xml:space="preserve"> summed to the national-level. </w:t>
      </w:r>
    </w:p>
    <w:p w:rsidRPr="008C02D0" w:rsidR="00172D7B" w:rsidP="00172D7B" w:rsidRDefault="00C80050" w14:paraId="4736FBD8" w14:textId="607236AB">
      <w:pPr>
        <w:numPr>
          <w:ilvl w:val="0"/>
          <w:numId w:val="1"/>
        </w:numPr>
        <w:spacing w:after="0"/>
        <w:rPr>
          <w:szCs w:val="20"/>
        </w:rPr>
      </w:pPr>
      <w:r>
        <w:rPr>
          <w:szCs w:val="20"/>
        </w:rPr>
        <w:t>An adjustment factor is</w:t>
      </w:r>
      <w:r w:rsidRPr="008C02D0" w:rsidR="00172D7B">
        <w:rPr>
          <w:szCs w:val="20"/>
        </w:rPr>
        <w:t xml:space="preserve"> created by dividing the number of withheld employees (calculated in step 2</w:t>
      </w:r>
      <w:r w:rsidR="00172D7B">
        <w:rPr>
          <w:szCs w:val="20"/>
        </w:rPr>
        <w:t xml:space="preserve"> of this section</w:t>
      </w:r>
      <w:r w:rsidRPr="008C02D0" w:rsidR="00172D7B">
        <w:rPr>
          <w:szCs w:val="20"/>
        </w:rPr>
        <w:t>) by the sum of the midpoints (step 4)</w:t>
      </w:r>
    </w:p>
    <w:p w:rsidRPr="008C02D0" w:rsidR="00172D7B" w:rsidP="00172D7B" w:rsidRDefault="00172D7B" w14:paraId="236876E5" w14:textId="6EE5C247">
      <w:pPr>
        <w:numPr>
          <w:ilvl w:val="0"/>
          <w:numId w:val="1"/>
        </w:numPr>
        <w:spacing w:after="0"/>
        <w:rPr>
          <w:szCs w:val="20"/>
        </w:rPr>
      </w:pPr>
      <w:r w:rsidRPr="008C02D0">
        <w:rPr>
          <w:szCs w:val="20"/>
        </w:rPr>
        <w:t xml:space="preserve">For the states with withheld employment data, the midpoint of the range for that state (step 3) </w:t>
      </w:r>
      <w:r w:rsidR="00C80050">
        <w:rPr>
          <w:szCs w:val="20"/>
        </w:rPr>
        <w:t>is</w:t>
      </w:r>
      <w:r w:rsidRPr="008C02D0">
        <w:rPr>
          <w:szCs w:val="20"/>
        </w:rPr>
        <w:t xml:space="preserve"> multiplied by the adjustment factor (step 5) to calculate the adjusted state-level employment for </w:t>
      </w:r>
      <w:r>
        <w:rPr>
          <w:szCs w:val="20"/>
        </w:rPr>
        <w:t>non-residential construction</w:t>
      </w:r>
      <w:r w:rsidRPr="008C02D0">
        <w:rPr>
          <w:szCs w:val="20"/>
        </w:rPr>
        <w:t>.</w:t>
      </w:r>
    </w:p>
    <w:p w:rsidRPr="008C02D0" w:rsidR="00172D7B" w:rsidP="00172D7B" w:rsidRDefault="00172D7B" w14:paraId="79A5F878" w14:textId="77777777">
      <w:pPr>
        <w:spacing w:after="0"/>
        <w:rPr>
          <w:szCs w:val="20"/>
        </w:rPr>
      </w:pPr>
    </w:p>
    <w:p w:rsidRPr="008C02D0" w:rsidR="00172D7B" w:rsidP="00172D7B" w:rsidRDefault="00C80050" w14:paraId="6F3A0628" w14:textId="7B3C87D5">
      <w:pPr>
        <w:spacing w:after="0"/>
        <w:rPr>
          <w:szCs w:val="20"/>
        </w:rPr>
      </w:pPr>
      <w:r>
        <w:rPr>
          <w:szCs w:val="20"/>
        </w:rPr>
        <w:t>These same steps are</w:t>
      </w:r>
      <w:r w:rsidRPr="008C02D0" w:rsidR="00172D7B">
        <w:rPr>
          <w:szCs w:val="20"/>
        </w:rPr>
        <w:t xml:space="preserve"> then followed to fill in withheld data in the county-level business patterns.</w:t>
      </w:r>
    </w:p>
    <w:p w:rsidRPr="008C02D0" w:rsidR="00172D7B" w:rsidP="00172D7B" w:rsidRDefault="00172D7B" w14:paraId="200B2265" w14:textId="49A46249">
      <w:pPr>
        <w:numPr>
          <w:ilvl w:val="0"/>
          <w:numId w:val="3"/>
        </w:numPr>
        <w:spacing w:after="0"/>
        <w:rPr>
          <w:szCs w:val="20"/>
        </w:rPr>
      </w:pPr>
      <w:r w:rsidRPr="008C02D0">
        <w:rPr>
          <w:szCs w:val="20"/>
        </w:rPr>
        <w:t>County-level data for cou</w:t>
      </w:r>
      <w:r w:rsidR="00C80050">
        <w:rPr>
          <w:szCs w:val="20"/>
        </w:rPr>
        <w:t>nties with known employment are</w:t>
      </w:r>
      <w:r w:rsidRPr="008C02D0">
        <w:rPr>
          <w:szCs w:val="20"/>
        </w:rPr>
        <w:t xml:space="preserve"> summed by state. </w:t>
      </w:r>
    </w:p>
    <w:p w:rsidRPr="008C02D0" w:rsidR="00172D7B" w:rsidP="00172D7B" w:rsidRDefault="00172D7B" w14:paraId="66334BE3" w14:textId="49F5AE58">
      <w:pPr>
        <w:numPr>
          <w:ilvl w:val="0"/>
          <w:numId w:val="3"/>
        </w:numPr>
        <w:spacing w:after="0"/>
        <w:rPr>
          <w:szCs w:val="20"/>
        </w:rPr>
      </w:pPr>
      <w:r w:rsidRPr="008C02D0">
        <w:rPr>
          <w:szCs w:val="20"/>
        </w:rPr>
        <w:t>C</w:t>
      </w:r>
      <w:r w:rsidR="00C80050">
        <w:rPr>
          <w:szCs w:val="20"/>
        </w:rPr>
        <w:t>ounty-level known employment is</w:t>
      </w:r>
      <w:r w:rsidRPr="008C02D0">
        <w:rPr>
          <w:szCs w:val="20"/>
        </w:rPr>
        <w:t xml:space="preserve"> subtracted from the state total reported in state-level </w:t>
      </w:r>
      <w:r w:rsidRPr="008C02D0">
        <w:rPr>
          <w:iCs/>
          <w:szCs w:val="20"/>
        </w:rPr>
        <w:t>CBP (</w:t>
      </w:r>
      <w:r w:rsidR="00C80050">
        <w:rPr>
          <w:iCs/>
          <w:szCs w:val="20"/>
        </w:rPr>
        <w:t xml:space="preserve">or, if the state-level data </w:t>
      </w:r>
      <w:r w:rsidR="00280860">
        <w:rPr>
          <w:iCs/>
          <w:szCs w:val="20"/>
        </w:rPr>
        <w:t>are</w:t>
      </w:r>
      <w:r w:rsidRPr="008C02D0">
        <w:rPr>
          <w:iCs/>
          <w:szCs w:val="20"/>
        </w:rPr>
        <w:t xml:space="preserve"> withheld, from the state total estimated using the procedure discussed above).</w:t>
      </w:r>
    </w:p>
    <w:p w:rsidRPr="008C02D0" w:rsidR="00172D7B" w:rsidP="00172D7B" w:rsidRDefault="00172D7B" w14:paraId="58F34371" w14:textId="2B142B20">
      <w:pPr>
        <w:numPr>
          <w:ilvl w:val="0"/>
          <w:numId w:val="3"/>
        </w:numPr>
        <w:spacing w:after="0"/>
        <w:rPr>
          <w:szCs w:val="20"/>
        </w:rPr>
      </w:pPr>
      <w:r w:rsidRPr="008C02D0">
        <w:rPr>
          <w:szCs w:val="20"/>
        </w:rPr>
        <w:t>E</w:t>
      </w:r>
      <w:r w:rsidR="00C80050">
        <w:rPr>
          <w:szCs w:val="20"/>
        </w:rPr>
        <w:t>ach of the withheld counties is</w:t>
      </w:r>
      <w:r w:rsidRPr="008C02D0">
        <w:rPr>
          <w:szCs w:val="20"/>
        </w:rPr>
        <w:t xml:space="preserve"> assigned the mid</w:t>
      </w:r>
      <w:r w:rsidR="00C80050">
        <w:rPr>
          <w:szCs w:val="20"/>
        </w:rPr>
        <w:t>point of the range code (</w:t>
      </w:r>
      <w:r w:rsidR="00C80050">
        <w:rPr>
          <w:szCs w:val="20"/>
        </w:rPr>
        <w:fldChar w:fldCharType="begin"/>
      </w:r>
      <w:r w:rsidR="00C80050">
        <w:rPr>
          <w:szCs w:val="20"/>
        </w:rPr>
        <w:instrText xml:space="preserve"> REF _Ref478726618 \h </w:instrText>
      </w:r>
      <w:r w:rsidR="00C80050">
        <w:rPr>
          <w:szCs w:val="20"/>
        </w:rPr>
      </w:r>
      <w:r w:rsidR="00C80050">
        <w:rPr>
          <w:szCs w:val="20"/>
        </w:rPr>
        <w:fldChar w:fldCharType="separate"/>
      </w:r>
      <w:r w:rsidR="00F65ACC">
        <w:t xml:space="preserve">Table </w:t>
      </w:r>
      <w:r w:rsidR="00F65ACC">
        <w:rPr>
          <w:noProof/>
        </w:rPr>
        <w:t>1</w:t>
      </w:r>
      <w:r w:rsidR="00C80050">
        <w:rPr>
          <w:szCs w:val="20"/>
        </w:rPr>
        <w:fldChar w:fldCharType="end"/>
      </w:r>
      <w:r w:rsidRPr="008C02D0">
        <w:rPr>
          <w:szCs w:val="20"/>
        </w:rPr>
        <w:t xml:space="preserve">).  </w:t>
      </w:r>
    </w:p>
    <w:p w:rsidRPr="008C02D0" w:rsidR="00172D7B" w:rsidP="00172D7B" w:rsidRDefault="00172D7B" w14:paraId="076F292F" w14:textId="51F07276">
      <w:pPr>
        <w:numPr>
          <w:ilvl w:val="0"/>
          <w:numId w:val="3"/>
        </w:numPr>
        <w:spacing w:after="0"/>
        <w:rPr>
          <w:szCs w:val="20"/>
        </w:rPr>
      </w:pPr>
      <w:r w:rsidRPr="008C02D0">
        <w:rPr>
          <w:szCs w:val="20"/>
        </w:rPr>
        <w:t xml:space="preserve">The midpoints for the </w:t>
      </w:r>
      <w:r w:rsidR="00C80050">
        <w:rPr>
          <w:szCs w:val="20"/>
        </w:rPr>
        <w:t>counties with withheld data are</w:t>
      </w:r>
      <w:r w:rsidRPr="008C02D0">
        <w:rPr>
          <w:szCs w:val="20"/>
        </w:rPr>
        <w:t xml:space="preserve"> summed to the state level. </w:t>
      </w:r>
    </w:p>
    <w:p w:rsidRPr="008C02D0" w:rsidR="00172D7B" w:rsidP="00172D7B" w:rsidRDefault="00C80050" w14:paraId="4E8BAF77" w14:textId="710999CF">
      <w:pPr>
        <w:numPr>
          <w:ilvl w:val="0"/>
          <w:numId w:val="3"/>
        </w:numPr>
        <w:spacing w:after="0"/>
        <w:rPr>
          <w:szCs w:val="20"/>
        </w:rPr>
      </w:pPr>
      <w:r>
        <w:rPr>
          <w:szCs w:val="20"/>
        </w:rPr>
        <w:t>An adjustment factor is</w:t>
      </w:r>
      <w:r w:rsidRPr="008C02D0" w:rsidR="00172D7B">
        <w:rPr>
          <w:szCs w:val="20"/>
        </w:rPr>
        <w:t xml:space="preserve"> created by dividing the number of withheld employees (step 2) by the sum of the midpoints (step 4).</w:t>
      </w:r>
    </w:p>
    <w:p w:rsidRPr="008C02D0" w:rsidR="00172D7B" w:rsidP="00172D7B" w:rsidRDefault="00172D7B" w14:paraId="5FD73554" w14:textId="62751319">
      <w:pPr>
        <w:numPr>
          <w:ilvl w:val="0"/>
          <w:numId w:val="3"/>
        </w:numPr>
        <w:spacing w:after="0"/>
        <w:rPr>
          <w:szCs w:val="20"/>
        </w:rPr>
      </w:pPr>
      <w:r w:rsidRPr="008C02D0">
        <w:rPr>
          <w:szCs w:val="20"/>
        </w:rPr>
        <w:t>For counties with withheld employment d</w:t>
      </w:r>
      <w:r w:rsidR="00C80050">
        <w:rPr>
          <w:szCs w:val="20"/>
        </w:rPr>
        <w:t>ata, the midpoints (step 3) are</w:t>
      </w:r>
      <w:r w:rsidRPr="008C02D0">
        <w:rPr>
          <w:szCs w:val="20"/>
        </w:rPr>
        <w:t xml:space="preserve"> multiplied by the adjustment factor (step 5) to calculate the adjusted county-level employment </w:t>
      </w:r>
      <w:r>
        <w:rPr>
          <w:szCs w:val="20"/>
        </w:rPr>
        <w:t>for non-residential construction</w:t>
      </w:r>
      <w:r w:rsidRPr="008C02D0">
        <w:rPr>
          <w:szCs w:val="20"/>
        </w:rPr>
        <w:t>.</w:t>
      </w:r>
    </w:p>
    <w:p w:rsidRPr="008C02D0" w:rsidR="00172D7B" w:rsidP="00172D7B" w:rsidRDefault="00172D7B" w14:paraId="5E25D432" w14:textId="77777777">
      <w:pPr>
        <w:spacing w:after="0"/>
        <w:rPr>
          <w:szCs w:val="20"/>
        </w:rPr>
      </w:pPr>
    </w:p>
    <w:p w:rsidRPr="008C02D0" w:rsidR="00172D7B" w:rsidP="00172D7B" w:rsidRDefault="00172D7B" w14:paraId="6C4A6597" w14:textId="77777777">
      <w:pPr>
        <w:spacing w:after="0"/>
        <w:rPr>
          <w:szCs w:val="20"/>
        </w:rPr>
      </w:pPr>
      <w:r w:rsidRPr="008C02D0">
        <w:rPr>
          <w:szCs w:val="20"/>
        </w:rPr>
        <w:t xml:space="preserve">Note that step 5 adjusts all counties within each state with withheld employment data by the same state-based proportion.  It is unlikely that actual employment corresponds exactly with this smoothed adjustment method, but this method is the best option given the availability of the data. </w:t>
      </w:r>
    </w:p>
    <w:p w:rsidR="00C80050" w:rsidP="00C80050" w:rsidRDefault="00C80050" w14:paraId="7939B924" w14:textId="75D23C2A">
      <w:pPr>
        <w:pStyle w:val="TableCaption"/>
      </w:pPr>
      <w:bookmarkStart w:name="_Ref478726618" w:id="5"/>
      <w:r>
        <w:lastRenderedPageBreak/>
        <w:t xml:space="preserve">Table </w:t>
      </w:r>
      <w:r w:rsidR="004A4C3F">
        <w:fldChar w:fldCharType="begin"/>
      </w:r>
      <w:r w:rsidR="004A4C3F">
        <w:instrText xml:space="preserve"> SEQ Table \* ARABIC </w:instrText>
      </w:r>
      <w:r w:rsidR="004A4C3F">
        <w:fldChar w:fldCharType="separate"/>
      </w:r>
      <w:r w:rsidR="00F65ACC">
        <w:rPr>
          <w:noProof/>
        </w:rPr>
        <w:t>1</w:t>
      </w:r>
      <w:r w:rsidR="004A4C3F">
        <w:rPr>
          <w:noProof/>
        </w:rPr>
        <w:fldChar w:fldCharType="end"/>
      </w:r>
      <w:bookmarkEnd w:id="5"/>
      <w:r>
        <w:t xml:space="preserve">. Ranges and Midpoints for Data Withheld from State </w:t>
      </w:r>
      <w:r w:rsidR="00B41652">
        <w:t>a</w:t>
      </w:r>
      <w:r>
        <w:t>nd County Business Patterns</w:t>
      </w:r>
    </w:p>
    <w:tbl>
      <w:tblPr>
        <w:tblW w:w="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1440"/>
        <w:gridCol w:w="1017"/>
      </w:tblGrid>
      <w:tr w:rsidRPr="008C02D0" w:rsidR="00172D7B" w:rsidTr="00172D7B" w14:paraId="50083851" w14:textId="77777777">
        <w:trPr>
          <w:trHeight w:val="20"/>
          <w:jc w:val="center"/>
        </w:trPr>
        <w:tc>
          <w:tcPr>
            <w:tcW w:w="1280" w:type="dxa"/>
            <w:shd w:val="clear" w:color="000000" w:fill="C0C0C0"/>
            <w:noWrap/>
            <w:vAlign w:val="bottom"/>
            <w:hideMark/>
          </w:tcPr>
          <w:p w:rsidRPr="008C02D0" w:rsidR="00172D7B" w:rsidP="00172D7B" w:rsidRDefault="00172D7B" w14:paraId="127CE9A7" w14:textId="77777777">
            <w:pPr>
              <w:spacing w:after="0"/>
              <w:jc w:val="center"/>
              <w:rPr>
                <w:b/>
                <w:bCs/>
                <w:color w:val="000000"/>
              </w:rPr>
            </w:pPr>
            <w:bookmarkStart w:name="RANGE!A1" w:id="6"/>
            <w:r w:rsidRPr="008C02D0">
              <w:rPr>
                <w:b/>
                <w:bCs/>
                <w:color w:val="000000"/>
              </w:rPr>
              <w:t>Range Letter</w:t>
            </w:r>
            <w:bookmarkEnd w:id="6"/>
          </w:p>
        </w:tc>
        <w:tc>
          <w:tcPr>
            <w:tcW w:w="1440" w:type="dxa"/>
            <w:shd w:val="clear" w:color="000000" w:fill="C0C0C0"/>
            <w:noWrap/>
            <w:vAlign w:val="bottom"/>
            <w:hideMark/>
          </w:tcPr>
          <w:p w:rsidRPr="008C02D0" w:rsidR="00172D7B" w:rsidP="00172D7B" w:rsidRDefault="00172D7B" w14:paraId="5D1C619D" w14:textId="77777777">
            <w:pPr>
              <w:spacing w:after="0"/>
              <w:jc w:val="center"/>
              <w:rPr>
                <w:b/>
                <w:bCs/>
                <w:color w:val="000000"/>
              </w:rPr>
            </w:pPr>
            <w:r w:rsidRPr="008C02D0">
              <w:rPr>
                <w:b/>
                <w:bCs/>
                <w:color w:val="000000"/>
              </w:rPr>
              <w:t>Ranges</w:t>
            </w:r>
          </w:p>
        </w:tc>
        <w:tc>
          <w:tcPr>
            <w:tcW w:w="1017" w:type="dxa"/>
            <w:shd w:val="clear" w:color="000000" w:fill="C0C0C0"/>
            <w:noWrap/>
            <w:vAlign w:val="bottom"/>
            <w:hideMark/>
          </w:tcPr>
          <w:p w:rsidRPr="008C02D0" w:rsidR="00172D7B" w:rsidP="00172D7B" w:rsidRDefault="00172D7B" w14:paraId="24D9BBD9" w14:textId="77777777">
            <w:pPr>
              <w:spacing w:after="0"/>
              <w:jc w:val="center"/>
              <w:rPr>
                <w:b/>
                <w:bCs/>
                <w:color w:val="000000"/>
              </w:rPr>
            </w:pPr>
            <w:r w:rsidRPr="008C02D0">
              <w:rPr>
                <w:b/>
                <w:bCs/>
                <w:color w:val="000000"/>
              </w:rPr>
              <w:t>Midpoint</w:t>
            </w:r>
          </w:p>
        </w:tc>
      </w:tr>
      <w:tr w:rsidRPr="008C02D0" w:rsidR="00172D7B" w:rsidTr="00172D7B" w14:paraId="18CC27F5" w14:textId="77777777">
        <w:trPr>
          <w:trHeight w:val="20"/>
          <w:jc w:val="center"/>
        </w:trPr>
        <w:tc>
          <w:tcPr>
            <w:tcW w:w="1280" w:type="dxa"/>
            <w:shd w:val="clear" w:color="auto" w:fill="auto"/>
            <w:vAlign w:val="bottom"/>
            <w:hideMark/>
          </w:tcPr>
          <w:p w:rsidRPr="008C02D0" w:rsidR="00172D7B" w:rsidP="00172D7B" w:rsidRDefault="00172D7B" w14:paraId="66655603" w14:textId="77777777">
            <w:pPr>
              <w:spacing w:after="0"/>
              <w:jc w:val="center"/>
              <w:rPr>
                <w:color w:val="000000"/>
              </w:rPr>
            </w:pPr>
            <w:r w:rsidRPr="008C02D0">
              <w:rPr>
                <w:color w:val="000000"/>
              </w:rPr>
              <w:t>A</w:t>
            </w:r>
          </w:p>
        </w:tc>
        <w:tc>
          <w:tcPr>
            <w:tcW w:w="1440" w:type="dxa"/>
            <w:shd w:val="clear" w:color="auto" w:fill="auto"/>
            <w:vAlign w:val="bottom"/>
            <w:hideMark/>
          </w:tcPr>
          <w:p w:rsidRPr="008C02D0" w:rsidR="00172D7B" w:rsidP="00172D7B" w:rsidRDefault="00172D7B" w14:paraId="58A1A215" w14:textId="77777777">
            <w:pPr>
              <w:spacing w:after="0"/>
              <w:jc w:val="center"/>
              <w:rPr>
                <w:color w:val="000000"/>
              </w:rPr>
            </w:pPr>
            <w:r w:rsidRPr="008C02D0">
              <w:rPr>
                <w:color w:val="000000"/>
              </w:rPr>
              <w:t>0-19</w:t>
            </w:r>
          </w:p>
        </w:tc>
        <w:tc>
          <w:tcPr>
            <w:tcW w:w="1017" w:type="dxa"/>
            <w:shd w:val="clear" w:color="auto" w:fill="auto"/>
            <w:vAlign w:val="bottom"/>
            <w:hideMark/>
          </w:tcPr>
          <w:p w:rsidRPr="008C02D0" w:rsidR="00172D7B" w:rsidP="00172D7B" w:rsidRDefault="00172D7B" w14:paraId="4BD3D62C" w14:textId="77777777">
            <w:pPr>
              <w:spacing w:after="0"/>
              <w:jc w:val="right"/>
              <w:rPr>
                <w:color w:val="000000"/>
              </w:rPr>
            </w:pPr>
            <w:r w:rsidRPr="008C02D0">
              <w:rPr>
                <w:color w:val="000000"/>
              </w:rPr>
              <w:t>10</w:t>
            </w:r>
          </w:p>
        </w:tc>
      </w:tr>
      <w:tr w:rsidRPr="008C02D0" w:rsidR="00172D7B" w:rsidTr="00172D7B" w14:paraId="7A2CE936" w14:textId="77777777">
        <w:trPr>
          <w:trHeight w:val="20"/>
          <w:jc w:val="center"/>
        </w:trPr>
        <w:tc>
          <w:tcPr>
            <w:tcW w:w="1280" w:type="dxa"/>
            <w:shd w:val="clear" w:color="auto" w:fill="auto"/>
            <w:vAlign w:val="bottom"/>
            <w:hideMark/>
          </w:tcPr>
          <w:p w:rsidRPr="008C02D0" w:rsidR="00172D7B" w:rsidP="00172D7B" w:rsidRDefault="00172D7B" w14:paraId="6B25B0E7" w14:textId="77777777">
            <w:pPr>
              <w:spacing w:after="0"/>
              <w:jc w:val="center"/>
              <w:rPr>
                <w:color w:val="000000"/>
              </w:rPr>
            </w:pPr>
            <w:r w:rsidRPr="008C02D0">
              <w:rPr>
                <w:color w:val="000000"/>
              </w:rPr>
              <w:t>B</w:t>
            </w:r>
          </w:p>
        </w:tc>
        <w:tc>
          <w:tcPr>
            <w:tcW w:w="1440" w:type="dxa"/>
            <w:shd w:val="clear" w:color="auto" w:fill="auto"/>
            <w:vAlign w:val="bottom"/>
            <w:hideMark/>
          </w:tcPr>
          <w:p w:rsidRPr="008C02D0" w:rsidR="00172D7B" w:rsidP="00172D7B" w:rsidRDefault="00172D7B" w14:paraId="20007206" w14:textId="77777777">
            <w:pPr>
              <w:spacing w:after="0"/>
              <w:jc w:val="center"/>
              <w:rPr>
                <w:color w:val="000000"/>
              </w:rPr>
            </w:pPr>
            <w:r w:rsidRPr="008C02D0">
              <w:rPr>
                <w:color w:val="000000"/>
              </w:rPr>
              <w:t>20-99</w:t>
            </w:r>
          </w:p>
        </w:tc>
        <w:tc>
          <w:tcPr>
            <w:tcW w:w="1017" w:type="dxa"/>
            <w:shd w:val="clear" w:color="auto" w:fill="auto"/>
            <w:vAlign w:val="bottom"/>
            <w:hideMark/>
          </w:tcPr>
          <w:p w:rsidRPr="008C02D0" w:rsidR="00172D7B" w:rsidP="00172D7B" w:rsidRDefault="00172D7B" w14:paraId="4C231D6E" w14:textId="77777777">
            <w:pPr>
              <w:spacing w:after="0"/>
              <w:jc w:val="right"/>
              <w:rPr>
                <w:color w:val="000000"/>
              </w:rPr>
            </w:pPr>
            <w:r w:rsidRPr="008C02D0">
              <w:rPr>
                <w:color w:val="000000"/>
              </w:rPr>
              <w:t>60</w:t>
            </w:r>
          </w:p>
        </w:tc>
      </w:tr>
      <w:tr w:rsidRPr="008C02D0" w:rsidR="00172D7B" w:rsidTr="00172D7B" w14:paraId="6C56093D" w14:textId="77777777">
        <w:trPr>
          <w:trHeight w:val="20"/>
          <w:jc w:val="center"/>
        </w:trPr>
        <w:tc>
          <w:tcPr>
            <w:tcW w:w="1280" w:type="dxa"/>
            <w:shd w:val="clear" w:color="auto" w:fill="auto"/>
            <w:vAlign w:val="bottom"/>
            <w:hideMark/>
          </w:tcPr>
          <w:p w:rsidRPr="008C02D0" w:rsidR="00172D7B" w:rsidP="00172D7B" w:rsidRDefault="00172D7B" w14:paraId="27FBBE2C" w14:textId="77777777">
            <w:pPr>
              <w:spacing w:after="0"/>
              <w:jc w:val="center"/>
              <w:rPr>
                <w:color w:val="000000"/>
              </w:rPr>
            </w:pPr>
            <w:r w:rsidRPr="008C02D0">
              <w:rPr>
                <w:color w:val="000000"/>
              </w:rPr>
              <w:t>C</w:t>
            </w:r>
          </w:p>
        </w:tc>
        <w:tc>
          <w:tcPr>
            <w:tcW w:w="1440" w:type="dxa"/>
            <w:shd w:val="clear" w:color="auto" w:fill="auto"/>
            <w:vAlign w:val="bottom"/>
            <w:hideMark/>
          </w:tcPr>
          <w:p w:rsidRPr="008C02D0" w:rsidR="00172D7B" w:rsidP="00172D7B" w:rsidRDefault="00172D7B" w14:paraId="7FBB53B4" w14:textId="77777777">
            <w:pPr>
              <w:spacing w:after="0"/>
              <w:jc w:val="center"/>
              <w:rPr>
                <w:color w:val="000000"/>
              </w:rPr>
            </w:pPr>
            <w:r w:rsidRPr="008C02D0">
              <w:rPr>
                <w:color w:val="000000"/>
              </w:rPr>
              <w:t>100-249</w:t>
            </w:r>
          </w:p>
        </w:tc>
        <w:tc>
          <w:tcPr>
            <w:tcW w:w="1017" w:type="dxa"/>
            <w:shd w:val="clear" w:color="auto" w:fill="auto"/>
            <w:vAlign w:val="bottom"/>
            <w:hideMark/>
          </w:tcPr>
          <w:p w:rsidRPr="008C02D0" w:rsidR="00172D7B" w:rsidP="00172D7B" w:rsidRDefault="00172D7B" w14:paraId="508729A9" w14:textId="77777777">
            <w:pPr>
              <w:spacing w:after="0"/>
              <w:jc w:val="right"/>
              <w:rPr>
                <w:color w:val="000000"/>
              </w:rPr>
            </w:pPr>
            <w:r w:rsidRPr="008C02D0">
              <w:rPr>
                <w:color w:val="000000"/>
              </w:rPr>
              <w:t>175</w:t>
            </w:r>
          </w:p>
        </w:tc>
      </w:tr>
      <w:tr w:rsidRPr="008C02D0" w:rsidR="00172D7B" w:rsidTr="00172D7B" w14:paraId="1E0A6168" w14:textId="77777777">
        <w:trPr>
          <w:trHeight w:val="20"/>
          <w:jc w:val="center"/>
        </w:trPr>
        <w:tc>
          <w:tcPr>
            <w:tcW w:w="1280" w:type="dxa"/>
            <w:shd w:val="clear" w:color="auto" w:fill="auto"/>
            <w:vAlign w:val="bottom"/>
            <w:hideMark/>
          </w:tcPr>
          <w:p w:rsidRPr="008C02D0" w:rsidR="00172D7B" w:rsidP="00172D7B" w:rsidRDefault="00172D7B" w14:paraId="3BAD68FD" w14:textId="77777777">
            <w:pPr>
              <w:spacing w:after="0"/>
              <w:jc w:val="center"/>
              <w:rPr>
                <w:color w:val="000000"/>
              </w:rPr>
            </w:pPr>
            <w:r w:rsidRPr="008C02D0">
              <w:rPr>
                <w:color w:val="000000"/>
              </w:rPr>
              <w:t>E</w:t>
            </w:r>
          </w:p>
        </w:tc>
        <w:tc>
          <w:tcPr>
            <w:tcW w:w="1440" w:type="dxa"/>
            <w:shd w:val="clear" w:color="auto" w:fill="auto"/>
            <w:vAlign w:val="bottom"/>
            <w:hideMark/>
          </w:tcPr>
          <w:p w:rsidRPr="008C02D0" w:rsidR="00172D7B" w:rsidP="00172D7B" w:rsidRDefault="00172D7B" w14:paraId="06A1871C" w14:textId="77777777">
            <w:pPr>
              <w:spacing w:after="0"/>
              <w:jc w:val="center"/>
              <w:rPr>
                <w:color w:val="000000"/>
              </w:rPr>
            </w:pPr>
            <w:r w:rsidRPr="008C02D0">
              <w:rPr>
                <w:color w:val="000000"/>
              </w:rPr>
              <w:t>250-499</w:t>
            </w:r>
          </w:p>
        </w:tc>
        <w:tc>
          <w:tcPr>
            <w:tcW w:w="1017" w:type="dxa"/>
            <w:shd w:val="clear" w:color="auto" w:fill="auto"/>
            <w:vAlign w:val="bottom"/>
            <w:hideMark/>
          </w:tcPr>
          <w:p w:rsidRPr="008C02D0" w:rsidR="00172D7B" w:rsidP="00172D7B" w:rsidRDefault="00172D7B" w14:paraId="7DC8DE70" w14:textId="77777777">
            <w:pPr>
              <w:spacing w:after="0"/>
              <w:jc w:val="right"/>
              <w:rPr>
                <w:color w:val="000000"/>
              </w:rPr>
            </w:pPr>
            <w:r w:rsidRPr="008C02D0">
              <w:rPr>
                <w:color w:val="000000"/>
              </w:rPr>
              <w:t>375</w:t>
            </w:r>
          </w:p>
        </w:tc>
      </w:tr>
      <w:tr w:rsidRPr="008C02D0" w:rsidR="00172D7B" w:rsidTr="00172D7B" w14:paraId="622B749F" w14:textId="77777777">
        <w:trPr>
          <w:trHeight w:val="20"/>
          <w:jc w:val="center"/>
        </w:trPr>
        <w:tc>
          <w:tcPr>
            <w:tcW w:w="1280" w:type="dxa"/>
            <w:shd w:val="clear" w:color="auto" w:fill="auto"/>
            <w:vAlign w:val="bottom"/>
            <w:hideMark/>
          </w:tcPr>
          <w:p w:rsidRPr="008C02D0" w:rsidR="00172D7B" w:rsidP="00172D7B" w:rsidRDefault="00172D7B" w14:paraId="0F4789DB" w14:textId="77777777">
            <w:pPr>
              <w:spacing w:after="0"/>
              <w:jc w:val="center"/>
              <w:rPr>
                <w:color w:val="000000"/>
              </w:rPr>
            </w:pPr>
            <w:r w:rsidRPr="008C02D0">
              <w:rPr>
                <w:color w:val="000000"/>
              </w:rPr>
              <w:t>F</w:t>
            </w:r>
          </w:p>
        </w:tc>
        <w:tc>
          <w:tcPr>
            <w:tcW w:w="1440" w:type="dxa"/>
            <w:shd w:val="clear" w:color="auto" w:fill="auto"/>
            <w:vAlign w:val="bottom"/>
            <w:hideMark/>
          </w:tcPr>
          <w:p w:rsidRPr="008C02D0" w:rsidR="00172D7B" w:rsidP="00172D7B" w:rsidRDefault="00172D7B" w14:paraId="46805D71" w14:textId="77777777">
            <w:pPr>
              <w:spacing w:after="0"/>
              <w:jc w:val="center"/>
              <w:rPr>
                <w:color w:val="000000"/>
              </w:rPr>
            </w:pPr>
            <w:r w:rsidRPr="008C02D0">
              <w:rPr>
                <w:color w:val="000000"/>
              </w:rPr>
              <w:t>500-999</w:t>
            </w:r>
          </w:p>
        </w:tc>
        <w:tc>
          <w:tcPr>
            <w:tcW w:w="1017" w:type="dxa"/>
            <w:shd w:val="clear" w:color="auto" w:fill="auto"/>
            <w:vAlign w:val="bottom"/>
            <w:hideMark/>
          </w:tcPr>
          <w:p w:rsidRPr="008C02D0" w:rsidR="00172D7B" w:rsidP="00172D7B" w:rsidRDefault="00172D7B" w14:paraId="458D8B72" w14:textId="77777777">
            <w:pPr>
              <w:spacing w:after="0"/>
              <w:jc w:val="right"/>
              <w:rPr>
                <w:color w:val="000000"/>
              </w:rPr>
            </w:pPr>
            <w:r w:rsidRPr="008C02D0">
              <w:rPr>
                <w:color w:val="000000"/>
              </w:rPr>
              <w:t>750</w:t>
            </w:r>
          </w:p>
        </w:tc>
      </w:tr>
      <w:tr w:rsidRPr="008C02D0" w:rsidR="00172D7B" w:rsidTr="00172D7B" w14:paraId="732CFB20" w14:textId="77777777">
        <w:trPr>
          <w:trHeight w:val="20"/>
          <w:jc w:val="center"/>
        </w:trPr>
        <w:tc>
          <w:tcPr>
            <w:tcW w:w="1280" w:type="dxa"/>
            <w:shd w:val="clear" w:color="auto" w:fill="auto"/>
            <w:vAlign w:val="bottom"/>
            <w:hideMark/>
          </w:tcPr>
          <w:p w:rsidRPr="008C02D0" w:rsidR="00172D7B" w:rsidP="00172D7B" w:rsidRDefault="00172D7B" w14:paraId="3825DA4B" w14:textId="77777777">
            <w:pPr>
              <w:spacing w:after="0"/>
              <w:jc w:val="center"/>
              <w:rPr>
                <w:color w:val="000000"/>
              </w:rPr>
            </w:pPr>
            <w:r w:rsidRPr="008C02D0">
              <w:rPr>
                <w:color w:val="000000"/>
              </w:rPr>
              <w:t>G</w:t>
            </w:r>
          </w:p>
        </w:tc>
        <w:tc>
          <w:tcPr>
            <w:tcW w:w="1440" w:type="dxa"/>
            <w:shd w:val="clear" w:color="auto" w:fill="auto"/>
            <w:vAlign w:val="bottom"/>
            <w:hideMark/>
          </w:tcPr>
          <w:p w:rsidRPr="008C02D0" w:rsidR="00172D7B" w:rsidP="00172D7B" w:rsidRDefault="00172D7B" w14:paraId="1F34439E" w14:textId="77777777">
            <w:pPr>
              <w:spacing w:after="0"/>
              <w:jc w:val="center"/>
              <w:rPr>
                <w:color w:val="000000"/>
              </w:rPr>
            </w:pPr>
            <w:r w:rsidRPr="008C02D0">
              <w:rPr>
                <w:color w:val="000000"/>
              </w:rPr>
              <w:t>1,000-2,499</w:t>
            </w:r>
          </w:p>
        </w:tc>
        <w:tc>
          <w:tcPr>
            <w:tcW w:w="1017" w:type="dxa"/>
            <w:shd w:val="clear" w:color="auto" w:fill="auto"/>
            <w:vAlign w:val="bottom"/>
            <w:hideMark/>
          </w:tcPr>
          <w:p w:rsidRPr="008C02D0" w:rsidR="00172D7B" w:rsidP="00172D7B" w:rsidRDefault="00172D7B" w14:paraId="3312CC1B" w14:textId="77777777">
            <w:pPr>
              <w:spacing w:after="0"/>
              <w:jc w:val="right"/>
              <w:rPr>
                <w:color w:val="000000"/>
              </w:rPr>
            </w:pPr>
            <w:r w:rsidRPr="008C02D0">
              <w:rPr>
                <w:color w:val="000000"/>
              </w:rPr>
              <w:t>1,750</w:t>
            </w:r>
          </w:p>
        </w:tc>
      </w:tr>
      <w:tr w:rsidRPr="008C02D0" w:rsidR="00172D7B" w:rsidTr="00172D7B" w14:paraId="0919AA03" w14:textId="77777777">
        <w:trPr>
          <w:trHeight w:val="20"/>
          <w:jc w:val="center"/>
        </w:trPr>
        <w:tc>
          <w:tcPr>
            <w:tcW w:w="1280" w:type="dxa"/>
            <w:shd w:val="clear" w:color="auto" w:fill="auto"/>
            <w:vAlign w:val="bottom"/>
            <w:hideMark/>
          </w:tcPr>
          <w:p w:rsidRPr="008C02D0" w:rsidR="00172D7B" w:rsidP="00172D7B" w:rsidRDefault="00172D7B" w14:paraId="1FAAFA3B" w14:textId="77777777">
            <w:pPr>
              <w:spacing w:after="0"/>
              <w:jc w:val="center"/>
              <w:rPr>
                <w:color w:val="000000"/>
              </w:rPr>
            </w:pPr>
            <w:r w:rsidRPr="008C02D0">
              <w:rPr>
                <w:color w:val="000000"/>
              </w:rPr>
              <w:t>H</w:t>
            </w:r>
          </w:p>
        </w:tc>
        <w:tc>
          <w:tcPr>
            <w:tcW w:w="1440" w:type="dxa"/>
            <w:shd w:val="clear" w:color="auto" w:fill="auto"/>
            <w:vAlign w:val="bottom"/>
            <w:hideMark/>
          </w:tcPr>
          <w:p w:rsidRPr="008C02D0" w:rsidR="00172D7B" w:rsidP="00172D7B" w:rsidRDefault="00172D7B" w14:paraId="7D4E69CB" w14:textId="77777777">
            <w:pPr>
              <w:spacing w:after="0"/>
              <w:jc w:val="center"/>
              <w:rPr>
                <w:color w:val="000000"/>
              </w:rPr>
            </w:pPr>
            <w:r w:rsidRPr="008C02D0">
              <w:rPr>
                <w:color w:val="000000"/>
              </w:rPr>
              <w:t>2,500-4,999</w:t>
            </w:r>
          </w:p>
        </w:tc>
        <w:tc>
          <w:tcPr>
            <w:tcW w:w="1017" w:type="dxa"/>
            <w:shd w:val="clear" w:color="auto" w:fill="auto"/>
            <w:vAlign w:val="bottom"/>
            <w:hideMark/>
          </w:tcPr>
          <w:p w:rsidRPr="008C02D0" w:rsidR="00172D7B" w:rsidP="00172D7B" w:rsidRDefault="00172D7B" w14:paraId="443D9213" w14:textId="77777777">
            <w:pPr>
              <w:spacing w:after="0"/>
              <w:jc w:val="right"/>
              <w:rPr>
                <w:color w:val="000000"/>
              </w:rPr>
            </w:pPr>
            <w:r w:rsidRPr="008C02D0">
              <w:rPr>
                <w:color w:val="000000"/>
              </w:rPr>
              <w:t>3,750</w:t>
            </w:r>
          </w:p>
        </w:tc>
      </w:tr>
      <w:tr w:rsidRPr="008C02D0" w:rsidR="00172D7B" w:rsidTr="00172D7B" w14:paraId="36F58591" w14:textId="77777777">
        <w:trPr>
          <w:trHeight w:val="20"/>
          <w:jc w:val="center"/>
        </w:trPr>
        <w:tc>
          <w:tcPr>
            <w:tcW w:w="1280" w:type="dxa"/>
            <w:shd w:val="clear" w:color="auto" w:fill="auto"/>
            <w:vAlign w:val="bottom"/>
            <w:hideMark/>
          </w:tcPr>
          <w:p w:rsidRPr="008C02D0" w:rsidR="00172D7B" w:rsidP="00172D7B" w:rsidRDefault="00172D7B" w14:paraId="389BF707" w14:textId="77777777">
            <w:pPr>
              <w:spacing w:after="0"/>
              <w:jc w:val="center"/>
              <w:rPr>
                <w:color w:val="000000"/>
              </w:rPr>
            </w:pPr>
            <w:r w:rsidRPr="008C02D0">
              <w:rPr>
                <w:color w:val="000000"/>
              </w:rPr>
              <w:t>I</w:t>
            </w:r>
          </w:p>
        </w:tc>
        <w:tc>
          <w:tcPr>
            <w:tcW w:w="1440" w:type="dxa"/>
            <w:shd w:val="clear" w:color="auto" w:fill="auto"/>
            <w:vAlign w:val="bottom"/>
            <w:hideMark/>
          </w:tcPr>
          <w:p w:rsidRPr="008C02D0" w:rsidR="00172D7B" w:rsidP="00172D7B" w:rsidRDefault="00172D7B" w14:paraId="52609B63" w14:textId="77777777">
            <w:pPr>
              <w:spacing w:after="0"/>
              <w:jc w:val="center"/>
              <w:rPr>
                <w:color w:val="000000"/>
              </w:rPr>
            </w:pPr>
            <w:r w:rsidRPr="008C02D0">
              <w:rPr>
                <w:color w:val="000000"/>
              </w:rPr>
              <w:t>5,000-9,999</w:t>
            </w:r>
          </w:p>
        </w:tc>
        <w:tc>
          <w:tcPr>
            <w:tcW w:w="1017" w:type="dxa"/>
            <w:shd w:val="clear" w:color="auto" w:fill="auto"/>
            <w:vAlign w:val="bottom"/>
            <w:hideMark/>
          </w:tcPr>
          <w:p w:rsidRPr="008C02D0" w:rsidR="00172D7B" w:rsidP="00172D7B" w:rsidRDefault="00172D7B" w14:paraId="5F36089E" w14:textId="77777777">
            <w:pPr>
              <w:spacing w:after="0"/>
              <w:jc w:val="right"/>
              <w:rPr>
                <w:color w:val="000000"/>
              </w:rPr>
            </w:pPr>
            <w:r w:rsidRPr="008C02D0">
              <w:rPr>
                <w:color w:val="000000"/>
              </w:rPr>
              <w:t>7,500</w:t>
            </w:r>
          </w:p>
        </w:tc>
      </w:tr>
      <w:tr w:rsidRPr="008C02D0" w:rsidR="00172D7B" w:rsidTr="00172D7B" w14:paraId="33D05E76" w14:textId="77777777">
        <w:trPr>
          <w:trHeight w:val="20"/>
          <w:jc w:val="center"/>
        </w:trPr>
        <w:tc>
          <w:tcPr>
            <w:tcW w:w="1280" w:type="dxa"/>
            <w:shd w:val="clear" w:color="auto" w:fill="auto"/>
            <w:vAlign w:val="bottom"/>
            <w:hideMark/>
          </w:tcPr>
          <w:p w:rsidRPr="008C02D0" w:rsidR="00172D7B" w:rsidP="00172D7B" w:rsidRDefault="00172D7B" w14:paraId="0411E24C" w14:textId="77777777">
            <w:pPr>
              <w:spacing w:after="0"/>
              <w:jc w:val="center"/>
              <w:rPr>
                <w:color w:val="000000"/>
              </w:rPr>
            </w:pPr>
            <w:r w:rsidRPr="008C02D0">
              <w:rPr>
                <w:color w:val="000000"/>
              </w:rPr>
              <w:t>J</w:t>
            </w:r>
          </w:p>
        </w:tc>
        <w:tc>
          <w:tcPr>
            <w:tcW w:w="1440" w:type="dxa"/>
            <w:shd w:val="clear" w:color="auto" w:fill="auto"/>
            <w:vAlign w:val="bottom"/>
            <w:hideMark/>
          </w:tcPr>
          <w:p w:rsidRPr="008C02D0" w:rsidR="00172D7B" w:rsidP="00172D7B" w:rsidRDefault="00172D7B" w14:paraId="3D233030" w14:textId="77777777">
            <w:pPr>
              <w:spacing w:after="0"/>
              <w:jc w:val="center"/>
              <w:rPr>
                <w:color w:val="000000"/>
              </w:rPr>
            </w:pPr>
            <w:r w:rsidRPr="008C02D0">
              <w:rPr>
                <w:color w:val="000000"/>
              </w:rPr>
              <w:t>10,000-24,999</w:t>
            </w:r>
          </w:p>
        </w:tc>
        <w:tc>
          <w:tcPr>
            <w:tcW w:w="1017" w:type="dxa"/>
            <w:shd w:val="clear" w:color="auto" w:fill="auto"/>
            <w:vAlign w:val="bottom"/>
            <w:hideMark/>
          </w:tcPr>
          <w:p w:rsidRPr="008C02D0" w:rsidR="00172D7B" w:rsidP="00172D7B" w:rsidRDefault="00172D7B" w14:paraId="09FC6C38" w14:textId="77777777">
            <w:pPr>
              <w:spacing w:after="0"/>
              <w:jc w:val="right"/>
              <w:rPr>
                <w:color w:val="000000"/>
              </w:rPr>
            </w:pPr>
            <w:r w:rsidRPr="008C02D0">
              <w:rPr>
                <w:color w:val="000000"/>
              </w:rPr>
              <w:t>17,500</w:t>
            </w:r>
          </w:p>
        </w:tc>
      </w:tr>
      <w:tr w:rsidRPr="008C02D0" w:rsidR="00172D7B" w:rsidTr="00172D7B" w14:paraId="7F99B189" w14:textId="77777777">
        <w:trPr>
          <w:trHeight w:val="20"/>
          <w:jc w:val="center"/>
        </w:trPr>
        <w:tc>
          <w:tcPr>
            <w:tcW w:w="1280" w:type="dxa"/>
            <w:shd w:val="clear" w:color="auto" w:fill="auto"/>
            <w:vAlign w:val="bottom"/>
            <w:hideMark/>
          </w:tcPr>
          <w:p w:rsidRPr="008C02D0" w:rsidR="00172D7B" w:rsidP="00172D7B" w:rsidRDefault="00172D7B" w14:paraId="5BC49E98" w14:textId="77777777">
            <w:pPr>
              <w:spacing w:after="0"/>
              <w:jc w:val="center"/>
              <w:rPr>
                <w:color w:val="000000"/>
              </w:rPr>
            </w:pPr>
            <w:r w:rsidRPr="008C02D0">
              <w:rPr>
                <w:color w:val="000000"/>
              </w:rPr>
              <w:t>K</w:t>
            </w:r>
          </w:p>
        </w:tc>
        <w:tc>
          <w:tcPr>
            <w:tcW w:w="1440" w:type="dxa"/>
            <w:shd w:val="clear" w:color="auto" w:fill="auto"/>
            <w:vAlign w:val="bottom"/>
            <w:hideMark/>
          </w:tcPr>
          <w:p w:rsidRPr="008C02D0" w:rsidR="00172D7B" w:rsidP="00172D7B" w:rsidRDefault="00172D7B" w14:paraId="2105233C" w14:textId="77777777">
            <w:pPr>
              <w:spacing w:after="0"/>
              <w:jc w:val="center"/>
              <w:rPr>
                <w:color w:val="000000"/>
              </w:rPr>
            </w:pPr>
            <w:r w:rsidRPr="008C02D0">
              <w:rPr>
                <w:color w:val="000000"/>
              </w:rPr>
              <w:t>25,000-49,999</w:t>
            </w:r>
          </w:p>
        </w:tc>
        <w:tc>
          <w:tcPr>
            <w:tcW w:w="1017" w:type="dxa"/>
            <w:shd w:val="clear" w:color="auto" w:fill="auto"/>
            <w:vAlign w:val="bottom"/>
            <w:hideMark/>
          </w:tcPr>
          <w:p w:rsidRPr="008C02D0" w:rsidR="00172D7B" w:rsidP="00172D7B" w:rsidRDefault="00172D7B" w14:paraId="5D256B7E" w14:textId="77777777">
            <w:pPr>
              <w:spacing w:after="0"/>
              <w:jc w:val="right"/>
              <w:rPr>
                <w:color w:val="000000"/>
              </w:rPr>
            </w:pPr>
            <w:r w:rsidRPr="008C02D0">
              <w:rPr>
                <w:color w:val="000000"/>
              </w:rPr>
              <w:t>37,500</w:t>
            </w:r>
          </w:p>
        </w:tc>
      </w:tr>
      <w:tr w:rsidRPr="008C02D0" w:rsidR="00172D7B" w:rsidTr="00172D7B" w14:paraId="605222C9" w14:textId="77777777">
        <w:trPr>
          <w:trHeight w:val="20"/>
          <w:jc w:val="center"/>
        </w:trPr>
        <w:tc>
          <w:tcPr>
            <w:tcW w:w="1280" w:type="dxa"/>
            <w:shd w:val="clear" w:color="auto" w:fill="auto"/>
            <w:vAlign w:val="bottom"/>
            <w:hideMark/>
          </w:tcPr>
          <w:p w:rsidRPr="008C02D0" w:rsidR="00172D7B" w:rsidP="00172D7B" w:rsidRDefault="00172D7B" w14:paraId="463CE322" w14:textId="77777777">
            <w:pPr>
              <w:spacing w:after="0"/>
              <w:jc w:val="center"/>
              <w:rPr>
                <w:color w:val="000000"/>
              </w:rPr>
            </w:pPr>
            <w:r w:rsidRPr="008C02D0">
              <w:rPr>
                <w:color w:val="000000"/>
              </w:rPr>
              <w:t>L</w:t>
            </w:r>
          </w:p>
        </w:tc>
        <w:tc>
          <w:tcPr>
            <w:tcW w:w="1440" w:type="dxa"/>
            <w:shd w:val="clear" w:color="auto" w:fill="auto"/>
            <w:vAlign w:val="bottom"/>
            <w:hideMark/>
          </w:tcPr>
          <w:p w:rsidRPr="008C02D0" w:rsidR="00172D7B" w:rsidP="00172D7B" w:rsidRDefault="00172D7B" w14:paraId="28E26DB0" w14:textId="77777777">
            <w:pPr>
              <w:spacing w:after="0"/>
              <w:jc w:val="center"/>
              <w:rPr>
                <w:color w:val="000000"/>
              </w:rPr>
            </w:pPr>
            <w:r w:rsidRPr="008C02D0">
              <w:rPr>
                <w:color w:val="000000"/>
              </w:rPr>
              <w:t>50,000-99,999</w:t>
            </w:r>
          </w:p>
        </w:tc>
        <w:tc>
          <w:tcPr>
            <w:tcW w:w="1017" w:type="dxa"/>
            <w:shd w:val="clear" w:color="auto" w:fill="auto"/>
            <w:vAlign w:val="bottom"/>
            <w:hideMark/>
          </w:tcPr>
          <w:p w:rsidRPr="008C02D0" w:rsidR="00172D7B" w:rsidP="00172D7B" w:rsidRDefault="00172D7B" w14:paraId="1196C6B7" w14:textId="77777777">
            <w:pPr>
              <w:spacing w:after="0"/>
              <w:jc w:val="right"/>
              <w:rPr>
                <w:color w:val="000000"/>
              </w:rPr>
            </w:pPr>
            <w:r w:rsidRPr="008C02D0">
              <w:rPr>
                <w:color w:val="000000"/>
              </w:rPr>
              <w:t>75,000</w:t>
            </w:r>
          </w:p>
        </w:tc>
      </w:tr>
      <w:tr w:rsidRPr="008C02D0" w:rsidR="00172D7B" w:rsidTr="00172D7B" w14:paraId="2AB9274D" w14:textId="77777777">
        <w:trPr>
          <w:trHeight w:val="20"/>
          <w:jc w:val="center"/>
        </w:trPr>
        <w:tc>
          <w:tcPr>
            <w:tcW w:w="1280" w:type="dxa"/>
            <w:shd w:val="clear" w:color="auto" w:fill="auto"/>
            <w:vAlign w:val="bottom"/>
            <w:hideMark/>
          </w:tcPr>
          <w:p w:rsidRPr="008C02D0" w:rsidR="00172D7B" w:rsidP="00172D7B" w:rsidRDefault="00172D7B" w14:paraId="4A0D5DB9" w14:textId="77777777">
            <w:pPr>
              <w:spacing w:after="0"/>
              <w:jc w:val="center"/>
              <w:rPr>
                <w:color w:val="000000"/>
              </w:rPr>
            </w:pPr>
            <w:r w:rsidRPr="008C02D0">
              <w:rPr>
                <w:color w:val="000000"/>
              </w:rPr>
              <w:t>M</w:t>
            </w:r>
          </w:p>
        </w:tc>
        <w:tc>
          <w:tcPr>
            <w:tcW w:w="1440" w:type="dxa"/>
            <w:shd w:val="clear" w:color="auto" w:fill="auto"/>
            <w:vAlign w:val="bottom"/>
            <w:hideMark/>
          </w:tcPr>
          <w:p w:rsidRPr="008C02D0" w:rsidR="00172D7B" w:rsidP="00172D7B" w:rsidRDefault="00172D7B" w14:paraId="7DD160D7" w14:textId="77777777">
            <w:pPr>
              <w:spacing w:after="0"/>
              <w:jc w:val="center"/>
              <w:rPr>
                <w:color w:val="000000"/>
              </w:rPr>
            </w:pPr>
            <w:r w:rsidRPr="008C02D0">
              <w:rPr>
                <w:color w:val="000000"/>
              </w:rPr>
              <w:t>100,000+</w:t>
            </w:r>
          </w:p>
        </w:tc>
        <w:tc>
          <w:tcPr>
            <w:tcW w:w="1017" w:type="dxa"/>
            <w:shd w:val="clear" w:color="auto" w:fill="auto"/>
            <w:noWrap/>
            <w:vAlign w:val="bottom"/>
            <w:hideMark/>
          </w:tcPr>
          <w:p w:rsidRPr="008C02D0" w:rsidR="00172D7B" w:rsidP="00172D7B" w:rsidRDefault="00172D7B" w14:paraId="647D01C1" w14:textId="77777777">
            <w:pPr>
              <w:spacing w:after="0"/>
              <w:rPr>
                <w:color w:val="000000"/>
                <w:szCs w:val="20"/>
              </w:rPr>
            </w:pPr>
          </w:p>
        </w:tc>
      </w:tr>
    </w:tbl>
    <w:p w:rsidRPr="008C02D0" w:rsidR="00172D7B" w:rsidP="00172D7B" w:rsidRDefault="00172D7B" w14:paraId="1C2574D0" w14:textId="77777777">
      <w:pPr>
        <w:spacing w:after="0"/>
        <w:rPr>
          <w:szCs w:val="20"/>
        </w:rPr>
      </w:pPr>
    </w:p>
    <w:p w:rsidRPr="00C61504" w:rsidR="00172D7B" w:rsidP="00172D7B" w:rsidRDefault="00172D7B" w14:paraId="63FF201C" w14:textId="08E4304E">
      <w:pPr>
        <w:spacing w:after="0"/>
        <w:rPr>
          <w:szCs w:val="20"/>
        </w:rPr>
      </w:pPr>
      <w:r w:rsidRPr="00C61504">
        <w:rPr>
          <w:szCs w:val="20"/>
        </w:rPr>
        <w:t>For example, take the 201</w:t>
      </w:r>
      <w:r w:rsidR="006D6AB7">
        <w:rPr>
          <w:szCs w:val="20"/>
        </w:rPr>
        <w:t>7</w:t>
      </w:r>
      <w:r w:rsidRPr="00C61504">
        <w:rPr>
          <w:szCs w:val="20"/>
        </w:rPr>
        <w:t xml:space="preserve"> CBP data for NAICS 2362 (non-residential construction</w:t>
      </w:r>
      <w:r>
        <w:rPr>
          <w:szCs w:val="20"/>
        </w:rPr>
        <w:t>) in Arizona</w:t>
      </w:r>
      <w:r w:rsidR="00C80050">
        <w:rPr>
          <w:szCs w:val="20"/>
        </w:rPr>
        <w:t xml:space="preserve"> provided in </w:t>
      </w:r>
      <w:r w:rsidR="00C80050">
        <w:rPr>
          <w:szCs w:val="20"/>
        </w:rPr>
        <w:fldChar w:fldCharType="begin"/>
      </w:r>
      <w:r w:rsidR="00C80050">
        <w:rPr>
          <w:szCs w:val="20"/>
        </w:rPr>
        <w:instrText xml:space="preserve"> REF _Ref478726678 \h </w:instrText>
      </w:r>
      <w:r w:rsidR="00C80050">
        <w:rPr>
          <w:szCs w:val="20"/>
        </w:rPr>
      </w:r>
      <w:r w:rsidR="00C80050">
        <w:rPr>
          <w:szCs w:val="20"/>
        </w:rPr>
        <w:fldChar w:fldCharType="separate"/>
      </w:r>
      <w:r w:rsidR="00F65ACC">
        <w:t xml:space="preserve">Table </w:t>
      </w:r>
      <w:r w:rsidR="00F65ACC">
        <w:rPr>
          <w:noProof/>
        </w:rPr>
        <w:t>2</w:t>
      </w:r>
      <w:r w:rsidR="00C80050">
        <w:rPr>
          <w:szCs w:val="20"/>
        </w:rPr>
        <w:fldChar w:fldCharType="end"/>
      </w:r>
      <w:r w:rsidRPr="00C61504">
        <w:rPr>
          <w:szCs w:val="20"/>
        </w:rPr>
        <w:t>.</w:t>
      </w:r>
    </w:p>
    <w:p w:rsidRPr="008C02D0" w:rsidR="00172D7B" w:rsidP="00172D7B" w:rsidRDefault="00172D7B" w14:paraId="4D7FB620" w14:textId="77777777">
      <w:pPr>
        <w:spacing w:after="0"/>
        <w:rPr>
          <w:b/>
          <w:szCs w:val="20"/>
          <w:highlight w:val="yellow"/>
        </w:rPr>
      </w:pPr>
    </w:p>
    <w:p w:rsidR="00C80050" w:rsidP="00C80050" w:rsidRDefault="00C80050" w14:paraId="2BD7E972" w14:textId="55DD7284">
      <w:pPr>
        <w:pStyle w:val="TableCaption"/>
      </w:pPr>
      <w:bookmarkStart w:name="_Ref478726678" w:id="7"/>
      <w:r>
        <w:t xml:space="preserve">Table </w:t>
      </w:r>
      <w:r w:rsidR="004A4C3F">
        <w:fldChar w:fldCharType="begin"/>
      </w:r>
      <w:r w:rsidR="004A4C3F">
        <w:instrText xml:space="preserve"> SEQ Table \* ARABIC </w:instrText>
      </w:r>
      <w:r w:rsidR="004A4C3F">
        <w:fldChar w:fldCharType="separate"/>
      </w:r>
      <w:r w:rsidR="00F65ACC">
        <w:rPr>
          <w:noProof/>
        </w:rPr>
        <w:t>2</w:t>
      </w:r>
      <w:r w:rsidR="004A4C3F">
        <w:rPr>
          <w:noProof/>
        </w:rPr>
        <w:fldChar w:fldCharType="end"/>
      </w:r>
      <w:bookmarkEnd w:id="7"/>
      <w:r>
        <w:t>. 201</w:t>
      </w:r>
      <w:r w:rsidR="006D6AB7">
        <w:t>7</w:t>
      </w:r>
      <w:r>
        <w:t xml:space="preserve"> CBP for NAICS 2361 in Arizona</w:t>
      </w:r>
    </w:p>
    <w:tbl>
      <w:tblPr>
        <w:tblW w:w="4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960"/>
        <w:gridCol w:w="960"/>
        <w:gridCol w:w="960"/>
        <w:gridCol w:w="960"/>
        <w:gridCol w:w="960"/>
      </w:tblGrid>
      <w:tr w:rsidRPr="00C61504" w:rsidR="00172D7B" w:rsidTr="00172D7B" w14:paraId="308EB77A" w14:textId="77777777">
        <w:trPr>
          <w:cantSplit/>
          <w:jc w:val="center"/>
        </w:trPr>
        <w:tc>
          <w:tcPr>
            <w:tcW w:w="960" w:type="dxa"/>
            <w:shd w:val="clear" w:color="000000" w:fill="C0C0C0"/>
            <w:noWrap/>
            <w:vAlign w:val="bottom"/>
          </w:tcPr>
          <w:p w:rsidRPr="00C61504" w:rsidR="00172D7B" w:rsidP="00172D7B" w:rsidRDefault="00172D7B" w14:paraId="7D6FA977" w14:textId="77777777">
            <w:pPr>
              <w:spacing w:after="0"/>
              <w:jc w:val="center"/>
              <w:rPr>
                <w:b/>
                <w:bCs/>
                <w:szCs w:val="20"/>
              </w:rPr>
            </w:pPr>
            <w:r w:rsidRPr="00C61504">
              <w:rPr>
                <w:b/>
                <w:bCs/>
                <w:szCs w:val="20"/>
              </w:rPr>
              <w:t>fipsstate</w:t>
            </w:r>
          </w:p>
        </w:tc>
        <w:tc>
          <w:tcPr>
            <w:tcW w:w="960" w:type="dxa"/>
            <w:shd w:val="clear" w:color="000000" w:fill="C0C0C0"/>
            <w:noWrap/>
            <w:vAlign w:val="bottom"/>
          </w:tcPr>
          <w:p w:rsidRPr="00C61504" w:rsidR="00172D7B" w:rsidP="00172D7B" w:rsidRDefault="00172D7B" w14:paraId="3FC53B08" w14:textId="77777777">
            <w:pPr>
              <w:spacing w:after="0"/>
              <w:jc w:val="center"/>
              <w:rPr>
                <w:b/>
                <w:bCs/>
                <w:szCs w:val="20"/>
              </w:rPr>
            </w:pPr>
            <w:r w:rsidRPr="00C61504">
              <w:rPr>
                <w:b/>
                <w:bCs/>
                <w:szCs w:val="20"/>
              </w:rPr>
              <w:t>fipscty</w:t>
            </w:r>
          </w:p>
        </w:tc>
        <w:tc>
          <w:tcPr>
            <w:tcW w:w="960" w:type="dxa"/>
            <w:shd w:val="clear" w:color="000000" w:fill="C0C0C0"/>
            <w:noWrap/>
            <w:vAlign w:val="bottom"/>
          </w:tcPr>
          <w:p w:rsidRPr="00C61504" w:rsidR="00172D7B" w:rsidP="00172D7B" w:rsidRDefault="00172D7B" w14:paraId="0C76850A" w14:textId="77777777">
            <w:pPr>
              <w:spacing w:after="0"/>
              <w:jc w:val="center"/>
              <w:rPr>
                <w:b/>
                <w:bCs/>
                <w:szCs w:val="20"/>
              </w:rPr>
            </w:pPr>
            <w:r w:rsidRPr="00C61504">
              <w:rPr>
                <w:b/>
                <w:bCs/>
                <w:szCs w:val="20"/>
              </w:rPr>
              <w:t>naics</w:t>
            </w:r>
          </w:p>
        </w:tc>
        <w:tc>
          <w:tcPr>
            <w:tcW w:w="960" w:type="dxa"/>
            <w:shd w:val="clear" w:color="000000" w:fill="C0C0C0"/>
            <w:noWrap/>
            <w:vAlign w:val="bottom"/>
          </w:tcPr>
          <w:p w:rsidRPr="00C61504" w:rsidR="00172D7B" w:rsidP="00172D7B" w:rsidRDefault="00172D7B" w14:paraId="39DA9006" w14:textId="77777777">
            <w:pPr>
              <w:spacing w:after="0"/>
              <w:jc w:val="center"/>
              <w:rPr>
                <w:b/>
                <w:bCs/>
                <w:szCs w:val="20"/>
              </w:rPr>
            </w:pPr>
            <w:r w:rsidRPr="00C61504">
              <w:rPr>
                <w:b/>
                <w:bCs/>
                <w:szCs w:val="20"/>
              </w:rPr>
              <w:t>empflag</w:t>
            </w:r>
          </w:p>
        </w:tc>
        <w:tc>
          <w:tcPr>
            <w:tcW w:w="960" w:type="dxa"/>
            <w:shd w:val="clear" w:color="000000" w:fill="C0C0C0"/>
            <w:noWrap/>
            <w:vAlign w:val="bottom"/>
          </w:tcPr>
          <w:p w:rsidRPr="00C61504" w:rsidR="00172D7B" w:rsidP="00172D7B" w:rsidRDefault="00172D7B" w14:paraId="10D40349" w14:textId="77777777">
            <w:pPr>
              <w:spacing w:after="0"/>
              <w:jc w:val="center"/>
              <w:rPr>
                <w:b/>
                <w:bCs/>
                <w:szCs w:val="20"/>
              </w:rPr>
            </w:pPr>
            <w:r w:rsidRPr="00C61504">
              <w:rPr>
                <w:b/>
                <w:bCs/>
                <w:szCs w:val="20"/>
              </w:rPr>
              <w:t>emp</w:t>
            </w:r>
          </w:p>
        </w:tc>
      </w:tr>
      <w:tr w:rsidRPr="00C61504" w:rsidR="00FC605F" w:rsidTr="00172D7B" w14:paraId="235E33E4" w14:textId="77777777">
        <w:trPr>
          <w:cantSplit/>
          <w:jc w:val="center"/>
        </w:trPr>
        <w:tc>
          <w:tcPr>
            <w:tcW w:w="960" w:type="dxa"/>
            <w:shd w:val="clear" w:color="auto" w:fill="auto"/>
            <w:vAlign w:val="center"/>
          </w:tcPr>
          <w:p w:rsidRPr="00C61504" w:rsidR="00FC605F" w:rsidP="00FC605F" w:rsidRDefault="00FC605F" w14:paraId="6E218062"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1647313B" w14:textId="77777777">
            <w:pPr>
              <w:spacing w:after="0"/>
              <w:jc w:val="center"/>
              <w:rPr>
                <w:szCs w:val="20"/>
              </w:rPr>
            </w:pPr>
            <w:r w:rsidRPr="00C61504">
              <w:rPr>
                <w:szCs w:val="20"/>
              </w:rPr>
              <w:t>001</w:t>
            </w:r>
          </w:p>
        </w:tc>
        <w:tc>
          <w:tcPr>
            <w:tcW w:w="960" w:type="dxa"/>
            <w:shd w:val="clear" w:color="auto" w:fill="auto"/>
            <w:vAlign w:val="center"/>
          </w:tcPr>
          <w:p w:rsidRPr="00C61504" w:rsidR="00FC605F" w:rsidP="00FC605F" w:rsidRDefault="00FC605F" w14:paraId="4438610D"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41F0078A" w14:textId="7D775534">
            <w:pPr>
              <w:spacing w:after="0"/>
              <w:jc w:val="center"/>
              <w:rPr>
                <w:szCs w:val="20"/>
              </w:rPr>
            </w:pPr>
            <w:r>
              <w:rPr>
                <w:szCs w:val="20"/>
              </w:rPr>
              <w:t>B</w:t>
            </w:r>
          </w:p>
        </w:tc>
        <w:tc>
          <w:tcPr>
            <w:tcW w:w="960" w:type="dxa"/>
            <w:shd w:val="clear" w:color="auto" w:fill="auto"/>
            <w:vAlign w:val="center"/>
          </w:tcPr>
          <w:p w:rsidRPr="00C61504" w:rsidR="00FC605F" w:rsidP="00FC605F" w:rsidRDefault="00FC605F" w14:paraId="305E0E7A" w14:textId="10ED928D">
            <w:pPr>
              <w:spacing w:after="0"/>
              <w:jc w:val="right"/>
              <w:rPr>
                <w:szCs w:val="20"/>
              </w:rPr>
            </w:pPr>
            <w:r>
              <w:rPr>
                <w:szCs w:val="20"/>
              </w:rPr>
              <w:t>withheld</w:t>
            </w:r>
          </w:p>
        </w:tc>
      </w:tr>
      <w:tr w:rsidRPr="00C61504" w:rsidR="00FC605F" w:rsidTr="00172D7B" w14:paraId="1F560B73" w14:textId="77777777">
        <w:trPr>
          <w:cantSplit/>
          <w:jc w:val="center"/>
        </w:trPr>
        <w:tc>
          <w:tcPr>
            <w:tcW w:w="960" w:type="dxa"/>
            <w:shd w:val="clear" w:color="auto" w:fill="auto"/>
            <w:vAlign w:val="center"/>
          </w:tcPr>
          <w:p w:rsidRPr="00C61504" w:rsidR="00FC605F" w:rsidP="00FC605F" w:rsidRDefault="00FC605F" w14:paraId="6FF975EF"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502E564C" w14:textId="77777777">
            <w:pPr>
              <w:spacing w:after="0"/>
              <w:jc w:val="center"/>
              <w:rPr>
                <w:szCs w:val="20"/>
              </w:rPr>
            </w:pPr>
            <w:r w:rsidRPr="00C61504">
              <w:rPr>
                <w:szCs w:val="20"/>
              </w:rPr>
              <w:t>003</w:t>
            </w:r>
          </w:p>
        </w:tc>
        <w:tc>
          <w:tcPr>
            <w:tcW w:w="960" w:type="dxa"/>
            <w:shd w:val="clear" w:color="auto" w:fill="auto"/>
            <w:vAlign w:val="center"/>
          </w:tcPr>
          <w:p w:rsidRPr="00C61504" w:rsidR="00FC605F" w:rsidP="00FC605F" w:rsidRDefault="00FC605F" w14:paraId="1CB180D9"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60A8B323" w14:textId="051BF6C1">
            <w:pPr>
              <w:spacing w:after="0"/>
              <w:jc w:val="center"/>
              <w:rPr>
                <w:szCs w:val="20"/>
              </w:rPr>
            </w:pPr>
          </w:p>
        </w:tc>
        <w:tc>
          <w:tcPr>
            <w:tcW w:w="960" w:type="dxa"/>
            <w:shd w:val="clear" w:color="auto" w:fill="auto"/>
            <w:vAlign w:val="center"/>
          </w:tcPr>
          <w:p w:rsidRPr="00C61504" w:rsidR="00FC605F" w:rsidP="00FC605F" w:rsidRDefault="00FC605F" w14:paraId="42ED294B" w14:textId="58F85552">
            <w:pPr>
              <w:spacing w:after="0"/>
              <w:jc w:val="right"/>
              <w:rPr>
                <w:szCs w:val="20"/>
              </w:rPr>
            </w:pPr>
            <w:r>
              <w:rPr>
                <w:szCs w:val="20"/>
              </w:rPr>
              <w:t>125</w:t>
            </w:r>
          </w:p>
        </w:tc>
      </w:tr>
      <w:tr w:rsidRPr="00C61504" w:rsidR="00FC605F" w:rsidTr="00172D7B" w14:paraId="2716660F" w14:textId="77777777">
        <w:trPr>
          <w:cantSplit/>
          <w:jc w:val="center"/>
        </w:trPr>
        <w:tc>
          <w:tcPr>
            <w:tcW w:w="960" w:type="dxa"/>
            <w:shd w:val="clear" w:color="auto" w:fill="auto"/>
            <w:vAlign w:val="center"/>
          </w:tcPr>
          <w:p w:rsidRPr="00C61504" w:rsidR="00FC605F" w:rsidP="00FC605F" w:rsidRDefault="00FC605F" w14:paraId="4301EF27"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3C4083BC" w14:textId="77777777">
            <w:pPr>
              <w:spacing w:after="0"/>
              <w:jc w:val="center"/>
              <w:rPr>
                <w:szCs w:val="20"/>
              </w:rPr>
            </w:pPr>
            <w:r w:rsidRPr="00C61504">
              <w:rPr>
                <w:szCs w:val="20"/>
              </w:rPr>
              <w:t>005</w:t>
            </w:r>
          </w:p>
        </w:tc>
        <w:tc>
          <w:tcPr>
            <w:tcW w:w="960" w:type="dxa"/>
            <w:shd w:val="clear" w:color="auto" w:fill="auto"/>
            <w:vAlign w:val="center"/>
          </w:tcPr>
          <w:p w:rsidRPr="00C61504" w:rsidR="00FC605F" w:rsidP="00FC605F" w:rsidRDefault="00FC605F" w14:paraId="120A919A"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3A806D4E" w14:textId="77777777">
            <w:pPr>
              <w:spacing w:after="0"/>
              <w:jc w:val="center"/>
              <w:rPr>
                <w:szCs w:val="20"/>
              </w:rPr>
            </w:pPr>
          </w:p>
        </w:tc>
        <w:tc>
          <w:tcPr>
            <w:tcW w:w="960" w:type="dxa"/>
            <w:shd w:val="clear" w:color="auto" w:fill="auto"/>
            <w:vAlign w:val="center"/>
          </w:tcPr>
          <w:p w:rsidRPr="00C61504" w:rsidR="00FC605F" w:rsidP="00FC605F" w:rsidRDefault="00FC605F" w14:paraId="6BEE1131" w14:textId="4A3D3148">
            <w:pPr>
              <w:spacing w:after="0"/>
              <w:jc w:val="right"/>
              <w:rPr>
                <w:szCs w:val="20"/>
              </w:rPr>
            </w:pPr>
            <w:r>
              <w:rPr>
                <w:szCs w:val="20"/>
              </w:rPr>
              <w:t>166</w:t>
            </w:r>
          </w:p>
        </w:tc>
      </w:tr>
      <w:tr w:rsidRPr="00C61504" w:rsidR="00FC605F" w:rsidTr="00172D7B" w14:paraId="0C683F72" w14:textId="77777777">
        <w:trPr>
          <w:cantSplit/>
          <w:jc w:val="center"/>
        </w:trPr>
        <w:tc>
          <w:tcPr>
            <w:tcW w:w="960" w:type="dxa"/>
            <w:shd w:val="clear" w:color="auto" w:fill="auto"/>
            <w:vAlign w:val="center"/>
          </w:tcPr>
          <w:p w:rsidRPr="00C61504" w:rsidR="00FC605F" w:rsidP="00FC605F" w:rsidRDefault="00FC605F" w14:paraId="21561E73"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7FDAE2D0" w14:textId="77777777">
            <w:pPr>
              <w:spacing w:after="0"/>
              <w:jc w:val="center"/>
              <w:rPr>
                <w:szCs w:val="20"/>
              </w:rPr>
            </w:pPr>
            <w:r w:rsidRPr="00C61504">
              <w:rPr>
                <w:szCs w:val="20"/>
              </w:rPr>
              <w:t>007</w:t>
            </w:r>
          </w:p>
        </w:tc>
        <w:tc>
          <w:tcPr>
            <w:tcW w:w="960" w:type="dxa"/>
            <w:shd w:val="clear" w:color="auto" w:fill="auto"/>
            <w:vAlign w:val="center"/>
          </w:tcPr>
          <w:p w:rsidRPr="00C61504" w:rsidR="00FC605F" w:rsidP="00FC605F" w:rsidRDefault="00FC605F" w14:paraId="0B3C38E1"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205ED832" w14:textId="77777777">
            <w:pPr>
              <w:spacing w:after="0"/>
              <w:jc w:val="center"/>
              <w:rPr>
                <w:szCs w:val="20"/>
              </w:rPr>
            </w:pPr>
          </w:p>
        </w:tc>
        <w:tc>
          <w:tcPr>
            <w:tcW w:w="960" w:type="dxa"/>
            <w:shd w:val="clear" w:color="auto" w:fill="auto"/>
            <w:vAlign w:val="center"/>
          </w:tcPr>
          <w:p w:rsidRPr="00C61504" w:rsidR="00FC605F" w:rsidP="00FC605F" w:rsidRDefault="00FC605F" w14:paraId="7198C270" w14:textId="7C81294E">
            <w:pPr>
              <w:spacing w:after="0"/>
              <w:jc w:val="right"/>
              <w:rPr>
                <w:szCs w:val="20"/>
              </w:rPr>
            </w:pPr>
            <w:r>
              <w:rPr>
                <w:szCs w:val="20"/>
              </w:rPr>
              <w:t>24</w:t>
            </w:r>
          </w:p>
        </w:tc>
      </w:tr>
      <w:tr w:rsidRPr="00C61504" w:rsidR="00FC605F" w:rsidTr="009725BC" w14:paraId="10F7C5A2" w14:textId="77777777">
        <w:trPr>
          <w:cantSplit/>
          <w:jc w:val="center"/>
        </w:trPr>
        <w:tc>
          <w:tcPr>
            <w:tcW w:w="960" w:type="dxa"/>
            <w:shd w:val="clear" w:color="auto" w:fill="auto"/>
            <w:vAlign w:val="center"/>
          </w:tcPr>
          <w:p w:rsidRPr="00C61504" w:rsidR="00FC605F" w:rsidP="00FC605F" w:rsidRDefault="00FC605F" w14:paraId="7F65B3CC"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7BAF9809" w14:textId="77777777">
            <w:pPr>
              <w:spacing w:after="0"/>
              <w:jc w:val="center"/>
              <w:rPr>
                <w:szCs w:val="20"/>
              </w:rPr>
            </w:pPr>
            <w:r w:rsidRPr="00C61504">
              <w:rPr>
                <w:szCs w:val="20"/>
              </w:rPr>
              <w:t>011</w:t>
            </w:r>
          </w:p>
        </w:tc>
        <w:tc>
          <w:tcPr>
            <w:tcW w:w="960" w:type="dxa"/>
            <w:shd w:val="clear" w:color="auto" w:fill="auto"/>
            <w:vAlign w:val="center"/>
          </w:tcPr>
          <w:p w:rsidRPr="00C61504" w:rsidR="00FC605F" w:rsidP="00FC605F" w:rsidRDefault="00FC605F" w14:paraId="1A6885EF"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36E6F49F" w14:textId="4E30002D">
            <w:pPr>
              <w:spacing w:after="0"/>
              <w:jc w:val="center"/>
              <w:rPr>
                <w:szCs w:val="20"/>
              </w:rPr>
            </w:pPr>
            <w:r>
              <w:rPr>
                <w:szCs w:val="20"/>
              </w:rPr>
              <w:t>B</w:t>
            </w:r>
          </w:p>
        </w:tc>
        <w:tc>
          <w:tcPr>
            <w:tcW w:w="960" w:type="dxa"/>
            <w:shd w:val="clear" w:color="auto" w:fill="auto"/>
          </w:tcPr>
          <w:p w:rsidRPr="00C61504" w:rsidR="00FC605F" w:rsidP="00FC605F" w:rsidRDefault="00FC605F" w14:paraId="55434696" w14:textId="2E66A71F">
            <w:pPr>
              <w:spacing w:after="0"/>
              <w:jc w:val="right"/>
              <w:rPr>
                <w:szCs w:val="20"/>
              </w:rPr>
            </w:pPr>
            <w:r>
              <w:rPr>
                <w:szCs w:val="20"/>
              </w:rPr>
              <w:t>withheld</w:t>
            </w:r>
          </w:p>
        </w:tc>
      </w:tr>
      <w:tr w:rsidRPr="00C61504" w:rsidR="00FC605F" w:rsidTr="009725BC" w14:paraId="7BA6F936" w14:textId="77777777">
        <w:trPr>
          <w:cantSplit/>
          <w:jc w:val="center"/>
        </w:trPr>
        <w:tc>
          <w:tcPr>
            <w:tcW w:w="960" w:type="dxa"/>
            <w:shd w:val="clear" w:color="auto" w:fill="auto"/>
            <w:vAlign w:val="center"/>
          </w:tcPr>
          <w:p w:rsidRPr="00C61504" w:rsidR="00FC605F" w:rsidP="00FC605F" w:rsidRDefault="00FC605F" w14:paraId="0C6582DD"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2D5A15CE" w14:textId="77777777">
            <w:pPr>
              <w:spacing w:after="0"/>
              <w:jc w:val="center"/>
              <w:rPr>
                <w:szCs w:val="20"/>
              </w:rPr>
            </w:pPr>
            <w:r w:rsidRPr="00C61504">
              <w:rPr>
                <w:szCs w:val="20"/>
              </w:rPr>
              <w:t>012</w:t>
            </w:r>
          </w:p>
        </w:tc>
        <w:tc>
          <w:tcPr>
            <w:tcW w:w="960" w:type="dxa"/>
            <w:shd w:val="clear" w:color="auto" w:fill="auto"/>
            <w:vAlign w:val="center"/>
          </w:tcPr>
          <w:p w:rsidRPr="00C61504" w:rsidR="00FC605F" w:rsidP="00FC605F" w:rsidRDefault="00FC605F" w14:paraId="7403382E"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3A8F2D54" w14:textId="57FC5235">
            <w:pPr>
              <w:spacing w:after="0"/>
              <w:jc w:val="center"/>
              <w:rPr>
                <w:szCs w:val="20"/>
              </w:rPr>
            </w:pPr>
            <w:r>
              <w:rPr>
                <w:szCs w:val="20"/>
              </w:rPr>
              <w:t>A</w:t>
            </w:r>
          </w:p>
        </w:tc>
        <w:tc>
          <w:tcPr>
            <w:tcW w:w="960" w:type="dxa"/>
            <w:shd w:val="clear" w:color="auto" w:fill="auto"/>
          </w:tcPr>
          <w:p w:rsidRPr="00C61504" w:rsidR="00FC605F" w:rsidP="00FC605F" w:rsidRDefault="00FC605F" w14:paraId="21CAC9A8" w14:textId="126996C6">
            <w:pPr>
              <w:spacing w:after="0"/>
              <w:jc w:val="right"/>
              <w:rPr>
                <w:szCs w:val="20"/>
              </w:rPr>
            </w:pPr>
            <w:r>
              <w:rPr>
                <w:szCs w:val="20"/>
              </w:rPr>
              <w:t>withheld</w:t>
            </w:r>
          </w:p>
        </w:tc>
      </w:tr>
      <w:tr w:rsidRPr="00C61504" w:rsidR="00FC605F" w:rsidTr="00172D7B" w14:paraId="271551EF" w14:textId="77777777">
        <w:trPr>
          <w:cantSplit/>
          <w:jc w:val="center"/>
        </w:trPr>
        <w:tc>
          <w:tcPr>
            <w:tcW w:w="960" w:type="dxa"/>
            <w:shd w:val="clear" w:color="auto" w:fill="auto"/>
            <w:vAlign w:val="center"/>
          </w:tcPr>
          <w:p w:rsidRPr="00C61504" w:rsidR="00FC605F" w:rsidP="00FC605F" w:rsidRDefault="00FC605F" w14:paraId="4FB37BE3"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33A48344" w14:textId="77777777">
            <w:pPr>
              <w:spacing w:after="0"/>
              <w:jc w:val="center"/>
              <w:rPr>
                <w:szCs w:val="20"/>
              </w:rPr>
            </w:pPr>
            <w:r w:rsidRPr="00C61504">
              <w:rPr>
                <w:szCs w:val="20"/>
              </w:rPr>
              <w:t>013</w:t>
            </w:r>
          </w:p>
        </w:tc>
        <w:tc>
          <w:tcPr>
            <w:tcW w:w="960" w:type="dxa"/>
            <w:shd w:val="clear" w:color="auto" w:fill="auto"/>
            <w:vAlign w:val="center"/>
          </w:tcPr>
          <w:p w:rsidRPr="00C61504" w:rsidR="00FC605F" w:rsidP="00FC605F" w:rsidRDefault="00FC605F" w14:paraId="494C8C56"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18B0A7C5" w14:textId="77777777">
            <w:pPr>
              <w:spacing w:after="0"/>
              <w:jc w:val="center"/>
              <w:rPr>
                <w:szCs w:val="20"/>
              </w:rPr>
            </w:pPr>
          </w:p>
        </w:tc>
        <w:tc>
          <w:tcPr>
            <w:tcW w:w="960" w:type="dxa"/>
            <w:shd w:val="clear" w:color="auto" w:fill="auto"/>
            <w:vAlign w:val="center"/>
          </w:tcPr>
          <w:p w:rsidRPr="00C61504" w:rsidR="00FC605F" w:rsidP="00FC605F" w:rsidRDefault="00FC605F" w14:paraId="4C20F2F4" w14:textId="18C9533A">
            <w:pPr>
              <w:spacing w:after="0"/>
              <w:jc w:val="right"/>
              <w:rPr>
                <w:szCs w:val="20"/>
              </w:rPr>
            </w:pPr>
            <w:r>
              <w:rPr>
                <w:szCs w:val="20"/>
              </w:rPr>
              <w:t>8,580</w:t>
            </w:r>
          </w:p>
        </w:tc>
      </w:tr>
      <w:tr w:rsidRPr="00C61504" w:rsidR="00FC605F" w:rsidTr="00172D7B" w14:paraId="63FE0335" w14:textId="77777777">
        <w:trPr>
          <w:cantSplit/>
          <w:jc w:val="center"/>
        </w:trPr>
        <w:tc>
          <w:tcPr>
            <w:tcW w:w="960" w:type="dxa"/>
            <w:shd w:val="clear" w:color="auto" w:fill="auto"/>
            <w:vAlign w:val="center"/>
          </w:tcPr>
          <w:p w:rsidRPr="00C61504" w:rsidR="00FC605F" w:rsidP="00FC605F" w:rsidRDefault="00FC605F" w14:paraId="77F508C0"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0E5DA02B" w14:textId="77777777">
            <w:pPr>
              <w:spacing w:after="0"/>
              <w:jc w:val="center"/>
              <w:rPr>
                <w:szCs w:val="20"/>
              </w:rPr>
            </w:pPr>
            <w:r w:rsidRPr="00C61504">
              <w:rPr>
                <w:szCs w:val="20"/>
              </w:rPr>
              <w:t>015</w:t>
            </w:r>
          </w:p>
        </w:tc>
        <w:tc>
          <w:tcPr>
            <w:tcW w:w="960" w:type="dxa"/>
            <w:shd w:val="clear" w:color="auto" w:fill="auto"/>
            <w:vAlign w:val="center"/>
          </w:tcPr>
          <w:p w:rsidRPr="00C61504" w:rsidR="00FC605F" w:rsidP="00FC605F" w:rsidRDefault="00FC605F" w14:paraId="38D6532F"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11420972" w14:textId="77777777">
            <w:pPr>
              <w:spacing w:after="0"/>
              <w:jc w:val="center"/>
              <w:rPr>
                <w:szCs w:val="20"/>
              </w:rPr>
            </w:pPr>
          </w:p>
        </w:tc>
        <w:tc>
          <w:tcPr>
            <w:tcW w:w="960" w:type="dxa"/>
            <w:shd w:val="clear" w:color="auto" w:fill="auto"/>
            <w:vAlign w:val="center"/>
          </w:tcPr>
          <w:p w:rsidRPr="00C61504" w:rsidR="00FC605F" w:rsidP="00FC605F" w:rsidRDefault="00FC605F" w14:paraId="2D7105F3" w14:textId="282E9C75">
            <w:pPr>
              <w:spacing w:after="0"/>
              <w:jc w:val="right"/>
              <w:rPr>
                <w:szCs w:val="20"/>
              </w:rPr>
            </w:pPr>
            <w:r>
              <w:rPr>
                <w:szCs w:val="20"/>
              </w:rPr>
              <w:t>64</w:t>
            </w:r>
          </w:p>
        </w:tc>
      </w:tr>
      <w:tr w:rsidRPr="00C61504" w:rsidR="00FC605F" w:rsidTr="00172D7B" w14:paraId="59021342" w14:textId="77777777">
        <w:trPr>
          <w:cantSplit/>
          <w:jc w:val="center"/>
        </w:trPr>
        <w:tc>
          <w:tcPr>
            <w:tcW w:w="960" w:type="dxa"/>
            <w:shd w:val="clear" w:color="auto" w:fill="auto"/>
            <w:vAlign w:val="center"/>
          </w:tcPr>
          <w:p w:rsidRPr="00C61504" w:rsidR="00FC605F" w:rsidP="00FC605F" w:rsidRDefault="00FC605F" w14:paraId="22CDF07B"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518F6B8F" w14:textId="77777777">
            <w:pPr>
              <w:spacing w:after="0"/>
              <w:jc w:val="center"/>
              <w:rPr>
                <w:szCs w:val="20"/>
              </w:rPr>
            </w:pPr>
            <w:r w:rsidRPr="00C61504">
              <w:rPr>
                <w:szCs w:val="20"/>
              </w:rPr>
              <w:t>017</w:t>
            </w:r>
          </w:p>
        </w:tc>
        <w:tc>
          <w:tcPr>
            <w:tcW w:w="960" w:type="dxa"/>
            <w:shd w:val="clear" w:color="auto" w:fill="auto"/>
            <w:vAlign w:val="center"/>
          </w:tcPr>
          <w:p w:rsidRPr="00C61504" w:rsidR="00FC605F" w:rsidP="00FC605F" w:rsidRDefault="00FC605F" w14:paraId="061E34BB"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4FD98D00" w14:textId="77777777">
            <w:pPr>
              <w:spacing w:after="0"/>
              <w:jc w:val="center"/>
              <w:rPr>
                <w:szCs w:val="20"/>
              </w:rPr>
            </w:pPr>
          </w:p>
        </w:tc>
        <w:tc>
          <w:tcPr>
            <w:tcW w:w="960" w:type="dxa"/>
            <w:shd w:val="clear" w:color="auto" w:fill="auto"/>
            <w:vAlign w:val="center"/>
          </w:tcPr>
          <w:p w:rsidRPr="00C61504" w:rsidR="00FC605F" w:rsidP="00FC605F" w:rsidRDefault="00FC605F" w14:paraId="68031323" w14:textId="50D31EE2">
            <w:pPr>
              <w:spacing w:after="0"/>
              <w:jc w:val="right"/>
              <w:rPr>
                <w:szCs w:val="20"/>
              </w:rPr>
            </w:pPr>
            <w:r>
              <w:rPr>
                <w:szCs w:val="20"/>
              </w:rPr>
              <w:t>53</w:t>
            </w:r>
          </w:p>
        </w:tc>
      </w:tr>
      <w:tr w:rsidRPr="00C61504" w:rsidR="00FC605F" w:rsidTr="00172D7B" w14:paraId="4A062FA0" w14:textId="77777777">
        <w:trPr>
          <w:cantSplit/>
          <w:jc w:val="center"/>
        </w:trPr>
        <w:tc>
          <w:tcPr>
            <w:tcW w:w="960" w:type="dxa"/>
            <w:shd w:val="clear" w:color="auto" w:fill="auto"/>
            <w:vAlign w:val="center"/>
          </w:tcPr>
          <w:p w:rsidRPr="00C61504" w:rsidR="00FC605F" w:rsidP="00FC605F" w:rsidRDefault="00FC605F" w14:paraId="3FA9BA3F"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6D5AD29C" w14:textId="77777777">
            <w:pPr>
              <w:spacing w:after="0"/>
              <w:jc w:val="center"/>
              <w:rPr>
                <w:szCs w:val="20"/>
              </w:rPr>
            </w:pPr>
            <w:r w:rsidRPr="00C61504">
              <w:rPr>
                <w:szCs w:val="20"/>
              </w:rPr>
              <w:t>019</w:t>
            </w:r>
          </w:p>
        </w:tc>
        <w:tc>
          <w:tcPr>
            <w:tcW w:w="960" w:type="dxa"/>
            <w:shd w:val="clear" w:color="auto" w:fill="auto"/>
            <w:vAlign w:val="center"/>
          </w:tcPr>
          <w:p w:rsidRPr="00C61504" w:rsidR="00FC605F" w:rsidP="00FC605F" w:rsidRDefault="00FC605F" w14:paraId="504E8EB3"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70C555BF" w14:textId="77777777">
            <w:pPr>
              <w:spacing w:after="0"/>
              <w:jc w:val="center"/>
              <w:rPr>
                <w:szCs w:val="20"/>
              </w:rPr>
            </w:pPr>
          </w:p>
        </w:tc>
        <w:tc>
          <w:tcPr>
            <w:tcW w:w="960" w:type="dxa"/>
            <w:shd w:val="clear" w:color="auto" w:fill="auto"/>
            <w:vAlign w:val="center"/>
          </w:tcPr>
          <w:p w:rsidRPr="00C61504" w:rsidR="00FC605F" w:rsidP="00FC605F" w:rsidRDefault="00FC605F" w14:paraId="5D776FBB" w14:textId="1F41B7F7">
            <w:pPr>
              <w:spacing w:after="0"/>
              <w:jc w:val="right"/>
              <w:rPr>
                <w:szCs w:val="20"/>
              </w:rPr>
            </w:pPr>
            <w:r>
              <w:rPr>
                <w:szCs w:val="20"/>
              </w:rPr>
              <w:t>2,085</w:t>
            </w:r>
          </w:p>
        </w:tc>
      </w:tr>
      <w:tr w:rsidRPr="00C61504" w:rsidR="00FC605F" w:rsidTr="00172D7B" w14:paraId="67255718" w14:textId="77777777">
        <w:trPr>
          <w:cantSplit/>
          <w:jc w:val="center"/>
        </w:trPr>
        <w:tc>
          <w:tcPr>
            <w:tcW w:w="960" w:type="dxa"/>
            <w:shd w:val="clear" w:color="auto" w:fill="auto"/>
            <w:vAlign w:val="center"/>
          </w:tcPr>
          <w:p w:rsidRPr="00C61504" w:rsidR="00FC605F" w:rsidP="00FC605F" w:rsidRDefault="00FC605F" w14:paraId="6A5DED08"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305B38EE" w14:textId="77777777">
            <w:pPr>
              <w:spacing w:after="0"/>
              <w:jc w:val="center"/>
              <w:rPr>
                <w:szCs w:val="20"/>
              </w:rPr>
            </w:pPr>
            <w:r w:rsidRPr="00C61504">
              <w:rPr>
                <w:szCs w:val="20"/>
              </w:rPr>
              <w:t>021</w:t>
            </w:r>
          </w:p>
        </w:tc>
        <w:tc>
          <w:tcPr>
            <w:tcW w:w="960" w:type="dxa"/>
            <w:shd w:val="clear" w:color="auto" w:fill="auto"/>
            <w:vAlign w:val="center"/>
          </w:tcPr>
          <w:p w:rsidRPr="00C61504" w:rsidR="00FC605F" w:rsidP="00FC605F" w:rsidRDefault="00FC605F" w14:paraId="36A3C0F4"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432E16D9" w14:textId="77777777">
            <w:pPr>
              <w:spacing w:after="0"/>
              <w:jc w:val="center"/>
              <w:rPr>
                <w:szCs w:val="20"/>
              </w:rPr>
            </w:pPr>
          </w:p>
        </w:tc>
        <w:tc>
          <w:tcPr>
            <w:tcW w:w="960" w:type="dxa"/>
            <w:shd w:val="clear" w:color="auto" w:fill="auto"/>
            <w:vAlign w:val="center"/>
          </w:tcPr>
          <w:p w:rsidRPr="00C61504" w:rsidR="00FC605F" w:rsidP="00FC605F" w:rsidRDefault="00FC605F" w14:paraId="5A2F643D" w14:textId="797439B6">
            <w:pPr>
              <w:spacing w:after="0"/>
              <w:jc w:val="right"/>
              <w:rPr>
                <w:szCs w:val="20"/>
              </w:rPr>
            </w:pPr>
            <w:r>
              <w:rPr>
                <w:szCs w:val="20"/>
              </w:rPr>
              <w:t>115</w:t>
            </w:r>
          </w:p>
        </w:tc>
      </w:tr>
      <w:tr w:rsidRPr="00C61504" w:rsidR="00FC605F" w:rsidTr="00172D7B" w14:paraId="5C9DF49E" w14:textId="77777777">
        <w:trPr>
          <w:cantSplit/>
          <w:jc w:val="center"/>
        </w:trPr>
        <w:tc>
          <w:tcPr>
            <w:tcW w:w="960" w:type="dxa"/>
            <w:shd w:val="clear" w:color="auto" w:fill="auto"/>
            <w:vAlign w:val="center"/>
          </w:tcPr>
          <w:p w:rsidRPr="00C61504" w:rsidR="00FC605F" w:rsidP="00FC605F" w:rsidRDefault="00FC605F" w14:paraId="1E8B12E1"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58600F70" w14:textId="77777777">
            <w:pPr>
              <w:spacing w:after="0"/>
              <w:jc w:val="center"/>
              <w:rPr>
                <w:szCs w:val="20"/>
              </w:rPr>
            </w:pPr>
            <w:r w:rsidRPr="00C61504">
              <w:rPr>
                <w:szCs w:val="20"/>
              </w:rPr>
              <w:t>023</w:t>
            </w:r>
          </w:p>
        </w:tc>
        <w:tc>
          <w:tcPr>
            <w:tcW w:w="960" w:type="dxa"/>
            <w:shd w:val="clear" w:color="auto" w:fill="auto"/>
            <w:vAlign w:val="center"/>
          </w:tcPr>
          <w:p w:rsidRPr="00C61504" w:rsidR="00FC605F" w:rsidP="00FC605F" w:rsidRDefault="00FC605F" w14:paraId="783D2363"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5C8375CA" w14:textId="7AD6E630">
            <w:pPr>
              <w:spacing w:after="0"/>
              <w:jc w:val="center"/>
              <w:rPr>
                <w:szCs w:val="20"/>
              </w:rPr>
            </w:pPr>
          </w:p>
        </w:tc>
        <w:tc>
          <w:tcPr>
            <w:tcW w:w="960" w:type="dxa"/>
            <w:shd w:val="clear" w:color="auto" w:fill="auto"/>
            <w:vAlign w:val="center"/>
          </w:tcPr>
          <w:p w:rsidRPr="00C61504" w:rsidR="00FC605F" w:rsidP="00FC605F" w:rsidRDefault="00FC605F" w14:paraId="3A4AA4B8" w14:textId="22CBA50A">
            <w:pPr>
              <w:spacing w:after="0"/>
              <w:jc w:val="right"/>
              <w:rPr>
                <w:szCs w:val="20"/>
              </w:rPr>
            </w:pPr>
            <w:r>
              <w:rPr>
                <w:szCs w:val="20"/>
              </w:rPr>
              <w:t>16</w:t>
            </w:r>
          </w:p>
        </w:tc>
      </w:tr>
      <w:tr w:rsidRPr="00C61504" w:rsidR="00FC605F" w:rsidTr="00172D7B" w14:paraId="7EAD708A" w14:textId="77777777">
        <w:trPr>
          <w:cantSplit/>
          <w:jc w:val="center"/>
        </w:trPr>
        <w:tc>
          <w:tcPr>
            <w:tcW w:w="960" w:type="dxa"/>
            <w:shd w:val="clear" w:color="auto" w:fill="auto"/>
            <w:vAlign w:val="center"/>
          </w:tcPr>
          <w:p w:rsidRPr="00C61504" w:rsidR="00FC605F" w:rsidP="00FC605F" w:rsidRDefault="00FC605F" w14:paraId="32BE4012"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47ACB0E1" w14:textId="77777777">
            <w:pPr>
              <w:spacing w:after="0"/>
              <w:jc w:val="center"/>
              <w:rPr>
                <w:szCs w:val="20"/>
              </w:rPr>
            </w:pPr>
            <w:r w:rsidRPr="00C61504">
              <w:rPr>
                <w:szCs w:val="20"/>
              </w:rPr>
              <w:t>025</w:t>
            </w:r>
          </w:p>
        </w:tc>
        <w:tc>
          <w:tcPr>
            <w:tcW w:w="960" w:type="dxa"/>
            <w:shd w:val="clear" w:color="auto" w:fill="auto"/>
            <w:vAlign w:val="center"/>
          </w:tcPr>
          <w:p w:rsidRPr="00C61504" w:rsidR="00FC605F" w:rsidP="00FC605F" w:rsidRDefault="00FC605F" w14:paraId="470A865F"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79D1D428" w14:textId="77777777">
            <w:pPr>
              <w:spacing w:after="0"/>
              <w:jc w:val="center"/>
              <w:rPr>
                <w:szCs w:val="20"/>
              </w:rPr>
            </w:pPr>
          </w:p>
        </w:tc>
        <w:tc>
          <w:tcPr>
            <w:tcW w:w="960" w:type="dxa"/>
            <w:shd w:val="clear" w:color="auto" w:fill="auto"/>
            <w:vAlign w:val="center"/>
          </w:tcPr>
          <w:p w:rsidRPr="00C61504" w:rsidR="00FC605F" w:rsidP="00FC605F" w:rsidRDefault="00FC605F" w14:paraId="01C50715" w14:textId="509AF6AE">
            <w:pPr>
              <w:spacing w:after="0"/>
              <w:jc w:val="right"/>
              <w:rPr>
                <w:szCs w:val="20"/>
              </w:rPr>
            </w:pPr>
            <w:r>
              <w:rPr>
                <w:szCs w:val="20"/>
              </w:rPr>
              <w:t>260</w:t>
            </w:r>
          </w:p>
        </w:tc>
      </w:tr>
      <w:tr w:rsidRPr="008C02D0" w:rsidR="00FC605F" w:rsidTr="00172D7B" w14:paraId="2DD4C770" w14:textId="77777777">
        <w:trPr>
          <w:cantSplit/>
          <w:jc w:val="center"/>
        </w:trPr>
        <w:tc>
          <w:tcPr>
            <w:tcW w:w="960" w:type="dxa"/>
            <w:shd w:val="clear" w:color="auto" w:fill="auto"/>
            <w:vAlign w:val="center"/>
          </w:tcPr>
          <w:p w:rsidRPr="00C61504" w:rsidR="00FC605F" w:rsidP="00FC605F" w:rsidRDefault="00FC605F" w14:paraId="5EC35C03" w14:textId="77777777">
            <w:pPr>
              <w:spacing w:after="0"/>
              <w:jc w:val="center"/>
              <w:rPr>
                <w:szCs w:val="20"/>
              </w:rPr>
            </w:pPr>
            <w:r w:rsidRPr="00C61504">
              <w:rPr>
                <w:szCs w:val="20"/>
              </w:rPr>
              <w:t>04</w:t>
            </w:r>
          </w:p>
        </w:tc>
        <w:tc>
          <w:tcPr>
            <w:tcW w:w="960" w:type="dxa"/>
            <w:shd w:val="clear" w:color="auto" w:fill="auto"/>
            <w:vAlign w:val="center"/>
          </w:tcPr>
          <w:p w:rsidRPr="00C61504" w:rsidR="00FC605F" w:rsidP="00FC605F" w:rsidRDefault="00FC605F" w14:paraId="07ADD5DB" w14:textId="77777777">
            <w:pPr>
              <w:spacing w:after="0"/>
              <w:jc w:val="center"/>
              <w:rPr>
                <w:szCs w:val="20"/>
              </w:rPr>
            </w:pPr>
            <w:r w:rsidRPr="00C61504">
              <w:rPr>
                <w:szCs w:val="20"/>
              </w:rPr>
              <w:t>027</w:t>
            </w:r>
          </w:p>
        </w:tc>
        <w:tc>
          <w:tcPr>
            <w:tcW w:w="960" w:type="dxa"/>
            <w:shd w:val="clear" w:color="auto" w:fill="auto"/>
            <w:vAlign w:val="center"/>
          </w:tcPr>
          <w:p w:rsidRPr="00C61504" w:rsidR="00FC605F" w:rsidP="00FC605F" w:rsidRDefault="00FC605F" w14:paraId="32F1E237" w14:textId="77777777">
            <w:pPr>
              <w:spacing w:after="0"/>
              <w:jc w:val="center"/>
              <w:rPr>
                <w:szCs w:val="20"/>
              </w:rPr>
            </w:pPr>
            <w:r w:rsidRPr="00C61504">
              <w:rPr>
                <w:szCs w:val="20"/>
              </w:rPr>
              <w:t>2362</w:t>
            </w:r>
          </w:p>
        </w:tc>
        <w:tc>
          <w:tcPr>
            <w:tcW w:w="960" w:type="dxa"/>
            <w:shd w:val="clear" w:color="auto" w:fill="auto"/>
            <w:vAlign w:val="center"/>
          </w:tcPr>
          <w:p w:rsidRPr="00C61504" w:rsidR="00FC605F" w:rsidP="00FC605F" w:rsidRDefault="00FC605F" w14:paraId="04801F8A" w14:textId="77777777">
            <w:pPr>
              <w:spacing w:after="0"/>
              <w:jc w:val="center"/>
              <w:rPr>
                <w:szCs w:val="20"/>
              </w:rPr>
            </w:pPr>
          </w:p>
        </w:tc>
        <w:tc>
          <w:tcPr>
            <w:tcW w:w="960" w:type="dxa"/>
            <w:shd w:val="clear" w:color="auto" w:fill="auto"/>
            <w:vAlign w:val="center"/>
          </w:tcPr>
          <w:p w:rsidRPr="00C61504" w:rsidR="00FC605F" w:rsidP="00FC605F" w:rsidRDefault="00FC605F" w14:paraId="4246B684" w14:textId="7ACC81D7">
            <w:pPr>
              <w:spacing w:after="0"/>
              <w:jc w:val="right"/>
              <w:rPr>
                <w:szCs w:val="20"/>
              </w:rPr>
            </w:pPr>
            <w:r>
              <w:rPr>
                <w:szCs w:val="20"/>
              </w:rPr>
              <w:t>233</w:t>
            </w:r>
          </w:p>
        </w:tc>
      </w:tr>
    </w:tbl>
    <w:p w:rsidRPr="00C94B2D" w:rsidR="00172D7B" w:rsidP="00172D7B" w:rsidRDefault="00172D7B" w14:paraId="56F3D33A" w14:textId="77777777">
      <w:pPr>
        <w:spacing w:after="0"/>
        <w:ind w:left="720"/>
        <w:rPr>
          <w:szCs w:val="20"/>
        </w:rPr>
      </w:pPr>
    </w:p>
    <w:p w:rsidR="00FC605F" w:rsidP="00FC605F" w:rsidRDefault="00FC605F" w14:paraId="746BD424" w14:textId="77777777">
      <w:pPr>
        <w:numPr>
          <w:ilvl w:val="0"/>
          <w:numId w:val="29"/>
        </w:numPr>
        <w:spacing w:after="0"/>
        <w:rPr>
          <w:szCs w:val="20"/>
        </w:rPr>
      </w:pPr>
      <w:r>
        <w:rPr>
          <w:szCs w:val="20"/>
        </w:rPr>
        <w:t>The total of employees not including withheld counties is 11,831.</w:t>
      </w:r>
    </w:p>
    <w:p w:rsidR="00FC605F" w:rsidP="00FC605F" w:rsidRDefault="00FC605F" w14:paraId="67B66FB9" w14:textId="77777777">
      <w:pPr>
        <w:numPr>
          <w:ilvl w:val="0"/>
          <w:numId w:val="29"/>
        </w:numPr>
        <w:spacing w:after="0"/>
        <w:rPr>
          <w:szCs w:val="20"/>
        </w:rPr>
      </w:pPr>
      <w:r>
        <w:rPr>
          <w:szCs w:val="20"/>
        </w:rPr>
        <w:t xml:space="preserve">The state-level </w:t>
      </w:r>
      <w:r>
        <w:rPr>
          <w:iCs/>
          <w:szCs w:val="20"/>
        </w:rPr>
        <w:t>CBP</w:t>
      </w:r>
      <w:r>
        <w:rPr>
          <w:szCs w:val="20"/>
        </w:rPr>
        <w:t xml:space="preserve"> reports 11,721 employees for NAICS 2362.  The difference is 110.</w:t>
      </w:r>
    </w:p>
    <w:p w:rsidR="00FC605F" w:rsidP="00FC605F" w:rsidRDefault="00FC605F" w14:paraId="5CE8F5C8" w14:textId="77777777">
      <w:pPr>
        <w:numPr>
          <w:ilvl w:val="0"/>
          <w:numId w:val="29"/>
        </w:numPr>
        <w:spacing w:after="0"/>
        <w:rPr>
          <w:szCs w:val="20"/>
        </w:rPr>
      </w:pPr>
      <w:r>
        <w:rPr>
          <w:szCs w:val="20"/>
        </w:rPr>
        <w:t>Withheld counties are given the midpoint of the employment range. County 001 is given a midpoint of 60 (since employment flag A is 20 – 99) and County 012 is given a midpoint of 10 (since employment flag H is 0 – 19).</w:t>
      </w:r>
    </w:p>
    <w:p w:rsidR="00FC605F" w:rsidP="00FC605F" w:rsidRDefault="00FC605F" w14:paraId="7029D0DF" w14:textId="77777777">
      <w:pPr>
        <w:numPr>
          <w:ilvl w:val="0"/>
          <w:numId w:val="29"/>
        </w:numPr>
        <w:spacing w:after="0"/>
        <w:rPr>
          <w:szCs w:val="20"/>
        </w:rPr>
      </w:pPr>
      <w:r>
        <w:rPr>
          <w:szCs w:val="20"/>
        </w:rPr>
        <w:t xml:space="preserve">State total for these all withheld counties is 130. </w:t>
      </w:r>
    </w:p>
    <w:p w:rsidR="00FC605F" w:rsidP="00FC605F" w:rsidRDefault="00FC605F" w14:paraId="0F3EE557" w14:textId="77777777">
      <w:pPr>
        <w:numPr>
          <w:ilvl w:val="0"/>
          <w:numId w:val="29"/>
        </w:numPr>
        <w:spacing w:after="0"/>
        <w:rPr>
          <w:szCs w:val="20"/>
        </w:rPr>
      </w:pPr>
      <w:r>
        <w:rPr>
          <w:szCs w:val="20"/>
        </w:rPr>
        <w:t>110/130 = 0.846.</w:t>
      </w:r>
    </w:p>
    <w:p w:rsidR="00FC605F" w:rsidP="00FC605F" w:rsidRDefault="00FC605F" w14:paraId="7AF0E47D" w14:textId="77777777">
      <w:pPr>
        <w:numPr>
          <w:ilvl w:val="0"/>
          <w:numId w:val="29"/>
        </w:numPr>
        <w:spacing w:after="0"/>
        <w:rPr>
          <w:szCs w:val="20"/>
        </w:rPr>
      </w:pPr>
      <w:r>
        <w:rPr>
          <w:szCs w:val="20"/>
        </w:rPr>
        <w:t>The adjusted employment for county 001 is 60 × 0.846  = 51.36 employees. County 012 has an adjusted employment of 10 × 0.846 = 8.46 employees.</w:t>
      </w:r>
    </w:p>
    <w:p w:rsidR="00172D7B" w:rsidP="00172D7B" w:rsidRDefault="00172D7B" w14:paraId="5AE7D320" w14:textId="77777777">
      <w:pPr>
        <w:spacing w:after="0"/>
        <w:ind w:left="720"/>
        <w:rPr>
          <w:szCs w:val="20"/>
        </w:rPr>
      </w:pPr>
    </w:p>
    <w:p w:rsidR="00172D7B" w:rsidP="00172D7B" w:rsidRDefault="00172D7B" w14:paraId="736CFB49" w14:textId="0FD5F37F">
      <w:pPr>
        <w:spacing w:after="0"/>
        <w:rPr>
          <w:szCs w:val="20"/>
        </w:rPr>
      </w:pPr>
      <w:r>
        <w:rPr>
          <w:szCs w:val="20"/>
        </w:rPr>
        <w:t xml:space="preserve">The county-level employment data </w:t>
      </w:r>
      <w:r w:rsidR="002D1824">
        <w:rPr>
          <w:szCs w:val="20"/>
        </w:rPr>
        <w:t>are</w:t>
      </w:r>
      <w:r>
        <w:rPr>
          <w:szCs w:val="20"/>
        </w:rPr>
        <w:t xml:space="preserve"> used to allocate the national-level non-residential construction spending data to the county-level (see equation</w:t>
      </w:r>
      <w:r w:rsidR="00F65ACC">
        <w:rPr>
          <w:szCs w:val="20"/>
        </w:rPr>
        <w:t>s</w:t>
      </w:r>
      <w:r>
        <w:rPr>
          <w:szCs w:val="20"/>
        </w:rPr>
        <w:t xml:space="preserve"> 1</w:t>
      </w:r>
      <w:r w:rsidR="00F65ACC">
        <w:rPr>
          <w:szCs w:val="20"/>
        </w:rPr>
        <w:t xml:space="preserve"> and 2</w:t>
      </w:r>
      <w:r>
        <w:rPr>
          <w:szCs w:val="20"/>
        </w:rPr>
        <w:t xml:space="preserve">).  </w:t>
      </w:r>
    </w:p>
    <w:p w:rsidRPr="003D38C0" w:rsidR="003D38C0" w:rsidP="00172D7B" w:rsidRDefault="003D38C0" w14:paraId="482CAC6D" w14:textId="77777777">
      <w:pPr>
        <w:pStyle w:val="NoSpacing"/>
        <w:ind w:left="0" w:firstLine="0"/>
      </w:pPr>
    </w:p>
    <w:p w:rsidRPr="00886F17" w:rsidR="00B97E6E" w:rsidP="003D38C0" w:rsidRDefault="00B97E6E" w14:paraId="74DFA48A" w14:textId="78DFB3BB">
      <w:pPr>
        <w:pStyle w:val="Heading1"/>
      </w:pPr>
      <w:bookmarkStart w:name="_Ref477187901" w:id="8"/>
      <w:r w:rsidRPr="00886F17">
        <w:t>Emission</w:t>
      </w:r>
      <w:r w:rsidR="009944E8">
        <w:t>s</w:t>
      </w:r>
      <w:r w:rsidRPr="00886F17">
        <w:t xml:space="preserve"> Factors</w:t>
      </w:r>
      <w:bookmarkEnd w:id="3"/>
      <w:bookmarkEnd w:id="8"/>
    </w:p>
    <w:p w:rsidR="00F963A6" w:rsidP="00F65ACC" w:rsidRDefault="000C7CE8" w14:paraId="2F96E014" w14:textId="3BF63A4E">
      <w:r>
        <w:t>Due to regional variances in soil moisture and silt content, emissions factors for PM10 and PM25 are calculated for each county</w:t>
      </w:r>
      <w:r w:rsidR="005D1A42">
        <w:t xml:space="preserve">. </w:t>
      </w:r>
      <w:r w:rsidR="00F963A6">
        <w:t>The i</w:t>
      </w:r>
      <w:r w:rsidRPr="003C6C99" w:rsidR="00F51B57">
        <w:t>nitial PM</w:t>
      </w:r>
      <w:r w:rsidRPr="00274DC7" w:rsidR="00F51B57">
        <w:t>10</w:t>
      </w:r>
      <w:r w:rsidRPr="003C6C99" w:rsidR="00F51B57">
        <w:t xml:space="preserve"> emissions </w:t>
      </w:r>
      <w:r w:rsidR="00F963A6">
        <w:t xml:space="preserve">factor </w:t>
      </w:r>
      <w:r w:rsidRPr="003C6C99" w:rsidR="00F51B57">
        <w:t xml:space="preserve">from </w:t>
      </w:r>
      <w:r w:rsidR="00D7323D">
        <w:t xml:space="preserve">non-residential </w:t>
      </w:r>
      <w:r w:rsidRPr="003C6C99" w:rsidR="00F51B57">
        <w:t xml:space="preserve">construction </w:t>
      </w:r>
      <w:r w:rsidR="00F963A6">
        <w:t xml:space="preserve">is </w:t>
      </w:r>
      <w:r w:rsidR="00D7323D">
        <w:t>0.19</w:t>
      </w:r>
      <w:r w:rsidRPr="003C6C99" w:rsidR="00F51B57">
        <w:t xml:space="preserve"> tons/acre-month.</w:t>
      </w:r>
      <w:bookmarkStart w:name="_Ref478646074" w:id="9"/>
      <w:r>
        <w:rPr>
          <w:rStyle w:val="EndnoteReference"/>
          <w:szCs w:val="20"/>
        </w:rPr>
        <w:endnoteReference w:id="6"/>
      </w:r>
      <w:bookmarkEnd w:id="9"/>
      <w:r w:rsidR="00D7323D">
        <w:t xml:space="preserve"> </w:t>
      </w:r>
      <w:r w:rsidRPr="003C6C99" w:rsidR="00F51B57">
        <w:t>The duration of</w:t>
      </w:r>
      <w:r w:rsidR="00D7323D">
        <w:t xml:space="preserve"> construction activity for non-residential construction is assumed to be 11</w:t>
      </w:r>
      <w:r w:rsidRPr="003C6C99" w:rsidR="00F51B57">
        <w:t xml:space="preserve"> months.</w:t>
      </w:r>
      <w:r w:rsidR="00F51B57">
        <w:t xml:space="preserve"> </w:t>
      </w:r>
    </w:p>
    <w:p w:rsidRPr="00E83425" w:rsidR="00F963A6" w:rsidP="00F65ACC" w:rsidRDefault="00F963A6" w14:paraId="31F1E1AB" w14:textId="5B378E4D">
      <w:r w:rsidRPr="003C6C99">
        <w:lastRenderedPageBreak/>
        <w:t>To account for the soil moisture level, the PM</w:t>
      </w:r>
      <w:r>
        <w:t>10</w:t>
      </w:r>
      <w:r w:rsidRPr="003C6C99">
        <w:t xml:space="preserve"> emissions are weighted using the 30-year average precipitation-evaporation (PE) values from Thornthwaite’s PE Index.  Average precipitation evapor</w:t>
      </w:r>
      <w:r w:rsidR="00AA11E1">
        <w:t xml:space="preserve">ation values for each </w:t>
      </w:r>
      <w:r w:rsidR="00C52E5D">
        <w:t>s</w:t>
      </w:r>
      <w:r w:rsidR="00AA11E1">
        <w:t xml:space="preserve">tate are </w:t>
      </w:r>
      <w:r w:rsidRPr="003C6C99">
        <w:t xml:space="preserve">estimated based on PE values for specific climatic divisions within a </w:t>
      </w:r>
      <w:r w:rsidR="00C52E5D">
        <w:t>s</w:t>
      </w:r>
      <w:r w:rsidRPr="003C6C99">
        <w:t>tate</w:t>
      </w:r>
      <w:r>
        <w:t>.</w:t>
      </w:r>
      <w:r w:rsidRPr="00F963A6">
        <w:rPr>
          <w:vertAlign w:val="superscript"/>
        </w:rPr>
        <w:fldChar w:fldCharType="begin"/>
      </w:r>
      <w:r w:rsidRPr="00F963A6">
        <w:rPr>
          <w:vertAlign w:val="superscript"/>
        </w:rPr>
        <w:instrText xml:space="preserve"> NOTEREF _Ref478646074 \h </w:instrText>
      </w:r>
      <w:r>
        <w:rPr>
          <w:vertAlign w:val="superscript"/>
        </w:rPr>
        <w:instrText xml:space="preserve"> \* MERGEFORMAT </w:instrText>
      </w:r>
      <w:r w:rsidRPr="00F963A6">
        <w:rPr>
          <w:vertAlign w:val="superscript"/>
        </w:rPr>
      </w:r>
      <w:r w:rsidRPr="00F963A6">
        <w:rPr>
          <w:vertAlign w:val="superscript"/>
        </w:rPr>
        <w:fldChar w:fldCharType="separate"/>
      </w:r>
      <w:r w:rsidR="00F65ACC">
        <w:rPr>
          <w:vertAlign w:val="superscript"/>
        </w:rPr>
        <w:t>5</w:t>
      </w:r>
      <w:r w:rsidRPr="00F963A6">
        <w:rPr>
          <w:vertAlign w:val="superscript"/>
        </w:rPr>
        <w:fldChar w:fldCharType="end"/>
      </w:r>
      <w:r w:rsidR="00E83425">
        <w:rPr>
          <w:vertAlign w:val="superscript"/>
        </w:rPr>
        <w:t xml:space="preserve"> </w:t>
      </w:r>
      <w:r w:rsidR="00E83425">
        <w:t>The average PE value for the test sites from which the PM10 emissions factor</w:t>
      </w:r>
      <w:r w:rsidR="00F65ACC">
        <w:t xml:space="preserve"> was developed is 24</w:t>
      </w:r>
      <w:r w:rsidR="006C3036">
        <w:t>.</w:t>
      </w:r>
      <w:r w:rsidR="00F65ACC">
        <w:t xml:space="preserve"> </w:t>
      </w:r>
      <w:r w:rsidR="006C3036">
        <w:t>E</w:t>
      </w:r>
      <w:r w:rsidR="00F65ACC">
        <w:t>quation 5</w:t>
      </w:r>
      <w:r w:rsidR="00E83425">
        <w:t xml:space="preserve"> adjusts the county-level emissions factor based on this PE value.    </w:t>
      </w:r>
    </w:p>
    <w:p w:rsidR="00F963A6" w:rsidP="00F65ACC" w:rsidRDefault="00F51B57" w14:paraId="5E454D6D" w14:textId="48C090C3">
      <w:r w:rsidRPr="003C6C99">
        <w:t>To account for the silt content, the PM</w:t>
      </w:r>
      <w:r w:rsidR="00F963A6">
        <w:t>10</w:t>
      </w:r>
      <w:r w:rsidRPr="003C6C99">
        <w:t xml:space="preserve"> emissions are weighted using average silt co</w:t>
      </w:r>
      <w:r w:rsidR="00C52E5D">
        <w:t>ntent for each county.  EPA uses</w:t>
      </w:r>
      <w:r w:rsidRPr="003C6C99">
        <w:t xml:space="preserve"> the National Cooperative Soil Survey Microsoft Access Soil Characterization Database to develop county-level, average silt content values for surface soil.</w:t>
      </w:r>
      <w:r w:rsidR="00F963A6">
        <w:rPr>
          <w:rStyle w:val="EndnoteReference"/>
          <w:iCs/>
          <w:szCs w:val="20"/>
        </w:rPr>
        <w:endnoteReference w:id="7"/>
      </w:r>
      <w:r w:rsidR="00F963A6">
        <w:t xml:space="preserve"> </w:t>
      </w:r>
      <w:r w:rsidRPr="00EE3A88" w:rsidR="00A722F3">
        <w:rPr>
          <w:szCs w:val="20"/>
        </w:rPr>
        <w:t>The U.S. Department of Agriculture and the National Cooperative Soil Survey define silt content of surface soil as the percentage of particles (mass basis) of diameter smaller than 50 micrometers (µm) found in the surface soil.</w:t>
      </w:r>
      <w:r w:rsidR="00A722F3">
        <w:rPr>
          <w:rStyle w:val="FootnoteReference"/>
          <w:szCs w:val="20"/>
        </w:rPr>
        <w:footnoteReference w:id="1"/>
      </w:r>
      <w:r w:rsidR="00A722F3">
        <w:rPr>
          <w:szCs w:val="20"/>
        </w:rPr>
        <w:t xml:space="preserve"> </w:t>
      </w:r>
      <w:r w:rsidRPr="003C6C99">
        <w:t>This database contains the most commonly requested data from the National Cooperative Soil Survey Laboratories including data from the Kellogg Soil Survey Laboratory and cooperating universities.</w:t>
      </w:r>
      <w:r w:rsidR="00E83425">
        <w:t xml:space="preserve"> The average silt content for the test sites from which the PM10 emissions factor</w:t>
      </w:r>
      <w:r w:rsidR="008A3282">
        <w:t xml:space="preserve"> was developed is 9%</w:t>
      </w:r>
      <w:r w:rsidR="006C3036">
        <w:t>.</w:t>
      </w:r>
      <w:r w:rsidR="008A3282">
        <w:t xml:space="preserve"> </w:t>
      </w:r>
      <w:r w:rsidR="006C3036">
        <w:t>E</w:t>
      </w:r>
      <w:r w:rsidR="008A3282">
        <w:t>quation 5</w:t>
      </w:r>
      <w:r w:rsidR="00E83425">
        <w:t xml:space="preserve"> adjusts the county-level emissions factor based on this silt content value.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F963A6" w:rsidTr="009B4212" w14:paraId="74EC711F" w14:textId="77777777">
        <w:trPr>
          <w:trHeight w:val="576"/>
        </w:trPr>
        <w:tc>
          <w:tcPr>
            <w:tcW w:w="8748" w:type="dxa"/>
            <w:vAlign w:val="center"/>
          </w:tcPr>
          <w:p w:rsidRPr="00E83425" w:rsidR="00F963A6" w:rsidP="0058616C" w:rsidRDefault="004A4C3F" w14:paraId="4C8AEE96" w14:textId="559803BB">
            <w:pPr>
              <w:widowControl/>
              <w:autoSpaceDE/>
              <w:autoSpaceDN/>
              <w:adjustRightInd/>
              <w:jc w:val="center"/>
              <w:rPr>
                <w:szCs w:val="20"/>
                <w:vertAlign w:val="superscript"/>
              </w:rPr>
            </w:pPr>
            <m:oMathPara>
              <m:oMath>
                <m:sSub>
                  <m:sSubPr>
                    <m:ctrlPr>
                      <w:rPr>
                        <w:rFonts w:ascii="Cambria Math" w:hAnsi="Cambria Math"/>
                        <w:i/>
                      </w:rPr>
                    </m:ctrlPr>
                  </m:sSubPr>
                  <m:e>
                    <m:r>
                      <w:rPr>
                        <w:rFonts w:ascii="Cambria Math" w:hAnsi="Cambria Math"/>
                      </w:rPr>
                      <m:t>EF</m:t>
                    </m:r>
                  </m:e>
                  <m:sub>
                    <m:r>
                      <w:rPr>
                        <w:rFonts w:ascii="Cambria Math" w:hAnsi="Cambria Math"/>
                      </w:rPr>
                      <m:t>PM10,c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PM10</m:t>
                    </m:r>
                  </m:sub>
                </m:sSub>
                <m:r>
                  <w:rPr>
                    <w:rFonts w:ascii="Cambria Math" w:hAnsi="Cambria Math"/>
                  </w:rPr>
                  <m:t>×</m:t>
                </m:r>
                <m:f>
                  <m:fPr>
                    <m:ctrlPr>
                      <w:rPr>
                        <w:rFonts w:ascii="Cambria Math" w:hAnsi="Cambria Math"/>
                        <w:i/>
                      </w:rPr>
                    </m:ctrlPr>
                  </m:fPr>
                  <m:num>
                    <m:r>
                      <w:rPr>
                        <w:rFonts w:ascii="Cambria Math" w:hAnsi="Cambria Math"/>
                      </w:rPr>
                      <m:t>24</m:t>
                    </m:r>
                  </m:num>
                  <m:den>
                    <m:sSub>
                      <m:sSubPr>
                        <m:ctrlPr>
                          <w:rPr>
                            <w:rFonts w:ascii="Cambria Math" w:hAnsi="Cambria Math"/>
                            <w:i/>
                          </w:rPr>
                        </m:ctrlPr>
                      </m:sSubPr>
                      <m:e>
                        <m:r>
                          <w:rPr>
                            <w:rFonts w:ascii="Cambria Math" w:hAnsi="Cambria Math"/>
                          </w:rPr>
                          <m:t>PE</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c</m:t>
                        </m:r>
                      </m:sub>
                    </m:sSub>
                  </m:num>
                  <m:den>
                    <m:r>
                      <w:rPr>
                        <w:rFonts w:ascii="Cambria Math" w:hAnsi="Cambria Math"/>
                      </w:rPr>
                      <m:t>9%</m:t>
                    </m:r>
                  </m:den>
                </m:f>
              </m:oMath>
            </m:oMathPara>
          </w:p>
        </w:tc>
        <w:tc>
          <w:tcPr>
            <w:tcW w:w="828" w:type="dxa"/>
            <w:vAlign w:val="center"/>
          </w:tcPr>
          <w:p w:rsidRPr="00986448" w:rsidR="00F963A6" w:rsidP="00D7323D" w:rsidRDefault="00F963A6" w14:paraId="08EFDC8B" w14:textId="77777777">
            <w:pPr>
              <w:pStyle w:val="ListParagraph"/>
              <w:widowControl/>
              <w:numPr>
                <w:ilvl w:val="0"/>
                <w:numId w:val="10"/>
              </w:numPr>
              <w:autoSpaceDE/>
              <w:autoSpaceDN/>
              <w:adjustRightInd/>
              <w:jc w:val="center"/>
              <w:rPr>
                <w:szCs w:val="20"/>
              </w:rPr>
            </w:pPr>
          </w:p>
        </w:tc>
      </w:tr>
    </w:tbl>
    <w:p w:rsidR="00F963A6" w:rsidP="00F963A6" w:rsidRDefault="00F963A6" w14:paraId="17655005" w14:textId="77777777">
      <w:pPr>
        <w:spacing w:after="0"/>
        <w:rPr>
          <w:szCs w:val="20"/>
        </w:rPr>
      </w:pPr>
      <w:r>
        <w:rPr>
          <w:szCs w:val="20"/>
        </w:rPr>
        <w:t>Where:</w:t>
      </w:r>
    </w:p>
    <w:p w:rsidR="00F963A6" w:rsidP="00F963A6" w:rsidRDefault="00F963A6" w14:paraId="65DF2C9B" w14:textId="1C58008E">
      <w:pPr>
        <w:pStyle w:val="NoSpacing"/>
      </w:pPr>
      <w:r>
        <w:rPr>
          <w:i/>
        </w:rPr>
        <w:tab/>
      </w:r>
      <w:r>
        <w:rPr>
          <w:i/>
        </w:rPr>
        <w:t>EF</w:t>
      </w:r>
      <w:r>
        <w:rPr>
          <w:i/>
          <w:vertAlign w:val="subscript"/>
        </w:rPr>
        <w:t>PM10,c</w:t>
      </w:r>
      <w:r>
        <w:rPr>
          <w:i/>
          <w:vertAlign w:val="subscript"/>
        </w:rPr>
        <w:tab/>
      </w:r>
      <w:r>
        <w:t>=</w:t>
      </w:r>
      <w:r>
        <w:tab/>
      </w:r>
      <w:r>
        <w:t>PM</w:t>
      </w:r>
      <w:r>
        <w:rPr>
          <w:vertAlign w:val="subscript"/>
        </w:rPr>
        <w:t xml:space="preserve">10 </w:t>
      </w:r>
      <w:r>
        <w:t xml:space="preserve">emission factor corrected for soil moisture and silt content in state </w:t>
      </w:r>
      <w:r>
        <w:rPr>
          <w:i/>
        </w:rPr>
        <w:t xml:space="preserve">s </w:t>
      </w:r>
      <w:r>
        <w:t xml:space="preserve">and county </w:t>
      </w:r>
      <w:r>
        <w:rPr>
          <w:i/>
        </w:rPr>
        <w:t xml:space="preserve">c, </w:t>
      </w:r>
      <w:r>
        <w:t>in tons/acre-month</w:t>
      </w:r>
    </w:p>
    <w:p w:rsidR="00F963A6" w:rsidP="00F963A6" w:rsidRDefault="00F963A6" w14:paraId="66BB8963" w14:textId="119659FA">
      <w:pPr>
        <w:pStyle w:val="NoSpacing"/>
      </w:pPr>
      <w:r>
        <w:rPr>
          <w:i/>
        </w:rPr>
        <w:tab/>
      </w:r>
      <w:r>
        <w:rPr>
          <w:i/>
        </w:rPr>
        <w:t>ef</w:t>
      </w:r>
      <w:r>
        <w:rPr>
          <w:i/>
          <w:vertAlign w:val="subscript"/>
        </w:rPr>
        <w:t>PM10</w:t>
      </w:r>
      <w:r>
        <w:rPr>
          <w:i/>
          <w:vertAlign w:val="subscript"/>
        </w:rPr>
        <w:tab/>
      </w:r>
      <w:r>
        <w:t>=</w:t>
      </w:r>
      <w:r>
        <w:tab/>
      </w:r>
      <w:r>
        <w:t>Initial PM</w:t>
      </w:r>
      <w:r w:rsidRPr="002A34F4">
        <w:rPr>
          <w:vertAlign w:val="subscript"/>
        </w:rPr>
        <w:t>10</w:t>
      </w:r>
      <w:r w:rsidR="00FF2F0E">
        <w:t xml:space="preserve"> emissions</w:t>
      </w:r>
      <w:r w:rsidR="00F65ACC">
        <w:t xml:space="preserve"> factor</w:t>
      </w:r>
      <w:r w:rsidR="00FF2F0E">
        <w:t xml:space="preserve"> for non-residential</w:t>
      </w:r>
      <w:r>
        <w:t xml:space="preserve"> construction,</w:t>
      </w:r>
      <w:r w:rsidR="00784A58">
        <w:t xml:space="preserve"> </w:t>
      </w:r>
      <w:r w:rsidR="008A3679">
        <w:t>0.19</w:t>
      </w:r>
      <w:r>
        <w:t xml:space="preserve"> tons/acre-month</w:t>
      </w:r>
    </w:p>
    <w:p w:rsidR="00F963A6" w:rsidP="00F963A6" w:rsidRDefault="00F963A6" w14:paraId="43928C2E" w14:textId="77777777">
      <w:pPr>
        <w:pStyle w:val="NoSpacing"/>
        <w:rPr>
          <w:i/>
        </w:rPr>
      </w:pPr>
      <w:r>
        <w:tab/>
      </w:r>
      <w:r w:rsidRPr="008A4218">
        <w:rPr>
          <w:i/>
        </w:rPr>
        <w:t>PE</w:t>
      </w:r>
      <w:r w:rsidRPr="008A4218">
        <w:rPr>
          <w:i/>
          <w:vertAlign w:val="subscript"/>
        </w:rPr>
        <w:t>s</w:t>
      </w:r>
      <w:r>
        <w:tab/>
      </w:r>
      <w:r>
        <w:t>=</w:t>
      </w:r>
      <w:r>
        <w:tab/>
      </w:r>
      <w:r>
        <w:t xml:space="preserve">Precipitation-evaporation value for state </w:t>
      </w:r>
      <w:r>
        <w:rPr>
          <w:i/>
        </w:rPr>
        <w:t>s</w:t>
      </w:r>
    </w:p>
    <w:p w:rsidR="00F963A6" w:rsidP="00F963A6" w:rsidRDefault="00F963A6" w14:paraId="6818AC28" w14:textId="77777777">
      <w:pPr>
        <w:pStyle w:val="NoSpacing"/>
        <w:rPr>
          <w:i/>
        </w:rPr>
      </w:pPr>
      <w:r>
        <w:rPr>
          <w:i/>
        </w:rPr>
        <w:tab/>
      </w:r>
      <w:r>
        <w:rPr>
          <w:i/>
        </w:rPr>
        <w:t>S</w:t>
      </w:r>
      <w:r>
        <w:rPr>
          <w:i/>
          <w:vertAlign w:val="subscript"/>
        </w:rPr>
        <w:t>c</w:t>
      </w:r>
      <w:r>
        <w:rPr>
          <w:i/>
          <w:vertAlign w:val="subscript"/>
        </w:rPr>
        <w:tab/>
      </w:r>
      <w:r>
        <w:t>=</w:t>
      </w:r>
      <w:r>
        <w:tab/>
      </w:r>
      <w:r>
        <w:t xml:space="preserve">Percent dry silt content in soil for county </w:t>
      </w:r>
      <w:r>
        <w:rPr>
          <w:i/>
        </w:rPr>
        <w:t>c</w:t>
      </w:r>
    </w:p>
    <w:p w:rsidRPr="005B2EF7" w:rsidR="00E83425" w:rsidP="00E83425" w:rsidRDefault="00E83425" w14:paraId="50F47E72" w14:textId="73159D68">
      <w:pPr>
        <w:pStyle w:val="NoSpacing"/>
        <w:ind w:left="0" w:firstLine="0"/>
        <w:rPr>
          <w:i/>
        </w:rPr>
      </w:pPr>
    </w:p>
    <w:p w:rsidR="00F65ACC" w:rsidP="00F51B57" w:rsidRDefault="00F65ACC" w14:paraId="184E6D99" w14:textId="77777777">
      <w:pPr>
        <w:spacing w:after="0"/>
        <w:rPr>
          <w:iCs/>
          <w:szCs w:val="20"/>
        </w:rPr>
      </w:pPr>
    </w:p>
    <w:p w:rsidRPr="008A3282" w:rsidR="00F963A6" w:rsidP="00F51B57" w:rsidRDefault="00F51B57" w14:paraId="6CF8A11F" w14:textId="1C5C436F">
      <w:pPr>
        <w:spacing w:after="0"/>
        <w:rPr>
          <w:iCs/>
          <w:szCs w:val="20"/>
          <w:vertAlign w:val="superscript"/>
        </w:rPr>
      </w:pPr>
      <w:r w:rsidRPr="003C6C99">
        <w:rPr>
          <w:iCs/>
          <w:szCs w:val="20"/>
        </w:rPr>
        <w:t>Once PM</w:t>
      </w:r>
      <w:r w:rsidRPr="003C6C99">
        <w:rPr>
          <w:iCs/>
          <w:szCs w:val="20"/>
          <w:vertAlign w:val="subscript"/>
        </w:rPr>
        <w:t>10</w:t>
      </w:r>
      <w:r w:rsidRPr="003C6C99">
        <w:rPr>
          <w:iCs/>
          <w:szCs w:val="20"/>
        </w:rPr>
        <w:t xml:space="preserve"> adjustments have been made, PM</w:t>
      </w:r>
      <w:r w:rsidRPr="003C6C99">
        <w:rPr>
          <w:iCs/>
          <w:szCs w:val="20"/>
          <w:vertAlign w:val="subscript"/>
        </w:rPr>
        <w:t>2.5</w:t>
      </w:r>
      <w:r w:rsidRPr="003C6C99">
        <w:rPr>
          <w:iCs/>
          <w:szCs w:val="20"/>
        </w:rPr>
        <w:t xml:space="preserve"> emissions are set to 10% of PM</w:t>
      </w:r>
      <w:r w:rsidRPr="003C6C99">
        <w:rPr>
          <w:iCs/>
          <w:szCs w:val="20"/>
          <w:vertAlign w:val="subscript"/>
        </w:rPr>
        <w:t>10</w:t>
      </w:r>
      <w:r w:rsidRPr="003C6C99">
        <w:rPr>
          <w:iCs/>
          <w:szCs w:val="20"/>
        </w:rPr>
        <w:t>.</w:t>
      </w:r>
      <w:r w:rsidR="008A3282">
        <w:rPr>
          <w:iCs/>
          <w:szCs w:val="20"/>
          <w:vertAlign w:val="superscript"/>
        </w:rPr>
        <w:t>7</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9B4212" w:rsidTr="009B4212" w14:paraId="06C0214A" w14:textId="77777777">
        <w:trPr>
          <w:trHeight w:val="576"/>
        </w:trPr>
        <w:tc>
          <w:tcPr>
            <w:tcW w:w="8748" w:type="dxa"/>
            <w:vAlign w:val="center"/>
          </w:tcPr>
          <w:p w:rsidR="009B4212" w:rsidP="0058616C" w:rsidRDefault="004A4C3F" w14:paraId="3CB6C653" w14:textId="65A657D9">
            <w:pPr>
              <w:widowControl/>
              <w:autoSpaceDE/>
              <w:autoSpaceDN/>
              <w:adjustRightInd/>
              <w:jc w:val="center"/>
              <w:rPr>
                <w:szCs w:val="20"/>
              </w:rPr>
            </w:pPr>
            <m:oMathPara>
              <m:oMath>
                <m:sSub>
                  <m:sSubPr>
                    <m:ctrlPr>
                      <w:rPr>
                        <w:rFonts w:ascii="Cambria Math" w:hAnsi="Cambria Math"/>
                        <w:i/>
                      </w:rPr>
                    </m:ctrlPr>
                  </m:sSubPr>
                  <m:e>
                    <m:r>
                      <w:rPr>
                        <w:rFonts w:ascii="Cambria Math" w:hAnsi="Cambria Math"/>
                      </w:rPr>
                      <m:t>EF</m:t>
                    </m:r>
                  </m:e>
                  <m:sub>
                    <m:r>
                      <w:rPr>
                        <w:rFonts w:ascii="Cambria Math" w:hAnsi="Cambria Math"/>
                      </w:rPr>
                      <m:t>PM25,c</m:t>
                    </m:r>
                  </m:sub>
                </m:sSub>
                <m:r>
                  <w:rPr>
                    <w:rFonts w:ascii="Cambria Math" w:hAnsi="Cambria Math"/>
                  </w:rPr>
                  <m:t>=0.10×</m:t>
                </m:r>
                <m:sSub>
                  <m:sSubPr>
                    <m:ctrlPr>
                      <w:rPr>
                        <w:rFonts w:ascii="Cambria Math" w:hAnsi="Cambria Math"/>
                        <w:i/>
                      </w:rPr>
                    </m:ctrlPr>
                  </m:sSubPr>
                  <m:e>
                    <m:r>
                      <w:rPr>
                        <w:rFonts w:ascii="Cambria Math" w:hAnsi="Cambria Math"/>
                      </w:rPr>
                      <m:t>EF</m:t>
                    </m:r>
                  </m:e>
                  <m:sub>
                    <m:r>
                      <w:rPr>
                        <w:rFonts w:ascii="Cambria Math" w:hAnsi="Cambria Math"/>
                        <w:sz w:val="24"/>
                      </w:rPr>
                      <m:t>PM10</m:t>
                    </m:r>
                    <m:r>
                      <w:rPr>
                        <w:rFonts w:ascii="Cambria Math" w:hAnsi="Cambria Math"/>
                      </w:rPr>
                      <m:t>,c</m:t>
                    </m:r>
                  </m:sub>
                </m:sSub>
              </m:oMath>
            </m:oMathPara>
          </w:p>
        </w:tc>
        <w:tc>
          <w:tcPr>
            <w:tcW w:w="828" w:type="dxa"/>
            <w:vAlign w:val="center"/>
          </w:tcPr>
          <w:p w:rsidRPr="00986448" w:rsidR="009B4212" w:rsidP="00D7323D" w:rsidRDefault="009B4212" w14:paraId="4AE322F0" w14:textId="77777777">
            <w:pPr>
              <w:pStyle w:val="ListParagraph"/>
              <w:widowControl/>
              <w:numPr>
                <w:ilvl w:val="0"/>
                <w:numId w:val="10"/>
              </w:numPr>
              <w:autoSpaceDE/>
              <w:autoSpaceDN/>
              <w:adjustRightInd/>
              <w:jc w:val="center"/>
              <w:rPr>
                <w:szCs w:val="20"/>
              </w:rPr>
            </w:pPr>
          </w:p>
        </w:tc>
      </w:tr>
    </w:tbl>
    <w:p w:rsidR="009B4212" w:rsidP="009B4212" w:rsidRDefault="009B4212" w14:paraId="19379EF9" w14:textId="77777777">
      <w:pPr>
        <w:spacing w:after="0"/>
      </w:pPr>
      <w:r w:rsidRPr="009B2970">
        <w:t>Where:</w:t>
      </w:r>
    </w:p>
    <w:p w:rsidR="009B4212" w:rsidP="009B4212" w:rsidRDefault="009B4212" w14:paraId="05DA880F" w14:textId="77777777">
      <w:pPr>
        <w:tabs>
          <w:tab w:val="left" w:pos="274"/>
          <w:tab w:val="left" w:pos="994"/>
          <w:tab w:val="left" w:pos="1267"/>
        </w:tabs>
        <w:spacing w:after="0"/>
        <w:ind w:left="1260" w:hanging="1260"/>
      </w:pPr>
      <w:r>
        <w:tab/>
      </w:r>
      <w:r>
        <w:rPr>
          <w:i/>
        </w:rPr>
        <w:t>EF</w:t>
      </w:r>
      <w:r>
        <w:rPr>
          <w:i/>
          <w:vertAlign w:val="subscript"/>
        </w:rPr>
        <w:t>PM10,c</w:t>
      </w:r>
      <w:r>
        <w:rPr>
          <w:i/>
          <w:vertAlign w:val="subscript"/>
        </w:rPr>
        <w:tab/>
      </w:r>
      <w:r>
        <w:t>=</w:t>
      </w:r>
      <w:r>
        <w:tab/>
      </w:r>
      <w:r>
        <w:t>PM</w:t>
      </w:r>
      <w:r>
        <w:rPr>
          <w:vertAlign w:val="subscript"/>
        </w:rPr>
        <w:t xml:space="preserve">10 </w:t>
      </w:r>
      <w:r>
        <w:t xml:space="preserve">emission factor corrected for soil moisture and silt content in state </w:t>
      </w:r>
      <w:r>
        <w:rPr>
          <w:i/>
        </w:rPr>
        <w:t xml:space="preserve">s </w:t>
      </w:r>
      <w:r>
        <w:t xml:space="preserve">and county </w:t>
      </w:r>
      <w:r>
        <w:rPr>
          <w:i/>
        </w:rPr>
        <w:t xml:space="preserve">c, </w:t>
      </w:r>
      <w:r>
        <w:t>in tons/acre-month</w:t>
      </w:r>
    </w:p>
    <w:p w:rsidRPr="008A4218" w:rsidR="009B4212" w:rsidP="009B4212" w:rsidRDefault="009B4212" w14:paraId="2BA25382" w14:textId="77777777">
      <w:pPr>
        <w:tabs>
          <w:tab w:val="left" w:pos="274"/>
          <w:tab w:val="left" w:pos="994"/>
          <w:tab w:val="left" w:pos="1267"/>
        </w:tabs>
        <w:spacing w:after="0"/>
        <w:ind w:left="1260" w:hanging="1260"/>
      </w:pPr>
      <w:r>
        <w:rPr>
          <w:i/>
        </w:rPr>
        <w:tab/>
      </w:r>
      <w:r>
        <w:rPr>
          <w:i/>
        </w:rPr>
        <w:t>EF</w:t>
      </w:r>
      <w:r>
        <w:rPr>
          <w:i/>
          <w:vertAlign w:val="subscript"/>
        </w:rPr>
        <w:t>PM25,c</w:t>
      </w:r>
      <w:r>
        <w:rPr>
          <w:i/>
          <w:vertAlign w:val="subscript"/>
        </w:rPr>
        <w:tab/>
      </w:r>
      <w:r>
        <w:t>=</w:t>
      </w:r>
      <w:r>
        <w:tab/>
      </w:r>
      <w:r>
        <w:t>PM</w:t>
      </w:r>
      <w:r w:rsidRPr="008A4218">
        <w:rPr>
          <w:vertAlign w:val="subscript"/>
        </w:rPr>
        <w:t>2</w:t>
      </w:r>
      <w:r>
        <w:rPr>
          <w:vertAlign w:val="subscript"/>
        </w:rPr>
        <w:t>.</w:t>
      </w:r>
      <w:r w:rsidRPr="008A4218">
        <w:rPr>
          <w:vertAlign w:val="subscript"/>
        </w:rPr>
        <w:t>5</w:t>
      </w:r>
      <w:r>
        <w:t xml:space="preserve"> emission factor corrected for soil moisture and silt content in county </w:t>
      </w:r>
      <w:r>
        <w:rPr>
          <w:i/>
        </w:rPr>
        <w:t xml:space="preserve">c, </w:t>
      </w:r>
      <w:r>
        <w:t>in tons/acre-month</w:t>
      </w:r>
    </w:p>
    <w:p w:rsidR="009B4212" w:rsidP="00F51B57" w:rsidRDefault="009B4212" w14:paraId="55947E1B" w14:textId="77777777">
      <w:pPr>
        <w:spacing w:after="0"/>
        <w:rPr>
          <w:iCs/>
          <w:szCs w:val="20"/>
        </w:rPr>
      </w:pPr>
    </w:p>
    <w:p w:rsidR="00B97E6E" w:rsidP="00F963A6" w:rsidRDefault="00F963A6" w14:paraId="06978720" w14:textId="091255DB">
      <w:pPr>
        <w:spacing w:after="0"/>
        <w:rPr>
          <w:szCs w:val="20"/>
        </w:rPr>
      </w:pPr>
      <w:r w:rsidRPr="003C6C99">
        <w:rPr>
          <w:szCs w:val="20"/>
        </w:rPr>
        <w:t xml:space="preserve">Primary PM </w:t>
      </w:r>
      <w:r>
        <w:rPr>
          <w:szCs w:val="20"/>
        </w:rPr>
        <w:t>e</w:t>
      </w:r>
      <w:r w:rsidRPr="003C6C99">
        <w:rPr>
          <w:szCs w:val="20"/>
        </w:rPr>
        <w:t>missions are equ</w:t>
      </w:r>
      <w:r w:rsidR="009B4212">
        <w:rPr>
          <w:szCs w:val="20"/>
        </w:rPr>
        <w:t xml:space="preserve">al to filterable emissions as </w:t>
      </w:r>
      <w:r w:rsidRPr="003C6C99" w:rsidR="009B4212">
        <w:rPr>
          <w:szCs w:val="20"/>
        </w:rPr>
        <w:t>there</w:t>
      </w:r>
      <w:r w:rsidRPr="003C6C99">
        <w:rPr>
          <w:szCs w:val="20"/>
        </w:rPr>
        <w:t xml:space="preserve"> are no </w:t>
      </w:r>
      <w:r w:rsidRPr="003C6C99" w:rsidR="00C52E5D">
        <w:rPr>
          <w:szCs w:val="20"/>
        </w:rPr>
        <w:t>condens</w:t>
      </w:r>
      <w:r w:rsidR="00AA4E47">
        <w:rPr>
          <w:szCs w:val="20"/>
        </w:rPr>
        <w:t>i</w:t>
      </w:r>
      <w:r w:rsidRPr="003C6C99" w:rsidR="00C52E5D">
        <w:rPr>
          <w:szCs w:val="20"/>
        </w:rPr>
        <w:t>ble</w:t>
      </w:r>
      <w:r w:rsidRPr="003C6C99">
        <w:rPr>
          <w:szCs w:val="20"/>
        </w:rPr>
        <w:t xml:space="preserve"> emissions from </w:t>
      </w:r>
      <w:r w:rsidR="00C52E5D">
        <w:rPr>
          <w:szCs w:val="20"/>
        </w:rPr>
        <w:t xml:space="preserve">dust from </w:t>
      </w:r>
      <w:r w:rsidR="00FF2F0E">
        <w:rPr>
          <w:szCs w:val="20"/>
        </w:rPr>
        <w:t xml:space="preserve">non-residential </w:t>
      </w:r>
      <w:r w:rsidRPr="003C6C99">
        <w:rPr>
          <w:szCs w:val="20"/>
        </w:rPr>
        <w:t>construction.</w:t>
      </w:r>
    </w:p>
    <w:p w:rsidR="00F963A6" w:rsidP="00F963A6" w:rsidRDefault="00F963A6" w14:paraId="0E70910B" w14:textId="77777777">
      <w:pPr>
        <w:spacing w:after="0"/>
        <w:rPr>
          <w:szCs w:val="20"/>
        </w:rPr>
      </w:pPr>
    </w:p>
    <w:p w:rsidRPr="00886F17" w:rsidR="00B97E6E" w:rsidP="00052E59" w:rsidRDefault="00B97E6E" w14:paraId="7E277CE9" w14:textId="77777777">
      <w:pPr>
        <w:pStyle w:val="Heading1"/>
      </w:pPr>
      <w:r w:rsidRPr="00886F17">
        <w:t>Controls</w:t>
      </w:r>
    </w:p>
    <w:p w:rsidR="00B97E6E" w:rsidP="00B97E6E" w:rsidRDefault="00B97E6E" w14:paraId="4BEFEF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p>
    <w:p w:rsidR="00B97E6E" w:rsidP="00052E59" w:rsidRDefault="00B97E6E" w14:paraId="4ED260AE" w14:textId="77777777">
      <w:pPr>
        <w:pStyle w:val="Heading1"/>
      </w:pPr>
      <w:bookmarkStart w:name="_Ref477177564" w:id="10"/>
      <w:r w:rsidRPr="00886F17">
        <w:t>Emissions</w:t>
      </w:r>
      <w:bookmarkEnd w:id="10"/>
    </w:p>
    <w:p w:rsidR="00B97E6E" w:rsidP="00B97E6E" w:rsidRDefault="00646D28" w14:paraId="6F90CF59" w14:textId="498FDB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total annual</w:t>
      </w:r>
      <w:r w:rsidR="008F64E2">
        <w:rPr>
          <w:szCs w:val="20"/>
        </w:rPr>
        <w:t xml:space="preserve"> </w:t>
      </w:r>
      <w:r w:rsidR="006C3036">
        <w:rPr>
          <w:szCs w:val="20"/>
        </w:rPr>
        <w:t>PM</w:t>
      </w:r>
      <w:r w:rsidR="008F64E2">
        <w:rPr>
          <w:szCs w:val="20"/>
        </w:rPr>
        <w:t xml:space="preserve"> emissions from </w:t>
      </w:r>
      <w:r w:rsidR="00BF6644">
        <w:rPr>
          <w:szCs w:val="20"/>
        </w:rPr>
        <w:t>non-residential</w:t>
      </w:r>
      <w:r w:rsidR="008F64E2">
        <w:rPr>
          <w:szCs w:val="20"/>
        </w:rPr>
        <w:t xml:space="preserve"> construction in each county </w:t>
      </w:r>
      <w:r w:rsidR="006C3036">
        <w:rPr>
          <w:szCs w:val="20"/>
        </w:rPr>
        <w:t xml:space="preserve">are calculated by </w:t>
      </w:r>
      <w:r>
        <w:rPr>
          <w:szCs w:val="20"/>
        </w:rPr>
        <w:t>multipl</w:t>
      </w:r>
      <w:r w:rsidR="006C3036">
        <w:rPr>
          <w:szCs w:val="20"/>
        </w:rPr>
        <w:t>ying</w:t>
      </w:r>
      <w:r>
        <w:rPr>
          <w:szCs w:val="20"/>
        </w:rPr>
        <w:t xml:space="preserve"> </w:t>
      </w:r>
      <w:r w:rsidR="006C3036">
        <w:rPr>
          <w:szCs w:val="20"/>
        </w:rPr>
        <w:t>the acres disturbed by</w:t>
      </w:r>
      <w:r w:rsidRPr="003733A0" w:rsidR="00B97E6E">
        <w:rPr>
          <w:szCs w:val="20"/>
        </w:rPr>
        <w:t xml:space="preserve"> </w:t>
      </w:r>
      <w:r w:rsidR="00837710">
        <w:rPr>
          <w:szCs w:val="20"/>
        </w:rPr>
        <w:t>the</w:t>
      </w:r>
      <w:r w:rsidRPr="003733A0" w:rsidR="00B97E6E">
        <w:rPr>
          <w:szCs w:val="20"/>
        </w:rPr>
        <w:t xml:space="preserve"> emission</w:t>
      </w:r>
      <w:r w:rsidR="009944E8">
        <w:rPr>
          <w:szCs w:val="20"/>
        </w:rPr>
        <w:t>s</w:t>
      </w:r>
      <w:r w:rsidRPr="003733A0" w:rsidR="00B97E6E">
        <w:rPr>
          <w:szCs w:val="20"/>
        </w:rPr>
        <w:t xml:space="preserve"> factor</w:t>
      </w:r>
      <w:r w:rsidR="00BF6644">
        <w:rPr>
          <w:szCs w:val="20"/>
        </w:rPr>
        <w:t>s calculated in equations 5</w:t>
      </w:r>
      <w:r w:rsidR="00C52E5D">
        <w:rPr>
          <w:szCs w:val="20"/>
        </w:rPr>
        <w:t xml:space="preserve"> and</w:t>
      </w:r>
      <w:r w:rsidR="00BF6644">
        <w:rPr>
          <w:szCs w:val="20"/>
        </w:rPr>
        <w:t xml:space="preserve"> 6</w:t>
      </w:r>
      <w:r w:rsidR="006C3036">
        <w:rPr>
          <w:szCs w:val="20"/>
        </w:rPr>
        <w:t xml:space="preserve"> and by the duration of construction activity</w:t>
      </w:r>
      <w:r w:rsidR="008F64E2">
        <w:rPr>
          <w:szCs w:val="20"/>
        </w:rPr>
        <w:t xml:space="preserve">. </w:t>
      </w:r>
      <w:r>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00646D28" w:rsidTr="00F65ACC" w14:paraId="5C7EC50A" w14:textId="77777777">
        <w:trPr>
          <w:trHeight w:val="405"/>
        </w:trPr>
        <w:tc>
          <w:tcPr>
            <w:tcW w:w="8748" w:type="dxa"/>
          </w:tcPr>
          <w:p w:rsidR="00646D28" w:rsidP="00646D28" w:rsidRDefault="004A4C3F" w14:paraId="216F7A41" w14:textId="62EE515B">
            <w:pPr>
              <w:widowControl/>
              <w:autoSpaceDE/>
              <w:autoSpaceDN/>
              <w:adjustRightInd/>
              <w:spacing w:after="200"/>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×M</m:t>
                </m:r>
              </m:oMath>
            </m:oMathPara>
          </w:p>
        </w:tc>
        <w:tc>
          <w:tcPr>
            <w:tcW w:w="828" w:type="dxa"/>
          </w:tcPr>
          <w:p w:rsidRPr="00986448" w:rsidR="00646D28" w:rsidP="00D7323D" w:rsidRDefault="00646D28" w14:paraId="4CB1CFD4" w14:textId="77777777">
            <w:pPr>
              <w:pStyle w:val="ListParagraph"/>
              <w:widowControl/>
              <w:numPr>
                <w:ilvl w:val="0"/>
                <w:numId w:val="10"/>
              </w:numPr>
              <w:autoSpaceDE/>
              <w:autoSpaceDN/>
              <w:adjustRightInd/>
              <w:spacing w:after="200"/>
              <w:jc w:val="right"/>
              <w:rPr>
                <w:szCs w:val="20"/>
              </w:rPr>
            </w:pPr>
          </w:p>
        </w:tc>
      </w:tr>
    </w:tbl>
    <w:p w:rsidRPr="001E542A" w:rsidR="008F64E2" w:rsidP="008F64E2" w:rsidRDefault="008F64E2" w14:paraId="003273B7" w14:textId="77777777">
      <w:pPr>
        <w:tabs>
          <w:tab w:val="left" w:pos="0"/>
          <w:tab w:val="center" w:pos="4320"/>
          <w:tab w:val="right" w:pos="8467"/>
        </w:tabs>
        <w:spacing w:after="0"/>
        <w:rPr>
          <w:rFonts w:eastAsiaTheme="minorEastAsia"/>
          <w:szCs w:val="20"/>
        </w:rPr>
      </w:pPr>
      <w:r w:rsidRPr="001E542A">
        <w:rPr>
          <w:rFonts w:eastAsiaTheme="minorEastAsia"/>
          <w:szCs w:val="20"/>
        </w:rPr>
        <w:t>Where:</w:t>
      </w:r>
    </w:p>
    <w:p w:rsidR="008F64E2" w:rsidP="00BF6644" w:rsidRDefault="008F64E2" w14:paraId="2A8DE576" w14:textId="77777777">
      <w:pPr>
        <w:pStyle w:val="NoSpacing"/>
        <w:rPr>
          <w:rFonts w:eastAsiaTheme="minorEastAsia"/>
          <w:i/>
        </w:rPr>
      </w:pPr>
      <w:r w:rsidRPr="001E542A">
        <w:rPr>
          <w:rFonts w:eastAsiaTheme="minorEastAsia"/>
        </w:rPr>
        <w:tab/>
      </w:r>
      <w:r w:rsidRPr="001E542A">
        <w:rPr>
          <w:rFonts w:eastAsiaTheme="minorEastAsia"/>
          <w:i/>
        </w:rPr>
        <w:t>E</w:t>
      </w:r>
      <w:r w:rsidRPr="001E542A">
        <w:rPr>
          <w:rFonts w:eastAsiaTheme="minorEastAsia"/>
          <w:i/>
          <w:vertAlign w:val="subscript"/>
        </w:rPr>
        <w:t>p,c</w:t>
      </w:r>
      <w:r w:rsidRPr="001E542A">
        <w:rPr>
          <w:rFonts w:eastAsiaTheme="minorEastAsia"/>
          <w:vertAlign w:val="subscript"/>
        </w:rPr>
        <w:tab/>
      </w:r>
      <w:r w:rsidRPr="001E542A">
        <w:rPr>
          <w:rFonts w:eastAsiaTheme="minorEastAsia"/>
        </w:rPr>
        <w:t>=</w:t>
      </w:r>
      <w:r w:rsidRPr="001E542A">
        <w:rPr>
          <w:rFonts w:eastAsiaTheme="minorEastAsia"/>
        </w:rPr>
        <w:tab/>
      </w:r>
      <w:r w:rsidRPr="001E542A">
        <w:rPr>
          <w:rFonts w:eastAsiaTheme="minorEastAsia"/>
        </w:rPr>
        <w:t xml:space="preserve">Annual emissions of pollutant </w:t>
      </w:r>
      <w:r w:rsidRPr="001E542A">
        <w:rPr>
          <w:rFonts w:eastAsiaTheme="minorEastAsia"/>
          <w:i/>
        </w:rPr>
        <w:t xml:space="preserve">p </w:t>
      </w:r>
      <w:r w:rsidRPr="001E542A">
        <w:rPr>
          <w:rFonts w:eastAsiaTheme="minorEastAsia"/>
        </w:rPr>
        <w:t xml:space="preserve">in county </w:t>
      </w:r>
      <w:r w:rsidRPr="001E542A">
        <w:rPr>
          <w:rFonts w:eastAsiaTheme="minorEastAsia"/>
          <w:i/>
        </w:rPr>
        <w:t>c</w:t>
      </w:r>
    </w:p>
    <w:p w:rsidR="00BF6644" w:rsidP="00BF6644" w:rsidRDefault="00BF6644" w14:paraId="31FF91FE" w14:textId="3622C04A">
      <w:pPr>
        <w:pStyle w:val="NoSpacing"/>
        <w:rPr>
          <w:i/>
        </w:rPr>
      </w:pPr>
      <w:r>
        <w:tab/>
      </w:r>
      <w:r w:rsidRPr="009B2970">
        <w:rPr>
          <w:i/>
        </w:rPr>
        <w:t>A</w:t>
      </w:r>
      <w:r w:rsidRPr="009B2970">
        <w:rPr>
          <w:i/>
          <w:vertAlign w:val="subscript"/>
        </w:rPr>
        <w:t>c</w:t>
      </w:r>
      <w:r>
        <w:tab/>
      </w:r>
      <w:r>
        <w:t>=</w:t>
      </w:r>
      <w:r>
        <w:tab/>
      </w:r>
      <w:r>
        <w:t xml:space="preserve">Acres disturbed from non-residential construction in county </w:t>
      </w:r>
      <w:r>
        <w:rPr>
          <w:i/>
        </w:rPr>
        <w:t>c</w:t>
      </w:r>
    </w:p>
    <w:p w:rsidR="00A722F3" w:rsidP="00BF6644" w:rsidRDefault="00A722F3" w14:paraId="6AAB6D9D" w14:textId="77777777">
      <w:pPr>
        <w:pStyle w:val="NoSpacing"/>
        <w:rPr>
          <w:i/>
        </w:rPr>
      </w:pPr>
    </w:p>
    <w:p w:rsidR="008F64E2" w:rsidP="00BF6644" w:rsidRDefault="008F64E2" w14:paraId="791B9E9F" w14:textId="77777777">
      <w:pPr>
        <w:pStyle w:val="NoSpacing"/>
      </w:pPr>
      <w:r>
        <w:lastRenderedPageBreak/>
        <w:tab/>
      </w:r>
      <w:r>
        <w:rPr>
          <w:i/>
        </w:rPr>
        <w:t>EF</w:t>
      </w:r>
      <w:r>
        <w:rPr>
          <w:i/>
          <w:vertAlign w:val="subscript"/>
        </w:rPr>
        <w:t>PM10,c</w:t>
      </w:r>
      <w:r>
        <w:rPr>
          <w:i/>
          <w:vertAlign w:val="subscript"/>
        </w:rPr>
        <w:tab/>
      </w:r>
      <w:r>
        <w:t>=</w:t>
      </w:r>
      <w:r>
        <w:tab/>
      </w:r>
      <w:r>
        <w:t>PM</w:t>
      </w:r>
      <w:r>
        <w:rPr>
          <w:vertAlign w:val="subscript"/>
        </w:rPr>
        <w:t xml:space="preserve">10 </w:t>
      </w:r>
      <w:r>
        <w:t xml:space="preserve">emission factor corrected for soil moisture and silt content in state </w:t>
      </w:r>
      <w:r>
        <w:rPr>
          <w:i/>
        </w:rPr>
        <w:t xml:space="preserve">s </w:t>
      </w:r>
      <w:r>
        <w:t xml:space="preserve">and county </w:t>
      </w:r>
      <w:r>
        <w:rPr>
          <w:i/>
        </w:rPr>
        <w:t xml:space="preserve">c, </w:t>
      </w:r>
      <w:r>
        <w:t>in tons/acre-month</w:t>
      </w:r>
    </w:p>
    <w:p w:rsidRPr="008F64E2" w:rsidR="008F64E2" w:rsidP="00BF6644" w:rsidRDefault="008F64E2" w14:paraId="77790757" w14:textId="0031BFBA">
      <w:pPr>
        <w:pStyle w:val="NoSpacing"/>
      </w:pPr>
      <w:r>
        <w:rPr>
          <w:i/>
        </w:rPr>
        <w:tab/>
      </w:r>
      <w:r>
        <w:rPr>
          <w:i/>
        </w:rPr>
        <w:t>EF</w:t>
      </w:r>
      <w:r>
        <w:rPr>
          <w:i/>
          <w:vertAlign w:val="subscript"/>
        </w:rPr>
        <w:t>PM25,c</w:t>
      </w:r>
      <w:r>
        <w:rPr>
          <w:i/>
          <w:vertAlign w:val="subscript"/>
        </w:rPr>
        <w:tab/>
      </w:r>
      <w:r>
        <w:t>=</w:t>
      </w:r>
      <w:r>
        <w:tab/>
      </w:r>
      <w:r>
        <w:t>PM</w:t>
      </w:r>
      <w:r w:rsidRPr="008A4218">
        <w:rPr>
          <w:vertAlign w:val="subscript"/>
        </w:rPr>
        <w:t>2</w:t>
      </w:r>
      <w:r>
        <w:rPr>
          <w:vertAlign w:val="subscript"/>
        </w:rPr>
        <w:t>.</w:t>
      </w:r>
      <w:r w:rsidRPr="008A4218">
        <w:rPr>
          <w:vertAlign w:val="subscript"/>
        </w:rPr>
        <w:t>5</w:t>
      </w:r>
      <w:r>
        <w:t xml:space="preserve"> emission factor corrected for soil moisture and silt content in county </w:t>
      </w:r>
      <w:r>
        <w:rPr>
          <w:i/>
        </w:rPr>
        <w:t xml:space="preserve">c, </w:t>
      </w:r>
      <w:r>
        <w:t>in tons/acre-month</w:t>
      </w:r>
    </w:p>
    <w:p w:rsidRPr="001E542A" w:rsidR="008F64E2" w:rsidP="00BF6644" w:rsidRDefault="008F64E2" w14:paraId="20A89944" w14:textId="13CF570F">
      <w:pPr>
        <w:pStyle w:val="NoSpacing"/>
      </w:pPr>
      <w:r w:rsidRPr="001E542A">
        <w:rPr>
          <w:rFonts w:eastAsiaTheme="minorEastAsia"/>
          <w:i/>
        </w:rPr>
        <w:tab/>
      </w:r>
      <w:r w:rsidRPr="001E542A">
        <w:rPr>
          <w:rFonts w:eastAsiaTheme="minorEastAsia"/>
          <w:i/>
        </w:rPr>
        <w:t>M</w:t>
      </w:r>
      <w:r w:rsidRPr="001E542A">
        <w:rPr>
          <w:rFonts w:eastAsiaTheme="minorEastAsia"/>
        </w:rPr>
        <w:tab/>
      </w:r>
      <w:r w:rsidRPr="001E542A">
        <w:rPr>
          <w:rFonts w:eastAsiaTheme="minorEastAsia"/>
        </w:rPr>
        <w:t>=</w:t>
      </w:r>
      <w:r w:rsidRPr="001E542A">
        <w:rPr>
          <w:rFonts w:eastAsiaTheme="minorEastAsia"/>
        </w:rPr>
        <w:tab/>
      </w:r>
      <w:r w:rsidRPr="001E542A">
        <w:rPr>
          <w:rFonts w:eastAsiaTheme="minorEastAsia"/>
        </w:rPr>
        <w:t>Duration of construction activity in months</w:t>
      </w:r>
      <w:r w:rsidR="00F65ACC">
        <w:rPr>
          <w:rFonts w:eastAsiaTheme="minorEastAsia"/>
        </w:rPr>
        <w:t>, assumed to be 11 months</w:t>
      </w:r>
    </w:p>
    <w:p w:rsidRPr="003733A0" w:rsidR="00646D28" w:rsidP="00B97E6E" w:rsidRDefault="00646D28" w14:paraId="026C5F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B97E6E" w:rsidP="00052E59" w:rsidRDefault="00B97E6E" w14:paraId="12A21C4C" w14:textId="77777777">
      <w:pPr>
        <w:pStyle w:val="Heading1"/>
      </w:pPr>
      <w:r>
        <w:t>Point Source Subtraction</w:t>
      </w:r>
    </w:p>
    <w:p w:rsidR="00B97E6E" w:rsidP="00B97E6E" w:rsidRDefault="00A329DA" w14:paraId="70245764" w14:textId="3317BF00">
      <w:pPr>
        <w:widowControl/>
        <w:tabs>
          <w:tab w:val="left" w:pos="0"/>
        </w:tabs>
        <w:rPr>
          <w:szCs w:val="20"/>
        </w:rPr>
      </w:pPr>
      <w:r>
        <w:rPr>
          <w:szCs w:val="20"/>
        </w:rPr>
        <w:t>There are no point sour</w:t>
      </w:r>
      <w:r w:rsidR="008A3282">
        <w:rPr>
          <w:szCs w:val="20"/>
        </w:rPr>
        <w:t>ce-specific SCCs for non-residential construction dust</w:t>
      </w:r>
      <w:r w:rsidR="0056502F">
        <w:rPr>
          <w:szCs w:val="20"/>
        </w:rPr>
        <w:t>;</w:t>
      </w:r>
      <w:r>
        <w:rPr>
          <w:szCs w:val="20"/>
        </w:rPr>
        <w:t xml:space="preserve"> therefore p</w:t>
      </w:r>
      <w:r w:rsidR="00B97E6E">
        <w:rPr>
          <w:szCs w:val="20"/>
        </w:rPr>
        <w:t>oint source subtraction is not performed for this category.</w:t>
      </w:r>
    </w:p>
    <w:p w:rsidRPr="003E3AC3" w:rsidR="00B97E6E" w:rsidP="00052E59" w:rsidRDefault="00B97E6E" w14:paraId="3D39889F" w14:textId="77777777">
      <w:pPr>
        <w:pStyle w:val="Heading1"/>
      </w:pPr>
      <w:r>
        <w:t>Sample</w:t>
      </w:r>
      <w:r w:rsidRPr="00036CF5">
        <w:t xml:space="preserve"> Calculations </w:t>
      </w:r>
    </w:p>
    <w:p w:rsidR="00B97E6E" w:rsidP="00B97E6E" w:rsidRDefault="0097139E" w14:paraId="633B07D0" w14:textId="2C6A2554">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F65ACC">
        <w:t xml:space="preserve">Table </w:t>
      </w:r>
      <w:r w:rsidR="00F65ACC">
        <w:rPr>
          <w:noProof/>
        </w:rPr>
        <w:t>3</w:t>
      </w:r>
      <w:r>
        <w:rPr>
          <w:szCs w:val="20"/>
        </w:rPr>
        <w:fldChar w:fldCharType="end"/>
      </w:r>
      <w:r>
        <w:rPr>
          <w:szCs w:val="20"/>
        </w:rPr>
        <w:t xml:space="preserve"> lists sample calculations to determine the </w:t>
      </w:r>
      <w:r w:rsidR="0058616C">
        <w:rPr>
          <w:szCs w:val="20"/>
        </w:rPr>
        <w:t>dust</w:t>
      </w:r>
      <w:r w:rsidR="00437703">
        <w:rPr>
          <w:szCs w:val="20"/>
        </w:rPr>
        <w:t xml:space="preserve"> emissions from non-residential</w:t>
      </w:r>
      <w:r w:rsidR="0058616C">
        <w:rPr>
          <w:szCs w:val="20"/>
        </w:rPr>
        <w:t xml:space="preserve"> construction </w:t>
      </w:r>
      <w:r w:rsidRPr="004008E6">
        <w:rPr>
          <w:szCs w:val="20"/>
        </w:rPr>
        <w:t xml:space="preserve">in </w:t>
      </w:r>
      <w:r w:rsidR="00437703">
        <w:rPr>
          <w:szCs w:val="20"/>
        </w:rPr>
        <w:t>Grand Traverse County</w:t>
      </w:r>
      <w:r w:rsidR="0058616C">
        <w:rPr>
          <w:szCs w:val="20"/>
        </w:rPr>
        <w:t xml:space="preserve">, </w:t>
      </w:r>
      <w:r w:rsidR="00437703">
        <w:rPr>
          <w:szCs w:val="20"/>
        </w:rPr>
        <w:t>Michigan</w:t>
      </w:r>
      <w:r>
        <w:rPr>
          <w:szCs w:val="20"/>
        </w:rPr>
        <w:t>.</w:t>
      </w:r>
    </w:p>
    <w:p w:rsidR="0097139E" w:rsidP="0097139E" w:rsidRDefault="0097139E" w14:paraId="1649524D" w14:textId="58D56422">
      <w:pPr>
        <w:pStyle w:val="TableCaption"/>
      </w:pPr>
      <w:bookmarkStart w:name="_Ref477187560" w:id="11"/>
      <w:r>
        <w:t xml:space="preserve">Table </w:t>
      </w:r>
      <w:r w:rsidR="004A4C3F">
        <w:fldChar w:fldCharType="begin"/>
      </w:r>
      <w:r w:rsidR="004A4C3F">
        <w:instrText xml:space="preserve"> SEQ Table \* ARABIC </w:instrText>
      </w:r>
      <w:r w:rsidR="004A4C3F">
        <w:fldChar w:fldCharType="separate"/>
      </w:r>
      <w:r w:rsidR="00F65ACC">
        <w:rPr>
          <w:noProof/>
        </w:rPr>
        <w:t>3</w:t>
      </w:r>
      <w:r w:rsidR="004A4C3F">
        <w:rPr>
          <w:noProof/>
        </w:rPr>
        <w:fldChar w:fldCharType="end"/>
      </w:r>
      <w:bookmarkEnd w:id="11"/>
      <w:r>
        <w:t xml:space="preserve">. Sample calculations for </w:t>
      </w:r>
      <w:r w:rsidR="00437703">
        <w:t>Non-Residential c</w:t>
      </w:r>
      <w:r w:rsidR="008F64E2">
        <w:t xml:space="preserve">onstruction in </w:t>
      </w:r>
      <w:r w:rsidR="00437703">
        <w:t>Grand Traverse County, Michigan</w:t>
      </w:r>
      <w:r w:rsidR="008F64E2">
        <w:t xml:space="preserve"> </w:t>
      </w:r>
    </w:p>
    <w:tbl>
      <w:tblPr>
        <w:tblStyle w:val="TableGrid"/>
        <w:tblW w:w="5132" w:type="pct"/>
        <w:tblLook w:val="04A0" w:firstRow="1" w:lastRow="0" w:firstColumn="1" w:lastColumn="0" w:noHBand="0" w:noVBand="1"/>
      </w:tblPr>
      <w:tblGrid>
        <w:gridCol w:w="511"/>
        <w:gridCol w:w="2070"/>
        <w:gridCol w:w="5587"/>
        <w:gridCol w:w="1429"/>
      </w:tblGrid>
      <w:tr w:rsidRPr="00DF0B38" w:rsidR="00520411" w:rsidTr="00520411" w14:paraId="56321F79" w14:textId="77777777">
        <w:trPr>
          <w:cantSplit/>
          <w:tblHeader/>
        </w:trPr>
        <w:tc>
          <w:tcPr>
            <w:tcW w:w="260" w:type="pct"/>
            <w:shd w:val="clear" w:color="auto" w:fill="D9D9D9" w:themeFill="background1" w:themeFillShade="D9"/>
            <w:vAlign w:val="center"/>
          </w:tcPr>
          <w:p w:rsidRPr="00DF0B38" w:rsidR="00DF0B38" w:rsidP="00FE7F5B" w:rsidRDefault="00DF0B38" w14:paraId="15E71B88" w14:textId="77777777">
            <w:pPr>
              <w:widowControl/>
              <w:tabs>
                <w:tab w:val="left" w:pos="0"/>
              </w:tabs>
              <w:jc w:val="center"/>
              <w:rPr>
                <w:b/>
                <w:szCs w:val="20"/>
              </w:rPr>
            </w:pPr>
            <w:r w:rsidRPr="00DF0B38">
              <w:rPr>
                <w:b/>
                <w:szCs w:val="20"/>
              </w:rPr>
              <w:t>Eq. #</w:t>
            </w:r>
          </w:p>
        </w:tc>
        <w:tc>
          <w:tcPr>
            <w:tcW w:w="1116" w:type="pct"/>
            <w:shd w:val="clear" w:color="auto" w:fill="D9D9D9" w:themeFill="background1" w:themeFillShade="D9"/>
            <w:vAlign w:val="center"/>
          </w:tcPr>
          <w:p w:rsidRPr="00DF0B38" w:rsidR="00DF0B38" w:rsidP="00FE7F5B" w:rsidRDefault="00DF0B38" w14:paraId="5E17F5CA" w14:textId="77777777">
            <w:pPr>
              <w:widowControl/>
              <w:tabs>
                <w:tab w:val="left" w:pos="0"/>
              </w:tabs>
              <w:jc w:val="center"/>
              <w:rPr>
                <w:b/>
                <w:szCs w:val="20"/>
              </w:rPr>
            </w:pPr>
            <w:r w:rsidRPr="00DF0B38">
              <w:rPr>
                <w:b/>
                <w:szCs w:val="20"/>
              </w:rPr>
              <w:t>Equation</w:t>
            </w:r>
          </w:p>
        </w:tc>
        <w:tc>
          <w:tcPr>
            <w:tcW w:w="2842" w:type="pct"/>
            <w:shd w:val="clear" w:color="auto" w:fill="D9D9D9" w:themeFill="background1" w:themeFillShade="D9"/>
            <w:vAlign w:val="center"/>
          </w:tcPr>
          <w:p w:rsidRPr="00DF0B38" w:rsidR="00DF0B38" w:rsidP="00621967" w:rsidRDefault="00DF0B38" w14:paraId="583D27DD" w14:textId="45BB4CF2">
            <w:pPr>
              <w:widowControl/>
              <w:tabs>
                <w:tab w:val="left" w:pos="0"/>
              </w:tabs>
              <w:jc w:val="center"/>
              <w:rPr>
                <w:b/>
                <w:szCs w:val="20"/>
              </w:rPr>
            </w:pPr>
            <w:r w:rsidRPr="00DF0B38">
              <w:rPr>
                <w:b/>
                <w:szCs w:val="20"/>
              </w:rPr>
              <w:t>Values</w:t>
            </w:r>
            <w:r w:rsidR="0097139E">
              <w:rPr>
                <w:b/>
                <w:szCs w:val="20"/>
              </w:rPr>
              <w:t xml:space="preserve"> for </w:t>
            </w:r>
            <w:r w:rsidR="00621967">
              <w:rPr>
                <w:b/>
                <w:szCs w:val="20"/>
              </w:rPr>
              <w:t>Grand Traverse County, MI</w:t>
            </w:r>
          </w:p>
        </w:tc>
        <w:tc>
          <w:tcPr>
            <w:tcW w:w="782" w:type="pct"/>
            <w:shd w:val="clear" w:color="auto" w:fill="D9D9D9" w:themeFill="background1" w:themeFillShade="D9"/>
            <w:vAlign w:val="center"/>
          </w:tcPr>
          <w:p w:rsidRPr="00DF0B38" w:rsidR="00DF0B38" w:rsidP="00FE7F5B" w:rsidRDefault="00DF0B38" w14:paraId="3D2F2F30" w14:textId="77777777">
            <w:pPr>
              <w:widowControl/>
              <w:tabs>
                <w:tab w:val="left" w:pos="0"/>
              </w:tabs>
              <w:jc w:val="center"/>
              <w:rPr>
                <w:b/>
                <w:szCs w:val="20"/>
              </w:rPr>
            </w:pPr>
            <w:r w:rsidRPr="00DF0B38">
              <w:rPr>
                <w:b/>
                <w:szCs w:val="20"/>
              </w:rPr>
              <w:t>Result</w:t>
            </w:r>
          </w:p>
        </w:tc>
      </w:tr>
      <w:tr w:rsidR="00520411" w:rsidTr="00520411" w14:paraId="784CAB0E" w14:textId="77777777">
        <w:trPr>
          <w:cantSplit/>
        </w:trPr>
        <w:tc>
          <w:tcPr>
            <w:tcW w:w="260" w:type="pct"/>
            <w:vAlign w:val="center"/>
          </w:tcPr>
          <w:p w:rsidR="0058616C" w:rsidP="00FE7F5B" w:rsidRDefault="0058616C" w14:paraId="4F80AFA6" w14:textId="1948AA87">
            <w:pPr>
              <w:widowControl/>
              <w:tabs>
                <w:tab w:val="left" w:pos="0"/>
              </w:tabs>
              <w:spacing w:after="60"/>
              <w:jc w:val="center"/>
              <w:rPr>
                <w:szCs w:val="20"/>
              </w:rPr>
            </w:pPr>
            <w:r>
              <w:rPr>
                <w:szCs w:val="20"/>
              </w:rPr>
              <w:t>1</w:t>
            </w:r>
          </w:p>
        </w:tc>
        <w:tc>
          <w:tcPr>
            <w:tcW w:w="1116" w:type="pct"/>
            <w:vAlign w:val="center"/>
          </w:tcPr>
          <w:p w:rsidR="0058616C" w:rsidP="00FE7F5B" w:rsidRDefault="004A4C3F" w14:paraId="16DF6101" w14:textId="52418DEE">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EmpFr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US</m:t>
                        </m:r>
                      </m:sub>
                    </m:sSub>
                  </m:den>
                </m:f>
              </m:oMath>
            </m:oMathPara>
          </w:p>
        </w:tc>
        <w:tc>
          <w:tcPr>
            <w:tcW w:w="2842" w:type="pct"/>
            <w:vAlign w:val="center"/>
          </w:tcPr>
          <w:p w:rsidR="0058616C" w:rsidP="00621967" w:rsidRDefault="004A4C3F" w14:paraId="129913D8" w14:textId="4ABC418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120 nonres construction employees</m:t>
                    </m:r>
                  </m:num>
                  <m:den>
                    <m:r>
                      <w:rPr>
                        <w:rFonts w:ascii="Cambria Math" w:hAnsi="Cambria Math"/>
                        <w:szCs w:val="20"/>
                      </w:rPr>
                      <m:t>582,574 nonres construction employees</m:t>
                    </m:r>
                  </m:den>
                </m:f>
              </m:oMath>
            </m:oMathPara>
          </w:p>
        </w:tc>
        <w:tc>
          <w:tcPr>
            <w:tcW w:w="782" w:type="pct"/>
          </w:tcPr>
          <w:p w:rsidR="0058616C" w:rsidP="0058616C" w:rsidRDefault="00520411" w14:paraId="159B0CF4" w14:textId="3C6A8D62">
            <w:pPr>
              <w:widowControl/>
              <w:tabs>
                <w:tab w:val="left" w:pos="0"/>
              </w:tabs>
              <w:spacing w:after="60"/>
              <w:rPr>
                <w:szCs w:val="20"/>
              </w:rPr>
            </w:pPr>
            <w:r>
              <w:rPr>
                <w:szCs w:val="20"/>
              </w:rPr>
              <w:t>0.000206 fraction of non-residential construction employees in Grand Traverse County, MI</w:t>
            </w:r>
          </w:p>
        </w:tc>
      </w:tr>
      <w:tr w:rsidR="00520411" w:rsidTr="00520411" w14:paraId="3E98611E" w14:textId="77777777">
        <w:trPr>
          <w:cantSplit/>
        </w:trPr>
        <w:tc>
          <w:tcPr>
            <w:tcW w:w="260" w:type="pct"/>
            <w:vAlign w:val="center"/>
          </w:tcPr>
          <w:p w:rsidR="0058616C" w:rsidP="00FE7F5B" w:rsidRDefault="0058616C" w14:paraId="304B1DB1" w14:textId="13C2AE20">
            <w:pPr>
              <w:widowControl/>
              <w:tabs>
                <w:tab w:val="left" w:pos="0"/>
              </w:tabs>
              <w:spacing w:after="60"/>
              <w:jc w:val="center"/>
              <w:rPr>
                <w:szCs w:val="20"/>
              </w:rPr>
            </w:pPr>
            <w:r>
              <w:rPr>
                <w:szCs w:val="20"/>
              </w:rPr>
              <w:t>2</w:t>
            </w:r>
          </w:p>
        </w:tc>
        <w:tc>
          <w:tcPr>
            <w:tcW w:w="1116" w:type="pct"/>
            <w:vAlign w:val="center"/>
          </w:tcPr>
          <w:p w:rsidR="0058616C" w:rsidP="00FE7F5B" w:rsidRDefault="004A4C3F" w14:paraId="4CBECE77" w14:textId="4A539D92">
            <w:pPr>
              <w:widowControl/>
              <w:tabs>
                <w:tab w:val="left" w:pos="0"/>
              </w:tabs>
              <w:spacing w:after="60"/>
              <w:jc w:val="center"/>
              <w:rPr>
                <w:szCs w:val="20"/>
              </w:rPr>
            </w:pPr>
            <m:oMath>
              <m:sSub>
                <m:sSubPr>
                  <m:ctrlPr>
                    <w:rPr>
                      <w:rFonts w:ascii="Cambria Math" w:hAnsi="Cambria Math"/>
                      <w:i/>
                    </w:rPr>
                  </m:ctrlPr>
                </m:sSubPr>
                <m:e>
                  <m:r>
                    <w:rPr>
                      <w:rFonts w:ascii="Cambria Math" w:hAnsi="Cambria Math"/>
                    </w:rPr>
                    <m:t>CS</m:t>
                  </m:r>
                </m:e>
                <m:sub>
                  <m:r>
                    <w:rPr>
                      <w:rFonts w:ascii="Cambria Math" w:hAnsi="Cambria Math"/>
                    </w:rPr>
                    <m:t>c</m:t>
                  </m:r>
                </m:sub>
              </m:sSub>
              <m:r>
                <w:rPr>
                  <w:rFonts w:ascii="Cambria Math" w:hAnsi="Cambria Math"/>
                </w:rPr>
                <m:t>=</m:t>
              </m:r>
              <m:sSub>
                <m:sSubPr>
                  <m:ctrlPr>
                    <w:rPr>
                      <w:rFonts w:ascii="Cambria Math" w:hAnsi="Cambria Math" w:eastAsiaTheme="minorEastAsia"/>
                      <w:i/>
                    </w:rPr>
                  </m:ctrlPr>
                </m:sSubPr>
                <m:e>
                  <m:r>
                    <w:rPr>
                      <w:rFonts w:ascii="Cambria Math" w:hAnsi="Cambria Math" w:eastAsiaTheme="minorEastAsia"/>
                    </w:rPr>
                    <m:t>EmpFrac</m:t>
                  </m:r>
                </m:e>
                <m:sub>
                  <m:r>
                    <w:rPr>
                      <w:rFonts w:ascii="Cambria Math" w:hAnsi="Cambria Math" w:eastAsiaTheme="minorEastAsia"/>
                    </w:rPr>
                    <m:t>c</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CS</m:t>
                  </m:r>
                </m:e>
                <m:sub>
                  <m:r>
                    <w:rPr>
                      <w:rFonts w:ascii="Cambria Math" w:hAnsi="Cambria Math" w:eastAsiaTheme="minorEastAsia"/>
                    </w:rPr>
                    <m:t>US</m:t>
                  </m:r>
                </m:sub>
              </m:sSub>
            </m:oMath>
            <w:r w:rsidR="00520411">
              <w:rPr>
                <w:szCs w:val="20"/>
              </w:rPr>
              <w:t xml:space="preserve"> </w:t>
            </w:r>
          </w:p>
        </w:tc>
        <w:tc>
          <w:tcPr>
            <w:tcW w:w="2842" w:type="pct"/>
            <w:vAlign w:val="center"/>
          </w:tcPr>
          <w:p w:rsidR="0058616C" w:rsidP="00520411" w:rsidRDefault="00520411" w14:paraId="4F0389CA" w14:textId="71E86EF3">
            <w:pPr>
              <w:widowControl/>
              <w:tabs>
                <w:tab w:val="left" w:pos="0"/>
              </w:tabs>
              <w:spacing w:after="60"/>
              <w:jc w:val="center"/>
              <w:rPr>
                <w:szCs w:val="20"/>
              </w:rPr>
            </w:pPr>
            <m:oMath>
              <m:r>
                <w:rPr>
                  <w:rFonts w:ascii="Cambria Math" w:hAnsi="Cambria Math"/>
                  <w:szCs w:val="20"/>
                </w:rPr>
                <m:t xml:space="preserve">0.000206 </m:t>
              </m:r>
              <m:r>
                <w:rPr>
                  <w:rFonts w:ascii="Cambria Math" w:hAnsi="Cambria Math" w:eastAsiaTheme="minorEastAsia"/>
                </w:rPr>
                <m:t>fraction of employees in Grand Traverse×$ 347,666 million in nonres construction spending in the US</m:t>
              </m:r>
            </m:oMath>
            <w:r>
              <w:rPr>
                <w:szCs w:val="20"/>
              </w:rPr>
              <w:t xml:space="preserve"> </w:t>
            </w:r>
          </w:p>
        </w:tc>
        <w:tc>
          <w:tcPr>
            <w:tcW w:w="782" w:type="pct"/>
          </w:tcPr>
          <w:p w:rsidR="0058616C" w:rsidP="0058616C" w:rsidRDefault="00520411" w14:paraId="55C9ED10" w14:textId="6CB65892">
            <w:pPr>
              <w:widowControl/>
              <w:tabs>
                <w:tab w:val="left" w:pos="0"/>
              </w:tabs>
              <w:spacing w:after="60"/>
              <w:rPr>
                <w:szCs w:val="20"/>
              </w:rPr>
            </w:pPr>
            <w:r>
              <w:rPr>
                <w:szCs w:val="20"/>
              </w:rPr>
              <w:t>$71.61 million in non-residential construction spending in Grand Traverse County, MI</w:t>
            </w:r>
          </w:p>
        </w:tc>
      </w:tr>
      <w:tr w:rsidR="00520411" w:rsidTr="00520411" w14:paraId="7D51B074" w14:textId="77777777">
        <w:trPr>
          <w:cantSplit/>
        </w:trPr>
        <w:tc>
          <w:tcPr>
            <w:tcW w:w="260" w:type="pct"/>
            <w:vAlign w:val="center"/>
          </w:tcPr>
          <w:p w:rsidR="0058616C" w:rsidP="00BE0480" w:rsidRDefault="0058616C" w14:paraId="74D17854" w14:textId="2E9EB421">
            <w:pPr>
              <w:widowControl/>
              <w:tabs>
                <w:tab w:val="left" w:pos="0"/>
              </w:tabs>
              <w:spacing w:after="60"/>
              <w:jc w:val="center"/>
              <w:rPr>
                <w:szCs w:val="20"/>
              </w:rPr>
            </w:pPr>
            <w:r>
              <w:rPr>
                <w:szCs w:val="20"/>
              </w:rPr>
              <w:t>3</w:t>
            </w:r>
          </w:p>
        </w:tc>
        <w:tc>
          <w:tcPr>
            <w:tcW w:w="1116" w:type="pct"/>
            <w:vAlign w:val="center"/>
          </w:tcPr>
          <w:p w:rsidR="0058616C" w:rsidRDefault="004A4C3F" w14:paraId="23021552" w14:textId="592A6438">
            <w:pPr>
              <w:widowControl/>
              <w:tabs>
                <w:tab w:val="left" w:pos="0"/>
              </w:tabs>
              <w:spacing w:after="60"/>
              <w:jc w:val="center"/>
              <w:rPr>
                <w:szCs w:val="20"/>
              </w:rPr>
            </w:pPr>
            <m:oMath>
              <m:sSub>
                <m:sSubPr>
                  <m:ctrlPr>
                    <w:rPr>
                      <w:rFonts w:ascii="Cambria Math" w:hAnsi="Cambria Math" w:eastAsiaTheme="minorEastAsia"/>
                      <w:i/>
                    </w:rPr>
                  </m:ctrlPr>
                </m:sSubPr>
                <m:e>
                  <m:r>
                    <w:rPr>
                      <w:rFonts w:ascii="Cambria Math" w:hAnsi="Cambria Math" w:eastAsiaTheme="minorEastAsia"/>
                    </w:rPr>
                    <m:t>Apd</m:t>
                  </m:r>
                </m:e>
                <m:sub>
                  <m:r>
                    <w:rPr>
                      <w:rFonts w:ascii="Cambria Math" w:hAnsi="Cambria Math" w:eastAsiaTheme="minorEastAsia"/>
                    </w:rPr>
                    <m:t>y</m:t>
                  </m:r>
                </m:sub>
              </m:sSub>
              <m:r>
                <w:rPr>
                  <w:rFonts w:ascii="Cambria Math" w:hAnsi="Cambria Math" w:eastAsiaTheme="minorEastAsia"/>
                </w:rPr>
                <m:t xml:space="preserve">= </m:t>
              </m:r>
              <m:f>
                <m:fPr>
                  <m:ctrlPr>
                    <w:rPr>
                      <w:rFonts w:ascii="Cambria Math" w:hAnsi="Cambria Math" w:eastAsiaTheme="minorEastAsia"/>
                      <w:i/>
                    </w:rPr>
                  </m:ctrlPr>
                </m:fPr>
                <m:num>
                  <m:r>
                    <w:rPr>
                      <w:rFonts w:ascii="Cambria Math" w:hAnsi="Cambria Math" w:eastAsiaTheme="minorEastAsia"/>
                    </w:rPr>
                    <m:t xml:space="preserve">2 acres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1992</m:t>
                      </m:r>
                    </m:sub>
                  </m:sSub>
                </m:num>
                <m:den>
                  <m:sSub>
                    <m:sSubPr>
                      <m:ctrlPr>
                        <w:rPr>
                          <w:rFonts w:ascii="Cambria Math" w:hAnsi="Cambria Math" w:eastAsiaTheme="minorEastAsia"/>
                          <w:i/>
                        </w:rPr>
                      </m:ctrlPr>
                    </m:sSubPr>
                    <m:e>
                      <m:r>
                        <w:rPr>
                          <w:rFonts w:ascii="Cambria Math" w:hAnsi="Cambria Math" w:eastAsiaTheme="minorEastAsia"/>
                        </w:rPr>
                        <m:t>PD</m:t>
                      </m:r>
                    </m:e>
                    <m:sub>
                      <m:r>
                        <w:rPr>
                          <w:rFonts w:ascii="Cambria Math" w:hAnsi="Cambria Math" w:eastAsiaTheme="minorEastAsia"/>
                        </w:rPr>
                        <m:t>y</m:t>
                      </m:r>
                    </m:sub>
                  </m:sSub>
                </m:den>
              </m:f>
            </m:oMath>
            <w:r w:rsidR="00520411">
              <w:rPr>
                <w:szCs w:val="20"/>
              </w:rPr>
              <w:t xml:space="preserve"> </w:t>
            </w:r>
          </w:p>
        </w:tc>
        <w:tc>
          <w:tcPr>
            <w:tcW w:w="2842" w:type="pct"/>
            <w:vAlign w:val="center"/>
          </w:tcPr>
          <w:p w:rsidR="0058616C" w:rsidP="00520411" w:rsidRDefault="004A4C3F" w14:paraId="21F8A65C" w14:textId="196DFCAB">
            <w:pPr>
              <w:widowControl/>
              <w:tabs>
                <w:tab w:val="left" w:pos="0"/>
              </w:tabs>
              <w:spacing w:after="60"/>
              <w:jc w:val="center"/>
              <w:rPr>
                <w:szCs w:val="20"/>
              </w:rPr>
            </w:pPr>
            <m:oMathPara>
              <m:oMath>
                <m:f>
                  <m:fPr>
                    <m:ctrlPr>
                      <w:rPr>
                        <w:rFonts w:ascii="Cambria Math" w:hAnsi="Cambria Math" w:eastAsiaTheme="minorEastAsia"/>
                        <w:i/>
                      </w:rPr>
                    </m:ctrlPr>
                  </m:fPr>
                  <m:num>
                    <m:r>
                      <w:rPr>
                        <w:rFonts w:ascii="Cambria Math" w:hAnsi="Cambria Math" w:eastAsiaTheme="minorEastAsia"/>
                      </w:rPr>
                      <m:t xml:space="preserve">2 acres disturbed </m:t>
                    </m:r>
                  </m:num>
                  <m:den>
                    <m:r>
                      <w:rPr>
                        <w:rFonts w:ascii="Cambria Math" w:hAnsi="Cambria Math" w:eastAsiaTheme="minorEastAsia"/>
                      </w:rPr>
                      <m:t>$1 million</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57 in 1992</m:t>
                    </m:r>
                  </m:num>
                  <m:den>
                    <m:r>
                      <w:rPr>
                        <w:rFonts w:ascii="Cambria Math" w:hAnsi="Cambria Math" w:eastAsiaTheme="minorEastAsia"/>
                      </w:rPr>
                      <m:t>113 in 2014</m:t>
                    </m:r>
                  </m:den>
                </m:f>
              </m:oMath>
            </m:oMathPara>
          </w:p>
        </w:tc>
        <w:tc>
          <w:tcPr>
            <w:tcW w:w="782" w:type="pct"/>
          </w:tcPr>
          <w:p w:rsidR="0058616C" w:rsidP="0058616C" w:rsidRDefault="00520411" w14:paraId="5B12DA68" w14:textId="7C9F6A14">
            <w:pPr>
              <w:widowControl/>
              <w:tabs>
                <w:tab w:val="left" w:pos="0"/>
              </w:tabs>
              <w:spacing w:after="60"/>
              <w:rPr>
                <w:szCs w:val="20"/>
              </w:rPr>
            </w:pPr>
            <w:r>
              <w:rPr>
                <w:szCs w:val="20"/>
              </w:rPr>
              <w:t>1.009 acres disturbed per million dollars spent on non-residential construction spending</w:t>
            </w:r>
          </w:p>
        </w:tc>
      </w:tr>
      <w:tr w:rsidR="00520411" w:rsidTr="00520411" w14:paraId="2758093F" w14:textId="77777777">
        <w:trPr>
          <w:cantSplit/>
        </w:trPr>
        <w:tc>
          <w:tcPr>
            <w:tcW w:w="260" w:type="pct"/>
            <w:vAlign w:val="center"/>
          </w:tcPr>
          <w:p w:rsidR="00DF0B38" w:rsidP="00FE7F5B" w:rsidRDefault="00676FE8" w14:paraId="1E04D2F0" w14:textId="4177BB6C">
            <w:pPr>
              <w:widowControl/>
              <w:tabs>
                <w:tab w:val="left" w:pos="0"/>
              </w:tabs>
              <w:spacing w:after="60"/>
              <w:jc w:val="center"/>
              <w:rPr>
                <w:szCs w:val="20"/>
              </w:rPr>
            </w:pPr>
            <w:r>
              <w:rPr>
                <w:szCs w:val="20"/>
              </w:rPr>
              <w:t>4</w:t>
            </w:r>
          </w:p>
        </w:tc>
        <w:tc>
          <w:tcPr>
            <w:tcW w:w="1116" w:type="pct"/>
            <w:vAlign w:val="center"/>
          </w:tcPr>
          <w:p w:rsidR="00DF0B38" w:rsidP="00FE7F5B" w:rsidRDefault="004A4C3F" w14:paraId="3A1D02D3" w14:textId="4E1FF1E3">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Apd</m:t>
                    </m:r>
                  </m:e>
                  <m:sub>
                    <m:r>
                      <w:rPr>
                        <w:rFonts w:ascii="Cambria Math" w:hAnsi="Cambria Math"/>
                        <w:szCs w:val="20"/>
                      </w:rPr>
                      <m:t>y</m:t>
                    </m:r>
                  </m:sub>
                </m:sSub>
              </m:oMath>
            </m:oMathPara>
          </w:p>
        </w:tc>
        <w:tc>
          <w:tcPr>
            <w:tcW w:w="2842" w:type="pct"/>
            <w:vAlign w:val="center"/>
          </w:tcPr>
          <w:p w:rsidR="00DF0B38" w:rsidP="00520411" w:rsidRDefault="00520411" w14:paraId="060236FE" w14:textId="6485512F">
            <w:pPr>
              <w:widowControl/>
              <w:tabs>
                <w:tab w:val="left" w:pos="0"/>
              </w:tabs>
              <w:spacing w:after="60"/>
              <w:jc w:val="center"/>
              <w:rPr>
                <w:szCs w:val="20"/>
              </w:rPr>
            </w:pPr>
            <m:oMathPara>
              <m:oMath>
                <m:r>
                  <w:rPr>
                    <w:rFonts w:ascii="Cambria Math" w:hAnsi="Cambria Math" w:eastAsiaTheme="minorEastAsia"/>
                  </w:rPr>
                  <m:t>$ 71.61 million</m:t>
                </m:r>
                <m:r>
                  <w:rPr>
                    <w:rFonts w:ascii="Cambria Math" w:hAnsi="Cambria Math"/>
                    <w:szCs w:val="20"/>
                  </w:rPr>
                  <m:t>×1.009</m:t>
                </m:r>
                <m:f>
                  <m:fPr>
                    <m:ctrlPr>
                      <w:rPr>
                        <w:rFonts w:ascii="Cambria Math" w:hAnsi="Cambria Math"/>
                        <w:i/>
                        <w:szCs w:val="20"/>
                      </w:rPr>
                    </m:ctrlPr>
                  </m:fPr>
                  <m:num>
                    <m:r>
                      <w:rPr>
                        <w:rFonts w:ascii="Cambria Math" w:hAnsi="Cambria Math"/>
                        <w:szCs w:val="20"/>
                      </w:rPr>
                      <m:t>acres disturbed</m:t>
                    </m:r>
                  </m:num>
                  <m:den>
                    <m:r>
                      <w:rPr>
                        <w:rFonts w:ascii="Cambria Math" w:hAnsi="Cambria Math"/>
                        <w:szCs w:val="20"/>
                      </w:rPr>
                      <m:t>million $</m:t>
                    </m:r>
                  </m:den>
                </m:f>
              </m:oMath>
            </m:oMathPara>
          </w:p>
        </w:tc>
        <w:tc>
          <w:tcPr>
            <w:tcW w:w="782" w:type="pct"/>
          </w:tcPr>
          <w:p w:rsidR="00DF0B38" w:rsidP="0058616C" w:rsidRDefault="00520411" w14:paraId="1E0455B0" w14:textId="5E306D53">
            <w:pPr>
              <w:widowControl/>
              <w:tabs>
                <w:tab w:val="left" w:pos="0"/>
              </w:tabs>
              <w:spacing w:after="60"/>
              <w:rPr>
                <w:szCs w:val="20"/>
              </w:rPr>
            </w:pPr>
            <w:r>
              <w:rPr>
                <w:szCs w:val="20"/>
              </w:rPr>
              <w:t>72.25 acres disturbed from non-residential construction in Grand Traverse County, MI</w:t>
            </w:r>
          </w:p>
        </w:tc>
      </w:tr>
      <w:tr w:rsidR="00520411" w:rsidTr="00520411" w14:paraId="78A62504" w14:textId="77777777">
        <w:trPr>
          <w:cantSplit/>
        </w:trPr>
        <w:tc>
          <w:tcPr>
            <w:tcW w:w="260" w:type="pct"/>
            <w:vAlign w:val="center"/>
          </w:tcPr>
          <w:p w:rsidR="00DF0B38" w:rsidP="00FE7F5B" w:rsidRDefault="00676FE8" w14:paraId="77677439" w14:textId="295DECFC">
            <w:pPr>
              <w:widowControl/>
              <w:tabs>
                <w:tab w:val="left" w:pos="0"/>
              </w:tabs>
              <w:spacing w:after="60"/>
              <w:jc w:val="center"/>
              <w:rPr>
                <w:szCs w:val="20"/>
              </w:rPr>
            </w:pPr>
            <w:r>
              <w:rPr>
                <w:szCs w:val="20"/>
              </w:rPr>
              <w:lastRenderedPageBreak/>
              <w:t>5</w:t>
            </w:r>
          </w:p>
        </w:tc>
        <w:tc>
          <w:tcPr>
            <w:tcW w:w="1116" w:type="pct"/>
            <w:vAlign w:val="center"/>
          </w:tcPr>
          <w:p w:rsidR="00DF0B38" w:rsidRDefault="004A4C3F" w14:paraId="56E2B3B4" w14:textId="701B82E5">
            <w:pPr>
              <w:widowControl/>
              <w:tabs>
                <w:tab w:val="left" w:pos="0"/>
                <w:tab w:val="center" w:pos="4320"/>
                <w:tab w:val="right" w:pos="8460"/>
              </w:tabs>
              <w:spacing w:after="60"/>
              <w:jc w:val="center"/>
              <w:rPr>
                <w:szCs w:val="20"/>
              </w:rPr>
            </w:pPr>
            <m:oMath>
              <m:sSub>
                <m:sSubPr>
                  <m:ctrlPr>
                    <w:rPr>
                      <w:rFonts w:ascii="Cambria Math" w:hAnsi="Cambria Math"/>
                      <w:i/>
                    </w:rPr>
                  </m:ctrlPr>
                </m:sSubPr>
                <m:e>
                  <m:r>
                    <w:rPr>
                      <w:rFonts w:ascii="Cambria Math" w:hAnsi="Cambria Math"/>
                    </w:rPr>
                    <m:t>EF</m:t>
                  </m:r>
                </m:e>
                <m:sub>
                  <m:r>
                    <w:rPr>
                      <w:rFonts w:ascii="Cambria Math" w:hAnsi="Cambria Math"/>
                    </w:rPr>
                    <m:t>PM10,c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PM10</m:t>
                  </m:r>
                </m:sub>
              </m:sSub>
              <m:r>
                <w:rPr>
                  <w:rFonts w:ascii="Cambria Math" w:hAnsi="Cambria Math"/>
                </w:rPr>
                <m:t>×</m:t>
              </m:r>
              <m:f>
                <m:fPr>
                  <m:ctrlPr>
                    <w:rPr>
                      <w:rFonts w:ascii="Cambria Math" w:hAnsi="Cambria Math"/>
                      <w:i/>
                    </w:rPr>
                  </m:ctrlPr>
                </m:fPr>
                <m:num>
                  <m:r>
                    <w:rPr>
                      <w:rFonts w:ascii="Cambria Math" w:hAnsi="Cambria Math"/>
                    </w:rPr>
                    <m:t>24</m:t>
                  </m:r>
                </m:num>
                <m:den>
                  <m:sSub>
                    <m:sSubPr>
                      <m:ctrlPr>
                        <w:rPr>
                          <w:rFonts w:ascii="Cambria Math" w:hAnsi="Cambria Math"/>
                          <w:i/>
                        </w:rPr>
                      </m:ctrlPr>
                    </m:sSubPr>
                    <m:e>
                      <m:r>
                        <w:rPr>
                          <w:rFonts w:ascii="Cambria Math" w:hAnsi="Cambria Math"/>
                        </w:rPr>
                        <m:t>PE</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c</m:t>
                      </m:r>
                    </m:sub>
                  </m:sSub>
                </m:num>
                <m:den>
                  <m:r>
                    <w:rPr>
                      <w:rFonts w:ascii="Cambria Math" w:hAnsi="Cambria Math"/>
                    </w:rPr>
                    <m:t>9%</m:t>
                  </m:r>
                </m:den>
              </m:f>
            </m:oMath>
            <w:r w:rsidR="00520411">
              <w:rPr>
                <w:szCs w:val="20"/>
              </w:rPr>
              <w:t xml:space="preserve"> </w:t>
            </w:r>
          </w:p>
        </w:tc>
        <w:tc>
          <w:tcPr>
            <w:tcW w:w="2842" w:type="pct"/>
            <w:vAlign w:val="center"/>
          </w:tcPr>
          <w:p w:rsidR="00DF0B38" w:rsidP="00520411" w:rsidRDefault="00520411" w14:paraId="5214EA1D" w14:textId="2084C501">
            <w:pPr>
              <w:widowControl/>
              <w:tabs>
                <w:tab w:val="left" w:pos="0"/>
              </w:tabs>
              <w:spacing w:after="60"/>
              <w:jc w:val="center"/>
              <w:rPr>
                <w:szCs w:val="20"/>
              </w:rPr>
            </w:pPr>
            <m:oMathPara>
              <m:oMath>
                <m:r>
                  <w:rPr>
                    <w:rFonts w:ascii="Cambria Math" w:hAnsi="Cambria Math"/>
                  </w:rPr>
                  <m:t>0.19 tons per acre month×</m:t>
                </m:r>
                <m:f>
                  <m:fPr>
                    <m:ctrlPr>
                      <w:rPr>
                        <w:rFonts w:ascii="Cambria Math" w:hAnsi="Cambria Math"/>
                        <w:i/>
                      </w:rPr>
                    </m:ctrlPr>
                  </m:fPr>
                  <m:num>
                    <m:r>
                      <w:rPr>
                        <w:rFonts w:ascii="Cambria Math" w:hAnsi="Cambria Math"/>
                      </w:rPr>
                      <m:t>24</m:t>
                    </m:r>
                  </m:num>
                  <m:den>
                    <m:r>
                      <w:rPr>
                        <w:rFonts w:ascii="Cambria Math" w:hAnsi="Cambria Math"/>
                      </w:rPr>
                      <m:t>103.6</m:t>
                    </m:r>
                  </m:den>
                </m:f>
                <m:r>
                  <w:rPr>
                    <w:rFonts w:ascii="Cambria Math" w:hAnsi="Cambria Math"/>
                  </w:rPr>
                  <m:t>×</m:t>
                </m:r>
                <m:f>
                  <m:fPr>
                    <m:ctrlPr>
                      <w:rPr>
                        <w:rFonts w:ascii="Cambria Math" w:hAnsi="Cambria Math"/>
                        <w:i/>
                      </w:rPr>
                    </m:ctrlPr>
                  </m:fPr>
                  <m:num>
                    <m:r>
                      <w:rPr>
                        <w:rFonts w:ascii="Cambria Math" w:hAnsi="Cambria Math"/>
                      </w:rPr>
                      <m:t>21.95%</m:t>
                    </m:r>
                  </m:num>
                  <m:den>
                    <m:r>
                      <w:rPr>
                        <w:rFonts w:ascii="Cambria Math" w:hAnsi="Cambria Math"/>
                      </w:rPr>
                      <m:t>9%</m:t>
                    </m:r>
                  </m:den>
                </m:f>
              </m:oMath>
            </m:oMathPara>
          </w:p>
        </w:tc>
        <w:tc>
          <w:tcPr>
            <w:tcW w:w="782" w:type="pct"/>
          </w:tcPr>
          <w:p w:rsidR="00DF0B38" w:rsidP="00F33727" w:rsidRDefault="00520411" w14:paraId="07663FB1" w14:textId="6FC55058">
            <w:pPr>
              <w:widowControl/>
              <w:tabs>
                <w:tab w:val="left" w:pos="0"/>
              </w:tabs>
              <w:spacing w:after="60"/>
              <w:rPr>
                <w:szCs w:val="20"/>
              </w:rPr>
            </w:pPr>
            <w:r>
              <w:rPr>
                <w:szCs w:val="20"/>
              </w:rPr>
              <w:t>0.1073 tons PM10 per acre-month of non-residential construction</w:t>
            </w:r>
            <w:r w:rsidR="00BC0EAA">
              <w:rPr>
                <w:szCs w:val="20"/>
              </w:rPr>
              <w:t xml:space="preserve"> in Grand Traverse County, MI</w:t>
            </w:r>
          </w:p>
        </w:tc>
      </w:tr>
      <w:tr w:rsidR="00520411" w:rsidTr="00520411" w14:paraId="7A81B696" w14:textId="77777777">
        <w:trPr>
          <w:cantSplit/>
        </w:trPr>
        <w:tc>
          <w:tcPr>
            <w:tcW w:w="260" w:type="pct"/>
            <w:vAlign w:val="center"/>
          </w:tcPr>
          <w:p w:rsidR="00DF0B38" w:rsidP="00FE7F5B" w:rsidRDefault="00676FE8" w14:paraId="324ACC66" w14:textId="33BEF899">
            <w:pPr>
              <w:widowControl/>
              <w:tabs>
                <w:tab w:val="left" w:pos="0"/>
              </w:tabs>
              <w:spacing w:after="60"/>
              <w:jc w:val="center"/>
              <w:rPr>
                <w:szCs w:val="20"/>
              </w:rPr>
            </w:pPr>
            <w:r>
              <w:rPr>
                <w:szCs w:val="20"/>
              </w:rPr>
              <w:t>6</w:t>
            </w:r>
          </w:p>
        </w:tc>
        <w:tc>
          <w:tcPr>
            <w:tcW w:w="1116" w:type="pct"/>
            <w:vAlign w:val="center"/>
          </w:tcPr>
          <w:p w:rsidR="00DF0B38" w:rsidP="00FE7F5B" w:rsidRDefault="004A4C3F" w14:paraId="7A902A6F" w14:textId="5EBECF7A">
            <w:pPr>
              <w:widowControl/>
              <w:tabs>
                <w:tab w:val="left" w:pos="0"/>
              </w:tabs>
              <w:spacing w:after="60"/>
              <w:jc w:val="center"/>
              <w:rPr>
                <w:szCs w:val="20"/>
              </w:rPr>
            </w:pPr>
            <m:oMath>
              <m:sSub>
                <m:sSubPr>
                  <m:ctrlPr>
                    <w:rPr>
                      <w:rFonts w:ascii="Cambria Math" w:hAnsi="Cambria Math"/>
                      <w:i/>
                    </w:rPr>
                  </m:ctrlPr>
                </m:sSubPr>
                <m:e>
                  <m:r>
                    <w:rPr>
                      <w:rFonts w:ascii="Cambria Math" w:hAnsi="Cambria Math"/>
                    </w:rPr>
                    <m:t>EF</m:t>
                  </m:r>
                </m:e>
                <m:sub>
                  <m:r>
                    <w:rPr>
                      <w:rFonts w:ascii="Cambria Math" w:hAnsi="Cambria Math"/>
                    </w:rPr>
                    <m:t>PM25,c</m:t>
                  </m:r>
                </m:sub>
              </m:sSub>
              <m:r>
                <w:rPr>
                  <w:rFonts w:ascii="Cambria Math" w:hAnsi="Cambria Math"/>
                </w:rPr>
                <m:t>=0.10×</m:t>
              </m:r>
              <m:sSub>
                <m:sSubPr>
                  <m:ctrlPr>
                    <w:rPr>
                      <w:rFonts w:ascii="Cambria Math" w:hAnsi="Cambria Math"/>
                      <w:i/>
                    </w:rPr>
                  </m:ctrlPr>
                </m:sSubPr>
                <m:e>
                  <m:r>
                    <w:rPr>
                      <w:rFonts w:ascii="Cambria Math" w:hAnsi="Cambria Math"/>
                    </w:rPr>
                    <m:t>EF</m:t>
                  </m:r>
                </m:e>
                <m:sub>
                  <m:r>
                    <w:rPr>
                      <w:rFonts w:ascii="Cambria Math" w:hAnsi="Cambria Math"/>
                      <w:sz w:val="24"/>
                    </w:rPr>
                    <m:t>PM10</m:t>
                  </m:r>
                  <m:r>
                    <w:rPr>
                      <w:rFonts w:ascii="Cambria Math" w:hAnsi="Cambria Math"/>
                    </w:rPr>
                    <m:t>,c</m:t>
                  </m:r>
                </m:sub>
              </m:sSub>
            </m:oMath>
            <w:r w:rsidR="00520411">
              <w:rPr>
                <w:szCs w:val="20"/>
              </w:rPr>
              <w:t xml:space="preserve"> </w:t>
            </w:r>
          </w:p>
        </w:tc>
        <w:tc>
          <w:tcPr>
            <w:tcW w:w="2842" w:type="pct"/>
            <w:vAlign w:val="center"/>
          </w:tcPr>
          <w:p w:rsidR="00DF0B38" w:rsidP="00520411" w:rsidRDefault="00520411" w14:paraId="07B8EC2C" w14:textId="031A3F36">
            <w:pPr>
              <w:widowControl/>
              <w:tabs>
                <w:tab w:val="left" w:pos="0"/>
              </w:tabs>
              <w:spacing w:after="60"/>
              <w:jc w:val="center"/>
              <w:rPr>
                <w:szCs w:val="20"/>
              </w:rPr>
            </w:pPr>
            <m:oMathPara>
              <m:oMath>
                <m:r>
                  <w:rPr>
                    <w:rFonts w:ascii="Cambria Math" w:hAnsi="Cambria Math"/>
                  </w:rPr>
                  <m:t>0.10×</m:t>
                </m:r>
                <m:r>
                  <w:rPr>
                    <w:rFonts w:ascii="Cambria Math" w:hAnsi="Cambria Math" w:eastAsiaTheme="minorEastAsia"/>
                  </w:rPr>
                  <m:t>0.1073 tons per acre month</m:t>
                </m:r>
              </m:oMath>
            </m:oMathPara>
          </w:p>
        </w:tc>
        <w:tc>
          <w:tcPr>
            <w:tcW w:w="782" w:type="pct"/>
          </w:tcPr>
          <w:p w:rsidR="00DF0B38" w:rsidP="00DF0B38" w:rsidRDefault="00BC0EAA" w14:paraId="5C491399" w14:textId="7FA83261">
            <w:pPr>
              <w:widowControl/>
              <w:tabs>
                <w:tab w:val="left" w:pos="0"/>
              </w:tabs>
              <w:spacing w:after="60"/>
              <w:rPr>
                <w:szCs w:val="20"/>
              </w:rPr>
            </w:pPr>
            <w:r>
              <w:rPr>
                <w:szCs w:val="20"/>
              </w:rPr>
              <w:t>0.0107 tons PM25 per acre month on non-residential construction in Grand Traverse County, MI</w:t>
            </w:r>
          </w:p>
        </w:tc>
      </w:tr>
      <w:tr w:rsidR="00520411" w:rsidTr="00520411" w14:paraId="36609103" w14:textId="77777777">
        <w:trPr>
          <w:cantSplit/>
        </w:trPr>
        <w:tc>
          <w:tcPr>
            <w:tcW w:w="260" w:type="pct"/>
            <w:vMerge w:val="restart"/>
            <w:vAlign w:val="center"/>
          </w:tcPr>
          <w:p w:rsidR="00520411" w:rsidP="008F64E2" w:rsidRDefault="00520411" w14:paraId="2498BB5D" w14:textId="1974622A">
            <w:pPr>
              <w:widowControl/>
              <w:tabs>
                <w:tab w:val="left" w:pos="0"/>
              </w:tabs>
              <w:spacing w:after="60"/>
              <w:jc w:val="center"/>
              <w:rPr>
                <w:szCs w:val="20"/>
              </w:rPr>
            </w:pPr>
            <w:r>
              <w:rPr>
                <w:szCs w:val="20"/>
              </w:rPr>
              <w:t>7</w:t>
            </w:r>
          </w:p>
        </w:tc>
        <w:tc>
          <w:tcPr>
            <w:tcW w:w="1116" w:type="pct"/>
            <w:vMerge w:val="restart"/>
            <w:vAlign w:val="center"/>
          </w:tcPr>
          <w:p w:rsidR="00520411" w:rsidP="00FE7F5B" w:rsidRDefault="004A4C3F" w14:paraId="12589303" w14:textId="359EDC13">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×M</m:t>
                </m:r>
              </m:oMath>
            </m:oMathPara>
          </w:p>
        </w:tc>
        <w:tc>
          <w:tcPr>
            <w:tcW w:w="2842" w:type="pct"/>
            <w:vAlign w:val="center"/>
          </w:tcPr>
          <w:p w:rsidR="00520411" w:rsidP="00520411" w:rsidRDefault="00520411" w14:paraId="6B0CA4B7" w14:textId="294F545E">
            <w:pPr>
              <w:widowControl/>
              <w:tabs>
                <w:tab w:val="left" w:pos="0"/>
              </w:tabs>
              <w:spacing w:after="60"/>
              <w:jc w:val="center"/>
              <w:rPr>
                <w:szCs w:val="20"/>
              </w:rPr>
            </w:pPr>
            <m:oMathPara>
              <m:oMath>
                <m:r>
                  <w:rPr>
                    <w:rFonts w:ascii="Cambria Math" w:hAnsi="Cambria Math"/>
                    <w:szCs w:val="20"/>
                  </w:rPr>
                  <m:t>72.25 acres</m:t>
                </m:r>
                <m:r>
                  <w:rPr>
                    <w:rFonts w:ascii="Cambria Math" w:hAnsi="Cambria Math"/>
                  </w:rPr>
                  <m:t>×</m:t>
                </m:r>
                <m:r>
                  <w:rPr>
                    <w:rFonts w:ascii="Cambria Math" w:hAnsi="Cambria Math" w:eastAsiaTheme="minorEastAsia"/>
                  </w:rPr>
                  <m:t>0.1073</m:t>
                </m:r>
                <m:f>
                  <m:fPr>
                    <m:ctrlPr>
                      <w:rPr>
                        <w:rFonts w:ascii="Cambria Math" w:hAnsi="Cambria Math" w:eastAsiaTheme="minorEastAsia"/>
                        <w:i/>
                      </w:rPr>
                    </m:ctrlPr>
                  </m:fPr>
                  <m:num>
                    <m:r>
                      <w:rPr>
                        <w:rFonts w:ascii="Cambria Math" w:hAnsi="Cambria Math" w:eastAsiaTheme="minorEastAsia"/>
                      </w:rPr>
                      <m:t>tons</m:t>
                    </m:r>
                  </m:num>
                  <m:den>
                    <m:r>
                      <w:rPr>
                        <w:rFonts w:ascii="Cambria Math" w:hAnsi="Cambria Math" w:eastAsiaTheme="minorEastAsia"/>
                      </w:rPr>
                      <m:t>acre-month</m:t>
                    </m:r>
                  </m:den>
                </m:f>
                <m:r>
                  <w:rPr>
                    <w:rFonts w:ascii="Cambria Math" w:hAnsi="Cambria Math"/>
                  </w:rPr>
                  <m:t>×11 months</m:t>
                </m:r>
              </m:oMath>
            </m:oMathPara>
          </w:p>
        </w:tc>
        <w:tc>
          <w:tcPr>
            <w:tcW w:w="782" w:type="pct"/>
          </w:tcPr>
          <w:p w:rsidR="00520411" w:rsidP="00DF0B38" w:rsidRDefault="00BC0EAA" w14:paraId="5F17FD62" w14:textId="428A2F7C">
            <w:pPr>
              <w:widowControl/>
              <w:tabs>
                <w:tab w:val="left" w:pos="0"/>
              </w:tabs>
              <w:spacing w:after="60"/>
              <w:rPr>
                <w:szCs w:val="20"/>
              </w:rPr>
            </w:pPr>
            <w:r>
              <w:rPr>
                <w:szCs w:val="20"/>
              </w:rPr>
              <w:t>85.3 tons PM10 emissions from non-residential construction in Grand Traverse County, MI</w:t>
            </w:r>
          </w:p>
        </w:tc>
      </w:tr>
      <w:tr w:rsidR="00520411" w:rsidTr="00520411" w14:paraId="504D8FC2" w14:textId="77777777">
        <w:trPr>
          <w:cantSplit/>
        </w:trPr>
        <w:tc>
          <w:tcPr>
            <w:tcW w:w="260" w:type="pct"/>
            <w:vMerge/>
            <w:vAlign w:val="center"/>
          </w:tcPr>
          <w:p w:rsidR="00520411" w:rsidP="008F64E2" w:rsidRDefault="00520411" w14:paraId="7DE2263D" w14:textId="77777777">
            <w:pPr>
              <w:widowControl/>
              <w:tabs>
                <w:tab w:val="left" w:pos="0"/>
              </w:tabs>
              <w:spacing w:after="60"/>
              <w:jc w:val="center"/>
              <w:rPr>
                <w:szCs w:val="20"/>
              </w:rPr>
            </w:pPr>
          </w:p>
        </w:tc>
        <w:tc>
          <w:tcPr>
            <w:tcW w:w="1116" w:type="pct"/>
            <w:vMerge/>
            <w:vAlign w:val="center"/>
          </w:tcPr>
          <w:p w:rsidR="00520411" w:rsidP="00FE7F5B" w:rsidRDefault="00520411" w14:paraId="67E1E8EB" w14:textId="77777777">
            <w:pPr>
              <w:widowControl/>
              <w:tabs>
                <w:tab w:val="left" w:pos="0"/>
              </w:tabs>
              <w:spacing w:after="60"/>
              <w:jc w:val="center"/>
            </w:pPr>
          </w:p>
        </w:tc>
        <w:tc>
          <w:tcPr>
            <w:tcW w:w="2842" w:type="pct"/>
            <w:vAlign w:val="center"/>
          </w:tcPr>
          <w:p w:rsidR="00520411" w:rsidP="00520411" w:rsidRDefault="00520411" w14:paraId="60B17BD3" w14:textId="28655F7D">
            <w:pPr>
              <w:widowControl/>
              <w:tabs>
                <w:tab w:val="left" w:pos="0"/>
              </w:tabs>
              <w:spacing w:after="60"/>
              <w:jc w:val="center"/>
              <w:rPr>
                <w:szCs w:val="20"/>
              </w:rPr>
            </w:pPr>
            <m:oMathPara>
              <m:oMath>
                <m:r>
                  <w:rPr>
                    <w:rFonts w:ascii="Cambria Math" w:hAnsi="Cambria Math"/>
                    <w:szCs w:val="20"/>
                  </w:rPr>
                  <m:t>72.25 acres</m:t>
                </m:r>
                <m:r>
                  <w:rPr>
                    <w:rFonts w:ascii="Cambria Math" w:hAnsi="Cambria Math"/>
                  </w:rPr>
                  <m:t>×</m:t>
                </m:r>
                <m:r>
                  <w:rPr>
                    <w:rFonts w:ascii="Cambria Math" w:hAnsi="Cambria Math" w:eastAsiaTheme="minorEastAsia"/>
                  </w:rPr>
                  <m:t>0.0107</m:t>
                </m:r>
                <m:f>
                  <m:fPr>
                    <m:ctrlPr>
                      <w:rPr>
                        <w:rFonts w:ascii="Cambria Math" w:hAnsi="Cambria Math" w:eastAsiaTheme="minorEastAsia"/>
                        <w:i/>
                      </w:rPr>
                    </m:ctrlPr>
                  </m:fPr>
                  <m:num>
                    <m:r>
                      <w:rPr>
                        <w:rFonts w:ascii="Cambria Math" w:hAnsi="Cambria Math" w:eastAsiaTheme="minorEastAsia"/>
                      </w:rPr>
                      <m:t>tons</m:t>
                    </m:r>
                  </m:num>
                  <m:den>
                    <m:r>
                      <w:rPr>
                        <w:rFonts w:ascii="Cambria Math" w:hAnsi="Cambria Math" w:eastAsiaTheme="minorEastAsia"/>
                      </w:rPr>
                      <m:t>acre-month</m:t>
                    </m:r>
                  </m:den>
                </m:f>
                <m:r>
                  <w:rPr>
                    <w:rFonts w:ascii="Cambria Math" w:hAnsi="Cambria Math"/>
                  </w:rPr>
                  <m:t>×11 months</m:t>
                </m:r>
              </m:oMath>
            </m:oMathPara>
          </w:p>
        </w:tc>
        <w:tc>
          <w:tcPr>
            <w:tcW w:w="782" w:type="pct"/>
          </w:tcPr>
          <w:p w:rsidR="00520411" w:rsidP="00DF0B38" w:rsidRDefault="00BC0EAA" w14:paraId="13E8428B" w14:textId="73FD34B0">
            <w:pPr>
              <w:widowControl/>
              <w:tabs>
                <w:tab w:val="left" w:pos="0"/>
              </w:tabs>
              <w:spacing w:after="60"/>
              <w:rPr>
                <w:szCs w:val="20"/>
              </w:rPr>
            </w:pPr>
            <w:r>
              <w:rPr>
                <w:szCs w:val="20"/>
              </w:rPr>
              <w:t>8.5 tons PM25 emissions from non-residential construction in Grand Traverse County, MI</w:t>
            </w:r>
          </w:p>
        </w:tc>
      </w:tr>
    </w:tbl>
    <w:p w:rsidRPr="004008E6" w:rsidR="00B97E6E" w:rsidP="00B97E6E" w:rsidRDefault="00B97E6E" w14:paraId="5D4688CF" w14:textId="77777777">
      <w:pPr>
        <w:widowControl/>
        <w:tabs>
          <w:tab w:val="left" w:pos="0"/>
        </w:tabs>
        <w:ind w:firstLine="720"/>
        <w:rPr>
          <w:szCs w:val="20"/>
        </w:rPr>
      </w:pPr>
    </w:p>
    <w:p w:rsidR="00B97E6E" w:rsidP="00052E59" w:rsidRDefault="00B97E6E" w14:paraId="75FB51D3" w14:textId="77777777">
      <w:pPr>
        <w:pStyle w:val="Heading1"/>
      </w:pPr>
      <w:r>
        <w:t>Changes from 2014 Methodology</w:t>
      </w:r>
    </w:p>
    <w:p w:rsidRPr="00676FE8" w:rsidR="00B97E6E" w:rsidP="00B97E6E" w:rsidRDefault="009A3FCC" w14:paraId="457F09AF" w14:textId="46F88D0D">
      <w:pPr>
        <w:widowControl/>
        <w:tabs>
          <w:tab w:val="left" w:pos="0"/>
        </w:tabs>
        <w:rPr>
          <w:szCs w:val="20"/>
        </w:rPr>
      </w:pPr>
      <w:r>
        <w:rPr>
          <w:szCs w:val="20"/>
        </w:rPr>
        <w:t>There are no significant changes from the methodology used to calculate the 2014 v2 NEI emissions.</w:t>
      </w:r>
    </w:p>
    <w:p w:rsidRPr="00641127" w:rsidR="00B97E6E" w:rsidP="00052E59" w:rsidRDefault="00B97E6E" w14:paraId="35A34622" w14:textId="77777777">
      <w:pPr>
        <w:pStyle w:val="Heading1"/>
      </w:pPr>
      <w:r w:rsidRPr="00641127">
        <w:t>Puerto Rico and U</w:t>
      </w:r>
      <w:r w:rsidR="00A54167">
        <w:t>.</w:t>
      </w:r>
      <w:r w:rsidRPr="00641127">
        <w:t>S</w:t>
      </w:r>
      <w:r w:rsidR="00A54167">
        <w:t>.</w:t>
      </w:r>
      <w:r w:rsidRPr="00641127">
        <w:t xml:space="preserve"> Virgin Islands Emissions Calculations</w:t>
      </w:r>
    </w:p>
    <w:p w:rsidR="00F51B57" w:rsidP="00F51B57" w:rsidRDefault="00F51B57" w14:paraId="696FE715" w14:textId="5457C827">
      <w:pPr>
        <w:spacing w:after="0"/>
        <w:rPr>
          <w:szCs w:val="20"/>
        </w:rPr>
      </w:pPr>
      <w:r w:rsidRPr="003C6C99">
        <w:rPr>
          <w:szCs w:val="20"/>
        </w:rPr>
        <w:t>Since insufficient data exists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 factor.  For each Puerto Rico and US Virgin Island count</w:t>
      </w:r>
      <w:r w:rsidR="00B41652">
        <w:rPr>
          <w:szCs w:val="20"/>
        </w:rPr>
        <w:t>ies</w:t>
      </w:r>
      <w:r w:rsidRPr="003C6C99">
        <w:rPr>
          <w:szCs w:val="20"/>
        </w:rPr>
        <w:t>, the tons per capita emission factor is multiplied by the county population (from the same year as the inventory’s activity data) which serve as the activity data. In these cases, the throughput (activity data) unit and the emissions denominator unit are “EACH”.</w:t>
      </w:r>
    </w:p>
    <w:p w:rsidRPr="003C6C99" w:rsidR="00F51B57" w:rsidP="00F51B57" w:rsidRDefault="00F51B57" w14:paraId="0500FE54" w14:textId="77777777">
      <w:pPr>
        <w:spacing w:after="0"/>
        <w:rPr>
          <w:szCs w:val="20"/>
        </w:rPr>
      </w:pPr>
    </w:p>
    <w:p w:rsidR="00A6061A" w:rsidP="00F51B57" w:rsidRDefault="00BC47F1" w14:paraId="23E2AD5B" w14:textId="51C550D5">
      <w:pPr>
        <w:pStyle w:val="Heading1"/>
        <w:spacing w:after="0"/>
      </w:pPr>
      <w:r w:rsidRPr="00F51B57">
        <w:t>References</w:t>
      </w:r>
    </w:p>
    <w:sectPr w:rsidR="00A6061A" w:rsidSect="007D6365">
      <w:footnotePr>
        <w:numFmt w:val="chicago"/>
      </w:footnotePr>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Pr="005A2CA7" w:rsidR="008C5222" w:rsidP="005A2CA7" w:rsidRDefault="008C5222" w14:paraId="3ABF1C43" w14:textId="77777777">
      <w:pPr>
        <w:pStyle w:val="Footer"/>
      </w:pPr>
    </w:p>
  </w:endnote>
  <w:endnote w:type="continuationSeparator" w:id="0">
    <w:p w:rsidRPr="00D05698" w:rsidR="008C5222" w:rsidP="00D05698" w:rsidRDefault="008C5222" w14:paraId="72323AAF" w14:textId="77777777">
      <w:pPr>
        <w:pStyle w:val="Footer"/>
      </w:pPr>
    </w:p>
  </w:endnote>
  <w:endnote w:type="continuationNotice" w:id="1">
    <w:p w:rsidR="008C5222" w:rsidRDefault="008C5222" w14:paraId="4E4A4CAA" w14:textId="77777777">
      <w:pPr>
        <w:spacing w:after="0"/>
      </w:pPr>
    </w:p>
  </w:endnote>
  <w:endnote w:id="2">
    <w:p w:rsidRPr="009E6CF6" w:rsidR="006C3036" w:rsidP="00437703" w:rsidRDefault="006C3036" w14:paraId="3B919658" w14:textId="4583CA71">
      <w:pPr>
        <w:pStyle w:val="References"/>
      </w:pPr>
      <w:r>
        <w:rPr>
          <w:rStyle w:val="EndnoteReference"/>
        </w:rPr>
        <w:endnoteRef/>
      </w:r>
      <w:r>
        <w:t xml:space="preserve"> U.S. Census Bureau. 201</w:t>
      </w:r>
      <w:r w:rsidR="006D6AB7">
        <w:t>7</w:t>
      </w:r>
      <w:r>
        <w:t xml:space="preserve">. </w:t>
      </w:r>
      <w:r w:rsidRPr="009E6CF6">
        <w:rPr>
          <w:i/>
        </w:rPr>
        <w:t>Value of Construction Put in Place</w:t>
      </w:r>
      <w:r w:rsidRPr="00FD082C">
        <w:t xml:space="preserve">, from </w:t>
      </w:r>
      <w:hyperlink w:history="1" r:id="rId1">
        <w:r w:rsidRPr="00FD082C">
          <w:rPr>
            <w:rStyle w:val="Hyperlink"/>
          </w:rPr>
          <w:t>http://www.census.gov/construction/c30/c30index.html</w:t>
        </w:r>
      </w:hyperlink>
      <w:r w:rsidRPr="00FD082C">
        <w:t>.</w:t>
      </w:r>
    </w:p>
  </w:endnote>
  <w:endnote w:id="3">
    <w:p w:rsidR="006C3036" w:rsidP="00437703" w:rsidRDefault="006C3036" w14:paraId="3525284B" w14:textId="7169C871">
      <w:pPr>
        <w:pStyle w:val="References"/>
      </w:pPr>
      <w:r>
        <w:rPr>
          <w:rStyle w:val="EndnoteReference"/>
        </w:rPr>
        <w:endnoteRef/>
      </w:r>
      <w:r>
        <w:t xml:space="preserve"> </w:t>
      </w:r>
      <w:r w:rsidRPr="00FD082C">
        <w:t>Midwest Research Institute. 1999.</w:t>
      </w:r>
      <w:r w:rsidRPr="00FD082C">
        <w:rPr>
          <w:i/>
        </w:rPr>
        <w:t xml:space="preserve"> Estimating Particulate Matter Emissions from Construction Operations, Final Report</w:t>
      </w:r>
      <w:r>
        <w:rPr>
          <w:i/>
        </w:rPr>
        <w:t>,</w:t>
      </w:r>
      <w:r w:rsidRPr="00FD082C">
        <w:t xml:space="preserve"> prepared for the Emission Factor and Inventory Group, Office of Air Quality Planning and Standards, U.S. </w:t>
      </w:r>
      <w:r>
        <w:t>Environmental Protection Agency</w:t>
      </w:r>
      <w:r w:rsidRPr="00FD082C">
        <w:t>.</w:t>
      </w:r>
      <w:r>
        <w:t xml:space="preserve"> Table 5-2.</w:t>
      </w:r>
      <w:r w:rsidRPr="00FD082C">
        <w:t xml:space="preserve"> </w:t>
      </w:r>
    </w:p>
  </w:endnote>
  <w:endnote w:id="4">
    <w:p w:rsidR="006C3036" w:rsidP="00437703" w:rsidRDefault="006C3036" w14:paraId="567CC443" w14:textId="53DF7B7B">
      <w:pPr>
        <w:pStyle w:val="References"/>
      </w:pPr>
      <w:r>
        <w:rPr>
          <w:rStyle w:val="EndnoteReference"/>
        </w:rPr>
        <w:endnoteRef/>
      </w:r>
      <w:r>
        <w:t xml:space="preserve"> U.S. Census Bureau.</w:t>
      </w:r>
      <w:r w:rsidRPr="00FD082C">
        <w:t xml:space="preserve"> </w:t>
      </w:r>
      <w:r w:rsidRPr="00843C08">
        <w:rPr>
          <w:i/>
        </w:rPr>
        <w:t>Price Deflator (Fisher) Index of New Single</w:t>
      </w:r>
      <w:r w:rsidRPr="00843C08">
        <w:rPr>
          <w:rFonts w:ascii="Cambria Math" w:hAnsi="Cambria Math" w:cs="Cambria Math"/>
          <w:i/>
        </w:rPr>
        <w:t>‐</w:t>
      </w:r>
      <w:r w:rsidRPr="00843C08">
        <w:rPr>
          <w:i/>
        </w:rPr>
        <w:t>Family Houses Under Construction</w:t>
      </w:r>
      <w:r w:rsidRPr="00FD082C">
        <w:t xml:space="preserve">, from </w:t>
      </w:r>
      <w:hyperlink w:history="1" r:id="rId2">
        <w:r w:rsidRPr="00FD082C">
          <w:rPr>
            <w:rStyle w:val="Hyperlink"/>
          </w:rPr>
          <w:t>https://www.census.gov/construction/nrs/pdf/price_uc.pdf</w:t>
        </w:r>
      </w:hyperlink>
      <w:r w:rsidRPr="00FD082C">
        <w:t xml:space="preserve">.  </w:t>
      </w:r>
    </w:p>
  </w:endnote>
  <w:endnote w:id="5">
    <w:p w:rsidR="006C3036" w:rsidP="006D6AB7" w:rsidRDefault="006C3036" w14:paraId="7EB67984" w14:textId="6EC28601">
      <w:pPr>
        <w:pStyle w:val="References"/>
      </w:pPr>
      <w:r>
        <w:rPr>
          <w:rStyle w:val="EndnoteReference"/>
        </w:rPr>
        <w:endnoteRef/>
      </w:r>
      <w:r>
        <w:t xml:space="preserve"> </w:t>
      </w:r>
      <w:r w:rsidRPr="00FD082C">
        <w:t>U.S Census B</w:t>
      </w:r>
      <w:r>
        <w:t>ureau, County Business Patterns. 201</w:t>
      </w:r>
      <w:r w:rsidR="004A4C3F">
        <w:t>6</w:t>
      </w:r>
      <w:bookmarkStart w:name="_GoBack" w:id="4"/>
      <w:bookmarkEnd w:id="4"/>
      <w:r>
        <w:t>.</w:t>
      </w:r>
      <w:r w:rsidRPr="00FD082C">
        <w:t xml:space="preserve"> </w:t>
      </w:r>
      <w:r w:rsidRPr="00FD082C">
        <w:rPr>
          <w:i/>
        </w:rPr>
        <w:t>Complete County File [1</w:t>
      </w:r>
      <w:r w:rsidR="004A4C3F">
        <w:rPr>
          <w:i/>
        </w:rPr>
        <w:t>5.6</w:t>
      </w:r>
      <w:r w:rsidRPr="00FD082C">
        <w:rPr>
          <w:i/>
        </w:rPr>
        <w:t>mb</w:t>
      </w:r>
      <w:r>
        <w:rPr>
          <w:i/>
        </w:rPr>
        <w:t xml:space="preserve"> zip],</w:t>
      </w:r>
      <w:r w:rsidRPr="00FD082C">
        <w:t xml:space="preserve"> from </w:t>
      </w:r>
      <w:hyperlink w:history="1" r:id="rId3">
        <w:r w:rsidR="004A4C3F">
          <w:rPr>
            <w:rStyle w:val="Hyperlink"/>
          </w:rPr>
          <w:t>https://www.census.gov/data/datasets/2016/econ/cbp/2016-cbp.html</w:t>
        </w:r>
      </w:hyperlink>
    </w:p>
  </w:endnote>
  <w:endnote w:id="6">
    <w:p w:rsidR="006C3036" w:rsidP="00437703" w:rsidRDefault="006C3036" w14:paraId="1F2149B8" w14:textId="06755784">
      <w:pPr>
        <w:pStyle w:val="References"/>
      </w:pPr>
      <w:r>
        <w:rPr>
          <w:rStyle w:val="EndnoteReference"/>
        </w:rPr>
        <w:endnoteRef/>
      </w:r>
      <w:r>
        <w:t xml:space="preserve"> </w:t>
      </w:r>
      <w:r w:rsidRPr="003C6C99">
        <w:t>Midwest Research Institute.</w:t>
      </w:r>
      <w:r>
        <w:t xml:space="preserve"> 1996.</w:t>
      </w:r>
      <w:r w:rsidRPr="003C6C99">
        <w:t xml:space="preserve"> </w:t>
      </w:r>
      <w:r w:rsidRPr="000C7CE8">
        <w:rPr>
          <w:i/>
        </w:rPr>
        <w:t>Improvement of Specific Emission Factors (BACM Project No. 1).</w:t>
      </w:r>
      <w:r>
        <w:t xml:space="preserve"> Prepared for </w:t>
      </w:r>
      <w:r w:rsidRPr="003C6C99">
        <w:t>South Coast Air Quality Management District.</w:t>
      </w:r>
    </w:p>
  </w:endnote>
  <w:endnote w:id="7">
    <w:p w:rsidR="006C3036" w:rsidP="00437703" w:rsidRDefault="006C3036" w14:paraId="661CD579" w14:textId="2E060208">
      <w:pPr>
        <w:pStyle w:val="References"/>
      </w:pPr>
      <w:r>
        <w:rPr>
          <w:rStyle w:val="EndnoteReference"/>
        </w:rPr>
        <w:endnoteRef/>
      </w:r>
      <w:r>
        <w:t xml:space="preserve"> </w:t>
      </w:r>
      <w:r>
        <w:rPr>
          <w:color w:val="000000"/>
        </w:rPr>
        <w:t xml:space="preserve">U.S. Department of Agriculture. </w:t>
      </w:r>
      <w:r w:rsidRPr="00437703">
        <w:rPr>
          <w:i/>
          <w:color w:val="000000"/>
        </w:rPr>
        <w:t>National Cooperative Soil Survey, NCSS Microsoft Access Soil Characterization Database</w:t>
      </w:r>
      <w:r w:rsidRPr="003C6C99">
        <w:rPr>
          <w:color w:val="000000"/>
        </w:rPr>
        <w:t xml:space="preserve">, from </w:t>
      </w:r>
      <w:hyperlink w:history="1" r:id="rId4">
        <w:r w:rsidRPr="003C6C99">
          <w:rPr>
            <w:rStyle w:val="Hyperlink"/>
          </w:rPr>
          <w:t>http://ncsslabdatamart.sc.egov.usda.gov/</w:t>
        </w:r>
      </w:hyperlink>
      <w:r>
        <w:t>.</w:t>
      </w:r>
    </w:p>
    <w:p w:rsidR="006C3036" w:rsidP="00437703" w:rsidRDefault="006C3036" w14:paraId="1A93C00F" w14:textId="207CE0AD">
      <w:pPr>
        <w:pStyle w:val="References"/>
      </w:pPr>
      <w:r w:rsidRPr="006023E4">
        <w:rPr>
          <w:vertAlign w:val="superscript"/>
        </w:rPr>
        <w:t>7</w:t>
      </w:r>
      <w:r>
        <w:t xml:space="preserve"> </w:t>
      </w:r>
      <w:r w:rsidRPr="003C6C99">
        <w:t>Midwest Research Institute.</w:t>
      </w:r>
      <w:r>
        <w:t xml:space="preserve"> 2006. Background Document for Revisions to Find Fraction Ratios Used for AP-42 Fugitive Dust Emissions Factors. Prepared for Wester Governors ‘Association. From </w:t>
      </w:r>
      <w:hyperlink w:history="1" r:id="rId5">
        <w:r w:rsidRPr="009048D0">
          <w:rPr>
            <w:rStyle w:val="Hyperlink"/>
          </w:rPr>
          <w:t>https://www3.epa.gov/ttnchie1/ap42/ch13/bgdocs/b13s02.pdf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222" w:rsidP="005A2CA7" w:rsidRDefault="008C5222" w14:paraId="345DD53C" w14:textId="77777777">
      <w:r>
        <w:separator/>
      </w:r>
    </w:p>
  </w:footnote>
  <w:footnote w:type="continuationSeparator" w:id="0">
    <w:p w:rsidR="008C5222" w:rsidP="005A2CA7" w:rsidRDefault="008C5222" w14:paraId="7D000CFF" w14:textId="77777777">
      <w:r>
        <w:continuationSeparator/>
      </w:r>
    </w:p>
  </w:footnote>
  <w:footnote w:id="1">
    <w:p w:rsidR="00A722F3" w:rsidRDefault="00A722F3" w14:paraId="1E7E65C1" w14:textId="69011C66">
      <w:pPr>
        <w:pStyle w:val="FootnoteText"/>
      </w:pPr>
      <w:r>
        <w:rPr>
          <w:rStyle w:val="FootnoteReference"/>
        </w:rPr>
        <w:footnoteRef/>
      </w:r>
      <w:r>
        <w:t xml:space="preserve"> </w:t>
      </w:r>
      <w:r w:rsidRPr="00302C33">
        <w:t>Note that this definition is different than the U.S. Environmental Protection Agency’s definition that includes all particles (mass basis) of diameter smaller than 75 micrometers.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B47BE"/>
    <w:multiLevelType w:val="hybridMultilevel"/>
    <w:tmpl w:val="730880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80E7E"/>
    <w:multiLevelType w:val="hybridMultilevel"/>
    <w:tmpl w:val="3402B50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93FF1"/>
    <w:multiLevelType w:val="hybridMultilevel"/>
    <w:tmpl w:val="7682D70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AA1BA4"/>
    <w:multiLevelType w:val="hybridMultilevel"/>
    <w:tmpl w:val="B2C009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68FA"/>
    <w:multiLevelType w:val="hybridMultilevel"/>
    <w:tmpl w:val="B2C009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77F3"/>
    <w:multiLevelType w:val="hybridMultilevel"/>
    <w:tmpl w:val="17264D02"/>
    <w:lvl w:ilvl="0" w:tplc="DCF419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E3933"/>
    <w:multiLevelType w:val="hybridMultilevel"/>
    <w:tmpl w:val="34A2B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97C59"/>
    <w:multiLevelType w:val="hybridMultilevel"/>
    <w:tmpl w:val="4638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1C59"/>
    <w:multiLevelType w:val="hybridMultilevel"/>
    <w:tmpl w:val="28BC311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064E6"/>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321916"/>
    <w:multiLevelType w:val="hybridMultilevel"/>
    <w:tmpl w:val="FF72767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9666A"/>
    <w:multiLevelType w:val="hybridMultilevel"/>
    <w:tmpl w:val="77CA1B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7"/>
  </w:num>
  <w:num w:numId="4">
    <w:abstractNumId w:val="14"/>
  </w:num>
  <w:num w:numId="5">
    <w:abstractNumId w:val="3"/>
  </w:num>
  <w:num w:numId="6">
    <w:abstractNumId w:val="18"/>
  </w:num>
  <w:num w:numId="7">
    <w:abstractNumId w:val="26"/>
  </w:num>
  <w:num w:numId="8">
    <w:abstractNumId w:val="25"/>
  </w:num>
  <w:num w:numId="9">
    <w:abstractNumId w:val="21"/>
  </w:num>
  <w:num w:numId="10">
    <w:abstractNumId w:val="23"/>
  </w:num>
  <w:num w:numId="11">
    <w:abstractNumId w:val="13"/>
  </w:num>
  <w:num w:numId="12">
    <w:abstractNumId w:val="10"/>
  </w:num>
  <w:num w:numId="13">
    <w:abstractNumId w:val="5"/>
  </w:num>
  <w:num w:numId="14">
    <w:abstractNumId w:val="1"/>
  </w:num>
  <w:num w:numId="15">
    <w:abstractNumId w:val="24"/>
  </w:num>
  <w:num w:numId="16">
    <w:abstractNumId w:val="15"/>
  </w:num>
  <w:num w:numId="17">
    <w:abstractNumId w:val="0"/>
  </w:num>
  <w:num w:numId="18">
    <w:abstractNumId w:val="11"/>
  </w:num>
  <w:num w:numId="19">
    <w:abstractNumId w:val="16"/>
  </w:num>
  <w:num w:numId="20">
    <w:abstractNumId w:val="20"/>
  </w:num>
  <w:num w:numId="21">
    <w:abstractNumId w:val="8"/>
  </w:num>
  <w:num w:numId="22">
    <w:abstractNumId w:val="9"/>
  </w:num>
  <w:num w:numId="23">
    <w:abstractNumId w:val="27"/>
  </w:num>
  <w:num w:numId="24">
    <w:abstractNumId w:val="19"/>
  </w:num>
  <w:num w:numId="25">
    <w:abstractNumId w:val="4"/>
  </w:num>
  <w:num w:numId="26">
    <w:abstractNumId w:val="6"/>
  </w:num>
  <w:num w:numId="27">
    <w:abstractNumId w:val="17"/>
  </w:num>
  <w:num w:numId="28">
    <w:abstractNumId w:val="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9E"/>
    <w:rsid w:val="00010E6C"/>
    <w:rsid w:val="00016464"/>
    <w:rsid w:val="00024A94"/>
    <w:rsid w:val="0003373D"/>
    <w:rsid w:val="00052E59"/>
    <w:rsid w:val="00060A69"/>
    <w:rsid w:val="00073181"/>
    <w:rsid w:val="00083DA8"/>
    <w:rsid w:val="00091662"/>
    <w:rsid w:val="000C0667"/>
    <w:rsid w:val="000C7CE8"/>
    <w:rsid w:val="00157738"/>
    <w:rsid w:val="00172D7B"/>
    <w:rsid w:val="00186E1E"/>
    <w:rsid w:val="001A09E7"/>
    <w:rsid w:val="001A19EB"/>
    <w:rsid w:val="001C474D"/>
    <w:rsid w:val="001D6A38"/>
    <w:rsid w:val="002005B7"/>
    <w:rsid w:val="00200EE8"/>
    <w:rsid w:val="002375F1"/>
    <w:rsid w:val="00274DC7"/>
    <w:rsid w:val="00280860"/>
    <w:rsid w:val="0028323D"/>
    <w:rsid w:val="002958BB"/>
    <w:rsid w:val="002D0E4F"/>
    <w:rsid w:val="002D1824"/>
    <w:rsid w:val="002D5E9B"/>
    <w:rsid w:val="002E5ADD"/>
    <w:rsid w:val="003165C3"/>
    <w:rsid w:val="0033702E"/>
    <w:rsid w:val="00340DAC"/>
    <w:rsid w:val="00343E1D"/>
    <w:rsid w:val="003478A9"/>
    <w:rsid w:val="00387957"/>
    <w:rsid w:val="003933F5"/>
    <w:rsid w:val="003D38C0"/>
    <w:rsid w:val="003D471D"/>
    <w:rsid w:val="003E35AF"/>
    <w:rsid w:val="003F3D3C"/>
    <w:rsid w:val="00402D36"/>
    <w:rsid w:val="00433E3C"/>
    <w:rsid w:val="00437703"/>
    <w:rsid w:val="0044447B"/>
    <w:rsid w:val="00454AD5"/>
    <w:rsid w:val="004A1B25"/>
    <w:rsid w:val="004A4C3F"/>
    <w:rsid w:val="004B0DDF"/>
    <w:rsid w:val="004E1CBE"/>
    <w:rsid w:val="004E5DDA"/>
    <w:rsid w:val="00520411"/>
    <w:rsid w:val="0056502F"/>
    <w:rsid w:val="00576E8A"/>
    <w:rsid w:val="0058616C"/>
    <w:rsid w:val="005A2CA7"/>
    <w:rsid w:val="005C461B"/>
    <w:rsid w:val="005D1A42"/>
    <w:rsid w:val="006023E4"/>
    <w:rsid w:val="00621967"/>
    <w:rsid w:val="00641FAE"/>
    <w:rsid w:val="00646D28"/>
    <w:rsid w:val="00654A57"/>
    <w:rsid w:val="00672A9B"/>
    <w:rsid w:val="00676FE8"/>
    <w:rsid w:val="00697D2A"/>
    <w:rsid w:val="006B3338"/>
    <w:rsid w:val="006C3036"/>
    <w:rsid w:val="006D6AB7"/>
    <w:rsid w:val="006F5441"/>
    <w:rsid w:val="007028D8"/>
    <w:rsid w:val="00705DD0"/>
    <w:rsid w:val="0071346C"/>
    <w:rsid w:val="00742035"/>
    <w:rsid w:val="00746920"/>
    <w:rsid w:val="0075019B"/>
    <w:rsid w:val="007614AA"/>
    <w:rsid w:val="007660D8"/>
    <w:rsid w:val="00770E9B"/>
    <w:rsid w:val="00780F50"/>
    <w:rsid w:val="007818A7"/>
    <w:rsid w:val="00784A58"/>
    <w:rsid w:val="007C3960"/>
    <w:rsid w:val="007D6365"/>
    <w:rsid w:val="007E28CD"/>
    <w:rsid w:val="007F53C1"/>
    <w:rsid w:val="00805C15"/>
    <w:rsid w:val="00824E07"/>
    <w:rsid w:val="00837710"/>
    <w:rsid w:val="00843C08"/>
    <w:rsid w:val="00857896"/>
    <w:rsid w:val="00873FFC"/>
    <w:rsid w:val="008810A9"/>
    <w:rsid w:val="008A3282"/>
    <w:rsid w:val="008A3679"/>
    <w:rsid w:val="008B177F"/>
    <w:rsid w:val="008C5222"/>
    <w:rsid w:val="008E1A37"/>
    <w:rsid w:val="008E2445"/>
    <w:rsid w:val="008F12D8"/>
    <w:rsid w:val="008F64E2"/>
    <w:rsid w:val="00905B76"/>
    <w:rsid w:val="00944444"/>
    <w:rsid w:val="0097139E"/>
    <w:rsid w:val="009725BC"/>
    <w:rsid w:val="0097551A"/>
    <w:rsid w:val="00986448"/>
    <w:rsid w:val="009944E8"/>
    <w:rsid w:val="009A3FCC"/>
    <w:rsid w:val="009B4212"/>
    <w:rsid w:val="009C0F97"/>
    <w:rsid w:val="009D22C4"/>
    <w:rsid w:val="009E6CF6"/>
    <w:rsid w:val="009F43D7"/>
    <w:rsid w:val="009F5C98"/>
    <w:rsid w:val="00A254EC"/>
    <w:rsid w:val="00A329DA"/>
    <w:rsid w:val="00A4319E"/>
    <w:rsid w:val="00A54167"/>
    <w:rsid w:val="00A6061A"/>
    <w:rsid w:val="00A722F3"/>
    <w:rsid w:val="00A84DAA"/>
    <w:rsid w:val="00AA11E1"/>
    <w:rsid w:val="00AA4E47"/>
    <w:rsid w:val="00AA771E"/>
    <w:rsid w:val="00AB23B5"/>
    <w:rsid w:val="00AD70B8"/>
    <w:rsid w:val="00AE30FA"/>
    <w:rsid w:val="00AE6CC9"/>
    <w:rsid w:val="00AF1787"/>
    <w:rsid w:val="00B24CB0"/>
    <w:rsid w:val="00B259AF"/>
    <w:rsid w:val="00B302A4"/>
    <w:rsid w:val="00B32469"/>
    <w:rsid w:val="00B41652"/>
    <w:rsid w:val="00B81885"/>
    <w:rsid w:val="00B97E6E"/>
    <w:rsid w:val="00BC0EAA"/>
    <w:rsid w:val="00BC47F1"/>
    <w:rsid w:val="00BD21A4"/>
    <w:rsid w:val="00BD61EA"/>
    <w:rsid w:val="00BE0480"/>
    <w:rsid w:val="00BE463B"/>
    <w:rsid w:val="00BE7521"/>
    <w:rsid w:val="00BF6644"/>
    <w:rsid w:val="00C024F9"/>
    <w:rsid w:val="00C2093D"/>
    <w:rsid w:val="00C52E5D"/>
    <w:rsid w:val="00C80050"/>
    <w:rsid w:val="00C900AF"/>
    <w:rsid w:val="00CA6FB5"/>
    <w:rsid w:val="00CA76F8"/>
    <w:rsid w:val="00D05698"/>
    <w:rsid w:val="00D360C1"/>
    <w:rsid w:val="00D63432"/>
    <w:rsid w:val="00D7323D"/>
    <w:rsid w:val="00D74764"/>
    <w:rsid w:val="00DA1272"/>
    <w:rsid w:val="00DF0B38"/>
    <w:rsid w:val="00DF4A70"/>
    <w:rsid w:val="00E10956"/>
    <w:rsid w:val="00E12236"/>
    <w:rsid w:val="00E210F7"/>
    <w:rsid w:val="00E267BB"/>
    <w:rsid w:val="00E438D7"/>
    <w:rsid w:val="00E576D3"/>
    <w:rsid w:val="00E61631"/>
    <w:rsid w:val="00E61A28"/>
    <w:rsid w:val="00E7492B"/>
    <w:rsid w:val="00E83425"/>
    <w:rsid w:val="00E91F7F"/>
    <w:rsid w:val="00E95198"/>
    <w:rsid w:val="00EC0C41"/>
    <w:rsid w:val="00ED0BEB"/>
    <w:rsid w:val="00ED598D"/>
    <w:rsid w:val="00EE0E08"/>
    <w:rsid w:val="00EE7076"/>
    <w:rsid w:val="00EE7CB6"/>
    <w:rsid w:val="00EF4865"/>
    <w:rsid w:val="00F06469"/>
    <w:rsid w:val="00F1596A"/>
    <w:rsid w:val="00F33727"/>
    <w:rsid w:val="00F33E46"/>
    <w:rsid w:val="00F45A30"/>
    <w:rsid w:val="00F51B57"/>
    <w:rsid w:val="00F65ACC"/>
    <w:rsid w:val="00F71199"/>
    <w:rsid w:val="00F963A6"/>
    <w:rsid w:val="00FA6A41"/>
    <w:rsid w:val="00FB02D3"/>
    <w:rsid w:val="00FC5CC7"/>
    <w:rsid w:val="00FC605F"/>
    <w:rsid w:val="00FE01A4"/>
    <w:rsid w:val="00FE02FD"/>
    <w:rsid w:val="00FE7F5B"/>
    <w:rsid w:val="00FF2F0E"/>
    <w:rsid w:val="5048B501"/>
    <w:rsid w:val="6CE2D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E2B45B6A-157F-4901-B6A6-5F23F2DEB7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hAnsi="Arial" w:eastAsiaTheme="majorEastAsia" w:cstheme="majorBidi"/>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styleId="FootnoteTextChar" w:customStyle="1">
    <w:name w:val="Footnote Text Char"/>
    <w:basedOn w:val="DefaultParagraphFont"/>
    <w:link w:val="FootnoteText"/>
    <w:uiPriority w:val="99"/>
    <w:semiHidden/>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styleId="CommentTextChar" w:customStyle="1">
    <w:name w:val="Comment Text Char"/>
    <w:basedOn w:val="DefaultParagraphFont"/>
    <w:link w:val="CommentText"/>
    <w:uiPriority w:val="99"/>
    <w:semiHidden/>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Footer">
    <w:name w:val="footer"/>
    <w:basedOn w:val="Normal"/>
    <w:link w:val="FooterChar"/>
    <w:uiPriority w:val="99"/>
    <w:semiHidden/>
    <w:unhideWhenUsed/>
    <w:rsid w:val="005A2CA7"/>
    <w:pPr>
      <w:tabs>
        <w:tab w:val="center" w:pos="4680"/>
        <w:tab w:val="right" w:pos="9360"/>
      </w:tabs>
    </w:pPr>
  </w:style>
  <w:style w:type="character" w:styleId="FooterChar" w:customStyle="1">
    <w:name w:val="Footer Char"/>
    <w:basedOn w:val="DefaultParagraphFont"/>
    <w:link w:val="Footer"/>
    <w:uiPriority w:val="99"/>
    <w:semiHidden/>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6832">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s>
</file>

<file path=word/_rels/endnotes.xml.rels><?xml version="1.0" encoding="UTF-8" standalone="yes"?>
<Relationships xmlns="http://schemas.openxmlformats.org/package/2006/relationships"><Relationship Id="rId3" Type="http://schemas.openxmlformats.org/officeDocument/2006/relationships/hyperlink" Target="https://www.census.gov/data/datasets/2016/econ/cbp/2016-cbp.html" TargetMode="External"/><Relationship Id="rId2" Type="http://schemas.openxmlformats.org/officeDocument/2006/relationships/hyperlink" Target="https://www.census.gov/construction/nrs/pdf/price_uc.pdf" TargetMode="External"/><Relationship Id="rId1" Type="http://schemas.openxmlformats.org/officeDocument/2006/relationships/hyperlink" Target="http://www.census.gov/construction/c30/c30index.html" TargetMode="External"/><Relationship Id="rId5" Type="http://schemas.openxmlformats.org/officeDocument/2006/relationships/hyperlink" Target="https://www3.epa.gov/ttnchie1/ap42/ch13/bgdocs/b13s02.pdf" TargetMode="External"/><Relationship Id="rId4" Type="http://schemas.openxmlformats.org/officeDocument/2006/relationships/hyperlink" Target="http://ncsslabdatamart.sc.egov.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28AD-E1ED-4BE2-972F-B8D5EF60D3E6}"/>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4.xml><?xml version="1.0" encoding="utf-8"?>
<ds:datastoreItem xmlns:ds="http://schemas.openxmlformats.org/officeDocument/2006/customXml" ds:itemID="{8320840A-CB90-4B4C-BB34-4F22FEDE0888}">
  <ds:schemaRefs>
    <ds:schemaRef ds:uri="http://purl.org/dc/elements/1.1/"/>
    <ds:schemaRef ds:uri="http://schemas.microsoft.com/sharepoint.v3"/>
    <ds:schemaRef ds:uri="http://purl.org/dc/dcmitype/"/>
    <ds:schemaRef ds:uri="http://schemas.microsoft.com/sharepoint/v3"/>
    <ds:schemaRef ds:uri="http://schemas.microsoft.com/sharepoint/v3/fields"/>
    <ds:schemaRef ds:uri="http://schemas.microsoft.com/office/infopath/2007/PartnerControls"/>
    <ds:schemaRef ds:uri="http://www.w3.org/XML/1998/namespace"/>
    <ds:schemaRef ds:uri="http://schemas.openxmlformats.org/package/2006/metadata/core-properties"/>
    <ds:schemaRef ds:uri="http://purl.org/dc/terms/"/>
    <ds:schemaRef ds:uri="eae1606c-bbef-499f-bb66-c2dbf02f8e2b"/>
    <ds:schemaRef ds:uri="http://schemas.microsoft.com/office/2006/documentManagement/types"/>
    <ds:schemaRef ds:uri="7d8dd676-26ca-4e08-b90f-b4e0026a58ac"/>
    <ds:schemaRef ds:uri="4ffa91fb-a0ff-4ac5-b2db-65c790d184a4"/>
    <ds:schemaRef ds:uri="http://schemas.microsoft.com/office/2006/metadata/properties"/>
  </ds:schemaRefs>
</ds:datastoreItem>
</file>

<file path=customXml/itemProps5.xml><?xml version="1.0" encoding="utf-8"?>
<ds:datastoreItem xmlns:ds="http://schemas.openxmlformats.org/officeDocument/2006/customXml" ds:itemID="{BBE27410-3F53-4AC4-AE5D-240E00C0BB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Cooley</dc:creator>
  <lastModifiedBy>Hannah Derrick</lastModifiedBy>
  <revision>6</revision>
  <dcterms:created xsi:type="dcterms:W3CDTF">2020-04-03T01:10:00.0000000Z</dcterms:created>
  <dcterms:modified xsi:type="dcterms:W3CDTF">2020-04-05T22:53:22.3918107Z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