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56B6" w14:textId="77777777" w:rsidR="00D9363D" w:rsidRDefault="00000000" w:rsidP="00586D5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object w:dxaOrig="1440" w:dyaOrig="1440" w14:anchorId="6D468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162pt;margin-top:-9pt;width:87.1pt;height:34.1pt;z-index:251658240">
            <v:imagedata r:id="rId8" o:title=""/>
            <w10:wrap type="square"/>
          </v:shape>
          <o:OLEObject Type="Embed" ProgID="Word.Picture.8" ShapeID="_x0000_s2054" DrawAspect="Content" ObjectID="_1800172433" r:id="rId9"/>
        </w:object>
      </w:r>
    </w:p>
    <w:p w14:paraId="5D3E6DD7" w14:textId="77777777" w:rsidR="00D9363D" w:rsidRPr="00D9363D" w:rsidRDefault="00D9363D" w:rsidP="00D9363D">
      <w:pPr>
        <w:rPr>
          <w:rFonts w:ascii="Times New Roman" w:hAnsi="Times New Roman"/>
        </w:rPr>
      </w:pPr>
    </w:p>
    <w:p w14:paraId="3F08B655" w14:textId="77777777" w:rsidR="00E00854" w:rsidRDefault="00E00854" w:rsidP="00D9363D">
      <w:pPr>
        <w:rPr>
          <w:rFonts w:ascii="Times New Roman" w:hAnsi="Times New Roman"/>
          <w:b/>
        </w:rPr>
      </w:pPr>
    </w:p>
    <w:p w14:paraId="4C47C3EE" w14:textId="2E96F646" w:rsidR="00D9363D" w:rsidRPr="00D9363D" w:rsidRDefault="00D9363D" w:rsidP="00D9363D">
      <w:pPr>
        <w:rPr>
          <w:rFonts w:ascii="Times New Roman" w:hAnsi="Times New Roman"/>
          <w:b/>
        </w:rPr>
      </w:pPr>
      <w:r w:rsidRPr="00D9363D">
        <w:rPr>
          <w:rFonts w:ascii="Times New Roman" w:hAnsi="Times New Roman"/>
          <w:b/>
        </w:rPr>
        <w:t>MEMORANDUM</w:t>
      </w:r>
    </w:p>
    <w:p w14:paraId="78344E42" w14:textId="77777777" w:rsidR="00D9363D" w:rsidRPr="00D9363D" w:rsidRDefault="00D9363D" w:rsidP="00D9363D">
      <w:pPr>
        <w:rPr>
          <w:rFonts w:ascii="Times New Roman" w:hAnsi="Times New Roman"/>
        </w:rPr>
      </w:pPr>
    </w:p>
    <w:p w14:paraId="255717EF" w14:textId="77777777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/>
        </w:rPr>
        <w:t xml:space="preserve">TO: </w:t>
      </w:r>
      <w:r w:rsidRPr="001C7885"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Cs/>
        </w:rPr>
        <w:t>Jeffrey Vukovich, U.S. EPA</w:t>
      </w:r>
    </w:p>
    <w:p w14:paraId="193DFE53" w14:textId="4EFDA487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Cs/>
        </w:rPr>
        <w:tab/>
      </w:r>
      <w:r w:rsidRPr="001C7885">
        <w:rPr>
          <w:rFonts w:ascii="Times New Roman" w:hAnsi="Times New Roman"/>
          <w:bCs/>
        </w:rPr>
        <w:tab/>
        <w:t>Alison Eyth, U.S. EPA</w:t>
      </w:r>
    </w:p>
    <w:p w14:paraId="7A52691A" w14:textId="10CACBEB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Cs/>
        </w:rPr>
        <w:tab/>
      </w:r>
      <w:r w:rsidRPr="001C7885">
        <w:rPr>
          <w:rFonts w:ascii="Times New Roman" w:hAnsi="Times New Roman"/>
          <w:bCs/>
        </w:rPr>
        <w:tab/>
        <w:t>Janice Godfrey, U.S. EPA</w:t>
      </w:r>
    </w:p>
    <w:p w14:paraId="4696F811" w14:textId="4CAFD6A8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/>
        </w:rPr>
        <w:t>FROM:</w:t>
      </w:r>
      <w:r w:rsidRPr="001C788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Cs/>
        </w:rPr>
        <w:t>Mike Pring, Eastern Research Group, Inc. (ERG)</w:t>
      </w:r>
    </w:p>
    <w:p w14:paraId="28B77420" w14:textId="0E2F6E87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Cs/>
        </w:rPr>
        <w:tab/>
      </w:r>
      <w:r w:rsidRPr="001C7885">
        <w:rPr>
          <w:rFonts w:ascii="Times New Roman" w:hAnsi="Times New Roman"/>
          <w:bCs/>
        </w:rPr>
        <w:tab/>
        <w:t>Regi Oommen, ERG</w:t>
      </w:r>
    </w:p>
    <w:p w14:paraId="042B1B9C" w14:textId="4BFBD495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/>
        </w:rPr>
        <w:t xml:space="preserve">DATE: </w:t>
      </w:r>
      <w:r w:rsidRPr="001C788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56153">
        <w:rPr>
          <w:rFonts w:ascii="Times New Roman" w:hAnsi="Times New Roman"/>
          <w:bCs/>
        </w:rPr>
        <w:t>January 28</w:t>
      </w:r>
      <w:r w:rsidRPr="001C7885">
        <w:rPr>
          <w:rFonts w:ascii="Times New Roman" w:hAnsi="Times New Roman"/>
          <w:bCs/>
        </w:rPr>
        <w:t>, 202</w:t>
      </w:r>
      <w:r w:rsidR="00356153">
        <w:rPr>
          <w:rFonts w:ascii="Times New Roman" w:hAnsi="Times New Roman"/>
          <w:bCs/>
        </w:rPr>
        <w:t>5</w:t>
      </w:r>
    </w:p>
    <w:p w14:paraId="1604E7E4" w14:textId="7268ABCB" w:rsidR="00D9363D" w:rsidRPr="001C7885" w:rsidRDefault="00D9363D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/>
        </w:rPr>
      </w:pPr>
      <w:r w:rsidRPr="00BF55EB">
        <w:rPr>
          <w:rFonts w:ascii="Times New Roman" w:hAnsi="Times New Roman"/>
          <w:b/>
        </w:rPr>
        <w:t>SUBJECT</w:t>
      </w:r>
      <w:r w:rsidRPr="00BF55EB">
        <w:rPr>
          <w:rFonts w:ascii="Times New Roman" w:hAnsi="Times New Roman"/>
        </w:rPr>
        <w:t>:</w:t>
      </w:r>
      <w:r w:rsidRPr="00BF55EB">
        <w:rPr>
          <w:rFonts w:ascii="Times New Roman" w:hAnsi="Times New Roman"/>
        </w:rPr>
        <w:tab/>
      </w:r>
      <w:r w:rsidR="00B77B7F" w:rsidRPr="00BF55EB">
        <w:rPr>
          <w:rFonts w:ascii="Times New Roman" w:hAnsi="Times New Roman"/>
        </w:rPr>
        <w:t xml:space="preserve">Analysis of </w:t>
      </w:r>
      <w:r w:rsidR="00FB3036" w:rsidRPr="00BF55EB">
        <w:rPr>
          <w:rFonts w:ascii="Times New Roman" w:hAnsi="Times New Roman"/>
        </w:rPr>
        <w:t xml:space="preserve">GHGRP </w:t>
      </w:r>
      <w:r w:rsidR="001C7885">
        <w:rPr>
          <w:rFonts w:ascii="Times New Roman" w:hAnsi="Times New Roman"/>
        </w:rPr>
        <w:t>D</w:t>
      </w:r>
      <w:r w:rsidR="00FB3036" w:rsidRPr="00BF55EB">
        <w:rPr>
          <w:rFonts w:ascii="Times New Roman" w:hAnsi="Times New Roman"/>
        </w:rPr>
        <w:t>ata</w:t>
      </w:r>
      <w:r w:rsidR="00B77B7F" w:rsidRPr="00BF55EB">
        <w:rPr>
          <w:rFonts w:ascii="Times New Roman" w:hAnsi="Times New Roman"/>
        </w:rPr>
        <w:t xml:space="preserve"> </w:t>
      </w:r>
      <w:r w:rsidR="004015D0">
        <w:rPr>
          <w:rFonts w:ascii="Times New Roman" w:hAnsi="Times New Roman"/>
        </w:rPr>
        <w:t>t</w:t>
      </w:r>
      <w:r w:rsidR="004369C8" w:rsidRPr="00BF55EB">
        <w:rPr>
          <w:rFonts w:ascii="Times New Roman" w:hAnsi="Times New Roman"/>
        </w:rPr>
        <w:t>o</w:t>
      </w:r>
      <w:r w:rsidR="00FB3036" w:rsidRPr="00BF55EB">
        <w:rPr>
          <w:rFonts w:ascii="Times New Roman" w:hAnsi="Times New Roman"/>
        </w:rPr>
        <w:t xml:space="preserve"> </w:t>
      </w:r>
      <w:r w:rsidR="001C7885">
        <w:rPr>
          <w:rFonts w:ascii="Times New Roman" w:hAnsi="Times New Roman"/>
        </w:rPr>
        <w:t>E</w:t>
      </w:r>
      <w:r w:rsidR="00FB3036" w:rsidRPr="00BF55EB">
        <w:rPr>
          <w:rFonts w:ascii="Times New Roman" w:hAnsi="Times New Roman"/>
        </w:rPr>
        <w:t>stimat</w:t>
      </w:r>
      <w:r w:rsidR="004369C8" w:rsidRPr="00BF55EB">
        <w:rPr>
          <w:rFonts w:ascii="Times New Roman" w:hAnsi="Times New Roman"/>
        </w:rPr>
        <w:t>e</w:t>
      </w:r>
      <w:r w:rsidR="001C7885">
        <w:rPr>
          <w:rFonts w:ascii="Times New Roman" w:hAnsi="Times New Roman"/>
        </w:rPr>
        <w:t xml:space="preserve"> 202</w:t>
      </w:r>
      <w:r w:rsidR="00356153">
        <w:rPr>
          <w:rFonts w:ascii="Times New Roman" w:hAnsi="Times New Roman"/>
        </w:rPr>
        <w:t>3</w:t>
      </w:r>
      <w:r w:rsidR="00FB3036">
        <w:rPr>
          <w:rFonts w:ascii="Times New Roman" w:hAnsi="Times New Roman"/>
        </w:rPr>
        <w:t xml:space="preserve"> </w:t>
      </w:r>
      <w:r w:rsidR="001C7885">
        <w:rPr>
          <w:rFonts w:ascii="Times New Roman" w:hAnsi="Times New Roman"/>
        </w:rPr>
        <w:t>B</w:t>
      </w:r>
      <w:r w:rsidR="00FB3036">
        <w:rPr>
          <w:rFonts w:ascii="Times New Roman" w:hAnsi="Times New Roman"/>
        </w:rPr>
        <w:t xml:space="preserve">lowdown </w:t>
      </w:r>
      <w:r w:rsidR="001C7885">
        <w:rPr>
          <w:rFonts w:ascii="Times New Roman" w:hAnsi="Times New Roman"/>
        </w:rPr>
        <w:t>E</w:t>
      </w:r>
      <w:r w:rsidR="00FB3036">
        <w:rPr>
          <w:rFonts w:ascii="Times New Roman" w:hAnsi="Times New Roman"/>
        </w:rPr>
        <w:t>missions</w:t>
      </w:r>
    </w:p>
    <w:p w14:paraId="5540E52D" w14:textId="4F9AF50B" w:rsidR="004206B8" w:rsidRPr="00D203BD" w:rsidRDefault="000E7EC3" w:rsidP="00335C3D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The purpose of this memo is to summarize </w:t>
      </w:r>
      <w:r w:rsidR="00370817">
        <w:rPr>
          <w:rFonts w:ascii="Times New Roman" w:hAnsi="Times New Roman"/>
          <w:color w:val="000000"/>
          <w:spacing w:val="-3"/>
          <w:w w:val="105"/>
        </w:rPr>
        <w:t>an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370817">
        <w:rPr>
          <w:rFonts w:ascii="Times New Roman" w:hAnsi="Times New Roman"/>
          <w:color w:val="000000"/>
          <w:spacing w:val="-3"/>
          <w:w w:val="105"/>
        </w:rPr>
        <w:t xml:space="preserve">analysis of </w:t>
      </w:r>
      <w:r w:rsidR="00FB3036">
        <w:rPr>
          <w:rFonts w:ascii="Times New Roman" w:hAnsi="Times New Roman"/>
          <w:color w:val="000000"/>
          <w:spacing w:val="-3"/>
          <w:w w:val="105"/>
        </w:rPr>
        <w:t xml:space="preserve">US EPA Greenhouse Gas Reporting 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>Program (GHGRP)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 xml:space="preserve"> data to 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>develop nonpoint oil and gas blowdown emission estimates for</w:t>
      </w:r>
      <w:r w:rsidR="004015D0">
        <w:rPr>
          <w:rFonts w:ascii="Times New Roman" w:hAnsi="Times New Roman"/>
          <w:color w:val="000000"/>
          <w:spacing w:val="-3"/>
          <w:w w:val="105"/>
        </w:rPr>
        <w:t xml:space="preserve"> 202</w:t>
      </w:r>
      <w:r w:rsidR="00356153">
        <w:rPr>
          <w:rFonts w:ascii="Times New Roman" w:hAnsi="Times New Roman"/>
          <w:color w:val="000000"/>
          <w:spacing w:val="-3"/>
          <w:w w:val="105"/>
        </w:rPr>
        <w:t>3</w:t>
      </w:r>
      <w:r w:rsidR="004015D0">
        <w:rPr>
          <w:rFonts w:ascii="Times New Roman" w:hAnsi="Times New Roman"/>
          <w:color w:val="000000"/>
          <w:spacing w:val="-3"/>
          <w:w w:val="105"/>
        </w:rPr>
        <w:t xml:space="preserve">. This memo and technical approach </w:t>
      </w:r>
      <w:proofErr w:type="gramStart"/>
      <w:r w:rsidR="004015D0">
        <w:rPr>
          <w:rFonts w:ascii="Times New Roman" w:hAnsi="Times New Roman"/>
          <w:color w:val="000000"/>
          <w:spacing w:val="-3"/>
          <w:w w:val="105"/>
        </w:rPr>
        <w:t>follows</w:t>
      </w:r>
      <w:proofErr w:type="gramEnd"/>
      <w:r w:rsidR="004015D0">
        <w:rPr>
          <w:rFonts w:ascii="Times New Roman" w:hAnsi="Times New Roman"/>
          <w:color w:val="000000"/>
          <w:spacing w:val="-3"/>
          <w:w w:val="105"/>
        </w:rPr>
        <w:t xml:space="preserve"> that used to develop </w:t>
      </w:r>
      <w:r w:rsidR="004015D0" w:rsidRPr="00D203BD">
        <w:rPr>
          <w:rFonts w:ascii="Times New Roman" w:hAnsi="Times New Roman"/>
          <w:color w:val="000000"/>
          <w:spacing w:val="-3"/>
          <w:w w:val="105"/>
        </w:rPr>
        <w:t xml:space="preserve">nonpoint oil and gas </w:t>
      </w:r>
      <w:r w:rsidR="004015D0">
        <w:rPr>
          <w:rFonts w:ascii="Times New Roman" w:hAnsi="Times New Roman"/>
          <w:color w:val="000000"/>
          <w:spacing w:val="-3"/>
          <w:w w:val="105"/>
        </w:rPr>
        <w:t xml:space="preserve">blowdown emissions for the 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>20</w:t>
      </w:r>
      <w:r w:rsidR="004E52AA" w:rsidRPr="00D203BD">
        <w:rPr>
          <w:rFonts w:ascii="Times New Roman" w:hAnsi="Times New Roman"/>
          <w:color w:val="000000"/>
          <w:spacing w:val="-3"/>
          <w:w w:val="105"/>
        </w:rPr>
        <w:t>2</w:t>
      </w:r>
      <w:r w:rsidR="00356153">
        <w:rPr>
          <w:rFonts w:ascii="Times New Roman" w:hAnsi="Times New Roman"/>
          <w:color w:val="000000"/>
          <w:spacing w:val="-3"/>
          <w:w w:val="105"/>
        </w:rPr>
        <w:t>0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 xml:space="preserve"> N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 xml:space="preserve">ational 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>E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 xml:space="preserve">missions 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>I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>nventory</w:t>
      </w:r>
      <w:r w:rsidR="004369C8" w:rsidRPr="00D203BD">
        <w:rPr>
          <w:rFonts w:ascii="Times New Roman" w:hAnsi="Times New Roman"/>
          <w:color w:val="000000"/>
          <w:spacing w:val="-3"/>
          <w:w w:val="105"/>
        </w:rPr>
        <w:t xml:space="preserve"> (NEI)</w:t>
      </w:r>
      <w:r w:rsidRPr="00D203BD">
        <w:rPr>
          <w:rFonts w:ascii="Times New Roman" w:hAnsi="Times New Roman"/>
          <w:color w:val="000000"/>
          <w:spacing w:val="-3"/>
          <w:w w:val="105"/>
        </w:rPr>
        <w:t>.</w:t>
      </w:r>
      <w:r w:rsidR="00945ADB" w:rsidRPr="00D203BD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FF5FEC" w:rsidRPr="00D203BD">
        <w:rPr>
          <w:rFonts w:ascii="Times New Roman" w:hAnsi="Times New Roman"/>
          <w:color w:val="000000"/>
          <w:spacing w:val="-3"/>
          <w:w w:val="105"/>
        </w:rPr>
        <w:t>Data used in this analysis was obtained from EPA’s Envirofacts website.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BF55EB">
        <w:rPr>
          <w:rStyle w:val="FootnoteReference"/>
          <w:rFonts w:ascii="Times New Roman" w:hAnsi="Times New Roman"/>
          <w:color w:val="000000"/>
          <w:spacing w:val="-3"/>
          <w:w w:val="105"/>
        </w:rPr>
        <w:footnoteReference w:id="1"/>
      </w:r>
    </w:p>
    <w:p w14:paraId="5C7DEA99" w14:textId="4D55EFAB" w:rsidR="00D203BD" w:rsidRDefault="00D203BD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4EB98B4A" w14:textId="320082BA" w:rsidR="00E83FCC" w:rsidRPr="00D203BD" w:rsidRDefault="00E83FCC" w:rsidP="00E83FCC">
      <w:pPr>
        <w:rPr>
          <w:rFonts w:ascii="Times New Roman" w:hAnsi="Times New Roman"/>
          <w:b/>
          <w:color w:val="000000"/>
          <w:spacing w:val="-3"/>
          <w:w w:val="105"/>
          <w:u w:val="single"/>
        </w:rPr>
      </w:pPr>
      <w:r>
        <w:rPr>
          <w:rFonts w:ascii="Times New Roman" w:hAnsi="Times New Roman"/>
          <w:b/>
          <w:color w:val="000000"/>
          <w:spacing w:val="-3"/>
          <w:w w:val="105"/>
          <w:u w:val="single"/>
        </w:rPr>
        <w:t xml:space="preserve">Subpart W Blowdown </w:t>
      </w:r>
      <w:r w:rsidR="008D19B6">
        <w:rPr>
          <w:rFonts w:ascii="Times New Roman" w:hAnsi="Times New Roman"/>
          <w:b/>
          <w:color w:val="000000"/>
          <w:spacing w:val="-3"/>
          <w:w w:val="105"/>
          <w:u w:val="single"/>
        </w:rPr>
        <w:t>Emission</w:t>
      </w:r>
      <w:r w:rsidRPr="00D203BD">
        <w:rPr>
          <w:rFonts w:ascii="Times New Roman" w:hAnsi="Times New Roman"/>
          <w:b/>
          <w:color w:val="000000"/>
          <w:spacing w:val="-3"/>
          <w:w w:val="105"/>
          <w:u w:val="single"/>
        </w:rPr>
        <w:t>s</w:t>
      </w:r>
    </w:p>
    <w:p w14:paraId="1796CF16" w14:textId="77777777" w:rsidR="00E83FCC" w:rsidRPr="00D203BD" w:rsidRDefault="00E83FCC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5A0A2653" w14:textId="76FD37CA" w:rsidR="00E83FCC" w:rsidRDefault="00C67E0B" w:rsidP="00335C3D">
      <w:pPr>
        <w:rPr>
          <w:rFonts w:ascii="Times New Roman" w:hAnsi="Times New Roman"/>
          <w:color w:val="000000"/>
          <w:spacing w:val="-3"/>
          <w:w w:val="105"/>
        </w:rPr>
      </w:pPr>
      <w:bookmarkStart w:id="0" w:name="_Hlk94017322"/>
      <w:r>
        <w:rPr>
          <w:rFonts w:ascii="Times New Roman" w:hAnsi="Times New Roman"/>
          <w:color w:val="000000"/>
          <w:spacing w:val="-3"/>
          <w:w w:val="105"/>
        </w:rPr>
        <w:t xml:space="preserve">The Utah </w:t>
      </w:r>
      <w:r w:rsidR="008A6116">
        <w:rPr>
          <w:rFonts w:ascii="Times New Roman" w:hAnsi="Times New Roman"/>
          <w:color w:val="000000"/>
          <w:spacing w:val="-3"/>
          <w:w w:val="105"/>
        </w:rPr>
        <w:t>Department of Environmental Quality worked with US EPA Region 8 staff to develop blowdown estimates for the 2017 NEI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based on data reported under Subpart W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(</w:t>
      </w:r>
      <w:r w:rsidR="00BF55EB" w:rsidRPr="00E83FCC">
        <w:rPr>
          <w:rFonts w:ascii="Times New Roman" w:hAnsi="Times New Roman"/>
          <w:color w:val="000000"/>
          <w:spacing w:val="-3"/>
          <w:w w:val="105"/>
        </w:rPr>
        <w:t>Petroleum and Natural Gas Systems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) </w:t>
      </w:r>
      <w:r w:rsidR="008D19B6">
        <w:rPr>
          <w:rFonts w:ascii="Times New Roman" w:hAnsi="Times New Roman"/>
          <w:color w:val="000000"/>
          <w:spacing w:val="-3"/>
          <w:w w:val="105"/>
        </w:rPr>
        <w:t>of the GHGRP for 2017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. The methodology used to develop </w:t>
      </w:r>
      <w:r w:rsidR="00BF55EB">
        <w:rPr>
          <w:rFonts w:ascii="Times New Roman" w:hAnsi="Times New Roman"/>
          <w:color w:val="000000"/>
          <w:spacing w:val="-3"/>
          <w:w w:val="105"/>
        </w:rPr>
        <w:t>Utah’s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2017 blowdown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emissions estimates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was used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as the basis for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develop</w:t>
      </w:r>
      <w:r w:rsidR="00E83FCC">
        <w:rPr>
          <w:rFonts w:ascii="Times New Roman" w:hAnsi="Times New Roman"/>
          <w:color w:val="000000"/>
          <w:spacing w:val="-3"/>
          <w:w w:val="105"/>
        </w:rPr>
        <w:t>ing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national, county-level estimates of VOC, benzene, toluene, ethylbenzene, and xylene (BTEX) for the 202</w:t>
      </w:r>
      <w:r w:rsidR="00E0597B">
        <w:rPr>
          <w:rFonts w:ascii="Times New Roman" w:hAnsi="Times New Roman"/>
          <w:color w:val="000000"/>
          <w:spacing w:val="-3"/>
          <w:w w:val="105"/>
        </w:rPr>
        <w:t>3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NEI.</w:t>
      </w:r>
      <w:r w:rsidR="00365674">
        <w:rPr>
          <w:rFonts w:ascii="Times New Roman" w:hAnsi="Times New Roman"/>
          <w:color w:val="000000"/>
          <w:spacing w:val="-3"/>
          <w:w w:val="105"/>
        </w:rPr>
        <w:t xml:space="preserve"> This analysis is based on data reported to the GHGRP for the following industry segments:</w:t>
      </w:r>
    </w:p>
    <w:p w14:paraId="19B51B85" w14:textId="53ED8C37" w:rsidR="00365674" w:rsidRDefault="00365674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3DC88AE9" w14:textId="233C5BE7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LNG import and export equipment</w:t>
      </w:r>
    </w:p>
    <w:p w14:paraId="5185E1C3" w14:textId="5D9E7B84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Onshore natural gas processing</w:t>
      </w:r>
    </w:p>
    <w:p w14:paraId="1832DCDE" w14:textId="23F5658D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Onshore natural gas transmission compression</w:t>
      </w:r>
    </w:p>
    <w:p w14:paraId="5B28FE15" w14:textId="18458999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Onshore petroleum and natural gas gathering and boosting</w:t>
      </w:r>
    </w:p>
    <w:p w14:paraId="41CA9414" w14:textId="77777777" w:rsidR="00E83FCC" w:rsidRDefault="00E83FCC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2B050C33" w14:textId="0493C658" w:rsidR="002274A2" w:rsidRDefault="002274A2" w:rsidP="002274A2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Under the GHGRP, </w:t>
      </w:r>
      <w:r>
        <w:rPr>
          <w:rFonts w:ascii="Times New Roman" w:hAnsi="Times New Roman"/>
        </w:rPr>
        <w:t>blowdown methane emissions are reported for the following activities</w:t>
      </w:r>
      <w:r w:rsidR="00365674">
        <w:rPr>
          <w:rFonts w:ascii="Times New Roman" w:hAnsi="Times New Roman"/>
        </w:rPr>
        <w:t xml:space="preserve"> for the</w:t>
      </w:r>
      <w:r w:rsidR="007A7120">
        <w:rPr>
          <w:rFonts w:ascii="Times New Roman" w:hAnsi="Times New Roman"/>
        </w:rPr>
        <w:t>se</w:t>
      </w:r>
      <w:r w:rsidR="00365674">
        <w:rPr>
          <w:rFonts w:ascii="Times New Roman" w:hAnsi="Times New Roman"/>
        </w:rPr>
        <w:t xml:space="preserve"> four</w:t>
      </w:r>
      <w:r w:rsidR="007A7120">
        <w:rPr>
          <w:rFonts w:ascii="Times New Roman" w:hAnsi="Times New Roman"/>
        </w:rPr>
        <w:t xml:space="preserve"> industry</w:t>
      </w:r>
      <w:r w:rsidR="00365674">
        <w:rPr>
          <w:rFonts w:ascii="Times New Roman" w:hAnsi="Times New Roman"/>
        </w:rPr>
        <w:t xml:space="preserve"> segments</w:t>
      </w:r>
      <w:r>
        <w:rPr>
          <w:rFonts w:ascii="Times New Roman" w:hAnsi="Times New Roman"/>
        </w:rPr>
        <w:t>:</w:t>
      </w:r>
    </w:p>
    <w:p w14:paraId="7BB1D86A" w14:textId="77777777" w:rsidR="002274A2" w:rsidRDefault="002274A2" w:rsidP="002274A2">
      <w:pPr>
        <w:rPr>
          <w:rFonts w:ascii="Times New Roman" w:hAnsi="Times New Roman"/>
        </w:rPr>
      </w:pPr>
    </w:p>
    <w:p w14:paraId="48EDC164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 xml:space="preserve">All other equipment with a physical volume greater than or equal 50 </w:t>
      </w:r>
      <w:r>
        <w:rPr>
          <w:rFonts w:ascii="Times New Roman" w:hAnsi="Times New Roman"/>
          <w:color w:val="000000"/>
          <w:spacing w:val="-3"/>
          <w:w w:val="105"/>
        </w:rPr>
        <w:t>ft^3</w:t>
      </w:r>
    </w:p>
    <w:p w14:paraId="608D79BD" w14:textId="40D4F6F8" w:rsidR="0074742E" w:rsidRPr="00774C22" w:rsidRDefault="004369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Compressors</w:t>
      </w:r>
    </w:p>
    <w:p w14:paraId="2E842AA4" w14:textId="04965E86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Emergency shutdowns</w:t>
      </w:r>
    </w:p>
    <w:p w14:paraId="745CD108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Facility piping</w:t>
      </w:r>
    </w:p>
    <w:p w14:paraId="3C0A9AD5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Pig launchers and receivers</w:t>
      </w:r>
    </w:p>
    <w:p w14:paraId="7A6F07FF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Pipeline venting</w:t>
      </w:r>
    </w:p>
    <w:p w14:paraId="1092A811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Scrubbers/strainers</w:t>
      </w:r>
    </w:p>
    <w:p w14:paraId="5EB7E84C" w14:textId="28862D6B" w:rsidR="002274A2" w:rsidRDefault="002274A2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3E891CB1" w14:textId="767632AD" w:rsidR="00365674" w:rsidRDefault="00365674" w:rsidP="00335C3D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lastRenderedPageBreak/>
        <w:t>Data reported under the “</w:t>
      </w:r>
      <w:r w:rsidRPr="00365674">
        <w:rPr>
          <w:rFonts w:ascii="Times New Roman" w:hAnsi="Times New Roman"/>
          <w:color w:val="000000"/>
          <w:spacing w:val="-3"/>
          <w:w w:val="105"/>
        </w:rPr>
        <w:t>Onshore natural gas transmission pipeline</w:t>
      </w:r>
      <w:r>
        <w:rPr>
          <w:rFonts w:ascii="Times New Roman" w:hAnsi="Times New Roman"/>
          <w:color w:val="000000"/>
          <w:spacing w:val="-3"/>
          <w:w w:val="105"/>
        </w:rPr>
        <w:t>” segment was not included in this analysis</w:t>
      </w:r>
      <w:r w:rsidR="00791C0A">
        <w:rPr>
          <w:rFonts w:ascii="Times New Roman" w:hAnsi="Times New Roman"/>
          <w:color w:val="000000"/>
          <w:spacing w:val="-3"/>
          <w:w w:val="105"/>
        </w:rPr>
        <w:t xml:space="preserve"> as transmission pipeline gas is typically of high methane content and contains minimal amounts of VOC.</w:t>
      </w:r>
    </w:p>
    <w:p w14:paraId="2F19E236" w14:textId="77777777" w:rsidR="00365674" w:rsidRDefault="00365674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2A9C8487" w14:textId="33F1C0C2" w:rsidR="00C67E0B" w:rsidRDefault="008A6116" w:rsidP="00335C3D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The methodology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used </w:t>
      </w:r>
      <w:r w:rsidR="001C7192">
        <w:rPr>
          <w:rFonts w:ascii="Times New Roman" w:hAnsi="Times New Roman"/>
          <w:color w:val="000000"/>
          <w:spacing w:val="-3"/>
          <w:w w:val="105"/>
        </w:rPr>
        <w:t xml:space="preserve">to </w:t>
      </w:r>
      <w:r w:rsidR="00791C0A">
        <w:rPr>
          <w:rFonts w:ascii="Times New Roman" w:hAnsi="Times New Roman"/>
          <w:color w:val="000000"/>
          <w:spacing w:val="-3"/>
          <w:w w:val="105"/>
        </w:rPr>
        <w:t>develop</w:t>
      </w:r>
      <w:r w:rsidR="001C7192">
        <w:rPr>
          <w:rFonts w:ascii="Times New Roman" w:hAnsi="Times New Roman"/>
          <w:color w:val="000000"/>
          <w:spacing w:val="-3"/>
          <w:w w:val="105"/>
        </w:rPr>
        <w:t xml:space="preserve"> county-level VOC and BTEX emission estimates</w:t>
      </w:r>
      <w:r>
        <w:rPr>
          <w:rFonts w:ascii="Times New Roman" w:hAnsi="Times New Roman"/>
          <w:color w:val="000000"/>
          <w:spacing w:val="-3"/>
          <w:w w:val="105"/>
        </w:rPr>
        <w:t xml:space="preserve"> is as fo</w:t>
      </w:r>
      <w:r w:rsidR="00E83FCC">
        <w:rPr>
          <w:rFonts w:ascii="Times New Roman" w:hAnsi="Times New Roman"/>
          <w:color w:val="000000"/>
          <w:spacing w:val="-3"/>
          <w:w w:val="105"/>
        </w:rPr>
        <w:t>llows:</w:t>
      </w:r>
    </w:p>
    <w:p w14:paraId="7242D485" w14:textId="08DFEBDB" w:rsidR="00E83FCC" w:rsidRDefault="00E83FCC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4B2ED417" w14:textId="77777777" w:rsidR="001C7192" w:rsidRPr="001C7192" w:rsidRDefault="00E83FCC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1C7192">
        <w:rPr>
          <w:rFonts w:ascii="Times New Roman" w:hAnsi="Times New Roman"/>
          <w:b/>
          <w:bCs/>
          <w:color w:val="000000"/>
          <w:spacing w:val="-3"/>
          <w:w w:val="105"/>
        </w:rPr>
        <w:t>Step 1) Obtain GHGRP</w:t>
      </w:r>
      <w:r w:rsidR="002274A2" w:rsidRPr="001C7192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methane</w:t>
      </w:r>
      <w:r w:rsidRPr="001C7192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</w:t>
      </w:r>
      <w:r w:rsidR="00BF55EB" w:rsidRPr="001C7192">
        <w:rPr>
          <w:rFonts w:ascii="Times New Roman" w:hAnsi="Times New Roman"/>
          <w:b/>
          <w:bCs/>
          <w:color w:val="000000"/>
          <w:spacing w:val="-3"/>
          <w:w w:val="105"/>
        </w:rPr>
        <w:t xml:space="preserve">emissions </w:t>
      </w:r>
      <w:r w:rsidRPr="001C7192">
        <w:rPr>
          <w:rFonts w:ascii="Times New Roman" w:hAnsi="Times New Roman"/>
          <w:b/>
          <w:bCs/>
          <w:color w:val="000000"/>
          <w:spacing w:val="-3"/>
          <w:w w:val="105"/>
        </w:rPr>
        <w:t>data for blowdowns</w:t>
      </w:r>
    </w:p>
    <w:p w14:paraId="1167D5A7" w14:textId="32B84757" w:rsidR="00E83FCC" w:rsidRDefault="001C7192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This data is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reported under</w:t>
      </w:r>
      <w:r w:rsidR="008942E3">
        <w:rPr>
          <w:rFonts w:ascii="Times New Roman" w:hAnsi="Times New Roman"/>
          <w:color w:val="000000"/>
          <w:spacing w:val="-3"/>
          <w:w w:val="105"/>
        </w:rPr>
        <w:t xml:space="preserve"> the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Subpart W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8942E3">
        <w:rPr>
          <w:rFonts w:ascii="Times New Roman" w:hAnsi="Times New Roman"/>
          <w:color w:val="000000"/>
          <w:spacing w:val="-3"/>
          <w:w w:val="105"/>
        </w:rPr>
        <w:t>“</w:t>
      </w:r>
      <w:proofErr w:type="spellStart"/>
      <w:r w:rsidR="006E7DD1" w:rsidRPr="006E7DD1">
        <w:rPr>
          <w:rFonts w:ascii="Times New Roman" w:hAnsi="Times New Roman"/>
          <w:color w:val="000000"/>
          <w:spacing w:val="-3"/>
          <w:w w:val="105"/>
        </w:rPr>
        <w:t>ghg_ef_w_blowdown_stacks_units</w:t>
      </w:r>
      <w:proofErr w:type="spellEnd"/>
      <w:r w:rsidR="008942E3">
        <w:rPr>
          <w:rFonts w:ascii="Times New Roman" w:hAnsi="Times New Roman"/>
          <w:color w:val="000000"/>
          <w:spacing w:val="-3"/>
          <w:w w:val="105"/>
        </w:rPr>
        <w:t>”</w:t>
      </w:r>
      <w:r>
        <w:rPr>
          <w:rFonts w:ascii="Times New Roman" w:hAnsi="Times New Roman"/>
          <w:color w:val="000000"/>
          <w:spacing w:val="-3"/>
          <w:w w:val="105"/>
        </w:rPr>
        <w:t xml:space="preserve"> table and was downloaded from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EPA’s Envirofacts website.</w:t>
      </w:r>
    </w:p>
    <w:p w14:paraId="3D920F9F" w14:textId="77777777" w:rsidR="008942E3" w:rsidRDefault="008942E3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</w:p>
    <w:p w14:paraId="0DF166C0" w14:textId="2390A3CE" w:rsidR="001C7192" w:rsidRPr="008942E3" w:rsidRDefault="00E83FCC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2)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 Subpart W 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>b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asin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>-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level methane emission</w:t>
      </w:r>
      <w:r w:rsid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estimates</w:t>
      </w:r>
    </w:p>
    <w:p w14:paraId="58B5A0E4" w14:textId="0B04EDAF" w:rsidR="00E83FCC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FIPS codes for the reporting facilities were used to roll up facility-level</w:t>
      </w:r>
      <w:r w:rsidR="00C42E47">
        <w:rPr>
          <w:rFonts w:ascii="Times New Roman" w:hAnsi="Times New Roman"/>
          <w:color w:val="000000"/>
          <w:spacing w:val="-3"/>
          <w:w w:val="105"/>
        </w:rPr>
        <w:t xml:space="preserve"> methane</w:t>
      </w:r>
      <w:r>
        <w:rPr>
          <w:rFonts w:ascii="Times New Roman" w:hAnsi="Times New Roman"/>
          <w:color w:val="000000"/>
          <w:spacing w:val="-3"/>
          <w:w w:val="105"/>
        </w:rPr>
        <w:t xml:space="preserve"> emission</w:t>
      </w:r>
      <w:r w:rsidR="00C42E47">
        <w:rPr>
          <w:rFonts w:ascii="Times New Roman" w:hAnsi="Times New Roman"/>
          <w:color w:val="000000"/>
          <w:spacing w:val="-3"/>
          <w:w w:val="105"/>
        </w:rPr>
        <w:t xml:space="preserve"> estimates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obtained in Step 1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to </w:t>
      </w:r>
      <w:r w:rsidR="00C42E47">
        <w:rPr>
          <w:rFonts w:ascii="Times New Roman" w:hAnsi="Times New Roman"/>
          <w:color w:val="000000"/>
          <w:spacing w:val="-3"/>
          <w:w w:val="105"/>
        </w:rPr>
        <w:t>develop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8D19B6">
        <w:rPr>
          <w:rFonts w:ascii="Times New Roman" w:hAnsi="Times New Roman"/>
          <w:color w:val="000000"/>
          <w:spacing w:val="-3"/>
          <w:w w:val="105"/>
        </w:rPr>
        <w:t>Subpart</w:t>
      </w:r>
      <w:r>
        <w:rPr>
          <w:rFonts w:ascii="Times New Roman" w:hAnsi="Times New Roman"/>
          <w:color w:val="000000"/>
          <w:spacing w:val="-3"/>
          <w:w w:val="105"/>
        </w:rPr>
        <w:t xml:space="preserve"> W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A4438C">
        <w:rPr>
          <w:rFonts w:ascii="Times New Roman" w:hAnsi="Times New Roman"/>
          <w:color w:val="000000"/>
          <w:spacing w:val="-3"/>
          <w:w w:val="105"/>
        </w:rPr>
        <w:t>b</w:t>
      </w:r>
      <w:r w:rsidR="008D19B6">
        <w:rPr>
          <w:rFonts w:ascii="Times New Roman" w:hAnsi="Times New Roman"/>
          <w:color w:val="000000"/>
          <w:spacing w:val="-3"/>
          <w:w w:val="105"/>
        </w:rPr>
        <w:t>asin</w:t>
      </w:r>
      <w:r w:rsidR="00A4438C">
        <w:rPr>
          <w:rFonts w:ascii="Times New Roman" w:hAnsi="Times New Roman"/>
          <w:color w:val="000000"/>
          <w:spacing w:val="-3"/>
          <w:w w:val="105"/>
        </w:rPr>
        <w:t>-</w:t>
      </w:r>
      <w:r>
        <w:rPr>
          <w:rFonts w:ascii="Times New Roman" w:hAnsi="Times New Roman"/>
          <w:color w:val="000000"/>
          <w:spacing w:val="-3"/>
          <w:w w:val="105"/>
        </w:rPr>
        <w:t>level</w:t>
      </w:r>
      <w:r w:rsidR="00C42E47">
        <w:rPr>
          <w:rFonts w:ascii="Times New Roman" w:hAnsi="Times New Roman"/>
          <w:color w:val="000000"/>
          <w:spacing w:val="-3"/>
          <w:w w:val="105"/>
        </w:rPr>
        <w:t xml:space="preserve"> methane emission estimates</w:t>
      </w:r>
      <w:r w:rsidR="008D19B6">
        <w:rPr>
          <w:rFonts w:ascii="Times New Roman" w:hAnsi="Times New Roman"/>
          <w:color w:val="000000"/>
          <w:spacing w:val="-3"/>
          <w:w w:val="105"/>
        </w:rPr>
        <w:t>.</w:t>
      </w:r>
      <w:r w:rsidR="006A00BF">
        <w:rPr>
          <w:rFonts w:ascii="Times New Roman" w:hAnsi="Times New Roman"/>
          <w:color w:val="000000"/>
          <w:spacing w:val="-3"/>
          <w:w w:val="105"/>
        </w:rPr>
        <w:t xml:space="preserve"> </w:t>
      </w:r>
      <w:bookmarkStart w:id="1" w:name="_Hlk95291270"/>
      <w:r w:rsidR="006A00BF">
        <w:rPr>
          <w:rFonts w:ascii="Times New Roman" w:hAnsi="Times New Roman"/>
          <w:color w:val="000000"/>
          <w:spacing w:val="-3"/>
          <w:w w:val="105"/>
        </w:rPr>
        <w:t>This data is not available at the sub-basin (county) level.</w:t>
      </w:r>
      <w:bookmarkEnd w:id="1"/>
    </w:p>
    <w:p w14:paraId="436A6DB5" w14:textId="77777777" w:rsidR="008942E3" w:rsidRDefault="008942E3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</w:p>
    <w:p w14:paraId="1B3C7197" w14:textId="276E0960" w:rsidR="008942E3" w:rsidRPr="008942E3" w:rsidRDefault="008D19B6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3)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 county-level methane emission es</w:t>
      </w:r>
      <w:r w:rsidR="008942E3">
        <w:rPr>
          <w:rFonts w:ascii="Times New Roman" w:hAnsi="Times New Roman"/>
          <w:b/>
          <w:bCs/>
          <w:color w:val="000000"/>
          <w:spacing w:val="-3"/>
          <w:w w:val="105"/>
        </w:rPr>
        <w:t>t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imates</w:t>
      </w:r>
    </w:p>
    <w:p w14:paraId="41495AF3" w14:textId="19D202D8" w:rsidR="008D19B6" w:rsidRDefault="00C42E47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Subpart W b</w:t>
      </w:r>
      <w:r w:rsidR="008D19B6">
        <w:rPr>
          <w:rFonts w:ascii="Times New Roman" w:hAnsi="Times New Roman"/>
          <w:color w:val="000000"/>
          <w:spacing w:val="-3"/>
          <w:w w:val="105"/>
        </w:rPr>
        <w:t>asin-level</w:t>
      </w:r>
      <w:r w:rsidR="002274A2">
        <w:rPr>
          <w:rFonts w:ascii="Times New Roman" w:hAnsi="Times New Roman"/>
          <w:color w:val="000000"/>
          <w:spacing w:val="-3"/>
          <w:w w:val="105"/>
        </w:rPr>
        <w:t xml:space="preserve"> methane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emissions</w:t>
      </w:r>
      <w:r w:rsidR="008942E3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developed in Step 2 </w:t>
      </w:r>
      <w:r w:rsidR="008942E3">
        <w:rPr>
          <w:rFonts w:ascii="Times New Roman" w:hAnsi="Times New Roman"/>
          <w:color w:val="000000"/>
          <w:spacing w:val="-3"/>
          <w:w w:val="105"/>
        </w:rPr>
        <w:t>were disaggregated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to the county-level based on the fraction of (gas + CBM) wells in each county relative to</w:t>
      </w:r>
      <w:r>
        <w:rPr>
          <w:rFonts w:ascii="Times New Roman" w:hAnsi="Times New Roman"/>
          <w:color w:val="000000"/>
          <w:spacing w:val="-3"/>
          <w:w w:val="105"/>
        </w:rPr>
        <w:t xml:space="preserve"> total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basin-level (gas + CBM) well counts.</w:t>
      </w:r>
    </w:p>
    <w:p w14:paraId="3D510FC0" w14:textId="77777777" w:rsidR="008942E3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</w:p>
    <w:p w14:paraId="0191BC27" w14:textId="5EDEBE34" w:rsidR="008942E3" w:rsidRPr="008942E3" w:rsidRDefault="00BF55EB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4)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county-level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VOC emission estimates based on</w:t>
      </w:r>
      <w:r w:rsidR="00C42E47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county-level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methane emission estimates</w:t>
      </w:r>
    </w:p>
    <w:p w14:paraId="4C54DBA7" w14:textId="486600FA" w:rsidR="00BF55EB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VOC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to </w:t>
      </w:r>
      <w:r>
        <w:rPr>
          <w:rFonts w:ascii="Times New Roman" w:hAnsi="Times New Roman"/>
          <w:color w:val="000000"/>
          <w:spacing w:val="-3"/>
          <w:w w:val="105"/>
        </w:rPr>
        <w:t>m</w:t>
      </w:r>
      <w:r w:rsidR="00BF55EB">
        <w:rPr>
          <w:rFonts w:ascii="Times New Roman" w:hAnsi="Times New Roman"/>
          <w:color w:val="000000"/>
          <w:spacing w:val="-3"/>
          <w:w w:val="105"/>
        </w:rPr>
        <w:t>ethane ratios found the NEI Nonpoint Oil and Gas Emission Estimation Tool (Tool) for pneumatic devices</w:t>
      </w:r>
      <w:r>
        <w:rPr>
          <w:rFonts w:ascii="Times New Roman" w:hAnsi="Times New Roman"/>
          <w:color w:val="000000"/>
          <w:spacing w:val="-3"/>
          <w:w w:val="105"/>
        </w:rPr>
        <w:t xml:space="preserve"> were used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to calculate county-level VOC emissions based on county-level methane emissions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developed in Step 3</w:t>
      </w:r>
      <w:r w:rsidR="00BF55EB">
        <w:rPr>
          <w:rFonts w:ascii="Times New Roman" w:hAnsi="Times New Roman"/>
          <w:color w:val="000000"/>
          <w:spacing w:val="-3"/>
          <w:w w:val="105"/>
        </w:rPr>
        <w:t>.</w:t>
      </w:r>
    </w:p>
    <w:p w14:paraId="55183694" w14:textId="77777777" w:rsidR="008942E3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</w:p>
    <w:p w14:paraId="7281D9DC" w14:textId="6E9B8C11" w:rsidR="008942E3" w:rsidRPr="008942E3" w:rsidRDefault="002274A2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5)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 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 xml:space="preserve">county-level 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BTEX emission estimates based on VOC emission estimates</w:t>
      </w:r>
    </w:p>
    <w:p w14:paraId="67D09FD4" w14:textId="0D82C35C" w:rsidR="002274A2" w:rsidRDefault="002274A2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VOC to benzene, toluene, ethylbenzene, and xylene ratios found in the Tool for pneumatic devices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were used</w:t>
      </w:r>
      <w:r>
        <w:rPr>
          <w:rFonts w:ascii="Times New Roman" w:hAnsi="Times New Roman"/>
          <w:color w:val="000000"/>
          <w:spacing w:val="-3"/>
          <w:w w:val="105"/>
        </w:rPr>
        <w:t xml:space="preserve"> to calculate county-level BTEX emissions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based on the VOC emission estimates developed in Step 4.</w:t>
      </w:r>
    </w:p>
    <w:p w14:paraId="5849F3E9" w14:textId="77777777" w:rsidR="00C67E0B" w:rsidRDefault="00C67E0B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240CF9E1" w14:textId="38465F63" w:rsidR="008942E3" w:rsidRPr="008942E3" w:rsidRDefault="008942E3" w:rsidP="00335C3D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6) Assign emissions to SCC</w:t>
      </w:r>
    </w:p>
    <w:p w14:paraId="38BACD47" w14:textId="262BE965" w:rsidR="00D203BD" w:rsidRDefault="00D203BD" w:rsidP="00335C3D">
      <w:pPr>
        <w:rPr>
          <w:rFonts w:ascii="Times New Roman" w:hAnsi="Times New Roman"/>
        </w:rPr>
      </w:pPr>
      <w:r w:rsidRPr="00D203BD">
        <w:rPr>
          <w:rFonts w:ascii="Times New Roman" w:hAnsi="Times New Roman"/>
          <w:color w:val="000000"/>
          <w:spacing w:val="-3"/>
          <w:w w:val="105"/>
        </w:rPr>
        <w:t xml:space="preserve">SCC </w:t>
      </w:r>
      <w:r w:rsidRPr="00D203BD">
        <w:rPr>
          <w:rFonts w:ascii="Times New Roman" w:hAnsi="Times New Roman"/>
        </w:rPr>
        <w:t>2310021801</w:t>
      </w:r>
      <w:r w:rsidR="002274A2">
        <w:rPr>
          <w:rFonts w:ascii="Times New Roman" w:hAnsi="Times New Roman"/>
        </w:rPr>
        <w:t xml:space="preserve"> (Pipeline Blowdowns and Pigging) will be used to categorize the</w:t>
      </w:r>
      <w:r w:rsidR="00A4438C">
        <w:rPr>
          <w:rFonts w:ascii="Times New Roman" w:hAnsi="Times New Roman"/>
        </w:rPr>
        <w:t xml:space="preserve"> VOC and BTEX</w:t>
      </w:r>
      <w:r w:rsidR="002274A2">
        <w:rPr>
          <w:rFonts w:ascii="Times New Roman" w:hAnsi="Times New Roman"/>
        </w:rPr>
        <w:t xml:space="preserve"> emission</w:t>
      </w:r>
      <w:r w:rsidR="00A4438C">
        <w:rPr>
          <w:rFonts w:ascii="Times New Roman" w:hAnsi="Times New Roman"/>
        </w:rPr>
        <w:t xml:space="preserve"> estimate</w:t>
      </w:r>
      <w:r w:rsidR="002274A2">
        <w:rPr>
          <w:rFonts w:ascii="Times New Roman" w:hAnsi="Times New Roman"/>
        </w:rPr>
        <w:t>s</w:t>
      </w:r>
      <w:r w:rsidR="00A4438C">
        <w:rPr>
          <w:rFonts w:ascii="Times New Roman" w:hAnsi="Times New Roman"/>
        </w:rPr>
        <w:t xml:space="preserve"> developed in Steps 4 and 5</w:t>
      </w:r>
      <w:r w:rsidR="00C42E47">
        <w:rPr>
          <w:rFonts w:ascii="Times New Roman" w:hAnsi="Times New Roman"/>
        </w:rPr>
        <w:t xml:space="preserve"> for input</w:t>
      </w:r>
      <w:r w:rsidR="002274A2">
        <w:rPr>
          <w:rFonts w:ascii="Times New Roman" w:hAnsi="Times New Roman"/>
        </w:rPr>
        <w:t xml:space="preserve"> in</w:t>
      </w:r>
      <w:r w:rsidR="00C42E47">
        <w:rPr>
          <w:rFonts w:ascii="Times New Roman" w:hAnsi="Times New Roman"/>
        </w:rPr>
        <w:t>to</w:t>
      </w:r>
      <w:r w:rsidR="002274A2">
        <w:rPr>
          <w:rFonts w:ascii="Times New Roman" w:hAnsi="Times New Roman"/>
        </w:rPr>
        <w:t xml:space="preserve"> the 2020 NEI.</w:t>
      </w:r>
    </w:p>
    <w:p w14:paraId="748266C0" w14:textId="44FB3898" w:rsidR="00C433D3" w:rsidRDefault="00C433D3" w:rsidP="00335C3D">
      <w:pPr>
        <w:rPr>
          <w:rFonts w:ascii="Times New Roman" w:hAnsi="Times New Roman"/>
        </w:rPr>
      </w:pPr>
    </w:p>
    <w:p w14:paraId="5A1E0080" w14:textId="047928A5" w:rsidR="00C433D3" w:rsidRDefault="00EB79C5" w:rsidP="00335C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1 presents a summary of state-level VOC and BTEX emissions developed </w:t>
      </w:r>
      <w:proofErr w:type="gramStart"/>
      <w:r>
        <w:rPr>
          <w:rFonts w:ascii="Times New Roman" w:hAnsi="Times New Roman"/>
        </w:rPr>
        <w:t>as a result of</w:t>
      </w:r>
      <w:proofErr w:type="gramEnd"/>
      <w:r>
        <w:rPr>
          <w:rFonts w:ascii="Times New Roman" w:hAnsi="Times New Roman"/>
        </w:rPr>
        <w:t xml:space="preserve"> this analysis.</w:t>
      </w:r>
    </w:p>
    <w:bookmarkEnd w:id="0"/>
    <w:p w14:paraId="28535BDE" w14:textId="77777777" w:rsidR="00BF55EB" w:rsidRDefault="00BF55EB" w:rsidP="00992F8B">
      <w:pPr>
        <w:rPr>
          <w:rFonts w:ascii="Times New Roman" w:hAnsi="Times New Roman"/>
          <w:b/>
          <w:bCs/>
          <w:color w:val="000000"/>
          <w:spacing w:val="-3"/>
          <w:w w:val="105"/>
        </w:rPr>
      </w:pPr>
    </w:p>
    <w:p w14:paraId="71E27CD6" w14:textId="4607007E" w:rsidR="00992F8B" w:rsidRPr="00992F8B" w:rsidRDefault="00992F8B" w:rsidP="00992F8B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992F8B">
        <w:rPr>
          <w:rFonts w:ascii="Times New Roman" w:hAnsi="Times New Roman"/>
          <w:b/>
          <w:bCs/>
          <w:color w:val="000000"/>
          <w:spacing w:val="-3"/>
          <w:w w:val="105"/>
        </w:rPr>
        <w:t xml:space="preserve">Table 1. </w:t>
      </w:r>
      <w:r w:rsidR="00EB79C5">
        <w:rPr>
          <w:rFonts w:ascii="Times New Roman" w:hAnsi="Times New Roman"/>
          <w:b/>
          <w:bCs/>
          <w:color w:val="000000"/>
          <w:spacing w:val="-3"/>
          <w:w w:val="105"/>
        </w:rPr>
        <w:t>Blowdown VOC and BTEX Emissions (tons/yr)</w:t>
      </w:r>
    </w:p>
    <w:p w14:paraId="675442FC" w14:textId="77777777" w:rsidR="00992F8B" w:rsidRDefault="00992F8B" w:rsidP="00992F8B">
      <w:pPr>
        <w:rPr>
          <w:rFonts w:ascii="Times New Roman" w:hAnsi="Times New Roman"/>
          <w:color w:val="000000"/>
          <w:spacing w:val="-3"/>
          <w:w w:val="105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618"/>
        <w:gridCol w:w="1530"/>
        <w:gridCol w:w="1530"/>
      </w:tblGrid>
      <w:tr w:rsidR="00EB79C5" w:rsidRPr="004B754B" w14:paraId="79011325" w14:textId="77777777" w:rsidTr="001819ED">
        <w:trPr>
          <w:trHeight w:val="305"/>
          <w:tblHeader/>
        </w:trPr>
        <w:tc>
          <w:tcPr>
            <w:tcW w:w="1559" w:type="dxa"/>
            <w:shd w:val="clear" w:color="auto" w:fill="BFBFBF" w:themeFill="background1" w:themeFillShade="BF"/>
            <w:noWrap/>
            <w:hideMark/>
          </w:tcPr>
          <w:p w14:paraId="41326BAA" w14:textId="77777777" w:rsidR="00EB79C5" w:rsidRPr="00287346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46">
              <w:rPr>
                <w:rFonts w:ascii="Times New Roman" w:hAnsi="Times New Roman"/>
                <w:b/>
                <w:bCs/>
                <w:color w:val="000000"/>
              </w:rPr>
              <w:t>State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7BC405A" w14:textId="78BEE5EE" w:rsidR="00EB79C5" w:rsidRPr="00287346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46">
              <w:rPr>
                <w:rFonts w:ascii="Times New Roman" w:hAnsi="Times New Roman"/>
                <w:b/>
                <w:bCs/>
                <w:color w:val="000000"/>
              </w:rPr>
              <w:t>VOC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BFD7F15" w14:textId="089194AC" w:rsidR="00EB79C5" w:rsidRPr="00287346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46">
              <w:rPr>
                <w:rFonts w:ascii="Times New Roman" w:hAnsi="Times New Roman"/>
                <w:b/>
                <w:bCs/>
                <w:color w:val="000000"/>
              </w:rPr>
              <w:t>Benzene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14:paraId="77BB1573" w14:textId="6A9F9882" w:rsidR="00EB79C5" w:rsidRPr="00287346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46">
              <w:rPr>
                <w:rFonts w:ascii="Times New Roman" w:hAnsi="Times New Roman"/>
                <w:b/>
                <w:bCs/>
                <w:color w:val="000000"/>
              </w:rPr>
              <w:t>Ethylbenzene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6011275" w14:textId="5F60DAD5" w:rsidR="00EB79C5" w:rsidRPr="00287346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46">
              <w:rPr>
                <w:rFonts w:ascii="Times New Roman" w:hAnsi="Times New Roman"/>
                <w:b/>
                <w:bCs/>
                <w:color w:val="000000"/>
              </w:rPr>
              <w:t>Toluene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71E1B11" w14:textId="7CFF63C1" w:rsidR="00EB79C5" w:rsidRPr="00287346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46">
              <w:rPr>
                <w:rFonts w:ascii="Times New Roman" w:hAnsi="Times New Roman"/>
                <w:b/>
                <w:bCs/>
                <w:color w:val="000000"/>
              </w:rPr>
              <w:t>Xylene</w:t>
            </w:r>
          </w:p>
        </w:tc>
      </w:tr>
      <w:tr w:rsidR="00287346" w:rsidRPr="004B754B" w14:paraId="4A0B23BE" w14:textId="77777777" w:rsidTr="00EB79C5">
        <w:trPr>
          <w:trHeight w:val="305"/>
        </w:trPr>
        <w:tc>
          <w:tcPr>
            <w:tcW w:w="1559" w:type="dxa"/>
            <w:noWrap/>
          </w:tcPr>
          <w:p w14:paraId="7E3301E5" w14:textId="74FA900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AK</w:t>
            </w:r>
          </w:p>
        </w:tc>
        <w:tc>
          <w:tcPr>
            <w:tcW w:w="1559" w:type="dxa"/>
          </w:tcPr>
          <w:p w14:paraId="05DCA448" w14:textId="52D19F0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4 </w:t>
            </w:r>
          </w:p>
        </w:tc>
        <w:tc>
          <w:tcPr>
            <w:tcW w:w="1559" w:type="dxa"/>
          </w:tcPr>
          <w:p w14:paraId="7C971BD2" w14:textId="6D66B6A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0.02 </w:t>
            </w:r>
          </w:p>
        </w:tc>
        <w:tc>
          <w:tcPr>
            <w:tcW w:w="1618" w:type="dxa"/>
          </w:tcPr>
          <w:p w14:paraId="39664832" w14:textId="0FB6829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</w:t>
            </w:r>
            <w:r w:rsidR="00C440F8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14:paraId="176916CA" w14:textId="1AF5543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0.02 </w:t>
            </w:r>
          </w:p>
        </w:tc>
        <w:tc>
          <w:tcPr>
            <w:tcW w:w="1530" w:type="dxa"/>
          </w:tcPr>
          <w:p w14:paraId="48A3AC05" w14:textId="6752BB8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 </w:t>
            </w:r>
          </w:p>
        </w:tc>
      </w:tr>
      <w:tr w:rsidR="00287346" w:rsidRPr="004B754B" w14:paraId="44DF6147" w14:textId="77777777" w:rsidTr="00EB79C5">
        <w:trPr>
          <w:trHeight w:val="305"/>
        </w:trPr>
        <w:tc>
          <w:tcPr>
            <w:tcW w:w="1559" w:type="dxa"/>
            <w:noWrap/>
          </w:tcPr>
          <w:p w14:paraId="6C05C2B0" w14:textId="51E21A4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AL</w:t>
            </w:r>
          </w:p>
        </w:tc>
        <w:tc>
          <w:tcPr>
            <w:tcW w:w="1559" w:type="dxa"/>
          </w:tcPr>
          <w:p w14:paraId="340AC9BB" w14:textId="0759E8A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237 </w:t>
            </w:r>
          </w:p>
        </w:tc>
        <w:tc>
          <w:tcPr>
            <w:tcW w:w="1559" w:type="dxa"/>
          </w:tcPr>
          <w:p w14:paraId="1CE9E513" w14:textId="385A1EF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0.90 </w:t>
            </w:r>
          </w:p>
        </w:tc>
        <w:tc>
          <w:tcPr>
            <w:tcW w:w="1618" w:type="dxa"/>
          </w:tcPr>
          <w:p w14:paraId="41A1676D" w14:textId="647510A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0.048 </w:t>
            </w:r>
          </w:p>
        </w:tc>
        <w:tc>
          <w:tcPr>
            <w:tcW w:w="1530" w:type="dxa"/>
          </w:tcPr>
          <w:p w14:paraId="3D0C3411" w14:textId="7B84F41E" w:rsidR="00287346" w:rsidRPr="001F74BD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1F74BD">
              <w:rPr>
                <w:rFonts w:ascii="Times New Roman" w:hAnsi="Times New Roman"/>
              </w:rPr>
              <w:t xml:space="preserve"> 0.76 </w:t>
            </w:r>
          </w:p>
        </w:tc>
        <w:tc>
          <w:tcPr>
            <w:tcW w:w="1530" w:type="dxa"/>
          </w:tcPr>
          <w:p w14:paraId="4EC05DE8" w14:textId="36608A21" w:rsidR="00287346" w:rsidRPr="001F74BD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1F74BD">
              <w:rPr>
                <w:rFonts w:ascii="Times New Roman" w:hAnsi="Times New Roman"/>
              </w:rPr>
              <w:t xml:space="preserve"> 0.23 </w:t>
            </w:r>
          </w:p>
        </w:tc>
      </w:tr>
      <w:tr w:rsidR="001F74BD" w:rsidRPr="004B754B" w14:paraId="42CF70F5" w14:textId="77777777" w:rsidTr="00EB79C5">
        <w:trPr>
          <w:trHeight w:val="305"/>
        </w:trPr>
        <w:tc>
          <w:tcPr>
            <w:tcW w:w="1559" w:type="dxa"/>
            <w:noWrap/>
          </w:tcPr>
          <w:p w14:paraId="012BA78F" w14:textId="735BB72B" w:rsidR="001F74BD" w:rsidRPr="00287346" w:rsidRDefault="001F74BD" w:rsidP="001F74BD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AR</w:t>
            </w:r>
          </w:p>
        </w:tc>
        <w:tc>
          <w:tcPr>
            <w:tcW w:w="1559" w:type="dxa"/>
          </w:tcPr>
          <w:p w14:paraId="02C7D99E" w14:textId="7ED8F933" w:rsidR="001F74BD" w:rsidRPr="00287346" w:rsidRDefault="001F74BD" w:rsidP="001F74BD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49 </w:t>
            </w:r>
          </w:p>
        </w:tc>
        <w:tc>
          <w:tcPr>
            <w:tcW w:w="1559" w:type="dxa"/>
          </w:tcPr>
          <w:p w14:paraId="47F42C82" w14:textId="0E25EFA8" w:rsidR="001F74BD" w:rsidRPr="00287346" w:rsidRDefault="001F74BD" w:rsidP="001F74BD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 </w:t>
            </w:r>
          </w:p>
        </w:tc>
        <w:tc>
          <w:tcPr>
            <w:tcW w:w="1618" w:type="dxa"/>
          </w:tcPr>
          <w:p w14:paraId="7D5C5FB5" w14:textId="05F0ED4F" w:rsidR="001F74BD" w:rsidRPr="00287346" w:rsidRDefault="001F74BD" w:rsidP="001F74BD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BD0AA99" w14:textId="30A08661" w:rsidR="001F74BD" w:rsidRPr="001F74BD" w:rsidRDefault="001F74BD" w:rsidP="001F74BD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1F74BD">
              <w:rPr>
                <w:rFonts w:ascii="Times New Roman" w:hAnsi="Times New Roman"/>
              </w:rPr>
              <w:t xml:space="preserve"> 0.001 </w:t>
            </w:r>
          </w:p>
        </w:tc>
        <w:tc>
          <w:tcPr>
            <w:tcW w:w="1530" w:type="dxa"/>
          </w:tcPr>
          <w:p w14:paraId="6F2D958F" w14:textId="2CD1DECA" w:rsidR="001F74BD" w:rsidRPr="001F74BD" w:rsidRDefault="001F74BD" w:rsidP="001F74BD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1F74BD">
              <w:rPr>
                <w:rFonts w:ascii="Times New Roman" w:hAnsi="Times New Roman"/>
              </w:rPr>
              <w:t xml:space="preserve"> 0.002 </w:t>
            </w:r>
          </w:p>
        </w:tc>
      </w:tr>
      <w:tr w:rsidR="00287346" w:rsidRPr="004B754B" w14:paraId="3ADD737D" w14:textId="77777777" w:rsidTr="00EB79C5">
        <w:trPr>
          <w:trHeight w:val="305"/>
        </w:trPr>
        <w:tc>
          <w:tcPr>
            <w:tcW w:w="1559" w:type="dxa"/>
            <w:noWrap/>
          </w:tcPr>
          <w:p w14:paraId="7C8976AF" w14:textId="7349B8B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AZ</w:t>
            </w:r>
          </w:p>
        </w:tc>
        <w:tc>
          <w:tcPr>
            <w:tcW w:w="1559" w:type="dxa"/>
          </w:tcPr>
          <w:p w14:paraId="409B1B13" w14:textId="26834BE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98 </w:t>
            </w:r>
          </w:p>
        </w:tc>
        <w:tc>
          <w:tcPr>
            <w:tcW w:w="1559" w:type="dxa"/>
          </w:tcPr>
          <w:p w14:paraId="196A795A" w14:textId="4F77962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0.45 </w:t>
            </w:r>
          </w:p>
        </w:tc>
        <w:tc>
          <w:tcPr>
            <w:tcW w:w="1618" w:type="dxa"/>
          </w:tcPr>
          <w:p w14:paraId="24BE362F" w14:textId="3843BEA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0.03 </w:t>
            </w:r>
          </w:p>
        </w:tc>
        <w:tc>
          <w:tcPr>
            <w:tcW w:w="1530" w:type="dxa"/>
          </w:tcPr>
          <w:p w14:paraId="30315D4D" w14:textId="67BE40D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0.398 </w:t>
            </w:r>
          </w:p>
        </w:tc>
        <w:tc>
          <w:tcPr>
            <w:tcW w:w="1530" w:type="dxa"/>
          </w:tcPr>
          <w:p w14:paraId="70D51D99" w14:textId="3171B8C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0.113 </w:t>
            </w:r>
          </w:p>
        </w:tc>
      </w:tr>
      <w:tr w:rsidR="00287346" w:rsidRPr="004B754B" w14:paraId="07081042" w14:textId="77777777" w:rsidTr="00EB79C5">
        <w:trPr>
          <w:trHeight w:val="305"/>
        </w:trPr>
        <w:tc>
          <w:tcPr>
            <w:tcW w:w="1559" w:type="dxa"/>
            <w:noWrap/>
          </w:tcPr>
          <w:p w14:paraId="2FA5FA6F" w14:textId="3E23459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lastRenderedPageBreak/>
              <w:t>CA</w:t>
            </w:r>
          </w:p>
        </w:tc>
        <w:tc>
          <w:tcPr>
            <w:tcW w:w="1559" w:type="dxa"/>
          </w:tcPr>
          <w:p w14:paraId="0D853EA8" w14:textId="7D47D86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149 </w:t>
            </w:r>
          </w:p>
        </w:tc>
        <w:tc>
          <w:tcPr>
            <w:tcW w:w="1559" w:type="dxa"/>
          </w:tcPr>
          <w:p w14:paraId="4BC16DB3" w14:textId="6AA380D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0.69 </w:t>
            </w:r>
          </w:p>
        </w:tc>
        <w:tc>
          <w:tcPr>
            <w:tcW w:w="1618" w:type="dxa"/>
          </w:tcPr>
          <w:p w14:paraId="569A4E7B" w14:textId="37109EE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78C1B872" w14:textId="4DA950D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0.60 </w:t>
            </w:r>
          </w:p>
        </w:tc>
        <w:tc>
          <w:tcPr>
            <w:tcW w:w="1530" w:type="dxa"/>
          </w:tcPr>
          <w:p w14:paraId="3ACDDF9B" w14:textId="658EF4D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0.17 </w:t>
            </w:r>
          </w:p>
        </w:tc>
      </w:tr>
      <w:tr w:rsidR="00287346" w:rsidRPr="004B754B" w14:paraId="2657781A" w14:textId="77777777" w:rsidTr="00EB79C5">
        <w:trPr>
          <w:trHeight w:val="305"/>
        </w:trPr>
        <w:tc>
          <w:tcPr>
            <w:tcW w:w="1559" w:type="dxa"/>
            <w:noWrap/>
          </w:tcPr>
          <w:p w14:paraId="0A63127E" w14:textId="37C35F2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CO</w:t>
            </w:r>
          </w:p>
        </w:tc>
        <w:tc>
          <w:tcPr>
            <w:tcW w:w="1559" w:type="dxa"/>
          </w:tcPr>
          <w:p w14:paraId="15C91E21" w14:textId="23466EA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2,120 </w:t>
            </w:r>
          </w:p>
        </w:tc>
        <w:tc>
          <w:tcPr>
            <w:tcW w:w="1559" w:type="dxa"/>
          </w:tcPr>
          <w:p w14:paraId="5F95A4DB" w14:textId="5F95D1F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5.41 </w:t>
            </w:r>
          </w:p>
        </w:tc>
        <w:tc>
          <w:tcPr>
            <w:tcW w:w="1618" w:type="dxa"/>
          </w:tcPr>
          <w:p w14:paraId="0AE23E17" w14:textId="2661D55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0.27 </w:t>
            </w:r>
          </w:p>
        </w:tc>
        <w:tc>
          <w:tcPr>
            <w:tcW w:w="1530" w:type="dxa"/>
          </w:tcPr>
          <w:p w14:paraId="2474AFF4" w14:textId="2BAC023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6.72 </w:t>
            </w:r>
          </w:p>
        </w:tc>
        <w:tc>
          <w:tcPr>
            <w:tcW w:w="1530" w:type="dxa"/>
          </w:tcPr>
          <w:p w14:paraId="2B8EF4F0" w14:textId="34601A3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2.10 </w:t>
            </w:r>
          </w:p>
        </w:tc>
      </w:tr>
      <w:tr w:rsidR="00287346" w:rsidRPr="004B754B" w14:paraId="72E5F014" w14:textId="77777777" w:rsidTr="00EB79C5">
        <w:trPr>
          <w:trHeight w:val="305"/>
        </w:trPr>
        <w:tc>
          <w:tcPr>
            <w:tcW w:w="1559" w:type="dxa"/>
            <w:noWrap/>
          </w:tcPr>
          <w:p w14:paraId="243F81B4" w14:textId="70D0785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CT</w:t>
            </w:r>
          </w:p>
        </w:tc>
        <w:tc>
          <w:tcPr>
            <w:tcW w:w="1559" w:type="dxa"/>
          </w:tcPr>
          <w:p w14:paraId="335F8BCC" w14:textId="2A14BED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382E002" w14:textId="3FB52C0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7ED890D4" w14:textId="0E2C23D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53908A1" w14:textId="0107616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80CECD2" w14:textId="39A3848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2A5668DA" w14:textId="77777777" w:rsidTr="00EB79C5">
        <w:trPr>
          <w:trHeight w:val="305"/>
        </w:trPr>
        <w:tc>
          <w:tcPr>
            <w:tcW w:w="1559" w:type="dxa"/>
            <w:noWrap/>
          </w:tcPr>
          <w:p w14:paraId="5A27A118" w14:textId="4D13E56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DC</w:t>
            </w:r>
          </w:p>
        </w:tc>
        <w:tc>
          <w:tcPr>
            <w:tcW w:w="1559" w:type="dxa"/>
          </w:tcPr>
          <w:p w14:paraId="3D5BF733" w14:textId="5A4CEAD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0C27456F" w14:textId="6734E49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99F67FF" w14:textId="45CECC4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3659613" w14:textId="4438034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B3B3B14" w14:textId="04C0681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4C18242D" w14:textId="77777777" w:rsidTr="00EB79C5">
        <w:trPr>
          <w:trHeight w:val="305"/>
        </w:trPr>
        <w:tc>
          <w:tcPr>
            <w:tcW w:w="1559" w:type="dxa"/>
            <w:noWrap/>
          </w:tcPr>
          <w:p w14:paraId="75869C04" w14:textId="24DDCD3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DE</w:t>
            </w:r>
          </w:p>
        </w:tc>
        <w:tc>
          <w:tcPr>
            <w:tcW w:w="1559" w:type="dxa"/>
          </w:tcPr>
          <w:p w14:paraId="481C2B21" w14:textId="3009939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BAF7D8E" w14:textId="4EA3283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670B85C" w14:textId="480327B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D5D59FD" w14:textId="010BE37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1524470" w14:textId="1150BB6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343928" w:rsidRPr="004B754B" w14:paraId="538EB9B4" w14:textId="77777777" w:rsidTr="00EB79C5">
        <w:trPr>
          <w:trHeight w:val="305"/>
        </w:trPr>
        <w:tc>
          <w:tcPr>
            <w:tcW w:w="1559" w:type="dxa"/>
            <w:noWrap/>
          </w:tcPr>
          <w:p w14:paraId="391AFFD7" w14:textId="613F9CC3" w:rsidR="00343928" w:rsidRPr="00287346" w:rsidRDefault="00343928" w:rsidP="00343928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FL</w:t>
            </w:r>
          </w:p>
        </w:tc>
        <w:tc>
          <w:tcPr>
            <w:tcW w:w="1559" w:type="dxa"/>
          </w:tcPr>
          <w:p w14:paraId="5BD5B6D1" w14:textId="45D74B54" w:rsidR="00343928" w:rsidRPr="00343928" w:rsidRDefault="00343928" w:rsidP="00343928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343928">
              <w:rPr>
                <w:rFonts w:ascii="Times New Roman" w:hAnsi="Times New Roman"/>
              </w:rPr>
              <w:t xml:space="preserve"> 3 </w:t>
            </w:r>
          </w:p>
        </w:tc>
        <w:tc>
          <w:tcPr>
            <w:tcW w:w="1559" w:type="dxa"/>
          </w:tcPr>
          <w:p w14:paraId="30D3565B" w14:textId="5A139EDB" w:rsidR="00343928" w:rsidRPr="00343928" w:rsidRDefault="00343928" w:rsidP="00343928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343928">
              <w:rPr>
                <w:rFonts w:ascii="Times New Roman" w:hAnsi="Times New Roman"/>
              </w:rPr>
              <w:t xml:space="preserve"> 0.0047 </w:t>
            </w:r>
          </w:p>
        </w:tc>
        <w:tc>
          <w:tcPr>
            <w:tcW w:w="1618" w:type="dxa"/>
          </w:tcPr>
          <w:p w14:paraId="36A4A026" w14:textId="5CE53C67" w:rsidR="00343928" w:rsidRPr="00343928" w:rsidRDefault="00343928" w:rsidP="00343928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343928">
              <w:rPr>
                <w:rFonts w:ascii="Times New Roman" w:hAnsi="Times New Roman"/>
              </w:rPr>
              <w:t xml:space="preserve"> 0.0001 </w:t>
            </w:r>
          </w:p>
        </w:tc>
        <w:tc>
          <w:tcPr>
            <w:tcW w:w="1530" w:type="dxa"/>
          </w:tcPr>
          <w:p w14:paraId="64A0A965" w14:textId="187E3686" w:rsidR="00343928" w:rsidRPr="00343928" w:rsidRDefault="00343928" w:rsidP="00343928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343928">
              <w:rPr>
                <w:rFonts w:ascii="Times New Roman" w:hAnsi="Times New Roman"/>
              </w:rPr>
              <w:t xml:space="preserve"> 0.0018 </w:t>
            </w:r>
          </w:p>
        </w:tc>
        <w:tc>
          <w:tcPr>
            <w:tcW w:w="1530" w:type="dxa"/>
          </w:tcPr>
          <w:p w14:paraId="028F6E7F" w14:textId="05F28619" w:rsidR="00343928" w:rsidRPr="00343928" w:rsidRDefault="00343928" w:rsidP="00343928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343928">
              <w:rPr>
                <w:rFonts w:ascii="Times New Roman" w:hAnsi="Times New Roman"/>
              </w:rPr>
              <w:t xml:space="preserve"> 0.0015 </w:t>
            </w:r>
          </w:p>
        </w:tc>
      </w:tr>
      <w:tr w:rsidR="00287346" w:rsidRPr="004B754B" w14:paraId="7E269238" w14:textId="77777777" w:rsidTr="00EB79C5">
        <w:trPr>
          <w:trHeight w:val="305"/>
        </w:trPr>
        <w:tc>
          <w:tcPr>
            <w:tcW w:w="1559" w:type="dxa"/>
            <w:noWrap/>
          </w:tcPr>
          <w:p w14:paraId="2E336242" w14:textId="768E0FF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GA</w:t>
            </w:r>
          </w:p>
        </w:tc>
        <w:tc>
          <w:tcPr>
            <w:tcW w:w="1559" w:type="dxa"/>
          </w:tcPr>
          <w:p w14:paraId="044D51C0" w14:textId="0BCCE8D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2545E913" w14:textId="6B1ED51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060B4BD5" w14:textId="1A3BA1F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A68DA41" w14:textId="195BD9A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389F271" w14:textId="5C351B1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02E3EE85" w14:textId="77777777" w:rsidTr="00EB79C5">
        <w:trPr>
          <w:trHeight w:val="305"/>
        </w:trPr>
        <w:tc>
          <w:tcPr>
            <w:tcW w:w="1559" w:type="dxa"/>
            <w:noWrap/>
          </w:tcPr>
          <w:p w14:paraId="546B3973" w14:textId="108DFD4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HI</w:t>
            </w:r>
          </w:p>
        </w:tc>
        <w:tc>
          <w:tcPr>
            <w:tcW w:w="1559" w:type="dxa"/>
          </w:tcPr>
          <w:p w14:paraId="3087C66C" w14:textId="30F6A0D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3D3E850" w14:textId="10F0E18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3841F0D" w14:textId="04A4D27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EA81556" w14:textId="703F7F8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1472F06" w14:textId="0C340ED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5B811E7C" w14:textId="77777777" w:rsidTr="00EB79C5">
        <w:trPr>
          <w:trHeight w:val="305"/>
        </w:trPr>
        <w:tc>
          <w:tcPr>
            <w:tcW w:w="1559" w:type="dxa"/>
            <w:noWrap/>
          </w:tcPr>
          <w:p w14:paraId="4C875C73" w14:textId="7C7038A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IA</w:t>
            </w:r>
          </w:p>
        </w:tc>
        <w:tc>
          <w:tcPr>
            <w:tcW w:w="1559" w:type="dxa"/>
          </w:tcPr>
          <w:p w14:paraId="7FF28FEA" w14:textId="2BDEDB4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788075C" w14:textId="2702146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88F17EE" w14:textId="1A0C1C9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495F88E" w14:textId="7ADA8DF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86D1311" w14:textId="7786042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11F9FDB0" w14:textId="77777777" w:rsidTr="00EB79C5">
        <w:trPr>
          <w:trHeight w:val="305"/>
        </w:trPr>
        <w:tc>
          <w:tcPr>
            <w:tcW w:w="1559" w:type="dxa"/>
            <w:noWrap/>
          </w:tcPr>
          <w:p w14:paraId="5349417C" w14:textId="2BFA9A8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ID</w:t>
            </w:r>
          </w:p>
        </w:tc>
        <w:tc>
          <w:tcPr>
            <w:tcW w:w="1559" w:type="dxa"/>
          </w:tcPr>
          <w:p w14:paraId="3C62237D" w14:textId="672F815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BF84C67" w14:textId="418A2D7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F97C4AA" w14:textId="7F77DDE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C607EE8" w14:textId="00B5FD6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CF15942" w14:textId="770AF61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2EE2591E" w14:textId="77777777" w:rsidTr="00EB79C5">
        <w:trPr>
          <w:trHeight w:val="305"/>
        </w:trPr>
        <w:tc>
          <w:tcPr>
            <w:tcW w:w="1559" w:type="dxa"/>
            <w:noWrap/>
          </w:tcPr>
          <w:p w14:paraId="317DBB3D" w14:textId="432A60E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IL</w:t>
            </w:r>
          </w:p>
        </w:tc>
        <w:tc>
          <w:tcPr>
            <w:tcW w:w="1559" w:type="dxa"/>
          </w:tcPr>
          <w:p w14:paraId="3F84CEE1" w14:textId="138FEC3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243 </w:t>
            </w:r>
          </w:p>
        </w:tc>
        <w:tc>
          <w:tcPr>
            <w:tcW w:w="1559" w:type="dxa"/>
          </w:tcPr>
          <w:p w14:paraId="65015EA9" w14:textId="27FC793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0.86 </w:t>
            </w:r>
          </w:p>
        </w:tc>
        <w:tc>
          <w:tcPr>
            <w:tcW w:w="1618" w:type="dxa"/>
          </w:tcPr>
          <w:p w14:paraId="009959D5" w14:textId="00294C1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530" w:type="dxa"/>
          </w:tcPr>
          <w:p w14:paraId="1617EB17" w14:textId="1F17F5E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0.76 </w:t>
            </w:r>
          </w:p>
        </w:tc>
        <w:tc>
          <w:tcPr>
            <w:tcW w:w="1530" w:type="dxa"/>
          </w:tcPr>
          <w:p w14:paraId="2EA2995D" w14:textId="4167E3F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0.22 </w:t>
            </w:r>
          </w:p>
        </w:tc>
      </w:tr>
      <w:tr w:rsidR="00287346" w:rsidRPr="004B754B" w14:paraId="62CC49E8" w14:textId="77777777" w:rsidTr="00EB79C5">
        <w:trPr>
          <w:trHeight w:val="305"/>
        </w:trPr>
        <w:tc>
          <w:tcPr>
            <w:tcW w:w="1559" w:type="dxa"/>
            <w:noWrap/>
          </w:tcPr>
          <w:p w14:paraId="2D64BF13" w14:textId="256740D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IN</w:t>
            </w:r>
          </w:p>
        </w:tc>
        <w:tc>
          <w:tcPr>
            <w:tcW w:w="1559" w:type="dxa"/>
          </w:tcPr>
          <w:p w14:paraId="0D030B54" w14:textId="4E4A2A4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120 </w:t>
            </w:r>
          </w:p>
        </w:tc>
        <w:tc>
          <w:tcPr>
            <w:tcW w:w="1559" w:type="dxa"/>
          </w:tcPr>
          <w:p w14:paraId="48D65DAC" w14:textId="195A05E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0.43 </w:t>
            </w:r>
          </w:p>
        </w:tc>
        <w:tc>
          <w:tcPr>
            <w:tcW w:w="1618" w:type="dxa"/>
          </w:tcPr>
          <w:p w14:paraId="62D46640" w14:textId="35678F3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0.02 </w:t>
            </w:r>
          </w:p>
        </w:tc>
        <w:tc>
          <w:tcPr>
            <w:tcW w:w="1530" w:type="dxa"/>
          </w:tcPr>
          <w:p w14:paraId="09638C21" w14:textId="7E2603F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0.38 </w:t>
            </w:r>
          </w:p>
        </w:tc>
        <w:tc>
          <w:tcPr>
            <w:tcW w:w="1530" w:type="dxa"/>
          </w:tcPr>
          <w:p w14:paraId="4B039086" w14:textId="704DFDA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0.11 </w:t>
            </w:r>
          </w:p>
        </w:tc>
      </w:tr>
      <w:tr w:rsidR="00287346" w:rsidRPr="004B754B" w14:paraId="529E6A96" w14:textId="77777777" w:rsidTr="00EB79C5">
        <w:trPr>
          <w:trHeight w:val="305"/>
        </w:trPr>
        <w:tc>
          <w:tcPr>
            <w:tcW w:w="1559" w:type="dxa"/>
            <w:noWrap/>
          </w:tcPr>
          <w:p w14:paraId="1CD0C55F" w14:textId="42FBD71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KS</w:t>
            </w:r>
          </w:p>
        </w:tc>
        <w:tc>
          <w:tcPr>
            <w:tcW w:w="1559" w:type="dxa"/>
          </w:tcPr>
          <w:p w14:paraId="10309320" w14:textId="42AAAAF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541 </w:t>
            </w:r>
          </w:p>
        </w:tc>
        <w:tc>
          <w:tcPr>
            <w:tcW w:w="1559" w:type="dxa"/>
          </w:tcPr>
          <w:p w14:paraId="3288DC49" w14:textId="7B7EE85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0.98 </w:t>
            </w:r>
          </w:p>
        </w:tc>
        <w:tc>
          <w:tcPr>
            <w:tcW w:w="1618" w:type="dxa"/>
          </w:tcPr>
          <w:p w14:paraId="4777B60F" w14:textId="7715AD2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0.20 </w:t>
            </w:r>
          </w:p>
        </w:tc>
        <w:tc>
          <w:tcPr>
            <w:tcW w:w="1530" w:type="dxa"/>
          </w:tcPr>
          <w:p w14:paraId="5690399C" w14:textId="3428049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0.87 </w:t>
            </w:r>
          </w:p>
        </w:tc>
        <w:tc>
          <w:tcPr>
            <w:tcW w:w="1530" w:type="dxa"/>
          </w:tcPr>
          <w:p w14:paraId="75FEFF8B" w14:textId="21EDF60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0.52 </w:t>
            </w:r>
          </w:p>
        </w:tc>
      </w:tr>
      <w:tr w:rsidR="00287346" w:rsidRPr="004B754B" w14:paraId="23905A5D" w14:textId="77777777" w:rsidTr="00EB79C5">
        <w:trPr>
          <w:trHeight w:val="305"/>
        </w:trPr>
        <w:tc>
          <w:tcPr>
            <w:tcW w:w="1559" w:type="dxa"/>
            <w:noWrap/>
          </w:tcPr>
          <w:p w14:paraId="3CA9068C" w14:textId="409D57C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KY</w:t>
            </w:r>
          </w:p>
        </w:tc>
        <w:tc>
          <w:tcPr>
            <w:tcW w:w="1559" w:type="dxa"/>
          </w:tcPr>
          <w:p w14:paraId="3B6CFD61" w14:textId="418B231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284 </w:t>
            </w:r>
          </w:p>
        </w:tc>
        <w:tc>
          <w:tcPr>
            <w:tcW w:w="1559" w:type="dxa"/>
          </w:tcPr>
          <w:p w14:paraId="5F4147E1" w14:textId="53B1E84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1.28 </w:t>
            </w:r>
          </w:p>
        </w:tc>
        <w:tc>
          <w:tcPr>
            <w:tcW w:w="1618" w:type="dxa"/>
          </w:tcPr>
          <w:p w14:paraId="666F742D" w14:textId="78CD3C1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0.07 </w:t>
            </w:r>
          </w:p>
        </w:tc>
        <w:tc>
          <w:tcPr>
            <w:tcW w:w="1530" w:type="dxa"/>
          </w:tcPr>
          <w:p w14:paraId="5CC8E2B3" w14:textId="0A79750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1.14 </w:t>
            </w:r>
          </w:p>
        </w:tc>
        <w:tc>
          <w:tcPr>
            <w:tcW w:w="1530" w:type="dxa"/>
          </w:tcPr>
          <w:p w14:paraId="21ADCCA3" w14:textId="01DAF4A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0.32 </w:t>
            </w:r>
          </w:p>
        </w:tc>
      </w:tr>
      <w:tr w:rsidR="00287346" w:rsidRPr="004B754B" w14:paraId="5FFCF2F5" w14:textId="77777777" w:rsidTr="00EB79C5">
        <w:trPr>
          <w:trHeight w:val="305"/>
        </w:trPr>
        <w:tc>
          <w:tcPr>
            <w:tcW w:w="1559" w:type="dxa"/>
            <w:noWrap/>
          </w:tcPr>
          <w:p w14:paraId="1BE2FBB7" w14:textId="420FFDC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LA</w:t>
            </w:r>
          </w:p>
        </w:tc>
        <w:tc>
          <w:tcPr>
            <w:tcW w:w="1559" w:type="dxa"/>
          </w:tcPr>
          <w:p w14:paraId="6DDF6C7A" w14:textId="67E9E05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742 </w:t>
            </w:r>
          </w:p>
        </w:tc>
        <w:tc>
          <w:tcPr>
            <w:tcW w:w="1559" w:type="dxa"/>
          </w:tcPr>
          <w:p w14:paraId="2F516BB9" w14:textId="17920BE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6.15 </w:t>
            </w:r>
          </w:p>
        </w:tc>
        <w:tc>
          <w:tcPr>
            <w:tcW w:w="1618" w:type="dxa"/>
          </w:tcPr>
          <w:p w14:paraId="619E6528" w14:textId="243177F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149B9E47" w14:textId="76137C9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0.61 </w:t>
            </w:r>
          </w:p>
        </w:tc>
        <w:tc>
          <w:tcPr>
            <w:tcW w:w="1530" w:type="dxa"/>
          </w:tcPr>
          <w:p w14:paraId="3113CF1A" w14:textId="64BAAE5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1.05 </w:t>
            </w:r>
          </w:p>
        </w:tc>
      </w:tr>
      <w:tr w:rsidR="00287346" w:rsidRPr="004B754B" w14:paraId="2AE421EA" w14:textId="77777777" w:rsidTr="00EB79C5">
        <w:trPr>
          <w:trHeight w:val="305"/>
        </w:trPr>
        <w:tc>
          <w:tcPr>
            <w:tcW w:w="1559" w:type="dxa"/>
            <w:noWrap/>
          </w:tcPr>
          <w:p w14:paraId="4181A8B4" w14:textId="0B9E24F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MA</w:t>
            </w:r>
          </w:p>
        </w:tc>
        <w:tc>
          <w:tcPr>
            <w:tcW w:w="1559" w:type="dxa"/>
          </w:tcPr>
          <w:p w14:paraId="2631D097" w14:textId="695BE8D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01C0A78" w14:textId="58BDB11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2ECA80BA" w14:textId="3EA3C54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9B91EF6" w14:textId="78EA7CF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DE59078" w14:textId="2698B94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34C855D5" w14:textId="77777777" w:rsidTr="00EB79C5">
        <w:trPr>
          <w:trHeight w:val="305"/>
        </w:trPr>
        <w:tc>
          <w:tcPr>
            <w:tcW w:w="1559" w:type="dxa"/>
            <w:noWrap/>
          </w:tcPr>
          <w:p w14:paraId="7CD3C146" w14:textId="212472D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MD</w:t>
            </w:r>
          </w:p>
        </w:tc>
        <w:tc>
          <w:tcPr>
            <w:tcW w:w="1559" w:type="dxa"/>
          </w:tcPr>
          <w:p w14:paraId="62AA8679" w14:textId="32F010E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 </w:t>
            </w:r>
            <w:r w:rsidR="00AD06B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42F5CD76" w14:textId="282C493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0.00011 </w:t>
            </w:r>
          </w:p>
        </w:tc>
        <w:tc>
          <w:tcPr>
            <w:tcW w:w="1618" w:type="dxa"/>
          </w:tcPr>
          <w:p w14:paraId="6AD80B38" w14:textId="52B70E0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0.00001 </w:t>
            </w:r>
          </w:p>
        </w:tc>
        <w:tc>
          <w:tcPr>
            <w:tcW w:w="1530" w:type="dxa"/>
          </w:tcPr>
          <w:p w14:paraId="7D335DFF" w14:textId="1A1CA0D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0.00009 </w:t>
            </w:r>
          </w:p>
        </w:tc>
        <w:tc>
          <w:tcPr>
            <w:tcW w:w="1530" w:type="dxa"/>
          </w:tcPr>
          <w:p w14:paraId="36AA0D2D" w14:textId="00950A1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0.00003 </w:t>
            </w:r>
          </w:p>
        </w:tc>
      </w:tr>
      <w:tr w:rsidR="00287346" w:rsidRPr="004B754B" w14:paraId="7921C965" w14:textId="77777777" w:rsidTr="00EB79C5">
        <w:trPr>
          <w:trHeight w:val="305"/>
        </w:trPr>
        <w:tc>
          <w:tcPr>
            <w:tcW w:w="1559" w:type="dxa"/>
            <w:noWrap/>
          </w:tcPr>
          <w:p w14:paraId="75388793" w14:textId="3049BFF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ME</w:t>
            </w:r>
          </w:p>
        </w:tc>
        <w:tc>
          <w:tcPr>
            <w:tcW w:w="1559" w:type="dxa"/>
          </w:tcPr>
          <w:p w14:paraId="14B5FB15" w14:textId="4BD1C6D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246DFEAA" w14:textId="27A89AD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2ACF95C7" w14:textId="19691B9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8B1BAD9" w14:textId="5E42689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55A0294" w14:textId="002358F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0B079203" w14:textId="77777777" w:rsidTr="00EB79C5">
        <w:trPr>
          <w:trHeight w:val="305"/>
        </w:trPr>
        <w:tc>
          <w:tcPr>
            <w:tcW w:w="1559" w:type="dxa"/>
            <w:noWrap/>
          </w:tcPr>
          <w:p w14:paraId="641EA9EF" w14:textId="6BB04D8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MI</w:t>
            </w:r>
          </w:p>
        </w:tc>
        <w:tc>
          <w:tcPr>
            <w:tcW w:w="1559" w:type="dxa"/>
          </w:tcPr>
          <w:p w14:paraId="076A2A31" w14:textId="1BFCE45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175 </w:t>
            </w:r>
          </w:p>
        </w:tc>
        <w:tc>
          <w:tcPr>
            <w:tcW w:w="1559" w:type="dxa"/>
          </w:tcPr>
          <w:p w14:paraId="0EE150A7" w14:textId="387ECA7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0.80 </w:t>
            </w:r>
          </w:p>
        </w:tc>
        <w:tc>
          <w:tcPr>
            <w:tcW w:w="1618" w:type="dxa"/>
          </w:tcPr>
          <w:p w14:paraId="74DFC8A4" w14:textId="1B235FF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530" w:type="dxa"/>
          </w:tcPr>
          <w:p w14:paraId="482141B3" w14:textId="14E14AA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0.71 </w:t>
            </w:r>
          </w:p>
        </w:tc>
        <w:tc>
          <w:tcPr>
            <w:tcW w:w="1530" w:type="dxa"/>
          </w:tcPr>
          <w:p w14:paraId="3EE24F43" w14:textId="7AAC856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0.20 </w:t>
            </w:r>
          </w:p>
        </w:tc>
      </w:tr>
      <w:tr w:rsidR="00287346" w:rsidRPr="004B754B" w14:paraId="76F98DCC" w14:textId="77777777" w:rsidTr="00EB79C5">
        <w:trPr>
          <w:trHeight w:val="305"/>
        </w:trPr>
        <w:tc>
          <w:tcPr>
            <w:tcW w:w="1559" w:type="dxa"/>
            <w:noWrap/>
          </w:tcPr>
          <w:p w14:paraId="52FD2A7C" w14:textId="2995651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MN</w:t>
            </w:r>
          </w:p>
        </w:tc>
        <w:tc>
          <w:tcPr>
            <w:tcW w:w="1559" w:type="dxa"/>
          </w:tcPr>
          <w:p w14:paraId="5553B861" w14:textId="6F9F31E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07D53935" w14:textId="4A634EE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A00632C" w14:textId="6ABE4C6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BE95C50" w14:textId="4A48C41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2872DEB" w14:textId="2850B3F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427175" w:rsidRPr="004B754B" w14:paraId="26EB72FB" w14:textId="77777777" w:rsidTr="00EB79C5">
        <w:trPr>
          <w:trHeight w:val="305"/>
        </w:trPr>
        <w:tc>
          <w:tcPr>
            <w:tcW w:w="1559" w:type="dxa"/>
            <w:noWrap/>
          </w:tcPr>
          <w:p w14:paraId="63A8AB4A" w14:textId="32B774DB" w:rsidR="00427175" w:rsidRPr="00287346" w:rsidRDefault="00427175" w:rsidP="00427175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MO</w:t>
            </w:r>
          </w:p>
        </w:tc>
        <w:tc>
          <w:tcPr>
            <w:tcW w:w="1559" w:type="dxa"/>
          </w:tcPr>
          <w:p w14:paraId="58C02261" w14:textId="2184DA76" w:rsidR="00427175" w:rsidRPr="00427175" w:rsidRDefault="00427175" w:rsidP="00427175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27175"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559" w:type="dxa"/>
          </w:tcPr>
          <w:p w14:paraId="5DF3BDAD" w14:textId="59732CB4" w:rsidR="00427175" w:rsidRPr="00427175" w:rsidRDefault="00427175" w:rsidP="00427175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27175">
              <w:rPr>
                <w:rFonts w:ascii="Times New Roman" w:hAnsi="Times New Roman"/>
              </w:rPr>
              <w:t xml:space="preserve"> 0.00095 </w:t>
            </w:r>
          </w:p>
        </w:tc>
        <w:tc>
          <w:tcPr>
            <w:tcW w:w="1618" w:type="dxa"/>
          </w:tcPr>
          <w:p w14:paraId="6AC078E7" w14:textId="78EB5A8D" w:rsidR="00427175" w:rsidRPr="00427175" w:rsidRDefault="00427175" w:rsidP="00427175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27175">
              <w:rPr>
                <w:rFonts w:ascii="Times New Roman" w:hAnsi="Times New Roman"/>
              </w:rPr>
              <w:t xml:space="preserve"> 0.00001 </w:t>
            </w:r>
          </w:p>
        </w:tc>
        <w:tc>
          <w:tcPr>
            <w:tcW w:w="1530" w:type="dxa"/>
          </w:tcPr>
          <w:p w14:paraId="74EB14B3" w14:textId="5DEA2242" w:rsidR="00427175" w:rsidRPr="00427175" w:rsidRDefault="00427175" w:rsidP="00427175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27175">
              <w:rPr>
                <w:rFonts w:ascii="Times New Roman" w:hAnsi="Times New Roman"/>
              </w:rPr>
              <w:t xml:space="preserve"> 0.00067 </w:t>
            </w:r>
          </w:p>
        </w:tc>
        <w:tc>
          <w:tcPr>
            <w:tcW w:w="1530" w:type="dxa"/>
          </w:tcPr>
          <w:p w14:paraId="79860E9C" w14:textId="4C878F44" w:rsidR="00427175" w:rsidRPr="00427175" w:rsidRDefault="00427175" w:rsidP="00427175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27175">
              <w:rPr>
                <w:rFonts w:ascii="Times New Roman" w:hAnsi="Times New Roman"/>
              </w:rPr>
              <w:t xml:space="preserve"> 0.00028 </w:t>
            </w:r>
          </w:p>
        </w:tc>
      </w:tr>
      <w:tr w:rsidR="00287346" w:rsidRPr="004B754B" w14:paraId="37A63C55" w14:textId="77777777" w:rsidTr="00EB79C5">
        <w:trPr>
          <w:trHeight w:val="305"/>
        </w:trPr>
        <w:tc>
          <w:tcPr>
            <w:tcW w:w="1559" w:type="dxa"/>
            <w:noWrap/>
          </w:tcPr>
          <w:p w14:paraId="40D5ADEF" w14:textId="79E2889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MS</w:t>
            </w:r>
          </w:p>
        </w:tc>
        <w:tc>
          <w:tcPr>
            <w:tcW w:w="1559" w:type="dxa"/>
          </w:tcPr>
          <w:p w14:paraId="607E86BC" w14:textId="49B824B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1,594 </w:t>
            </w:r>
          </w:p>
        </w:tc>
        <w:tc>
          <w:tcPr>
            <w:tcW w:w="1559" w:type="dxa"/>
          </w:tcPr>
          <w:p w14:paraId="7103BD20" w14:textId="3749270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2.45 </w:t>
            </w:r>
          </w:p>
        </w:tc>
        <w:tc>
          <w:tcPr>
            <w:tcW w:w="1618" w:type="dxa"/>
          </w:tcPr>
          <w:p w14:paraId="377B64DE" w14:textId="5D84588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0.0521 </w:t>
            </w:r>
          </w:p>
        </w:tc>
        <w:tc>
          <w:tcPr>
            <w:tcW w:w="1530" w:type="dxa"/>
          </w:tcPr>
          <w:p w14:paraId="13D97663" w14:textId="2F16863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0.94 </w:t>
            </w:r>
          </w:p>
        </w:tc>
        <w:tc>
          <w:tcPr>
            <w:tcW w:w="1530" w:type="dxa"/>
          </w:tcPr>
          <w:p w14:paraId="189F705C" w14:textId="0B3D991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0.79 </w:t>
            </w:r>
          </w:p>
        </w:tc>
      </w:tr>
      <w:tr w:rsidR="00287346" w:rsidRPr="004B754B" w14:paraId="339B50F8" w14:textId="77777777" w:rsidTr="00EB79C5">
        <w:trPr>
          <w:trHeight w:val="305"/>
        </w:trPr>
        <w:tc>
          <w:tcPr>
            <w:tcW w:w="1559" w:type="dxa"/>
            <w:noWrap/>
          </w:tcPr>
          <w:p w14:paraId="6BF72400" w14:textId="0ACD13E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MT</w:t>
            </w:r>
          </w:p>
        </w:tc>
        <w:tc>
          <w:tcPr>
            <w:tcW w:w="1559" w:type="dxa"/>
          </w:tcPr>
          <w:p w14:paraId="032D15B4" w14:textId="624375E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172 </w:t>
            </w:r>
          </w:p>
        </w:tc>
        <w:tc>
          <w:tcPr>
            <w:tcW w:w="1559" w:type="dxa"/>
          </w:tcPr>
          <w:p w14:paraId="73A65E0C" w14:textId="3D85629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0.78 </w:t>
            </w:r>
          </w:p>
        </w:tc>
        <w:tc>
          <w:tcPr>
            <w:tcW w:w="1618" w:type="dxa"/>
          </w:tcPr>
          <w:p w14:paraId="5072F363" w14:textId="099D86C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64F005A3" w14:textId="4063BAB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0.70 </w:t>
            </w:r>
          </w:p>
        </w:tc>
        <w:tc>
          <w:tcPr>
            <w:tcW w:w="1530" w:type="dxa"/>
          </w:tcPr>
          <w:p w14:paraId="671534E6" w14:textId="597537F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0.20 </w:t>
            </w:r>
          </w:p>
        </w:tc>
      </w:tr>
      <w:tr w:rsidR="00287346" w:rsidRPr="004B754B" w14:paraId="1D59DEA0" w14:textId="77777777" w:rsidTr="00EB79C5">
        <w:trPr>
          <w:trHeight w:val="305"/>
        </w:trPr>
        <w:tc>
          <w:tcPr>
            <w:tcW w:w="1559" w:type="dxa"/>
            <w:noWrap/>
          </w:tcPr>
          <w:p w14:paraId="412E4D65" w14:textId="609E035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NC</w:t>
            </w:r>
          </w:p>
        </w:tc>
        <w:tc>
          <w:tcPr>
            <w:tcW w:w="1559" w:type="dxa"/>
          </w:tcPr>
          <w:p w14:paraId="285BE68C" w14:textId="308F034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8A84DF1" w14:textId="69C60B6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BC30286" w14:textId="43EFF21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3449EB5" w14:textId="70FBF33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A8938EF" w14:textId="36175AE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75A3C52C" w14:textId="77777777" w:rsidTr="00EB79C5">
        <w:trPr>
          <w:trHeight w:val="305"/>
        </w:trPr>
        <w:tc>
          <w:tcPr>
            <w:tcW w:w="1559" w:type="dxa"/>
            <w:noWrap/>
          </w:tcPr>
          <w:p w14:paraId="13030349" w14:textId="69BD5F2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ND</w:t>
            </w:r>
          </w:p>
        </w:tc>
        <w:tc>
          <w:tcPr>
            <w:tcW w:w="1559" w:type="dxa"/>
          </w:tcPr>
          <w:p w14:paraId="75A1C7BB" w14:textId="3968067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12 </w:t>
            </w:r>
          </w:p>
        </w:tc>
        <w:tc>
          <w:tcPr>
            <w:tcW w:w="1559" w:type="dxa"/>
          </w:tcPr>
          <w:p w14:paraId="5A784452" w14:textId="018E3FF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618" w:type="dxa"/>
          </w:tcPr>
          <w:p w14:paraId="52E1F380" w14:textId="7637EC7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</w:t>
            </w:r>
            <w:r w:rsidR="00C440F8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</w:tcPr>
          <w:p w14:paraId="41475D0D" w14:textId="771F115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530" w:type="dxa"/>
          </w:tcPr>
          <w:p w14:paraId="69C9969C" w14:textId="0CCDB8C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 </w:t>
            </w:r>
          </w:p>
        </w:tc>
      </w:tr>
      <w:tr w:rsidR="00287346" w:rsidRPr="004B754B" w14:paraId="3564D28F" w14:textId="77777777" w:rsidTr="00EB79C5">
        <w:trPr>
          <w:trHeight w:val="305"/>
        </w:trPr>
        <w:tc>
          <w:tcPr>
            <w:tcW w:w="1559" w:type="dxa"/>
            <w:noWrap/>
          </w:tcPr>
          <w:p w14:paraId="06D771E7" w14:textId="53751E1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NE</w:t>
            </w:r>
          </w:p>
        </w:tc>
        <w:tc>
          <w:tcPr>
            <w:tcW w:w="1559" w:type="dxa"/>
          </w:tcPr>
          <w:p w14:paraId="123964C4" w14:textId="6CBE3AC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40 </w:t>
            </w:r>
          </w:p>
        </w:tc>
        <w:tc>
          <w:tcPr>
            <w:tcW w:w="1559" w:type="dxa"/>
          </w:tcPr>
          <w:p w14:paraId="3EDB6F5F" w14:textId="071481D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0.10 </w:t>
            </w:r>
          </w:p>
        </w:tc>
        <w:tc>
          <w:tcPr>
            <w:tcW w:w="1618" w:type="dxa"/>
          </w:tcPr>
          <w:p w14:paraId="034C63E3" w14:textId="5EBC03E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</w:t>
            </w:r>
            <w:r w:rsidR="00C440F8"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</w:tcPr>
          <w:p w14:paraId="24A09CCF" w14:textId="3CFAF0E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0.12 </w:t>
            </w:r>
          </w:p>
        </w:tc>
        <w:tc>
          <w:tcPr>
            <w:tcW w:w="1530" w:type="dxa"/>
          </w:tcPr>
          <w:p w14:paraId="40AC8486" w14:textId="299EFA9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</w:tr>
      <w:tr w:rsidR="00287346" w:rsidRPr="004B754B" w14:paraId="49CC0E53" w14:textId="77777777" w:rsidTr="00EB79C5">
        <w:trPr>
          <w:trHeight w:val="305"/>
        </w:trPr>
        <w:tc>
          <w:tcPr>
            <w:tcW w:w="1559" w:type="dxa"/>
            <w:noWrap/>
          </w:tcPr>
          <w:p w14:paraId="7892ECB1" w14:textId="0A91A2E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NH</w:t>
            </w:r>
          </w:p>
        </w:tc>
        <w:tc>
          <w:tcPr>
            <w:tcW w:w="1559" w:type="dxa"/>
          </w:tcPr>
          <w:p w14:paraId="378F3F22" w14:textId="3C155A7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0D75C682" w14:textId="75B59C3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7A4D23D1" w14:textId="6DAB8CA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C640AC6" w14:textId="3392E00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4FE45E4" w14:textId="206DAF6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3D103212" w14:textId="77777777" w:rsidTr="00EB79C5">
        <w:trPr>
          <w:trHeight w:val="305"/>
        </w:trPr>
        <w:tc>
          <w:tcPr>
            <w:tcW w:w="1559" w:type="dxa"/>
            <w:noWrap/>
          </w:tcPr>
          <w:p w14:paraId="5EDD870B" w14:textId="7DA1F94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NJ</w:t>
            </w:r>
          </w:p>
        </w:tc>
        <w:tc>
          <w:tcPr>
            <w:tcW w:w="1559" w:type="dxa"/>
          </w:tcPr>
          <w:p w14:paraId="739294A6" w14:textId="34407A8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595D9479" w14:textId="61D47CC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7615BCA5" w14:textId="0689735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AF30C37" w14:textId="2F7D7D7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92860A4" w14:textId="3216BDB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2AEAE211" w14:textId="77777777" w:rsidTr="00EB79C5">
        <w:trPr>
          <w:trHeight w:val="305"/>
        </w:trPr>
        <w:tc>
          <w:tcPr>
            <w:tcW w:w="1559" w:type="dxa"/>
            <w:noWrap/>
          </w:tcPr>
          <w:p w14:paraId="3A9D5B11" w14:textId="5C9077C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NM</w:t>
            </w:r>
          </w:p>
        </w:tc>
        <w:tc>
          <w:tcPr>
            <w:tcW w:w="1559" w:type="dxa"/>
          </w:tcPr>
          <w:p w14:paraId="41BB7BD5" w14:textId="06EE7F4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1,283 </w:t>
            </w:r>
          </w:p>
        </w:tc>
        <w:tc>
          <w:tcPr>
            <w:tcW w:w="1559" w:type="dxa"/>
          </w:tcPr>
          <w:p w14:paraId="508A805B" w14:textId="5F39151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C6B0510" w14:textId="026904B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0AE2721" w14:textId="4D21934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420019F" w14:textId="5A1DC38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51909BC3" w14:textId="77777777" w:rsidTr="00EB79C5">
        <w:trPr>
          <w:trHeight w:val="305"/>
        </w:trPr>
        <w:tc>
          <w:tcPr>
            <w:tcW w:w="1559" w:type="dxa"/>
            <w:noWrap/>
          </w:tcPr>
          <w:p w14:paraId="41A972D8" w14:textId="5991BB5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NV</w:t>
            </w:r>
          </w:p>
        </w:tc>
        <w:tc>
          <w:tcPr>
            <w:tcW w:w="1559" w:type="dxa"/>
          </w:tcPr>
          <w:p w14:paraId="1CA7AD06" w14:textId="3AEFCB1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7A58FE0" w14:textId="3E7F08F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58D7644" w14:textId="5C8464A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EFEEC24" w14:textId="760B346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4B5E7F7" w14:textId="7A4E94B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7C77C70F" w14:textId="77777777" w:rsidTr="00EB79C5">
        <w:trPr>
          <w:trHeight w:val="305"/>
        </w:trPr>
        <w:tc>
          <w:tcPr>
            <w:tcW w:w="1559" w:type="dxa"/>
            <w:noWrap/>
          </w:tcPr>
          <w:p w14:paraId="7B5E2941" w14:textId="0F76F77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NY</w:t>
            </w:r>
          </w:p>
        </w:tc>
        <w:tc>
          <w:tcPr>
            <w:tcW w:w="1559" w:type="dxa"/>
          </w:tcPr>
          <w:p w14:paraId="66619D58" w14:textId="06B993B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113 </w:t>
            </w:r>
          </w:p>
        </w:tc>
        <w:tc>
          <w:tcPr>
            <w:tcW w:w="1559" w:type="dxa"/>
          </w:tcPr>
          <w:p w14:paraId="49DE2730" w14:textId="542F883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0.51 </w:t>
            </w:r>
          </w:p>
        </w:tc>
        <w:tc>
          <w:tcPr>
            <w:tcW w:w="1618" w:type="dxa"/>
          </w:tcPr>
          <w:p w14:paraId="6A923DB1" w14:textId="61381FF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0.03 </w:t>
            </w:r>
          </w:p>
        </w:tc>
        <w:tc>
          <w:tcPr>
            <w:tcW w:w="1530" w:type="dxa"/>
          </w:tcPr>
          <w:p w14:paraId="0755A6AA" w14:textId="6899FB4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0.46 </w:t>
            </w:r>
          </w:p>
        </w:tc>
        <w:tc>
          <w:tcPr>
            <w:tcW w:w="1530" w:type="dxa"/>
          </w:tcPr>
          <w:p w14:paraId="7BE788CB" w14:textId="04426B1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0.13 </w:t>
            </w:r>
          </w:p>
        </w:tc>
      </w:tr>
      <w:tr w:rsidR="00287346" w:rsidRPr="004B754B" w14:paraId="7210D8D9" w14:textId="77777777" w:rsidTr="00EB79C5">
        <w:trPr>
          <w:trHeight w:val="305"/>
        </w:trPr>
        <w:tc>
          <w:tcPr>
            <w:tcW w:w="1559" w:type="dxa"/>
            <w:noWrap/>
          </w:tcPr>
          <w:p w14:paraId="439F61A0" w14:textId="02FD0C9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OH</w:t>
            </w:r>
          </w:p>
        </w:tc>
        <w:tc>
          <w:tcPr>
            <w:tcW w:w="1559" w:type="dxa"/>
          </w:tcPr>
          <w:p w14:paraId="54712019" w14:textId="06C7E97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249 </w:t>
            </w:r>
          </w:p>
        </w:tc>
        <w:tc>
          <w:tcPr>
            <w:tcW w:w="1559" w:type="dxa"/>
          </w:tcPr>
          <w:p w14:paraId="12E94B48" w14:textId="1AE93A5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1.13 </w:t>
            </w:r>
          </w:p>
        </w:tc>
        <w:tc>
          <w:tcPr>
            <w:tcW w:w="1618" w:type="dxa"/>
          </w:tcPr>
          <w:p w14:paraId="1AF9C7B9" w14:textId="6DC7023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0.06 </w:t>
            </w:r>
          </w:p>
        </w:tc>
        <w:tc>
          <w:tcPr>
            <w:tcW w:w="1530" w:type="dxa"/>
          </w:tcPr>
          <w:p w14:paraId="7B6FD161" w14:textId="4A9C643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1.01 </w:t>
            </w:r>
          </w:p>
        </w:tc>
        <w:tc>
          <w:tcPr>
            <w:tcW w:w="1530" w:type="dxa"/>
          </w:tcPr>
          <w:p w14:paraId="0BC079E4" w14:textId="4E8A1AD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0.29 </w:t>
            </w:r>
          </w:p>
        </w:tc>
      </w:tr>
      <w:tr w:rsidR="00287346" w:rsidRPr="004B754B" w14:paraId="7646D7E9" w14:textId="77777777" w:rsidTr="00EB79C5">
        <w:trPr>
          <w:trHeight w:val="305"/>
        </w:trPr>
        <w:tc>
          <w:tcPr>
            <w:tcW w:w="1559" w:type="dxa"/>
            <w:noWrap/>
          </w:tcPr>
          <w:p w14:paraId="2C54FB02" w14:textId="49B36F0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OK</w:t>
            </w:r>
          </w:p>
        </w:tc>
        <w:tc>
          <w:tcPr>
            <w:tcW w:w="1559" w:type="dxa"/>
          </w:tcPr>
          <w:p w14:paraId="532E35CC" w14:textId="60020BD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1,382 </w:t>
            </w:r>
          </w:p>
        </w:tc>
        <w:tc>
          <w:tcPr>
            <w:tcW w:w="1559" w:type="dxa"/>
          </w:tcPr>
          <w:p w14:paraId="2ED2A42F" w14:textId="6956756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0.86 </w:t>
            </w:r>
          </w:p>
        </w:tc>
        <w:tc>
          <w:tcPr>
            <w:tcW w:w="1618" w:type="dxa"/>
          </w:tcPr>
          <w:p w14:paraId="61F16714" w14:textId="58E0A5F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050C5977" w14:textId="2ADFCE5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0.58 </w:t>
            </w:r>
          </w:p>
        </w:tc>
        <w:tc>
          <w:tcPr>
            <w:tcW w:w="1530" w:type="dxa"/>
          </w:tcPr>
          <w:p w14:paraId="45D0CC9F" w14:textId="0C60B44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0.42 </w:t>
            </w:r>
          </w:p>
        </w:tc>
      </w:tr>
      <w:tr w:rsidR="00287346" w:rsidRPr="004B754B" w14:paraId="3E395F60" w14:textId="77777777" w:rsidTr="00EB79C5">
        <w:trPr>
          <w:trHeight w:val="305"/>
        </w:trPr>
        <w:tc>
          <w:tcPr>
            <w:tcW w:w="1559" w:type="dxa"/>
            <w:noWrap/>
          </w:tcPr>
          <w:p w14:paraId="26134401" w14:textId="5CCF3C1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OR</w:t>
            </w:r>
          </w:p>
        </w:tc>
        <w:tc>
          <w:tcPr>
            <w:tcW w:w="1559" w:type="dxa"/>
          </w:tcPr>
          <w:p w14:paraId="4C249119" w14:textId="4B5CA7A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9 </w:t>
            </w:r>
          </w:p>
        </w:tc>
        <w:tc>
          <w:tcPr>
            <w:tcW w:w="1559" w:type="dxa"/>
          </w:tcPr>
          <w:p w14:paraId="31DF4D27" w14:textId="50D42EA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618" w:type="dxa"/>
          </w:tcPr>
          <w:p w14:paraId="5E9FA3E3" w14:textId="70C87BB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0.002 </w:t>
            </w:r>
          </w:p>
        </w:tc>
        <w:tc>
          <w:tcPr>
            <w:tcW w:w="1530" w:type="dxa"/>
          </w:tcPr>
          <w:p w14:paraId="2D5F29B0" w14:textId="372262A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36CEFFD5" w14:textId="713C897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 </w:t>
            </w:r>
          </w:p>
        </w:tc>
      </w:tr>
      <w:tr w:rsidR="00287346" w:rsidRPr="004B754B" w14:paraId="364C4202" w14:textId="77777777" w:rsidTr="00EB79C5">
        <w:trPr>
          <w:trHeight w:val="305"/>
        </w:trPr>
        <w:tc>
          <w:tcPr>
            <w:tcW w:w="1559" w:type="dxa"/>
            <w:noWrap/>
          </w:tcPr>
          <w:p w14:paraId="26954D13" w14:textId="1189AD9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PA</w:t>
            </w:r>
          </w:p>
        </w:tc>
        <w:tc>
          <w:tcPr>
            <w:tcW w:w="1559" w:type="dxa"/>
          </w:tcPr>
          <w:p w14:paraId="48BAA3A6" w14:textId="4431BC9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64 </w:t>
            </w:r>
          </w:p>
        </w:tc>
        <w:tc>
          <w:tcPr>
            <w:tcW w:w="1559" w:type="dxa"/>
          </w:tcPr>
          <w:p w14:paraId="3B24F7AA" w14:textId="6F14851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0.29 </w:t>
            </w:r>
          </w:p>
        </w:tc>
        <w:tc>
          <w:tcPr>
            <w:tcW w:w="1618" w:type="dxa"/>
          </w:tcPr>
          <w:p w14:paraId="143DFEDD" w14:textId="778C0B2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0.02 </w:t>
            </w:r>
          </w:p>
        </w:tc>
        <w:tc>
          <w:tcPr>
            <w:tcW w:w="1530" w:type="dxa"/>
          </w:tcPr>
          <w:p w14:paraId="2967306A" w14:textId="5BBA00B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0.26 </w:t>
            </w:r>
          </w:p>
        </w:tc>
        <w:tc>
          <w:tcPr>
            <w:tcW w:w="1530" w:type="dxa"/>
          </w:tcPr>
          <w:p w14:paraId="76B91AF6" w14:textId="28D2296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0.07 </w:t>
            </w:r>
          </w:p>
        </w:tc>
      </w:tr>
      <w:tr w:rsidR="00287346" w:rsidRPr="004B754B" w14:paraId="6DD0E661" w14:textId="77777777" w:rsidTr="00EB79C5">
        <w:trPr>
          <w:trHeight w:val="305"/>
        </w:trPr>
        <w:tc>
          <w:tcPr>
            <w:tcW w:w="1559" w:type="dxa"/>
            <w:noWrap/>
          </w:tcPr>
          <w:p w14:paraId="69D7DF7A" w14:textId="7B598F1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PR</w:t>
            </w:r>
          </w:p>
        </w:tc>
        <w:tc>
          <w:tcPr>
            <w:tcW w:w="1559" w:type="dxa"/>
          </w:tcPr>
          <w:p w14:paraId="19A54994" w14:textId="1B48813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50468B6" w14:textId="1E3151B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453205ED" w14:textId="641EBF7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B1A4006" w14:textId="2CB2EB3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916E160" w14:textId="21939C3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5AF23DC3" w14:textId="77777777" w:rsidTr="00EB79C5">
        <w:trPr>
          <w:trHeight w:val="305"/>
        </w:trPr>
        <w:tc>
          <w:tcPr>
            <w:tcW w:w="1559" w:type="dxa"/>
            <w:noWrap/>
          </w:tcPr>
          <w:p w14:paraId="525C0A81" w14:textId="756DC58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RI</w:t>
            </w:r>
          </w:p>
        </w:tc>
        <w:tc>
          <w:tcPr>
            <w:tcW w:w="1559" w:type="dxa"/>
          </w:tcPr>
          <w:p w14:paraId="300BE708" w14:textId="6838969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53AAF486" w14:textId="5845E27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073919E" w14:textId="23D4679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4CA64B8A" w14:textId="73BD613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2ACD19D" w14:textId="3B784F2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1E64045D" w14:textId="77777777" w:rsidTr="00EB79C5">
        <w:trPr>
          <w:trHeight w:val="305"/>
        </w:trPr>
        <w:tc>
          <w:tcPr>
            <w:tcW w:w="1559" w:type="dxa"/>
            <w:noWrap/>
          </w:tcPr>
          <w:p w14:paraId="5EFAC684" w14:textId="628F3FE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SC</w:t>
            </w:r>
          </w:p>
        </w:tc>
        <w:tc>
          <w:tcPr>
            <w:tcW w:w="1559" w:type="dxa"/>
          </w:tcPr>
          <w:p w14:paraId="559EA2AC" w14:textId="14F3F96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41D38FD4" w14:textId="1D13538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C418EB5" w14:textId="0403352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A0C95AA" w14:textId="6D10EDF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FD6616A" w14:textId="40241BB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340D0D1D" w14:textId="77777777" w:rsidTr="00EB79C5">
        <w:trPr>
          <w:trHeight w:val="305"/>
        </w:trPr>
        <w:tc>
          <w:tcPr>
            <w:tcW w:w="1559" w:type="dxa"/>
            <w:noWrap/>
          </w:tcPr>
          <w:p w14:paraId="39966467" w14:textId="574444B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SD</w:t>
            </w:r>
          </w:p>
        </w:tc>
        <w:tc>
          <w:tcPr>
            <w:tcW w:w="1559" w:type="dxa"/>
          </w:tcPr>
          <w:p w14:paraId="5996A1AE" w14:textId="1BC2E3D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2.5 </w:t>
            </w:r>
          </w:p>
        </w:tc>
        <w:tc>
          <w:tcPr>
            <w:tcW w:w="1559" w:type="dxa"/>
          </w:tcPr>
          <w:p w14:paraId="02C56E06" w14:textId="2AD5DAA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0.0115 </w:t>
            </w:r>
          </w:p>
        </w:tc>
        <w:tc>
          <w:tcPr>
            <w:tcW w:w="1618" w:type="dxa"/>
          </w:tcPr>
          <w:p w14:paraId="6B1A9F8A" w14:textId="34B7044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0.0007 </w:t>
            </w:r>
          </w:p>
        </w:tc>
        <w:tc>
          <w:tcPr>
            <w:tcW w:w="1530" w:type="dxa"/>
          </w:tcPr>
          <w:p w14:paraId="77675649" w14:textId="46F0BA8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0.0103 </w:t>
            </w:r>
          </w:p>
        </w:tc>
        <w:tc>
          <w:tcPr>
            <w:tcW w:w="1530" w:type="dxa"/>
          </w:tcPr>
          <w:p w14:paraId="526627AE" w14:textId="0011C67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0.0029 </w:t>
            </w:r>
          </w:p>
        </w:tc>
      </w:tr>
      <w:tr w:rsidR="00287346" w:rsidRPr="004B754B" w14:paraId="695FEB35" w14:textId="77777777" w:rsidTr="00EB79C5">
        <w:trPr>
          <w:trHeight w:val="305"/>
        </w:trPr>
        <w:tc>
          <w:tcPr>
            <w:tcW w:w="1559" w:type="dxa"/>
            <w:noWrap/>
          </w:tcPr>
          <w:p w14:paraId="7C9F6211" w14:textId="0FA4375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TN</w:t>
            </w:r>
          </w:p>
        </w:tc>
        <w:tc>
          <w:tcPr>
            <w:tcW w:w="1559" w:type="dxa"/>
          </w:tcPr>
          <w:p w14:paraId="09821107" w14:textId="0B20D35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10 </w:t>
            </w:r>
          </w:p>
        </w:tc>
        <w:tc>
          <w:tcPr>
            <w:tcW w:w="1559" w:type="dxa"/>
          </w:tcPr>
          <w:p w14:paraId="5DD3EDEB" w14:textId="16A5F5E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618" w:type="dxa"/>
          </w:tcPr>
          <w:p w14:paraId="265B28F0" w14:textId="4EBEB05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0.00</w:t>
            </w:r>
            <w:r w:rsidR="006D6B18">
              <w:rPr>
                <w:rFonts w:ascii="Times New Roman" w:hAnsi="Times New Roman"/>
              </w:rPr>
              <w:t>2</w:t>
            </w:r>
            <w:r w:rsidRPr="002873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</w:tcPr>
          <w:p w14:paraId="123E4D7E" w14:textId="105DAFE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7B2F8721" w14:textId="1E182C0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 </w:t>
            </w:r>
          </w:p>
        </w:tc>
      </w:tr>
      <w:tr w:rsidR="00287346" w:rsidRPr="004B754B" w14:paraId="36E6B59D" w14:textId="77777777" w:rsidTr="00EB79C5">
        <w:trPr>
          <w:trHeight w:val="305"/>
        </w:trPr>
        <w:tc>
          <w:tcPr>
            <w:tcW w:w="1559" w:type="dxa"/>
            <w:noWrap/>
          </w:tcPr>
          <w:p w14:paraId="2BD4B409" w14:textId="37C6148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lastRenderedPageBreak/>
              <w:t>TX</w:t>
            </w:r>
          </w:p>
        </w:tc>
        <w:tc>
          <w:tcPr>
            <w:tcW w:w="1559" w:type="dxa"/>
          </w:tcPr>
          <w:p w14:paraId="1A0B95C3" w14:textId="48AC4A5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11,159 </w:t>
            </w:r>
          </w:p>
        </w:tc>
        <w:tc>
          <w:tcPr>
            <w:tcW w:w="1559" w:type="dxa"/>
          </w:tcPr>
          <w:p w14:paraId="497D212C" w14:textId="4F232DB5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12.83 </w:t>
            </w:r>
          </w:p>
        </w:tc>
        <w:tc>
          <w:tcPr>
            <w:tcW w:w="1618" w:type="dxa"/>
          </w:tcPr>
          <w:p w14:paraId="606E6BD3" w14:textId="15BB5FC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0.29 </w:t>
            </w:r>
          </w:p>
        </w:tc>
        <w:tc>
          <w:tcPr>
            <w:tcW w:w="1530" w:type="dxa"/>
          </w:tcPr>
          <w:p w14:paraId="072B6B80" w14:textId="23361D7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5.03 </w:t>
            </w:r>
          </w:p>
        </w:tc>
        <w:tc>
          <w:tcPr>
            <w:tcW w:w="1530" w:type="dxa"/>
          </w:tcPr>
          <w:p w14:paraId="27C7CBEB" w14:textId="138F517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4.25 </w:t>
            </w:r>
          </w:p>
        </w:tc>
      </w:tr>
      <w:tr w:rsidR="00287346" w:rsidRPr="004B754B" w14:paraId="7D7EDEB4" w14:textId="77777777" w:rsidTr="00EB79C5">
        <w:trPr>
          <w:trHeight w:val="305"/>
        </w:trPr>
        <w:tc>
          <w:tcPr>
            <w:tcW w:w="1559" w:type="dxa"/>
            <w:noWrap/>
          </w:tcPr>
          <w:p w14:paraId="3F632022" w14:textId="1F2FA27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UT</w:t>
            </w:r>
          </w:p>
        </w:tc>
        <w:tc>
          <w:tcPr>
            <w:tcW w:w="1559" w:type="dxa"/>
          </w:tcPr>
          <w:p w14:paraId="58D49C28" w14:textId="2FD2D1C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47 </w:t>
            </w:r>
          </w:p>
        </w:tc>
        <w:tc>
          <w:tcPr>
            <w:tcW w:w="1559" w:type="dxa"/>
          </w:tcPr>
          <w:p w14:paraId="6F778245" w14:textId="64BB747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0.24 </w:t>
            </w:r>
          </w:p>
        </w:tc>
        <w:tc>
          <w:tcPr>
            <w:tcW w:w="1618" w:type="dxa"/>
          </w:tcPr>
          <w:p w14:paraId="56CD85CE" w14:textId="770A512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0.0137 </w:t>
            </w:r>
          </w:p>
        </w:tc>
        <w:tc>
          <w:tcPr>
            <w:tcW w:w="1530" w:type="dxa"/>
          </w:tcPr>
          <w:p w14:paraId="259309AD" w14:textId="3B13628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0.22 </w:t>
            </w:r>
          </w:p>
        </w:tc>
        <w:tc>
          <w:tcPr>
            <w:tcW w:w="1530" w:type="dxa"/>
          </w:tcPr>
          <w:p w14:paraId="14E70386" w14:textId="12294EE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0.10 </w:t>
            </w:r>
          </w:p>
        </w:tc>
      </w:tr>
      <w:tr w:rsidR="00287346" w:rsidRPr="004B754B" w14:paraId="3DC5CA63" w14:textId="77777777" w:rsidTr="00EB79C5">
        <w:trPr>
          <w:trHeight w:val="305"/>
        </w:trPr>
        <w:tc>
          <w:tcPr>
            <w:tcW w:w="1559" w:type="dxa"/>
            <w:noWrap/>
          </w:tcPr>
          <w:p w14:paraId="05D7C627" w14:textId="09A0072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VA</w:t>
            </w:r>
          </w:p>
        </w:tc>
        <w:tc>
          <w:tcPr>
            <w:tcW w:w="1559" w:type="dxa"/>
          </w:tcPr>
          <w:p w14:paraId="41D979F2" w14:textId="0203C1D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184 </w:t>
            </w:r>
          </w:p>
        </w:tc>
        <w:tc>
          <w:tcPr>
            <w:tcW w:w="1559" w:type="dxa"/>
          </w:tcPr>
          <w:p w14:paraId="4F280018" w14:textId="0B1FFF8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0.83 </w:t>
            </w:r>
          </w:p>
        </w:tc>
        <w:tc>
          <w:tcPr>
            <w:tcW w:w="1618" w:type="dxa"/>
          </w:tcPr>
          <w:p w14:paraId="4C9887FD" w14:textId="14FBE5D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530" w:type="dxa"/>
          </w:tcPr>
          <w:p w14:paraId="12A5C4A3" w14:textId="0752FE4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0.74 </w:t>
            </w:r>
          </w:p>
        </w:tc>
        <w:tc>
          <w:tcPr>
            <w:tcW w:w="1530" w:type="dxa"/>
          </w:tcPr>
          <w:p w14:paraId="7C755EE1" w14:textId="7B04205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0.21 </w:t>
            </w:r>
          </w:p>
        </w:tc>
      </w:tr>
      <w:tr w:rsidR="00287346" w:rsidRPr="004B754B" w14:paraId="7AF572AF" w14:textId="77777777" w:rsidTr="00EB79C5">
        <w:trPr>
          <w:trHeight w:val="305"/>
        </w:trPr>
        <w:tc>
          <w:tcPr>
            <w:tcW w:w="1559" w:type="dxa"/>
            <w:noWrap/>
          </w:tcPr>
          <w:p w14:paraId="7B56F48D" w14:textId="600AB0F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VI</w:t>
            </w:r>
          </w:p>
        </w:tc>
        <w:tc>
          <w:tcPr>
            <w:tcW w:w="1559" w:type="dxa"/>
          </w:tcPr>
          <w:p w14:paraId="51F0C19A" w14:textId="2F10F7E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C401EDE" w14:textId="6A4F429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2ECF008" w14:textId="17BF735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6C14464" w14:textId="3B57F47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F696FDE" w14:textId="2F494C5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55554C3E" w14:textId="77777777" w:rsidTr="00EB79C5">
        <w:trPr>
          <w:trHeight w:val="305"/>
        </w:trPr>
        <w:tc>
          <w:tcPr>
            <w:tcW w:w="1559" w:type="dxa"/>
            <w:noWrap/>
          </w:tcPr>
          <w:p w14:paraId="335F643E" w14:textId="7C429C8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VT</w:t>
            </w:r>
          </w:p>
        </w:tc>
        <w:tc>
          <w:tcPr>
            <w:tcW w:w="1559" w:type="dxa"/>
          </w:tcPr>
          <w:p w14:paraId="6D95791C" w14:textId="638BCCB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A54182B" w14:textId="5D67C32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272FD9CD" w14:textId="287BC35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1C35F71" w14:textId="5B60EAAA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F316750" w14:textId="0DFBB510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1D7D51E4" w14:textId="77777777" w:rsidTr="00EB79C5">
        <w:trPr>
          <w:trHeight w:val="305"/>
        </w:trPr>
        <w:tc>
          <w:tcPr>
            <w:tcW w:w="1559" w:type="dxa"/>
            <w:noWrap/>
          </w:tcPr>
          <w:p w14:paraId="69D9A9D4" w14:textId="4384C28C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WA</w:t>
            </w:r>
          </w:p>
        </w:tc>
        <w:tc>
          <w:tcPr>
            <w:tcW w:w="1559" w:type="dxa"/>
          </w:tcPr>
          <w:p w14:paraId="5E550BDF" w14:textId="082D135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FB54C64" w14:textId="023BDA6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940851F" w14:textId="3B38064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B3FEC92" w14:textId="41E0377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E6395FA" w14:textId="50D7A38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498B1058" w14:textId="77777777" w:rsidTr="00EB79C5">
        <w:trPr>
          <w:trHeight w:val="305"/>
        </w:trPr>
        <w:tc>
          <w:tcPr>
            <w:tcW w:w="1559" w:type="dxa"/>
            <w:noWrap/>
          </w:tcPr>
          <w:p w14:paraId="15781765" w14:textId="6404118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WI</w:t>
            </w:r>
          </w:p>
        </w:tc>
        <w:tc>
          <w:tcPr>
            <w:tcW w:w="1559" w:type="dxa"/>
          </w:tcPr>
          <w:p w14:paraId="3B264014" w14:textId="4C74944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4575168F" w14:textId="0B34AA9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37EF36E1" w14:textId="464EB646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F1921CA" w14:textId="04981EE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2322A3C" w14:textId="2A35BEFB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-   </w:t>
            </w:r>
          </w:p>
        </w:tc>
      </w:tr>
      <w:tr w:rsidR="00287346" w:rsidRPr="004B754B" w14:paraId="6CD113A3" w14:textId="77777777" w:rsidTr="00EB79C5">
        <w:trPr>
          <w:trHeight w:val="305"/>
        </w:trPr>
        <w:tc>
          <w:tcPr>
            <w:tcW w:w="1559" w:type="dxa"/>
            <w:noWrap/>
          </w:tcPr>
          <w:p w14:paraId="66CBA9AE" w14:textId="2F5D689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WV</w:t>
            </w:r>
          </w:p>
        </w:tc>
        <w:tc>
          <w:tcPr>
            <w:tcW w:w="1559" w:type="dxa"/>
          </w:tcPr>
          <w:p w14:paraId="2E395FFD" w14:textId="0D12260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738 </w:t>
            </w:r>
          </w:p>
        </w:tc>
        <w:tc>
          <w:tcPr>
            <w:tcW w:w="1559" w:type="dxa"/>
          </w:tcPr>
          <w:p w14:paraId="6A243656" w14:textId="7E83945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3.34 </w:t>
            </w:r>
          </w:p>
        </w:tc>
        <w:tc>
          <w:tcPr>
            <w:tcW w:w="1618" w:type="dxa"/>
          </w:tcPr>
          <w:p w14:paraId="0A4581BF" w14:textId="3CCE47C8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0.19 </w:t>
            </w:r>
          </w:p>
        </w:tc>
        <w:tc>
          <w:tcPr>
            <w:tcW w:w="1530" w:type="dxa"/>
          </w:tcPr>
          <w:p w14:paraId="278F4392" w14:textId="578B33A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2.97 </w:t>
            </w:r>
          </w:p>
        </w:tc>
        <w:tc>
          <w:tcPr>
            <w:tcW w:w="1530" w:type="dxa"/>
          </w:tcPr>
          <w:p w14:paraId="3E2000F2" w14:textId="49FD2EC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0.85 </w:t>
            </w:r>
          </w:p>
        </w:tc>
      </w:tr>
      <w:tr w:rsidR="00287346" w:rsidRPr="004B754B" w14:paraId="4F220994" w14:textId="77777777" w:rsidTr="00EB79C5">
        <w:trPr>
          <w:trHeight w:val="305"/>
        </w:trPr>
        <w:tc>
          <w:tcPr>
            <w:tcW w:w="1559" w:type="dxa"/>
            <w:noWrap/>
          </w:tcPr>
          <w:p w14:paraId="5280DFEE" w14:textId="6BFAE52D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WY</w:t>
            </w:r>
          </w:p>
        </w:tc>
        <w:tc>
          <w:tcPr>
            <w:tcW w:w="1559" w:type="dxa"/>
          </w:tcPr>
          <w:p w14:paraId="351B92FD" w14:textId="4B799BA2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141 </w:t>
            </w:r>
          </w:p>
        </w:tc>
        <w:tc>
          <w:tcPr>
            <w:tcW w:w="1559" w:type="dxa"/>
          </w:tcPr>
          <w:p w14:paraId="7DE2D277" w14:textId="28B551D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0.91 </w:t>
            </w:r>
          </w:p>
        </w:tc>
        <w:tc>
          <w:tcPr>
            <w:tcW w:w="1618" w:type="dxa"/>
          </w:tcPr>
          <w:p w14:paraId="01B12847" w14:textId="5A2C174F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0.07 </w:t>
            </w:r>
          </w:p>
        </w:tc>
        <w:tc>
          <w:tcPr>
            <w:tcW w:w="1530" w:type="dxa"/>
          </w:tcPr>
          <w:p w14:paraId="0462E7D1" w14:textId="22AF7DD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0.39 </w:t>
            </w:r>
          </w:p>
        </w:tc>
        <w:tc>
          <w:tcPr>
            <w:tcW w:w="1530" w:type="dxa"/>
          </w:tcPr>
          <w:p w14:paraId="6163DCFF" w14:textId="2596290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0.28 </w:t>
            </w:r>
          </w:p>
        </w:tc>
      </w:tr>
      <w:tr w:rsidR="00287346" w:rsidRPr="004B754B" w14:paraId="4347FB8C" w14:textId="77777777" w:rsidTr="001819ED">
        <w:trPr>
          <w:trHeight w:val="305"/>
        </w:trPr>
        <w:tc>
          <w:tcPr>
            <w:tcW w:w="1559" w:type="dxa"/>
            <w:shd w:val="clear" w:color="auto" w:fill="BFBFBF" w:themeFill="background1" w:themeFillShade="BF"/>
            <w:noWrap/>
          </w:tcPr>
          <w:p w14:paraId="03D1014A" w14:textId="6F713F61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>Total: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42B1634" w14:textId="4E83A0E7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21,967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3FF83B7" w14:textId="3D30F51E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42 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14:paraId="7C6CA725" w14:textId="7F479449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6F5521F6" w14:textId="32C9DC33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27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004CD62" w14:textId="087AE634" w:rsidR="00287346" w:rsidRPr="00287346" w:rsidRDefault="00287346" w:rsidP="0028734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287346">
              <w:rPr>
                <w:rFonts w:ascii="Times New Roman" w:hAnsi="Times New Roman"/>
              </w:rPr>
              <w:t xml:space="preserve"> 13 </w:t>
            </w:r>
          </w:p>
        </w:tc>
      </w:tr>
    </w:tbl>
    <w:p w14:paraId="6D583541" w14:textId="77777777" w:rsidR="00992F8B" w:rsidRDefault="00992F8B" w:rsidP="00992F8B">
      <w:pPr>
        <w:rPr>
          <w:rFonts w:ascii="Times New Roman" w:hAnsi="Times New Roman"/>
          <w:color w:val="000000"/>
          <w:spacing w:val="-3"/>
          <w:w w:val="105"/>
        </w:rPr>
      </w:pPr>
    </w:p>
    <w:p w14:paraId="602B4795" w14:textId="087E243B" w:rsidR="00AE696A" w:rsidRDefault="00AE696A" w:rsidP="008D19B6">
      <w:pPr>
        <w:rPr>
          <w:rFonts w:ascii="Times New Roman" w:hAnsi="Times New Roman"/>
        </w:rPr>
      </w:pPr>
      <w:bookmarkStart w:id="2" w:name="_Hlk95291297"/>
      <w:r>
        <w:rPr>
          <w:rFonts w:ascii="Times New Roman" w:hAnsi="Times New Roman"/>
        </w:rPr>
        <w:t>Note that for New Mexico, the speciation data in the Tool for pneumatics at gas wells shows zero BTEX, so BTEX emissions for NM are zero</w:t>
      </w:r>
      <w:r w:rsidR="006A00BF">
        <w:rPr>
          <w:rFonts w:ascii="Times New Roman" w:hAnsi="Times New Roman"/>
        </w:rPr>
        <w:t xml:space="preserve"> as shown in Table 1</w:t>
      </w:r>
      <w:r>
        <w:rPr>
          <w:rFonts w:ascii="Times New Roman" w:hAnsi="Times New Roman"/>
        </w:rPr>
        <w:t>. A similar scenario is shown for ethylbenzene emissions in Arkansas, where the speciation data in the Tool for pneumatics at gas wells shows zero ethylbenzene.</w:t>
      </w:r>
    </w:p>
    <w:p w14:paraId="1FF2DDE9" w14:textId="77777777" w:rsidR="00AE696A" w:rsidRDefault="00AE696A" w:rsidP="008D19B6">
      <w:pPr>
        <w:rPr>
          <w:rFonts w:ascii="Times New Roman" w:hAnsi="Times New Roman"/>
        </w:rPr>
      </w:pPr>
    </w:p>
    <w:p w14:paraId="37FF64EF" w14:textId="4E82FDF7" w:rsidR="00B2129E" w:rsidRDefault="00B2129E" w:rsidP="008D19B6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</w:rPr>
        <w:t>A</w:t>
      </w:r>
      <w:r w:rsidR="008D19B6">
        <w:rPr>
          <w:rFonts w:ascii="Times New Roman" w:hAnsi="Times New Roman"/>
        </w:rPr>
        <w:t xml:space="preserve">ttachment A contains </w:t>
      </w:r>
      <w:r w:rsidR="00BF55EB">
        <w:rPr>
          <w:rFonts w:ascii="Times New Roman" w:hAnsi="Times New Roman"/>
        </w:rPr>
        <w:t>county-level VOC and BTEX estimates as well as all</w:t>
      </w:r>
      <w:r w:rsidR="008D19B6">
        <w:rPr>
          <w:rFonts w:ascii="Times New Roman" w:hAnsi="Times New Roman"/>
        </w:rPr>
        <w:t xml:space="preserve"> supporting data and calculations </w:t>
      </w:r>
      <w:r w:rsidR="00BF55EB">
        <w:rPr>
          <w:rFonts w:ascii="Times New Roman" w:hAnsi="Times New Roman"/>
        </w:rPr>
        <w:t>used to estimate</w:t>
      </w:r>
      <w:r w:rsidR="008D19B6">
        <w:rPr>
          <w:rFonts w:ascii="Times New Roman" w:hAnsi="Times New Roman"/>
        </w:rPr>
        <w:t xml:space="preserve"> emissions.</w:t>
      </w:r>
    </w:p>
    <w:p w14:paraId="364A858C" w14:textId="1F0D4ACD" w:rsidR="00B2129E" w:rsidRDefault="00B2129E" w:rsidP="00B2129E">
      <w:pPr>
        <w:rPr>
          <w:rFonts w:ascii="Times New Roman" w:hAnsi="Times New Roman"/>
          <w:color w:val="000000"/>
          <w:spacing w:val="-3"/>
          <w:w w:val="105"/>
        </w:rPr>
      </w:pPr>
    </w:p>
    <w:p w14:paraId="12681619" w14:textId="45EB60CA" w:rsidR="004F46FE" w:rsidRPr="00E67B4D" w:rsidRDefault="004F46FE" w:rsidP="007C1092">
      <w:pPr>
        <w:spacing w:before="36"/>
        <w:rPr>
          <w:rFonts w:ascii="Times New Roman" w:hAnsi="Times New Roman"/>
          <w:b/>
          <w:color w:val="000000"/>
          <w:spacing w:val="-3"/>
          <w:w w:val="105"/>
        </w:rPr>
      </w:pPr>
      <w:r w:rsidRPr="00E67B4D">
        <w:rPr>
          <w:rFonts w:ascii="Times New Roman" w:hAnsi="Times New Roman"/>
          <w:b/>
          <w:color w:val="000000"/>
          <w:spacing w:val="-3"/>
          <w:w w:val="105"/>
        </w:rPr>
        <w:t xml:space="preserve">Attachment A – </w:t>
      </w:r>
      <w:r>
        <w:rPr>
          <w:rFonts w:ascii="Times New Roman" w:hAnsi="Times New Roman"/>
          <w:b/>
          <w:color w:val="000000"/>
          <w:spacing w:val="-3"/>
          <w:w w:val="105"/>
        </w:rPr>
        <w:t>“</w:t>
      </w:r>
      <w:r w:rsidR="005A79C8" w:rsidRPr="00E67B4D">
        <w:rPr>
          <w:rFonts w:ascii="Times New Roman" w:hAnsi="Times New Roman"/>
          <w:b/>
          <w:color w:val="000000"/>
          <w:spacing w:val="-3"/>
          <w:w w:val="105"/>
        </w:rPr>
        <w:t xml:space="preserve">Attachment A – </w:t>
      </w:r>
      <w:r w:rsidR="008D19B6" w:rsidRPr="008D19B6">
        <w:rPr>
          <w:rFonts w:ascii="Times New Roman" w:hAnsi="Times New Roman"/>
          <w:b/>
          <w:color w:val="000000"/>
          <w:spacing w:val="-3"/>
          <w:w w:val="105"/>
        </w:rPr>
        <w:t>GHGRP Subpart W 202</w:t>
      </w:r>
      <w:r w:rsidR="006D6B18">
        <w:rPr>
          <w:rFonts w:ascii="Times New Roman" w:hAnsi="Times New Roman"/>
          <w:b/>
          <w:color w:val="000000"/>
          <w:spacing w:val="-3"/>
          <w:w w:val="105"/>
        </w:rPr>
        <w:t>3</w:t>
      </w:r>
      <w:r w:rsidR="008D19B6" w:rsidRPr="008D19B6">
        <w:rPr>
          <w:rFonts w:ascii="Times New Roman" w:hAnsi="Times New Roman"/>
          <w:b/>
          <w:color w:val="000000"/>
          <w:spacing w:val="-3"/>
          <w:w w:val="105"/>
        </w:rPr>
        <w:t xml:space="preserve"> Blowdown Emissions</w:t>
      </w:r>
      <w:r>
        <w:rPr>
          <w:rFonts w:ascii="Times New Roman" w:hAnsi="Times New Roman"/>
          <w:b/>
          <w:color w:val="000000"/>
          <w:spacing w:val="-3"/>
          <w:w w:val="105"/>
        </w:rPr>
        <w:t>.xlsx”</w:t>
      </w:r>
      <w:bookmarkEnd w:id="2"/>
    </w:p>
    <w:sectPr w:rsidR="004F46FE" w:rsidRPr="00E67B4D" w:rsidSect="00B73AA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9F65" w14:textId="77777777" w:rsidR="00054FA2" w:rsidRDefault="00054FA2" w:rsidP="00A0509A">
      <w:r>
        <w:separator/>
      </w:r>
    </w:p>
  </w:endnote>
  <w:endnote w:type="continuationSeparator" w:id="0">
    <w:p w14:paraId="392F2F8A" w14:textId="77777777" w:rsidR="00054FA2" w:rsidRDefault="00054FA2" w:rsidP="00A0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8668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CB0B93E" w14:textId="77777777" w:rsidR="002773C7" w:rsidRPr="00B80AB5" w:rsidRDefault="002773C7">
        <w:pPr>
          <w:pStyle w:val="Footer"/>
          <w:jc w:val="center"/>
          <w:rPr>
            <w:rFonts w:ascii="Times New Roman" w:hAnsi="Times New Roman"/>
          </w:rPr>
        </w:pPr>
        <w:r w:rsidRPr="00B80AB5">
          <w:rPr>
            <w:rFonts w:ascii="Times New Roman" w:hAnsi="Times New Roman"/>
          </w:rPr>
          <w:fldChar w:fldCharType="begin"/>
        </w:r>
        <w:r w:rsidRPr="00B80AB5">
          <w:rPr>
            <w:rFonts w:ascii="Times New Roman" w:hAnsi="Times New Roman"/>
          </w:rPr>
          <w:instrText xml:space="preserve"> PAGE   \* MERGEFORMAT </w:instrText>
        </w:r>
        <w:r w:rsidRPr="00B80AB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B80AB5">
          <w:rPr>
            <w:rFonts w:ascii="Times New Roman" w:hAnsi="Times New Roman"/>
            <w:noProof/>
          </w:rPr>
          <w:fldChar w:fldCharType="end"/>
        </w:r>
      </w:p>
    </w:sdtContent>
  </w:sdt>
  <w:p w14:paraId="62BF66E3" w14:textId="77777777" w:rsidR="002773C7" w:rsidRDefault="00277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D7B3" w14:textId="77777777" w:rsidR="00054FA2" w:rsidRDefault="00054FA2" w:rsidP="00A0509A">
      <w:r>
        <w:separator/>
      </w:r>
    </w:p>
  </w:footnote>
  <w:footnote w:type="continuationSeparator" w:id="0">
    <w:p w14:paraId="4F65AF16" w14:textId="77777777" w:rsidR="00054FA2" w:rsidRDefault="00054FA2" w:rsidP="00A0509A">
      <w:r>
        <w:continuationSeparator/>
      </w:r>
    </w:p>
  </w:footnote>
  <w:footnote w:id="1">
    <w:p w14:paraId="14E106A3" w14:textId="793B0C55" w:rsidR="00BF55EB" w:rsidRDefault="00BF55EB" w:rsidP="00BF55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C7A68" w:rsidRPr="00DC7A68">
        <w:t>https://enviro.epa.gov/query-builder/ghg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A4C"/>
    <w:multiLevelType w:val="hybridMultilevel"/>
    <w:tmpl w:val="FD68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01FB"/>
    <w:multiLevelType w:val="hybridMultilevel"/>
    <w:tmpl w:val="453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871"/>
    <w:multiLevelType w:val="hybridMultilevel"/>
    <w:tmpl w:val="133653C6"/>
    <w:lvl w:ilvl="0" w:tplc="A42C9C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5B0E"/>
    <w:multiLevelType w:val="hybridMultilevel"/>
    <w:tmpl w:val="0234D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CB6098"/>
    <w:multiLevelType w:val="hybridMultilevel"/>
    <w:tmpl w:val="D5A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F63B7"/>
    <w:multiLevelType w:val="hybridMultilevel"/>
    <w:tmpl w:val="BDA26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7C5"/>
    <w:multiLevelType w:val="hybridMultilevel"/>
    <w:tmpl w:val="29F64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E3312"/>
    <w:multiLevelType w:val="hybridMultilevel"/>
    <w:tmpl w:val="09EAA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361E3C"/>
    <w:multiLevelType w:val="hybridMultilevel"/>
    <w:tmpl w:val="12B4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27668"/>
    <w:multiLevelType w:val="hybridMultilevel"/>
    <w:tmpl w:val="8FE864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B361C8C"/>
    <w:multiLevelType w:val="hybridMultilevel"/>
    <w:tmpl w:val="01740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A4C7F"/>
    <w:multiLevelType w:val="hybridMultilevel"/>
    <w:tmpl w:val="EE18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3EAC"/>
    <w:multiLevelType w:val="hybridMultilevel"/>
    <w:tmpl w:val="1842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82522"/>
    <w:multiLevelType w:val="multilevel"/>
    <w:tmpl w:val="69788E70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0C7D3C"/>
    <w:multiLevelType w:val="hybridMultilevel"/>
    <w:tmpl w:val="53CC1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9E5C2D"/>
    <w:multiLevelType w:val="multilevel"/>
    <w:tmpl w:val="E73A5EC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8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5C78BC"/>
    <w:multiLevelType w:val="hybridMultilevel"/>
    <w:tmpl w:val="2572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894"/>
    <w:multiLevelType w:val="hybridMultilevel"/>
    <w:tmpl w:val="9B080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480FF9"/>
    <w:multiLevelType w:val="multilevel"/>
    <w:tmpl w:val="0F42C996"/>
    <w:lvl w:ilvl="0">
      <w:start w:val="5"/>
      <w:numFmt w:val="upperRoman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/>
        <w:b/>
        <w:strike w:val="0"/>
        <w:color w:val="000000"/>
        <w:spacing w:val="3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8927727">
    <w:abstractNumId w:val="15"/>
  </w:num>
  <w:num w:numId="2" w16cid:durableId="946236080">
    <w:abstractNumId w:val="13"/>
  </w:num>
  <w:num w:numId="3" w16cid:durableId="80491942">
    <w:abstractNumId w:val="18"/>
  </w:num>
  <w:num w:numId="4" w16cid:durableId="1094790986">
    <w:abstractNumId w:val="14"/>
  </w:num>
  <w:num w:numId="5" w16cid:durableId="966156116">
    <w:abstractNumId w:val="6"/>
  </w:num>
  <w:num w:numId="6" w16cid:durableId="1851749906">
    <w:abstractNumId w:val="9"/>
  </w:num>
  <w:num w:numId="7" w16cid:durableId="1329283375">
    <w:abstractNumId w:val="11"/>
  </w:num>
  <w:num w:numId="8" w16cid:durableId="1983389308">
    <w:abstractNumId w:val="7"/>
  </w:num>
  <w:num w:numId="9" w16cid:durableId="93089969">
    <w:abstractNumId w:val="17"/>
  </w:num>
  <w:num w:numId="10" w16cid:durableId="1872838874">
    <w:abstractNumId w:val="5"/>
  </w:num>
  <w:num w:numId="11" w16cid:durableId="377441542">
    <w:abstractNumId w:val="10"/>
  </w:num>
  <w:num w:numId="12" w16cid:durableId="1524980817">
    <w:abstractNumId w:val="2"/>
  </w:num>
  <w:num w:numId="13" w16cid:durableId="2075812053">
    <w:abstractNumId w:val="3"/>
  </w:num>
  <w:num w:numId="14" w16cid:durableId="711348968">
    <w:abstractNumId w:val="4"/>
  </w:num>
  <w:num w:numId="15" w16cid:durableId="52893829">
    <w:abstractNumId w:val="1"/>
  </w:num>
  <w:num w:numId="16" w16cid:durableId="1967351641">
    <w:abstractNumId w:val="12"/>
  </w:num>
  <w:num w:numId="17" w16cid:durableId="1236009383">
    <w:abstractNumId w:val="8"/>
  </w:num>
  <w:num w:numId="18" w16cid:durableId="1847280997">
    <w:abstractNumId w:val="16"/>
  </w:num>
  <w:num w:numId="19" w16cid:durableId="95560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9A"/>
    <w:rsid w:val="00001B8A"/>
    <w:rsid w:val="000126C2"/>
    <w:rsid w:val="000141D3"/>
    <w:rsid w:val="00014EF5"/>
    <w:rsid w:val="00017EEB"/>
    <w:rsid w:val="00033EDE"/>
    <w:rsid w:val="000444B2"/>
    <w:rsid w:val="00052050"/>
    <w:rsid w:val="000535EF"/>
    <w:rsid w:val="000546E0"/>
    <w:rsid w:val="00054FA2"/>
    <w:rsid w:val="00086C1B"/>
    <w:rsid w:val="0009431C"/>
    <w:rsid w:val="00097735"/>
    <w:rsid w:val="000A11C5"/>
    <w:rsid w:val="000B0AC5"/>
    <w:rsid w:val="000B3E4A"/>
    <w:rsid w:val="000C5C8A"/>
    <w:rsid w:val="000C7C18"/>
    <w:rsid w:val="000E2195"/>
    <w:rsid w:val="000E7EC3"/>
    <w:rsid w:val="00134A97"/>
    <w:rsid w:val="001405B5"/>
    <w:rsid w:val="0015134B"/>
    <w:rsid w:val="001819ED"/>
    <w:rsid w:val="0018441A"/>
    <w:rsid w:val="00192342"/>
    <w:rsid w:val="00196225"/>
    <w:rsid w:val="001A671E"/>
    <w:rsid w:val="001C2E9A"/>
    <w:rsid w:val="001C7192"/>
    <w:rsid w:val="001C7885"/>
    <w:rsid w:val="001D3317"/>
    <w:rsid w:val="001D7E1E"/>
    <w:rsid w:val="001E648E"/>
    <w:rsid w:val="001F74BD"/>
    <w:rsid w:val="0021005D"/>
    <w:rsid w:val="00214530"/>
    <w:rsid w:val="00216D0B"/>
    <w:rsid w:val="0022238F"/>
    <w:rsid w:val="002274A2"/>
    <w:rsid w:val="0023292A"/>
    <w:rsid w:val="00233E90"/>
    <w:rsid w:val="00234BA6"/>
    <w:rsid w:val="00251A23"/>
    <w:rsid w:val="00274561"/>
    <w:rsid w:val="00276C20"/>
    <w:rsid w:val="002773C7"/>
    <w:rsid w:val="00287346"/>
    <w:rsid w:val="002906AA"/>
    <w:rsid w:val="002B0E80"/>
    <w:rsid w:val="002C2187"/>
    <w:rsid w:val="002E4773"/>
    <w:rsid w:val="002F5231"/>
    <w:rsid w:val="00302EAC"/>
    <w:rsid w:val="00303B47"/>
    <w:rsid w:val="003220A1"/>
    <w:rsid w:val="00324585"/>
    <w:rsid w:val="003327E1"/>
    <w:rsid w:val="00335C3D"/>
    <w:rsid w:val="00343928"/>
    <w:rsid w:val="003533F2"/>
    <w:rsid w:val="00356153"/>
    <w:rsid w:val="003636B0"/>
    <w:rsid w:val="00365674"/>
    <w:rsid w:val="0036689B"/>
    <w:rsid w:val="0036778F"/>
    <w:rsid w:val="00367892"/>
    <w:rsid w:val="00370817"/>
    <w:rsid w:val="00396B3A"/>
    <w:rsid w:val="003A24B2"/>
    <w:rsid w:val="003A36EE"/>
    <w:rsid w:val="003C553A"/>
    <w:rsid w:val="003E52B3"/>
    <w:rsid w:val="003F2CF6"/>
    <w:rsid w:val="004015D0"/>
    <w:rsid w:val="004206B8"/>
    <w:rsid w:val="00427175"/>
    <w:rsid w:val="004301AE"/>
    <w:rsid w:val="0043692E"/>
    <w:rsid w:val="004369C8"/>
    <w:rsid w:val="00471E0B"/>
    <w:rsid w:val="00475AF3"/>
    <w:rsid w:val="004B754B"/>
    <w:rsid w:val="004D00AE"/>
    <w:rsid w:val="004E52AA"/>
    <w:rsid w:val="004E633E"/>
    <w:rsid w:val="004F3679"/>
    <w:rsid w:val="004F46FE"/>
    <w:rsid w:val="005043F5"/>
    <w:rsid w:val="00515DFA"/>
    <w:rsid w:val="00523D40"/>
    <w:rsid w:val="0053592D"/>
    <w:rsid w:val="00535F2C"/>
    <w:rsid w:val="00544ECF"/>
    <w:rsid w:val="00545E4E"/>
    <w:rsid w:val="00575EC9"/>
    <w:rsid w:val="00586D58"/>
    <w:rsid w:val="0059640A"/>
    <w:rsid w:val="005A66E6"/>
    <w:rsid w:val="005A79C8"/>
    <w:rsid w:val="005B2C37"/>
    <w:rsid w:val="005C2241"/>
    <w:rsid w:val="005F229C"/>
    <w:rsid w:val="005F3BD1"/>
    <w:rsid w:val="005F60E4"/>
    <w:rsid w:val="00612A6E"/>
    <w:rsid w:val="00622AC5"/>
    <w:rsid w:val="0062530A"/>
    <w:rsid w:val="0063417B"/>
    <w:rsid w:val="00654134"/>
    <w:rsid w:val="006706A5"/>
    <w:rsid w:val="00675570"/>
    <w:rsid w:val="00676EF0"/>
    <w:rsid w:val="0068105F"/>
    <w:rsid w:val="00686F2C"/>
    <w:rsid w:val="006A00BF"/>
    <w:rsid w:val="006B4944"/>
    <w:rsid w:val="006B690C"/>
    <w:rsid w:val="006C4A9A"/>
    <w:rsid w:val="006D1691"/>
    <w:rsid w:val="006D68F5"/>
    <w:rsid w:val="006D6B18"/>
    <w:rsid w:val="006E2917"/>
    <w:rsid w:val="006E7DD1"/>
    <w:rsid w:val="00706D01"/>
    <w:rsid w:val="00711936"/>
    <w:rsid w:val="00712465"/>
    <w:rsid w:val="00730F67"/>
    <w:rsid w:val="00741148"/>
    <w:rsid w:val="0074742E"/>
    <w:rsid w:val="00750C35"/>
    <w:rsid w:val="00770ABF"/>
    <w:rsid w:val="007711D1"/>
    <w:rsid w:val="007756D3"/>
    <w:rsid w:val="00775D5B"/>
    <w:rsid w:val="007843C2"/>
    <w:rsid w:val="00791C0A"/>
    <w:rsid w:val="007A2D67"/>
    <w:rsid w:val="007A7120"/>
    <w:rsid w:val="007B57DE"/>
    <w:rsid w:val="007C0004"/>
    <w:rsid w:val="007C1092"/>
    <w:rsid w:val="007C4B41"/>
    <w:rsid w:val="007C7B85"/>
    <w:rsid w:val="007E0F7A"/>
    <w:rsid w:val="007E1F4E"/>
    <w:rsid w:val="007F0046"/>
    <w:rsid w:val="007F6852"/>
    <w:rsid w:val="00813B94"/>
    <w:rsid w:val="00817200"/>
    <w:rsid w:val="00821233"/>
    <w:rsid w:val="008218D8"/>
    <w:rsid w:val="008338F3"/>
    <w:rsid w:val="00836C28"/>
    <w:rsid w:val="0085125C"/>
    <w:rsid w:val="00860C58"/>
    <w:rsid w:val="00863ADA"/>
    <w:rsid w:val="00871C5E"/>
    <w:rsid w:val="00876FDE"/>
    <w:rsid w:val="008869B4"/>
    <w:rsid w:val="0089182E"/>
    <w:rsid w:val="008942E3"/>
    <w:rsid w:val="008A6116"/>
    <w:rsid w:val="008B149D"/>
    <w:rsid w:val="008B50A2"/>
    <w:rsid w:val="008D19B6"/>
    <w:rsid w:val="008F1B79"/>
    <w:rsid w:val="00905E26"/>
    <w:rsid w:val="00913E83"/>
    <w:rsid w:val="009256C0"/>
    <w:rsid w:val="00936EB1"/>
    <w:rsid w:val="00937B42"/>
    <w:rsid w:val="00945ADB"/>
    <w:rsid w:val="00950D2C"/>
    <w:rsid w:val="0095662A"/>
    <w:rsid w:val="009707BF"/>
    <w:rsid w:val="009760B3"/>
    <w:rsid w:val="00982D3B"/>
    <w:rsid w:val="00992F8B"/>
    <w:rsid w:val="009A6599"/>
    <w:rsid w:val="009B08AA"/>
    <w:rsid w:val="009B60EF"/>
    <w:rsid w:val="009C29BD"/>
    <w:rsid w:val="009D3519"/>
    <w:rsid w:val="009D35D2"/>
    <w:rsid w:val="009E6197"/>
    <w:rsid w:val="009F5365"/>
    <w:rsid w:val="00A0509A"/>
    <w:rsid w:val="00A148CA"/>
    <w:rsid w:val="00A16858"/>
    <w:rsid w:val="00A2362E"/>
    <w:rsid w:val="00A261F1"/>
    <w:rsid w:val="00A4438C"/>
    <w:rsid w:val="00A472A4"/>
    <w:rsid w:val="00A57C37"/>
    <w:rsid w:val="00A645C7"/>
    <w:rsid w:val="00A67474"/>
    <w:rsid w:val="00A6759B"/>
    <w:rsid w:val="00A8549F"/>
    <w:rsid w:val="00A8795F"/>
    <w:rsid w:val="00AA11C1"/>
    <w:rsid w:val="00AA7A59"/>
    <w:rsid w:val="00AC03CC"/>
    <w:rsid w:val="00AC1607"/>
    <w:rsid w:val="00AD06B6"/>
    <w:rsid w:val="00AD3274"/>
    <w:rsid w:val="00AD75DC"/>
    <w:rsid w:val="00AE054E"/>
    <w:rsid w:val="00AE31A8"/>
    <w:rsid w:val="00AE696A"/>
    <w:rsid w:val="00B00622"/>
    <w:rsid w:val="00B017D2"/>
    <w:rsid w:val="00B05A45"/>
    <w:rsid w:val="00B12ABD"/>
    <w:rsid w:val="00B15EA2"/>
    <w:rsid w:val="00B2129E"/>
    <w:rsid w:val="00B23AD9"/>
    <w:rsid w:val="00B32543"/>
    <w:rsid w:val="00B36E09"/>
    <w:rsid w:val="00B451AD"/>
    <w:rsid w:val="00B55C12"/>
    <w:rsid w:val="00B564E8"/>
    <w:rsid w:val="00B650B1"/>
    <w:rsid w:val="00B73AA9"/>
    <w:rsid w:val="00B77B7F"/>
    <w:rsid w:val="00B80AB5"/>
    <w:rsid w:val="00B875E5"/>
    <w:rsid w:val="00B91816"/>
    <w:rsid w:val="00B91BC5"/>
    <w:rsid w:val="00B939A3"/>
    <w:rsid w:val="00B94290"/>
    <w:rsid w:val="00BA7F8E"/>
    <w:rsid w:val="00BB242A"/>
    <w:rsid w:val="00BC0E59"/>
    <w:rsid w:val="00BC4753"/>
    <w:rsid w:val="00BE2B87"/>
    <w:rsid w:val="00BF55EB"/>
    <w:rsid w:val="00C02D74"/>
    <w:rsid w:val="00C351C8"/>
    <w:rsid w:val="00C42E47"/>
    <w:rsid w:val="00C433D3"/>
    <w:rsid w:val="00C440F8"/>
    <w:rsid w:val="00C471F1"/>
    <w:rsid w:val="00C62B4A"/>
    <w:rsid w:val="00C67E0B"/>
    <w:rsid w:val="00C826A1"/>
    <w:rsid w:val="00C8385D"/>
    <w:rsid w:val="00C84038"/>
    <w:rsid w:val="00C9375D"/>
    <w:rsid w:val="00CA1E81"/>
    <w:rsid w:val="00CB3CBB"/>
    <w:rsid w:val="00CC066F"/>
    <w:rsid w:val="00CC70EC"/>
    <w:rsid w:val="00CE16B9"/>
    <w:rsid w:val="00CF1098"/>
    <w:rsid w:val="00CF6100"/>
    <w:rsid w:val="00D007B8"/>
    <w:rsid w:val="00D05749"/>
    <w:rsid w:val="00D203BD"/>
    <w:rsid w:val="00D21DCA"/>
    <w:rsid w:val="00D71FC5"/>
    <w:rsid w:val="00D86F72"/>
    <w:rsid w:val="00D87BFE"/>
    <w:rsid w:val="00D9363D"/>
    <w:rsid w:val="00DA0761"/>
    <w:rsid w:val="00DA0978"/>
    <w:rsid w:val="00DA3287"/>
    <w:rsid w:val="00DB69C5"/>
    <w:rsid w:val="00DC7A68"/>
    <w:rsid w:val="00DE7DD5"/>
    <w:rsid w:val="00DF392B"/>
    <w:rsid w:val="00E00854"/>
    <w:rsid w:val="00E01A32"/>
    <w:rsid w:val="00E023EB"/>
    <w:rsid w:val="00E03128"/>
    <w:rsid w:val="00E0597B"/>
    <w:rsid w:val="00E05EDC"/>
    <w:rsid w:val="00E075C1"/>
    <w:rsid w:val="00E24D85"/>
    <w:rsid w:val="00E25CC7"/>
    <w:rsid w:val="00E25DFD"/>
    <w:rsid w:val="00E357C7"/>
    <w:rsid w:val="00E41917"/>
    <w:rsid w:val="00E41CD1"/>
    <w:rsid w:val="00E4506D"/>
    <w:rsid w:val="00E514DD"/>
    <w:rsid w:val="00E52005"/>
    <w:rsid w:val="00E60DB6"/>
    <w:rsid w:val="00E65B8F"/>
    <w:rsid w:val="00E67B4D"/>
    <w:rsid w:val="00E83FCC"/>
    <w:rsid w:val="00E85E62"/>
    <w:rsid w:val="00E86795"/>
    <w:rsid w:val="00EB211B"/>
    <w:rsid w:val="00EB4AA6"/>
    <w:rsid w:val="00EB79C5"/>
    <w:rsid w:val="00ED5E75"/>
    <w:rsid w:val="00ED72D4"/>
    <w:rsid w:val="00EE617F"/>
    <w:rsid w:val="00F04683"/>
    <w:rsid w:val="00F21E90"/>
    <w:rsid w:val="00F26495"/>
    <w:rsid w:val="00F41032"/>
    <w:rsid w:val="00F56A43"/>
    <w:rsid w:val="00F61A30"/>
    <w:rsid w:val="00F658DF"/>
    <w:rsid w:val="00F65CDC"/>
    <w:rsid w:val="00F7208C"/>
    <w:rsid w:val="00F817F5"/>
    <w:rsid w:val="00F97714"/>
    <w:rsid w:val="00FA135C"/>
    <w:rsid w:val="00FB3036"/>
    <w:rsid w:val="00FC0C37"/>
    <w:rsid w:val="00FC3D9C"/>
    <w:rsid w:val="00FE0EE8"/>
    <w:rsid w:val="00FE1316"/>
    <w:rsid w:val="00FF16CF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815A01D"/>
  <w15:docId w15:val="{C8F48D33-F7C7-4FF5-8DAC-C58760B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9A"/>
    <w:pPr>
      <w:spacing w:after="0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9A"/>
    <w:pPr>
      <w:spacing w:after="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A0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509A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09A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5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5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668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89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6689B"/>
    <w:rPr>
      <w:vertAlign w:val="superscript"/>
    </w:rPr>
  </w:style>
  <w:style w:type="paragraph" w:customStyle="1" w:styleId="ReportBullet">
    <w:name w:val="Report Bullet"/>
    <w:basedOn w:val="Normal"/>
    <w:uiPriority w:val="99"/>
    <w:rsid w:val="00196225"/>
    <w:pPr>
      <w:spacing w:after="60"/>
    </w:pPr>
  </w:style>
  <w:style w:type="paragraph" w:customStyle="1" w:styleId="Tabletitle-GHGPreamble">
    <w:name w:val="_Table title-GHG Preamble"/>
    <w:link w:val="Tabletitle-GHGPreambleChar"/>
    <w:uiPriority w:val="97"/>
    <w:unhideWhenUsed/>
    <w:rsid w:val="009B60EF"/>
    <w:pPr>
      <w:keepNext/>
      <w:spacing w:before="80" w:after="80"/>
      <w:outlineLvl w:val="0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Tabletitle-GHGPreambleChar">
    <w:name w:val="_Table title-GHG Preamble Char"/>
    <w:basedOn w:val="DefaultParagraphFont"/>
    <w:link w:val="Tabletitle-GHGPreamble"/>
    <w:uiPriority w:val="97"/>
    <w:rsid w:val="009B60EF"/>
    <w:rPr>
      <w:rFonts w:ascii="Courier New" w:eastAsia="Times New Roman" w:hAnsi="Courier New" w:cs="Courier New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E2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E26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03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B79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21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04B9A-44A8-4C41-B575-2A20217A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MOR-JTisano</dc:creator>
  <cp:lastModifiedBy>Vukovich, Jeffrey</cp:lastModifiedBy>
  <cp:revision>2</cp:revision>
  <cp:lastPrinted>2017-07-31T19:23:00Z</cp:lastPrinted>
  <dcterms:created xsi:type="dcterms:W3CDTF">2025-02-04T16:08:00Z</dcterms:created>
  <dcterms:modified xsi:type="dcterms:W3CDTF">2025-02-04T16:08:00Z</dcterms:modified>
</cp:coreProperties>
</file>