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b/>
          <w:sz w:val="28"/>
          <w:szCs w:val="32"/>
        </w:rPr>
        <w:drawing>
          <wp:anchor distT="0" distB="0" distL="114300" distR="114300" simplePos="0" relativeHeight="251665408" behindDoc="0" locked="0" layoutInCell="1" allowOverlap="1">
            <wp:simplePos x="0" y="0"/>
            <wp:positionH relativeFrom="margin">
              <wp:posOffset>-38735</wp:posOffset>
            </wp:positionH>
            <wp:positionV relativeFrom="paragraph">
              <wp:posOffset>-457200</wp:posOffset>
            </wp:positionV>
            <wp:extent cx="2276475" cy="324485"/>
            <wp:effectExtent l="0" t="0" r="0" b="5715"/>
            <wp:wrapNone/>
            <wp:docPr id="8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6475" cy="324485"/>
                    </a:xfrm>
                    <a:prstGeom prst="rect">
                      <a:avLst/>
                    </a:prstGeom>
                  </pic:spPr>
                </pic:pic>
              </a:graphicData>
            </a:graphic>
          </wp:anchor>
        </w:drawing>
      </w:r>
    </w:p>
    <w:p>
      <w:pPr>
        <w:rPr>
          <w:sz w:val="20"/>
        </w:rPr>
      </w:pPr>
      <w:r>
        <mc:AlternateContent>
          <mc:Choice Requires="wps">
            <w:drawing>
              <wp:anchor distT="0" distB="0" distL="114300" distR="114300" simplePos="0" relativeHeight="251663360" behindDoc="0" locked="0" layoutInCell="1" allowOverlap="1">
                <wp:simplePos x="0" y="0"/>
                <wp:positionH relativeFrom="column">
                  <wp:posOffset>-38100</wp:posOffset>
                </wp:positionH>
                <wp:positionV relativeFrom="paragraph">
                  <wp:posOffset>31750</wp:posOffset>
                </wp:positionV>
                <wp:extent cx="5972175" cy="0"/>
                <wp:effectExtent l="0" t="19050" r="47625" b="38100"/>
                <wp:wrapNone/>
                <wp:docPr id="68" name="Straight Connector 68"/>
                <wp:cNvGraphicFramePr/>
                <a:graphic xmlns:a="http://schemas.openxmlformats.org/drawingml/2006/main">
                  <a:graphicData uri="http://schemas.microsoft.com/office/word/2010/wordprocessingShape">
                    <wps:wsp>
                      <wps:cNvCnPr>
                        <a:cxnSpLocks noChangeShapeType="1"/>
                      </wps:cNvCnPr>
                      <wps:spPr bwMode="auto">
                        <a:xfrm>
                          <a:off x="0" y="0"/>
                          <a:ext cx="5972175" cy="0"/>
                        </a:xfrm>
                        <a:prstGeom prst="line">
                          <a:avLst/>
                        </a:prstGeom>
                        <a:noFill/>
                        <a:ln w="57150">
                          <a:solidFill>
                            <a:srgbClr val="000000"/>
                          </a:solidFill>
                          <a:round/>
                        </a:ln>
                      </wps:spPr>
                      <wps:bodyPr/>
                    </wps:wsp>
                  </a:graphicData>
                </a:graphic>
              </wp:anchor>
            </w:drawing>
          </mc:Choice>
          <mc:Fallback>
            <w:pict>
              <v:line id="Straight Connector 68" o:spid="_x0000_s1026" o:spt="20" style="position:absolute;left:0pt;margin-left:-3pt;margin-top:2.5pt;height:0pt;width:470.25pt;z-index:251663360;mso-width-relative:page;mso-height-relative:page;" filled="f" stroked="t" coordsize="21600,21600" o:gfxdata="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MkRvi2AAAAAYBAAAPAAAAAAAAAAEAIAAA&#10;ACIAAABkcnMvZG93bnJldi54bWxQSwECFAAUAAAACACHTuJAO9B4EdMBAACwAwAADgAAAAAAAAAB&#10;ACAAAAAnAQAAZHJzL2Uyb0RvYy54bWxQSwUGAAAAAAYABgBZAQAAbAUAAAAA&#10;">
                <v:fill on="f" focussize="0,0"/>
                <v:stroke weight="4.5pt" color="#000000" joinstyle="round"/>
                <v:imagedata o:title=""/>
                <o:lock v:ext="edit" aspectratio="f"/>
              </v:line>
            </w:pict>
          </mc:Fallback>
        </mc:AlternateContent>
      </w:r>
    </w:p>
    <w:p>
      <w:pPr>
        <w:spacing w:before="120" w:after="120"/>
        <w:rPr>
          <w:rFonts w:cs="Arial"/>
          <w:b/>
          <w:bCs/>
          <w:i/>
          <w:sz w:val="32"/>
          <w:szCs w:val="32"/>
        </w:rPr>
      </w:pPr>
      <w:r>
        <w:rPr>
          <w:rFonts w:cs="Arial"/>
          <w:b/>
          <w:bCs/>
          <w:i/>
          <w:sz w:val="32"/>
          <w:szCs w:val="32"/>
        </w:rPr>
        <w:t>Air Quality Modeling Assessment Tools (AQMAT) Development</w:t>
      </w:r>
    </w:p>
    <w:p>
      <w:pPr>
        <w:spacing w:before="120" w:after="120"/>
        <w:rPr>
          <w:rFonts w:cs="Arial"/>
          <w:b/>
          <w:bCs/>
          <w:i/>
          <w:sz w:val="32"/>
          <w:szCs w:val="32"/>
        </w:rPr>
      </w:pPr>
      <w:r>
        <w:rPr>
          <w:rFonts w:cs="Arial"/>
          <w:b/>
          <w:bCs/>
          <w:i/>
          <w:sz w:val="32"/>
          <w:szCs w:val="32"/>
        </w:rPr>
        <w:t>User’s Manual for Software for Model Attainment Test – Community Edition (SMAT-CE) 2.1</w:t>
      </w:r>
    </w:p>
    <w:p>
      <w:pPr>
        <w:rPr>
          <w:i/>
          <w:sz w:val="28"/>
        </w:rPr>
      </w:pPr>
    </w:p>
    <w:p>
      <w:pPr>
        <w:rPr>
          <w:rFonts w:cs="Arial"/>
          <w:sz w:val="28"/>
        </w:rPr>
      </w:pPr>
      <w:r>
        <w:rPr>
          <w:rFonts w:cs="Arial"/>
          <w:b/>
          <w:bCs/>
          <w:sz w:val="28"/>
        </w:rPr>
        <w:t>Contract No:</w:t>
      </w:r>
      <w:r>
        <w:rPr>
          <w:rFonts w:cs="Arial"/>
          <w:sz w:val="28"/>
        </w:rPr>
        <w:t xml:space="preserve"> </w:t>
      </w:r>
      <w:r>
        <w:rPr>
          <w:rFonts w:cs="Arial"/>
          <w:sz w:val="28"/>
        </w:rPr>
        <w:tab/>
      </w:r>
      <w:r>
        <w:rPr>
          <w:sz w:val="28"/>
        </w:rPr>
        <w:t>68HERD21A0002</w:t>
      </w:r>
    </w:p>
    <w:p>
      <w:pPr>
        <w:rPr>
          <w:rFonts w:cs="Arial"/>
          <w:sz w:val="28"/>
        </w:rPr>
      </w:pPr>
      <w:r>
        <w:rPr>
          <w:rFonts w:cs="Arial"/>
          <w:b/>
          <w:bCs/>
          <w:sz w:val="28"/>
        </w:rPr>
        <w:t>Task Order No</w:t>
      </w:r>
      <w:r>
        <w:rPr>
          <w:rFonts w:cs="Arial"/>
          <w:sz w:val="28"/>
        </w:rPr>
        <w:t>:</w:t>
      </w:r>
      <w:r>
        <w:rPr>
          <w:rFonts w:cs="Arial"/>
          <w:sz w:val="28"/>
        </w:rPr>
        <w:tab/>
      </w:r>
      <w:r>
        <w:rPr>
          <w:sz w:val="28"/>
        </w:rPr>
        <w:t>68HERH21F0334</w:t>
      </w:r>
    </w:p>
    <w:p>
      <w:pPr>
        <w:rPr>
          <w:rFonts w:cs="Arial"/>
          <w:sz w:val="28"/>
        </w:rPr>
      </w:pPr>
      <w:r>
        <w:rPr>
          <w:rFonts w:cs="Arial"/>
          <w:b/>
          <w:bCs/>
          <w:sz w:val="28"/>
        </w:rPr>
        <w:t>Version:</w:t>
      </w:r>
      <w:r>
        <w:rPr>
          <w:rFonts w:cs="Arial"/>
          <w:sz w:val="28"/>
        </w:rPr>
        <w:tab/>
      </w:r>
      <w:r>
        <w:rPr>
          <w:rFonts w:cs="Arial"/>
          <w:sz w:val="28"/>
        </w:rPr>
        <w:t xml:space="preserve">      01</w:t>
      </w:r>
    </w:p>
    <w:p>
      <w:pPr>
        <w:rPr>
          <w:sz w:val="28"/>
        </w:rPr>
      </w:pPr>
      <w:r>
        <mc:AlternateContent>
          <mc:Choice Requires="wps">
            <w:drawing>
              <wp:anchor distT="0" distB="0" distL="114300" distR="114300" simplePos="0" relativeHeight="251664384" behindDoc="0" locked="0" layoutInCell="1" allowOverlap="1">
                <wp:simplePos x="0" y="0"/>
                <wp:positionH relativeFrom="column">
                  <wp:posOffset>-38100</wp:posOffset>
                </wp:positionH>
                <wp:positionV relativeFrom="paragraph">
                  <wp:posOffset>88265</wp:posOffset>
                </wp:positionV>
                <wp:extent cx="5972175" cy="0"/>
                <wp:effectExtent l="0" t="19050" r="47625" b="38100"/>
                <wp:wrapNone/>
                <wp:docPr id="73" name="Straight Connector 73"/>
                <wp:cNvGraphicFramePr/>
                <a:graphic xmlns:a="http://schemas.openxmlformats.org/drawingml/2006/main">
                  <a:graphicData uri="http://schemas.microsoft.com/office/word/2010/wordprocessingShape">
                    <wps:wsp>
                      <wps:cNvCnPr>
                        <a:cxnSpLocks noChangeShapeType="1"/>
                      </wps:cNvCnPr>
                      <wps:spPr bwMode="auto">
                        <a:xfrm>
                          <a:off x="0" y="0"/>
                          <a:ext cx="5972175" cy="0"/>
                        </a:xfrm>
                        <a:prstGeom prst="line">
                          <a:avLst/>
                        </a:prstGeom>
                        <a:noFill/>
                        <a:ln w="57150">
                          <a:solidFill>
                            <a:srgbClr val="000000"/>
                          </a:solidFill>
                          <a:round/>
                        </a:ln>
                      </wps:spPr>
                      <wps:bodyPr/>
                    </wps:wsp>
                  </a:graphicData>
                </a:graphic>
              </wp:anchor>
            </w:drawing>
          </mc:Choice>
          <mc:Fallback>
            <w:pict>
              <v:line id="Straight Connector 73" o:spid="_x0000_s1026" o:spt="20" style="position:absolute;left:0pt;margin-left:-3pt;margin-top:6.95pt;height:0pt;width:470.25pt;z-index:251664384;mso-width-relative:page;mso-height-relative:page;" filled="f" stroked="t" coordsize="21600,21600" o:gfxdata="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6k91XtgAAAAIAQAADwAAAAAAAAABACAA&#10;AAAiAAAAZHJzL2Rvd25yZXYueG1sUEsBAhQAFAAAAAgAh07iQMv/2nTUAQAAsAMAAA4AAAAAAAAA&#10;AQAgAAAAJwEAAGRycy9lMm9Eb2MueG1sUEsFBgAAAAAGAAYAWQEAAG0FAAAAAA==&#10;">
                <v:fill on="f" focussize="0,0"/>
                <v:stroke weight="4.5pt" color="#000000" joinstyle="round"/>
                <v:imagedata o:title=""/>
                <o:lock v:ext="edit" aspectratio="f"/>
              </v:line>
            </w:pict>
          </mc:Fallback>
        </mc:AlternateContent>
      </w:r>
    </w:p>
    <w:p>
      <w:pPr>
        <w:ind w:left="2160" w:hanging="2160"/>
        <w:rPr>
          <w:rFonts w:cs="Arial"/>
          <w:sz w:val="28"/>
        </w:rPr>
      </w:pPr>
      <w:r>
        <w:rPr>
          <w:rFonts w:cs="Arial"/>
          <w:b/>
          <w:bCs/>
          <w:sz w:val="28"/>
        </w:rPr>
        <w:t>Prepared for:</w:t>
      </w:r>
      <w:r>
        <w:rPr>
          <w:rFonts w:cs="Arial"/>
          <w:sz w:val="28"/>
        </w:rPr>
        <w:t xml:space="preserve"> </w:t>
      </w:r>
      <w:r>
        <w:rPr>
          <w:rFonts w:cs="Arial"/>
          <w:sz w:val="28"/>
        </w:rPr>
        <w:tab/>
      </w:r>
      <w:r>
        <w:rPr>
          <w:rFonts w:cs="Arial"/>
          <w:sz w:val="28"/>
        </w:rPr>
        <w:t>Carey Jang</w:t>
      </w:r>
    </w:p>
    <w:p>
      <w:pPr>
        <w:ind w:left="2160"/>
        <w:rPr>
          <w:rFonts w:cs="Arial"/>
          <w:sz w:val="28"/>
        </w:rPr>
      </w:pPr>
      <w:r>
        <w:rPr>
          <w:rFonts w:cs="Arial"/>
          <w:sz w:val="28"/>
        </w:rPr>
        <w:t>Task Order Contracting Officer’s Representative</w:t>
      </w:r>
    </w:p>
    <w:p>
      <w:pPr>
        <w:ind w:left="2160"/>
        <w:rPr>
          <w:rFonts w:cs="Arial"/>
          <w:sz w:val="28"/>
        </w:rPr>
      </w:pPr>
      <w:r>
        <w:rPr>
          <w:rFonts w:cs="Arial"/>
          <w:sz w:val="28"/>
        </w:rPr>
        <w:t>U.S. EPA/OAR/OAQPS/AQAD/AQMG</w:t>
      </w:r>
    </w:p>
    <w:p>
      <w:pPr>
        <w:ind w:left="2160"/>
        <w:rPr>
          <w:rFonts w:cs="Arial"/>
          <w:sz w:val="28"/>
          <w:highlight w:val="green"/>
        </w:rPr>
      </w:pPr>
      <w:r>
        <w:rPr>
          <w:rFonts w:cs="Arial"/>
          <w:sz w:val="28"/>
        </w:rPr>
        <w:t>(Mail Code: C439-01)</w:t>
      </w:r>
    </w:p>
    <w:p>
      <w:pPr>
        <w:ind w:left="2160"/>
        <w:rPr>
          <w:rFonts w:cs="Arial"/>
          <w:sz w:val="28"/>
        </w:rPr>
      </w:pPr>
      <w:r>
        <w:rPr>
          <w:rFonts w:cs="Arial"/>
          <w:sz w:val="28"/>
        </w:rPr>
        <w:t>109 T.W. Alexander Drive</w:t>
      </w:r>
    </w:p>
    <w:p>
      <w:pPr>
        <w:ind w:left="2160"/>
        <w:rPr>
          <w:rFonts w:cs="Arial"/>
          <w:sz w:val="28"/>
        </w:rPr>
      </w:pPr>
      <w:r>
        <w:rPr>
          <w:rFonts w:cs="Arial"/>
          <w:sz w:val="28"/>
        </w:rPr>
        <w:t xml:space="preserve">Research Triangle Park, NC 27711 </w:t>
      </w:r>
    </w:p>
    <w:p>
      <w:pPr>
        <w:rPr>
          <w:rFonts w:cs="Arial"/>
        </w:rPr>
      </w:pPr>
    </w:p>
    <w:p>
      <w:pPr>
        <w:ind w:left="2160" w:hanging="2160"/>
        <w:rPr>
          <w:rFonts w:cs="Arial"/>
          <w:sz w:val="28"/>
        </w:rPr>
      </w:pPr>
      <w:r>
        <w:rPr>
          <w:rFonts w:cs="Arial"/>
          <w:b/>
          <w:bCs/>
          <w:sz w:val="28"/>
        </w:rPr>
        <w:t>Prepared by:</w:t>
      </w:r>
      <w:r>
        <w:rPr>
          <w:rFonts w:cs="Arial"/>
          <w:sz w:val="28"/>
        </w:rPr>
        <w:t xml:space="preserve"> </w:t>
      </w:r>
      <w:r>
        <w:rPr>
          <w:rFonts w:cs="Arial"/>
          <w:sz w:val="28"/>
        </w:rPr>
        <w:tab/>
      </w:r>
      <w:r>
        <w:rPr>
          <w:rFonts w:cs="Arial"/>
          <w:sz w:val="28"/>
        </w:rPr>
        <w:t>Yun Zhu, Shicheng Long</w:t>
      </w:r>
    </w:p>
    <w:p>
      <w:pPr>
        <w:ind w:left="2160" w:hanging="33"/>
        <w:rPr>
          <w:rFonts w:cs="Arial"/>
          <w:sz w:val="28"/>
        </w:rPr>
      </w:pPr>
      <w:r>
        <w:rPr>
          <w:rFonts w:cs="Arial"/>
          <w:sz w:val="28"/>
        </w:rPr>
        <w:t>College of Environment &amp; Energy</w:t>
      </w:r>
    </w:p>
    <w:p>
      <w:pPr>
        <w:ind w:left="2160" w:hanging="33"/>
        <w:rPr>
          <w:rFonts w:cs="Arial"/>
          <w:sz w:val="28"/>
        </w:rPr>
      </w:pPr>
      <w:r>
        <w:rPr>
          <w:rFonts w:cs="Arial"/>
          <w:sz w:val="28"/>
        </w:rPr>
        <w:t>South China University of Technology</w:t>
      </w:r>
    </w:p>
    <w:p>
      <w:pPr>
        <w:ind w:left="2160" w:hanging="33"/>
        <w:rPr>
          <w:rFonts w:cs="Arial"/>
          <w:sz w:val="28"/>
        </w:rPr>
      </w:pPr>
      <w:r>
        <w:rPr>
          <w:rFonts w:cs="Arial"/>
          <w:sz w:val="28"/>
        </w:rPr>
        <w:t>Guangzhou, 510006, Guangdong, China</w:t>
      </w:r>
    </w:p>
    <w:p>
      <w:pPr>
        <w:rPr>
          <w:rFonts w:cs="Arial"/>
          <w:sz w:val="28"/>
        </w:rPr>
      </w:pPr>
    </w:p>
    <w:p>
      <w:pPr>
        <w:ind w:left="2126" w:leftChars="886"/>
        <w:rPr>
          <w:rFonts w:cs="Arial"/>
          <w:sz w:val="28"/>
        </w:rPr>
      </w:pPr>
      <w:r>
        <w:rPr>
          <w:rFonts w:cs="Arial"/>
          <w:sz w:val="28"/>
        </w:rPr>
        <w:t>Sarav Arunachalam</w:t>
      </w:r>
    </w:p>
    <w:p>
      <w:pPr>
        <w:ind w:left="2126" w:leftChars="886"/>
        <w:rPr>
          <w:rFonts w:cs="Arial"/>
          <w:sz w:val="28"/>
        </w:rPr>
      </w:pPr>
      <w:r>
        <w:rPr>
          <w:rFonts w:cs="Arial"/>
          <w:sz w:val="28"/>
        </w:rPr>
        <w:t>Institute for the Environment</w:t>
      </w:r>
    </w:p>
    <w:p>
      <w:pPr>
        <w:ind w:left="2126" w:leftChars="886"/>
        <w:rPr>
          <w:rFonts w:cs="Arial"/>
          <w:sz w:val="28"/>
        </w:rPr>
      </w:pPr>
      <w:r>
        <w:rPr>
          <w:rFonts w:cs="Arial"/>
          <w:sz w:val="28"/>
        </w:rPr>
        <w:t>The University of North Carolina at Chapel Hill</w:t>
      </w:r>
    </w:p>
    <w:p>
      <w:pPr>
        <w:rPr>
          <w:rFonts w:cs="Arial"/>
          <w:b/>
          <w:bCs/>
          <w:sz w:val="28"/>
        </w:rPr>
      </w:pPr>
    </w:p>
    <w:p>
      <w:pPr>
        <w:rPr>
          <w:rFonts w:cs="Arial"/>
          <w:bCs/>
          <w:sz w:val="28"/>
        </w:rPr>
        <w:sectPr>
          <w:headerReference r:id="rId6" w:type="first"/>
          <w:headerReference r:id="rId5" w:type="default"/>
          <w:footerReference r:id="rId7" w:type="default"/>
          <w:footerReference r:id="rId8" w:type="even"/>
          <w:pgSz w:w="11906" w:h="16838"/>
          <w:pgMar w:top="643" w:right="1800" w:bottom="1440" w:left="1800" w:header="708" w:footer="708" w:gutter="0"/>
          <w:pgNumType w:fmt="lowerRoman" w:start="1"/>
          <w:cols w:space="708" w:num="1"/>
          <w:titlePg/>
          <w:docGrid w:linePitch="360" w:charSpace="0"/>
        </w:sectPr>
      </w:pPr>
      <w:r>
        <w:rPr>
          <w:rFonts w:cs="Arial"/>
          <w:b/>
          <w:bCs/>
          <w:sz w:val="28"/>
        </w:rPr>
        <w:t>Date:</w:t>
      </w:r>
      <w:r>
        <w:rPr>
          <w:rFonts w:cs="Arial"/>
          <w:sz w:val="28"/>
        </w:rPr>
        <w:t xml:space="preserve"> </w:t>
      </w:r>
      <w:r>
        <w:rPr>
          <w:rFonts w:cs="Arial"/>
          <w:sz w:val="28"/>
        </w:rPr>
        <w:tab/>
      </w:r>
      <w:r>
        <w:rPr>
          <w:rFonts w:cs="Arial"/>
          <w:sz w:val="28"/>
        </w:rPr>
        <w:tab/>
      </w:r>
      <w:r>
        <w:rPr>
          <w:rFonts w:hint="eastAsia" w:cs="Arial"/>
          <w:sz w:val="28"/>
        </w:rPr>
        <w:t>December</w:t>
      </w:r>
      <w:r>
        <w:rPr>
          <w:rFonts w:cs="Arial"/>
          <w:bCs/>
          <w:sz w:val="28"/>
        </w:rPr>
        <w:t xml:space="preserve"> 31, 2022</w:t>
      </w:r>
    </w:p>
    <w:p>
      <w:pPr>
        <w:spacing w:before="240" w:after="240"/>
        <w:rPr>
          <w:b/>
          <w:bCs/>
          <w:sz w:val="40"/>
          <w:szCs w:val="40"/>
        </w:rPr>
      </w:pPr>
      <w:r>
        <w:rPr>
          <w:b/>
          <w:bCs/>
          <w:sz w:val="40"/>
          <w:szCs w:val="40"/>
        </w:rPr>
        <mc:AlternateContent>
          <mc:Choice Requires="wps">
            <w:drawing>
              <wp:anchor distT="0" distB="0" distL="114300" distR="114300" simplePos="0" relativeHeight="251667456" behindDoc="0" locked="0" layoutInCell="1" allowOverlap="1">
                <wp:simplePos x="0" y="0"/>
                <wp:positionH relativeFrom="column">
                  <wp:posOffset>-80645</wp:posOffset>
                </wp:positionH>
                <wp:positionV relativeFrom="paragraph">
                  <wp:posOffset>-520700</wp:posOffset>
                </wp:positionV>
                <wp:extent cx="5500370" cy="24701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500370" cy="246888"/>
                        </a:xfrm>
                        <a:prstGeom prst="rect">
                          <a:avLst/>
                        </a:prstGeom>
                        <a:noFill/>
                        <a:ln w="6350">
                          <a:noFill/>
                        </a:ln>
                      </wps:spPr>
                      <wps:txbx>
                        <w:txbxContent>
                          <w:p>
                            <w:pPr>
                              <w:pStyle w:val="19"/>
                              <w:pBdr>
                                <w:bottom w:val="single" w:color="auto" w:sz="4" w:space="1"/>
                              </w:pBdr>
                              <w:jc w:val="left"/>
                              <w:rPr>
                                <w:i/>
                                <w:iCs/>
                                <w:sz w:val="22"/>
                                <w:szCs w:val="22"/>
                              </w:rPr>
                            </w:pPr>
                            <w:r>
                              <w:rPr>
                                <w:i/>
                                <w:iCs/>
                                <w:sz w:val="22"/>
                                <w:szCs w:val="22"/>
                              </w:rPr>
                              <w:t>User’s Manual for SMAT-CE 2.1</w:t>
                            </w:r>
                            <w:r>
                              <w:rPr>
                                <w:i/>
                                <w:iCs/>
                                <w:sz w:val="22"/>
                                <w:szCs w:val="22"/>
                              </w:rPr>
                              <w:tab/>
                            </w:r>
                            <w:r>
                              <w:rPr>
                                <w:i/>
                                <w:iCs/>
                                <w:sz w:val="22"/>
                                <w:szCs w:val="22"/>
                              </w:rPr>
                              <w:tab/>
                            </w:r>
                            <w:r>
                              <w:rPr>
                                <w:i/>
                                <w:iCs/>
                                <w:sz w:val="22"/>
                                <w:szCs w:val="22"/>
                              </w:rPr>
                              <w:t>EPA Task Order: 68HERH21F0334</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0" o:spid="_x0000_s1026" o:spt="202" type="#_x0000_t202" style="position:absolute;left:0pt;margin-left:-6.35pt;margin-top:-41pt;height:19.45pt;width:433.1pt;z-index:251667456;mso-width-relative:page;mso-height-relative:page;" filled="f" stroked="f" coordsize="21600,21600" o:gfxdata="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CKAXcAAAACwEAAA8AAAAAAAAAAQAgAAAAIgAAAGRycy9kb3ducmV2LnhtbFBL&#10;AQIUABQAAAAIAIdO4kDekDyTKwIAAGcEAAAOAAAAAAAAAAEAIAAAACsBAABkcnMvZTJvRG9jLnht&#10;bFBLBQYAAAAABgAGAFkBAADIBQAAAAA=&#10;">
                <v:fill on="f" focussize="0,0"/>
                <v:stroke on="f" weight="0.5pt"/>
                <v:imagedata o:title=""/>
                <o:lock v:ext="edit" aspectratio="f"/>
                <v:textbox>
                  <w:txbxContent>
                    <w:p>
                      <w:pPr>
                        <w:pStyle w:val="19"/>
                        <w:pBdr>
                          <w:bottom w:val="single" w:color="auto" w:sz="4" w:space="1"/>
                        </w:pBdr>
                        <w:jc w:val="left"/>
                        <w:rPr>
                          <w:i/>
                          <w:iCs/>
                          <w:sz w:val="22"/>
                          <w:szCs w:val="22"/>
                        </w:rPr>
                      </w:pPr>
                      <w:r>
                        <w:rPr>
                          <w:i/>
                          <w:iCs/>
                          <w:sz w:val="22"/>
                          <w:szCs w:val="22"/>
                        </w:rPr>
                        <w:t>User’s Manual for SMAT-CE 2.1</w:t>
                      </w:r>
                      <w:r>
                        <w:rPr>
                          <w:i/>
                          <w:iCs/>
                          <w:sz w:val="22"/>
                          <w:szCs w:val="22"/>
                        </w:rPr>
                        <w:tab/>
                      </w:r>
                      <w:r>
                        <w:rPr>
                          <w:i/>
                          <w:iCs/>
                          <w:sz w:val="22"/>
                          <w:szCs w:val="22"/>
                        </w:rPr>
                        <w:tab/>
                      </w:r>
                      <w:r>
                        <w:rPr>
                          <w:i/>
                          <w:iCs/>
                          <w:sz w:val="22"/>
                          <w:szCs w:val="22"/>
                        </w:rPr>
                        <w:t>EPA Task Order: 68HERH21F0334</w:t>
                      </w:r>
                    </w:p>
                    <w:p/>
                  </w:txbxContent>
                </v:textbox>
              </v:shape>
            </w:pict>
          </mc:Fallback>
        </mc:AlternateContent>
      </w:r>
      <w:r>
        <w:rPr>
          <w:b/>
          <w:bCs/>
          <w:sz w:val="40"/>
          <w:szCs w:val="40"/>
        </w:rPr>
        <w:t>Acknowledgements</w:t>
      </w:r>
    </w:p>
    <w:p>
      <w:r>
        <w:tab/>
      </w:r>
      <w:r>
        <w:t xml:space="preserve">In cooperation with the U.S. EPA, the Institute for the Environment at the University of North Carolina at Chapel Hill (UNC-IE) along with the South China University of Technology (SCUT) developed the FAST-CE software. This project was funded by the U.S. EPA under contract </w:t>
      </w:r>
      <w:r>
        <w:rPr>
          <w:color w:val="000000" w:themeColor="text1"/>
          <w14:textFill>
            <w14:solidFill>
              <w14:schemeClr w14:val="tx1"/>
            </w14:solidFill>
          </w14:textFill>
        </w:rPr>
        <w:t>68HERH21F0334</w:t>
      </w:r>
      <w:r>
        <w:t xml:space="preserve"> to UNC-IE.</w:t>
      </w:r>
    </w:p>
    <w:p>
      <w:pPr>
        <w:pStyle w:val="28"/>
        <w:jc w:val="center"/>
        <w:rPr>
          <w:sz w:val="52"/>
        </w:rPr>
      </w:pPr>
    </w:p>
    <w:p/>
    <w:p/>
    <w:p/>
    <w:p>
      <w:pPr>
        <w:jc w:val="center"/>
      </w:pPr>
    </w:p>
    <w:p>
      <w:pPr>
        <w:jc w:val="center"/>
      </w:pPr>
    </w:p>
    <w:p>
      <w:pPr>
        <w:jc w:val="center"/>
      </w:pPr>
    </w:p>
    <w:p>
      <w:pPr>
        <w:jc w:val="center"/>
      </w:pPr>
    </w:p>
    <w:p>
      <w:pPr>
        <w:jc w:val="center"/>
      </w:pPr>
    </w:p>
    <w:p>
      <w:pPr>
        <w:jc w:val="center"/>
      </w:pPr>
    </w:p>
    <w:p>
      <w:pPr>
        <w:jc w:val="center"/>
      </w:pPr>
    </w:p>
    <w:p>
      <w:pPr>
        <w:widowControl/>
        <w:spacing w:line="240" w:lineRule="auto"/>
        <w:jc w:val="left"/>
        <w:rPr>
          <w:sz w:val="32"/>
        </w:rPr>
      </w:pPr>
      <w:r>
        <w:rPr>
          <w:sz w:val="32"/>
        </w:rPr>
        <mc:AlternateContent>
          <mc:Choice Requires="wps">
            <w:drawing>
              <wp:anchor distT="0" distB="0" distL="114300" distR="114300" simplePos="0" relativeHeight="251666432" behindDoc="0" locked="0" layoutInCell="1" allowOverlap="1">
                <wp:simplePos x="0" y="0"/>
                <wp:positionH relativeFrom="column">
                  <wp:posOffset>-129540</wp:posOffset>
                </wp:positionH>
                <wp:positionV relativeFrom="paragraph">
                  <wp:posOffset>3629025</wp:posOffset>
                </wp:positionV>
                <wp:extent cx="5451475" cy="25463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451676" cy="254643"/>
                        </a:xfrm>
                        <a:prstGeom prst="rect">
                          <a:avLst/>
                        </a:prstGeom>
                        <a:noFill/>
                        <a:ln w="6350">
                          <a:noFill/>
                        </a:ln>
                      </wps:spPr>
                      <wps:txbx>
                        <w:txbxContent>
                          <w:p>
                            <w:pPr>
                              <w:pStyle w:val="18"/>
                              <w:rPr>
                                <w:i/>
                                <w:iCs/>
                              </w:rPr>
                            </w:pPr>
                            <w:r>
                              <w:rPr>
                                <w:i/>
                                <w:iCs/>
                              </w:rPr>
                              <w:t>UNC Institute for the Environment</w:t>
                            </w:r>
                            <w:r>
                              <w:rPr>
                                <w:i/>
                                <w:iCs/>
                              </w:rPr>
                              <w:tab/>
                            </w:r>
                            <w:r>
                              <w:rPr>
                                <w:i/>
                                <w:iCs/>
                              </w:rPr>
                              <w:t>i</w:t>
                            </w:r>
                            <w:r>
                              <w:rPr>
                                <w:i/>
                                <w:iCs/>
                              </w:rPr>
                              <w:tab/>
                            </w:r>
                            <w:r>
                              <w:rPr>
                                <w:rFonts w:hint="eastAsia"/>
                                <w:i/>
                                <w:iCs/>
                              </w:rPr>
                              <w:t>December</w:t>
                            </w:r>
                            <w:r>
                              <w:rPr>
                                <w:i/>
                                <w:iCs/>
                              </w:rPr>
                              <w:t xml:space="preserve"> 31, 2022</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7" o:spid="_x0000_s1026" o:spt="202" type="#_x0000_t202" style="position:absolute;left:0pt;margin-left:-10.2pt;margin-top:285.75pt;height:20.05pt;width:429.25pt;z-index:251666432;mso-width-relative:page;mso-height-relative:page;" filled="f" stroked="f" coordsize="21600,21600" o:gfxdata="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gbGt9wAAAALAQAADwAAAAAAAAABACAAAAAiAAAAZHJzL2Rvd25yZXYueG1s&#10;UEsBAhQAFAAAAAgAh07iQDPOg8QtAgAAZwQAAA4AAAAAAAAAAQAgAAAAKwEAAGRycy9lMm9Eb2Mu&#10;eG1sUEsFBgAAAAAGAAYAWQEAAMoFAAAAAA==&#10;">
                <v:fill on="f" focussize="0,0"/>
                <v:stroke on="f" weight="0.5pt"/>
                <v:imagedata o:title=""/>
                <o:lock v:ext="edit" aspectratio="f"/>
                <v:textbox>
                  <w:txbxContent>
                    <w:p>
                      <w:pPr>
                        <w:pStyle w:val="18"/>
                        <w:rPr>
                          <w:i/>
                          <w:iCs/>
                        </w:rPr>
                      </w:pPr>
                      <w:r>
                        <w:rPr>
                          <w:i/>
                          <w:iCs/>
                        </w:rPr>
                        <w:t>UNC Institute for the Environment</w:t>
                      </w:r>
                      <w:r>
                        <w:rPr>
                          <w:i/>
                          <w:iCs/>
                        </w:rPr>
                        <w:tab/>
                      </w:r>
                      <w:r>
                        <w:rPr>
                          <w:i/>
                          <w:iCs/>
                        </w:rPr>
                        <w:t>i</w:t>
                      </w:r>
                      <w:r>
                        <w:rPr>
                          <w:i/>
                          <w:iCs/>
                        </w:rPr>
                        <w:tab/>
                      </w:r>
                      <w:r>
                        <w:rPr>
                          <w:rFonts w:hint="eastAsia"/>
                          <w:i/>
                          <w:iCs/>
                        </w:rPr>
                        <w:t>December</w:t>
                      </w:r>
                      <w:r>
                        <w:rPr>
                          <w:i/>
                          <w:iCs/>
                        </w:rPr>
                        <w:t xml:space="preserve"> 31, 2022</w:t>
                      </w:r>
                    </w:p>
                    <w:p/>
                  </w:txbxContent>
                </v:textbox>
              </v:shape>
            </w:pict>
          </mc:Fallback>
        </mc:AlternateContent>
      </w:r>
      <w:r>
        <w:rPr>
          <w:sz w:val="32"/>
        </w:rPr>
        <w:br w:type="page"/>
      </w:r>
    </w:p>
    <w:p>
      <w:pPr>
        <w:pStyle w:val="28"/>
        <w:jc w:val="center"/>
        <w:rPr>
          <w:rFonts w:ascii="Times New Roman" w:hAnsi="Times New Roman"/>
          <w:b/>
          <w:sz w:val="28"/>
        </w:rPr>
      </w:pPr>
      <w:r>
        <w:rPr>
          <w:rFonts w:ascii="Times New Roman" w:hAnsi="Times New Roman"/>
          <w:b/>
          <w:sz w:val="28"/>
        </w:rPr>
        <w:t>SMAT-CE User’s Guide Contents</w:t>
      </w:r>
    </w:p>
    <w:p>
      <w:pPr>
        <w:pStyle w:val="20"/>
        <w:tabs>
          <w:tab w:val="right" w:leader="dot" w:pos="8306"/>
        </w:tabs>
      </w:pPr>
      <w:r>
        <w:rPr>
          <w:b w:val="0"/>
        </w:rPr>
        <w:fldChar w:fldCharType="begin"/>
      </w:r>
      <w:r>
        <w:rPr>
          <w:b w:val="0"/>
        </w:rPr>
        <w:instrText xml:space="preserve"> TOC \o "1-2" </w:instrText>
      </w:r>
      <w:r>
        <w:rPr>
          <w:b w:val="0"/>
        </w:rPr>
        <w:fldChar w:fldCharType="separate"/>
      </w:r>
      <w:r>
        <w:rPr>
          <w:rFonts w:hint="eastAsia"/>
        </w:rPr>
        <w:t>List</w:t>
      </w:r>
      <w:r>
        <w:t xml:space="preserve"> of Figures</w:t>
      </w:r>
      <w:r>
        <w:tab/>
      </w:r>
      <w:r>
        <w:fldChar w:fldCharType="begin"/>
      </w:r>
      <w:r>
        <w:instrText xml:space="preserve"> PAGEREF _Toc1538 \h </w:instrText>
      </w:r>
      <w:r>
        <w:fldChar w:fldCharType="separate"/>
      </w:r>
      <w:r>
        <w:t>iv</w:t>
      </w:r>
      <w:r>
        <w:fldChar w:fldCharType="end"/>
      </w:r>
    </w:p>
    <w:p>
      <w:pPr>
        <w:pStyle w:val="20"/>
        <w:tabs>
          <w:tab w:val="right" w:leader="dot" w:pos="8306"/>
        </w:tabs>
      </w:pPr>
      <w:r>
        <w:rPr>
          <w:rFonts w:hint="eastAsia"/>
        </w:rPr>
        <w:t>List</w:t>
      </w:r>
      <w:r>
        <w:t xml:space="preserve"> of </w:t>
      </w:r>
      <w:r>
        <w:rPr>
          <w:rFonts w:hint="eastAsia"/>
        </w:rPr>
        <w:t>Tabl</w:t>
      </w:r>
      <w:r>
        <w:t>es</w:t>
      </w:r>
      <w:r>
        <w:tab/>
      </w:r>
      <w:r>
        <w:fldChar w:fldCharType="begin"/>
      </w:r>
      <w:r>
        <w:instrText xml:space="preserve"> PAGEREF _Toc27356 \h </w:instrText>
      </w:r>
      <w:r>
        <w:fldChar w:fldCharType="separate"/>
      </w:r>
      <w:r>
        <w:t>vi</w:t>
      </w:r>
      <w:r>
        <w:fldChar w:fldCharType="end"/>
      </w:r>
    </w:p>
    <w:p>
      <w:pPr>
        <w:pStyle w:val="20"/>
        <w:tabs>
          <w:tab w:val="right" w:leader="dot" w:pos="8306"/>
        </w:tabs>
      </w:pPr>
      <w:r>
        <w:t>1 Introduction</w:t>
      </w:r>
      <w:r>
        <w:tab/>
      </w:r>
      <w:r>
        <w:fldChar w:fldCharType="begin"/>
      </w:r>
      <w:r>
        <w:instrText xml:space="preserve"> PAGEREF _Toc29196 \h </w:instrText>
      </w:r>
      <w:r>
        <w:fldChar w:fldCharType="separate"/>
      </w:r>
      <w:r>
        <w:t>1</w:t>
      </w:r>
      <w:r>
        <w:fldChar w:fldCharType="end"/>
      </w:r>
    </w:p>
    <w:p>
      <w:pPr>
        <w:pStyle w:val="20"/>
        <w:tabs>
          <w:tab w:val="right" w:leader="dot" w:pos="8306"/>
        </w:tabs>
      </w:pPr>
      <w:r>
        <w:t>2 Quick Start</w:t>
      </w:r>
      <w:r>
        <w:tab/>
      </w:r>
      <w:r>
        <w:fldChar w:fldCharType="begin"/>
      </w:r>
      <w:r>
        <w:instrText xml:space="preserve"> PAGEREF _Toc31858 \h </w:instrText>
      </w:r>
      <w:r>
        <w:fldChar w:fldCharType="separate"/>
      </w:r>
      <w:r>
        <w:t>2</w:t>
      </w:r>
      <w:r>
        <w:fldChar w:fldCharType="end"/>
      </w:r>
    </w:p>
    <w:p>
      <w:pPr>
        <w:pStyle w:val="25"/>
        <w:tabs>
          <w:tab w:val="right" w:leader="dot" w:pos="8306"/>
        </w:tabs>
      </w:pPr>
      <w:r>
        <w:t>2.1 Install Software</w:t>
      </w:r>
      <w:r>
        <w:tab/>
      </w:r>
      <w:r>
        <w:fldChar w:fldCharType="begin"/>
      </w:r>
      <w:r>
        <w:instrText xml:space="preserve"> PAGEREF _Toc31186 \h </w:instrText>
      </w:r>
      <w:r>
        <w:fldChar w:fldCharType="separate"/>
      </w:r>
      <w:r>
        <w:t>2</w:t>
      </w:r>
      <w:r>
        <w:fldChar w:fldCharType="end"/>
      </w:r>
    </w:p>
    <w:p>
      <w:pPr>
        <w:pStyle w:val="25"/>
        <w:tabs>
          <w:tab w:val="right" w:leader="dot" w:pos="8306"/>
        </w:tabs>
      </w:pPr>
      <w:r>
        <w:t>2.2 Start SMAT-CE</w:t>
      </w:r>
      <w:r>
        <w:tab/>
      </w:r>
      <w:r>
        <w:fldChar w:fldCharType="begin"/>
      </w:r>
      <w:r>
        <w:instrText xml:space="preserve"> PAGEREF _Toc30377 \h </w:instrText>
      </w:r>
      <w:r>
        <w:fldChar w:fldCharType="separate"/>
      </w:r>
      <w:r>
        <w:t>2</w:t>
      </w:r>
      <w:r>
        <w:fldChar w:fldCharType="end"/>
      </w:r>
    </w:p>
    <w:p>
      <w:pPr>
        <w:pStyle w:val="25"/>
        <w:tabs>
          <w:tab w:val="right" w:leader="dot" w:pos="8306"/>
        </w:tabs>
      </w:pPr>
      <w:r>
        <w:t>2.3 Load a Previous Project</w:t>
      </w:r>
      <w:r>
        <w:tab/>
      </w:r>
      <w:r>
        <w:fldChar w:fldCharType="begin"/>
      </w:r>
      <w:r>
        <w:instrText xml:space="preserve"> PAGEREF _Toc302 \h </w:instrText>
      </w:r>
      <w:r>
        <w:fldChar w:fldCharType="separate"/>
      </w:r>
      <w:r>
        <w:t>3</w:t>
      </w:r>
      <w:r>
        <w:fldChar w:fldCharType="end"/>
      </w:r>
    </w:p>
    <w:p>
      <w:pPr>
        <w:pStyle w:val="25"/>
        <w:tabs>
          <w:tab w:val="right" w:leader="dot" w:pos="8306"/>
        </w:tabs>
      </w:pPr>
      <w:r>
        <w:t>2.4 Annual PM Analysis Quick Start</w:t>
      </w:r>
      <w:r>
        <w:tab/>
      </w:r>
      <w:r>
        <w:fldChar w:fldCharType="begin"/>
      </w:r>
      <w:r>
        <w:instrText xml:space="preserve"> PAGEREF _Toc32433 \h </w:instrText>
      </w:r>
      <w:r>
        <w:fldChar w:fldCharType="separate"/>
      </w:r>
      <w:r>
        <w:t>3</w:t>
      </w:r>
      <w:r>
        <w:fldChar w:fldCharType="end"/>
      </w:r>
    </w:p>
    <w:p>
      <w:pPr>
        <w:pStyle w:val="25"/>
        <w:tabs>
          <w:tab w:val="right" w:leader="dot" w:pos="8306"/>
        </w:tabs>
      </w:pPr>
      <w:r>
        <w:t>2.5 Daily PM Analysis Quick Start</w:t>
      </w:r>
      <w:r>
        <w:tab/>
      </w:r>
      <w:r>
        <w:fldChar w:fldCharType="begin"/>
      </w:r>
      <w:r>
        <w:instrText xml:space="preserve"> PAGEREF _Toc3683 \h </w:instrText>
      </w:r>
      <w:r>
        <w:fldChar w:fldCharType="separate"/>
      </w:r>
      <w:r>
        <w:t>7</w:t>
      </w:r>
      <w:r>
        <w:fldChar w:fldCharType="end"/>
      </w:r>
    </w:p>
    <w:p>
      <w:pPr>
        <w:pStyle w:val="25"/>
        <w:tabs>
          <w:tab w:val="right" w:leader="dot" w:pos="8306"/>
        </w:tabs>
      </w:pPr>
      <w:r>
        <w:t>2.6 Ozone Analysis Quick Start</w:t>
      </w:r>
      <w:r>
        <w:tab/>
      </w:r>
      <w:r>
        <w:fldChar w:fldCharType="begin"/>
      </w:r>
      <w:r>
        <w:instrText xml:space="preserve"> PAGEREF _Toc26696 \h </w:instrText>
      </w:r>
      <w:r>
        <w:fldChar w:fldCharType="separate"/>
      </w:r>
      <w:r>
        <w:t>10</w:t>
      </w:r>
      <w:r>
        <w:fldChar w:fldCharType="end"/>
      </w:r>
    </w:p>
    <w:p>
      <w:pPr>
        <w:pStyle w:val="25"/>
        <w:tabs>
          <w:tab w:val="right" w:leader="dot" w:pos="8306"/>
        </w:tabs>
      </w:pPr>
      <w:r>
        <w:t>2.7 Visibility Analysis Quick Start</w:t>
      </w:r>
      <w:r>
        <w:tab/>
      </w:r>
      <w:r>
        <w:fldChar w:fldCharType="begin"/>
      </w:r>
      <w:r>
        <w:instrText xml:space="preserve"> PAGEREF _Toc6811 \h </w:instrText>
      </w:r>
      <w:r>
        <w:fldChar w:fldCharType="separate"/>
      </w:r>
      <w:r>
        <w:t>13</w:t>
      </w:r>
      <w:r>
        <w:fldChar w:fldCharType="end"/>
      </w:r>
    </w:p>
    <w:p>
      <w:pPr>
        <w:pStyle w:val="20"/>
        <w:tabs>
          <w:tab w:val="right" w:leader="dot" w:pos="8306"/>
        </w:tabs>
      </w:pPr>
      <w:r>
        <w:t>3 SMAT-CE Installation</w:t>
      </w:r>
      <w:r>
        <w:tab/>
      </w:r>
      <w:r>
        <w:fldChar w:fldCharType="begin"/>
      </w:r>
      <w:r>
        <w:instrText xml:space="preserve"> PAGEREF _Toc29389 \h </w:instrText>
      </w:r>
      <w:r>
        <w:fldChar w:fldCharType="separate"/>
      </w:r>
      <w:r>
        <w:t>17</w:t>
      </w:r>
      <w:r>
        <w:fldChar w:fldCharType="end"/>
      </w:r>
    </w:p>
    <w:p>
      <w:pPr>
        <w:pStyle w:val="20"/>
        <w:tabs>
          <w:tab w:val="right" w:leader="dot" w:pos="8306"/>
        </w:tabs>
      </w:pPr>
      <w:r>
        <w:t>4 SMAT-CE Start Page</w:t>
      </w:r>
      <w:r>
        <w:tab/>
      </w:r>
      <w:r>
        <w:fldChar w:fldCharType="begin"/>
      </w:r>
      <w:r>
        <w:instrText xml:space="preserve"> PAGEREF _Toc20265 \h </w:instrText>
      </w:r>
      <w:r>
        <w:fldChar w:fldCharType="separate"/>
      </w:r>
      <w:r>
        <w:t>19</w:t>
      </w:r>
      <w:r>
        <w:fldChar w:fldCharType="end"/>
      </w:r>
    </w:p>
    <w:p>
      <w:pPr>
        <w:pStyle w:val="20"/>
        <w:tabs>
          <w:tab w:val="right" w:leader="dot" w:pos="8306"/>
        </w:tabs>
      </w:pPr>
      <w:r>
        <w:t>5 Running SMAT-CE</w:t>
      </w:r>
      <w:r>
        <w:tab/>
      </w:r>
      <w:r>
        <w:fldChar w:fldCharType="begin"/>
      </w:r>
      <w:r>
        <w:instrText xml:space="preserve"> PAGEREF _Toc13292 \h </w:instrText>
      </w:r>
      <w:r>
        <w:fldChar w:fldCharType="separate"/>
      </w:r>
      <w:r>
        <w:t>22</w:t>
      </w:r>
      <w:r>
        <w:fldChar w:fldCharType="end"/>
      </w:r>
    </w:p>
    <w:p>
      <w:pPr>
        <w:pStyle w:val="25"/>
        <w:tabs>
          <w:tab w:val="right" w:leader="dot" w:pos="8306"/>
        </w:tabs>
      </w:pPr>
      <w:r>
        <w:t>5.1 Load Previous SMAT-CE Project</w:t>
      </w:r>
      <w:r>
        <w:tab/>
      </w:r>
      <w:r>
        <w:fldChar w:fldCharType="begin"/>
      </w:r>
      <w:r>
        <w:instrText xml:space="preserve"> PAGEREF _Toc24074 \h </w:instrText>
      </w:r>
      <w:r>
        <w:fldChar w:fldCharType="separate"/>
      </w:r>
      <w:r>
        <w:t>22</w:t>
      </w:r>
      <w:r>
        <w:fldChar w:fldCharType="end"/>
      </w:r>
    </w:p>
    <w:p>
      <w:pPr>
        <w:pStyle w:val="25"/>
        <w:tabs>
          <w:tab w:val="right" w:leader="dot" w:pos="8306"/>
        </w:tabs>
      </w:pPr>
      <w:r>
        <w:t>5.2 New SMAT-CE Analysis</w:t>
      </w:r>
      <w:r>
        <w:tab/>
      </w:r>
      <w:r>
        <w:fldChar w:fldCharType="begin"/>
      </w:r>
      <w:r>
        <w:instrText xml:space="preserve"> PAGEREF _Toc17581 \h </w:instrText>
      </w:r>
      <w:r>
        <w:fldChar w:fldCharType="separate"/>
      </w:r>
      <w:r>
        <w:t>22</w:t>
      </w:r>
      <w:r>
        <w:fldChar w:fldCharType="end"/>
      </w:r>
    </w:p>
    <w:p>
      <w:pPr>
        <w:pStyle w:val="25"/>
        <w:tabs>
          <w:tab w:val="right" w:leader="dot" w:pos="8306"/>
        </w:tabs>
      </w:pPr>
      <w:r>
        <w:t>5.3 Running SMAT-CE in Batch Mode</w:t>
      </w:r>
      <w:r>
        <w:tab/>
      </w:r>
      <w:r>
        <w:fldChar w:fldCharType="begin"/>
      </w:r>
      <w:r>
        <w:instrText xml:space="preserve"> PAGEREF _Toc22329 \h </w:instrText>
      </w:r>
      <w:r>
        <w:fldChar w:fldCharType="separate"/>
      </w:r>
      <w:r>
        <w:t>23</w:t>
      </w:r>
      <w:r>
        <w:fldChar w:fldCharType="end"/>
      </w:r>
    </w:p>
    <w:p>
      <w:pPr>
        <w:pStyle w:val="20"/>
        <w:tabs>
          <w:tab w:val="right" w:leader="dot" w:pos="8306"/>
        </w:tabs>
      </w:pPr>
      <w:r>
        <w:t>6 Annual PM Analysis</w:t>
      </w:r>
      <w:r>
        <w:tab/>
      </w:r>
      <w:r>
        <w:fldChar w:fldCharType="begin"/>
      </w:r>
      <w:r>
        <w:instrText xml:space="preserve"> PAGEREF _Toc11242 \h </w:instrText>
      </w:r>
      <w:r>
        <w:fldChar w:fldCharType="separate"/>
      </w:r>
      <w:r>
        <w:t>25</w:t>
      </w:r>
      <w:r>
        <w:fldChar w:fldCharType="end"/>
      </w:r>
    </w:p>
    <w:p>
      <w:pPr>
        <w:pStyle w:val="25"/>
        <w:tabs>
          <w:tab w:val="right" w:leader="dot" w:pos="8306"/>
        </w:tabs>
      </w:pPr>
      <w:r>
        <w:t>6.1 Choose Desired Output</w:t>
      </w:r>
      <w:r>
        <w:tab/>
      </w:r>
      <w:r>
        <w:fldChar w:fldCharType="begin"/>
      </w:r>
      <w:r>
        <w:instrText xml:space="preserve"> PAGEREF _Toc10701 \h </w:instrText>
      </w:r>
      <w:r>
        <w:fldChar w:fldCharType="separate"/>
      </w:r>
      <w:r>
        <w:t>27</w:t>
      </w:r>
      <w:r>
        <w:fldChar w:fldCharType="end"/>
      </w:r>
    </w:p>
    <w:p>
      <w:pPr>
        <w:pStyle w:val="25"/>
        <w:tabs>
          <w:tab w:val="right" w:leader="dot" w:pos="8306"/>
        </w:tabs>
      </w:pPr>
      <w:r>
        <w:t xml:space="preserve">6.2 </w:t>
      </w:r>
      <w:r>
        <w:rPr>
          <w:rFonts w:hint="eastAsia"/>
        </w:rPr>
        <w:t>Output Choices-Advanced</w:t>
      </w:r>
      <w:r>
        <w:tab/>
      </w:r>
      <w:r>
        <w:fldChar w:fldCharType="begin"/>
      </w:r>
      <w:r>
        <w:instrText xml:space="preserve"> PAGEREF _Toc6513 \h </w:instrText>
      </w:r>
      <w:r>
        <w:fldChar w:fldCharType="separate"/>
      </w:r>
      <w:r>
        <w:t>30</w:t>
      </w:r>
      <w:r>
        <w:fldChar w:fldCharType="end"/>
      </w:r>
    </w:p>
    <w:p>
      <w:pPr>
        <w:pStyle w:val="25"/>
        <w:tabs>
          <w:tab w:val="right" w:leader="dot" w:pos="8306"/>
        </w:tabs>
      </w:pPr>
      <w:r>
        <w:t xml:space="preserve">6.3 </w:t>
      </w:r>
      <w:r>
        <w:rPr>
          <w:rFonts w:hint="eastAsia"/>
        </w:rPr>
        <w:t>Data Input</w:t>
      </w:r>
      <w:r>
        <w:tab/>
      </w:r>
      <w:r>
        <w:fldChar w:fldCharType="begin"/>
      </w:r>
      <w:r>
        <w:instrText xml:space="preserve"> PAGEREF _Toc14088 \h </w:instrText>
      </w:r>
      <w:r>
        <w:fldChar w:fldCharType="separate"/>
      </w:r>
      <w:r>
        <w:t>33</w:t>
      </w:r>
      <w:r>
        <w:fldChar w:fldCharType="end"/>
      </w:r>
    </w:p>
    <w:p>
      <w:pPr>
        <w:pStyle w:val="25"/>
        <w:tabs>
          <w:tab w:val="right" w:leader="dot" w:pos="8306"/>
        </w:tabs>
      </w:pPr>
      <w:r>
        <w:t xml:space="preserve">6.4 </w:t>
      </w:r>
      <w:r>
        <w:rPr>
          <w:rFonts w:hint="eastAsia"/>
        </w:rPr>
        <w:t>Species Fraction Options</w:t>
      </w:r>
      <w:r>
        <w:tab/>
      </w:r>
      <w:r>
        <w:fldChar w:fldCharType="begin"/>
      </w:r>
      <w:r>
        <w:instrText xml:space="preserve"> PAGEREF _Toc24428 \h </w:instrText>
      </w:r>
      <w:r>
        <w:fldChar w:fldCharType="separate"/>
      </w:r>
      <w:r>
        <w:t>36</w:t>
      </w:r>
      <w:r>
        <w:fldChar w:fldCharType="end"/>
      </w:r>
    </w:p>
    <w:p>
      <w:pPr>
        <w:pStyle w:val="25"/>
        <w:tabs>
          <w:tab w:val="right" w:leader="dot" w:pos="8306"/>
        </w:tabs>
      </w:pPr>
      <w:r>
        <w:t xml:space="preserve">6.5 </w:t>
      </w:r>
      <w:r>
        <w:rPr>
          <w:rFonts w:hint="eastAsia"/>
        </w:rPr>
        <w:t>PM</w:t>
      </w:r>
      <w:r>
        <w:rPr>
          <w:vertAlign w:val="subscript"/>
        </w:rPr>
        <w:t xml:space="preserve">2.5 </w:t>
      </w:r>
      <w:r>
        <w:rPr>
          <w:rFonts w:hint="eastAsia"/>
        </w:rPr>
        <w:t>Calculation Options</w:t>
      </w:r>
      <w:r>
        <w:tab/>
      </w:r>
      <w:r>
        <w:fldChar w:fldCharType="begin"/>
      </w:r>
      <w:r>
        <w:instrText xml:space="preserve"> PAGEREF _Toc20146 \h </w:instrText>
      </w:r>
      <w:r>
        <w:fldChar w:fldCharType="separate"/>
      </w:r>
      <w:r>
        <w:t>40</w:t>
      </w:r>
      <w:r>
        <w:fldChar w:fldCharType="end"/>
      </w:r>
    </w:p>
    <w:p>
      <w:pPr>
        <w:pStyle w:val="25"/>
        <w:tabs>
          <w:tab w:val="right" w:leader="dot" w:pos="8306"/>
        </w:tabs>
      </w:pPr>
      <w:r>
        <w:t xml:space="preserve">6.6 </w:t>
      </w:r>
      <w:r>
        <w:rPr>
          <w:rFonts w:hint="eastAsia"/>
        </w:rPr>
        <w:t>Model Data Options</w:t>
      </w:r>
      <w:r>
        <w:tab/>
      </w:r>
      <w:r>
        <w:fldChar w:fldCharType="begin"/>
      </w:r>
      <w:r>
        <w:instrText xml:space="preserve"> PAGEREF _Toc17342 \h </w:instrText>
      </w:r>
      <w:r>
        <w:fldChar w:fldCharType="separate"/>
      </w:r>
      <w:r>
        <w:t>43</w:t>
      </w:r>
      <w:r>
        <w:fldChar w:fldCharType="end"/>
      </w:r>
    </w:p>
    <w:p>
      <w:pPr>
        <w:pStyle w:val="20"/>
        <w:tabs>
          <w:tab w:val="right" w:leader="dot" w:pos="8306"/>
        </w:tabs>
      </w:pPr>
      <w:r>
        <w:t>7 Daily PM Analysis</w:t>
      </w:r>
      <w:r>
        <w:tab/>
      </w:r>
      <w:r>
        <w:fldChar w:fldCharType="begin"/>
      </w:r>
      <w:r>
        <w:instrText xml:space="preserve"> PAGEREF _Toc26486 \h </w:instrText>
      </w:r>
      <w:r>
        <w:fldChar w:fldCharType="separate"/>
      </w:r>
      <w:r>
        <w:t>46</w:t>
      </w:r>
      <w:r>
        <w:fldChar w:fldCharType="end"/>
      </w:r>
    </w:p>
    <w:p>
      <w:pPr>
        <w:pStyle w:val="25"/>
        <w:tabs>
          <w:tab w:val="right" w:leader="dot" w:pos="8306"/>
        </w:tabs>
      </w:pPr>
      <w:r>
        <w:t xml:space="preserve">7.1 </w:t>
      </w:r>
      <w:r>
        <w:rPr>
          <w:rFonts w:hint="eastAsia"/>
        </w:rPr>
        <w:t>Choose Desired Output</w:t>
      </w:r>
      <w:r>
        <w:tab/>
      </w:r>
      <w:r>
        <w:fldChar w:fldCharType="begin"/>
      </w:r>
      <w:r>
        <w:instrText xml:space="preserve"> PAGEREF _Toc20842 \h </w:instrText>
      </w:r>
      <w:r>
        <w:fldChar w:fldCharType="separate"/>
      </w:r>
      <w:r>
        <w:t>48</w:t>
      </w:r>
      <w:r>
        <w:fldChar w:fldCharType="end"/>
      </w:r>
    </w:p>
    <w:p>
      <w:pPr>
        <w:pStyle w:val="25"/>
        <w:tabs>
          <w:tab w:val="right" w:leader="dot" w:pos="8306"/>
        </w:tabs>
      </w:pPr>
      <w:r>
        <w:t xml:space="preserve">7.2 </w:t>
      </w:r>
      <w:r>
        <w:rPr>
          <w:rFonts w:hint="eastAsia"/>
        </w:rPr>
        <w:t>Output Choices</w:t>
      </w:r>
      <w:r>
        <w:t>–</w:t>
      </w:r>
      <w:r>
        <w:rPr>
          <w:rFonts w:hint="eastAsia"/>
        </w:rPr>
        <w:t>Advanced</w:t>
      </w:r>
      <w:r>
        <w:tab/>
      </w:r>
      <w:r>
        <w:fldChar w:fldCharType="begin"/>
      </w:r>
      <w:r>
        <w:instrText xml:space="preserve"> PAGEREF _Toc15143 \h </w:instrText>
      </w:r>
      <w:r>
        <w:fldChar w:fldCharType="separate"/>
      </w:r>
      <w:r>
        <w:t>51</w:t>
      </w:r>
      <w:r>
        <w:fldChar w:fldCharType="end"/>
      </w:r>
    </w:p>
    <w:p>
      <w:pPr>
        <w:pStyle w:val="25"/>
        <w:tabs>
          <w:tab w:val="right" w:leader="dot" w:pos="8306"/>
        </w:tabs>
      </w:pPr>
      <w:r>
        <w:t xml:space="preserve">7.3 </w:t>
      </w:r>
      <w:r>
        <w:rPr>
          <w:rFonts w:hint="eastAsia"/>
        </w:rPr>
        <w:t>Data Input</w:t>
      </w:r>
      <w:r>
        <w:tab/>
      </w:r>
      <w:r>
        <w:fldChar w:fldCharType="begin"/>
      </w:r>
      <w:r>
        <w:instrText xml:space="preserve"> PAGEREF _Toc21077 \h </w:instrText>
      </w:r>
      <w:r>
        <w:fldChar w:fldCharType="separate"/>
      </w:r>
      <w:r>
        <w:t>53</w:t>
      </w:r>
      <w:r>
        <w:fldChar w:fldCharType="end"/>
      </w:r>
    </w:p>
    <w:p>
      <w:pPr>
        <w:pStyle w:val="25"/>
        <w:tabs>
          <w:tab w:val="right" w:leader="dot" w:pos="8306"/>
        </w:tabs>
      </w:pPr>
      <w:r>
        <w:t xml:space="preserve">7.4 </w:t>
      </w:r>
      <w:r>
        <w:rPr>
          <w:rFonts w:hint="eastAsia"/>
        </w:rPr>
        <w:t>Species Fraction Options</w:t>
      </w:r>
      <w:r>
        <w:tab/>
      </w:r>
      <w:r>
        <w:fldChar w:fldCharType="begin"/>
      </w:r>
      <w:r>
        <w:instrText xml:space="preserve"> PAGEREF _Toc28171 \h </w:instrText>
      </w:r>
      <w:r>
        <w:fldChar w:fldCharType="separate"/>
      </w:r>
      <w:r>
        <w:t>56</w:t>
      </w:r>
      <w:r>
        <w:fldChar w:fldCharType="end"/>
      </w:r>
    </w:p>
    <w:p>
      <w:pPr>
        <w:pStyle w:val="25"/>
        <w:tabs>
          <w:tab w:val="right" w:leader="dot" w:pos="8306"/>
        </w:tabs>
      </w:pPr>
      <w:r>
        <w:t xml:space="preserve">7.5 </w:t>
      </w:r>
      <w:r>
        <w:rPr>
          <w:rFonts w:hint="eastAsia"/>
        </w:rPr>
        <w:t>PM</w:t>
      </w:r>
      <w:r>
        <w:rPr>
          <w:vertAlign w:val="subscript"/>
        </w:rPr>
        <w:t xml:space="preserve">2.5 </w:t>
      </w:r>
      <w:r>
        <w:rPr>
          <w:rFonts w:hint="eastAsia"/>
        </w:rPr>
        <w:t>Calculation Options</w:t>
      </w:r>
      <w:r>
        <w:tab/>
      </w:r>
      <w:r>
        <w:fldChar w:fldCharType="begin"/>
      </w:r>
      <w:r>
        <w:instrText xml:space="preserve"> PAGEREF _Toc7126 \h </w:instrText>
      </w:r>
      <w:r>
        <w:fldChar w:fldCharType="separate"/>
      </w:r>
      <w:r>
        <w:t>61</w:t>
      </w:r>
      <w:r>
        <w:fldChar w:fldCharType="end"/>
      </w:r>
    </w:p>
    <w:p>
      <w:pPr>
        <w:pStyle w:val="25"/>
        <w:tabs>
          <w:tab w:val="right" w:leader="dot" w:pos="8306"/>
        </w:tabs>
      </w:pPr>
      <w:r>
        <w:t xml:space="preserve">7.6 </w:t>
      </w:r>
      <w:r>
        <w:rPr>
          <w:rFonts w:hint="eastAsia"/>
        </w:rPr>
        <w:t>Model Data Options</w:t>
      </w:r>
      <w:r>
        <w:tab/>
      </w:r>
      <w:r>
        <w:fldChar w:fldCharType="begin"/>
      </w:r>
      <w:r>
        <w:instrText xml:space="preserve"> PAGEREF _Toc24993 \h </w:instrText>
      </w:r>
      <w:r>
        <w:fldChar w:fldCharType="separate"/>
      </w:r>
      <w:r>
        <w:t>63</w:t>
      </w:r>
      <w:r>
        <w:fldChar w:fldCharType="end"/>
      </w:r>
    </w:p>
    <w:p>
      <w:pPr>
        <w:pStyle w:val="20"/>
        <w:tabs>
          <w:tab w:val="right" w:leader="dot" w:pos="8306"/>
        </w:tabs>
      </w:pPr>
      <w:r>
        <w:t>8 Ozone Analysis</w:t>
      </w:r>
      <w:r>
        <w:tab/>
      </w:r>
      <w:r>
        <w:fldChar w:fldCharType="begin"/>
      </w:r>
      <w:r>
        <w:instrText xml:space="preserve"> PAGEREF _Toc27883 \h </w:instrText>
      </w:r>
      <w:r>
        <w:fldChar w:fldCharType="separate"/>
      </w:r>
      <w:r>
        <w:t>67</w:t>
      </w:r>
      <w:r>
        <w:fldChar w:fldCharType="end"/>
      </w:r>
    </w:p>
    <w:p>
      <w:pPr>
        <w:pStyle w:val="25"/>
        <w:tabs>
          <w:tab w:val="right" w:leader="dot" w:pos="8306"/>
        </w:tabs>
      </w:pPr>
      <w:r>
        <w:t>8.1 Desired Output</w:t>
      </w:r>
      <w:r>
        <w:tab/>
      </w:r>
      <w:r>
        <w:fldChar w:fldCharType="begin"/>
      </w:r>
      <w:r>
        <w:instrText xml:space="preserve"> PAGEREF _Toc5760 \h </w:instrText>
      </w:r>
      <w:r>
        <w:fldChar w:fldCharType="separate"/>
      </w:r>
      <w:r>
        <w:t>69</w:t>
      </w:r>
      <w:r>
        <w:fldChar w:fldCharType="end"/>
      </w:r>
    </w:p>
    <w:p>
      <w:pPr>
        <w:pStyle w:val="25"/>
        <w:tabs>
          <w:tab w:val="right" w:leader="dot" w:pos="8306"/>
        </w:tabs>
      </w:pPr>
      <w:r>
        <w:t>8.2 Data Input</w:t>
      </w:r>
      <w:r>
        <w:tab/>
      </w:r>
      <w:r>
        <w:fldChar w:fldCharType="begin"/>
      </w:r>
      <w:r>
        <w:instrText xml:space="preserve"> PAGEREF _Toc21271 \h </w:instrText>
      </w:r>
      <w:r>
        <w:fldChar w:fldCharType="separate"/>
      </w:r>
      <w:r>
        <w:t>74</w:t>
      </w:r>
      <w:r>
        <w:fldChar w:fldCharType="end"/>
      </w:r>
    </w:p>
    <w:p>
      <w:pPr>
        <w:pStyle w:val="25"/>
        <w:tabs>
          <w:tab w:val="right" w:leader="dot" w:pos="8306"/>
        </w:tabs>
      </w:pPr>
      <w:r>
        <w:t>8.3 Filtering/Interpolation</w:t>
      </w:r>
      <w:r>
        <w:tab/>
      </w:r>
      <w:r>
        <w:fldChar w:fldCharType="begin"/>
      </w:r>
      <w:r>
        <w:instrText xml:space="preserve"> PAGEREF _Toc24126 \h </w:instrText>
      </w:r>
      <w:r>
        <w:fldChar w:fldCharType="separate"/>
      </w:r>
      <w:r>
        <w:t>78</w:t>
      </w:r>
      <w:r>
        <w:fldChar w:fldCharType="end"/>
      </w:r>
    </w:p>
    <w:p>
      <w:pPr>
        <w:pStyle w:val="25"/>
        <w:tabs>
          <w:tab w:val="right" w:leader="dot" w:pos="8306"/>
        </w:tabs>
      </w:pPr>
      <w:r>
        <w:t>8.4 RRF/Spatial Gradient</w:t>
      </w:r>
      <w:r>
        <w:tab/>
      </w:r>
      <w:r>
        <w:fldChar w:fldCharType="begin"/>
      </w:r>
      <w:r>
        <w:instrText xml:space="preserve"> PAGEREF _Toc29493 \h </w:instrText>
      </w:r>
      <w:r>
        <w:fldChar w:fldCharType="separate"/>
      </w:r>
      <w:r>
        <w:t>80</w:t>
      </w:r>
      <w:r>
        <w:fldChar w:fldCharType="end"/>
      </w:r>
    </w:p>
    <w:p>
      <w:pPr>
        <w:pStyle w:val="20"/>
        <w:tabs>
          <w:tab w:val="right" w:leader="dot" w:pos="8306"/>
        </w:tabs>
      </w:pPr>
      <w:r>
        <w:t>9 Visibility Analysis</w:t>
      </w:r>
      <w:r>
        <w:tab/>
      </w:r>
      <w:r>
        <w:fldChar w:fldCharType="begin"/>
      </w:r>
      <w:r>
        <w:instrText xml:space="preserve"> PAGEREF _Toc25985 \h </w:instrText>
      </w:r>
      <w:r>
        <w:fldChar w:fldCharType="separate"/>
      </w:r>
      <w:r>
        <w:t>86</w:t>
      </w:r>
      <w:r>
        <w:fldChar w:fldCharType="end"/>
      </w:r>
    </w:p>
    <w:p>
      <w:pPr>
        <w:pStyle w:val="25"/>
        <w:tabs>
          <w:tab w:val="right" w:leader="dot" w:pos="8306"/>
        </w:tabs>
      </w:pPr>
      <w:r>
        <w:t>9.1 Choose Desired Output</w:t>
      </w:r>
      <w:r>
        <w:tab/>
      </w:r>
      <w:r>
        <w:fldChar w:fldCharType="begin"/>
      </w:r>
      <w:r>
        <w:instrText xml:space="preserve"> PAGEREF _Toc15801 \h </w:instrText>
      </w:r>
      <w:r>
        <w:fldChar w:fldCharType="separate"/>
      </w:r>
      <w:r>
        <w:t>88</w:t>
      </w:r>
      <w:r>
        <w:fldChar w:fldCharType="end"/>
      </w:r>
    </w:p>
    <w:p>
      <w:pPr>
        <w:pStyle w:val="25"/>
        <w:tabs>
          <w:tab w:val="right" w:leader="dot" w:pos="8306"/>
        </w:tabs>
      </w:pPr>
      <w:r>
        <w:t>9.2 Data Input</w:t>
      </w:r>
      <w:r>
        <w:tab/>
      </w:r>
      <w:r>
        <w:fldChar w:fldCharType="begin"/>
      </w:r>
      <w:r>
        <w:instrText xml:space="preserve"> PAGEREF _Toc8105 \h </w:instrText>
      </w:r>
      <w:r>
        <w:fldChar w:fldCharType="separate"/>
      </w:r>
      <w:r>
        <w:t>102</w:t>
      </w:r>
      <w:r>
        <w:fldChar w:fldCharType="end"/>
      </w:r>
    </w:p>
    <w:p>
      <w:pPr>
        <w:pStyle w:val="25"/>
        <w:tabs>
          <w:tab w:val="right" w:leader="dot" w:pos="8306"/>
        </w:tabs>
      </w:pPr>
      <w:r>
        <w:t xml:space="preserve">9.3 </w:t>
      </w:r>
      <w:r>
        <w:rPr>
          <w:rFonts w:hint="eastAsia"/>
        </w:rPr>
        <w:t>Filtering</w:t>
      </w:r>
      <w:r>
        <w:tab/>
      </w:r>
      <w:r>
        <w:fldChar w:fldCharType="begin"/>
      </w:r>
      <w:r>
        <w:instrText xml:space="preserve"> PAGEREF _Toc4674 \h </w:instrText>
      </w:r>
      <w:r>
        <w:fldChar w:fldCharType="separate"/>
      </w:r>
      <w:r>
        <w:t>110</w:t>
      </w:r>
      <w:r>
        <w:fldChar w:fldCharType="end"/>
      </w:r>
    </w:p>
    <w:p>
      <w:pPr>
        <w:pStyle w:val="20"/>
        <w:tabs>
          <w:tab w:val="right" w:leader="dot" w:pos="8306"/>
        </w:tabs>
      </w:pPr>
      <w:r>
        <w:t>10 The SMAT-CE Data Viewer</w:t>
      </w:r>
      <w:r>
        <w:tab/>
      </w:r>
      <w:r>
        <w:fldChar w:fldCharType="begin"/>
      </w:r>
      <w:r>
        <w:instrText xml:space="preserve"> PAGEREF _Toc10417 \h </w:instrText>
      </w:r>
      <w:r>
        <w:fldChar w:fldCharType="separate"/>
      </w:r>
      <w:r>
        <w:t>114</w:t>
      </w:r>
      <w:r>
        <w:fldChar w:fldCharType="end"/>
      </w:r>
    </w:p>
    <w:p>
      <w:pPr>
        <w:pStyle w:val="25"/>
        <w:tabs>
          <w:tab w:val="right" w:leader="dot" w:pos="8306"/>
        </w:tabs>
      </w:pPr>
      <w:r>
        <w:t>10.1 Starting the Data Viewer</w:t>
      </w:r>
      <w:r>
        <w:tab/>
      </w:r>
      <w:r>
        <w:fldChar w:fldCharType="begin"/>
      </w:r>
      <w:r>
        <w:instrText xml:space="preserve"> PAGEREF _Toc13411 \h </w:instrText>
      </w:r>
      <w:r>
        <w:fldChar w:fldCharType="separate"/>
      </w:r>
      <w:r>
        <w:t>114</w:t>
      </w:r>
      <w:r>
        <w:fldChar w:fldCharType="end"/>
      </w:r>
    </w:p>
    <w:p>
      <w:pPr>
        <w:pStyle w:val="25"/>
        <w:tabs>
          <w:tab w:val="right" w:leader="dot" w:pos="8306"/>
        </w:tabs>
      </w:pPr>
      <w:r>
        <w:t>10.2 Starting an Analysis Session</w:t>
      </w:r>
      <w:r>
        <w:tab/>
      </w:r>
      <w:r>
        <w:fldChar w:fldCharType="begin"/>
      </w:r>
      <w:r>
        <w:instrText xml:space="preserve"> PAGEREF _Toc5950 \h </w:instrText>
      </w:r>
      <w:r>
        <w:fldChar w:fldCharType="separate"/>
      </w:r>
      <w:r>
        <w:t>115</w:t>
      </w:r>
      <w:r>
        <w:fldChar w:fldCharType="end"/>
      </w:r>
    </w:p>
    <w:p>
      <w:pPr>
        <w:pStyle w:val="25"/>
        <w:tabs>
          <w:tab w:val="right" w:leader="dot" w:pos="8306"/>
        </w:tabs>
      </w:pPr>
      <w:r>
        <w:t>10.3 Creating Data Displays</w:t>
      </w:r>
      <w:r>
        <w:tab/>
      </w:r>
      <w:r>
        <w:fldChar w:fldCharType="begin"/>
      </w:r>
      <w:r>
        <w:instrText xml:space="preserve"> PAGEREF _Toc17421 \h </w:instrText>
      </w:r>
      <w:r>
        <w:fldChar w:fldCharType="separate"/>
      </w:r>
      <w:r>
        <w:t>117</w:t>
      </w:r>
      <w:r>
        <w:fldChar w:fldCharType="end"/>
      </w:r>
    </w:p>
    <w:p>
      <w:pPr>
        <w:pStyle w:val="25"/>
        <w:tabs>
          <w:tab w:val="right" w:leader="dot" w:pos="8306"/>
        </w:tabs>
      </w:pPr>
      <w:r>
        <w:t>10.4 GIS Window</w:t>
      </w:r>
      <w:r>
        <w:tab/>
      </w:r>
      <w:r>
        <w:fldChar w:fldCharType="begin"/>
      </w:r>
      <w:r>
        <w:instrText xml:space="preserve"> PAGEREF _Toc18415 \h </w:instrText>
      </w:r>
      <w:r>
        <w:fldChar w:fldCharType="separate"/>
      </w:r>
      <w:r>
        <w:t>119</w:t>
      </w:r>
      <w:r>
        <w:fldChar w:fldCharType="end"/>
      </w:r>
    </w:p>
    <w:p>
      <w:pPr>
        <w:pStyle w:val="25"/>
        <w:tabs>
          <w:tab w:val="right" w:leader="dot" w:pos="8306"/>
        </w:tabs>
      </w:pPr>
      <w:r>
        <w:t>10.5 Map Window</w:t>
      </w:r>
      <w:r>
        <w:tab/>
      </w:r>
      <w:r>
        <w:fldChar w:fldCharType="begin"/>
      </w:r>
      <w:r>
        <w:instrText xml:space="preserve"> PAGEREF _Toc15881 \h </w:instrText>
      </w:r>
      <w:r>
        <w:fldChar w:fldCharType="separate"/>
      </w:r>
      <w:r>
        <w:t>122</w:t>
      </w:r>
      <w:r>
        <w:fldChar w:fldCharType="end"/>
      </w:r>
    </w:p>
    <w:p>
      <w:pPr>
        <w:pStyle w:val="25"/>
        <w:tabs>
          <w:tab w:val="right" w:leader="dot" w:pos="8306"/>
        </w:tabs>
      </w:pPr>
      <w:r>
        <w:t>10.6 Data Table Display</w:t>
      </w:r>
      <w:r>
        <w:tab/>
      </w:r>
      <w:r>
        <w:fldChar w:fldCharType="begin"/>
      </w:r>
      <w:r>
        <w:instrText xml:space="preserve"> PAGEREF _Toc13422 \h </w:instrText>
      </w:r>
      <w:r>
        <w:fldChar w:fldCharType="separate"/>
      </w:r>
      <w:r>
        <w:t>125</w:t>
      </w:r>
      <w:r>
        <w:fldChar w:fldCharType="end"/>
      </w:r>
    </w:p>
    <w:p>
      <w:pPr>
        <w:pStyle w:val="25"/>
        <w:tabs>
          <w:tab w:val="right" w:leader="dot" w:pos="8306"/>
        </w:tabs>
      </w:pPr>
      <w:r>
        <w:t>10.7 Chart Display</w:t>
      </w:r>
      <w:r>
        <w:tab/>
      </w:r>
      <w:r>
        <w:fldChar w:fldCharType="begin"/>
      </w:r>
      <w:r>
        <w:instrText xml:space="preserve"> PAGEREF _Toc27987 \h </w:instrText>
      </w:r>
      <w:r>
        <w:fldChar w:fldCharType="separate"/>
      </w:r>
      <w:r>
        <w:t>127</w:t>
      </w:r>
      <w:r>
        <w:fldChar w:fldCharType="end"/>
      </w:r>
    </w:p>
    <w:p>
      <w:pPr>
        <w:pStyle w:val="25"/>
        <w:tabs>
          <w:tab w:val="right" w:leader="dot" w:pos="8306"/>
        </w:tabs>
      </w:pPr>
      <w:r>
        <w:t>10.8 The SMAT-CE Configuration File</w:t>
      </w:r>
      <w:r>
        <w:tab/>
      </w:r>
      <w:r>
        <w:fldChar w:fldCharType="begin"/>
      </w:r>
      <w:r>
        <w:instrText xml:space="preserve"> PAGEREF _Toc15320 \h </w:instrText>
      </w:r>
      <w:r>
        <w:fldChar w:fldCharType="separate"/>
      </w:r>
      <w:r>
        <w:t>130</w:t>
      </w:r>
      <w:r>
        <w:fldChar w:fldCharType="end"/>
      </w:r>
    </w:p>
    <w:p>
      <w:pPr>
        <w:pStyle w:val="25"/>
        <w:tabs>
          <w:tab w:val="right" w:leader="dot" w:pos="8306"/>
        </w:tabs>
      </w:pPr>
      <w:r>
        <w:t>10.9 Exporting Data from SMAT-CE</w:t>
      </w:r>
      <w:r>
        <w:tab/>
      </w:r>
      <w:r>
        <w:fldChar w:fldCharType="begin"/>
      </w:r>
      <w:r>
        <w:instrText xml:space="preserve"> PAGEREF _Toc15458 \h </w:instrText>
      </w:r>
      <w:r>
        <w:fldChar w:fldCharType="separate"/>
      </w:r>
      <w:r>
        <w:t>131</w:t>
      </w:r>
      <w:r>
        <w:fldChar w:fldCharType="end"/>
      </w:r>
    </w:p>
    <w:p>
      <w:pPr>
        <w:pStyle w:val="20"/>
        <w:tabs>
          <w:tab w:val="right" w:leader="dot" w:pos="8306"/>
        </w:tabs>
      </w:pPr>
      <w:r>
        <w:t>11 Getting Help</w:t>
      </w:r>
      <w:r>
        <w:tab/>
      </w:r>
      <w:r>
        <w:fldChar w:fldCharType="begin"/>
      </w:r>
      <w:r>
        <w:instrText xml:space="preserve"> PAGEREF _Toc12133 \h </w:instrText>
      </w:r>
      <w:r>
        <w:fldChar w:fldCharType="separate"/>
      </w:r>
      <w:r>
        <w:t>133</w:t>
      </w:r>
      <w:r>
        <w:fldChar w:fldCharType="end"/>
      </w:r>
    </w:p>
    <w:p>
      <w:pPr>
        <w:pStyle w:val="20"/>
        <w:tabs>
          <w:tab w:val="right" w:leader="dot" w:pos="8306"/>
        </w:tabs>
      </w:pPr>
      <w:r>
        <w:t>12 References</w:t>
      </w:r>
      <w:r>
        <w:tab/>
      </w:r>
      <w:r>
        <w:fldChar w:fldCharType="begin"/>
      </w:r>
      <w:r>
        <w:instrText xml:space="preserve"> PAGEREF _Toc3490 \h </w:instrText>
      </w:r>
      <w:r>
        <w:fldChar w:fldCharType="separate"/>
      </w:r>
      <w:r>
        <w:t>134</w:t>
      </w:r>
      <w:r>
        <w:fldChar w:fldCharType="end"/>
      </w:r>
    </w:p>
    <w:p>
      <w:pPr>
        <w:rPr>
          <w:rFonts w:cs="Times New Roman"/>
          <w:bCs/>
          <w:szCs w:val="24"/>
        </w:rPr>
        <w:sectPr>
          <w:headerReference r:id="rId9" w:type="default"/>
          <w:footerReference r:id="rId10" w:type="default"/>
          <w:pgSz w:w="11906" w:h="16838"/>
          <w:pgMar w:top="1440" w:right="1800" w:bottom="1440" w:left="1800" w:header="851" w:footer="992" w:gutter="0"/>
          <w:pgNumType w:fmt="lowerRoman" w:start="1"/>
          <w:cols w:space="425" w:num="1"/>
          <w:titlePg/>
          <w:docGrid w:type="lines" w:linePitch="326" w:charSpace="0"/>
        </w:sectPr>
      </w:pPr>
      <w:r>
        <w:rPr>
          <w:bCs/>
          <w:szCs w:val="24"/>
        </w:rPr>
        <w:fldChar w:fldCharType="end"/>
      </w:r>
    </w:p>
    <w:p>
      <w:pPr>
        <w:pStyle w:val="2"/>
        <w:numPr>
          <w:ilvl w:val="0"/>
          <w:numId w:val="0"/>
        </w:numPr>
        <w:ind w:left="425" w:hanging="425"/>
        <w:jc w:val="center"/>
      </w:pPr>
      <w:bookmarkStart w:id="0" w:name="_Toc476654816"/>
      <w:bookmarkStart w:id="1" w:name="_Toc119010850"/>
      <w:bookmarkStart w:id="2" w:name="_Toc1538"/>
      <w:r>
        <w:rPr>
          <w:rFonts w:hint="eastAsia"/>
        </w:rPr>
        <w:t>List</w:t>
      </w:r>
      <w:r>
        <w:t xml:space="preserve"> of Figures</w:t>
      </w:r>
      <w:bookmarkEnd w:id="0"/>
      <w:bookmarkEnd w:id="1"/>
      <w:bookmarkEnd w:id="2"/>
    </w:p>
    <w:p>
      <w:pPr>
        <w:pStyle w:val="24"/>
        <w:tabs>
          <w:tab w:val="right" w:leader="dot" w:pos="8306"/>
        </w:tabs>
      </w:pPr>
      <w:r>
        <w:rPr>
          <w:b/>
        </w:rPr>
        <w:fldChar w:fldCharType="begin"/>
      </w:r>
      <w:r>
        <w:rPr>
          <w:rFonts w:asciiTheme="minorHAnsi" w:hAnsiTheme="minorHAnsi"/>
          <w:b/>
          <w:bCs/>
          <w:szCs w:val="24"/>
        </w:rPr>
        <w:instrText xml:space="preserve"> TOC \c "Figure" </w:instrText>
      </w:r>
      <w:r>
        <w:rPr>
          <w:b/>
        </w:rPr>
        <w:fldChar w:fldCharType="separate"/>
      </w:r>
      <w:r>
        <w:rPr>
          <w:bCs/>
          <w:i/>
          <w:iCs/>
        </w:rPr>
        <w:t>Figure 3</w:t>
      </w:r>
      <w:r>
        <w:rPr>
          <w:bCs/>
          <w:i/>
          <w:iCs/>
        </w:rPr>
        <w:noBreakHyphen/>
      </w:r>
      <w:r>
        <w:t xml:space="preserve">1 </w:t>
      </w:r>
      <w:r>
        <w:rPr>
          <w:bCs/>
          <w:i/>
          <w:iCs/>
        </w:rPr>
        <w:t>. SMAT-CE installation window</w:t>
      </w:r>
      <w:r>
        <w:tab/>
      </w:r>
      <w:r>
        <w:fldChar w:fldCharType="begin"/>
      </w:r>
      <w:r>
        <w:instrText xml:space="preserve"> PAGEREF _Toc15517 \h </w:instrText>
      </w:r>
      <w:r>
        <w:fldChar w:fldCharType="separate"/>
      </w:r>
      <w:r>
        <w:t>18</w:t>
      </w:r>
      <w:r>
        <w:fldChar w:fldCharType="end"/>
      </w:r>
    </w:p>
    <w:p>
      <w:pPr>
        <w:pStyle w:val="24"/>
        <w:tabs>
          <w:tab w:val="right" w:leader="dot" w:pos="8306"/>
        </w:tabs>
      </w:pPr>
      <w:r>
        <w:rPr>
          <w:bCs/>
          <w:i/>
          <w:iCs/>
        </w:rPr>
        <w:t>Figure 4</w:t>
      </w:r>
      <w:r>
        <w:rPr>
          <w:bCs/>
          <w:i/>
          <w:iCs/>
        </w:rPr>
        <w:noBreakHyphen/>
      </w:r>
      <w:r>
        <w:t xml:space="preserve">1 </w:t>
      </w:r>
      <w:r>
        <w:rPr>
          <w:bCs/>
          <w:i/>
          <w:iCs/>
        </w:rPr>
        <w:t>. SMAT-CE start page window</w:t>
      </w:r>
      <w:r>
        <w:tab/>
      </w:r>
      <w:r>
        <w:fldChar w:fldCharType="begin"/>
      </w:r>
      <w:r>
        <w:instrText xml:space="preserve"> PAGEREF _Toc13747 \h </w:instrText>
      </w:r>
      <w:r>
        <w:fldChar w:fldCharType="separate"/>
      </w:r>
      <w:r>
        <w:t>20</w:t>
      </w:r>
      <w:r>
        <w:fldChar w:fldCharType="end"/>
      </w:r>
    </w:p>
    <w:p>
      <w:pPr>
        <w:pStyle w:val="24"/>
        <w:tabs>
          <w:tab w:val="right" w:leader="dot" w:pos="8306"/>
        </w:tabs>
      </w:pPr>
      <w:r>
        <w:rPr>
          <w:bCs/>
          <w:i/>
          <w:iCs/>
        </w:rPr>
        <w:t>Figure 4</w:t>
      </w:r>
      <w:r>
        <w:rPr>
          <w:bCs/>
          <w:i/>
          <w:iCs/>
        </w:rPr>
        <w:noBreakHyphen/>
      </w:r>
      <w:r>
        <w:t xml:space="preserve">2 </w:t>
      </w:r>
      <w:r>
        <w:rPr>
          <w:bCs/>
          <w:i/>
          <w:iCs/>
        </w:rPr>
        <w:t>. SMAT-CE About window</w:t>
      </w:r>
      <w:r>
        <w:tab/>
      </w:r>
      <w:r>
        <w:fldChar w:fldCharType="begin"/>
      </w:r>
      <w:r>
        <w:instrText xml:space="preserve"> PAGEREF _Toc16464 \h </w:instrText>
      </w:r>
      <w:r>
        <w:fldChar w:fldCharType="separate"/>
      </w:r>
      <w:r>
        <w:t>20</w:t>
      </w:r>
      <w:r>
        <w:fldChar w:fldCharType="end"/>
      </w:r>
    </w:p>
    <w:p>
      <w:pPr>
        <w:pStyle w:val="24"/>
        <w:tabs>
          <w:tab w:val="right" w:leader="dot" w:pos="8306"/>
        </w:tabs>
      </w:pPr>
      <w:r>
        <w:rPr>
          <w:bCs/>
          <w:i/>
          <w:iCs/>
        </w:rPr>
        <w:t>Figure 4</w:t>
      </w:r>
      <w:r>
        <w:rPr>
          <w:bCs/>
          <w:i/>
          <w:iCs/>
        </w:rPr>
        <w:noBreakHyphen/>
      </w:r>
      <w:r>
        <w:t xml:space="preserve">3 </w:t>
      </w:r>
      <w:r>
        <w:rPr>
          <w:bCs/>
          <w:i/>
          <w:iCs/>
        </w:rPr>
        <w:t>. SMAT-CE development log window</w:t>
      </w:r>
      <w:r>
        <w:tab/>
      </w:r>
      <w:r>
        <w:fldChar w:fldCharType="begin"/>
      </w:r>
      <w:r>
        <w:instrText xml:space="preserve"> PAGEREF _Toc14329 \h </w:instrText>
      </w:r>
      <w:r>
        <w:fldChar w:fldCharType="separate"/>
      </w:r>
      <w:r>
        <w:t>21</w:t>
      </w:r>
      <w:r>
        <w:fldChar w:fldCharType="end"/>
      </w:r>
    </w:p>
    <w:p>
      <w:pPr>
        <w:pStyle w:val="24"/>
        <w:tabs>
          <w:tab w:val="right" w:leader="dot" w:pos="8306"/>
        </w:tabs>
      </w:pPr>
      <w:r>
        <w:rPr>
          <w:bCs/>
          <w:i/>
          <w:iCs/>
        </w:rPr>
        <w:t>Figure 5</w:t>
      </w:r>
      <w:r>
        <w:rPr>
          <w:bCs/>
          <w:i/>
          <w:iCs/>
        </w:rPr>
        <w:noBreakHyphen/>
      </w:r>
      <w:r>
        <w:t xml:space="preserve">1 </w:t>
      </w:r>
      <w:r>
        <w:rPr>
          <w:bCs/>
          <w:i/>
          <w:iCs/>
        </w:rPr>
        <w:t>. SMAT-CE batch script</w:t>
      </w:r>
      <w:r>
        <w:tab/>
      </w:r>
      <w:r>
        <w:fldChar w:fldCharType="begin"/>
      </w:r>
      <w:r>
        <w:instrText xml:space="preserve"> PAGEREF _Toc4785 \h </w:instrText>
      </w:r>
      <w:r>
        <w:fldChar w:fldCharType="separate"/>
      </w:r>
      <w:r>
        <w:t>24</w:t>
      </w:r>
      <w:r>
        <w:fldChar w:fldCharType="end"/>
      </w:r>
    </w:p>
    <w:p>
      <w:pPr>
        <w:pStyle w:val="24"/>
        <w:tabs>
          <w:tab w:val="right" w:leader="dot" w:pos="8306"/>
        </w:tabs>
      </w:pPr>
      <w:r>
        <w:rPr>
          <w:bCs/>
          <w:i/>
          <w:iCs/>
        </w:rPr>
        <w:t>Figure 6</w:t>
      </w:r>
      <w:r>
        <w:rPr>
          <w:bCs/>
          <w:i/>
          <w:iCs/>
        </w:rPr>
        <w:noBreakHyphen/>
      </w:r>
      <w:r>
        <w:t xml:space="preserve">1 </w:t>
      </w:r>
      <w:r>
        <w:rPr>
          <w:bCs/>
          <w:i/>
          <w:iCs/>
        </w:rPr>
        <w:t>. Annual PM Analysis initial window</w:t>
      </w:r>
      <w:r>
        <w:tab/>
      </w:r>
      <w:r>
        <w:fldChar w:fldCharType="begin"/>
      </w:r>
      <w:r>
        <w:instrText xml:space="preserve"> PAGEREF _Toc18298 \h </w:instrText>
      </w:r>
      <w:r>
        <w:fldChar w:fldCharType="separate"/>
      </w:r>
      <w:r>
        <w:t>26</w:t>
      </w:r>
      <w:r>
        <w:fldChar w:fldCharType="end"/>
      </w:r>
    </w:p>
    <w:p>
      <w:pPr>
        <w:pStyle w:val="24"/>
        <w:tabs>
          <w:tab w:val="right" w:leader="dot" w:pos="8306"/>
        </w:tabs>
      </w:pPr>
      <w:r>
        <w:rPr>
          <w:bCs/>
          <w:i/>
          <w:iCs/>
        </w:rPr>
        <w:t>Figure 6</w:t>
      </w:r>
      <w:r>
        <w:rPr>
          <w:bCs/>
          <w:i/>
          <w:iCs/>
        </w:rPr>
        <w:noBreakHyphen/>
      </w:r>
      <w:r>
        <w:t xml:space="preserve">2 </w:t>
      </w:r>
      <w:r>
        <w:rPr>
          <w:bCs/>
          <w:i/>
          <w:iCs/>
        </w:rPr>
        <w:t>. Choose Desired Output for Annual PM</w:t>
      </w:r>
      <w:r>
        <w:rPr>
          <w:bCs/>
          <w:i/>
          <w:iCs/>
          <w:vertAlign w:val="subscript"/>
        </w:rPr>
        <w:t>2.5</w:t>
      </w:r>
      <w:r>
        <w:rPr>
          <w:bCs/>
          <w:i/>
          <w:iCs/>
        </w:rPr>
        <w:t xml:space="preserve"> Analysis</w:t>
      </w:r>
      <w:r>
        <w:tab/>
      </w:r>
      <w:r>
        <w:fldChar w:fldCharType="begin"/>
      </w:r>
      <w:r>
        <w:instrText xml:space="preserve"> PAGEREF _Toc32264 \h </w:instrText>
      </w:r>
      <w:r>
        <w:fldChar w:fldCharType="separate"/>
      </w:r>
      <w:r>
        <w:t>27</w:t>
      </w:r>
      <w:r>
        <w:fldChar w:fldCharType="end"/>
      </w:r>
    </w:p>
    <w:p>
      <w:pPr>
        <w:pStyle w:val="24"/>
        <w:tabs>
          <w:tab w:val="right" w:leader="dot" w:pos="8306"/>
        </w:tabs>
      </w:pPr>
      <w:r>
        <w:rPr>
          <w:bCs/>
          <w:i/>
          <w:iCs/>
        </w:rPr>
        <w:t>Figure 6</w:t>
      </w:r>
      <w:r>
        <w:rPr>
          <w:bCs/>
          <w:i/>
          <w:iCs/>
        </w:rPr>
        <w:noBreakHyphen/>
      </w:r>
      <w:r>
        <w:t xml:space="preserve">3 </w:t>
      </w:r>
      <w:r>
        <w:rPr>
          <w:bCs/>
          <w:i/>
          <w:iCs/>
        </w:rPr>
        <w:t>. Output Choices-Advanced for Annual PM</w:t>
      </w:r>
      <w:r>
        <w:rPr>
          <w:bCs/>
          <w:i/>
          <w:iCs/>
          <w:vertAlign w:val="subscript"/>
        </w:rPr>
        <w:t>2.5</w:t>
      </w:r>
      <w:r>
        <w:rPr>
          <w:bCs/>
          <w:i/>
          <w:iCs/>
        </w:rPr>
        <w:t xml:space="preserve"> Analysis</w:t>
      </w:r>
      <w:r>
        <w:tab/>
      </w:r>
      <w:r>
        <w:fldChar w:fldCharType="begin"/>
      </w:r>
      <w:r>
        <w:instrText xml:space="preserve"> PAGEREF _Toc30942 \h </w:instrText>
      </w:r>
      <w:r>
        <w:fldChar w:fldCharType="separate"/>
      </w:r>
      <w:r>
        <w:t>30</w:t>
      </w:r>
      <w:r>
        <w:fldChar w:fldCharType="end"/>
      </w:r>
    </w:p>
    <w:p>
      <w:pPr>
        <w:pStyle w:val="24"/>
        <w:tabs>
          <w:tab w:val="right" w:leader="dot" w:pos="8306"/>
        </w:tabs>
      </w:pPr>
      <w:r>
        <w:rPr>
          <w:bCs/>
          <w:i/>
          <w:iCs/>
        </w:rPr>
        <w:t>Figure 6</w:t>
      </w:r>
      <w:r>
        <w:rPr>
          <w:bCs/>
          <w:i/>
          <w:iCs/>
        </w:rPr>
        <w:noBreakHyphen/>
      </w:r>
      <w:r>
        <w:t xml:space="preserve">4 </w:t>
      </w:r>
      <w:r>
        <w:rPr>
          <w:bCs/>
          <w:i/>
          <w:iCs/>
        </w:rPr>
        <w:t>. Data Input for Annual PM</w:t>
      </w:r>
      <w:r>
        <w:rPr>
          <w:bCs/>
          <w:i/>
          <w:iCs/>
          <w:vertAlign w:val="subscript"/>
        </w:rPr>
        <w:t>2.5</w:t>
      </w:r>
      <w:r>
        <w:rPr>
          <w:bCs/>
          <w:i/>
          <w:iCs/>
        </w:rPr>
        <w:t xml:space="preserve"> Analysis</w:t>
      </w:r>
      <w:r>
        <w:tab/>
      </w:r>
      <w:r>
        <w:fldChar w:fldCharType="begin"/>
      </w:r>
      <w:r>
        <w:instrText xml:space="preserve"> PAGEREF _Toc30052 \h </w:instrText>
      </w:r>
      <w:r>
        <w:fldChar w:fldCharType="separate"/>
      </w:r>
      <w:r>
        <w:t>33</w:t>
      </w:r>
      <w:r>
        <w:fldChar w:fldCharType="end"/>
      </w:r>
    </w:p>
    <w:p>
      <w:pPr>
        <w:pStyle w:val="24"/>
        <w:tabs>
          <w:tab w:val="right" w:leader="dot" w:pos="8306"/>
        </w:tabs>
      </w:pPr>
      <w:r>
        <w:rPr>
          <w:bCs/>
          <w:i/>
          <w:iCs/>
        </w:rPr>
        <w:t>Figure 6</w:t>
      </w:r>
      <w:r>
        <w:rPr>
          <w:bCs/>
          <w:i/>
          <w:iCs/>
        </w:rPr>
        <w:noBreakHyphen/>
      </w:r>
      <w:r>
        <w:t xml:space="preserve">5 </w:t>
      </w:r>
      <w:r>
        <w:rPr>
          <w:bCs/>
          <w:i/>
          <w:iCs/>
        </w:rPr>
        <w:t>. Species Fraction Options for Annual PM</w:t>
      </w:r>
      <w:r>
        <w:rPr>
          <w:bCs/>
          <w:i/>
          <w:iCs/>
          <w:vertAlign w:val="subscript"/>
        </w:rPr>
        <w:t>2.5</w:t>
      </w:r>
      <w:r>
        <w:rPr>
          <w:bCs/>
          <w:i/>
          <w:iCs/>
        </w:rPr>
        <w:t xml:space="preserve"> Analysis</w:t>
      </w:r>
      <w:r>
        <w:tab/>
      </w:r>
      <w:r>
        <w:fldChar w:fldCharType="begin"/>
      </w:r>
      <w:r>
        <w:instrText xml:space="preserve"> PAGEREF _Toc22981 \h </w:instrText>
      </w:r>
      <w:r>
        <w:fldChar w:fldCharType="separate"/>
      </w:r>
      <w:r>
        <w:t>36</w:t>
      </w:r>
      <w:r>
        <w:fldChar w:fldCharType="end"/>
      </w:r>
    </w:p>
    <w:p>
      <w:pPr>
        <w:pStyle w:val="24"/>
        <w:tabs>
          <w:tab w:val="right" w:leader="dot" w:pos="8306"/>
        </w:tabs>
      </w:pPr>
      <w:r>
        <w:rPr>
          <w:bCs/>
          <w:i/>
          <w:iCs/>
        </w:rPr>
        <w:t>Figure 6</w:t>
      </w:r>
      <w:r>
        <w:rPr>
          <w:bCs/>
          <w:i/>
          <w:iCs/>
        </w:rPr>
        <w:noBreakHyphen/>
      </w:r>
      <w:r>
        <w:t xml:space="preserve">6 </w:t>
      </w:r>
      <w:r>
        <w:rPr>
          <w:bCs/>
          <w:i/>
          <w:iCs/>
        </w:rPr>
        <w:t>. PM</w:t>
      </w:r>
      <w:r>
        <w:rPr>
          <w:bCs/>
          <w:i/>
          <w:iCs/>
          <w:vertAlign w:val="subscript"/>
        </w:rPr>
        <w:t>2.5</w:t>
      </w:r>
      <w:r>
        <w:rPr>
          <w:bCs/>
          <w:i/>
          <w:iCs/>
        </w:rPr>
        <w:t xml:space="preserve"> Calculation Options for Annual PM</w:t>
      </w:r>
      <w:r>
        <w:rPr>
          <w:bCs/>
          <w:i/>
          <w:iCs/>
          <w:vertAlign w:val="subscript"/>
        </w:rPr>
        <w:t xml:space="preserve">2.5 </w:t>
      </w:r>
      <w:r>
        <w:rPr>
          <w:bCs/>
          <w:i/>
          <w:iCs/>
        </w:rPr>
        <w:t>Analysis</w:t>
      </w:r>
      <w:r>
        <w:tab/>
      </w:r>
      <w:r>
        <w:fldChar w:fldCharType="begin"/>
      </w:r>
      <w:r>
        <w:instrText xml:space="preserve"> PAGEREF _Toc1677 \h </w:instrText>
      </w:r>
      <w:r>
        <w:fldChar w:fldCharType="separate"/>
      </w:r>
      <w:r>
        <w:t>40</w:t>
      </w:r>
      <w:r>
        <w:fldChar w:fldCharType="end"/>
      </w:r>
    </w:p>
    <w:p>
      <w:pPr>
        <w:pStyle w:val="24"/>
        <w:tabs>
          <w:tab w:val="right" w:leader="dot" w:pos="8306"/>
        </w:tabs>
      </w:pPr>
      <w:r>
        <w:rPr>
          <w:bCs/>
          <w:i/>
          <w:iCs/>
        </w:rPr>
        <w:t>Figure 6</w:t>
      </w:r>
      <w:r>
        <w:rPr>
          <w:bCs/>
          <w:i/>
          <w:iCs/>
        </w:rPr>
        <w:noBreakHyphen/>
      </w:r>
      <w:r>
        <w:t xml:space="preserve">7 </w:t>
      </w:r>
      <w:r>
        <w:rPr>
          <w:bCs/>
          <w:i/>
          <w:iCs/>
        </w:rPr>
        <w:t>. Model Data Options for Annual PM</w:t>
      </w:r>
      <w:r>
        <w:rPr>
          <w:bCs/>
          <w:i/>
          <w:iCs/>
          <w:vertAlign w:val="subscript"/>
        </w:rPr>
        <w:t xml:space="preserve">2.5 </w:t>
      </w:r>
      <w:r>
        <w:rPr>
          <w:bCs/>
          <w:i/>
          <w:iCs/>
        </w:rPr>
        <w:t>Analysis</w:t>
      </w:r>
      <w:r>
        <w:tab/>
      </w:r>
      <w:r>
        <w:fldChar w:fldCharType="begin"/>
      </w:r>
      <w:r>
        <w:instrText xml:space="preserve"> PAGEREF _Toc4702 \h </w:instrText>
      </w:r>
      <w:r>
        <w:fldChar w:fldCharType="separate"/>
      </w:r>
      <w:r>
        <w:t>43</w:t>
      </w:r>
      <w:r>
        <w:fldChar w:fldCharType="end"/>
      </w:r>
    </w:p>
    <w:p>
      <w:pPr>
        <w:pStyle w:val="24"/>
        <w:tabs>
          <w:tab w:val="right" w:leader="dot" w:pos="8306"/>
        </w:tabs>
      </w:pPr>
      <w:r>
        <w:rPr>
          <w:bCs/>
          <w:i/>
          <w:iCs/>
        </w:rPr>
        <w:t>Figure 6</w:t>
      </w:r>
      <w:r>
        <w:rPr>
          <w:bCs/>
          <w:i/>
          <w:iCs/>
        </w:rPr>
        <w:noBreakHyphen/>
      </w:r>
      <w:r>
        <w:t xml:space="preserve">8 </w:t>
      </w:r>
      <w:r>
        <w:rPr>
          <w:bCs/>
          <w:i/>
          <w:iCs/>
        </w:rPr>
        <w:t>. Annual PM</w:t>
      </w:r>
      <w:r>
        <w:rPr>
          <w:bCs/>
          <w:i/>
          <w:iCs/>
          <w:vertAlign w:val="subscript"/>
        </w:rPr>
        <w:t>2.5</w:t>
      </w:r>
      <w:r>
        <w:rPr>
          <w:bCs/>
          <w:i/>
          <w:iCs/>
        </w:rPr>
        <w:t xml:space="preserve"> Analysis run status</w:t>
      </w:r>
      <w:r>
        <w:tab/>
      </w:r>
      <w:r>
        <w:fldChar w:fldCharType="begin"/>
      </w:r>
      <w:r>
        <w:instrText xml:space="preserve"> PAGEREF _Toc10299 \h </w:instrText>
      </w:r>
      <w:r>
        <w:fldChar w:fldCharType="separate"/>
      </w:r>
      <w:r>
        <w:t>44</w:t>
      </w:r>
      <w:r>
        <w:fldChar w:fldCharType="end"/>
      </w:r>
    </w:p>
    <w:p>
      <w:pPr>
        <w:pStyle w:val="24"/>
        <w:tabs>
          <w:tab w:val="right" w:leader="dot" w:pos="8306"/>
        </w:tabs>
      </w:pPr>
      <w:r>
        <w:rPr>
          <w:bCs/>
          <w:i/>
          <w:iCs/>
        </w:rPr>
        <w:t>Figure 6</w:t>
      </w:r>
      <w:r>
        <w:rPr>
          <w:bCs/>
          <w:i/>
          <w:iCs/>
        </w:rPr>
        <w:noBreakHyphen/>
      </w:r>
      <w:r>
        <w:t xml:space="preserve">9 </w:t>
      </w:r>
      <w:r>
        <w:rPr>
          <w:bCs/>
          <w:i/>
          <w:iCs/>
        </w:rPr>
        <w:t>. Annual PM Analysis Data Viewer</w:t>
      </w:r>
      <w:r>
        <w:tab/>
      </w:r>
      <w:r>
        <w:fldChar w:fldCharType="begin"/>
      </w:r>
      <w:r>
        <w:instrText xml:space="preserve"> PAGEREF _Toc17718 \h </w:instrText>
      </w:r>
      <w:r>
        <w:fldChar w:fldCharType="separate"/>
      </w:r>
      <w:r>
        <w:t>45</w:t>
      </w:r>
      <w:r>
        <w:fldChar w:fldCharType="end"/>
      </w:r>
    </w:p>
    <w:p>
      <w:pPr>
        <w:pStyle w:val="24"/>
        <w:tabs>
          <w:tab w:val="right" w:leader="dot" w:pos="8306"/>
        </w:tabs>
      </w:pPr>
      <w:r>
        <w:rPr>
          <w:bCs/>
          <w:i/>
          <w:iCs/>
        </w:rPr>
        <w:t>Figure 7</w:t>
      </w:r>
      <w:r>
        <w:rPr>
          <w:bCs/>
          <w:i/>
          <w:iCs/>
        </w:rPr>
        <w:noBreakHyphen/>
      </w:r>
      <w:r>
        <w:t xml:space="preserve">1 </w:t>
      </w:r>
      <w:r>
        <w:rPr>
          <w:bCs/>
          <w:i/>
          <w:iCs/>
        </w:rPr>
        <w:t>. Daily PM Analysis initial window</w:t>
      </w:r>
      <w:r>
        <w:tab/>
      </w:r>
      <w:r>
        <w:fldChar w:fldCharType="begin"/>
      </w:r>
      <w:r>
        <w:instrText xml:space="preserve"> PAGEREF _Toc14469 \h </w:instrText>
      </w:r>
      <w:r>
        <w:fldChar w:fldCharType="separate"/>
      </w:r>
      <w:r>
        <w:t>47</w:t>
      </w:r>
      <w:r>
        <w:fldChar w:fldCharType="end"/>
      </w:r>
    </w:p>
    <w:p>
      <w:pPr>
        <w:pStyle w:val="24"/>
        <w:tabs>
          <w:tab w:val="right" w:leader="dot" w:pos="8306"/>
        </w:tabs>
      </w:pPr>
      <w:r>
        <w:rPr>
          <w:bCs/>
          <w:i/>
          <w:iCs/>
        </w:rPr>
        <w:t>Figure 7</w:t>
      </w:r>
      <w:r>
        <w:rPr>
          <w:bCs/>
          <w:i/>
          <w:iCs/>
        </w:rPr>
        <w:noBreakHyphen/>
      </w:r>
      <w:r>
        <w:t xml:space="preserve">2 </w:t>
      </w:r>
      <w:r>
        <w:rPr>
          <w:bCs/>
          <w:i/>
          <w:iCs/>
        </w:rPr>
        <w:t>. Choose Desired Output for Daily PM</w:t>
      </w:r>
      <w:r>
        <w:rPr>
          <w:bCs/>
          <w:i/>
          <w:iCs/>
          <w:vertAlign w:val="subscript"/>
        </w:rPr>
        <w:t xml:space="preserve">2.5 </w:t>
      </w:r>
      <w:r>
        <w:rPr>
          <w:bCs/>
          <w:i/>
          <w:iCs/>
        </w:rPr>
        <w:t>Analysis</w:t>
      </w:r>
      <w:r>
        <w:tab/>
      </w:r>
      <w:r>
        <w:fldChar w:fldCharType="begin"/>
      </w:r>
      <w:r>
        <w:instrText xml:space="preserve"> PAGEREF _Toc8525 \h </w:instrText>
      </w:r>
      <w:r>
        <w:fldChar w:fldCharType="separate"/>
      </w:r>
      <w:r>
        <w:t>48</w:t>
      </w:r>
      <w:r>
        <w:fldChar w:fldCharType="end"/>
      </w:r>
    </w:p>
    <w:p>
      <w:pPr>
        <w:pStyle w:val="24"/>
        <w:tabs>
          <w:tab w:val="right" w:leader="dot" w:pos="8306"/>
        </w:tabs>
      </w:pPr>
      <w:r>
        <w:rPr>
          <w:bCs/>
          <w:i/>
          <w:iCs/>
        </w:rPr>
        <w:t>Figure 7</w:t>
      </w:r>
      <w:r>
        <w:rPr>
          <w:bCs/>
          <w:i/>
          <w:iCs/>
        </w:rPr>
        <w:noBreakHyphen/>
      </w:r>
      <w:r>
        <w:t xml:space="preserve">3 </w:t>
      </w:r>
      <w:r>
        <w:rPr>
          <w:bCs/>
          <w:i/>
          <w:iCs/>
        </w:rPr>
        <w:t>.Output Choices-Advanced for Daily PM</w:t>
      </w:r>
      <w:r>
        <w:rPr>
          <w:bCs/>
          <w:i/>
          <w:iCs/>
          <w:vertAlign w:val="subscript"/>
        </w:rPr>
        <w:t xml:space="preserve">2.5 </w:t>
      </w:r>
      <w:r>
        <w:rPr>
          <w:bCs/>
          <w:i/>
          <w:iCs/>
        </w:rPr>
        <w:t>Analysis</w:t>
      </w:r>
      <w:r>
        <w:tab/>
      </w:r>
      <w:r>
        <w:fldChar w:fldCharType="begin"/>
      </w:r>
      <w:r>
        <w:instrText xml:space="preserve"> PAGEREF _Toc16284 \h </w:instrText>
      </w:r>
      <w:r>
        <w:fldChar w:fldCharType="separate"/>
      </w:r>
      <w:r>
        <w:t>51</w:t>
      </w:r>
      <w:r>
        <w:fldChar w:fldCharType="end"/>
      </w:r>
    </w:p>
    <w:p>
      <w:pPr>
        <w:pStyle w:val="24"/>
        <w:tabs>
          <w:tab w:val="right" w:leader="dot" w:pos="8306"/>
        </w:tabs>
      </w:pPr>
      <w:r>
        <w:rPr>
          <w:bCs/>
          <w:i/>
          <w:iCs/>
        </w:rPr>
        <w:t>Figure 7</w:t>
      </w:r>
      <w:r>
        <w:rPr>
          <w:bCs/>
          <w:i/>
          <w:iCs/>
        </w:rPr>
        <w:noBreakHyphen/>
      </w:r>
      <w:r>
        <w:t xml:space="preserve">4 </w:t>
      </w:r>
      <w:r>
        <w:rPr>
          <w:bCs/>
          <w:i/>
          <w:iCs/>
        </w:rPr>
        <w:t>. Data Input for Daily PM</w:t>
      </w:r>
      <w:r>
        <w:rPr>
          <w:bCs/>
          <w:i/>
          <w:iCs/>
          <w:vertAlign w:val="subscript"/>
        </w:rPr>
        <w:t>2.5</w:t>
      </w:r>
      <w:r>
        <w:rPr>
          <w:bCs/>
          <w:i/>
          <w:iCs/>
        </w:rPr>
        <w:t xml:space="preserve"> Analysis</w:t>
      </w:r>
      <w:r>
        <w:tab/>
      </w:r>
      <w:r>
        <w:fldChar w:fldCharType="begin"/>
      </w:r>
      <w:r>
        <w:instrText xml:space="preserve"> PAGEREF _Toc23151 \h </w:instrText>
      </w:r>
      <w:r>
        <w:fldChar w:fldCharType="separate"/>
      </w:r>
      <w:r>
        <w:t>53</w:t>
      </w:r>
      <w:r>
        <w:fldChar w:fldCharType="end"/>
      </w:r>
    </w:p>
    <w:p>
      <w:pPr>
        <w:pStyle w:val="24"/>
        <w:tabs>
          <w:tab w:val="right" w:leader="dot" w:pos="8306"/>
        </w:tabs>
      </w:pPr>
      <w:r>
        <w:rPr>
          <w:bCs/>
          <w:i/>
          <w:iCs/>
        </w:rPr>
        <w:t>Figure 7</w:t>
      </w:r>
      <w:r>
        <w:rPr>
          <w:bCs/>
          <w:i/>
          <w:iCs/>
        </w:rPr>
        <w:noBreakHyphen/>
      </w:r>
      <w:r>
        <w:t xml:space="preserve">5 </w:t>
      </w:r>
      <w:r>
        <w:rPr>
          <w:bCs/>
          <w:i/>
          <w:iCs/>
        </w:rPr>
        <w:t>. Species Fraction Options for Daily PM</w:t>
      </w:r>
      <w:r>
        <w:rPr>
          <w:bCs/>
          <w:i/>
          <w:iCs/>
          <w:vertAlign w:val="subscript"/>
        </w:rPr>
        <w:t xml:space="preserve">2.5 </w:t>
      </w:r>
      <w:r>
        <w:rPr>
          <w:bCs/>
          <w:i/>
          <w:iCs/>
        </w:rPr>
        <w:t>Analysis</w:t>
      </w:r>
      <w:r>
        <w:tab/>
      </w:r>
      <w:r>
        <w:fldChar w:fldCharType="begin"/>
      </w:r>
      <w:r>
        <w:instrText xml:space="preserve"> PAGEREF _Toc19129 \h </w:instrText>
      </w:r>
      <w:r>
        <w:fldChar w:fldCharType="separate"/>
      </w:r>
      <w:r>
        <w:t>56</w:t>
      </w:r>
      <w:r>
        <w:fldChar w:fldCharType="end"/>
      </w:r>
    </w:p>
    <w:p>
      <w:pPr>
        <w:pStyle w:val="24"/>
        <w:tabs>
          <w:tab w:val="right" w:leader="dot" w:pos="8306"/>
        </w:tabs>
      </w:pPr>
      <w:r>
        <w:rPr>
          <w:bCs/>
          <w:i/>
          <w:iCs/>
        </w:rPr>
        <w:t>Figure 7</w:t>
      </w:r>
      <w:r>
        <w:rPr>
          <w:bCs/>
          <w:i/>
          <w:iCs/>
        </w:rPr>
        <w:noBreakHyphen/>
      </w:r>
      <w:r>
        <w:t xml:space="preserve">6 </w:t>
      </w:r>
      <w:r>
        <w:rPr>
          <w:bCs/>
          <w:i/>
          <w:iCs/>
        </w:rPr>
        <w:t>. PM</w:t>
      </w:r>
      <w:r>
        <w:rPr>
          <w:bCs/>
          <w:i/>
          <w:iCs/>
          <w:vertAlign w:val="subscript"/>
        </w:rPr>
        <w:t xml:space="preserve">2.5 </w:t>
      </w:r>
      <w:r>
        <w:rPr>
          <w:bCs/>
          <w:i/>
          <w:iCs/>
        </w:rPr>
        <w:t>Calculation Options for Daily PM</w:t>
      </w:r>
      <w:r>
        <w:rPr>
          <w:bCs/>
          <w:i/>
          <w:iCs/>
          <w:vertAlign w:val="subscript"/>
        </w:rPr>
        <w:t xml:space="preserve">2.5 </w:t>
      </w:r>
      <w:r>
        <w:rPr>
          <w:bCs/>
          <w:i/>
          <w:iCs/>
        </w:rPr>
        <w:t>Analysis</w:t>
      </w:r>
      <w:r>
        <w:tab/>
      </w:r>
      <w:r>
        <w:fldChar w:fldCharType="begin"/>
      </w:r>
      <w:r>
        <w:instrText xml:space="preserve"> PAGEREF _Toc31681 \h </w:instrText>
      </w:r>
      <w:r>
        <w:fldChar w:fldCharType="separate"/>
      </w:r>
      <w:r>
        <w:t>61</w:t>
      </w:r>
      <w:r>
        <w:fldChar w:fldCharType="end"/>
      </w:r>
    </w:p>
    <w:p>
      <w:pPr>
        <w:pStyle w:val="24"/>
        <w:tabs>
          <w:tab w:val="right" w:leader="dot" w:pos="8306"/>
        </w:tabs>
      </w:pPr>
      <w:r>
        <w:rPr>
          <w:bCs/>
          <w:i/>
          <w:iCs/>
        </w:rPr>
        <w:t>Figure 7</w:t>
      </w:r>
      <w:r>
        <w:rPr>
          <w:bCs/>
          <w:i/>
          <w:iCs/>
        </w:rPr>
        <w:noBreakHyphen/>
      </w:r>
      <w:r>
        <w:t xml:space="preserve">7 </w:t>
      </w:r>
      <w:r>
        <w:rPr>
          <w:bCs/>
          <w:i/>
          <w:iCs/>
        </w:rPr>
        <w:t>. Model Data Options for Daily PM</w:t>
      </w:r>
      <w:r>
        <w:rPr>
          <w:bCs/>
          <w:i/>
          <w:iCs/>
          <w:vertAlign w:val="subscript"/>
        </w:rPr>
        <w:t xml:space="preserve">2.5 </w:t>
      </w:r>
      <w:r>
        <w:rPr>
          <w:bCs/>
          <w:i/>
          <w:iCs/>
        </w:rPr>
        <w:t>Analysis</w:t>
      </w:r>
      <w:r>
        <w:tab/>
      </w:r>
      <w:r>
        <w:fldChar w:fldCharType="begin"/>
      </w:r>
      <w:r>
        <w:instrText xml:space="preserve"> PAGEREF _Toc29524 \h </w:instrText>
      </w:r>
      <w:r>
        <w:fldChar w:fldCharType="separate"/>
      </w:r>
      <w:r>
        <w:t>63</w:t>
      </w:r>
      <w:r>
        <w:fldChar w:fldCharType="end"/>
      </w:r>
    </w:p>
    <w:p>
      <w:pPr>
        <w:pStyle w:val="24"/>
        <w:tabs>
          <w:tab w:val="right" w:leader="dot" w:pos="8306"/>
        </w:tabs>
      </w:pPr>
      <w:r>
        <w:rPr>
          <w:bCs/>
          <w:i/>
          <w:iCs/>
        </w:rPr>
        <w:t>Figure 7</w:t>
      </w:r>
      <w:r>
        <w:rPr>
          <w:bCs/>
          <w:i/>
          <w:iCs/>
        </w:rPr>
        <w:noBreakHyphen/>
      </w:r>
      <w:r>
        <w:t xml:space="preserve">8 </w:t>
      </w:r>
      <w:r>
        <w:rPr>
          <w:bCs/>
          <w:i/>
          <w:iCs/>
        </w:rPr>
        <w:t>. Daily PM2.5 Analysis run status</w:t>
      </w:r>
      <w:r>
        <w:tab/>
      </w:r>
      <w:r>
        <w:fldChar w:fldCharType="begin"/>
      </w:r>
      <w:r>
        <w:instrText xml:space="preserve"> PAGEREF _Toc18587 \h </w:instrText>
      </w:r>
      <w:r>
        <w:fldChar w:fldCharType="separate"/>
      </w:r>
      <w:r>
        <w:t>65</w:t>
      </w:r>
      <w:r>
        <w:fldChar w:fldCharType="end"/>
      </w:r>
    </w:p>
    <w:p>
      <w:pPr>
        <w:pStyle w:val="24"/>
        <w:tabs>
          <w:tab w:val="right" w:leader="dot" w:pos="8306"/>
        </w:tabs>
      </w:pPr>
      <w:r>
        <w:rPr>
          <w:bCs/>
          <w:i/>
          <w:iCs/>
        </w:rPr>
        <w:t>Figure 7</w:t>
      </w:r>
      <w:r>
        <w:rPr>
          <w:bCs/>
          <w:i/>
          <w:iCs/>
        </w:rPr>
        <w:noBreakHyphen/>
      </w:r>
      <w:r>
        <w:t xml:space="preserve">9 </w:t>
      </w:r>
      <w:r>
        <w:rPr>
          <w:bCs/>
          <w:i/>
          <w:iCs/>
        </w:rPr>
        <w:t>. Daily PM Analysis Data Viewer</w:t>
      </w:r>
      <w:r>
        <w:tab/>
      </w:r>
      <w:r>
        <w:fldChar w:fldCharType="begin"/>
      </w:r>
      <w:r>
        <w:instrText xml:space="preserve"> PAGEREF _Toc26263 \h </w:instrText>
      </w:r>
      <w:r>
        <w:fldChar w:fldCharType="separate"/>
      </w:r>
      <w:r>
        <w:t>66</w:t>
      </w:r>
      <w:r>
        <w:fldChar w:fldCharType="end"/>
      </w:r>
    </w:p>
    <w:p>
      <w:pPr>
        <w:pStyle w:val="24"/>
        <w:tabs>
          <w:tab w:val="right" w:leader="dot" w:pos="8306"/>
        </w:tabs>
      </w:pPr>
      <w:r>
        <w:rPr>
          <w:bCs/>
          <w:i/>
          <w:iCs/>
        </w:rPr>
        <w:t>Figure 8</w:t>
      </w:r>
      <w:r>
        <w:rPr>
          <w:bCs/>
          <w:i/>
          <w:iCs/>
        </w:rPr>
        <w:noBreakHyphen/>
      </w:r>
      <w:r>
        <w:t xml:space="preserve">1 </w:t>
      </w:r>
      <w:r>
        <w:rPr>
          <w:bCs/>
          <w:i/>
          <w:iCs/>
        </w:rPr>
        <w:t>. Ozone Analysis initial window</w:t>
      </w:r>
      <w:r>
        <w:tab/>
      </w:r>
      <w:r>
        <w:fldChar w:fldCharType="begin"/>
      </w:r>
      <w:r>
        <w:instrText xml:space="preserve"> PAGEREF _Toc8085 \h </w:instrText>
      </w:r>
      <w:r>
        <w:fldChar w:fldCharType="separate"/>
      </w:r>
      <w:r>
        <w:t>68</w:t>
      </w:r>
      <w:r>
        <w:fldChar w:fldCharType="end"/>
      </w:r>
    </w:p>
    <w:p>
      <w:pPr>
        <w:pStyle w:val="24"/>
        <w:tabs>
          <w:tab w:val="right" w:leader="dot" w:pos="8306"/>
        </w:tabs>
      </w:pPr>
      <w:r>
        <w:rPr>
          <w:bCs/>
          <w:i/>
          <w:iCs/>
        </w:rPr>
        <w:t>Figure 8</w:t>
      </w:r>
      <w:r>
        <w:rPr>
          <w:bCs/>
          <w:i/>
          <w:iCs/>
        </w:rPr>
        <w:noBreakHyphen/>
      </w:r>
      <w:r>
        <w:t xml:space="preserve">2 </w:t>
      </w:r>
      <w:r>
        <w:rPr>
          <w:bCs/>
          <w:i/>
          <w:iCs/>
        </w:rPr>
        <w:t>. Choose Desired Output for Ozone Analysis</w:t>
      </w:r>
      <w:r>
        <w:tab/>
      </w:r>
      <w:r>
        <w:fldChar w:fldCharType="begin"/>
      </w:r>
      <w:r>
        <w:instrText xml:space="preserve"> PAGEREF _Toc274 \h </w:instrText>
      </w:r>
      <w:r>
        <w:fldChar w:fldCharType="separate"/>
      </w:r>
      <w:r>
        <w:t>69</w:t>
      </w:r>
      <w:r>
        <w:fldChar w:fldCharType="end"/>
      </w:r>
    </w:p>
    <w:p>
      <w:pPr>
        <w:pStyle w:val="24"/>
        <w:tabs>
          <w:tab w:val="right" w:leader="dot" w:pos="8306"/>
        </w:tabs>
      </w:pPr>
      <w:r>
        <w:rPr>
          <w:bCs/>
          <w:i/>
          <w:iCs/>
        </w:rPr>
        <w:t>Figure 8</w:t>
      </w:r>
      <w:r>
        <w:rPr>
          <w:bCs/>
          <w:i/>
          <w:iCs/>
        </w:rPr>
        <w:noBreakHyphen/>
      </w:r>
      <w:r>
        <w:t xml:space="preserve">3 </w:t>
      </w:r>
      <w:r>
        <w:rPr>
          <w:bCs/>
          <w:i/>
          <w:iCs/>
        </w:rPr>
        <w:t>. Data Input for Ozone Analysis</w:t>
      </w:r>
      <w:r>
        <w:tab/>
      </w:r>
      <w:r>
        <w:fldChar w:fldCharType="begin"/>
      </w:r>
      <w:r>
        <w:instrText xml:space="preserve"> PAGEREF _Toc5093 \h </w:instrText>
      </w:r>
      <w:r>
        <w:fldChar w:fldCharType="separate"/>
      </w:r>
      <w:r>
        <w:t>74</w:t>
      </w:r>
      <w:r>
        <w:fldChar w:fldCharType="end"/>
      </w:r>
    </w:p>
    <w:p>
      <w:pPr>
        <w:pStyle w:val="24"/>
        <w:tabs>
          <w:tab w:val="right" w:leader="dot" w:pos="8306"/>
        </w:tabs>
      </w:pPr>
      <w:r>
        <w:rPr>
          <w:bCs/>
          <w:i/>
          <w:iCs/>
        </w:rPr>
        <w:t>Figure 8</w:t>
      </w:r>
      <w:r>
        <w:rPr>
          <w:bCs/>
          <w:i/>
          <w:iCs/>
        </w:rPr>
        <w:noBreakHyphen/>
      </w:r>
      <w:r>
        <w:t xml:space="preserve">4 </w:t>
      </w:r>
      <w:r>
        <w:rPr>
          <w:bCs/>
          <w:i/>
          <w:iCs/>
        </w:rPr>
        <w:t>. Filtering/Interpolation for Ozone Analysis</w:t>
      </w:r>
      <w:r>
        <w:tab/>
      </w:r>
      <w:r>
        <w:fldChar w:fldCharType="begin"/>
      </w:r>
      <w:r>
        <w:instrText xml:space="preserve"> PAGEREF _Toc21168 \h </w:instrText>
      </w:r>
      <w:r>
        <w:fldChar w:fldCharType="separate"/>
      </w:r>
      <w:r>
        <w:t>78</w:t>
      </w:r>
      <w:r>
        <w:fldChar w:fldCharType="end"/>
      </w:r>
    </w:p>
    <w:p>
      <w:pPr>
        <w:pStyle w:val="24"/>
        <w:tabs>
          <w:tab w:val="right" w:leader="dot" w:pos="8306"/>
        </w:tabs>
      </w:pPr>
      <w:r>
        <w:rPr>
          <w:bCs/>
          <w:i/>
          <w:iCs/>
        </w:rPr>
        <w:t>Figure 8</w:t>
      </w:r>
      <w:r>
        <w:rPr>
          <w:bCs/>
          <w:i/>
          <w:iCs/>
        </w:rPr>
        <w:noBreakHyphen/>
      </w:r>
      <w:r>
        <w:t xml:space="preserve">5 </w:t>
      </w:r>
      <w:r>
        <w:rPr>
          <w:bCs/>
          <w:i/>
          <w:iCs/>
        </w:rPr>
        <w:t>. Ozone Analysis run status</w:t>
      </w:r>
      <w:r>
        <w:tab/>
      </w:r>
      <w:r>
        <w:fldChar w:fldCharType="begin"/>
      </w:r>
      <w:r>
        <w:instrText xml:space="preserve"> PAGEREF _Toc12520 \h </w:instrText>
      </w:r>
      <w:r>
        <w:fldChar w:fldCharType="separate"/>
      </w:r>
      <w:r>
        <w:t>84</w:t>
      </w:r>
      <w:r>
        <w:fldChar w:fldCharType="end"/>
      </w:r>
    </w:p>
    <w:p>
      <w:pPr>
        <w:pStyle w:val="24"/>
        <w:tabs>
          <w:tab w:val="right" w:leader="dot" w:pos="8306"/>
        </w:tabs>
      </w:pPr>
      <w:r>
        <w:rPr>
          <w:bCs/>
          <w:i/>
          <w:iCs/>
        </w:rPr>
        <w:t>Figure 8</w:t>
      </w:r>
      <w:r>
        <w:rPr>
          <w:bCs/>
          <w:i/>
          <w:iCs/>
        </w:rPr>
        <w:noBreakHyphen/>
      </w:r>
      <w:r>
        <w:t xml:space="preserve">6 </w:t>
      </w:r>
      <w:r>
        <w:rPr>
          <w:bCs/>
          <w:i/>
          <w:iCs/>
        </w:rPr>
        <w:t>.Ozone Analysis data viewer</w:t>
      </w:r>
      <w:r>
        <w:tab/>
      </w:r>
      <w:r>
        <w:fldChar w:fldCharType="begin"/>
      </w:r>
      <w:r>
        <w:instrText xml:space="preserve"> PAGEREF _Toc7914 \h </w:instrText>
      </w:r>
      <w:r>
        <w:fldChar w:fldCharType="separate"/>
      </w:r>
      <w:r>
        <w:t>85</w:t>
      </w:r>
      <w:r>
        <w:fldChar w:fldCharType="end"/>
      </w:r>
    </w:p>
    <w:p>
      <w:pPr>
        <w:pStyle w:val="24"/>
        <w:tabs>
          <w:tab w:val="right" w:leader="dot" w:pos="8306"/>
        </w:tabs>
      </w:pPr>
      <w:r>
        <w:rPr>
          <w:bCs/>
          <w:i/>
          <w:iCs/>
        </w:rPr>
        <w:t>Figure 9</w:t>
      </w:r>
      <w:r>
        <w:rPr>
          <w:bCs/>
          <w:i/>
          <w:iCs/>
        </w:rPr>
        <w:noBreakHyphen/>
      </w:r>
      <w:r>
        <w:t xml:space="preserve">1 </w:t>
      </w:r>
      <w:r>
        <w:rPr>
          <w:bCs/>
          <w:i/>
          <w:iCs/>
        </w:rPr>
        <w:t>. Visibility Analysis initial window</w:t>
      </w:r>
      <w:r>
        <w:tab/>
      </w:r>
      <w:r>
        <w:fldChar w:fldCharType="begin"/>
      </w:r>
      <w:r>
        <w:instrText xml:space="preserve"> PAGEREF _Toc7166 \h </w:instrText>
      </w:r>
      <w:r>
        <w:fldChar w:fldCharType="separate"/>
      </w:r>
      <w:r>
        <w:t>87</w:t>
      </w:r>
      <w:r>
        <w:fldChar w:fldCharType="end"/>
      </w:r>
    </w:p>
    <w:p>
      <w:pPr>
        <w:pStyle w:val="24"/>
        <w:tabs>
          <w:tab w:val="right" w:leader="dot" w:pos="8306"/>
        </w:tabs>
      </w:pPr>
      <w:r>
        <w:rPr>
          <w:bCs/>
          <w:i/>
          <w:iCs/>
        </w:rPr>
        <w:t>Figure 9</w:t>
      </w:r>
      <w:r>
        <w:rPr>
          <w:bCs/>
          <w:i/>
          <w:iCs/>
        </w:rPr>
        <w:noBreakHyphen/>
      </w:r>
      <w:r>
        <w:t xml:space="preserve">2 </w:t>
      </w:r>
      <w:r>
        <w:rPr>
          <w:bCs/>
          <w:i/>
          <w:iCs/>
        </w:rPr>
        <w:t>. Choose Desired Output for Visibility Analysis</w:t>
      </w:r>
      <w:r>
        <w:tab/>
      </w:r>
      <w:r>
        <w:fldChar w:fldCharType="begin"/>
      </w:r>
      <w:r>
        <w:instrText xml:space="preserve"> PAGEREF _Toc11578 \h </w:instrText>
      </w:r>
      <w:r>
        <w:fldChar w:fldCharType="separate"/>
      </w:r>
      <w:r>
        <w:t>88</w:t>
      </w:r>
      <w:r>
        <w:fldChar w:fldCharType="end"/>
      </w:r>
    </w:p>
    <w:p>
      <w:pPr>
        <w:pStyle w:val="24"/>
        <w:tabs>
          <w:tab w:val="right" w:leader="dot" w:pos="8306"/>
        </w:tabs>
      </w:pPr>
      <w:r>
        <w:rPr>
          <w:bCs/>
          <w:i/>
          <w:iCs/>
        </w:rPr>
        <w:t>Figure 9</w:t>
      </w:r>
      <w:r>
        <w:rPr>
          <w:bCs/>
          <w:i/>
          <w:iCs/>
        </w:rPr>
        <w:noBreakHyphen/>
      </w:r>
      <w:r>
        <w:t xml:space="preserve">2 </w:t>
      </w:r>
      <w:r>
        <w:rPr>
          <w:bCs/>
          <w:i/>
          <w:iCs/>
        </w:rPr>
        <w:t xml:space="preserve">. </w:t>
      </w:r>
      <w:r>
        <w:rPr>
          <w:rFonts w:hint="eastAsia"/>
          <w:bCs/>
          <w:i/>
          <w:iCs/>
        </w:rPr>
        <w:t>Calculation Data Example</w:t>
      </w:r>
      <w:r>
        <w:tab/>
      </w:r>
      <w:r>
        <w:fldChar w:fldCharType="begin"/>
      </w:r>
      <w:r>
        <w:instrText xml:space="preserve"> PAGEREF _Toc2203 \h </w:instrText>
      </w:r>
      <w:r>
        <w:fldChar w:fldCharType="separate"/>
      </w:r>
      <w:r>
        <w:t>93</w:t>
      </w:r>
      <w:r>
        <w:fldChar w:fldCharType="end"/>
      </w:r>
    </w:p>
    <w:p>
      <w:pPr>
        <w:pStyle w:val="24"/>
        <w:tabs>
          <w:tab w:val="right" w:leader="dot" w:pos="8306"/>
        </w:tabs>
      </w:pPr>
      <w:r>
        <w:rPr>
          <w:bCs/>
          <w:i/>
          <w:iCs/>
        </w:rPr>
        <w:t>Figure 9</w:t>
      </w:r>
      <w:r>
        <w:rPr>
          <w:bCs/>
          <w:i/>
          <w:iCs/>
        </w:rPr>
        <w:noBreakHyphen/>
      </w:r>
      <w:r>
        <w:t xml:space="preserve">3 </w:t>
      </w:r>
      <w:r>
        <w:rPr>
          <w:bCs/>
          <w:i/>
          <w:iCs/>
        </w:rPr>
        <w:t>. Data Input for Visibility Analysis</w:t>
      </w:r>
      <w:r>
        <w:tab/>
      </w:r>
      <w:r>
        <w:fldChar w:fldCharType="begin"/>
      </w:r>
      <w:r>
        <w:instrText xml:space="preserve"> PAGEREF _Toc32211 \h </w:instrText>
      </w:r>
      <w:r>
        <w:fldChar w:fldCharType="separate"/>
      </w:r>
      <w:r>
        <w:t>102</w:t>
      </w:r>
      <w:r>
        <w:fldChar w:fldCharType="end"/>
      </w:r>
    </w:p>
    <w:p>
      <w:pPr>
        <w:pStyle w:val="24"/>
        <w:tabs>
          <w:tab w:val="right" w:leader="dot" w:pos="8306"/>
        </w:tabs>
      </w:pPr>
      <w:r>
        <w:rPr>
          <w:bCs/>
          <w:i/>
          <w:iCs/>
        </w:rPr>
        <w:t>Figure 9</w:t>
      </w:r>
      <w:r>
        <w:rPr>
          <w:bCs/>
          <w:i/>
          <w:iCs/>
        </w:rPr>
        <w:noBreakHyphen/>
      </w:r>
      <w:r>
        <w:t xml:space="preserve">4 </w:t>
      </w:r>
      <w:r>
        <w:rPr>
          <w:bCs/>
          <w:i/>
          <w:iCs/>
        </w:rPr>
        <w:t xml:space="preserve"> </w:t>
      </w:r>
      <w:r>
        <w:rPr>
          <w:rFonts w:cs="Times New Roman"/>
          <w:bCs/>
          <w:i/>
          <w:iCs/>
          <w:kern w:val="0"/>
          <w:szCs w:val="24"/>
        </w:rPr>
        <w:t>Format for Daily PM Model Data</w:t>
      </w:r>
      <w:r>
        <w:tab/>
      </w:r>
      <w:r>
        <w:fldChar w:fldCharType="begin"/>
      </w:r>
      <w:r>
        <w:instrText xml:space="preserve"> PAGEREF _Toc12955 \h </w:instrText>
      </w:r>
      <w:r>
        <w:fldChar w:fldCharType="separate"/>
      </w:r>
      <w:r>
        <w:t>105</w:t>
      </w:r>
      <w:r>
        <w:fldChar w:fldCharType="end"/>
      </w:r>
    </w:p>
    <w:p>
      <w:pPr>
        <w:pStyle w:val="24"/>
        <w:tabs>
          <w:tab w:val="right" w:leader="dot" w:pos="8306"/>
        </w:tabs>
      </w:pPr>
      <w:r>
        <w:rPr>
          <w:i/>
          <w:iCs/>
          <w:szCs w:val="20"/>
        </w:rPr>
        <w:t>Figure 9</w:t>
      </w:r>
      <w:r>
        <w:rPr>
          <w:i/>
          <w:iCs/>
          <w:szCs w:val="20"/>
        </w:rPr>
        <w:noBreakHyphen/>
      </w:r>
      <w:r>
        <w:t xml:space="preserve">5 </w:t>
      </w:r>
      <w:r>
        <w:rPr>
          <w:i/>
          <w:iCs/>
          <w:szCs w:val="20"/>
        </w:rPr>
        <w:t xml:space="preserve"> Example for forecast IMPROVE daily visibility file</w:t>
      </w:r>
      <w:r>
        <w:tab/>
      </w:r>
      <w:r>
        <w:fldChar w:fldCharType="begin"/>
      </w:r>
      <w:r>
        <w:instrText xml:space="preserve"> PAGEREF _Toc13967 \h </w:instrText>
      </w:r>
      <w:r>
        <w:fldChar w:fldCharType="separate"/>
      </w:r>
      <w:r>
        <w:t>107</w:t>
      </w:r>
      <w:r>
        <w:fldChar w:fldCharType="end"/>
      </w:r>
    </w:p>
    <w:p>
      <w:pPr>
        <w:pStyle w:val="24"/>
        <w:tabs>
          <w:tab w:val="right" w:leader="dot" w:pos="8306"/>
        </w:tabs>
      </w:pPr>
      <w:r>
        <w:rPr>
          <w:bCs/>
          <w:i/>
          <w:iCs/>
        </w:rPr>
        <w:t>Figure 9</w:t>
      </w:r>
      <w:r>
        <w:rPr>
          <w:bCs/>
          <w:i/>
          <w:iCs/>
        </w:rPr>
        <w:noBreakHyphen/>
      </w:r>
      <w:r>
        <w:t xml:space="preserve">6 </w:t>
      </w:r>
      <w:r>
        <w:rPr>
          <w:bCs/>
          <w:i/>
          <w:iCs/>
        </w:rPr>
        <w:t>. Example for File Linking IMPROVE Monitors and Class I Areas</w:t>
      </w:r>
      <w:r>
        <w:tab/>
      </w:r>
      <w:r>
        <w:fldChar w:fldCharType="begin"/>
      </w:r>
      <w:r>
        <w:instrText xml:space="preserve"> PAGEREF _Toc21206 \h </w:instrText>
      </w:r>
      <w:r>
        <w:fldChar w:fldCharType="separate"/>
      </w:r>
      <w:r>
        <w:t>109</w:t>
      </w:r>
      <w:r>
        <w:fldChar w:fldCharType="end"/>
      </w:r>
    </w:p>
    <w:p>
      <w:pPr>
        <w:pStyle w:val="24"/>
        <w:tabs>
          <w:tab w:val="right" w:leader="dot" w:pos="8306"/>
        </w:tabs>
      </w:pPr>
      <w:r>
        <w:rPr>
          <w:bCs/>
          <w:i/>
          <w:iCs/>
        </w:rPr>
        <w:t>Figure 9</w:t>
      </w:r>
      <w:r>
        <w:rPr>
          <w:bCs/>
          <w:i/>
          <w:iCs/>
        </w:rPr>
        <w:noBreakHyphen/>
      </w:r>
      <w:r>
        <w:t xml:space="preserve">7 </w:t>
      </w:r>
      <w:r>
        <w:rPr>
          <w:bCs/>
          <w:i/>
          <w:iCs/>
        </w:rPr>
        <w:t>. Filtering for Visibility Analysis</w:t>
      </w:r>
      <w:r>
        <w:tab/>
      </w:r>
      <w:r>
        <w:fldChar w:fldCharType="begin"/>
      </w:r>
      <w:r>
        <w:instrText xml:space="preserve"> PAGEREF _Toc23593 \h </w:instrText>
      </w:r>
      <w:r>
        <w:fldChar w:fldCharType="separate"/>
      </w:r>
      <w:r>
        <w:t>110</w:t>
      </w:r>
      <w:r>
        <w:fldChar w:fldCharType="end"/>
      </w:r>
    </w:p>
    <w:p>
      <w:pPr>
        <w:pStyle w:val="24"/>
        <w:tabs>
          <w:tab w:val="right" w:leader="dot" w:pos="8306"/>
        </w:tabs>
      </w:pPr>
      <w:r>
        <w:rPr>
          <w:bCs/>
          <w:i/>
          <w:iCs/>
        </w:rPr>
        <w:t>Figure 9</w:t>
      </w:r>
      <w:r>
        <w:rPr>
          <w:bCs/>
          <w:i/>
          <w:iCs/>
        </w:rPr>
        <w:noBreakHyphen/>
      </w:r>
      <w:r>
        <w:t xml:space="preserve">8 </w:t>
      </w:r>
      <w:r>
        <w:rPr>
          <w:bCs/>
          <w:i/>
          <w:iCs/>
        </w:rPr>
        <w:t>. Visibility Analysis run status</w:t>
      </w:r>
      <w:r>
        <w:tab/>
      </w:r>
      <w:r>
        <w:fldChar w:fldCharType="begin"/>
      </w:r>
      <w:r>
        <w:instrText xml:space="preserve"> PAGEREF _Toc13613 \h </w:instrText>
      </w:r>
      <w:r>
        <w:fldChar w:fldCharType="separate"/>
      </w:r>
      <w:r>
        <w:t>112</w:t>
      </w:r>
      <w:r>
        <w:fldChar w:fldCharType="end"/>
      </w:r>
    </w:p>
    <w:p>
      <w:pPr>
        <w:pStyle w:val="24"/>
        <w:tabs>
          <w:tab w:val="right" w:leader="dot" w:pos="8306"/>
        </w:tabs>
      </w:pPr>
      <w:r>
        <w:rPr>
          <w:bCs/>
          <w:i/>
          <w:iCs/>
        </w:rPr>
        <w:t>Figure 9</w:t>
      </w:r>
      <w:r>
        <w:rPr>
          <w:bCs/>
          <w:i/>
          <w:iCs/>
        </w:rPr>
        <w:noBreakHyphen/>
      </w:r>
      <w:r>
        <w:t xml:space="preserve">9 </w:t>
      </w:r>
      <w:r>
        <w:rPr>
          <w:bCs/>
          <w:i/>
          <w:iCs/>
        </w:rPr>
        <w:t>. Visibility Analysis data viewer</w:t>
      </w:r>
      <w:r>
        <w:tab/>
      </w:r>
      <w:r>
        <w:fldChar w:fldCharType="begin"/>
      </w:r>
      <w:r>
        <w:instrText xml:space="preserve"> PAGEREF _Toc3239 \h </w:instrText>
      </w:r>
      <w:r>
        <w:fldChar w:fldCharType="separate"/>
      </w:r>
      <w:r>
        <w:t>113</w:t>
      </w:r>
      <w:r>
        <w:fldChar w:fldCharType="end"/>
      </w:r>
    </w:p>
    <w:p>
      <w:pPr>
        <w:pStyle w:val="24"/>
        <w:tabs>
          <w:tab w:val="right" w:leader="dot" w:pos="8306"/>
        </w:tabs>
      </w:pPr>
      <w:r>
        <w:rPr>
          <w:bCs/>
          <w:i/>
          <w:iCs/>
        </w:rPr>
        <w:t>Figure 10</w:t>
      </w:r>
      <w:r>
        <w:rPr>
          <w:bCs/>
          <w:i/>
          <w:iCs/>
        </w:rPr>
        <w:noBreakHyphen/>
      </w:r>
      <w:r>
        <w:t xml:space="preserve">1 </w:t>
      </w:r>
      <w:r>
        <w:rPr>
          <w:bCs/>
          <w:i/>
          <w:iCs/>
        </w:rPr>
        <w:t>. SMAT-CE Data Viewer</w:t>
      </w:r>
      <w:r>
        <w:tab/>
      </w:r>
      <w:r>
        <w:fldChar w:fldCharType="begin"/>
      </w:r>
      <w:r>
        <w:instrText xml:space="preserve"> PAGEREF _Toc3063 \h </w:instrText>
      </w:r>
      <w:r>
        <w:fldChar w:fldCharType="separate"/>
      </w:r>
      <w:r>
        <w:t>114</w:t>
      </w:r>
      <w:r>
        <w:fldChar w:fldCharType="end"/>
      </w:r>
    </w:p>
    <w:p>
      <w:pPr>
        <w:pStyle w:val="24"/>
        <w:tabs>
          <w:tab w:val="right" w:leader="dot" w:pos="8306"/>
        </w:tabs>
      </w:pPr>
      <w:r>
        <w:rPr>
          <w:bCs/>
          <w:i/>
          <w:iCs/>
        </w:rPr>
        <w:t>Figure 10</w:t>
      </w:r>
      <w:r>
        <w:rPr>
          <w:bCs/>
          <w:i/>
          <w:iCs/>
        </w:rPr>
        <w:noBreakHyphen/>
      </w:r>
      <w:r>
        <w:t xml:space="preserve">2 </w:t>
      </w:r>
      <w:r>
        <w:rPr>
          <w:bCs/>
          <w:i/>
          <w:iCs/>
        </w:rPr>
        <w:t>. Data Viewer window with a completed project</w:t>
      </w:r>
      <w:r>
        <w:tab/>
      </w:r>
      <w:r>
        <w:fldChar w:fldCharType="begin"/>
      </w:r>
      <w:r>
        <w:instrText xml:space="preserve"> PAGEREF _Toc31954 \h </w:instrText>
      </w:r>
      <w:r>
        <w:fldChar w:fldCharType="separate"/>
      </w:r>
      <w:r>
        <w:t>115</w:t>
      </w:r>
      <w:r>
        <w:fldChar w:fldCharType="end"/>
      </w:r>
    </w:p>
    <w:p>
      <w:pPr>
        <w:pStyle w:val="24"/>
        <w:tabs>
          <w:tab w:val="right" w:leader="dot" w:pos="8306"/>
        </w:tabs>
      </w:pPr>
      <w:r>
        <w:rPr>
          <w:bCs/>
          <w:i/>
          <w:iCs/>
        </w:rPr>
        <w:t>Figure 10</w:t>
      </w:r>
      <w:r>
        <w:rPr>
          <w:bCs/>
          <w:i/>
          <w:iCs/>
        </w:rPr>
        <w:noBreakHyphen/>
      </w:r>
      <w:r>
        <w:t xml:space="preserve">3 </w:t>
      </w:r>
      <w:r>
        <w:rPr>
          <w:bCs/>
          <w:i/>
          <w:iCs/>
        </w:rPr>
        <w:t>. Log &amp; Msg display window</w:t>
      </w:r>
      <w:r>
        <w:tab/>
      </w:r>
      <w:r>
        <w:fldChar w:fldCharType="begin"/>
      </w:r>
      <w:r>
        <w:instrText xml:space="preserve"> PAGEREF _Toc8731 \h </w:instrText>
      </w:r>
      <w:r>
        <w:fldChar w:fldCharType="separate"/>
      </w:r>
      <w:r>
        <w:t>116</w:t>
      </w:r>
      <w:r>
        <w:fldChar w:fldCharType="end"/>
      </w:r>
    </w:p>
    <w:p>
      <w:pPr>
        <w:pStyle w:val="24"/>
        <w:tabs>
          <w:tab w:val="right" w:leader="dot" w:pos="8306"/>
        </w:tabs>
      </w:pPr>
      <w:r>
        <w:rPr>
          <w:bCs/>
          <w:i/>
          <w:iCs/>
        </w:rPr>
        <w:t>Figure 10</w:t>
      </w:r>
      <w:r>
        <w:rPr>
          <w:bCs/>
          <w:i/>
          <w:iCs/>
        </w:rPr>
        <w:noBreakHyphen/>
      </w:r>
      <w:r>
        <w:t xml:space="preserve">4 </w:t>
      </w:r>
      <w:r>
        <w:rPr>
          <w:bCs/>
          <w:i/>
          <w:iCs/>
        </w:rPr>
        <w:t>. Configuration &amp; Batch File display window.</w:t>
      </w:r>
      <w:r>
        <w:tab/>
      </w:r>
      <w:r>
        <w:fldChar w:fldCharType="begin"/>
      </w:r>
      <w:r>
        <w:instrText xml:space="preserve"> PAGEREF _Toc32420 \h </w:instrText>
      </w:r>
      <w:r>
        <w:fldChar w:fldCharType="separate"/>
      </w:r>
      <w:r>
        <w:t>117</w:t>
      </w:r>
      <w:r>
        <w:fldChar w:fldCharType="end"/>
      </w:r>
    </w:p>
    <w:p>
      <w:pPr>
        <w:pStyle w:val="24"/>
        <w:tabs>
          <w:tab w:val="right" w:leader="dot" w:pos="8306"/>
        </w:tabs>
      </w:pPr>
      <w:r>
        <w:rPr>
          <w:bCs/>
          <w:i/>
          <w:iCs/>
        </w:rPr>
        <w:t>Figure 10</w:t>
      </w:r>
      <w:r>
        <w:rPr>
          <w:bCs/>
          <w:i/>
          <w:iCs/>
        </w:rPr>
        <w:noBreakHyphen/>
      </w:r>
      <w:r>
        <w:t xml:space="preserve">5 </w:t>
      </w:r>
      <w:r>
        <w:rPr>
          <w:bCs/>
          <w:i/>
          <w:iCs/>
        </w:rPr>
        <w:t>. Output files right-click menu</w:t>
      </w:r>
      <w:r>
        <w:tab/>
      </w:r>
      <w:r>
        <w:fldChar w:fldCharType="begin"/>
      </w:r>
      <w:r>
        <w:instrText xml:space="preserve"> PAGEREF _Toc15028 \h </w:instrText>
      </w:r>
      <w:r>
        <w:fldChar w:fldCharType="separate"/>
      </w:r>
      <w:r>
        <w:t>118</w:t>
      </w:r>
      <w:r>
        <w:fldChar w:fldCharType="end"/>
      </w:r>
    </w:p>
    <w:p>
      <w:pPr>
        <w:pStyle w:val="24"/>
        <w:tabs>
          <w:tab w:val="right" w:leader="dot" w:pos="8306"/>
        </w:tabs>
      </w:pPr>
      <w:r>
        <w:rPr>
          <w:bCs/>
          <w:i/>
          <w:iCs/>
        </w:rPr>
        <w:t>Figure 10</w:t>
      </w:r>
      <w:r>
        <w:rPr>
          <w:bCs/>
          <w:i/>
          <w:iCs/>
        </w:rPr>
        <w:noBreakHyphen/>
      </w:r>
      <w:r>
        <w:t xml:space="preserve">6 </w:t>
      </w:r>
      <w:r>
        <w:rPr>
          <w:bCs/>
          <w:i/>
          <w:iCs/>
        </w:rPr>
        <w:t xml:space="preserve">. Output files GIS map view </w:t>
      </w:r>
      <w:r>
        <w:tab/>
      </w:r>
      <w:r>
        <w:fldChar w:fldCharType="begin"/>
      </w:r>
      <w:r>
        <w:instrText xml:space="preserve"> PAGEREF _Toc26302 \h </w:instrText>
      </w:r>
      <w:r>
        <w:fldChar w:fldCharType="separate"/>
      </w:r>
      <w:r>
        <w:t>118</w:t>
      </w:r>
      <w:r>
        <w:fldChar w:fldCharType="end"/>
      </w:r>
    </w:p>
    <w:p>
      <w:pPr>
        <w:pStyle w:val="24"/>
        <w:tabs>
          <w:tab w:val="right" w:leader="dot" w:pos="8306"/>
        </w:tabs>
      </w:pPr>
      <w:r>
        <w:rPr>
          <w:bCs/>
          <w:i/>
          <w:iCs/>
        </w:rPr>
        <w:t>Figure 10</w:t>
      </w:r>
      <w:r>
        <w:rPr>
          <w:bCs/>
          <w:i/>
          <w:iCs/>
        </w:rPr>
        <w:noBreakHyphen/>
      </w:r>
      <w:r>
        <w:t xml:space="preserve">7 </w:t>
      </w:r>
      <w:r>
        <w:rPr>
          <w:bCs/>
          <w:i/>
          <w:iCs/>
        </w:rPr>
        <w:t>. SMAT-CE GIS window</w:t>
      </w:r>
      <w:r>
        <w:tab/>
      </w:r>
      <w:r>
        <w:fldChar w:fldCharType="begin"/>
      </w:r>
      <w:r>
        <w:instrText xml:space="preserve"> PAGEREF _Toc3327 \h </w:instrText>
      </w:r>
      <w:r>
        <w:fldChar w:fldCharType="separate"/>
      </w:r>
      <w:r>
        <w:t>120</w:t>
      </w:r>
      <w:r>
        <w:fldChar w:fldCharType="end"/>
      </w:r>
    </w:p>
    <w:p>
      <w:pPr>
        <w:pStyle w:val="24"/>
        <w:tabs>
          <w:tab w:val="right" w:leader="dot" w:pos="8306"/>
        </w:tabs>
      </w:pPr>
      <w:r>
        <w:rPr>
          <w:bCs/>
          <w:i/>
          <w:iCs/>
        </w:rPr>
        <w:t>Figure 10</w:t>
      </w:r>
      <w:r>
        <w:rPr>
          <w:bCs/>
          <w:i/>
          <w:iCs/>
        </w:rPr>
        <w:noBreakHyphen/>
      </w:r>
      <w:r>
        <w:t xml:space="preserve">8 </w:t>
      </w:r>
      <w:r>
        <w:rPr>
          <w:bCs/>
          <w:i/>
          <w:iCs/>
        </w:rPr>
        <w:t>. GIS map right-click menu</w:t>
      </w:r>
      <w:r>
        <w:tab/>
      </w:r>
      <w:r>
        <w:fldChar w:fldCharType="begin"/>
      </w:r>
      <w:r>
        <w:instrText xml:space="preserve"> PAGEREF _Toc20696 \h </w:instrText>
      </w:r>
      <w:r>
        <w:fldChar w:fldCharType="separate"/>
      </w:r>
      <w:r>
        <w:t>121</w:t>
      </w:r>
      <w:r>
        <w:fldChar w:fldCharType="end"/>
      </w:r>
    </w:p>
    <w:p>
      <w:pPr>
        <w:pStyle w:val="24"/>
        <w:tabs>
          <w:tab w:val="right" w:leader="dot" w:pos="8306"/>
        </w:tabs>
      </w:pPr>
      <w:r>
        <w:rPr>
          <w:bCs/>
          <w:i/>
          <w:iCs/>
        </w:rPr>
        <w:t>Figure 10</w:t>
      </w:r>
      <w:r>
        <w:rPr>
          <w:bCs/>
          <w:i/>
          <w:iCs/>
        </w:rPr>
        <w:noBreakHyphen/>
      </w:r>
      <w:r>
        <w:t xml:space="preserve">9 </w:t>
      </w:r>
      <w:r>
        <w:rPr>
          <w:bCs/>
          <w:i/>
          <w:iCs/>
        </w:rPr>
        <w:t>. GIS window with highlighted map controls</w:t>
      </w:r>
      <w:r>
        <w:tab/>
      </w:r>
      <w:r>
        <w:fldChar w:fldCharType="begin"/>
      </w:r>
      <w:r>
        <w:instrText xml:space="preserve"> PAGEREF _Toc4634 \h </w:instrText>
      </w:r>
      <w:r>
        <w:fldChar w:fldCharType="separate"/>
      </w:r>
      <w:r>
        <w:t>122</w:t>
      </w:r>
      <w:r>
        <w:fldChar w:fldCharType="end"/>
      </w:r>
    </w:p>
    <w:p>
      <w:pPr>
        <w:pStyle w:val="24"/>
        <w:tabs>
          <w:tab w:val="right" w:leader="dot" w:pos="8306"/>
        </w:tabs>
      </w:pPr>
      <w:r>
        <w:rPr>
          <w:bCs/>
          <w:i/>
          <w:iCs/>
        </w:rPr>
        <w:t>Figure 10</w:t>
      </w:r>
      <w:r>
        <w:rPr>
          <w:bCs/>
          <w:i/>
          <w:iCs/>
        </w:rPr>
        <w:noBreakHyphen/>
      </w:r>
      <w:r>
        <w:t xml:space="preserve">10 </w:t>
      </w:r>
      <w:r>
        <w:rPr>
          <w:bCs/>
          <w:i/>
          <w:iCs/>
        </w:rPr>
        <w:t>. SMAT-CE map window</w:t>
      </w:r>
      <w:r>
        <w:tab/>
      </w:r>
      <w:r>
        <w:fldChar w:fldCharType="begin"/>
      </w:r>
      <w:r>
        <w:instrText xml:space="preserve"> PAGEREF _Toc31655 \h </w:instrText>
      </w:r>
      <w:r>
        <w:fldChar w:fldCharType="separate"/>
      </w:r>
      <w:r>
        <w:t>123</w:t>
      </w:r>
      <w:r>
        <w:fldChar w:fldCharType="end"/>
      </w:r>
    </w:p>
    <w:p>
      <w:pPr>
        <w:pStyle w:val="24"/>
        <w:tabs>
          <w:tab w:val="right" w:leader="dot" w:pos="8306"/>
        </w:tabs>
      </w:pPr>
      <w:r>
        <w:rPr>
          <w:bCs/>
          <w:i/>
          <w:iCs/>
        </w:rPr>
        <w:t>Figure 10</w:t>
      </w:r>
      <w:r>
        <w:rPr>
          <w:bCs/>
          <w:i/>
          <w:iCs/>
        </w:rPr>
        <w:noBreakHyphen/>
      </w:r>
      <w:r>
        <w:t xml:space="preserve">11 </w:t>
      </w:r>
      <w:r>
        <w:rPr>
          <w:bCs/>
          <w:i/>
          <w:iCs/>
        </w:rPr>
        <w:t>. Map window with right click menu</w:t>
      </w:r>
      <w:r>
        <w:tab/>
      </w:r>
      <w:r>
        <w:fldChar w:fldCharType="begin"/>
      </w:r>
      <w:r>
        <w:instrText xml:space="preserve"> PAGEREF _Toc24588 \h </w:instrText>
      </w:r>
      <w:r>
        <w:fldChar w:fldCharType="separate"/>
      </w:r>
      <w:r>
        <w:t>124</w:t>
      </w:r>
      <w:r>
        <w:fldChar w:fldCharType="end"/>
      </w:r>
    </w:p>
    <w:p>
      <w:pPr>
        <w:pStyle w:val="24"/>
        <w:tabs>
          <w:tab w:val="right" w:leader="dot" w:pos="8306"/>
        </w:tabs>
      </w:pPr>
      <w:r>
        <w:rPr>
          <w:bCs/>
          <w:i/>
          <w:iCs/>
        </w:rPr>
        <w:t>Figure 10</w:t>
      </w:r>
      <w:r>
        <w:rPr>
          <w:bCs/>
          <w:i/>
          <w:iCs/>
        </w:rPr>
        <w:noBreakHyphen/>
      </w:r>
      <w:r>
        <w:t xml:space="preserve">12 </w:t>
      </w:r>
      <w:r>
        <w:rPr>
          <w:bCs/>
          <w:i/>
          <w:iCs/>
        </w:rPr>
        <w:t>. Map window with highlighted map controls</w:t>
      </w:r>
      <w:r>
        <w:tab/>
      </w:r>
      <w:r>
        <w:fldChar w:fldCharType="begin"/>
      </w:r>
      <w:r>
        <w:instrText xml:space="preserve"> PAGEREF _Toc7172 \h </w:instrText>
      </w:r>
      <w:r>
        <w:fldChar w:fldCharType="separate"/>
      </w:r>
      <w:r>
        <w:t>125</w:t>
      </w:r>
      <w:r>
        <w:fldChar w:fldCharType="end"/>
      </w:r>
    </w:p>
    <w:p>
      <w:pPr>
        <w:pStyle w:val="24"/>
        <w:tabs>
          <w:tab w:val="right" w:leader="dot" w:pos="8306"/>
        </w:tabs>
      </w:pPr>
      <w:r>
        <w:rPr>
          <w:bCs/>
          <w:i/>
          <w:iCs/>
        </w:rPr>
        <w:t>Figure 10</w:t>
      </w:r>
      <w:r>
        <w:rPr>
          <w:bCs/>
          <w:i/>
          <w:iCs/>
        </w:rPr>
        <w:noBreakHyphen/>
      </w:r>
      <w:r>
        <w:t xml:space="preserve">13 </w:t>
      </w:r>
      <w:r>
        <w:rPr>
          <w:bCs/>
          <w:i/>
          <w:iCs/>
        </w:rPr>
        <w:t>. SMAT-CE Data table window</w:t>
      </w:r>
      <w:r>
        <w:tab/>
      </w:r>
      <w:r>
        <w:fldChar w:fldCharType="begin"/>
      </w:r>
      <w:r>
        <w:instrText xml:space="preserve"> PAGEREF _Toc13830 \h </w:instrText>
      </w:r>
      <w:r>
        <w:fldChar w:fldCharType="separate"/>
      </w:r>
      <w:r>
        <w:t>126</w:t>
      </w:r>
      <w:r>
        <w:fldChar w:fldCharType="end"/>
      </w:r>
    </w:p>
    <w:p>
      <w:pPr>
        <w:pStyle w:val="24"/>
        <w:tabs>
          <w:tab w:val="right" w:leader="dot" w:pos="8306"/>
        </w:tabs>
      </w:pPr>
      <w:r>
        <w:rPr>
          <w:bCs/>
          <w:i/>
          <w:iCs/>
        </w:rPr>
        <w:t>Figure 10</w:t>
      </w:r>
      <w:r>
        <w:rPr>
          <w:bCs/>
          <w:i/>
          <w:iCs/>
        </w:rPr>
        <w:noBreakHyphen/>
      </w:r>
      <w:r>
        <w:t xml:space="preserve">14 </w:t>
      </w:r>
      <w:r>
        <w:rPr>
          <w:bCs/>
          <w:i/>
          <w:iCs/>
        </w:rPr>
        <w:t>. Data window with highlighted configuration options</w:t>
      </w:r>
      <w:r>
        <w:tab/>
      </w:r>
      <w:r>
        <w:fldChar w:fldCharType="begin"/>
      </w:r>
      <w:r>
        <w:instrText xml:space="preserve"> PAGEREF _Toc27466 \h </w:instrText>
      </w:r>
      <w:r>
        <w:fldChar w:fldCharType="separate"/>
      </w:r>
      <w:r>
        <w:t>127</w:t>
      </w:r>
      <w:r>
        <w:fldChar w:fldCharType="end"/>
      </w:r>
    </w:p>
    <w:p>
      <w:pPr>
        <w:pStyle w:val="24"/>
        <w:tabs>
          <w:tab w:val="right" w:leader="dot" w:pos="8306"/>
        </w:tabs>
      </w:pPr>
      <w:r>
        <w:rPr>
          <w:bCs/>
          <w:i/>
          <w:iCs/>
        </w:rPr>
        <w:t>Figure 10</w:t>
      </w:r>
      <w:r>
        <w:rPr>
          <w:bCs/>
          <w:i/>
          <w:iCs/>
        </w:rPr>
        <w:noBreakHyphen/>
      </w:r>
      <w:r>
        <w:t xml:space="preserve">15 </w:t>
      </w:r>
      <w:r>
        <w:rPr>
          <w:bCs/>
          <w:i/>
          <w:iCs/>
        </w:rPr>
        <w:t>. SMAT-CE chart window</w:t>
      </w:r>
      <w:r>
        <w:tab/>
      </w:r>
      <w:r>
        <w:fldChar w:fldCharType="begin"/>
      </w:r>
      <w:r>
        <w:instrText xml:space="preserve"> PAGEREF _Toc7657 \h </w:instrText>
      </w:r>
      <w:r>
        <w:fldChar w:fldCharType="separate"/>
      </w:r>
      <w:r>
        <w:t>128</w:t>
      </w:r>
      <w:r>
        <w:fldChar w:fldCharType="end"/>
      </w:r>
    </w:p>
    <w:p>
      <w:pPr>
        <w:pStyle w:val="24"/>
        <w:tabs>
          <w:tab w:val="right" w:leader="dot" w:pos="8306"/>
        </w:tabs>
      </w:pPr>
      <w:r>
        <w:rPr>
          <w:bCs/>
          <w:i/>
          <w:iCs/>
        </w:rPr>
        <w:t>Figure 10</w:t>
      </w:r>
      <w:r>
        <w:rPr>
          <w:bCs/>
          <w:i/>
          <w:iCs/>
        </w:rPr>
        <w:noBreakHyphen/>
      </w:r>
      <w:r>
        <w:t xml:space="preserve">16 </w:t>
      </w:r>
      <w:r>
        <w:rPr>
          <w:bCs/>
          <w:i/>
          <w:iCs/>
        </w:rPr>
        <w:t>. Chart window with highlighted configuration options</w:t>
      </w:r>
      <w:r>
        <w:tab/>
      </w:r>
      <w:r>
        <w:fldChar w:fldCharType="begin"/>
      </w:r>
      <w:r>
        <w:instrText xml:space="preserve"> PAGEREF _Toc29952 \h </w:instrText>
      </w:r>
      <w:r>
        <w:fldChar w:fldCharType="separate"/>
      </w:r>
      <w:r>
        <w:t>129</w:t>
      </w:r>
      <w:r>
        <w:fldChar w:fldCharType="end"/>
      </w:r>
    </w:p>
    <w:p>
      <w:pPr>
        <w:pStyle w:val="24"/>
        <w:tabs>
          <w:tab w:val="right" w:leader="dot" w:pos="8306"/>
        </w:tabs>
      </w:pPr>
      <w:r>
        <w:rPr>
          <w:bCs/>
          <w:i/>
          <w:iCs/>
        </w:rPr>
        <w:t>Figure 10</w:t>
      </w:r>
      <w:r>
        <w:rPr>
          <w:bCs/>
          <w:i/>
          <w:iCs/>
        </w:rPr>
        <w:noBreakHyphen/>
      </w:r>
      <w:r>
        <w:t xml:space="preserve">17 </w:t>
      </w:r>
      <w:r>
        <w:rPr>
          <w:bCs/>
          <w:i/>
          <w:iCs/>
        </w:rPr>
        <w:t>. Viewing a SMAT-CE configuration file</w:t>
      </w:r>
      <w:r>
        <w:tab/>
      </w:r>
      <w:r>
        <w:fldChar w:fldCharType="begin"/>
      </w:r>
      <w:r>
        <w:instrText xml:space="preserve"> PAGEREF _Toc18183 \h </w:instrText>
      </w:r>
      <w:r>
        <w:fldChar w:fldCharType="separate"/>
      </w:r>
      <w:r>
        <w:t>130</w:t>
      </w:r>
      <w:r>
        <w:fldChar w:fldCharType="end"/>
      </w:r>
    </w:p>
    <w:p>
      <w:pPr>
        <w:pStyle w:val="24"/>
        <w:tabs>
          <w:tab w:val="right" w:leader="dot" w:pos="8306"/>
        </w:tabs>
        <w:rPr>
          <w:b/>
        </w:rPr>
      </w:pPr>
      <w:r>
        <w:rPr>
          <w:bCs/>
          <w:i/>
          <w:iCs/>
        </w:rPr>
        <w:t>Figure 10</w:t>
      </w:r>
      <w:r>
        <w:rPr>
          <w:bCs/>
          <w:i/>
          <w:iCs/>
        </w:rPr>
        <w:noBreakHyphen/>
      </w:r>
      <w:r>
        <w:t xml:space="preserve">18 </w:t>
      </w:r>
      <w:r>
        <w:rPr>
          <w:bCs/>
          <w:i/>
          <w:iCs/>
        </w:rPr>
        <w:t>. SMAT-CE Configuration File view</w:t>
      </w:r>
      <w:r>
        <w:tab/>
      </w:r>
      <w:r>
        <w:fldChar w:fldCharType="begin"/>
      </w:r>
      <w:r>
        <w:instrText xml:space="preserve"> PAGEREF _Toc26552 \h </w:instrText>
      </w:r>
      <w:r>
        <w:fldChar w:fldCharType="separate"/>
      </w:r>
      <w:r>
        <w:t>131</w:t>
      </w:r>
      <w:r>
        <w:fldChar w:fldCharType="end"/>
      </w:r>
      <w:r>
        <w:rPr>
          <w:b/>
        </w:rPr>
        <w:fldChar w:fldCharType="end"/>
      </w:r>
    </w:p>
    <w:p>
      <w:pPr>
        <w:sectPr>
          <w:pgSz w:w="11906" w:h="16838"/>
          <w:pgMar w:top="1440" w:right="1800" w:bottom="1440" w:left="1800" w:header="851" w:footer="992" w:gutter="0"/>
          <w:pgNumType w:fmt="lowerRoman"/>
          <w:cols w:space="425" w:num="1"/>
          <w:docGrid w:type="lines" w:linePitch="312" w:charSpace="0"/>
        </w:sectPr>
      </w:pPr>
    </w:p>
    <w:p>
      <w:pPr>
        <w:pStyle w:val="2"/>
        <w:numPr>
          <w:ilvl w:val="0"/>
          <w:numId w:val="0"/>
        </w:numPr>
        <w:ind w:left="425" w:hanging="425"/>
        <w:jc w:val="center"/>
      </w:pPr>
      <w:bookmarkStart w:id="3" w:name="_Toc27356"/>
      <w:r>
        <w:rPr>
          <w:rFonts w:hint="eastAsia"/>
        </w:rPr>
        <w:t>List</w:t>
      </w:r>
      <w:r>
        <w:t xml:space="preserve"> of </w:t>
      </w:r>
      <w:r>
        <w:rPr>
          <w:rFonts w:hint="eastAsia"/>
        </w:rPr>
        <w:t>Tabl</w:t>
      </w:r>
      <w:r>
        <w:t>es</w:t>
      </w:r>
      <w:bookmarkEnd w:id="3"/>
    </w:p>
    <w:p>
      <w:pPr>
        <w:pStyle w:val="20"/>
        <w:tabs>
          <w:tab w:val="right" w:leader="dot" w:pos="8306"/>
        </w:tabs>
        <w:rPr>
          <w:b w:val="0"/>
          <w:bCs w:val="0"/>
        </w:rPr>
      </w:pPr>
      <w:r>
        <w:rPr>
          <w:b w:val="0"/>
          <w:bCs w:val="0"/>
        </w:rPr>
        <w:fldChar w:fldCharType="begin"/>
      </w:r>
      <w:r>
        <w:rPr>
          <w:rFonts w:hint="eastAsia"/>
          <w:b w:val="0"/>
          <w:bCs w:val="0"/>
        </w:rPr>
        <w:instrText xml:space="preserve">TOC \t "题注,1" \h</w:instrText>
      </w:r>
      <w:r>
        <w:rPr>
          <w:b w:val="0"/>
          <w:bCs w:val="0"/>
        </w:rPr>
        <w:fldChar w:fldCharType="separate"/>
      </w:r>
      <w:r>
        <w:fldChar w:fldCharType="begin"/>
      </w:r>
      <w:r>
        <w:instrText xml:space="preserve"> HYPERLINK \l "_Toc211" </w:instrText>
      </w:r>
      <w:r>
        <w:fldChar w:fldCharType="separate"/>
      </w:r>
      <w:r>
        <w:rPr>
          <w:b w:val="0"/>
          <w:bCs w:val="0"/>
          <w:i/>
          <w:iCs/>
        </w:rPr>
        <w:t>Table 3</w:t>
      </w:r>
      <w:r>
        <w:rPr>
          <w:b w:val="0"/>
          <w:bCs w:val="0"/>
          <w:i/>
          <w:iCs/>
        </w:rPr>
        <w:noBreakHyphen/>
      </w:r>
      <w:r>
        <w:rPr>
          <w:b w:val="0"/>
          <w:bCs w:val="0"/>
          <w:i/>
          <w:iCs/>
        </w:rPr>
        <w:t>1. SMAT-CE computing system recommendations.</w:t>
      </w:r>
      <w:r>
        <w:rPr>
          <w:b w:val="0"/>
          <w:bCs w:val="0"/>
        </w:rPr>
        <w:tab/>
      </w:r>
      <w:r>
        <w:rPr>
          <w:b w:val="0"/>
          <w:bCs w:val="0"/>
        </w:rPr>
        <w:fldChar w:fldCharType="begin"/>
      </w:r>
      <w:r>
        <w:rPr>
          <w:b w:val="0"/>
          <w:bCs w:val="0"/>
        </w:rPr>
        <w:instrText xml:space="preserve"> PAGEREF _Toc211 \h </w:instrText>
      </w:r>
      <w:r>
        <w:rPr>
          <w:b w:val="0"/>
          <w:bCs w:val="0"/>
        </w:rPr>
        <w:fldChar w:fldCharType="separate"/>
      </w:r>
      <w:r>
        <w:rPr>
          <w:b w:val="0"/>
          <w:bCs w:val="0"/>
        </w:rPr>
        <w:t>17</w:t>
      </w:r>
      <w:r>
        <w:rPr>
          <w:b w:val="0"/>
          <w:bCs w:val="0"/>
        </w:rPr>
        <w:fldChar w:fldCharType="end"/>
      </w:r>
      <w:r>
        <w:rPr>
          <w:b w:val="0"/>
          <w:bCs w:val="0"/>
        </w:rPr>
        <w:fldChar w:fldCharType="end"/>
      </w:r>
    </w:p>
    <w:p>
      <w:pPr>
        <w:pStyle w:val="20"/>
        <w:tabs>
          <w:tab w:val="right" w:leader="dot" w:pos="8306"/>
        </w:tabs>
        <w:rPr>
          <w:b w:val="0"/>
          <w:bCs w:val="0"/>
        </w:rPr>
      </w:pPr>
      <w:r>
        <w:fldChar w:fldCharType="begin"/>
      </w:r>
      <w:r>
        <w:instrText xml:space="preserve"> HYPERLINK \l "_Toc26175" </w:instrText>
      </w:r>
      <w:r>
        <w:fldChar w:fldCharType="separate"/>
      </w:r>
      <w:r>
        <w:rPr>
          <w:b w:val="0"/>
          <w:bCs w:val="0"/>
          <w:i/>
          <w:iCs/>
        </w:rPr>
        <w:t>Table 8</w:t>
      </w:r>
      <w:r>
        <w:rPr>
          <w:b w:val="0"/>
          <w:bCs w:val="0"/>
          <w:i/>
          <w:iCs/>
        </w:rPr>
        <w:noBreakHyphen/>
      </w:r>
      <w:r>
        <w:rPr>
          <w:b w:val="0"/>
          <w:bCs w:val="0"/>
          <w:i/>
          <w:iCs/>
        </w:rPr>
        <w:t>1. Ozone monitor data format</w:t>
      </w:r>
      <w:r>
        <w:rPr>
          <w:b w:val="0"/>
          <w:bCs w:val="0"/>
        </w:rPr>
        <w:tab/>
      </w:r>
      <w:r>
        <w:rPr>
          <w:b w:val="0"/>
          <w:bCs w:val="0"/>
        </w:rPr>
        <w:fldChar w:fldCharType="begin"/>
      </w:r>
      <w:r>
        <w:rPr>
          <w:b w:val="0"/>
          <w:bCs w:val="0"/>
        </w:rPr>
        <w:instrText xml:space="preserve"> PAGEREF _Toc26175 \h </w:instrText>
      </w:r>
      <w:r>
        <w:rPr>
          <w:b w:val="0"/>
          <w:bCs w:val="0"/>
        </w:rPr>
        <w:fldChar w:fldCharType="separate"/>
      </w:r>
      <w:r>
        <w:rPr>
          <w:b w:val="0"/>
          <w:bCs w:val="0"/>
        </w:rPr>
        <w:t>75</w:t>
      </w:r>
      <w:r>
        <w:rPr>
          <w:b w:val="0"/>
          <w:bCs w:val="0"/>
        </w:rPr>
        <w:fldChar w:fldCharType="end"/>
      </w:r>
      <w:r>
        <w:rPr>
          <w:b w:val="0"/>
          <w:bCs w:val="0"/>
        </w:rPr>
        <w:fldChar w:fldCharType="end"/>
      </w:r>
    </w:p>
    <w:p>
      <w:pPr>
        <w:pStyle w:val="20"/>
        <w:tabs>
          <w:tab w:val="right" w:leader="dot" w:pos="8306"/>
        </w:tabs>
        <w:rPr>
          <w:b w:val="0"/>
          <w:bCs w:val="0"/>
        </w:rPr>
      </w:pPr>
      <w:r>
        <w:fldChar w:fldCharType="begin"/>
      </w:r>
      <w:r>
        <w:instrText xml:space="preserve"> HYPERLINK \l "_Toc27304" </w:instrText>
      </w:r>
      <w:r>
        <w:fldChar w:fldCharType="separate"/>
      </w:r>
      <w:r>
        <w:rPr>
          <w:b w:val="0"/>
          <w:bCs w:val="0"/>
          <w:i/>
          <w:iCs/>
        </w:rPr>
        <w:t>Table 8</w:t>
      </w:r>
      <w:r>
        <w:rPr>
          <w:b w:val="0"/>
          <w:bCs w:val="0"/>
          <w:i/>
          <w:iCs/>
        </w:rPr>
        <w:noBreakHyphen/>
      </w:r>
      <w:r>
        <w:rPr>
          <w:b w:val="0"/>
          <w:bCs w:val="0"/>
          <w:i/>
          <w:iCs/>
        </w:rPr>
        <w:t>2. Ozone modeling data format</w:t>
      </w:r>
      <w:r>
        <w:rPr>
          <w:b w:val="0"/>
          <w:bCs w:val="0"/>
        </w:rPr>
        <w:tab/>
      </w:r>
      <w:r>
        <w:rPr>
          <w:b w:val="0"/>
          <w:bCs w:val="0"/>
        </w:rPr>
        <w:fldChar w:fldCharType="begin"/>
      </w:r>
      <w:r>
        <w:rPr>
          <w:b w:val="0"/>
          <w:bCs w:val="0"/>
        </w:rPr>
        <w:instrText xml:space="preserve"> PAGEREF _Toc27304 \h </w:instrText>
      </w:r>
      <w:r>
        <w:rPr>
          <w:b w:val="0"/>
          <w:bCs w:val="0"/>
        </w:rPr>
        <w:fldChar w:fldCharType="separate"/>
      </w:r>
      <w:r>
        <w:rPr>
          <w:b w:val="0"/>
          <w:bCs w:val="0"/>
        </w:rPr>
        <w:t>76</w:t>
      </w:r>
      <w:r>
        <w:rPr>
          <w:b w:val="0"/>
          <w:bCs w:val="0"/>
        </w:rPr>
        <w:fldChar w:fldCharType="end"/>
      </w:r>
      <w:r>
        <w:rPr>
          <w:b w:val="0"/>
          <w:bCs w:val="0"/>
        </w:rPr>
        <w:fldChar w:fldCharType="end"/>
      </w:r>
    </w:p>
    <w:p>
      <w:pPr>
        <w:pStyle w:val="20"/>
        <w:tabs>
          <w:tab w:val="right" w:leader="dot" w:pos="8306"/>
        </w:tabs>
        <w:rPr>
          <w:b w:val="0"/>
          <w:bCs w:val="0"/>
        </w:rPr>
      </w:pPr>
      <w:r>
        <w:fldChar w:fldCharType="begin"/>
      </w:r>
      <w:r>
        <w:instrText xml:space="preserve"> HYPERLINK \l "_Toc27116" </w:instrText>
      </w:r>
      <w:r>
        <w:fldChar w:fldCharType="separate"/>
      </w:r>
      <w:r>
        <w:rPr>
          <w:b w:val="0"/>
          <w:bCs w:val="0"/>
          <w:i/>
          <w:iCs/>
        </w:rPr>
        <w:t>Table 9-1 Variables and descriptions for Forecasted Visibility Data file</w:t>
      </w:r>
      <w:r>
        <w:rPr>
          <w:b w:val="0"/>
          <w:bCs w:val="0"/>
        </w:rPr>
        <w:tab/>
      </w:r>
      <w:r>
        <w:rPr>
          <w:b w:val="0"/>
          <w:bCs w:val="0"/>
        </w:rPr>
        <w:fldChar w:fldCharType="begin"/>
      </w:r>
      <w:r>
        <w:rPr>
          <w:b w:val="0"/>
          <w:bCs w:val="0"/>
        </w:rPr>
        <w:instrText xml:space="preserve"> PAGEREF _Toc27116 \h </w:instrText>
      </w:r>
      <w:r>
        <w:rPr>
          <w:b w:val="0"/>
          <w:bCs w:val="0"/>
        </w:rPr>
        <w:fldChar w:fldCharType="separate"/>
      </w:r>
      <w:r>
        <w:rPr>
          <w:b w:val="0"/>
          <w:bCs w:val="0"/>
        </w:rPr>
        <w:t>94</w:t>
      </w:r>
      <w:r>
        <w:rPr>
          <w:b w:val="0"/>
          <w:bCs w:val="0"/>
        </w:rPr>
        <w:fldChar w:fldCharType="end"/>
      </w:r>
      <w:r>
        <w:rPr>
          <w:b w:val="0"/>
          <w:bCs w:val="0"/>
        </w:rPr>
        <w:fldChar w:fldCharType="end"/>
      </w:r>
    </w:p>
    <w:p>
      <w:pPr>
        <w:pStyle w:val="20"/>
        <w:tabs>
          <w:tab w:val="right" w:leader="dot" w:pos="8306"/>
        </w:tabs>
        <w:rPr>
          <w:b w:val="0"/>
          <w:bCs w:val="0"/>
        </w:rPr>
      </w:pPr>
      <w:r>
        <w:fldChar w:fldCharType="begin"/>
      </w:r>
      <w:r>
        <w:instrText xml:space="preserve"> HYPERLINK \l "_Toc20643" </w:instrText>
      </w:r>
      <w:r>
        <w:fldChar w:fldCharType="separate"/>
      </w:r>
      <w:r>
        <w:rPr>
          <w:b w:val="0"/>
          <w:bCs w:val="0"/>
          <w:i/>
          <w:iCs/>
        </w:rPr>
        <w:t>Table 9-2 Variables and descriptions for Class 1 Area and IMPROVE Monitor Identifiers and Locations</w:t>
      </w:r>
      <w:r>
        <w:rPr>
          <w:b w:val="0"/>
          <w:bCs w:val="0"/>
        </w:rPr>
        <w:tab/>
      </w:r>
      <w:r>
        <w:rPr>
          <w:b w:val="0"/>
          <w:bCs w:val="0"/>
        </w:rPr>
        <w:fldChar w:fldCharType="begin"/>
      </w:r>
      <w:r>
        <w:rPr>
          <w:b w:val="0"/>
          <w:bCs w:val="0"/>
        </w:rPr>
        <w:instrText xml:space="preserve"> PAGEREF _Toc20643 \h </w:instrText>
      </w:r>
      <w:r>
        <w:rPr>
          <w:b w:val="0"/>
          <w:bCs w:val="0"/>
        </w:rPr>
        <w:fldChar w:fldCharType="separate"/>
      </w:r>
      <w:r>
        <w:rPr>
          <w:b w:val="0"/>
          <w:bCs w:val="0"/>
        </w:rPr>
        <w:t>100</w:t>
      </w:r>
      <w:r>
        <w:rPr>
          <w:b w:val="0"/>
          <w:bCs w:val="0"/>
        </w:rPr>
        <w:fldChar w:fldCharType="end"/>
      </w:r>
      <w:r>
        <w:rPr>
          <w:b w:val="0"/>
          <w:bCs w:val="0"/>
        </w:rPr>
        <w:fldChar w:fldCharType="end"/>
      </w:r>
    </w:p>
    <w:p>
      <w:pPr>
        <w:pStyle w:val="20"/>
        <w:tabs>
          <w:tab w:val="right" w:leader="dot" w:pos="8306"/>
        </w:tabs>
        <w:rPr>
          <w:b w:val="0"/>
          <w:bCs w:val="0"/>
        </w:rPr>
      </w:pPr>
      <w:r>
        <w:fldChar w:fldCharType="begin"/>
      </w:r>
      <w:r>
        <w:instrText xml:space="preserve"> HYPERLINK \l "_Toc12583" </w:instrText>
      </w:r>
      <w:r>
        <w:fldChar w:fldCharType="separate"/>
      </w:r>
      <w:r>
        <w:rPr>
          <w:b w:val="0"/>
          <w:bCs w:val="0"/>
          <w:i/>
          <w:iCs/>
        </w:rPr>
        <w:t>Table 9-3 Variables and descriptions for Base/Future/Delta Data</w:t>
      </w:r>
      <w:r>
        <w:rPr>
          <w:b w:val="0"/>
          <w:bCs w:val="0"/>
        </w:rPr>
        <w:tab/>
      </w:r>
      <w:r>
        <w:rPr>
          <w:b w:val="0"/>
          <w:bCs w:val="0"/>
        </w:rPr>
        <w:fldChar w:fldCharType="begin"/>
      </w:r>
      <w:r>
        <w:rPr>
          <w:b w:val="0"/>
          <w:bCs w:val="0"/>
        </w:rPr>
        <w:instrText xml:space="preserve"> PAGEREF _Toc12583 \h </w:instrText>
      </w:r>
      <w:r>
        <w:rPr>
          <w:b w:val="0"/>
          <w:bCs w:val="0"/>
        </w:rPr>
        <w:fldChar w:fldCharType="separate"/>
      </w:r>
      <w:r>
        <w:rPr>
          <w:b w:val="0"/>
          <w:bCs w:val="0"/>
        </w:rPr>
        <w:t>100</w:t>
      </w:r>
      <w:r>
        <w:rPr>
          <w:b w:val="0"/>
          <w:bCs w:val="0"/>
        </w:rPr>
        <w:fldChar w:fldCharType="end"/>
      </w:r>
      <w:r>
        <w:rPr>
          <w:b w:val="0"/>
          <w:bCs w:val="0"/>
        </w:rPr>
        <w:fldChar w:fldCharType="end"/>
      </w:r>
    </w:p>
    <w:p>
      <w:pPr>
        <w:pStyle w:val="20"/>
        <w:tabs>
          <w:tab w:val="right" w:leader="dot" w:pos="8306"/>
        </w:tabs>
        <w:rPr>
          <w:b w:val="0"/>
          <w:bCs w:val="0"/>
        </w:rPr>
      </w:pPr>
      <w:r>
        <w:fldChar w:fldCharType="begin"/>
      </w:r>
      <w:r>
        <w:instrText xml:space="preserve"> HYPERLINK \l "_Toc22781" </w:instrText>
      </w:r>
      <w:r>
        <w:fldChar w:fldCharType="separate"/>
      </w:r>
      <w:r>
        <w:rPr>
          <w:b w:val="0"/>
          <w:bCs w:val="0"/>
          <w:i/>
          <w:iCs/>
        </w:rPr>
        <w:t xml:space="preserve">Table 9-5 Variables and descriptions for </w:t>
      </w:r>
      <w:r>
        <w:rPr>
          <w:rFonts w:cs="Times New Roman"/>
          <w:b w:val="0"/>
          <w:bCs w:val="0"/>
          <w:i/>
          <w:iCs/>
          <w:kern w:val="0"/>
        </w:rPr>
        <w:t>Daily PM Model Data</w:t>
      </w:r>
      <w:r>
        <w:rPr>
          <w:b w:val="0"/>
          <w:bCs w:val="0"/>
          <w:i/>
          <w:iCs/>
        </w:rPr>
        <w:t xml:space="preserve"> file</w:t>
      </w:r>
      <w:r>
        <w:rPr>
          <w:b w:val="0"/>
          <w:bCs w:val="0"/>
        </w:rPr>
        <w:tab/>
      </w:r>
      <w:r>
        <w:rPr>
          <w:b w:val="0"/>
          <w:bCs w:val="0"/>
        </w:rPr>
        <w:fldChar w:fldCharType="begin"/>
      </w:r>
      <w:r>
        <w:rPr>
          <w:b w:val="0"/>
          <w:bCs w:val="0"/>
        </w:rPr>
        <w:instrText xml:space="preserve"> PAGEREF _Toc22781 \h </w:instrText>
      </w:r>
      <w:r>
        <w:rPr>
          <w:b w:val="0"/>
          <w:bCs w:val="0"/>
        </w:rPr>
        <w:fldChar w:fldCharType="separate"/>
      </w:r>
      <w:r>
        <w:rPr>
          <w:b w:val="0"/>
          <w:bCs w:val="0"/>
        </w:rPr>
        <w:t>106</w:t>
      </w:r>
      <w:r>
        <w:rPr>
          <w:b w:val="0"/>
          <w:bCs w:val="0"/>
        </w:rPr>
        <w:fldChar w:fldCharType="end"/>
      </w:r>
      <w:r>
        <w:rPr>
          <w:b w:val="0"/>
          <w:bCs w:val="0"/>
        </w:rPr>
        <w:fldChar w:fldCharType="end"/>
      </w:r>
    </w:p>
    <w:p>
      <w:pPr>
        <w:pStyle w:val="20"/>
        <w:tabs>
          <w:tab w:val="right" w:leader="dot" w:pos="8306"/>
        </w:tabs>
        <w:rPr>
          <w:b w:val="0"/>
          <w:bCs w:val="0"/>
        </w:rPr>
      </w:pPr>
      <w:r>
        <w:fldChar w:fldCharType="begin"/>
      </w:r>
      <w:r>
        <w:instrText xml:space="preserve"> HYPERLINK \l "_Toc8630" </w:instrText>
      </w:r>
      <w:r>
        <w:fldChar w:fldCharType="separate"/>
      </w:r>
      <w:r>
        <w:rPr>
          <w:b w:val="0"/>
          <w:bCs w:val="0"/>
          <w:i/>
          <w:iCs/>
        </w:rPr>
        <w:t>Table 9-6 Variables and descriptions for forecast IMPROVE daily visibility file</w:t>
      </w:r>
      <w:r>
        <w:rPr>
          <w:b w:val="0"/>
          <w:bCs w:val="0"/>
        </w:rPr>
        <w:tab/>
      </w:r>
      <w:r>
        <w:rPr>
          <w:b w:val="0"/>
          <w:bCs w:val="0"/>
        </w:rPr>
        <w:fldChar w:fldCharType="begin"/>
      </w:r>
      <w:r>
        <w:rPr>
          <w:b w:val="0"/>
          <w:bCs w:val="0"/>
        </w:rPr>
        <w:instrText xml:space="preserve"> PAGEREF _Toc8630 \h </w:instrText>
      </w:r>
      <w:r>
        <w:rPr>
          <w:b w:val="0"/>
          <w:bCs w:val="0"/>
        </w:rPr>
        <w:fldChar w:fldCharType="separate"/>
      </w:r>
      <w:r>
        <w:rPr>
          <w:b w:val="0"/>
          <w:bCs w:val="0"/>
        </w:rPr>
        <w:t>107</w:t>
      </w:r>
      <w:r>
        <w:rPr>
          <w:b w:val="0"/>
          <w:bCs w:val="0"/>
        </w:rPr>
        <w:fldChar w:fldCharType="end"/>
      </w:r>
      <w:r>
        <w:rPr>
          <w:b w:val="0"/>
          <w:bCs w:val="0"/>
        </w:rPr>
        <w:fldChar w:fldCharType="end"/>
      </w:r>
    </w:p>
    <w:p>
      <w:pPr>
        <w:pStyle w:val="20"/>
        <w:tabs>
          <w:tab w:val="right" w:leader="dot" w:pos="8306"/>
        </w:tabs>
        <w:rPr>
          <w:b w:val="0"/>
          <w:bCs w:val="0"/>
        </w:rPr>
        <w:sectPr>
          <w:pgSz w:w="11906" w:h="16838"/>
          <w:pgMar w:top="1440" w:right="1800" w:bottom="1440" w:left="1800" w:header="851" w:footer="992" w:gutter="0"/>
          <w:pgNumType w:fmt="lowerRoman"/>
          <w:cols w:space="425" w:num="1"/>
          <w:docGrid w:type="lines" w:linePitch="312" w:charSpace="0"/>
        </w:sectPr>
      </w:pPr>
      <w:r>
        <w:fldChar w:fldCharType="begin"/>
      </w:r>
      <w:r>
        <w:instrText xml:space="preserve"> HYPERLINK \l "_Toc23181" </w:instrText>
      </w:r>
      <w:r>
        <w:fldChar w:fldCharType="separate"/>
      </w:r>
      <w:r>
        <w:rPr>
          <w:b w:val="0"/>
          <w:bCs w:val="0"/>
          <w:i/>
          <w:iCs/>
        </w:rPr>
        <w:t>Table 9-7 Variables and descriptions for File Linking IMPROVE Monitors and Class I Areas</w:t>
      </w:r>
      <w:r>
        <w:rPr>
          <w:b w:val="0"/>
          <w:bCs w:val="0"/>
        </w:rPr>
        <w:tab/>
      </w:r>
      <w:r>
        <w:rPr>
          <w:b w:val="0"/>
          <w:bCs w:val="0"/>
        </w:rPr>
        <w:fldChar w:fldCharType="begin"/>
      </w:r>
      <w:r>
        <w:rPr>
          <w:b w:val="0"/>
          <w:bCs w:val="0"/>
        </w:rPr>
        <w:instrText xml:space="preserve"> PAGEREF _Toc23181 \h </w:instrText>
      </w:r>
      <w:r>
        <w:rPr>
          <w:b w:val="0"/>
          <w:bCs w:val="0"/>
        </w:rPr>
        <w:fldChar w:fldCharType="separate"/>
      </w:r>
      <w:r>
        <w:rPr>
          <w:b w:val="0"/>
          <w:bCs w:val="0"/>
        </w:rPr>
        <w:t>109</w:t>
      </w:r>
      <w:r>
        <w:rPr>
          <w:b w:val="0"/>
          <w:bCs w:val="0"/>
        </w:rPr>
        <w:fldChar w:fldCharType="end"/>
      </w:r>
      <w:r>
        <w:rPr>
          <w:b w:val="0"/>
          <w:bCs w:val="0"/>
        </w:rPr>
        <w:fldChar w:fldCharType="end"/>
      </w:r>
      <w:r>
        <w:rPr>
          <w:b w:val="0"/>
          <w:bCs w:val="0"/>
        </w:rPr>
        <w:fldChar w:fldCharType="end"/>
      </w:r>
    </w:p>
    <w:p>
      <w:pPr>
        <w:pStyle w:val="2"/>
      </w:pPr>
      <w:bookmarkStart w:id="4" w:name="_Toc119010851"/>
      <w:bookmarkStart w:id="5" w:name="_Toc476654439"/>
      <w:bookmarkStart w:id="6" w:name="_Toc476653916"/>
      <w:bookmarkStart w:id="7" w:name="_Toc474488606"/>
      <w:bookmarkStart w:id="8" w:name="_Toc476654817"/>
      <w:bookmarkStart w:id="9" w:name="_Toc29196"/>
      <w:r>
        <w:t>Introduction</w:t>
      </w:r>
      <w:bookmarkEnd w:id="4"/>
      <w:bookmarkEnd w:id="5"/>
      <w:bookmarkEnd w:id="6"/>
      <w:bookmarkEnd w:id="7"/>
      <w:bookmarkEnd w:id="8"/>
      <w:bookmarkEnd w:id="9"/>
    </w:p>
    <w:p>
      <w:pPr>
        <w:rPr>
          <w:szCs w:val="24"/>
        </w:rPr>
      </w:pPr>
      <w:r>
        <w:rPr>
          <w:szCs w:val="24"/>
        </w:rPr>
        <w:t>The Software of Model Attainment Test – Community Edition (SMAT-CE) is the next generation of Modeled Attainment Test Software (MATS). SMAT-CE implements modeled attainment tests for particulate matter (PM</w:t>
      </w:r>
      <w:r>
        <w:rPr>
          <w:szCs w:val="24"/>
          <w:vertAlign w:val="subscript"/>
        </w:rPr>
        <w:t>2.5</w:t>
      </w:r>
      <w:r>
        <w:rPr>
          <w:szCs w:val="24"/>
        </w:rPr>
        <w:t>) and ozone (O</w:t>
      </w:r>
      <w:r>
        <w:rPr>
          <w:szCs w:val="24"/>
          <w:vertAlign w:val="subscript"/>
        </w:rPr>
        <w:t>3</w:t>
      </w:r>
      <w:r>
        <w:rPr>
          <w:szCs w:val="24"/>
        </w:rPr>
        <w:t>) and performs the uniform rate of progress analysis for regional haze (visibility). The results from SMAT-CE can be used to provide scientific support for air pollution control strategies and decision making. Details of the modeled attainment tests formulated by the U.S. EPA and implemented in SMAT-CE are available in the Draft Modeling Guidance for Attainment of Air Quality Goals for Ozone, PM</w:t>
      </w:r>
      <w:r>
        <w:rPr>
          <w:szCs w:val="24"/>
          <w:vertAlign w:val="subscript"/>
        </w:rPr>
        <w:t>2.5</w:t>
      </w:r>
      <w:r>
        <w:rPr>
          <w:szCs w:val="24"/>
        </w:rPr>
        <w:t>, and Regional Haze (US EPA, 2014).</w:t>
      </w:r>
    </w:p>
    <w:p>
      <w:pPr>
        <w:rPr>
          <w:rFonts w:cs="Times New Roman"/>
          <w:color w:val="000000"/>
          <w:kern w:val="0"/>
          <w:szCs w:val="24"/>
        </w:rPr>
      </w:pPr>
      <w:r>
        <w:rPr>
          <w:rFonts w:cs="Times New Roman"/>
          <w:color w:val="000000"/>
          <w:kern w:val="0"/>
          <w:szCs w:val="24"/>
        </w:rPr>
        <w:t>This document provides instructions on how to use SMAT-CE to conduct modeled attainment tests for PM</w:t>
      </w:r>
      <w:r>
        <w:rPr>
          <w:rFonts w:cs="Times New Roman"/>
          <w:color w:val="000000"/>
          <w:kern w:val="0"/>
          <w:szCs w:val="24"/>
          <w:vertAlign w:val="subscript"/>
        </w:rPr>
        <w:t>2.5</w:t>
      </w:r>
      <w:r>
        <w:rPr>
          <w:rFonts w:cs="Times New Roman"/>
          <w:color w:val="000000"/>
          <w:kern w:val="0"/>
          <w:szCs w:val="24"/>
        </w:rPr>
        <w:t xml:space="preserve"> and </w:t>
      </w:r>
      <w:r>
        <w:rPr>
          <w:rFonts w:hint="eastAsia" w:cs="Times New Roman"/>
          <w:color w:val="000000"/>
          <w:kern w:val="0"/>
          <w:szCs w:val="24"/>
        </w:rPr>
        <w:t>ozone</w:t>
      </w:r>
      <w:r>
        <w:rPr>
          <w:rFonts w:cs="Times New Roman"/>
          <w:color w:val="000000"/>
          <w:kern w:val="0"/>
          <w:szCs w:val="24"/>
        </w:rPr>
        <w:t xml:space="preserve">, and to perform the uniform rate of progress analysis for regional haze (visibility). In addition to a quick start guide, this document includes a description of the SMAT-CE interface, configuration options, and a step-by-step tutorial for using </w:t>
      </w:r>
      <w:r>
        <w:rPr>
          <w:rFonts w:hint="eastAsia" w:cs="Times New Roman"/>
          <w:color w:val="000000"/>
          <w:kern w:val="0"/>
          <w:szCs w:val="24"/>
        </w:rPr>
        <w:t>SMAT</w:t>
      </w:r>
      <w:r>
        <w:rPr>
          <w:rFonts w:cs="Times New Roman"/>
          <w:color w:val="000000"/>
          <w:kern w:val="0"/>
          <w:szCs w:val="24"/>
        </w:rPr>
        <w:t xml:space="preserve">-CE, with sample data from the Eastern U.S. </w:t>
      </w:r>
    </w:p>
    <w:p>
      <w:pPr>
        <w:rPr>
          <w:rFonts w:cs="Times New Roman"/>
          <w:color w:val="000000"/>
          <w:kern w:val="0"/>
          <w:szCs w:val="24"/>
        </w:rPr>
      </w:pPr>
      <w:r>
        <w:rPr>
          <w:rFonts w:cs="Times New Roman"/>
          <w:color w:val="000000"/>
          <w:kern w:val="0"/>
          <w:szCs w:val="24"/>
        </w:rPr>
        <w:t>This manual includes the following sections:</w:t>
      </w:r>
    </w:p>
    <w:p>
      <w:pPr>
        <w:pStyle w:val="42"/>
        <w:numPr>
          <w:ilvl w:val="0"/>
          <w:numId w:val="2"/>
        </w:numPr>
        <w:ind w:firstLineChars="0"/>
        <w:rPr>
          <w:rFonts w:cs="Times New Roman"/>
          <w:color w:val="000000"/>
          <w:kern w:val="0"/>
          <w:szCs w:val="24"/>
        </w:rPr>
      </w:pPr>
      <w:r>
        <w:fldChar w:fldCharType="begin"/>
      </w:r>
      <w:r>
        <w:instrText xml:space="preserve"> HYPERLINK \l "_Quick_Start" </w:instrText>
      </w:r>
      <w:r>
        <w:fldChar w:fldCharType="separate"/>
      </w:r>
      <w:r>
        <w:rPr>
          <w:rStyle w:val="34"/>
          <w:rFonts w:cs="Times New Roman"/>
          <w:kern w:val="0"/>
          <w:szCs w:val="24"/>
        </w:rPr>
        <w:t>Chapter 2</w:t>
      </w:r>
      <w:r>
        <w:rPr>
          <w:rStyle w:val="36"/>
          <w:rFonts w:cs="Times New Roman"/>
          <w:kern w:val="0"/>
          <w:szCs w:val="24"/>
        </w:rPr>
        <w:fldChar w:fldCharType="end"/>
      </w:r>
      <w:r>
        <w:rPr>
          <w:rFonts w:cs="Times New Roman"/>
          <w:color w:val="000000"/>
          <w:kern w:val="0"/>
          <w:szCs w:val="24"/>
        </w:rPr>
        <w:t>.   Quick Start Guide to quickly get users up and running</w:t>
      </w:r>
    </w:p>
    <w:p>
      <w:pPr>
        <w:pStyle w:val="42"/>
        <w:numPr>
          <w:ilvl w:val="0"/>
          <w:numId w:val="2"/>
        </w:numPr>
        <w:ind w:firstLineChars="0"/>
        <w:rPr>
          <w:rFonts w:cs="Times New Roman"/>
          <w:color w:val="000000"/>
          <w:kern w:val="0"/>
          <w:szCs w:val="24"/>
        </w:rPr>
      </w:pPr>
      <w:r>
        <w:fldChar w:fldCharType="begin"/>
      </w:r>
      <w:r>
        <w:instrText xml:space="preserve"> HYPERLINK \l "_SMAT-CE_Installation" </w:instrText>
      </w:r>
      <w:r>
        <w:fldChar w:fldCharType="separate"/>
      </w:r>
      <w:r>
        <w:rPr>
          <w:rStyle w:val="34"/>
          <w:rFonts w:cs="Times New Roman"/>
          <w:kern w:val="0"/>
          <w:szCs w:val="24"/>
        </w:rPr>
        <w:t>Chapter 3</w:t>
      </w:r>
      <w:r>
        <w:rPr>
          <w:rStyle w:val="36"/>
          <w:rFonts w:cs="Times New Roman"/>
          <w:kern w:val="0"/>
          <w:szCs w:val="24"/>
        </w:rPr>
        <w:fldChar w:fldCharType="end"/>
      </w:r>
      <w:r>
        <w:rPr>
          <w:rFonts w:cs="Times New Roman"/>
          <w:color w:val="000000"/>
          <w:kern w:val="0"/>
          <w:szCs w:val="24"/>
        </w:rPr>
        <w:t>.   SMAT-CE installation</w:t>
      </w:r>
    </w:p>
    <w:p>
      <w:pPr>
        <w:pStyle w:val="42"/>
        <w:numPr>
          <w:ilvl w:val="0"/>
          <w:numId w:val="2"/>
        </w:numPr>
        <w:ind w:firstLineChars="0"/>
        <w:rPr>
          <w:rFonts w:cs="Times New Roman"/>
          <w:color w:val="000000"/>
          <w:kern w:val="0"/>
          <w:szCs w:val="24"/>
        </w:rPr>
      </w:pPr>
      <w:r>
        <w:fldChar w:fldCharType="begin"/>
      </w:r>
      <w:r>
        <w:instrText xml:space="preserve"> HYPERLINK \l "_SMAT-CE_Start_Page" </w:instrText>
      </w:r>
      <w:r>
        <w:fldChar w:fldCharType="separate"/>
      </w:r>
      <w:r>
        <w:rPr>
          <w:rStyle w:val="34"/>
          <w:rFonts w:cs="Times New Roman"/>
          <w:kern w:val="0"/>
          <w:szCs w:val="24"/>
        </w:rPr>
        <w:t>Chapter 4</w:t>
      </w:r>
      <w:r>
        <w:rPr>
          <w:rStyle w:val="36"/>
          <w:rFonts w:cs="Times New Roman"/>
          <w:kern w:val="0"/>
          <w:szCs w:val="24"/>
        </w:rPr>
        <w:fldChar w:fldCharType="end"/>
      </w:r>
      <w:r>
        <w:rPr>
          <w:rFonts w:cs="Times New Roman"/>
          <w:color w:val="000000"/>
          <w:kern w:val="0"/>
          <w:szCs w:val="24"/>
        </w:rPr>
        <w:t>.   SMAT-CE User Interface</w:t>
      </w:r>
    </w:p>
    <w:p>
      <w:pPr>
        <w:pStyle w:val="42"/>
        <w:numPr>
          <w:ilvl w:val="0"/>
          <w:numId w:val="2"/>
        </w:numPr>
        <w:ind w:firstLineChars="0"/>
        <w:rPr>
          <w:rFonts w:cs="Times New Roman"/>
          <w:color w:val="000000"/>
          <w:kern w:val="0"/>
          <w:szCs w:val="24"/>
        </w:rPr>
      </w:pPr>
      <w:r>
        <w:fldChar w:fldCharType="begin"/>
      </w:r>
      <w:r>
        <w:instrText xml:space="preserve"> HYPERLINK \l "_Running_SMAT-CE" </w:instrText>
      </w:r>
      <w:r>
        <w:fldChar w:fldCharType="separate"/>
      </w:r>
      <w:r>
        <w:rPr>
          <w:rStyle w:val="34"/>
          <w:rFonts w:cs="Times New Roman"/>
          <w:kern w:val="0"/>
          <w:szCs w:val="24"/>
        </w:rPr>
        <w:t>Chapter 5</w:t>
      </w:r>
      <w:r>
        <w:rPr>
          <w:rStyle w:val="36"/>
          <w:rFonts w:cs="Times New Roman"/>
          <w:kern w:val="0"/>
          <w:szCs w:val="24"/>
        </w:rPr>
        <w:fldChar w:fldCharType="end"/>
      </w:r>
      <w:r>
        <w:rPr>
          <w:rFonts w:cs="Times New Roman"/>
          <w:color w:val="000000"/>
          <w:kern w:val="0"/>
          <w:szCs w:val="24"/>
        </w:rPr>
        <w:t xml:space="preserve">.   Start new analyses and load previously saved analyses  </w:t>
      </w:r>
    </w:p>
    <w:p>
      <w:pPr>
        <w:pStyle w:val="42"/>
        <w:numPr>
          <w:ilvl w:val="0"/>
          <w:numId w:val="2"/>
        </w:numPr>
        <w:ind w:firstLineChars="0"/>
        <w:rPr>
          <w:rFonts w:cs="Times New Roman"/>
          <w:color w:val="000000"/>
          <w:kern w:val="0"/>
          <w:szCs w:val="24"/>
        </w:rPr>
      </w:pPr>
      <w:r>
        <w:fldChar w:fldCharType="begin"/>
      </w:r>
      <w:r>
        <w:instrText xml:space="preserve"> HYPERLINK \l "_Annual_PM_Analysis" </w:instrText>
      </w:r>
      <w:r>
        <w:fldChar w:fldCharType="separate"/>
      </w:r>
      <w:r>
        <w:rPr>
          <w:rStyle w:val="34"/>
          <w:rFonts w:cs="Times New Roman"/>
          <w:kern w:val="0"/>
          <w:szCs w:val="24"/>
        </w:rPr>
        <w:t>Chapter 6</w:t>
      </w:r>
      <w:r>
        <w:rPr>
          <w:rStyle w:val="36"/>
          <w:rFonts w:cs="Times New Roman"/>
          <w:kern w:val="0"/>
          <w:szCs w:val="24"/>
        </w:rPr>
        <w:fldChar w:fldCharType="end"/>
      </w:r>
      <w:r>
        <w:rPr>
          <w:rFonts w:cs="Times New Roman"/>
          <w:color w:val="000000"/>
          <w:kern w:val="0"/>
          <w:szCs w:val="24"/>
        </w:rPr>
        <w:t>.   Annual PM</w:t>
      </w:r>
      <w:r>
        <w:rPr>
          <w:rFonts w:cs="Times New Roman"/>
          <w:color w:val="000000"/>
          <w:kern w:val="0"/>
          <w:szCs w:val="24"/>
          <w:vertAlign w:val="subscript"/>
        </w:rPr>
        <w:t xml:space="preserve">2.5 </w:t>
      </w:r>
      <w:r>
        <w:rPr>
          <w:rFonts w:cs="Times New Roman"/>
          <w:color w:val="000000"/>
          <w:kern w:val="0"/>
          <w:szCs w:val="24"/>
        </w:rPr>
        <w:t>attainment test details</w:t>
      </w:r>
    </w:p>
    <w:p>
      <w:pPr>
        <w:pStyle w:val="42"/>
        <w:numPr>
          <w:ilvl w:val="0"/>
          <w:numId w:val="2"/>
        </w:numPr>
        <w:ind w:firstLineChars="0"/>
        <w:rPr>
          <w:rFonts w:cs="Times New Roman"/>
          <w:color w:val="000000"/>
          <w:kern w:val="0"/>
          <w:szCs w:val="24"/>
        </w:rPr>
      </w:pPr>
      <w:r>
        <w:fldChar w:fldCharType="begin"/>
      </w:r>
      <w:r>
        <w:instrText xml:space="preserve"> HYPERLINK \l "_Daily_PM_Analysis" </w:instrText>
      </w:r>
      <w:r>
        <w:fldChar w:fldCharType="separate"/>
      </w:r>
      <w:r>
        <w:rPr>
          <w:rStyle w:val="34"/>
          <w:rFonts w:cs="Times New Roman"/>
          <w:kern w:val="0"/>
          <w:szCs w:val="24"/>
        </w:rPr>
        <w:t>Chapter 7</w:t>
      </w:r>
      <w:r>
        <w:rPr>
          <w:rStyle w:val="36"/>
          <w:rFonts w:cs="Times New Roman"/>
          <w:kern w:val="0"/>
          <w:szCs w:val="24"/>
        </w:rPr>
        <w:fldChar w:fldCharType="end"/>
      </w:r>
      <w:r>
        <w:rPr>
          <w:rFonts w:cs="Times New Roman"/>
          <w:color w:val="000000"/>
          <w:kern w:val="0"/>
          <w:szCs w:val="24"/>
        </w:rPr>
        <w:t>.   Daily PM</w:t>
      </w:r>
      <w:r>
        <w:rPr>
          <w:rFonts w:cs="Times New Roman"/>
          <w:color w:val="000000"/>
          <w:kern w:val="0"/>
          <w:szCs w:val="24"/>
          <w:vertAlign w:val="subscript"/>
        </w:rPr>
        <w:t xml:space="preserve">2.5 </w:t>
      </w:r>
      <w:r>
        <w:rPr>
          <w:rFonts w:cs="Times New Roman"/>
          <w:color w:val="000000"/>
          <w:kern w:val="0"/>
          <w:szCs w:val="24"/>
        </w:rPr>
        <w:t>attainment test details</w:t>
      </w:r>
    </w:p>
    <w:p>
      <w:pPr>
        <w:pStyle w:val="42"/>
        <w:numPr>
          <w:ilvl w:val="0"/>
          <w:numId w:val="2"/>
        </w:numPr>
        <w:ind w:firstLineChars="0"/>
        <w:rPr>
          <w:rFonts w:cs="Times New Roman"/>
          <w:color w:val="000000"/>
          <w:kern w:val="0"/>
          <w:szCs w:val="24"/>
        </w:rPr>
      </w:pPr>
      <w:r>
        <w:fldChar w:fldCharType="begin"/>
      </w:r>
      <w:r>
        <w:instrText xml:space="preserve"> HYPERLINK \l "_Ozone_Analysis" </w:instrText>
      </w:r>
      <w:r>
        <w:fldChar w:fldCharType="separate"/>
      </w:r>
      <w:r>
        <w:rPr>
          <w:rStyle w:val="34"/>
          <w:rFonts w:cs="Times New Roman"/>
          <w:kern w:val="0"/>
          <w:szCs w:val="24"/>
        </w:rPr>
        <w:t>Chapter 8</w:t>
      </w:r>
      <w:r>
        <w:rPr>
          <w:rStyle w:val="34"/>
          <w:rFonts w:cs="Times New Roman"/>
          <w:kern w:val="0"/>
          <w:szCs w:val="24"/>
        </w:rPr>
        <w:fldChar w:fldCharType="end"/>
      </w:r>
      <w:r>
        <w:rPr>
          <w:rFonts w:cs="Times New Roman"/>
          <w:color w:val="000000"/>
          <w:kern w:val="0"/>
          <w:szCs w:val="24"/>
        </w:rPr>
        <w:t xml:space="preserve">.   </w:t>
      </w:r>
      <w:r>
        <w:rPr>
          <w:rFonts w:hint="eastAsia" w:cs="Times New Roman"/>
          <w:color w:val="000000"/>
          <w:kern w:val="0"/>
          <w:szCs w:val="24"/>
        </w:rPr>
        <w:t>ozone</w:t>
      </w:r>
      <w:r>
        <w:rPr>
          <w:rFonts w:cs="Times New Roman"/>
          <w:color w:val="000000"/>
          <w:kern w:val="0"/>
          <w:szCs w:val="24"/>
        </w:rPr>
        <w:t xml:space="preserve"> attainment test details</w:t>
      </w:r>
    </w:p>
    <w:p>
      <w:pPr>
        <w:pStyle w:val="42"/>
        <w:numPr>
          <w:ilvl w:val="0"/>
          <w:numId w:val="2"/>
        </w:numPr>
        <w:ind w:firstLineChars="0"/>
        <w:rPr>
          <w:rFonts w:cs="Times New Roman"/>
          <w:color w:val="000000"/>
          <w:kern w:val="0"/>
          <w:szCs w:val="24"/>
        </w:rPr>
      </w:pPr>
      <w:r>
        <w:fldChar w:fldCharType="begin"/>
      </w:r>
      <w:r>
        <w:instrText xml:space="preserve"> HYPERLINK \l "_Visibility_Analysis" </w:instrText>
      </w:r>
      <w:r>
        <w:fldChar w:fldCharType="separate"/>
      </w:r>
      <w:r>
        <w:rPr>
          <w:rStyle w:val="34"/>
          <w:rFonts w:cs="Times New Roman"/>
          <w:kern w:val="0"/>
          <w:szCs w:val="24"/>
        </w:rPr>
        <w:t>Chapter 9</w:t>
      </w:r>
      <w:r>
        <w:rPr>
          <w:rStyle w:val="36"/>
          <w:rFonts w:cs="Times New Roman"/>
          <w:kern w:val="0"/>
          <w:szCs w:val="24"/>
        </w:rPr>
        <w:fldChar w:fldCharType="end"/>
      </w:r>
      <w:r>
        <w:rPr>
          <w:rFonts w:cs="Times New Roman"/>
          <w:color w:val="000000"/>
          <w:kern w:val="0"/>
          <w:szCs w:val="24"/>
        </w:rPr>
        <w:t>.   Uniform rate of progress analysis for regional haze details</w:t>
      </w:r>
    </w:p>
    <w:p>
      <w:pPr>
        <w:pStyle w:val="42"/>
        <w:numPr>
          <w:ilvl w:val="0"/>
          <w:numId w:val="2"/>
        </w:numPr>
        <w:ind w:firstLineChars="0"/>
        <w:rPr>
          <w:rFonts w:cs="Times New Roman"/>
          <w:color w:val="000000"/>
          <w:kern w:val="0"/>
          <w:szCs w:val="24"/>
        </w:rPr>
      </w:pPr>
      <w:r>
        <w:fldChar w:fldCharType="begin"/>
      </w:r>
      <w:r>
        <w:instrText xml:space="preserve"> HYPERLINK \l "_The_SMAT-CE_Data_1" </w:instrText>
      </w:r>
      <w:r>
        <w:fldChar w:fldCharType="separate"/>
      </w:r>
      <w:r>
        <w:rPr>
          <w:rStyle w:val="34"/>
          <w:rFonts w:cs="Times New Roman"/>
          <w:kern w:val="0"/>
          <w:szCs w:val="24"/>
        </w:rPr>
        <w:t>Chapter 10</w:t>
      </w:r>
      <w:r>
        <w:rPr>
          <w:rStyle w:val="36"/>
          <w:rFonts w:cs="Times New Roman"/>
          <w:kern w:val="0"/>
          <w:szCs w:val="24"/>
        </w:rPr>
        <w:fldChar w:fldCharType="end"/>
      </w:r>
      <w:r>
        <w:rPr>
          <w:rFonts w:cs="Times New Roman"/>
          <w:color w:val="000000"/>
          <w:kern w:val="0"/>
          <w:szCs w:val="24"/>
        </w:rPr>
        <w:t>.  Using the SMAT-CE Data Viewer for analyzing results</w:t>
      </w:r>
    </w:p>
    <w:p>
      <w:pPr>
        <w:pStyle w:val="42"/>
        <w:numPr>
          <w:ilvl w:val="0"/>
          <w:numId w:val="2"/>
        </w:numPr>
        <w:ind w:firstLineChars="0"/>
        <w:rPr>
          <w:rFonts w:cs="Times New Roman"/>
          <w:color w:val="000000"/>
          <w:kern w:val="0"/>
          <w:szCs w:val="24"/>
        </w:rPr>
        <w:sectPr>
          <w:headerReference r:id="rId11" w:type="default"/>
          <w:footerReference r:id="rId12" w:type="default"/>
          <w:pgSz w:w="11906" w:h="16838"/>
          <w:pgMar w:top="1440" w:right="1800" w:bottom="1440" w:left="1800" w:header="851" w:footer="992" w:gutter="0"/>
          <w:pgNumType w:start="1"/>
          <w:cols w:space="425" w:num="1"/>
          <w:docGrid w:type="lines" w:linePitch="312" w:charSpace="0"/>
        </w:sectPr>
      </w:pPr>
      <w:r>
        <w:fldChar w:fldCharType="begin"/>
      </w:r>
      <w:r>
        <w:instrText xml:space="preserve"> HYPERLINK \l "_Getting_Help_1" </w:instrText>
      </w:r>
      <w:r>
        <w:fldChar w:fldCharType="separate"/>
      </w:r>
      <w:r>
        <w:rPr>
          <w:rStyle w:val="34"/>
          <w:rFonts w:cs="Times New Roman"/>
          <w:kern w:val="0"/>
          <w:szCs w:val="24"/>
        </w:rPr>
        <w:t>Chapter 11</w:t>
      </w:r>
      <w:r>
        <w:rPr>
          <w:rStyle w:val="36"/>
          <w:rFonts w:cs="Times New Roman"/>
          <w:kern w:val="0"/>
          <w:szCs w:val="24"/>
        </w:rPr>
        <w:fldChar w:fldCharType="end"/>
      </w:r>
      <w:r>
        <w:rPr>
          <w:rFonts w:cs="Times New Roman"/>
          <w:color w:val="000000"/>
          <w:kern w:val="0"/>
          <w:szCs w:val="24"/>
        </w:rPr>
        <w:t>.  Where to get help for using SMAT-CE</w:t>
      </w:r>
    </w:p>
    <w:p>
      <w:pPr>
        <w:pStyle w:val="2"/>
      </w:pPr>
      <w:bookmarkStart w:id="10" w:name="_Quick_Start"/>
      <w:bookmarkEnd w:id="10"/>
      <w:bookmarkStart w:id="11" w:name="_Toc474488607"/>
      <w:bookmarkStart w:id="12" w:name="_Toc476654818"/>
      <w:bookmarkStart w:id="13" w:name="_Toc476653917"/>
      <w:bookmarkStart w:id="14" w:name="_Toc31858"/>
      <w:bookmarkStart w:id="15" w:name="_Toc119010852"/>
      <w:bookmarkStart w:id="16" w:name="_Toc476654440"/>
      <w:r>
        <w:t>Quick Star</w:t>
      </w:r>
      <w:bookmarkEnd w:id="11"/>
      <w:r>
        <w:t>t</w:t>
      </w:r>
      <w:bookmarkEnd w:id="12"/>
      <w:bookmarkEnd w:id="13"/>
      <w:bookmarkEnd w:id="14"/>
      <w:bookmarkEnd w:id="15"/>
      <w:bookmarkEnd w:id="16"/>
    </w:p>
    <w:p>
      <w:r>
        <w:t xml:space="preserve">This chapter provides the steps required to install SMAT-CE and run it for various analyses. The Quick Start will use a pre-loaded Community Multiscale Air Quality (CMAQ) model tutorial data set to demonstrate how to run each of the SMAT-CE analysis modules. These steps will use the default SMAT-CE settings and do not describe the configuration settings for each analysis. For details of the configuration settings for the individual SMET-CE modules, refer to the User’s Guide chapter for each module. </w:t>
      </w:r>
    </w:p>
    <w:p>
      <w:pPr>
        <w:pStyle w:val="3"/>
      </w:pPr>
      <w:bookmarkStart w:id="17" w:name="_Toc31186"/>
      <w:bookmarkStart w:id="18" w:name="_Toc476654819"/>
      <w:bookmarkStart w:id="19" w:name="_Toc476654441"/>
      <w:bookmarkStart w:id="20" w:name="_Toc119010853"/>
      <w:bookmarkStart w:id="21" w:name="_Toc476653918"/>
      <w:r>
        <w:t>Install Software</w:t>
      </w:r>
      <w:bookmarkEnd w:id="17"/>
      <w:bookmarkEnd w:id="18"/>
      <w:bookmarkEnd w:id="19"/>
      <w:bookmarkEnd w:id="20"/>
      <w:bookmarkEnd w:id="21"/>
    </w:p>
    <w:p>
      <w:r>
        <w:t xml:space="preserve">Details: </w:t>
      </w:r>
      <w:r>
        <w:fldChar w:fldCharType="begin"/>
      </w:r>
      <w:r>
        <w:instrText xml:space="preserve"> HYPERLINK \l "_SMAT-CE_Installation_1" </w:instrText>
      </w:r>
      <w:r>
        <w:fldChar w:fldCharType="separate"/>
      </w:r>
      <w:r>
        <w:rPr>
          <w:rStyle w:val="34"/>
        </w:rPr>
        <w:t>User’s Guide Chapter 3</w:t>
      </w:r>
      <w:r>
        <w:rPr>
          <w:rStyle w:val="36"/>
        </w:rPr>
        <w:fldChar w:fldCharType="end"/>
      </w:r>
    </w:p>
    <w:p>
      <w:pPr>
        <w:pStyle w:val="42"/>
        <w:numPr>
          <w:ilvl w:val="0"/>
          <w:numId w:val="3"/>
        </w:numPr>
        <w:ind w:left="0" w:firstLine="0" w:firstLineChars="0"/>
      </w:pPr>
      <w:r>
        <w:t xml:space="preserve">Download the SMAT-CE Windows Setup.exe file from the </w:t>
      </w:r>
      <w:r>
        <w:rPr>
          <w:rFonts w:hint="eastAsia"/>
        </w:rPr>
        <w:t>ABaCAS</w:t>
      </w:r>
      <w:r>
        <w:t xml:space="preserve"> website (</w:t>
      </w:r>
      <w:r>
        <w:fldChar w:fldCharType="begin"/>
      </w:r>
      <w:r>
        <w:instrText xml:space="preserve"> HYPERLINK "http://abacas.see.scut.edu.cn/tools/" </w:instrText>
      </w:r>
      <w:r>
        <w:fldChar w:fldCharType="separate"/>
      </w:r>
      <w:r>
        <w:rPr>
          <w:rStyle w:val="36"/>
          <w:rFonts w:hint="eastAsia"/>
        </w:rPr>
        <w:t>http://abacas.see.scut.edu.cn/tools/</w:t>
      </w:r>
      <w:r>
        <w:rPr>
          <w:rStyle w:val="36"/>
          <w:rFonts w:hint="eastAsia"/>
        </w:rPr>
        <w:fldChar w:fldCharType="end"/>
      </w:r>
      <w:r>
        <w:t xml:space="preserve">). SMAT-CE runs on 32-bit and 64-bit Windows Operating Systems. </w:t>
      </w:r>
    </w:p>
    <w:p>
      <w:pPr>
        <w:pStyle w:val="42"/>
        <w:numPr>
          <w:ilvl w:val="0"/>
          <w:numId w:val="3"/>
        </w:numPr>
        <w:ind w:firstLineChars="0"/>
      </w:pPr>
      <w:r>
        <w:t>Uninstall all previous versions of SMAT-CE.</w:t>
      </w:r>
    </w:p>
    <w:p>
      <w:pPr>
        <w:pStyle w:val="42"/>
        <w:numPr>
          <w:ilvl w:val="0"/>
          <w:numId w:val="3"/>
        </w:numPr>
        <w:ind w:firstLineChars="0"/>
      </w:pPr>
      <w:r>
        <w:t>Install SMAT-CE by double-clicking the Setup.exe file. Follow the instructions to install the program to the default location on your computer.</w:t>
      </w:r>
    </w:p>
    <w:p>
      <w:pPr>
        <w:pStyle w:val="3"/>
      </w:pPr>
      <w:bookmarkStart w:id="22" w:name="_Toc476653919"/>
      <w:bookmarkStart w:id="23" w:name="_Toc119010854"/>
      <w:bookmarkStart w:id="24" w:name="_Toc476654820"/>
      <w:bookmarkStart w:id="25" w:name="_Toc476654442"/>
      <w:bookmarkStart w:id="26" w:name="_Toc30377"/>
      <w:r>
        <w:t>Start SMAT-CE</w:t>
      </w:r>
      <w:bookmarkEnd w:id="22"/>
      <w:bookmarkEnd w:id="23"/>
      <w:bookmarkEnd w:id="24"/>
      <w:bookmarkEnd w:id="25"/>
      <w:bookmarkEnd w:id="26"/>
      <w:r>
        <w:t xml:space="preserve"> </w:t>
      </w:r>
    </w:p>
    <w:p>
      <w:r>
        <w:t xml:space="preserve">Details: </w:t>
      </w:r>
      <w:r>
        <w:fldChar w:fldCharType="begin"/>
      </w:r>
      <w:r>
        <w:instrText xml:space="preserve"> HYPERLINK \l "_SMAT-CE_Start_Page_1" </w:instrText>
      </w:r>
      <w:r>
        <w:fldChar w:fldCharType="separate"/>
      </w:r>
      <w:r>
        <w:rPr>
          <w:rStyle w:val="34"/>
        </w:rPr>
        <w:t>User’s Guide Chapter 4</w:t>
      </w:r>
      <w:r>
        <w:rPr>
          <w:rStyle w:val="36"/>
        </w:rPr>
        <w:fldChar w:fldCharType="end"/>
      </w:r>
    </w:p>
    <w:p>
      <w:pPr>
        <w:pStyle w:val="42"/>
        <w:numPr>
          <w:ilvl w:val="0"/>
          <w:numId w:val="4"/>
        </w:numPr>
        <w:ind w:firstLineChars="0"/>
        <w:rPr>
          <w:szCs w:val="24"/>
        </w:rPr>
      </w:pPr>
      <w:r>
        <w:rPr>
          <w:szCs w:val="24"/>
        </w:rPr>
        <w:t xml:space="preserve">Double-click the SMAT-CE desktop icon or SMAT-CE.exe file to start the program. </w:t>
      </w:r>
    </w:p>
    <w:p>
      <w:pPr>
        <w:pStyle w:val="42"/>
        <w:numPr>
          <w:ilvl w:val="0"/>
          <w:numId w:val="4"/>
        </w:numPr>
        <w:ind w:firstLineChars="0"/>
        <w:rPr>
          <w:szCs w:val="24"/>
        </w:rPr>
      </w:pPr>
      <w:r>
        <w:rPr>
          <w:szCs w:val="24"/>
        </w:rPr>
        <w:t xml:space="preserve">The SMAT-CE Start Page window will appear on your screen. There are five main modules available on the Start page: </w:t>
      </w:r>
      <w:r>
        <w:rPr>
          <w:b/>
          <w:bCs/>
          <w:szCs w:val="24"/>
        </w:rPr>
        <w:t>Process Data</w:t>
      </w:r>
      <w:r>
        <w:rPr>
          <w:szCs w:val="24"/>
        </w:rPr>
        <w:t xml:space="preserve">, </w:t>
      </w:r>
      <w:r>
        <w:rPr>
          <w:b/>
          <w:bCs/>
          <w:szCs w:val="24"/>
        </w:rPr>
        <w:t>Analyze/Visualize Data</w:t>
      </w:r>
      <w:r>
        <w:rPr>
          <w:szCs w:val="24"/>
        </w:rPr>
        <w:t>,</w:t>
      </w:r>
      <w:r>
        <w:rPr>
          <w:rFonts w:hint="eastAsia"/>
          <w:szCs w:val="24"/>
        </w:rPr>
        <w:t xml:space="preserve"> </w:t>
      </w:r>
      <w:r>
        <w:rPr>
          <w:b/>
          <w:bCs/>
          <w:szCs w:val="24"/>
        </w:rPr>
        <w:t>Single Source Impact Analysis</w:t>
      </w:r>
      <w:r>
        <w:rPr>
          <w:rFonts w:hint="eastAsia"/>
          <w:b/>
          <w:bCs/>
          <w:szCs w:val="24"/>
        </w:rPr>
        <w:t xml:space="preserve">, </w:t>
      </w:r>
      <w:r>
        <w:rPr>
          <w:b/>
          <w:bCs/>
          <w:szCs w:val="24"/>
        </w:rPr>
        <w:t>BenMAP Benefit Module,</w:t>
      </w:r>
      <w:r>
        <w:rPr>
          <w:szCs w:val="24"/>
        </w:rPr>
        <w:t xml:space="preserve"> and </w:t>
      </w:r>
      <w:r>
        <w:rPr>
          <w:b/>
          <w:bCs/>
          <w:szCs w:val="24"/>
        </w:rPr>
        <w:t>Support &amp; Help</w:t>
      </w:r>
      <w:r>
        <w:rPr>
          <w:szCs w:val="24"/>
        </w:rPr>
        <w:t>.</w:t>
      </w:r>
      <w:r>
        <w:rPr>
          <w:rFonts w:hint="eastAsia"/>
          <w:szCs w:val="24"/>
        </w:rPr>
        <w:t xml:space="preserve"> Note that the </w:t>
      </w:r>
      <w:r>
        <w:rPr>
          <w:b/>
          <w:bCs/>
          <w:szCs w:val="24"/>
        </w:rPr>
        <w:t>Single Source Impact Analysis</w:t>
      </w:r>
      <w:r>
        <w:rPr>
          <w:szCs w:val="24"/>
        </w:rPr>
        <w:t xml:space="preserve"> </w:t>
      </w:r>
      <w:r>
        <w:rPr>
          <w:rFonts w:hint="eastAsia"/>
          <w:szCs w:val="24"/>
        </w:rPr>
        <w:t>and</w:t>
      </w:r>
      <w:r>
        <w:rPr>
          <w:szCs w:val="24"/>
        </w:rPr>
        <w:t xml:space="preserve"> </w:t>
      </w:r>
      <w:r>
        <w:rPr>
          <w:b/>
          <w:bCs/>
          <w:szCs w:val="24"/>
        </w:rPr>
        <w:t>BenMAP Benefit Module</w:t>
      </w:r>
      <w:r>
        <w:rPr>
          <w:szCs w:val="24"/>
        </w:rPr>
        <w:t xml:space="preserve"> functions</w:t>
      </w:r>
      <w:r>
        <w:rPr>
          <w:rFonts w:hint="eastAsia"/>
          <w:szCs w:val="24"/>
        </w:rPr>
        <w:t xml:space="preserve"> </w:t>
      </w:r>
      <w:r>
        <w:rPr>
          <w:szCs w:val="24"/>
        </w:rPr>
        <w:t>are</w:t>
      </w:r>
      <w:r>
        <w:rPr>
          <w:rFonts w:hint="eastAsia"/>
          <w:szCs w:val="24"/>
        </w:rPr>
        <w:t xml:space="preserve"> </w:t>
      </w:r>
      <w:r>
        <w:rPr>
          <w:szCs w:val="24"/>
        </w:rPr>
        <w:t>hidden</w:t>
      </w:r>
      <w:r>
        <w:rPr>
          <w:rFonts w:hint="eastAsia"/>
          <w:szCs w:val="24"/>
        </w:rPr>
        <w:t xml:space="preserve"> by default. </w:t>
      </w:r>
      <w:r>
        <w:rPr>
          <w:szCs w:val="24"/>
        </w:rPr>
        <w:t>Users</w:t>
      </w:r>
      <w:r>
        <w:rPr>
          <w:rFonts w:hint="eastAsia"/>
          <w:szCs w:val="24"/>
        </w:rPr>
        <w:t xml:space="preserve"> </w:t>
      </w:r>
      <w:r>
        <w:rPr>
          <w:szCs w:val="24"/>
        </w:rPr>
        <w:t xml:space="preserve">are allowed to enable these two modules </w:t>
      </w:r>
      <w:r>
        <w:rPr>
          <w:rFonts w:hint="eastAsia"/>
          <w:szCs w:val="24"/>
        </w:rPr>
        <w:t xml:space="preserve">from </w:t>
      </w:r>
      <w:r>
        <w:rPr>
          <w:szCs w:val="24"/>
        </w:rPr>
        <w:t>‘</w:t>
      </w:r>
      <w:r>
        <w:rPr>
          <w:rFonts w:hint="eastAsia"/>
          <w:szCs w:val="24"/>
        </w:rPr>
        <w:t>Options</w:t>
      </w:r>
      <w:r>
        <w:rPr>
          <w:szCs w:val="24"/>
        </w:rPr>
        <w:t>’</w:t>
      </w:r>
      <w:r>
        <w:rPr>
          <w:rFonts w:hint="eastAsia"/>
          <w:szCs w:val="24"/>
        </w:rPr>
        <w:t xml:space="preserve"> </w:t>
      </w:r>
      <w:r>
        <w:rPr>
          <w:szCs w:val="24"/>
        </w:rPr>
        <w:t>under</w:t>
      </w:r>
      <w:r>
        <w:rPr>
          <w:rFonts w:hint="eastAsia"/>
          <w:szCs w:val="24"/>
        </w:rPr>
        <w:t xml:space="preserve"> the </w:t>
      </w:r>
      <w:r>
        <w:rPr>
          <w:szCs w:val="24"/>
        </w:rPr>
        <w:t>‘</w:t>
      </w:r>
      <w:r>
        <w:rPr>
          <w:rFonts w:hint="eastAsia"/>
          <w:szCs w:val="24"/>
        </w:rPr>
        <w:t>File</w:t>
      </w:r>
      <w:r>
        <w:rPr>
          <w:szCs w:val="24"/>
        </w:rPr>
        <w:t>’</w:t>
      </w:r>
      <w:r>
        <w:rPr>
          <w:rFonts w:hint="eastAsia"/>
          <w:szCs w:val="24"/>
        </w:rPr>
        <w:t xml:space="preserve"> drop-down list on the main screen</w:t>
      </w:r>
      <w:r>
        <w:rPr>
          <w:rStyle w:val="37"/>
          <w:rFonts w:hint="eastAsia"/>
        </w:rPr>
        <w:t>.</w:t>
      </w:r>
    </w:p>
    <w:p>
      <w:pPr>
        <w:pStyle w:val="42"/>
        <w:numPr>
          <w:ilvl w:val="0"/>
          <w:numId w:val="4"/>
        </w:numPr>
        <w:ind w:firstLineChars="0"/>
        <w:rPr>
          <w:szCs w:val="24"/>
        </w:rPr>
      </w:pPr>
      <w:r>
        <w:rPr>
          <w:szCs w:val="24"/>
        </w:rPr>
        <w:t xml:space="preserve">The </w:t>
      </w:r>
      <w:r>
        <w:rPr>
          <w:b/>
          <w:bCs/>
          <w:szCs w:val="24"/>
        </w:rPr>
        <w:t>Process Data</w:t>
      </w:r>
      <w:r>
        <w:rPr>
          <w:szCs w:val="24"/>
        </w:rPr>
        <w:t xml:space="preserve"> module is on the left-hand panel of the SMAT-CE Start Page. This module allows users to either load a previous project or start a new model attainment test for annual PM</w:t>
      </w:r>
      <w:r>
        <w:rPr>
          <w:szCs w:val="24"/>
          <w:vertAlign w:val="subscript"/>
        </w:rPr>
        <w:t>2.5</w:t>
      </w:r>
      <w:r>
        <w:rPr>
          <w:szCs w:val="24"/>
        </w:rPr>
        <w:t>, daily PM</w:t>
      </w:r>
      <w:r>
        <w:rPr>
          <w:szCs w:val="24"/>
          <w:vertAlign w:val="subscript"/>
        </w:rPr>
        <w:t>2.5</w:t>
      </w:r>
      <w:r>
        <w:rPr>
          <w:szCs w:val="24"/>
        </w:rPr>
        <w:t>, ozone, or visibility.</w:t>
      </w:r>
    </w:p>
    <w:p>
      <w:pPr>
        <w:pStyle w:val="42"/>
        <w:numPr>
          <w:ilvl w:val="0"/>
          <w:numId w:val="4"/>
        </w:numPr>
        <w:ind w:firstLineChars="0"/>
        <w:rPr>
          <w:szCs w:val="24"/>
        </w:rPr>
      </w:pPr>
      <w:r>
        <w:rPr>
          <w:szCs w:val="24"/>
        </w:rPr>
        <w:t xml:space="preserve">The </w:t>
      </w:r>
      <w:r>
        <w:rPr>
          <w:b/>
          <w:bCs/>
          <w:szCs w:val="24"/>
        </w:rPr>
        <w:t>Data Viewer</w:t>
      </w:r>
      <w:r>
        <w:rPr>
          <w:bCs/>
          <w:szCs w:val="24"/>
        </w:rPr>
        <w:t xml:space="preserve"> is available through the </w:t>
      </w:r>
      <w:r>
        <w:rPr>
          <w:b/>
          <w:bCs/>
          <w:szCs w:val="24"/>
        </w:rPr>
        <w:t>Analyze/Visualize Data</w:t>
      </w:r>
      <w:r>
        <w:rPr>
          <w:bCs/>
          <w:szCs w:val="24"/>
        </w:rPr>
        <w:t xml:space="preserve"> module</w:t>
      </w:r>
      <w:r>
        <w:rPr>
          <w:szCs w:val="24"/>
        </w:rPr>
        <w:t xml:space="preserve"> on the lower left section of the SMAT-CE Start Page. The </w:t>
      </w:r>
      <w:r>
        <w:rPr>
          <w:b/>
          <w:szCs w:val="24"/>
        </w:rPr>
        <w:t>Data Viewer</w:t>
      </w:r>
      <w:r>
        <w:rPr>
          <w:szCs w:val="24"/>
        </w:rPr>
        <w:t xml:space="preserve"> allows users to load results files (i.e., *.proj files) from completed SMAT-CE analyses and view these data in maps, tables, and charts; or export the data.</w:t>
      </w:r>
    </w:p>
    <w:p>
      <w:pPr>
        <w:pStyle w:val="42"/>
        <w:numPr>
          <w:ilvl w:val="0"/>
          <w:numId w:val="4"/>
        </w:numPr>
        <w:ind w:firstLineChars="0"/>
        <w:rPr>
          <w:szCs w:val="24"/>
        </w:rPr>
      </w:pPr>
      <w:r>
        <w:rPr>
          <w:szCs w:val="24"/>
        </w:rPr>
        <w:t xml:space="preserve">The </w:t>
      </w:r>
      <w:r>
        <w:rPr>
          <w:b/>
          <w:szCs w:val="24"/>
        </w:rPr>
        <w:t>Single Source Impact Analysis</w:t>
      </w:r>
      <w:r>
        <w:rPr>
          <w:szCs w:val="24"/>
        </w:rPr>
        <w:t xml:space="preserve"> is on the top of the right-hand panel of the SMAT-CE Start Page. This module is used to conduct single source PM</w:t>
      </w:r>
      <w:r>
        <w:rPr>
          <w:szCs w:val="24"/>
          <w:vertAlign w:val="subscript"/>
        </w:rPr>
        <w:t>2.5</w:t>
      </w:r>
      <w:r>
        <w:rPr>
          <w:szCs w:val="24"/>
        </w:rPr>
        <w:t xml:space="preserve"> and </w:t>
      </w:r>
      <w:r>
        <w:rPr>
          <w:rFonts w:hint="eastAsia"/>
          <w:szCs w:val="24"/>
        </w:rPr>
        <w:t>ozone</w:t>
      </w:r>
      <w:r>
        <w:rPr>
          <w:szCs w:val="24"/>
        </w:rPr>
        <w:t xml:space="preserve"> air quality impact analyses using output from gridded, dispersion, or fused model data. </w:t>
      </w:r>
    </w:p>
    <w:p>
      <w:pPr>
        <w:pStyle w:val="42"/>
        <w:numPr>
          <w:ilvl w:val="0"/>
          <w:numId w:val="4"/>
        </w:numPr>
        <w:ind w:firstLineChars="0"/>
        <w:rPr>
          <w:szCs w:val="24"/>
        </w:rPr>
      </w:pPr>
      <w:r>
        <w:rPr>
          <w:szCs w:val="24"/>
        </w:rPr>
        <w:t xml:space="preserve">The </w:t>
      </w:r>
      <w:r>
        <w:rPr>
          <w:b/>
          <w:szCs w:val="24"/>
        </w:rPr>
        <w:t>BenMAP Benefit Module</w:t>
      </w:r>
      <w:r>
        <w:rPr>
          <w:szCs w:val="24"/>
        </w:rPr>
        <w:t xml:space="preserve"> is on the middle of the right-hand panel of the SMAT-CE Start Page. This module is used to estimate the health and economic benefits that result from changes in modeled concentrations of PM</w:t>
      </w:r>
      <w:r>
        <w:rPr>
          <w:szCs w:val="24"/>
          <w:vertAlign w:val="subscript"/>
        </w:rPr>
        <w:t>2.5</w:t>
      </w:r>
      <w:r>
        <w:rPr>
          <w:szCs w:val="24"/>
        </w:rPr>
        <w:t xml:space="preserve"> and </w:t>
      </w:r>
      <w:r>
        <w:rPr>
          <w:rFonts w:hint="eastAsia"/>
          <w:szCs w:val="24"/>
        </w:rPr>
        <w:t>ozone</w:t>
      </w:r>
      <w:r>
        <w:rPr>
          <w:szCs w:val="24"/>
        </w:rPr>
        <w:t xml:space="preserve">. </w:t>
      </w:r>
    </w:p>
    <w:p>
      <w:pPr>
        <w:pStyle w:val="42"/>
        <w:numPr>
          <w:ilvl w:val="0"/>
          <w:numId w:val="4"/>
        </w:numPr>
        <w:ind w:firstLineChars="0"/>
        <w:rPr>
          <w:szCs w:val="24"/>
        </w:rPr>
      </w:pPr>
      <w:r>
        <w:rPr>
          <w:szCs w:val="24"/>
        </w:rPr>
        <w:t xml:space="preserve">The </w:t>
      </w:r>
      <w:r>
        <w:rPr>
          <w:b/>
          <w:szCs w:val="24"/>
        </w:rPr>
        <w:t>Support &amp; Help</w:t>
      </w:r>
      <w:r>
        <w:rPr>
          <w:szCs w:val="24"/>
        </w:rPr>
        <w:t xml:space="preserve"> links to this User’s Guide and the </w:t>
      </w:r>
      <w:r>
        <w:rPr>
          <w:b/>
          <w:szCs w:val="24"/>
        </w:rPr>
        <w:t>About</w:t>
      </w:r>
      <w:r>
        <w:rPr>
          <w:szCs w:val="24"/>
        </w:rPr>
        <w:t xml:space="preserve"> button displays information about the current version of the software. </w:t>
      </w:r>
    </w:p>
    <w:p>
      <w:pPr>
        <w:pStyle w:val="3"/>
      </w:pPr>
      <w:bookmarkStart w:id="27" w:name="_Toc119010855"/>
      <w:bookmarkStart w:id="28" w:name="_Toc476654821"/>
      <w:bookmarkStart w:id="29" w:name="_Toc302"/>
      <w:bookmarkStart w:id="30" w:name="_Toc476653920"/>
      <w:bookmarkStart w:id="31" w:name="_Toc476654443"/>
      <w:r>
        <w:t>Load a Previous Project</w:t>
      </w:r>
      <w:bookmarkEnd w:id="27"/>
      <w:bookmarkEnd w:id="28"/>
      <w:bookmarkEnd w:id="29"/>
      <w:bookmarkEnd w:id="30"/>
      <w:bookmarkEnd w:id="31"/>
    </w:p>
    <w:p>
      <w:r>
        <w:t xml:space="preserve">Details: </w:t>
      </w:r>
      <w:r>
        <w:fldChar w:fldCharType="begin"/>
      </w:r>
      <w:r>
        <w:instrText xml:space="preserve"> HYPERLINK \l "_Running_SMAT-CE_1" </w:instrText>
      </w:r>
      <w:r>
        <w:fldChar w:fldCharType="separate"/>
      </w:r>
      <w:r>
        <w:rPr>
          <w:rStyle w:val="34"/>
        </w:rPr>
        <w:t>Chapter 5</w:t>
      </w:r>
      <w:r>
        <w:rPr>
          <w:rStyle w:val="36"/>
        </w:rPr>
        <w:fldChar w:fldCharType="end"/>
      </w:r>
    </w:p>
    <w:p>
      <w:pPr>
        <w:pStyle w:val="42"/>
        <w:numPr>
          <w:ilvl w:val="0"/>
          <w:numId w:val="5"/>
        </w:numPr>
        <w:ind w:firstLineChars="0"/>
      </w:pPr>
      <w:r>
        <w:t xml:space="preserve">Click </w:t>
      </w:r>
      <w:r>
        <w:rPr>
          <w:b/>
        </w:rPr>
        <w:t>Load a Previous Project</w:t>
      </w:r>
      <w:r>
        <w:t xml:space="preserve"> on the SMAT-CE Start Page to launch a Windows Explorer window. Use this window to navigate to the directory where SMAT-CE project (*.proj) files are saved to load a previous project.</w:t>
      </w:r>
    </w:p>
    <w:p>
      <w:pPr>
        <w:pStyle w:val="3"/>
      </w:pPr>
      <w:bookmarkStart w:id="32" w:name="_Toc476654444"/>
      <w:bookmarkStart w:id="33" w:name="_Toc32433"/>
      <w:bookmarkStart w:id="34" w:name="_Toc476653921"/>
      <w:bookmarkStart w:id="35" w:name="_Toc476654822"/>
      <w:bookmarkStart w:id="36" w:name="_Toc119010856"/>
      <w:r>
        <w:t>Annual PM Analysis Quick Start</w:t>
      </w:r>
      <w:bookmarkEnd w:id="32"/>
      <w:bookmarkEnd w:id="33"/>
      <w:bookmarkEnd w:id="34"/>
      <w:bookmarkEnd w:id="35"/>
      <w:bookmarkEnd w:id="36"/>
    </w:p>
    <w:p>
      <w:pPr>
        <w:rPr>
          <w:rStyle w:val="34"/>
        </w:rPr>
      </w:pPr>
      <w:r>
        <w:t xml:space="preserve">Details: </w:t>
      </w:r>
      <w:r>
        <w:fldChar w:fldCharType="begin"/>
      </w:r>
      <w:r>
        <w:instrText xml:space="preserve"> HYPERLINK  \l "_Annual_PM_Analysis_1" </w:instrText>
      </w:r>
      <w:r>
        <w:fldChar w:fldCharType="separate"/>
      </w:r>
      <w:r>
        <w:rPr>
          <w:rStyle w:val="34"/>
        </w:rPr>
        <w:t>Chapter 6</w:t>
      </w:r>
    </w:p>
    <w:p>
      <w:pPr>
        <w:rPr>
          <w:lang w:eastAsia="en-US"/>
        </w:rPr>
      </w:pPr>
      <w:r>
        <w:fldChar w:fldCharType="end"/>
      </w:r>
      <w:r>
        <w:rPr>
          <w:lang w:eastAsia="en-US"/>
        </w:rPr>
        <w:t>The steps below describe how to use SMAT-CE to compute monitor RRFs and design values for the NAAQS annual PM</w:t>
      </w:r>
      <w:r>
        <w:rPr>
          <w:vertAlign w:val="subscript"/>
          <w:lang w:eastAsia="en-US"/>
        </w:rPr>
        <w:t xml:space="preserve">2.5 </w:t>
      </w:r>
      <w:r>
        <w:rPr>
          <w:lang w:eastAsia="en-US"/>
        </w:rPr>
        <w:t xml:space="preserve">standard. </w:t>
      </w:r>
    </w:p>
    <w:p>
      <w:pPr>
        <w:ind w:left="840" w:hanging="840"/>
      </w:pPr>
      <w:r>
        <w:rPr>
          <w:b/>
          <w:u w:val="single"/>
        </w:rPr>
        <w:t>Step 1.</w:t>
      </w:r>
      <w:r>
        <w:t xml:space="preserve"> </w:t>
      </w:r>
      <w:r>
        <w:tab/>
      </w:r>
      <w:r>
        <w:t xml:space="preserve">Click </w:t>
      </w:r>
      <w:r>
        <w:rPr>
          <w:b/>
        </w:rPr>
        <w:t>Annual PM Analysis</w:t>
      </w:r>
      <w:r>
        <w:t xml:space="preserve"> on the SMAT-CE Start Page to launch the Annual PM Analysis module window.</w:t>
      </w:r>
    </w:p>
    <w:p>
      <w:pPr>
        <w:ind w:left="840" w:hanging="840"/>
      </w:pPr>
      <w:r>
        <w:rPr>
          <w:b/>
          <w:u w:val="single"/>
        </w:rPr>
        <w:t>Step 2.</w:t>
      </w:r>
      <w:r>
        <w:tab/>
      </w:r>
      <w:r>
        <w:t xml:space="preserve">The </w:t>
      </w:r>
      <w:r>
        <w:rPr>
          <w:b/>
        </w:rPr>
        <w:t>Choose Desired Output</w:t>
      </w:r>
      <w:r>
        <w:t xml:space="preserve"> window displays first. This window sets the output that SMAT-CE will generate for the Annual PM Analysis. SMAT-CE can conduct a Standard Analysis (i.e., forecast point </w:t>
      </w:r>
      <w:r>
        <w:rPr>
          <w:lang w:eastAsia="en-US"/>
        </w:rPr>
        <w:t>estimates at ambient monitors), output quarterly model data, and output a species fractions file.</w:t>
      </w:r>
    </w:p>
    <w:p>
      <w:pPr>
        <w:pStyle w:val="42"/>
        <w:numPr>
          <w:ilvl w:val="1"/>
          <w:numId w:val="5"/>
        </w:numPr>
        <w:ind w:firstLineChars="0"/>
      </w:pPr>
      <w:r>
        <w:t xml:space="preserve">Click on the </w:t>
      </w:r>
      <w:r>
        <w:rPr>
          <w:b/>
          <w:color w:val="0432FF"/>
          <w:u w:val="single"/>
        </w:rPr>
        <w:t>Choose Desired Output</w:t>
      </w:r>
      <w:r>
        <w:rPr>
          <w:color w:val="1F497D" w:themeColor="text2"/>
          <w14:textFill>
            <w14:solidFill>
              <w14:schemeClr w14:val="tx2"/>
            </w14:solidFill>
          </w14:textFill>
        </w:rPr>
        <w:t xml:space="preserve"> </w:t>
      </w:r>
      <w:r>
        <w:t>hyperlink to display an electronic version of the User’s Manual for this window.</w:t>
      </w:r>
    </w:p>
    <w:p>
      <w:pPr>
        <w:pStyle w:val="42"/>
        <w:numPr>
          <w:ilvl w:val="1"/>
          <w:numId w:val="5"/>
        </w:numPr>
        <w:ind w:firstLineChars="0"/>
      </w:pPr>
      <w:r>
        <w:t xml:space="preserve">Type a </w:t>
      </w:r>
      <w:r>
        <w:rPr>
          <w:b/>
        </w:rPr>
        <w:t>Project Name</w:t>
      </w:r>
      <w:r>
        <w:t xml:space="preserve"> in the dialog box. For example, type “Annual_PM_Tutorial” in the Project Name box.</w:t>
      </w:r>
    </w:p>
    <w:p>
      <w:pPr>
        <w:pStyle w:val="42"/>
        <w:numPr>
          <w:ilvl w:val="1"/>
          <w:numId w:val="5"/>
        </w:numPr>
        <w:ind w:firstLineChars="0"/>
      </w:pPr>
      <w:r>
        <w:rPr>
          <w:b/>
          <w:lang w:eastAsia="en-US"/>
        </w:rPr>
        <w:t>Standard Analysis:</w:t>
      </w:r>
      <w:r>
        <w:rPr>
          <w:lang w:eastAsia="en-US"/>
        </w:rPr>
        <w:t xml:space="preserve"> Leave the box checked next to "Interpolate monitor data to FRM monitor sites. Temporally-adjust." SMAT-CE will create forecasts for each monitor in the monitor file.</w:t>
      </w:r>
    </w:p>
    <w:p>
      <w:pPr>
        <w:pStyle w:val="42"/>
        <w:numPr>
          <w:ilvl w:val="1"/>
          <w:numId w:val="5"/>
        </w:numPr>
        <w:ind w:firstLineChars="0"/>
        <w:rPr>
          <w:lang w:eastAsia="en-US"/>
        </w:rPr>
      </w:pPr>
      <w:r>
        <w:rPr>
          <w:b/>
          <w:lang w:eastAsia="en-US"/>
        </w:rPr>
        <w:t>Quarterly Model Data</w:t>
      </w:r>
      <w:r>
        <w:rPr>
          <w:lang w:eastAsia="en-US"/>
        </w:rPr>
        <w:t xml:space="preserve">: Uncheck these options. (If checked, SMAT-CE generates quarterly model files from daily input data). SMAT-CE will run faster if it can skip the step of creating quarterly data from daily data. </w:t>
      </w:r>
    </w:p>
    <w:p>
      <w:pPr>
        <w:pStyle w:val="42"/>
        <w:numPr>
          <w:ilvl w:val="1"/>
          <w:numId w:val="5"/>
        </w:numPr>
        <w:ind w:firstLineChars="0"/>
        <w:rPr>
          <w:lang w:eastAsia="en-US"/>
        </w:rPr>
      </w:pPr>
      <w:r>
        <w:rPr>
          <w:b/>
          <w:lang w:eastAsia="en-US"/>
        </w:rPr>
        <w:t>Species Fraction</w:t>
      </w:r>
      <w:r>
        <w:rPr>
          <w:lang w:eastAsia="en-US"/>
        </w:rPr>
        <w:t xml:space="preserve">: Check the box next to the Output species fractions file. </w:t>
      </w:r>
    </w:p>
    <w:p>
      <w:pPr>
        <w:pStyle w:val="42"/>
        <w:numPr>
          <w:ilvl w:val="1"/>
          <w:numId w:val="5"/>
        </w:numPr>
        <w:ind w:firstLineChars="0"/>
        <w:rPr>
          <w:lang w:eastAsia="en-US"/>
        </w:rPr>
      </w:pPr>
      <w:r>
        <w:rPr>
          <w:b/>
          <w:lang w:eastAsia="en-US"/>
        </w:rPr>
        <w:t>Actions on run completion</w:t>
      </w:r>
      <w:r>
        <w:rPr>
          <w:lang w:eastAsia="en-US"/>
        </w:rPr>
        <w:t>: Check the box next to “Automatically Extract All Selected Output Files”. Upon completing its calculations, SMAT-CE will extract the results into a folder with the name of your scenario.</w:t>
      </w:r>
    </w:p>
    <w:p>
      <w:pPr>
        <w:pStyle w:val="42"/>
        <w:numPr>
          <w:ilvl w:val="1"/>
          <w:numId w:val="5"/>
        </w:numPr>
        <w:ind w:firstLineChars="0"/>
        <w:rPr>
          <w:lang w:eastAsia="en-US"/>
        </w:rPr>
      </w:pPr>
      <w:r>
        <w:rPr>
          <w:lang w:eastAsia="en-US"/>
        </w:rPr>
        <w:t xml:space="preserve">Click the </w:t>
      </w:r>
      <w:r>
        <w:rPr>
          <w:b/>
          <w:lang w:eastAsia="en-US"/>
        </w:rPr>
        <w:t>Next</w:t>
      </w:r>
      <w:r>
        <w:rPr>
          <w:lang w:eastAsia="en-US"/>
        </w:rPr>
        <w:t xml:space="preserve"> arrow at the bottom right of the Choose Desired Output window to proceed to the next step.</w:t>
      </w:r>
    </w:p>
    <w:p>
      <w:pPr>
        <w:ind w:left="840" w:hanging="840"/>
        <w:rPr>
          <w:lang w:eastAsia="en-US"/>
        </w:rPr>
      </w:pPr>
      <w:r>
        <w:rPr>
          <w:b/>
          <w:u w:val="single"/>
        </w:rPr>
        <w:t>Step 3.</w:t>
      </w:r>
      <w:r>
        <w:tab/>
      </w:r>
      <w:r>
        <w:t>With the advanced options in the</w:t>
      </w:r>
      <w:r>
        <w:rPr>
          <w:b/>
        </w:rPr>
        <w:t xml:space="preserve"> Output Choices - Advanced</w:t>
      </w:r>
      <w:r>
        <w:t xml:space="preserve"> window, you can generate</w:t>
      </w:r>
      <w:r>
        <w:rPr>
          <w:rFonts w:ascii="Helvetica" w:hAnsi="Helvetica"/>
          <w:kern w:val="0"/>
          <w:sz w:val="18"/>
          <w:szCs w:val="18"/>
          <w:lang w:eastAsia="en-US"/>
        </w:rPr>
        <w:t xml:space="preserve"> </w:t>
      </w:r>
      <w:r>
        <w:t>spatial fields and a variety of files useful for quality assurance. Simply review these</w:t>
      </w:r>
      <w:r>
        <w:rPr>
          <w:rFonts w:ascii="Helvetica" w:hAnsi="Helvetica"/>
          <w:kern w:val="0"/>
          <w:sz w:val="18"/>
          <w:szCs w:val="18"/>
          <w:lang w:eastAsia="en-US"/>
        </w:rPr>
        <w:t xml:space="preserve"> </w:t>
      </w:r>
      <w:r>
        <w:t>options and then uncheck them all.</w:t>
      </w:r>
    </w:p>
    <w:p>
      <w:pPr>
        <w:pStyle w:val="42"/>
        <w:numPr>
          <w:ilvl w:val="1"/>
          <w:numId w:val="5"/>
        </w:numPr>
        <w:ind w:firstLineChars="0"/>
      </w:pPr>
      <w:r>
        <w:t xml:space="preserve">Click on the </w:t>
      </w:r>
      <w:r>
        <w:rPr>
          <w:b/>
          <w:color w:val="0432FF"/>
          <w:u w:val="single"/>
        </w:rPr>
        <w:t>Output Choices-Advanced</w:t>
      </w:r>
      <w:r>
        <w:rPr>
          <w:color w:val="1F497D" w:themeColor="text2"/>
          <w14:textFill>
            <w14:solidFill>
              <w14:schemeClr w14:val="tx2"/>
            </w14:solidFill>
          </w14:textFill>
        </w:rPr>
        <w:t xml:space="preserve"> </w:t>
      </w:r>
      <w:r>
        <w:t>hyperlink to display an electronic version of the User’s Manual for this window.</w:t>
      </w:r>
    </w:p>
    <w:p>
      <w:pPr>
        <w:pStyle w:val="42"/>
        <w:numPr>
          <w:ilvl w:val="1"/>
          <w:numId w:val="5"/>
        </w:numPr>
        <w:ind w:firstLineChars="0"/>
        <w:rPr>
          <w:lang w:eastAsia="en-US"/>
        </w:rPr>
      </w:pPr>
      <w:r>
        <w:rPr>
          <w:lang w:eastAsia="en-US"/>
        </w:rPr>
        <w:t xml:space="preserve">Click the </w:t>
      </w:r>
      <w:r>
        <w:rPr>
          <w:b/>
          <w:lang w:eastAsia="en-US"/>
        </w:rPr>
        <w:t>Next</w:t>
      </w:r>
      <w:r>
        <w:rPr>
          <w:lang w:eastAsia="en-US"/>
        </w:rPr>
        <w:t xml:space="preserve"> arrow at the bottom right of the Output Choices-Advanced window to proceed to the next step.</w:t>
      </w:r>
    </w:p>
    <w:p>
      <w:pPr>
        <w:ind w:left="840" w:hanging="840"/>
        <w:rPr>
          <w:lang w:eastAsia="en-US"/>
        </w:rPr>
      </w:pPr>
      <w:r>
        <w:rPr>
          <w:b/>
          <w:u w:val="single"/>
          <w:lang w:eastAsia="en-US"/>
        </w:rPr>
        <w:t>Step 4.</w:t>
      </w:r>
      <w:r>
        <w:rPr>
          <w:lang w:eastAsia="en-US"/>
        </w:rPr>
        <w:tab/>
      </w:r>
      <w:r>
        <w:rPr>
          <w:lang w:eastAsia="en-US"/>
        </w:rPr>
        <w:t xml:space="preserve">The </w:t>
      </w:r>
      <w:r>
        <w:rPr>
          <w:b/>
          <w:lang w:eastAsia="en-US"/>
        </w:rPr>
        <w:t>Data Input</w:t>
      </w:r>
      <w:r>
        <w:rPr>
          <w:lang w:eastAsia="en-US"/>
        </w:rPr>
        <w:t xml:space="preserve"> window sets the species and PM</w:t>
      </w:r>
      <w:r>
        <w:rPr>
          <w:vertAlign w:val="subscript"/>
          <w:lang w:eastAsia="en-US"/>
        </w:rPr>
        <w:t xml:space="preserve">2.5 </w:t>
      </w:r>
      <w:r>
        <w:rPr>
          <w:lang w:eastAsia="en-US"/>
        </w:rPr>
        <w:t>monitor data and the model data to use for the PM attainment test. SMAT-CE calculates the ratio of the base and future year model data to calculate a relative response factor (RRF) for each PM species. SMAT-CE uses the PM</w:t>
      </w:r>
      <w:r>
        <w:rPr>
          <w:vertAlign w:val="subscript"/>
          <w:lang w:eastAsia="en-US"/>
        </w:rPr>
        <w:t xml:space="preserve">2.5 </w:t>
      </w:r>
      <w:r>
        <w:rPr>
          <w:lang w:eastAsia="en-US"/>
        </w:rPr>
        <w:t xml:space="preserve">monitor data and interpolated species monitor data to estimate species values at each FRM site, multiplies the species values from the monitor data with the species-specific RRFs, and then estimates a future-year design value. </w:t>
      </w:r>
    </w:p>
    <w:p>
      <w:pPr>
        <w:pStyle w:val="42"/>
        <w:ind w:left="720" w:firstLine="120" w:firstLineChars="0"/>
        <w:rPr>
          <w:lang w:eastAsia="en-US"/>
        </w:rPr>
      </w:pPr>
      <w:r>
        <w:rPr>
          <w:lang w:eastAsia="en-US"/>
        </w:rPr>
        <w:t>Use the default settings in the Data Input window.</w:t>
      </w:r>
    </w:p>
    <w:p>
      <w:pPr>
        <w:pStyle w:val="42"/>
        <w:numPr>
          <w:ilvl w:val="1"/>
          <w:numId w:val="5"/>
        </w:numPr>
        <w:ind w:firstLineChars="0"/>
        <w:rPr>
          <w:lang w:eastAsia="en-US"/>
        </w:rPr>
      </w:pPr>
      <w:r>
        <w:t xml:space="preserve">Click on the </w:t>
      </w:r>
      <w:r>
        <w:rPr>
          <w:b/>
          <w:color w:val="0432FF"/>
          <w:u w:val="single"/>
        </w:rPr>
        <w:t>Data Input</w:t>
      </w:r>
      <w:r>
        <w:rPr>
          <w:color w:val="1F497D" w:themeColor="text2"/>
          <w14:textFill>
            <w14:solidFill>
              <w14:schemeClr w14:val="tx2"/>
            </w14:solidFill>
          </w14:textFill>
        </w:rPr>
        <w:t xml:space="preserve"> </w:t>
      </w:r>
      <w:r>
        <w:t>hyperlink to display an electronic version of the User’s Manual for this window.</w:t>
      </w:r>
    </w:p>
    <w:p>
      <w:pPr>
        <w:pStyle w:val="42"/>
        <w:numPr>
          <w:ilvl w:val="1"/>
          <w:numId w:val="5"/>
        </w:numPr>
        <w:ind w:firstLineChars="0"/>
        <w:rPr>
          <w:lang w:eastAsia="en-US"/>
        </w:rPr>
      </w:pPr>
      <w:r>
        <w:rPr>
          <w:lang w:eastAsia="en-US"/>
        </w:rPr>
        <w:t xml:space="preserve">Click the </w:t>
      </w:r>
      <w:r>
        <w:rPr>
          <w:b/>
          <w:lang w:eastAsia="en-US"/>
        </w:rPr>
        <w:t>Next</w:t>
      </w:r>
      <w:r>
        <w:rPr>
          <w:lang w:eastAsia="en-US"/>
        </w:rPr>
        <w:t xml:space="preserve"> arrow at the bottom right of the Data Input window to proceed to the next step.</w:t>
      </w:r>
    </w:p>
    <w:p>
      <w:pPr>
        <w:ind w:left="840" w:hanging="840"/>
        <w:rPr>
          <w:lang w:eastAsia="en-US"/>
        </w:rPr>
      </w:pPr>
      <w:r>
        <w:rPr>
          <w:b/>
          <w:u w:val="single"/>
          <w:lang w:eastAsia="en-US"/>
        </w:rPr>
        <w:t>Step 5.</w:t>
      </w:r>
      <w:r>
        <w:rPr>
          <w:lang w:eastAsia="en-US"/>
        </w:rPr>
        <w:tab/>
      </w:r>
      <w:r>
        <w:rPr>
          <w:lang w:eastAsia="en-US"/>
        </w:rPr>
        <w:t xml:space="preserve">The </w:t>
      </w:r>
      <w:r>
        <w:rPr>
          <w:b/>
          <w:lang w:eastAsia="en-US"/>
        </w:rPr>
        <w:t>Species Fraction Options</w:t>
      </w:r>
      <w:r>
        <w:rPr>
          <w:lang w:eastAsia="en-US"/>
        </w:rPr>
        <w:t xml:space="preserve"> window has several functions related to the IMPROVE-STN (species) monitor data and the (unofficial) PM</w:t>
      </w:r>
      <w:r>
        <w:rPr>
          <w:vertAlign w:val="subscript"/>
          <w:lang w:eastAsia="en-US"/>
        </w:rPr>
        <w:t xml:space="preserve">2.5 </w:t>
      </w:r>
      <w:r>
        <w:rPr>
          <w:lang w:eastAsia="en-US"/>
        </w:rPr>
        <w:t xml:space="preserve">monitor data. These functions include identifying the years of monitor data to use, deleting any specific data values, and choosing the minimum data requirements of monitors to use in the PM analysis. </w:t>
      </w:r>
    </w:p>
    <w:p>
      <w:pPr>
        <w:pStyle w:val="42"/>
        <w:ind w:left="720" w:firstLine="120" w:firstLineChars="0"/>
        <w:rPr>
          <w:lang w:eastAsia="en-US"/>
        </w:rPr>
      </w:pPr>
      <w:r>
        <w:rPr>
          <w:lang w:eastAsia="en-US"/>
        </w:rPr>
        <w:t>Use the default settings in the Species Fraction Options window.</w:t>
      </w:r>
    </w:p>
    <w:p>
      <w:pPr>
        <w:pStyle w:val="42"/>
        <w:numPr>
          <w:ilvl w:val="1"/>
          <w:numId w:val="5"/>
        </w:numPr>
        <w:ind w:firstLineChars="0"/>
        <w:rPr>
          <w:lang w:eastAsia="en-US"/>
        </w:rPr>
      </w:pPr>
      <w:r>
        <w:t xml:space="preserve">Click on the </w:t>
      </w:r>
      <w:r>
        <w:rPr>
          <w:b/>
          <w:color w:val="0432FF"/>
          <w:u w:val="single"/>
        </w:rPr>
        <w:t>Species Fraction Options</w:t>
      </w:r>
      <w:r>
        <w:rPr>
          <w:color w:val="1F497D" w:themeColor="text2"/>
          <w14:textFill>
            <w14:solidFill>
              <w14:schemeClr w14:val="tx2"/>
            </w14:solidFill>
          </w14:textFill>
        </w:rPr>
        <w:t xml:space="preserve"> </w:t>
      </w:r>
      <w:r>
        <w:t>hyperlink to display an electronic version of the User’s Manual for this window.</w:t>
      </w:r>
    </w:p>
    <w:p>
      <w:pPr>
        <w:pStyle w:val="42"/>
        <w:numPr>
          <w:ilvl w:val="1"/>
          <w:numId w:val="5"/>
        </w:numPr>
        <w:ind w:firstLineChars="0"/>
        <w:rPr>
          <w:lang w:eastAsia="en-US"/>
        </w:rPr>
      </w:pPr>
      <w:r>
        <w:rPr>
          <w:b/>
          <w:lang w:eastAsia="en-US"/>
        </w:rPr>
        <w:t>Monitor Data Years</w:t>
      </w:r>
      <w:r>
        <w:rPr>
          <w:lang w:eastAsia="en-US"/>
        </w:rPr>
        <w:t>: Sets the years of monitor data to use for the PM attainment test. The default is to use the 3-year period 2010-2012. The default period is based on a modeling year of 2011. The start and end years should be changed to applicable time periods, depending on the base modeling year.</w:t>
      </w:r>
    </w:p>
    <w:p>
      <w:pPr>
        <w:pStyle w:val="42"/>
        <w:numPr>
          <w:ilvl w:val="1"/>
          <w:numId w:val="5"/>
        </w:numPr>
        <w:ind w:firstLineChars="0"/>
        <w:rPr>
          <w:lang w:eastAsia="en-US"/>
        </w:rPr>
      </w:pPr>
      <w:r>
        <w:rPr>
          <w:b/>
          <w:lang w:eastAsia="en-US"/>
        </w:rPr>
        <w:t>Delete Specified Data Values</w:t>
      </w:r>
      <w:r>
        <w:rPr>
          <w:lang w:eastAsia="en-US"/>
        </w:rPr>
        <w:t>: The default is to delete the observations specified by EPA. Valid data are flagged with a value of "0" and observations that should be deleted are flagged with values of "1" to "10". (Leave unchecked the option for the user to flag data.)</w:t>
      </w:r>
    </w:p>
    <w:p>
      <w:pPr>
        <w:pStyle w:val="42"/>
        <w:numPr>
          <w:ilvl w:val="1"/>
          <w:numId w:val="5"/>
        </w:numPr>
        <w:ind w:firstLineChars="0"/>
        <w:rPr>
          <w:lang w:eastAsia="en-US"/>
        </w:rPr>
      </w:pPr>
      <w:r>
        <w:rPr>
          <w:b/>
          <w:lang w:eastAsia="en-US"/>
        </w:rPr>
        <w:t>Minimum Data Requirements</w:t>
      </w:r>
      <w:r>
        <w:rPr>
          <w:lang w:eastAsia="en-US"/>
        </w:rPr>
        <w:t>: There are three sets of minimum data requirements for the PM attainment test:</w:t>
      </w:r>
    </w:p>
    <w:p>
      <w:pPr>
        <w:ind w:left="1680"/>
        <w:rPr>
          <w:lang w:eastAsia="en-US"/>
        </w:rPr>
      </w:pPr>
      <w:r>
        <w:rPr>
          <w:lang w:eastAsia="en-US"/>
        </w:rPr>
        <w:t xml:space="preserve">1.  </w:t>
      </w:r>
      <w:r>
        <w:rPr>
          <w:i/>
          <w:lang w:eastAsia="en-US"/>
        </w:rPr>
        <w:t>Minimum number of valid days per valid quarter</w:t>
      </w:r>
      <w:r>
        <w:rPr>
          <w:lang w:eastAsia="en-US"/>
        </w:rPr>
        <w:t xml:space="preserve">. This sets the minimum number of site-days per valid quarter. The default is 11 days, which corresponds to &gt;75% completeness for monitors on a 1-in-6-day monitoring schedule. This is the minimum number of samples that is routinely used in calculations of quarterly average concentrations. </w:t>
      </w:r>
    </w:p>
    <w:p>
      <w:pPr>
        <w:ind w:left="1680"/>
        <w:rPr>
          <w:lang w:eastAsia="en-US"/>
        </w:rPr>
      </w:pPr>
      <w:r>
        <w:rPr>
          <w:lang w:eastAsia="en-US"/>
        </w:rPr>
        <w:t xml:space="preserve">2.  </w:t>
      </w:r>
      <w:r>
        <w:rPr>
          <w:i/>
        </w:rPr>
        <w:t>Minimum number of valid quarters required for valid season</w:t>
      </w:r>
      <w:r>
        <w:t>. This sets the number of</w:t>
      </w:r>
      <w:r>
        <w:rPr>
          <w:rFonts w:ascii="Helvetica" w:hAnsi="Helvetica"/>
          <w:kern w:val="0"/>
          <w:sz w:val="18"/>
          <w:szCs w:val="18"/>
          <w:lang w:eastAsia="en-US"/>
        </w:rPr>
        <w:t xml:space="preserve"> </w:t>
      </w:r>
      <w:r>
        <w:t>years of data (within the start year and end year specified) for which valid quarters for a given season are available. The default value is 1 year. If the value is set</w:t>
      </w:r>
      <w:r>
        <w:rPr>
          <w:rFonts w:ascii="Helvetica" w:hAnsi="Helvetica"/>
          <w:kern w:val="0"/>
          <w:sz w:val="18"/>
          <w:szCs w:val="18"/>
          <w:lang w:eastAsia="en-US"/>
        </w:rPr>
        <w:t xml:space="preserve"> </w:t>
      </w:r>
      <w:r>
        <w:t>= 2, then there will need to be 2 years of valid data from quarter1 in order for</w:t>
      </w:r>
      <w:r>
        <w:rPr>
          <w:rFonts w:ascii="Helvetica" w:hAnsi="Helvetica"/>
          <w:kern w:val="0"/>
          <w:sz w:val="18"/>
          <w:szCs w:val="18"/>
          <w:lang w:eastAsia="en-US"/>
        </w:rPr>
        <w:t xml:space="preserve"> </w:t>
      </w:r>
      <w:r>
        <w:t>quarter one to be considered complete (and the same for the other 3 quarters).</w:t>
      </w:r>
    </w:p>
    <w:p>
      <w:pPr>
        <w:ind w:left="1680"/>
      </w:pPr>
      <w:r>
        <w:rPr>
          <w:lang w:eastAsia="en-US"/>
        </w:rPr>
        <w:t xml:space="preserve">3.  </w:t>
      </w:r>
      <w:r>
        <w:rPr>
          <w:i/>
        </w:rPr>
        <w:t>Minimum number of valid seasons required for valid monitor</w:t>
      </w:r>
      <w:r>
        <w:t>. This sets the</w:t>
      </w:r>
      <w:r>
        <w:rPr>
          <w:lang w:eastAsia="en-US"/>
        </w:rPr>
        <w:t xml:space="preserve"> </w:t>
      </w:r>
      <w:r>
        <w:t>number of valid seasons that are needed in order for a particular monitor's data</w:t>
      </w:r>
      <w:r>
        <w:rPr>
          <w:lang w:eastAsia="en-US"/>
        </w:rPr>
        <w:t xml:space="preserve"> </w:t>
      </w:r>
      <w:r>
        <w:t>to be considered valid. The default is 1 for IMPROVE-STN monitor data and</w:t>
      </w:r>
      <w:r>
        <w:rPr>
          <w:lang w:eastAsia="en-US"/>
        </w:rPr>
        <w:t xml:space="preserve"> </w:t>
      </w:r>
      <w:r>
        <w:t>the range is 1-4. For example, if the value is = 1, then a monitor's data will be</w:t>
      </w:r>
      <w:r>
        <w:rPr>
          <w:lang w:eastAsia="en-US"/>
        </w:rPr>
        <w:t xml:space="preserve"> </w:t>
      </w:r>
      <w:r>
        <w:t>used in the species fractions calculations if it has at least one valid season. If</w:t>
      </w:r>
      <w:r>
        <w:rPr>
          <w:lang w:eastAsia="en-US"/>
        </w:rPr>
        <w:t xml:space="preserve"> </w:t>
      </w:r>
      <w:r>
        <w:t>the value = 4, then the site must have all 4 seasons of valid data to be used. The</w:t>
      </w:r>
      <w:r>
        <w:rPr>
          <w:lang w:eastAsia="en-US"/>
        </w:rPr>
        <w:t xml:space="preserve"> </w:t>
      </w:r>
      <w:r>
        <w:t>default for PM</w:t>
      </w:r>
      <w:r>
        <w:rPr>
          <w:vertAlign w:val="subscript"/>
        </w:rPr>
        <w:t>2.5</w:t>
      </w:r>
      <w:r>
        <w:t xml:space="preserve"> depends on whether the data are used in point calculations</w:t>
      </w:r>
      <w:r>
        <w:rPr>
          <w:lang w:eastAsia="en-US"/>
        </w:rPr>
        <w:t xml:space="preserve"> </w:t>
      </w:r>
      <w:r>
        <w:t>(default = 4) or spatial field calculations (default = 1).</w:t>
      </w:r>
    </w:p>
    <w:p>
      <w:pPr>
        <w:pStyle w:val="42"/>
        <w:numPr>
          <w:ilvl w:val="0"/>
          <w:numId w:val="6"/>
        </w:numPr>
        <w:ind w:firstLineChars="0"/>
      </w:pPr>
      <w:r>
        <w:rPr>
          <w:b/>
        </w:rPr>
        <w:t>Species Fraction Options–Advanced</w:t>
      </w:r>
      <w:r>
        <w:t>. Sets</w:t>
      </w:r>
      <w:r>
        <w:rPr>
          <w:rFonts w:ascii="Helvetica" w:hAnsi="Helvetica"/>
          <w:kern w:val="0"/>
          <w:sz w:val="18"/>
          <w:szCs w:val="18"/>
          <w:lang w:eastAsia="en-US"/>
        </w:rPr>
        <w:t xml:space="preserve"> </w:t>
      </w:r>
      <w:r>
        <w:t>additional advanced options for the PM attainment test. Generally speaking, the default options</w:t>
      </w:r>
      <w:r>
        <w:rPr>
          <w:rFonts w:ascii="Helvetica" w:hAnsi="Helvetica"/>
          <w:kern w:val="0"/>
          <w:sz w:val="18"/>
          <w:szCs w:val="18"/>
          <w:lang w:eastAsia="en-US"/>
        </w:rPr>
        <w:t xml:space="preserve"> </w:t>
      </w:r>
      <w:r>
        <w:t>settings are consistent with the EPA modeling guidance. One set of options</w:t>
      </w:r>
      <w:r>
        <w:rPr>
          <w:rFonts w:ascii="Helvetica" w:hAnsi="Helvetica"/>
          <w:kern w:val="0"/>
          <w:sz w:val="18"/>
          <w:szCs w:val="18"/>
          <w:lang w:eastAsia="en-US"/>
        </w:rPr>
        <w:t xml:space="preserve"> </w:t>
      </w:r>
      <w:r>
        <w:t>sets the interpolation weighting to use and whether the</w:t>
      </w:r>
      <w:r>
        <w:rPr>
          <w:rFonts w:ascii="Helvetica" w:hAnsi="Helvetica"/>
          <w:kern w:val="0"/>
          <w:sz w:val="18"/>
          <w:szCs w:val="18"/>
          <w:lang w:eastAsia="en-US"/>
        </w:rPr>
        <w:t xml:space="preserve"> </w:t>
      </w:r>
      <w:r>
        <w:t>interpolation involves a maximum distance or not. The second set of options involves</w:t>
      </w:r>
      <w:r>
        <w:rPr>
          <w:rFonts w:ascii="Helvetica" w:hAnsi="Helvetica"/>
          <w:kern w:val="0"/>
          <w:sz w:val="18"/>
          <w:szCs w:val="18"/>
          <w:lang w:eastAsia="en-US"/>
        </w:rPr>
        <w:t xml:space="preserve"> </w:t>
      </w:r>
      <w:r>
        <w:t>choices regarding ammonium, blank mass, and organic carbon.</w:t>
      </w:r>
    </w:p>
    <w:p>
      <w:pPr>
        <w:pStyle w:val="42"/>
        <w:numPr>
          <w:ilvl w:val="1"/>
          <w:numId w:val="5"/>
        </w:numPr>
        <w:ind w:firstLineChars="0"/>
        <w:rPr>
          <w:lang w:eastAsia="en-US"/>
        </w:rPr>
      </w:pPr>
      <w:r>
        <w:rPr>
          <w:lang w:eastAsia="en-US"/>
        </w:rPr>
        <w:t xml:space="preserve">Click the </w:t>
      </w:r>
      <w:r>
        <w:rPr>
          <w:b/>
          <w:lang w:eastAsia="en-US"/>
        </w:rPr>
        <w:t>Next</w:t>
      </w:r>
      <w:r>
        <w:rPr>
          <w:lang w:eastAsia="en-US"/>
        </w:rPr>
        <w:t xml:space="preserve"> arrow at the bottom right of the Species Fraction Options window to proceed to the next step.</w:t>
      </w:r>
    </w:p>
    <w:p>
      <w:pPr>
        <w:ind w:left="840" w:hanging="840"/>
        <w:rPr>
          <w:lang w:eastAsia="en-US"/>
        </w:rPr>
      </w:pPr>
      <w:r>
        <w:rPr>
          <w:b/>
          <w:u w:val="single"/>
          <w:lang w:eastAsia="en-US"/>
        </w:rPr>
        <w:t>Step 6.</w:t>
      </w:r>
      <w:r>
        <w:rPr>
          <w:lang w:eastAsia="en-US"/>
        </w:rPr>
        <w:tab/>
      </w:r>
      <w:r>
        <w:rPr>
          <w:lang w:eastAsia="en-US"/>
        </w:rPr>
        <w:t xml:space="preserve">The </w:t>
      </w:r>
      <w:r>
        <w:rPr>
          <w:b/>
          <w:lang w:eastAsia="en-US"/>
        </w:rPr>
        <w:t>PM</w:t>
      </w:r>
      <w:r>
        <w:rPr>
          <w:b/>
          <w:vertAlign w:val="subscript"/>
          <w:lang w:eastAsia="en-US"/>
        </w:rPr>
        <w:t>2.5</w:t>
      </w:r>
      <w:r>
        <w:rPr>
          <w:b/>
          <w:lang w:eastAsia="en-US"/>
        </w:rPr>
        <w:t xml:space="preserve"> Calculation Options</w:t>
      </w:r>
      <w:r>
        <w:rPr>
          <w:lang w:eastAsia="en-US"/>
        </w:rPr>
        <w:t xml:space="preserve"> window sets the particular years of monitor data to use from the input file specified in the Data Input Window.</w:t>
      </w:r>
    </w:p>
    <w:p>
      <w:pPr>
        <w:ind w:left="420" w:firstLine="420"/>
        <w:rPr>
          <w:lang w:eastAsia="en-US"/>
        </w:rPr>
      </w:pPr>
      <w:r>
        <w:rPr>
          <w:lang w:eastAsia="en-US"/>
        </w:rPr>
        <w:t>Keep the default settings:</w:t>
      </w:r>
    </w:p>
    <w:p>
      <w:pPr>
        <w:pStyle w:val="42"/>
        <w:numPr>
          <w:ilvl w:val="1"/>
          <w:numId w:val="5"/>
        </w:numPr>
        <w:ind w:firstLineChars="0"/>
        <w:rPr>
          <w:lang w:eastAsia="en-US"/>
        </w:rPr>
      </w:pPr>
      <w:r>
        <w:rPr>
          <w:b/>
          <w:lang w:eastAsia="en-US"/>
        </w:rPr>
        <w:t>PM</w:t>
      </w:r>
      <w:r>
        <w:rPr>
          <w:b/>
          <w:vertAlign w:val="subscript"/>
          <w:lang w:eastAsia="en-US"/>
        </w:rPr>
        <w:t xml:space="preserve">2.5 </w:t>
      </w:r>
      <w:r>
        <w:rPr>
          <w:b/>
          <w:lang w:eastAsia="en-US"/>
        </w:rPr>
        <w:t>Monitor Data Years</w:t>
      </w:r>
      <w:r>
        <w:rPr>
          <w:lang w:eastAsia="en-US"/>
        </w:rPr>
        <w:t>: Start Year = 2009 and End Year = 2013.</w:t>
      </w:r>
    </w:p>
    <w:p>
      <w:pPr>
        <w:pStyle w:val="42"/>
        <w:numPr>
          <w:ilvl w:val="1"/>
          <w:numId w:val="5"/>
        </w:numPr>
        <w:ind w:firstLineChars="0"/>
        <w:rPr>
          <w:lang w:eastAsia="en-US"/>
        </w:rPr>
      </w:pPr>
      <w:r>
        <w:rPr>
          <w:b/>
          <w:lang w:eastAsia="en-US"/>
        </w:rPr>
        <w:t>Official vs. Custom Values</w:t>
      </w:r>
      <w:r>
        <w:rPr>
          <w:lang w:eastAsia="en-US"/>
        </w:rPr>
        <w:t>: Set to “Official Design Values”.</w:t>
      </w:r>
    </w:p>
    <w:p>
      <w:pPr>
        <w:pStyle w:val="42"/>
        <w:numPr>
          <w:ilvl w:val="1"/>
          <w:numId w:val="5"/>
        </w:numPr>
        <w:ind w:firstLineChars="0"/>
        <w:rPr>
          <w:lang w:eastAsia="en-US"/>
        </w:rPr>
      </w:pPr>
      <w:r>
        <w:rPr>
          <w:b/>
          <w:lang w:eastAsia="en-US"/>
        </w:rPr>
        <w:t>Valid FRM Monitors</w:t>
      </w:r>
      <w:r>
        <w:rPr>
          <w:lang w:eastAsia="en-US"/>
        </w:rPr>
        <w:t>: Keep the minimum number of design values equal to the default value of 1, and do not specify any particular design values for inclusion in the calculations.</w:t>
      </w:r>
    </w:p>
    <w:p>
      <w:pPr>
        <w:pStyle w:val="42"/>
        <w:numPr>
          <w:ilvl w:val="1"/>
          <w:numId w:val="5"/>
        </w:numPr>
        <w:ind w:firstLineChars="0"/>
        <w:rPr>
          <w:lang w:eastAsia="en-US"/>
        </w:rPr>
      </w:pPr>
      <w:r>
        <w:rPr>
          <w:b/>
          <w:lang w:eastAsia="en-US"/>
        </w:rPr>
        <w:t>NH</w:t>
      </w:r>
      <w:r>
        <w:rPr>
          <w:b/>
          <w:vertAlign w:val="subscript"/>
          <w:lang w:eastAsia="en-US"/>
        </w:rPr>
        <w:t>4</w:t>
      </w:r>
      <w:r>
        <w:rPr>
          <w:b/>
          <w:lang w:eastAsia="en-US"/>
        </w:rPr>
        <w:t xml:space="preserve"> Future Calculation</w:t>
      </w:r>
      <w:r>
        <w:rPr>
          <w:lang w:eastAsia="en-US"/>
        </w:rPr>
        <w:t>: Sets how to forecast NH</w:t>
      </w:r>
      <w:r>
        <w:rPr>
          <w:vertAlign w:val="subscript"/>
          <w:lang w:eastAsia="en-US"/>
        </w:rPr>
        <w:t>4</w:t>
      </w:r>
      <w:r>
        <w:rPr>
          <w:lang w:eastAsia="en-US"/>
        </w:rPr>
        <w:t xml:space="preserve"> values. Use the default approach, which is to use baseline DON values.</w:t>
      </w:r>
    </w:p>
    <w:p>
      <w:pPr>
        <w:pStyle w:val="42"/>
        <w:numPr>
          <w:ilvl w:val="1"/>
          <w:numId w:val="5"/>
        </w:numPr>
        <w:ind w:firstLineChars="0"/>
        <w:rPr>
          <w:lang w:eastAsia="en-US"/>
        </w:rPr>
      </w:pPr>
      <w:r>
        <w:rPr>
          <w:lang w:eastAsia="en-US"/>
        </w:rPr>
        <w:t xml:space="preserve">Click the </w:t>
      </w:r>
      <w:r>
        <w:rPr>
          <w:b/>
          <w:lang w:eastAsia="en-US"/>
        </w:rPr>
        <w:t>Next</w:t>
      </w:r>
      <w:r>
        <w:rPr>
          <w:lang w:eastAsia="en-US"/>
        </w:rPr>
        <w:t xml:space="preserve"> arrow at the bottom right of the PM</w:t>
      </w:r>
      <w:r>
        <w:rPr>
          <w:vertAlign w:val="subscript"/>
          <w:lang w:eastAsia="en-US"/>
        </w:rPr>
        <w:t xml:space="preserve">2.5 </w:t>
      </w:r>
      <w:r>
        <w:rPr>
          <w:lang w:eastAsia="en-US"/>
        </w:rPr>
        <w:t>Calculation Options window to proceed to the next step.</w:t>
      </w:r>
    </w:p>
    <w:p>
      <w:pPr>
        <w:ind w:left="840" w:hanging="840"/>
        <w:rPr>
          <w:b/>
          <w:u w:val="single"/>
          <w:lang w:eastAsia="en-US"/>
        </w:rPr>
      </w:pPr>
      <w:r>
        <w:rPr>
          <w:b/>
          <w:u w:val="single"/>
          <w:lang w:eastAsia="en-US"/>
        </w:rPr>
        <w:t>Step 7.</w:t>
      </w:r>
      <w:r>
        <w:rPr>
          <w:b/>
          <w:lang w:eastAsia="en-US"/>
        </w:rPr>
        <w:tab/>
      </w:r>
      <w:r>
        <w:t xml:space="preserve">The </w:t>
      </w:r>
      <w:r>
        <w:rPr>
          <w:b/>
        </w:rPr>
        <w:t>Model Data Options</w:t>
      </w:r>
      <w:r>
        <w:t xml:space="preserve"> window sets how to perform temporal adjustments on the</w:t>
      </w:r>
      <w:r>
        <w:rPr>
          <w:rFonts w:ascii="Helvetica" w:hAnsi="Helvetica"/>
          <w:kern w:val="0"/>
          <w:sz w:val="18"/>
          <w:szCs w:val="18"/>
          <w:lang w:eastAsia="en-US"/>
        </w:rPr>
        <w:t xml:space="preserve"> </w:t>
      </w:r>
      <w:r>
        <w:t>monitoring data. This option sets how many model grid cells to use in the calculation of RRFs for point estimates and for spatial estimates. Use the default option: 3x3 set of grid cells. Note that for PM analyses, SMAT-CE calculates mean concentrations across the grid cell array (as compared to maximum concentrations used for ozone analyses).</w:t>
      </w:r>
    </w:p>
    <w:p>
      <w:pPr>
        <w:pStyle w:val="42"/>
        <w:ind w:left="720" w:firstLine="120" w:firstLineChars="0"/>
        <w:rPr>
          <w:lang w:eastAsia="en-US"/>
        </w:rPr>
      </w:pPr>
      <w:r>
        <w:rPr>
          <w:lang w:eastAsia="en-US"/>
        </w:rPr>
        <w:t>Use the default settings in the Model Data Options window:</w:t>
      </w:r>
    </w:p>
    <w:p>
      <w:pPr>
        <w:pStyle w:val="42"/>
        <w:numPr>
          <w:ilvl w:val="1"/>
          <w:numId w:val="5"/>
        </w:numPr>
        <w:ind w:firstLineChars="0"/>
        <w:rPr>
          <w:lang w:eastAsia="en-US"/>
        </w:rPr>
      </w:pPr>
      <w:r>
        <w:t xml:space="preserve">Click on the </w:t>
      </w:r>
      <w:r>
        <w:rPr>
          <w:b/>
          <w:color w:val="0432FF"/>
          <w:u w:val="single"/>
        </w:rPr>
        <w:t>Model Data Options</w:t>
      </w:r>
      <w:r>
        <w:rPr>
          <w:color w:val="1F497D" w:themeColor="text2"/>
          <w14:textFill>
            <w14:solidFill>
              <w14:schemeClr w14:val="tx2"/>
            </w14:solidFill>
          </w14:textFill>
        </w:rPr>
        <w:t xml:space="preserve"> </w:t>
      </w:r>
      <w:r>
        <w:t>hyperlink to display an electronic version of the User’s Manual for this window.</w:t>
      </w:r>
    </w:p>
    <w:p>
      <w:pPr>
        <w:pStyle w:val="42"/>
        <w:numPr>
          <w:ilvl w:val="1"/>
          <w:numId w:val="5"/>
        </w:numPr>
        <w:ind w:firstLineChars="0"/>
        <w:rPr>
          <w:lang w:eastAsia="en-US"/>
        </w:rPr>
      </w:pPr>
      <w:r>
        <w:rPr>
          <w:lang w:eastAsia="en-US"/>
        </w:rPr>
        <w:t xml:space="preserve">Click the </w:t>
      </w:r>
      <w:r>
        <w:rPr>
          <w:b/>
          <w:lang w:eastAsia="en-US"/>
        </w:rPr>
        <w:t>Next</w:t>
      </w:r>
      <w:r>
        <w:rPr>
          <w:lang w:eastAsia="en-US"/>
        </w:rPr>
        <w:t xml:space="preserve"> arrow at the bottom right of the Model Data Options window to complete the Annual PM Analysis configuration and run the attainment test.</w:t>
      </w:r>
    </w:p>
    <w:p>
      <w:pPr>
        <w:pStyle w:val="42"/>
        <w:numPr>
          <w:ilvl w:val="1"/>
          <w:numId w:val="5"/>
        </w:numPr>
        <w:ind w:firstLineChars="0"/>
        <w:rPr>
          <w:lang w:eastAsia="en-US"/>
        </w:rPr>
      </w:pPr>
      <w:r>
        <w:rPr>
          <w:lang w:eastAsia="en-US"/>
        </w:rPr>
        <w:t xml:space="preserve">Click </w:t>
      </w:r>
      <w:r>
        <w:rPr>
          <w:b/>
          <w:lang w:eastAsia="en-US"/>
        </w:rPr>
        <w:t>Save &amp; Run Project</w:t>
      </w:r>
      <w:r>
        <w:rPr>
          <w:lang w:eastAsia="en-US"/>
        </w:rPr>
        <w:t xml:space="preserve"> in the pop-up window. Click Save to create a project (*.proj) file for this tutorial exercise. The Filename should reflect the text entered in the Project Name box from Step 2 above.</w:t>
      </w:r>
    </w:p>
    <w:p>
      <w:pPr>
        <w:rPr>
          <w:lang w:eastAsia="en-US"/>
        </w:rPr>
      </w:pPr>
      <w:r>
        <w:rPr>
          <w:lang w:eastAsia="en-US"/>
        </w:rPr>
        <w:t xml:space="preserve">The Annual PM Analysis will complete after a few minutes and the SMAT-CE Data Viewer will present the results of the analysis. See </w:t>
      </w:r>
      <w:r>
        <w:fldChar w:fldCharType="begin"/>
      </w:r>
      <w:r>
        <w:instrText xml:space="preserve"> HYPERLINK \l "_The_SMAT-CE_Data_2" </w:instrText>
      </w:r>
      <w:r>
        <w:fldChar w:fldCharType="separate"/>
      </w:r>
      <w:r>
        <w:rPr>
          <w:rStyle w:val="36"/>
          <w:lang w:eastAsia="en-US"/>
        </w:rPr>
        <w:t>Chapter 10</w:t>
      </w:r>
      <w:r>
        <w:rPr>
          <w:rStyle w:val="36"/>
          <w:lang w:eastAsia="en-US"/>
        </w:rPr>
        <w:fldChar w:fldCharType="end"/>
      </w:r>
      <w:r>
        <w:rPr>
          <w:lang w:eastAsia="en-US"/>
        </w:rPr>
        <w:t xml:space="preserve"> for details on how to use the Data Viewer to analyze the results. </w:t>
      </w:r>
    </w:p>
    <w:p>
      <w:pPr>
        <w:pStyle w:val="3"/>
      </w:pPr>
      <w:bookmarkStart w:id="37" w:name="_Toc119010857"/>
      <w:bookmarkStart w:id="38" w:name="_Toc476653922"/>
      <w:bookmarkStart w:id="39" w:name="_Toc476654445"/>
      <w:bookmarkStart w:id="40" w:name="_Toc3683"/>
      <w:bookmarkStart w:id="41" w:name="_Toc476654823"/>
      <w:r>
        <w:t>Daily PM Analysis Quick Start</w:t>
      </w:r>
      <w:bookmarkEnd w:id="37"/>
      <w:bookmarkEnd w:id="38"/>
      <w:bookmarkEnd w:id="39"/>
      <w:bookmarkEnd w:id="40"/>
      <w:bookmarkEnd w:id="41"/>
    </w:p>
    <w:p>
      <w:pPr>
        <w:rPr>
          <w:rStyle w:val="34"/>
        </w:rPr>
      </w:pPr>
      <w:r>
        <w:t xml:space="preserve">Details: </w:t>
      </w:r>
      <w:r>
        <w:fldChar w:fldCharType="begin"/>
      </w:r>
      <w:r>
        <w:instrText xml:space="preserve">HYPERLINK  \l "_Daily_PM_Analysis_1"</w:instrText>
      </w:r>
      <w:r>
        <w:fldChar w:fldCharType="separate"/>
      </w:r>
      <w:r>
        <w:rPr>
          <w:rStyle w:val="34"/>
        </w:rPr>
        <w:t xml:space="preserve"> Chapter 7</w:t>
      </w:r>
    </w:p>
    <w:p>
      <w:pPr>
        <w:rPr>
          <w:lang w:eastAsia="en-US"/>
        </w:rPr>
      </w:pPr>
      <w:r>
        <w:fldChar w:fldCharType="end"/>
      </w:r>
      <w:r>
        <w:rPr>
          <w:lang w:eastAsia="en-US"/>
        </w:rPr>
        <w:t>The steps below describe how to use SMAT-CE to compute monitor RRFs and design values for the NAAQS daily PM</w:t>
      </w:r>
      <w:r>
        <w:rPr>
          <w:vertAlign w:val="subscript"/>
          <w:lang w:eastAsia="en-US"/>
        </w:rPr>
        <w:t xml:space="preserve">2.5 </w:t>
      </w:r>
      <w:r>
        <w:rPr>
          <w:lang w:eastAsia="en-US"/>
        </w:rPr>
        <w:t xml:space="preserve">standard. </w:t>
      </w:r>
    </w:p>
    <w:p>
      <w:pPr>
        <w:ind w:left="840" w:hanging="840"/>
      </w:pPr>
      <w:r>
        <w:rPr>
          <w:b/>
          <w:u w:val="single"/>
        </w:rPr>
        <w:t>Step 1.</w:t>
      </w:r>
      <w:r>
        <w:t xml:space="preserve"> </w:t>
      </w:r>
      <w:r>
        <w:tab/>
      </w:r>
      <w:r>
        <w:t xml:space="preserve">Click </w:t>
      </w:r>
      <w:r>
        <w:rPr>
          <w:b/>
        </w:rPr>
        <w:t>Daily PM Analysis</w:t>
      </w:r>
      <w:r>
        <w:t xml:space="preserve"> on the SMAT-CE Start Page to launch the Daily PM Analysis module window.</w:t>
      </w:r>
    </w:p>
    <w:p>
      <w:pPr>
        <w:ind w:left="840" w:hanging="840"/>
      </w:pPr>
      <w:r>
        <w:rPr>
          <w:b/>
          <w:u w:val="single"/>
        </w:rPr>
        <w:t>Step 2.</w:t>
      </w:r>
      <w:r>
        <w:tab/>
      </w:r>
      <w:r>
        <w:t xml:space="preserve">The </w:t>
      </w:r>
      <w:r>
        <w:rPr>
          <w:b/>
        </w:rPr>
        <w:t>Choose Desired Output</w:t>
      </w:r>
      <w:r>
        <w:t xml:space="preserve"> window display first. This window sets the output that SMAT-CE will generate for the Daily PM Analysis. SMAT-CE can conduct a Standard Analysis (i.e., forecast point </w:t>
      </w:r>
      <w:r>
        <w:rPr>
          <w:lang w:eastAsia="en-US"/>
        </w:rPr>
        <w:t>estimates at ambient monitors), output quarterly model data, and output a species fractions file.</w:t>
      </w:r>
    </w:p>
    <w:p>
      <w:pPr>
        <w:pStyle w:val="42"/>
        <w:numPr>
          <w:ilvl w:val="1"/>
          <w:numId w:val="5"/>
        </w:numPr>
        <w:ind w:firstLineChars="0"/>
      </w:pPr>
      <w:r>
        <w:t xml:space="preserve">Click on the </w:t>
      </w:r>
      <w:r>
        <w:rPr>
          <w:b/>
          <w:color w:val="0432FF"/>
          <w:u w:val="single"/>
        </w:rPr>
        <w:t>Choose Desired Output</w:t>
      </w:r>
      <w:r>
        <w:rPr>
          <w:color w:val="1F497D" w:themeColor="text2"/>
          <w14:textFill>
            <w14:solidFill>
              <w14:schemeClr w14:val="tx2"/>
            </w14:solidFill>
          </w14:textFill>
        </w:rPr>
        <w:t xml:space="preserve"> </w:t>
      </w:r>
      <w:r>
        <w:t>hyperlink to display an electronic version of the User’s Manual for this window.</w:t>
      </w:r>
    </w:p>
    <w:p>
      <w:pPr>
        <w:pStyle w:val="42"/>
        <w:numPr>
          <w:ilvl w:val="1"/>
          <w:numId w:val="5"/>
        </w:numPr>
        <w:ind w:firstLineChars="0"/>
      </w:pPr>
      <w:r>
        <w:t xml:space="preserve">Type a </w:t>
      </w:r>
      <w:r>
        <w:rPr>
          <w:b/>
        </w:rPr>
        <w:t>Project Name</w:t>
      </w:r>
      <w:r>
        <w:t xml:space="preserve"> in the dialog box. For example, type “Daily_PM_Tutorial” in the Project Name box.</w:t>
      </w:r>
    </w:p>
    <w:p>
      <w:pPr>
        <w:pStyle w:val="42"/>
        <w:numPr>
          <w:ilvl w:val="1"/>
          <w:numId w:val="5"/>
        </w:numPr>
        <w:ind w:firstLineChars="0"/>
      </w:pPr>
      <w:r>
        <w:rPr>
          <w:b/>
          <w:lang w:eastAsia="en-US"/>
        </w:rPr>
        <w:t>Standard Analysis:</w:t>
      </w:r>
      <w:r>
        <w:rPr>
          <w:lang w:eastAsia="en-US"/>
        </w:rPr>
        <w:t xml:space="preserve"> Leave the box checked next to "Interpolate monitor data to FRM monitor sites. Temporally-adjust." SMAT-CE will create forecasts for each monitor in the monitor file.</w:t>
      </w:r>
    </w:p>
    <w:p>
      <w:pPr>
        <w:pStyle w:val="42"/>
        <w:numPr>
          <w:ilvl w:val="1"/>
          <w:numId w:val="5"/>
        </w:numPr>
        <w:ind w:firstLineChars="0"/>
        <w:rPr>
          <w:lang w:eastAsia="en-US"/>
        </w:rPr>
      </w:pPr>
      <w:r>
        <w:rPr>
          <w:b/>
          <w:lang w:eastAsia="en-US"/>
        </w:rPr>
        <w:t>Quarterly Peak Model Data</w:t>
      </w:r>
      <w:r>
        <w:rPr>
          <w:lang w:eastAsia="en-US"/>
        </w:rPr>
        <w:t xml:space="preserve">: </w:t>
      </w:r>
      <w:r>
        <w:t>Check this option. SMAT-CE will generate quarterly model files</w:t>
      </w:r>
      <w:r>
        <w:rPr>
          <w:rFonts w:ascii="Helvetica" w:hAnsi="Helvetica"/>
          <w:kern w:val="0"/>
          <w:sz w:val="18"/>
          <w:szCs w:val="18"/>
          <w:lang w:eastAsia="en-US"/>
        </w:rPr>
        <w:t xml:space="preserve"> </w:t>
      </w:r>
      <w:r>
        <w:t>from daily input data.</w:t>
      </w:r>
    </w:p>
    <w:p>
      <w:pPr>
        <w:pStyle w:val="42"/>
        <w:numPr>
          <w:ilvl w:val="1"/>
          <w:numId w:val="5"/>
        </w:numPr>
        <w:ind w:firstLineChars="0"/>
        <w:rPr>
          <w:lang w:eastAsia="en-US"/>
        </w:rPr>
      </w:pPr>
      <w:r>
        <w:rPr>
          <w:b/>
          <w:lang w:eastAsia="en-US"/>
        </w:rPr>
        <w:t>Species Fraction</w:t>
      </w:r>
      <w:r>
        <w:rPr>
          <w:lang w:eastAsia="en-US"/>
        </w:rPr>
        <w:t xml:space="preserve">: Check the box next to the Output species fractions file. </w:t>
      </w:r>
    </w:p>
    <w:p>
      <w:pPr>
        <w:pStyle w:val="42"/>
        <w:numPr>
          <w:ilvl w:val="1"/>
          <w:numId w:val="5"/>
        </w:numPr>
        <w:ind w:firstLineChars="0"/>
        <w:rPr>
          <w:lang w:eastAsia="en-US"/>
        </w:rPr>
      </w:pPr>
      <w:r>
        <w:rPr>
          <w:b/>
          <w:lang w:eastAsia="en-US"/>
        </w:rPr>
        <w:t>Actions on run completion</w:t>
      </w:r>
      <w:r>
        <w:rPr>
          <w:lang w:eastAsia="en-US"/>
        </w:rPr>
        <w:t>: Check the box next to “Automatically Extract All Selected Output Files”. Upon completing its calculations, SMAT-CE will extract the results into a folder with the name of your scenario.</w:t>
      </w:r>
    </w:p>
    <w:p>
      <w:pPr>
        <w:pStyle w:val="42"/>
        <w:numPr>
          <w:ilvl w:val="1"/>
          <w:numId w:val="5"/>
        </w:numPr>
        <w:ind w:firstLineChars="0"/>
        <w:rPr>
          <w:lang w:eastAsia="en-US"/>
        </w:rPr>
      </w:pPr>
      <w:r>
        <w:rPr>
          <w:lang w:eastAsia="en-US"/>
        </w:rPr>
        <w:t xml:space="preserve">Click the </w:t>
      </w:r>
      <w:r>
        <w:rPr>
          <w:b/>
          <w:lang w:eastAsia="en-US"/>
        </w:rPr>
        <w:t>Next</w:t>
      </w:r>
      <w:r>
        <w:rPr>
          <w:lang w:eastAsia="en-US"/>
        </w:rPr>
        <w:t xml:space="preserve"> arrow at the bottom right of the Choose Desired Output window to proceed to the next step.</w:t>
      </w:r>
    </w:p>
    <w:p>
      <w:pPr>
        <w:ind w:left="840" w:hanging="840"/>
        <w:rPr>
          <w:lang w:eastAsia="en-US"/>
        </w:rPr>
      </w:pPr>
      <w:r>
        <w:rPr>
          <w:b/>
          <w:u w:val="single"/>
        </w:rPr>
        <w:t>Step 3.</w:t>
      </w:r>
      <w:r>
        <w:tab/>
      </w:r>
      <w:r>
        <w:t>With the advanced options in the</w:t>
      </w:r>
      <w:r>
        <w:rPr>
          <w:b/>
        </w:rPr>
        <w:t xml:space="preserve"> Output Choices - Advanced</w:t>
      </w:r>
      <w:r>
        <w:t xml:space="preserve"> window, you can generate</w:t>
      </w:r>
      <w:r>
        <w:rPr>
          <w:rFonts w:ascii="Helvetica" w:hAnsi="Helvetica"/>
          <w:kern w:val="0"/>
          <w:sz w:val="18"/>
          <w:szCs w:val="18"/>
          <w:lang w:eastAsia="en-US"/>
        </w:rPr>
        <w:t xml:space="preserve"> </w:t>
      </w:r>
      <w:r>
        <w:t>spatial fields and a variety of files useful for quality assurance. Simply review these</w:t>
      </w:r>
      <w:r>
        <w:rPr>
          <w:rFonts w:ascii="Helvetica" w:hAnsi="Helvetica"/>
          <w:kern w:val="0"/>
          <w:sz w:val="18"/>
          <w:szCs w:val="18"/>
          <w:lang w:eastAsia="en-US"/>
        </w:rPr>
        <w:t xml:space="preserve"> </w:t>
      </w:r>
      <w:r>
        <w:t>options and then uncheck them all.</w:t>
      </w:r>
    </w:p>
    <w:p>
      <w:pPr>
        <w:pStyle w:val="42"/>
        <w:numPr>
          <w:ilvl w:val="1"/>
          <w:numId w:val="5"/>
        </w:numPr>
        <w:ind w:firstLineChars="0"/>
      </w:pPr>
      <w:r>
        <w:t xml:space="preserve">Click on the </w:t>
      </w:r>
      <w:r>
        <w:rPr>
          <w:b/>
          <w:color w:val="0432FF"/>
          <w:u w:val="single"/>
        </w:rPr>
        <w:t>Output Choices-Advanced</w:t>
      </w:r>
      <w:r>
        <w:rPr>
          <w:color w:val="1F497D" w:themeColor="text2"/>
          <w14:textFill>
            <w14:solidFill>
              <w14:schemeClr w14:val="tx2"/>
            </w14:solidFill>
          </w14:textFill>
        </w:rPr>
        <w:t xml:space="preserve"> </w:t>
      </w:r>
      <w:r>
        <w:t>hyperlink to display an electronic version of the User’s Manual for this window.</w:t>
      </w:r>
    </w:p>
    <w:p>
      <w:pPr>
        <w:pStyle w:val="42"/>
        <w:numPr>
          <w:ilvl w:val="1"/>
          <w:numId w:val="5"/>
        </w:numPr>
        <w:ind w:firstLineChars="0"/>
        <w:rPr>
          <w:lang w:eastAsia="en-US"/>
        </w:rPr>
      </w:pPr>
      <w:r>
        <w:rPr>
          <w:lang w:eastAsia="en-US"/>
        </w:rPr>
        <w:t xml:space="preserve">Click the </w:t>
      </w:r>
      <w:r>
        <w:rPr>
          <w:b/>
          <w:lang w:eastAsia="en-US"/>
        </w:rPr>
        <w:t>Next</w:t>
      </w:r>
      <w:r>
        <w:rPr>
          <w:lang w:eastAsia="en-US"/>
        </w:rPr>
        <w:t xml:space="preserve"> arrow at the bottom right of the Output Choices-Advanced window to proceed to the next step.</w:t>
      </w:r>
    </w:p>
    <w:p>
      <w:pPr>
        <w:ind w:left="840" w:hanging="840"/>
        <w:rPr>
          <w:lang w:eastAsia="en-US"/>
        </w:rPr>
      </w:pPr>
      <w:r>
        <w:rPr>
          <w:b/>
          <w:u w:val="single"/>
          <w:lang w:eastAsia="en-US"/>
        </w:rPr>
        <w:t>Step 4.</w:t>
      </w:r>
      <w:r>
        <w:rPr>
          <w:lang w:eastAsia="en-US"/>
        </w:rPr>
        <w:tab/>
      </w:r>
      <w:r>
        <w:rPr>
          <w:lang w:eastAsia="en-US"/>
        </w:rPr>
        <w:t xml:space="preserve">The </w:t>
      </w:r>
      <w:r>
        <w:rPr>
          <w:b/>
          <w:lang w:eastAsia="en-US"/>
        </w:rPr>
        <w:t>Data Input</w:t>
      </w:r>
      <w:r>
        <w:rPr>
          <w:lang w:eastAsia="en-US"/>
        </w:rPr>
        <w:t xml:space="preserve"> window sets the species and PM</w:t>
      </w:r>
      <w:r>
        <w:rPr>
          <w:vertAlign w:val="subscript"/>
          <w:lang w:eastAsia="en-US"/>
        </w:rPr>
        <w:t xml:space="preserve">2.5 </w:t>
      </w:r>
      <w:r>
        <w:rPr>
          <w:lang w:eastAsia="en-US"/>
        </w:rPr>
        <w:t>monitor data and the model data to use for the PM attainment test. SMAT-CE calculates the ratio of the base and future year model data to calculate a relative response factor (RRF) for each PM species. SMAT-CE uses the PM</w:t>
      </w:r>
      <w:r>
        <w:rPr>
          <w:vertAlign w:val="subscript"/>
          <w:lang w:eastAsia="en-US"/>
        </w:rPr>
        <w:t xml:space="preserve">2.5 </w:t>
      </w:r>
      <w:r>
        <w:rPr>
          <w:lang w:eastAsia="en-US"/>
        </w:rPr>
        <w:t xml:space="preserve">monitor data and interpolated species monitor data to estimate species values at each FRM site, multiplies the species values from the monitor data with the species-specific RRFs, and then estimates a future-year design value. </w:t>
      </w:r>
    </w:p>
    <w:p>
      <w:pPr>
        <w:pStyle w:val="42"/>
        <w:ind w:left="720" w:firstLine="120" w:firstLineChars="0"/>
        <w:rPr>
          <w:lang w:eastAsia="en-US"/>
        </w:rPr>
      </w:pPr>
      <w:r>
        <w:rPr>
          <w:lang w:eastAsia="en-US"/>
        </w:rPr>
        <w:t>Use the default settings in the Data Input window.</w:t>
      </w:r>
    </w:p>
    <w:p>
      <w:pPr>
        <w:pStyle w:val="42"/>
        <w:numPr>
          <w:ilvl w:val="1"/>
          <w:numId w:val="5"/>
        </w:numPr>
        <w:ind w:firstLineChars="0"/>
        <w:rPr>
          <w:lang w:eastAsia="en-US"/>
        </w:rPr>
      </w:pPr>
      <w:r>
        <w:t xml:space="preserve">Click on the </w:t>
      </w:r>
      <w:r>
        <w:rPr>
          <w:b/>
          <w:color w:val="0432FF"/>
          <w:u w:val="single"/>
        </w:rPr>
        <w:t>Data Input</w:t>
      </w:r>
      <w:r>
        <w:rPr>
          <w:color w:val="1F497D" w:themeColor="text2"/>
          <w14:textFill>
            <w14:solidFill>
              <w14:schemeClr w14:val="tx2"/>
            </w14:solidFill>
          </w14:textFill>
        </w:rPr>
        <w:t xml:space="preserve"> </w:t>
      </w:r>
      <w:r>
        <w:t>hyperlink to display an electronic version of the User’s Manual for this window.</w:t>
      </w:r>
    </w:p>
    <w:p>
      <w:pPr>
        <w:pStyle w:val="42"/>
        <w:numPr>
          <w:ilvl w:val="1"/>
          <w:numId w:val="5"/>
        </w:numPr>
        <w:ind w:firstLineChars="0"/>
        <w:rPr>
          <w:lang w:eastAsia="en-US"/>
        </w:rPr>
      </w:pPr>
      <w:r>
        <w:rPr>
          <w:lang w:eastAsia="en-US"/>
        </w:rPr>
        <w:t xml:space="preserve">Click the </w:t>
      </w:r>
      <w:r>
        <w:rPr>
          <w:b/>
          <w:lang w:eastAsia="en-US"/>
        </w:rPr>
        <w:t>Next</w:t>
      </w:r>
      <w:r>
        <w:rPr>
          <w:lang w:eastAsia="en-US"/>
        </w:rPr>
        <w:t xml:space="preserve"> arrow at the bottom right of the Data Input window to proceed to the next step.</w:t>
      </w:r>
    </w:p>
    <w:p>
      <w:pPr>
        <w:ind w:left="840" w:hanging="840"/>
        <w:rPr>
          <w:lang w:eastAsia="en-US"/>
        </w:rPr>
      </w:pPr>
      <w:r>
        <w:rPr>
          <w:b/>
          <w:u w:val="single"/>
          <w:lang w:eastAsia="en-US"/>
        </w:rPr>
        <w:t>Step 5.</w:t>
      </w:r>
      <w:r>
        <w:rPr>
          <w:lang w:eastAsia="en-US"/>
        </w:rPr>
        <w:tab/>
      </w:r>
      <w:r>
        <w:rPr>
          <w:rFonts w:hint="eastAsia"/>
        </w:rPr>
        <w:t>This</w:t>
      </w:r>
      <w:r>
        <w:rPr>
          <w:lang w:eastAsia="en-US"/>
        </w:rPr>
        <w:t xml:space="preserve"> step</w:t>
      </w:r>
      <w:r>
        <w:rPr>
          <w:rFonts w:hint="eastAsia"/>
        </w:rPr>
        <w:t xml:space="preserve"> is the same as Step 5 in Section </w:t>
      </w:r>
      <w:r>
        <w:rPr>
          <w:rFonts w:hint="eastAsia"/>
        </w:rPr>
        <w:fldChar w:fldCharType="begin"/>
      </w:r>
      <w:r>
        <w:rPr>
          <w:rFonts w:hint="eastAsia"/>
        </w:rPr>
        <w:instrText xml:space="preserve"> REF _Toc119010856 \n \h </w:instrText>
      </w:r>
      <w:r>
        <w:rPr>
          <w:rFonts w:hint="eastAsia"/>
        </w:rPr>
        <w:fldChar w:fldCharType="separate"/>
      </w:r>
      <w:r>
        <w:t>2.4</w:t>
      </w:r>
      <w:r>
        <w:rPr>
          <w:rFonts w:hint="eastAsia"/>
        </w:rPr>
        <w:fldChar w:fldCharType="end"/>
      </w:r>
      <w:r>
        <w:rPr>
          <w:rFonts w:hint="eastAsia"/>
        </w:rPr>
        <w:t>.</w:t>
      </w:r>
    </w:p>
    <w:p>
      <w:pPr>
        <w:ind w:left="840" w:hanging="840"/>
        <w:rPr>
          <w:lang w:eastAsia="en-US"/>
        </w:rPr>
      </w:pPr>
      <w:r>
        <w:rPr>
          <w:b/>
          <w:u w:val="single"/>
          <w:lang w:eastAsia="en-US"/>
        </w:rPr>
        <w:t>Step 6.</w:t>
      </w:r>
      <w:r>
        <w:rPr>
          <w:lang w:eastAsia="en-US"/>
        </w:rPr>
        <w:tab/>
      </w:r>
      <w:r>
        <w:rPr>
          <w:lang w:eastAsia="en-US"/>
        </w:rPr>
        <w:t xml:space="preserve">The </w:t>
      </w:r>
      <w:r>
        <w:rPr>
          <w:b/>
          <w:lang w:eastAsia="en-US"/>
        </w:rPr>
        <w:t>PM</w:t>
      </w:r>
      <w:r>
        <w:rPr>
          <w:b/>
          <w:vertAlign w:val="subscript"/>
          <w:lang w:eastAsia="en-US"/>
        </w:rPr>
        <w:t>2.5</w:t>
      </w:r>
      <w:r>
        <w:rPr>
          <w:b/>
          <w:lang w:eastAsia="en-US"/>
        </w:rPr>
        <w:t xml:space="preserve"> Calculation Options</w:t>
      </w:r>
      <w:r>
        <w:rPr>
          <w:lang w:eastAsia="en-US"/>
        </w:rPr>
        <w:t xml:space="preserve"> window sets the particular years of monitor data to use from the input file specified in the Data Input Window</w:t>
      </w:r>
    </w:p>
    <w:p>
      <w:pPr>
        <w:ind w:left="420" w:firstLine="420"/>
        <w:rPr>
          <w:lang w:eastAsia="en-US"/>
        </w:rPr>
      </w:pPr>
      <w:r>
        <w:rPr>
          <w:lang w:eastAsia="en-US"/>
        </w:rPr>
        <w:t>Keep the default settings:</w:t>
      </w:r>
    </w:p>
    <w:p>
      <w:pPr>
        <w:pStyle w:val="42"/>
        <w:numPr>
          <w:ilvl w:val="1"/>
          <w:numId w:val="5"/>
        </w:numPr>
        <w:ind w:firstLineChars="0"/>
        <w:rPr>
          <w:lang w:eastAsia="en-US"/>
        </w:rPr>
      </w:pPr>
      <w:r>
        <w:rPr>
          <w:b/>
          <w:lang w:eastAsia="en-US"/>
        </w:rPr>
        <w:t>PM</w:t>
      </w:r>
      <w:r>
        <w:rPr>
          <w:b/>
          <w:vertAlign w:val="subscript"/>
          <w:lang w:eastAsia="en-US"/>
        </w:rPr>
        <w:t xml:space="preserve">2.5 </w:t>
      </w:r>
      <w:r>
        <w:rPr>
          <w:b/>
          <w:lang w:eastAsia="en-US"/>
        </w:rPr>
        <w:t>Monitor Data Years</w:t>
      </w:r>
      <w:r>
        <w:rPr>
          <w:lang w:eastAsia="en-US"/>
        </w:rPr>
        <w:t>: Start Year = 2009 and End Year = 2013.</w:t>
      </w:r>
    </w:p>
    <w:p>
      <w:pPr>
        <w:pStyle w:val="42"/>
        <w:numPr>
          <w:ilvl w:val="1"/>
          <w:numId w:val="5"/>
        </w:numPr>
        <w:ind w:firstLineChars="0"/>
        <w:rPr>
          <w:lang w:eastAsia="en-US"/>
        </w:rPr>
      </w:pPr>
      <w:r>
        <w:rPr>
          <w:b/>
          <w:lang w:eastAsia="en-US"/>
        </w:rPr>
        <w:t>Valid FRM Monitors</w:t>
      </w:r>
      <w:r>
        <w:rPr>
          <w:lang w:eastAsia="en-US"/>
        </w:rPr>
        <w:t>: Keep the minimum number of design values equal to the default value of 1, and do not specify any particular design values for inclusion in the calculations.</w:t>
      </w:r>
    </w:p>
    <w:p>
      <w:pPr>
        <w:pStyle w:val="42"/>
        <w:numPr>
          <w:ilvl w:val="1"/>
          <w:numId w:val="5"/>
        </w:numPr>
        <w:ind w:firstLineChars="0"/>
        <w:rPr>
          <w:lang w:eastAsia="en-US"/>
        </w:rPr>
      </w:pPr>
      <w:r>
        <w:rPr>
          <w:b/>
          <w:lang w:eastAsia="en-US"/>
        </w:rPr>
        <w:t>NH</w:t>
      </w:r>
      <w:r>
        <w:rPr>
          <w:b/>
          <w:vertAlign w:val="subscript"/>
          <w:lang w:eastAsia="en-US"/>
        </w:rPr>
        <w:t>4</w:t>
      </w:r>
      <w:r>
        <w:rPr>
          <w:b/>
          <w:lang w:eastAsia="en-US"/>
        </w:rPr>
        <w:t xml:space="preserve"> Future Calculation</w:t>
      </w:r>
      <w:r>
        <w:rPr>
          <w:lang w:eastAsia="en-US"/>
        </w:rPr>
        <w:t>: Sets how to forecast NH</w:t>
      </w:r>
      <w:r>
        <w:rPr>
          <w:vertAlign w:val="subscript"/>
          <w:lang w:eastAsia="en-US"/>
        </w:rPr>
        <w:t>4</w:t>
      </w:r>
      <w:r>
        <w:rPr>
          <w:lang w:eastAsia="en-US"/>
        </w:rPr>
        <w:t xml:space="preserve"> values. Use the default approach, which is to use baseline DON values.</w:t>
      </w:r>
    </w:p>
    <w:p>
      <w:pPr>
        <w:pStyle w:val="42"/>
        <w:numPr>
          <w:ilvl w:val="1"/>
          <w:numId w:val="5"/>
        </w:numPr>
        <w:ind w:firstLineChars="0"/>
        <w:rPr>
          <w:lang w:eastAsia="en-US"/>
        </w:rPr>
      </w:pPr>
      <w:r>
        <w:rPr>
          <w:lang w:eastAsia="en-US"/>
        </w:rPr>
        <w:t xml:space="preserve">Click the </w:t>
      </w:r>
      <w:r>
        <w:rPr>
          <w:b/>
          <w:lang w:eastAsia="en-US"/>
        </w:rPr>
        <w:t>Next</w:t>
      </w:r>
      <w:r>
        <w:rPr>
          <w:lang w:eastAsia="en-US"/>
        </w:rPr>
        <w:t xml:space="preserve"> arrow at the bottom right of the PM</w:t>
      </w:r>
      <w:r>
        <w:rPr>
          <w:vertAlign w:val="subscript"/>
          <w:lang w:eastAsia="en-US"/>
        </w:rPr>
        <w:t xml:space="preserve">2.5 </w:t>
      </w:r>
      <w:r>
        <w:rPr>
          <w:lang w:eastAsia="en-US"/>
        </w:rPr>
        <w:t>Calculation Options window to proceed to the next step.</w:t>
      </w:r>
    </w:p>
    <w:p>
      <w:pPr>
        <w:ind w:left="840" w:hanging="840"/>
        <w:rPr>
          <w:b/>
          <w:u w:val="single"/>
          <w:lang w:eastAsia="en-US"/>
        </w:rPr>
      </w:pPr>
      <w:r>
        <w:rPr>
          <w:b/>
          <w:u w:val="single"/>
          <w:lang w:eastAsia="en-US"/>
        </w:rPr>
        <w:t>Step 7.</w:t>
      </w:r>
      <w:r>
        <w:rPr>
          <w:b/>
          <w:lang w:eastAsia="en-US"/>
        </w:rPr>
        <w:tab/>
      </w:r>
      <w:r>
        <w:t xml:space="preserve">The </w:t>
      </w:r>
      <w:r>
        <w:rPr>
          <w:b/>
        </w:rPr>
        <w:t>Model Data Options</w:t>
      </w:r>
      <w:r>
        <w:t xml:space="preserve"> window sets how to perform temporal adjustments on the</w:t>
      </w:r>
      <w:r>
        <w:rPr>
          <w:rFonts w:ascii="Helvetica" w:hAnsi="Helvetica"/>
          <w:kern w:val="0"/>
          <w:sz w:val="18"/>
          <w:szCs w:val="18"/>
          <w:lang w:eastAsia="en-US"/>
        </w:rPr>
        <w:t xml:space="preserve"> </w:t>
      </w:r>
      <w:r>
        <w:t>monitoring data. This option sets how many model grid cells to use in the calculation of RRFs for point estimates and for spatial estimates. Use the default option: 3x3 set of grid cells. Note that for PM analyses, SMAT-CE calculates mean concentrations across the grid cell array (as compared to maximum concentrations used for ozone analyses).</w:t>
      </w:r>
    </w:p>
    <w:p>
      <w:pPr>
        <w:pStyle w:val="42"/>
        <w:ind w:left="720" w:firstLine="120" w:firstLineChars="0"/>
        <w:rPr>
          <w:lang w:eastAsia="en-US"/>
        </w:rPr>
      </w:pPr>
      <w:r>
        <w:rPr>
          <w:lang w:eastAsia="en-US"/>
        </w:rPr>
        <w:t>Use the default settings in the Model Data Options window:</w:t>
      </w:r>
    </w:p>
    <w:p>
      <w:pPr>
        <w:pStyle w:val="42"/>
        <w:numPr>
          <w:ilvl w:val="1"/>
          <w:numId w:val="5"/>
        </w:numPr>
        <w:ind w:firstLineChars="0"/>
        <w:rPr>
          <w:lang w:eastAsia="en-US"/>
        </w:rPr>
      </w:pPr>
      <w:r>
        <w:t xml:space="preserve">Click on the </w:t>
      </w:r>
      <w:r>
        <w:rPr>
          <w:b/>
          <w:color w:val="0432FF"/>
          <w:u w:val="single"/>
        </w:rPr>
        <w:t>Model Data Options</w:t>
      </w:r>
      <w:r>
        <w:rPr>
          <w:color w:val="1F497D" w:themeColor="text2"/>
          <w14:textFill>
            <w14:solidFill>
              <w14:schemeClr w14:val="tx2"/>
            </w14:solidFill>
          </w14:textFill>
        </w:rPr>
        <w:t xml:space="preserve"> </w:t>
      </w:r>
      <w:r>
        <w:t>hyperlink to display an electronic version of the User’s Manual for this window.</w:t>
      </w:r>
    </w:p>
    <w:p>
      <w:pPr>
        <w:pStyle w:val="42"/>
        <w:numPr>
          <w:ilvl w:val="1"/>
          <w:numId w:val="5"/>
        </w:numPr>
        <w:ind w:firstLineChars="0"/>
        <w:rPr>
          <w:lang w:eastAsia="en-US"/>
        </w:rPr>
      </w:pPr>
      <w:r>
        <w:rPr>
          <w:b/>
        </w:rPr>
        <w:t>Temporal Adjustment at Monitor</w:t>
      </w:r>
      <w:r>
        <w:t>. Sets how many model grid cells to</w:t>
      </w:r>
      <w:r>
        <w:rPr>
          <w:rFonts w:ascii="Helvetica" w:hAnsi="Helvetica"/>
          <w:kern w:val="0"/>
          <w:sz w:val="18"/>
          <w:szCs w:val="18"/>
          <w:lang w:eastAsia="en-US"/>
        </w:rPr>
        <w:t xml:space="preserve"> </w:t>
      </w:r>
      <w:r>
        <w:t>use in the calculation of RRFs for point and spatial estimates. Use the default option for</w:t>
      </w:r>
      <w:r>
        <w:rPr>
          <w:rFonts w:ascii="Helvetica" w:hAnsi="Helvetica"/>
          <w:kern w:val="0"/>
          <w:sz w:val="18"/>
          <w:szCs w:val="18"/>
          <w:lang w:eastAsia="en-US"/>
        </w:rPr>
        <w:t xml:space="preserve"> </w:t>
      </w:r>
      <w:r>
        <w:t xml:space="preserve">both: 1x1 set of grid cells. Note that for PM analyses, SMAT-CE should be set to calculate mean concentrations across the grid cell array. </w:t>
      </w:r>
    </w:p>
    <w:p>
      <w:pPr>
        <w:pStyle w:val="42"/>
        <w:numPr>
          <w:ilvl w:val="1"/>
          <w:numId w:val="5"/>
        </w:numPr>
        <w:ind w:firstLineChars="0"/>
        <w:rPr>
          <w:lang w:eastAsia="en-US"/>
        </w:rPr>
      </w:pPr>
      <w:r>
        <w:rPr>
          <w:b/>
        </w:rPr>
        <w:t>Advanced Options: RRF Model Values Used</w:t>
      </w:r>
      <w:r>
        <w:t xml:space="preserve"> sets that monitor data to use to characterize peak values (e.g., top 10%of daily model days).</w:t>
      </w:r>
    </w:p>
    <w:p>
      <w:pPr>
        <w:pStyle w:val="42"/>
        <w:numPr>
          <w:ilvl w:val="1"/>
          <w:numId w:val="5"/>
        </w:numPr>
        <w:ind w:firstLineChars="0"/>
        <w:rPr>
          <w:lang w:eastAsia="en-US"/>
        </w:rPr>
      </w:pPr>
      <w:r>
        <w:rPr>
          <w:lang w:eastAsia="en-US"/>
        </w:rPr>
        <w:t xml:space="preserve">Click the </w:t>
      </w:r>
      <w:r>
        <w:rPr>
          <w:b/>
          <w:lang w:eastAsia="en-US"/>
        </w:rPr>
        <w:t>Next</w:t>
      </w:r>
      <w:r>
        <w:rPr>
          <w:lang w:eastAsia="en-US"/>
        </w:rPr>
        <w:t xml:space="preserve"> arrow at the bottom right of the Model Data Options window to complete the Daily PM Analysis configuration and run the attainment test.</w:t>
      </w:r>
    </w:p>
    <w:p>
      <w:pPr>
        <w:pStyle w:val="42"/>
        <w:numPr>
          <w:ilvl w:val="1"/>
          <w:numId w:val="5"/>
        </w:numPr>
        <w:ind w:firstLineChars="0"/>
        <w:rPr>
          <w:lang w:eastAsia="en-US"/>
        </w:rPr>
      </w:pPr>
      <w:r>
        <w:rPr>
          <w:lang w:eastAsia="en-US"/>
        </w:rPr>
        <w:t xml:space="preserve">Click </w:t>
      </w:r>
      <w:r>
        <w:rPr>
          <w:b/>
          <w:lang w:eastAsia="en-US"/>
        </w:rPr>
        <w:t>Save &amp; Run Project</w:t>
      </w:r>
      <w:r>
        <w:rPr>
          <w:lang w:eastAsia="en-US"/>
        </w:rPr>
        <w:t xml:space="preserve"> in the pop-up window. Click Save to create a project (*.proj) file for this tutorial exercise. The Filename should reflect the text entered in the Project Name box from Step 2 above.</w:t>
      </w:r>
    </w:p>
    <w:p>
      <w:pPr>
        <w:rPr>
          <w:lang w:eastAsia="en-US"/>
        </w:rPr>
      </w:pPr>
      <w:r>
        <w:rPr>
          <w:lang w:eastAsia="en-US"/>
        </w:rPr>
        <w:t xml:space="preserve">The Daily PM Analysis will complete after a few minutes and the SMAT-CE Data Viewer will present the results of the analysis. See </w:t>
      </w:r>
      <w:r>
        <w:fldChar w:fldCharType="begin"/>
      </w:r>
      <w:r>
        <w:instrText xml:space="preserve"> HYPERLINK \l "_The_SMAT-CE_Data_2" </w:instrText>
      </w:r>
      <w:r>
        <w:fldChar w:fldCharType="separate"/>
      </w:r>
      <w:r>
        <w:rPr>
          <w:rStyle w:val="36"/>
          <w:lang w:eastAsia="en-US"/>
        </w:rPr>
        <w:t>Chapter 10</w:t>
      </w:r>
      <w:r>
        <w:rPr>
          <w:rStyle w:val="36"/>
          <w:lang w:eastAsia="en-US"/>
        </w:rPr>
        <w:fldChar w:fldCharType="end"/>
      </w:r>
      <w:r>
        <w:rPr>
          <w:lang w:eastAsia="en-US"/>
        </w:rPr>
        <w:t xml:space="preserve"> for details on how to use the Data Viewer to analyze the results. </w:t>
      </w:r>
    </w:p>
    <w:p>
      <w:pPr>
        <w:pStyle w:val="3"/>
      </w:pPr>
      <w:bookmarkStart w:id="42" w:name="_Toc476653923"/>
      <w:bookmarkStart w:id="43" w:name="_Toc476654824"/>
      <w:bookmarkStart w:id="44" w:name="_Toc26696"/>
      <w:bookmarkStart w:id="45" w:name="_Toc476654446"/>
      <w:bookmarkStart w:id="46" w:name="_Toc119010858"/>
      <w:r>
        <w:t>Ozone Analysis Quick Start</w:t>
      </w:r>
      <w:bookmarkEnd w:id="42"/>
      <w:bookmarkEnd w:id="43"/>
      <w:bookmarkEnd w:id="44"/>
      <w:bookmarkEnd w:id="45"/>
      <w:bookmarkEnd w:id="46"/>
    </w:p>
    <w:p>
      <w:pPr>
        <w:rPr>
          <w:rStyle w:val="34"/>
        </w:rPr>
      </w:pPr>
      <w:r>
        <w:t xml:space="preserve">Details: </w:t>
      </w:r>
      <w:r>
        <w:fldChar w:fldCharType="begin"/>
      </w:r>
      <w:r>
        <w:instrText xml:space="preserve">HYPERLINK  \l "_Ozone_Analysis_1"</w:instrText>
      </w:r>
      <w:r>
        <w:fldChar w:fldCharType="separate"/>
      </w:r>
      <w:r>
        <w:rPr>
          <w:rStyle w:val="34"/>
        </w:rPr>
        <w:t>Chapter 8</w:t>
      </w:r>
    </w:p>
    <w:p>
      <w:pPr>
        <w:rPr>
          <w:lang w:eastAsia="en-US"/>
        </w:rPr>
      </w:pPr>
      <w:r>
        <w:fldChar w:fldCharType="end"/>
      </w:r>
      <w:r>
        <w:rPr>
          <w:lang w:eastAsia="en-US"/>
        </w:rPr>
        <w:t xml:space="preserve">The steps below describe how to use SMAT-CE to compute monitor RRFs and design values for the NAAQS </w:t>
      </w:r>
      <w:r>
        <w:rPr>
          <w:rFonts w:hint="eastAsia"/>
        </w:rPr>
        <w:t>ozone</w:t>
      </w:r>
      <w:r>
        <w:rPr>
          <w:vertAlign w:val="subscript"/>
          <w:lang w:eastAsia="en-US"/>
        </w:rPr>
        <w:t xml:space="preserve"> </w:t>
      </w:r>
      <w:r>
        <w:rPr>
          <w:lang w:eastAsia="en-US"/>
        </w:rPr>
        <w:t xml:space="preserve">standard. </w:t>
      </w:r>
    </w:p>
    <w:p>
      <w:pPr>
        <w:ind w:left="840" w:hanging="840"/>
      </w:pPr>
      <w:r>
        <w:rPr>
          <w:b/>
          <w:u w:val="single"/>
        </w:rPr>
        <w:t>Step 1.</w:t>
      </w:r>
      <w:r>
        <w:t xml:space="preserve"> </w:t>
      </w:r>
      <w:r>
        <w:tab/>
      </w:r>
      <w:r>
        <w:t xml:space="preserve">Click </w:t>
      </w:r>
      <w:r>
        <w:rPr>
          <w:b/>
        </w:rPr>
        <w:t>Ozone Analysis</w:t>
      </w:r>
      <w:r>
        <w:t xml:space="preserve"> on the SMAT-CE Start Page to launch the Ozone Analysis module window.</w:t>
      </w:r>
    </w:p>
    <w:p>
      <w:pPr>
        <w:ind w:left="840" w:hanging="840"/>
      </w:pPr>
      <w:r>
        <w:rPr>
          <w:b/>
          <w:u w:val="single"/>
        </w:rPr>
        <w:t>Step 2.</w:t>
      </w:r>
      <w:r>
        <w:tab/>
      </w:r>
      <w:r>
        <w:t xml:space="preserve">The </w:t>
      </w:r>
      <w:r>
        <w:rPr>
          <w:b/>
        </w:rPr>
        <w:t>Desired Output</w:t>
      </w:r>
      <w:r>
        <w:t xml:space="preserve"> window displays first. This window sets the ozone analysis output that SMAT-CE will generate. SMAT-CE can </w:t>
      </w:r>
      <w:r>
        <w:rPr>
          <w:lang w:eastAsia="en-US"/>
        </w:rPr>
        <w:t xml:space="preserve">output the quarterly model data used in the calculations, use different approaches to interpolate the monitor data, and selectively output data for all of the design value periods. </w:t>
      </w:r>
    </w:p>
    <w:p>
      <w:pPr>
        <w:pStyle w:val="42"/>
        <w:numPr>
          <w:ilvl w:val="1"/>
          <w:numId w:val="5"/>
        </w:numPr>
        <w:ind w:firstLineChars="0"/>
      </w:pPr>
      <w:r>
        <w:t xml:space="preserve">Click on the </w:t>
      </w:r>
      <w:r>
        <w:rPr>
          <w:b/>
          <w:color w:val="0432FF"/>
          <w:u w:val="single"/>
        </w:rPr>
        <w:t>Desired Output</w:t>
      </w:r>
      <w:r>
        <w:rPr>
          <w:color w:val="1F497D" w:themeColor="text2"/>
          <w14:textFill>
            <w14:solidFill>
              <w14:schemeClr w14:val="tx2"/>
            </w14:solidFill>
          </w14:textFill>
        </w:rPr>
        <w:t xml:space="preserve"> </w:t>
      </w:r>
      <w:r>
        <w:t>hyperlink to display an electronic version of the User’s Manual for this window.</w:t>
      </w:r>
    </w:p>
    <w:p>
      <w:pPr>
        <w:pStyle w:val="42"/>
        <w:numPr>
          <w:ilvl w:val="1"/>
          <w:numId w:val="5"/>
        </w:numPr>
        <w:ind w:firstLineChars="0"/>
      </w:pPr>
      <w:r>
        <w:t xml:space="preserve">Type a </w:t>
      </w:r>
      <w:r>
        <w:rPr>
          <w:b/>
        </w:rPr>
        <w:t>Project Name</w:t>
      </w:r>
      <w:r>
        <w:t xml:space="preserve"> in the dialog box. For example, type “</w:t>
      </w:r>
      <w:r>
        <w:rPr>
          <w:rFonts w:hint="eastAsia"/>
        </w:rPr>
        <w:t>ozone</w:t>
      </w:r>
      <w:r>
        <w:t>_Tutorial” in the Project Name box.</w:t>
      </w:r>
    </w:p>
    <w:p>
      <w:pPr>
        <w:pStyle w:val="42"/>
        <w:numPr>
          <w:ilvl w:val="1"/>
          <w:numId w:val="5"/>
        </w:numPr>
        <w:ind w:firstLineChars="0"/>
      </w:pPr>
      <w:r>
        <w:rPr>
          <w:b/>
          <w:lang w:eastAsia="en-US"/>
        </w:rPr>
        <w:t>Point Estimates:</w:t>
      </w:r>
      <w:r>
        <w:rPr>
          <w:lang w:eastAsia="en-US"/>
        </w:rPr>
        <w:t xml:space="preserve"> Leave the box checked next to "Forecast ozone design values at monitors." SMAT-CE will create forecasts for each monitor in the monitor file.</w:t>
      </w:r>
    </w:p>
    <w:p>
      <w:pPr>
        <w:pStyle w:val="42"/>
        <w:numPr>
          <w:ilvl w:val="1"/>
          <w:numId w:val="5"/>
        </w:numPr>
        <w:ind w:firstLineChars="0"/>
        <w:rPr>
          <w:lang w:eastAsia="en-US"/>
        </w:rPr>
      </w:pPr>
      <w:r>
        <w:rPr>
          <w:b/>
          <w:lang w:eastAsia="en-US"/>
        </w:rPr>
        <w:t>Quarterly Model Data</w:t>
      </w:r>
      <w:r>
        <w:rPr>
          <w:b/>
          <w:bCs/>
          <w:lang w:eastAsia="en-US"/>
        </w:rPr>
        <w:t>:</w:t>
      </w:r>
      <w:r>
        <w:rPr>
          <w:lang w:eastAsia="en-US"/>
        </w:rPr>
        <w:t xml:space="preserve"> </w:t>
      </w:r>
      <w:r>
        <w:t>Check this option. SMAT-CE will generate quarterly model files</w:t>
      </w:r>
      <w:r>
        <w:rPr>
          <w:rFonts w:ascii="Helvetica" w:hAnsi="Helvetica"/>
          <w:kern w:val="0"/>
          <w:sz w:val="18"/>
          <w:szCs w:val="18"/>
          <w:lang w:eastAsia="en-US"/>
        </w:rPr>
        <w:t xml:space="preserve"> </w:t>
      </w:r>
      <w:r>
        <w:t>from daily input data.</w:t>
      </w:r>
    </w:p>
    <w:p>
      <w:pPr>
        <w:pStyle w:val="42"/>
        <w:numPr>
          <w:ilvl w:val="1"/>
          <w:numId w:val="5"/>
        </w:numPr>
        <w:ind w:firstLineChars="0"/>
        <w:rPr>
          <w:lang w:eastAsia="en-US"/>
        </w:rPr>
      </w:pPr>
      <w:r>
        <w:rPr>
          <w:b/>
          <w:lang w:eastAsia="en-US"/>
        </w:rPr>
        <w:t>Spatial Field</w:t>
      </w:r>
      <w:r>
        <w:rPr>
          <w:b/>
          <w:bCs/>
          <w:lang w:eastAsia="en-US"/>
        </w:rPr>
        <w:t>:</w:t>
      </w:r>
      <w:r>
        <w:rPr>
          <w:lang w:eastAsia="en-US"/>
        </w:rPr>
        <w:t xml:space="preserve"> Leave unchecked. If checked, SMAT-CE would interpolate from the monitor data to calculate design values for the entire modeling domain. </w:t>
      </w:r>
    </w:p>
    <w:p>
      <w:pPr>
        <w:pStyle w:val="42"/>
        <w:numPr>
          <w:ilvl w:val="1"/>
          <w:numId w:val="5"/>
        </w:numPr>
        <w:ind w:firstLineChars="0"/>
        <w:rPr>
          <w:lang w:eastAsia="en-US"/>
        </w:rPr>
      </w:pPr>
      <w:r>
        <w:rPr>
          <w:b/>
          <w:lang w:eastAsia="en-US"/>
        </w:rPr>
        <w:t>Actions on run completion</w:t>
      </w:r>
      <w:r>
        <w:rPr>
          <w:b/>
          <w:bCs/>
          <w:lang w:eastAsia="en-US"/>
        </w:rPr>
        <w:t>:</w:t>
      </w:r>
      <w:r>
        <w:rPr>
          <w:lang w:eastAsia="en-US"/>
        </w:rPr>
        <w:t xml:space="preserve"> Check the box next to “Automatically Extract All Selected Output Files”. Upon completing its calculations, SMAT-CE will extract the results into a folder with the name of your scenario.</w:t>
      </w:r>
    </w:p>
    <w:p>
      <w:pPr>
        <w:pStyle w:val="42"/>
        <w:numPr>
          <w:ilvl w:val="1"/>
          <w:numId w:val="5"/>
        </w:numPr>
        <w:ind w:firstLineChars="0"/>
        <w:rPr>
          <w:lang w:eastAsia="en-US"/>
        </w:rPr>
      </w:pPr>
      <w:r>
        <w:rPr>
          <w:lang w:eastAsia="en-US"/>
        </w:rPr>
        <w:t xml:space="preserve">Click the </w:t>
      </w:r>
      <w:r>
        <w:rPr>
          <w:b/>
          <w:lang w:eastAsia="en-US"/>
        </w:rPr>
        <w:t>Next</w:t>
      </w:r>
      <w:r>
        <w:rPr>
          <w:lang w:eastAsia="en-US"/>
        </w:rPr>
        <w:t xml:space="preserve"> arrow at the bottom right of the Desired Output window to proceed to the next step.</w:t>
      </w:r>
    </w:p>
    <w:p>
      <w:pPr>
        <w:ind w:left="840" w:hanging="840"/>
        <w:rPr>
          <w:lang w:eastAsia="en-US"/>
        </w:rPr>
      </w:pPr>
      <w:r>
        <w:rPr>
          <w:b/>
          <w:u w:val="single"/>
          <w:lang w:eastAsia="en-US"/>
        </w:rPr>
        <w:t>Step 3.</w:t>
      </w:r>
      <w:r>
        <w:rPr>
          <w:lang w:eastAsia="en-US"/>
        </w:rPr>
        <w:tab/>
      </w:r>
      <w:r>
        <w:rPr>
          <w:lang w:eastAsia="en-US"/>
        </w:rPr>
        <w:t xml:space="preserve">The </w:t>
      </w:r>
      <w:r>
        <w:rPr>
          <w:b/>
          <w:lang w:eastAsia="en-US"/>
        </w:rPr>
        <w:t>Data Input</w:t>
      </w:r>
      <w:r>
        <w:rPr>
          <w:lang w:eastAsia="en-US"/>
        </w:rPr>
        <w:t xml:space="preserve"> window sets the monitor and model data to use for the </w:t>
      </w:r>
      <w:r>
        <w:rPr>
          <w:rFonts w:hint="eastAsia"/>
        </w:rPr>
        <w:t>ozone</w:t>
      </w:r>
      <w:r>
        <w:rPr>
          <w:lang w:eastAsia="en-US"/>
        </w:rPr>
        <w:t xml:space="preserve"> attainment test. SMAT-CE calculates the ratio of the base and future year model data to calculate a relative response factor (RRF) for </w:t>
      </w:r>
      <w:r>
        <w:rPr>
          <w:rFonts w:hint="eastAsia"/>
        </w:rPr>
        <w:t>ozone</w:t>
      </w:r>
      <w:r>
        <w:rPr>
          <w:lang w:eastAsia="en-US"/>
        </w:rPr>
        <w:t xml:space="preserve">. SMAT-CE multiplies the </w:t>
      </w:r>
      <w:r>
        <w:rPr>
          <w:rFonts w:hint="eastAsia"/>
        </w:rPr>
        <w:t>ozone</w:t>
      </w:r>
      <w:r>
        <w:rPr>
          <w:vertAlign w:val="subscript"/>
          <w:lang w:eastAsia="en-US"/>
        </w:rPr>
        <w:t xml:space="preserve"> </w:t>
      </w:r>
      <w:r>
        <w:rPr>
          <w:lang w:eastAsia="en-US"/>
        </w:rPr>
        <w:t xml:space="preserve">monitor data by the RRFs and then estimates a future-year design value. </w:t>
      </w:r>
    </w:p>
    <w:p>
      <w:pPr>
        <w:ind w:left="840"/>
        <w:rPr>
          <w:lang w:eastAsia="en-US"/>
        </w:rPr>
      </w:pPr>
      <w:r>
        <w:t>SMAT-CE includes options to use model data in different ways when calculating</w:t>
      </w:r>
      <w:r>
        <w:rPr>
          <w:rFonts w:ascii="Helvetica" w:hAnsi="Helvetica"/>
          <w:kern w:val="0"/>
          <w:sz w:val="18"/>
          <w:szCs w:val="18"/>
          <w:lang w:eastAsia="en-US"/>
        </w:rPr>
        <w:t xml:space="preserve"> </w:t>
      </w:r>
      <w:r>
        <w:t>forecasts at each monitor. Options include selecting results from the single</w:t>
      </w:r>
      <w:r>
        <w:rPr>
          <w:rFonts w:ascii="Helvetica" w:hAnsi="Helvetica"/>
          <w:kern w:val="0"/>
          <w:sz w:val="18"/>
          <w:szCs w:val="18"/>
          <w:lang w:eastAsia="en-US"/>
        </w:rPr>
        <w:t xml:space="preserve"> </w:t>
      </w:r>
      <w:r>
        <w:t>grid cell that contains the monitor or selecting a grid cell array of 3x3, 5x5, or 7x7 model cells</w:t>
      </w:r>
      <w:r>
        <w:rPr>
          <w:rFonts w:ascii="Helvetica" w:hAnsi="Helvetica"/>
          <w:kern w:val="0"/>
          <w:sz w:val="18"/>
          <w:szCs w:val="18"/>
          <w:lang w:eastAsia="en-US"/>
        </w:rPr>
        <w:t xml:space="preserve"> </w:t>
      </w:r>
      <w:r>
        <w:t>around each monitor. The tutorial dataset contained in SMAT-CE is at 12km</w:t>
      </w:r>
      <w:r>
        <w:rPr>
          <w:rFonts w:ascii="Helvetica" w:hAnsi="Helvetica"/>
          <w:kern w:val="0"/>
          <w:sz w:val="18"/>
          <w:szCs w:val="18"/>
          <w:lang w:eastAsia="en-US"/>
        </w:rPr>
        <w:t xml:space="preserve"> </w:t>
      </w:r>
      <w:r>
        <w:t>resolution and should use a 3x3 grid cell array. The default for ozone analysis is to choose the maximum</w:t>
      </w:r>
      <w:r>
        <w:rPr>
          <w:rFonts w:ascii="Helvetica" w:hAnsi="Helvetica"/>
          <w:kern w:val="0"/>
          <w:sz w:val="18"/>
          <w:szCs w:val="18"/>
          <w:lang w:eastAsia="en-US"/>
        </w:rPr>
        <w:t xml:space="preserve"> </w:t>
      </w:r>
      <w:r>
        <w:t>daily concentration in the array for the RRF calculation.</w:t>
      </w:r>
    </w:p>
    <w:p>
      <w:pPr>
        <w:pStyle w:val="42"/>
        <w:ind w:left="720" w:firstLine="120" w:firstLineChars="0"/>
        <w:rPr>
          <w:lang w:eastAsia="en-US"/>
        </w:rPr>
      </w:pPr>
      <w:r>
        <w:rPr>
          <w:lang w:eastAsia="en-US"/>
        </w:rPr>
        <w:t>Use the default settings in the Data Input window.</w:t>
      </w:r>
    </w:p>
    <w:p>
      <w:pPr>
        <w:pStyle w:val="42"/>
        <w:numPr>
          <w:ilvl w:val="1"/>
          <w:numId w:val="5"/>
        </w:numPr>
        <w:ind w:firstLineChars="0"/>
        <w:rPr>
          <w:lang w:eastAsia="en-US"/>
        </w:rPr>
      </w:pPr>
      <w:r>
        <w:t xml:space="preserve">Click on the </w:t>
      </w:r>
      <w:r>
        <w:rPr>
          <w:b/>
          <w:color w:val="0432FF"/>
          <w:u w:val="single"/>
        </w:rPr>
        <w:t>Data Input</w:t>
      </w:r>
      <w:r>
        <w:rPr>
          <w:color w:val="1F497D" w:themeColor="text2"/>
          <w14:textFill>
            <w14:solidFill>
              <w14:schemeClr w14:val="tx2"/>
            </w14:solidFill>
          </w14:textFill>
        </w:rPr>
        <w:t xml:space="preserve"> </w:t>
      </w:r>
      <w:r>
        <w:t>hyperlink to display an electronic version of the User’s Manual for this window.</w:t>
      </w:r>
    </w:p>
    <w:p>
      <w:pPr>
        <w:pStyle w:val="42"/>
        <w:numPr>
          <w:ilvl w:val="1"/>
          <w:numId w:val="5"/>
        </w:numPr>
        <w:ind w:firstLineChars="0"/>
        <w:rPr>
          <w:lang w:eastAsia="en-US"/>
        </w:rPr>
      </w:pPr>
      <w:r>
        <w:rPr>
          <w:lang w:eastAsia="en-US"/>
        </w:rPr>
        <w:t xml:space="preserve">Click the </w:t>
      </w:r>
      <w:r>
        <w:rPr>
          <w:b/>
          <w:lang w:eastAsia="en-US"/>
        </w:rPr>
        <w:t>Next</w:t>
      </w:r>
      <w:r>
        <w:rPr>
          <w:lang w:eastAsia="en-US"/>
        </w:rPr>
        <w:t xml:space="preserve"> arrow at the bottom right of the Data Input window to proceed to the next step.</w:t>
      </w:r>
    </w:p>
    <w:p>
      <w:pPr>
        <w:ind w:left="840" w:hanging="840"/>
        <w:rPr>
          <w:lang w:eastAsia="en-US"/>
        </w:rPr>
      </w:pPr>
      <w:r>
        <w:rPr>
          <w:b/>
          <w:u w:val="single"/>
          <w:lang w:eastAsia="en-US"/>
        </w:rPr>
        <w:t>Step 5.</w:t>
      </w:r>
      <w:r>
        <w:rPr>
          <w:lang w:eastAsia="en-US"/>
        </w:rPr>
        <w:tab/>
      </w:r>
      <w:r>
        <w:rPr>
          <w:lang w:eastAsia="en-US"/>
        </w:rPr>
        <w:t xml:space="preserve">The </w:t>
      </w:r>
      <w:r>
        <w:rPr>
          <w:b/>
          <w:lang w:eastAsia="en-US"/>
        </w:rPr>
        <w:t>Filtering/Interpolation</w:t>
      </w:r>
      <w:r>
        <w:rPr>
          <w:lang w:eastAsia="en-US"/>
        </w:rPr>
        <w:t xml:space="preserve"> window has several functions related to interpolating monitoring data. These functions include identifying the years of monitor data to use in the RRF calculations, choosing the particular monitors to use in the analysis, and (when calculating spatial fields) specifying the interpolation method. </w:t>
      </w:r>
    </w:p>
    <w:p>
      <w:pPr>
        <w:ind w:left="840"/>
        <w:rPr>
          <w:lang w:eastAsia="en-US"/>
        </w:rPr>
      </w:pPr>
      <w:r>
        <w:rPr>
          <w:lang w:eastAsia="en-US"/>
        </w:rPr>
        <w:t>Use the default settings in the Filtering/Interpolation window.</w:t>
      </w:r>
    </w:p>
    <w:p>
      <w:pPr>
        <w:pStyle w:val="42"/>
        <w:numPr>
          <w:ilvl w:val="0"/>
          <w:numId w:val="7"/>
        </w:numPr>
        <w:ind w:firstLineChars="0"/>
        <w:rPr>
          <w:lang w:eastAsia="en-US"/>
        </w:rPr>
      </w:pPr>
      <w:r>
        <w:t xml:space="preserve">Click on the </w:t>
      </w:r>
      <w:r>
        <w:rPr>
          <w:b/>
          <w:color w:val="0432FF"/>
          <w:u w:val="single"/>
        </w:rPr>
        <w:t>Filtering/Interpolation</w:t>
      </w:r>
      <w:r>
        <w:rPr>
          <w:color w:val="1F497D" w:themeColor="text2"/>
          <w14:textFill>
            <w14:solidFill>
              <w14:schemeClr w14:val="tx2"/>
            </w14:solidFill>
          </w14:textFill>
        </w:rPr>
        <w:t xml:space="preserve"> </w:t>
      </w:r>
      <w:r>
        <w:t>hyperlink to display an electronic version of the User’s Manual for this window.</w:t>
      </w:r>
    </w:p>
    <w:p>
      <w:pPr>
        <w:pStyle w:val="42"/>
        <w:numPr>
          <w:ilvl w:val="1"/>
          <w:numId w:val="5"/>
        </w:numPr>
        <w:ind w:firstLineChars="0"/>
        <w:rPr>
          <w:lang w:eastAsia="en-US"/>
        </w:rPr>
      </w:pPr>
      <w:r>
        <w:rPr>
          <w:b/>
          <w:lang w:eastAsia="en-US"/>
        </w:rPr>
        <w:t>Choose Ozone Design Values</w:t>
      </w:r>
      <w:r>
        <w:rPr>
          <w:b/>
          <w:bCs/>
          <w:lang w:eastAsia="en-US"/>
        </w:rPr>
        <w:t>:</w:t>
      </w:r>
      <w:r>
        <w:rPr>
          <w:lang w:eastAsia="en-US"/>
        </w:rPr>
        <w:t xml:space="preserve"> Sets the years of monitor data to use for the </w:t>
      </w:r>
      <w:r>
        <w:rPr>
          <w:rFonts w:hint="eastAsia"/>
        </w:rPr>
        <w:t>ozone</w:t>
      </w:r>
      <w:r>
        <w:rPr>
          <w:lang w:eastAsia="en-US"/>
        </w:rPr>
        <w:t xml:space="preserve"> attainment test. The default is to use a 5-year period (covering three 3-year design value periods) centered on the modeling year. The default modeling year in SMAT-CE is 2011, so the Start Year is 2009-2011 and the End Year is 2011-2013. The start and end years should be changed to applicable time periods, depending on the base modeling year.</w:t>
      </w:r>
    </w:p>
    <w:p>
      <w:pPr>
        <w:pStyle w:val="42"/>
        <w:numPr>
          <w:ilvl w:val="1"/>
          <w:numId w:val="5"/>
        </w:numPr>
        <w:ind w:firstLineChars="0"/>
        <w:rPr>
          <w:lang w:eastAsia="en-US"/>
        </w:rPr>
      </w:pPr>
      <w:r>
        <w:rPr>
          <w:b/>
          <w:lang w:eastAsia="en-US"/>
        </w:rPr>
        <w:t>Valid Ozone Monitors</w:t>
      </w:r>
      <w:r>
        <w:rPr>
          <w:b/>
          <w:bCs/>
          <w:lang w:eastAsia="en-US"/>
        </w:rPr>
        <w:t>:</w:t>
      </w:r>
      <w:r>
        <w:rPr>
          <w:lang w:eastAsia="en-US"/>
        </w:rPr>
        <w:t xml:space="preserve"> </w:t>
      </w:r>
      <w:r>
        <w:t>Identifies the "valid" monitors to include in the analysis. The default settings are to use monitors with at least one valid</w:t>
      </w:r>
      <w:r>
        <w:rPr>
          <w:rFonts w:ascii="Helvetica" w:hAnsi="Helvetica"/>
          <w:kern w:val="0"/>
          <w:sz w:val="18"/>
          <w:szCs w:val="18"/>
          <w:lang w:eastAsia="en-US"/>
        </w:rPr>
        <w:t xml:space="preserve"> </w:t>
      </w:r>
      <w:r>
        <w:t>design value period and that are within 25 kilometers of a model grid cell. SMAT-CE includes a setting to force that a particular design value isavailable (e.g., 2005-2007) for the data to be valid. The default is to require none in particular.</w:t>
      </w:r>
    </w:p>
    <w:p>
      <w:pPr>
        <w:pStyle w:val="42"/>
        <w:numPr>
          <w:ilvl w:val="1"/>
          <w:numId w:val="5"/>
        </w:numPr>
        <w:ind w:firstLineChars="0"/>
        <w:rPr>
          <w:lang w:eastAsia="en-US"/>
        </w:rPr>
      </w:pPr>
      <w:r>
        <w:rPr>
          <w:b/>
          <w:lang w:eastAsia="en-US"/>
        </w:rPr>
        <w:t>Default Interpolation Method</w:t>
      </w:r>
      <w:r>
        <w:rPr>
          <w:b/>
          <w:bCs/>
          <w:lang w:eastAsia="en-US"/>
        </w:rPr>
        <w:t>:</w:t>
      </w:r>
      <w:r>
        <w:rPr>
          <w:lang w:eastAsia="en-US"/>
        </w:rPr>
        <w:t xml:space="preserve"> Sets the method to combine the design values from different monitors into a single estimated design value. This option is only used when generating estimates for a Spatial Field. Since we are only generating Point Estimates, this set of options is not active in SMAT-CE.</w:t>
      </w:r>
    </w:p>
    <w:p>
      <w:pPr>
        <w:pStyle w:val="42"/>
        <w:numPr>
          <w:ilvl w:val="1"/>
          <w:numId w:val="5"/>
        </w:numPr>
        <w:ind w:firstLineChars="0"/>
        <w:rPr>
          <w:lang w:eastAsia="en-US"/>
        </w:rPr>
      </w:pPr>
      <w:r>
        <w:rPr>
          <w:lang w:eastAsia="en-US"/>
        </w:rPr>
        <w:t xml:space="preserve">Click the </w:t>
      </w:r>
      <w:r>
        <w:rPr>
          <w:b/>
          <w:lang w:eastAsia="en-US"/>
        </w:rPr>
        <w:t>Next</w:t>
      </w:r>
      <w:r>
        <w:rPr>
          <w:lang w:eastAsia="en-US"/>
        </w:rPr>
        <w:t xml:space="preserve"> arrow at the bottom right of the Filtering/Interpolation Options window to proceed to the next step.</w:t>
      </w:r>
    </w:p>
    <w:p>
      <w:pPr>
        <w:ind w:left="840" w:hanging="840"/>
        <w:rPr>
          <w:lang w:eastAsia="en-US"/>
        </w:rPr>
      </w:pPr>
      <w:r>
        <w:rPr>
          <w:b/>
          <w:u w:val="single"/>
          <w:lang w:eastAsia="en-US"/>
        </w:rPr>
        <w:t>Step 6.</w:t>
      </w:r>
      <w:r>
        <w:rPr>
          <w:lang w:eastAsia="en-US"/>
        </w:rPr>
        <w:tab/>
      </w:r>
      <w:r>
        <w:rPr>
          <w:lang w:eastAsia="en-US"/>
        </w:rPr>
        <w:t xml:space="preserve">The </w:t>
      </w:r>
      <w:r>
        <w:rPr>
          <w:b/>
          <w:lang w:eastAsia="en-US"/>
        </w:rPr>
        <w:t>RRF/Spatial Gradient</w:t>
      </w:r>
      <w:r>
        <w:rPr>
          <w:lang w:eastAsia="en-US"/>
        </w:rPr>
        <w:t xml:space="preserve"> window sets the days to be used in the RRF calculation and the model values to use in the calculation of a Spatial Field.</w:t>
      </w:r>
    </w:p>
    <w:p>
      <w:pPr>
        <w:ind w:left="420" w:firstLine="420"/>
        <w:rPr>
          <w:lang w:eastAsia="en-US"/>
        </w:rPr>
      </w:pPr>
      <w:r>
        <w:rPr>
          <w:lang w:eastAsia="en-US"/>
        </w:rPr>
        <w:t>Keep the default settings:</w:t>
      </w:r>
    </w:p>
    <w:p>
      <w:pPr>
        <w:pStyle w:val="42"/>
        <w:numPr>
          <w:ilvl w:val="0"/>
          <w:numId w:val="8"/>
        </w:numPr>
        <w:ind w:left="1440" w:firstLineChars="0"/>
        <w:rPr>
          <w:lang w:eastAsia="en-US"/>
        </w:rPr>
      </w:pPr>
      <w:r>
        <w:rPr>
          <w:b/>
          <w:lang w:eastAsia="en-US"/>
        </w:rPr>
        <w:t>RRF Setup:</w:t>
      </w:r>
      <w:r>
        <w:rPr>
          <w:lang w:eastAsia="en-US"/>
        </w:rPr>
        <w:t xml:space="preserve"> Sets the days to be used in the calculation of RRFs. By default, SMAT will select the top 10 highest days for the calculation. Each monitor must meet the minimum allowable threshold value and the minimum number of days at, or above, minimum allowable threshold value specified in this screen, or it is dropped from the calculation. The default values are 60 and 5, respectively.</w:t>
      </w:r>
    </w:p>
    <w:p>
      <w:pPr>
        <w:pStyle w:val="42"/>
        <w:numPr>
          <w:ilvl w:val="0"/>
          <w:numId w:val="8"/>
        </w:numPr>
        <w:ind w:left="1440" w:firstLineChars="0"/>
        <w:rPr>
          <w:lang w:eastAsia="en-US"/>
        </w:rPr>
      </w:pPr>
      <w:r>
        <w:rPr>
          <w:b/>
          <w:lang w:eastAsia="en-US"/>
        </w:rPr>
        <w:t xml:space="preserve">Spatial Gradient Setup: </w:t>
      </w:r>
      <w:r>
        <w:rPr>
          <w:lang w:eastAsia="en-US"/>
        </w:rPr>
        <w:t>Sets the model values that will be used in the calculation of a Spatial Field. Since we are only generating Point Estimates, this set of options is not active in SMAT-CE.</w:t>
      </w:r>
    </w:p>
    <w:p>
      <w:pPr>
        <w:pStyle w:val="42"/>
        <w:numPr>
          <w:ilvl w:val="1"/>
          <w:numId w:val="5"/>
        </w:numPr>
        <w:ind w:firstLineChars="0"/>
        <w:rPr>
          <w:lang w:eastAsia="en-US"/>
        </w:rPr>
      </w:pPr>
      <w:r>
        <w:rPr>
          <w:lang w:eastAsia="en-US"/>
        </w:rPr>
        <w:t xml:space="preserve">Click the </w:t>
      </w:r>
      <w:r>
        <w:rPr>
          <w:b/>
          <w:lang w:eastAsia="en-US"/>
        </w:rPr>
        <w:t>Next</w:t>
      </w:r>
      <w:r>
        <w:rPr>
          <w:lang w:eastAsia="en-US"/>
        </w:rPr>
        <w:t xml:space="preserve"> arrow at the bottom right of the RRF/Spatial Gradient Options window to complete the Ozone Analysis configuration and run the attainment test.</w:t>
      </w:r>
    </w:p>
    <w:p>
      <w:pPr>
        <w:pStyle w:val="42"/>
        <w:numPr>
          <w:ilvl w:val="1"/>
          <w:numId w:val="5"/>
        </w:numPr>
        <w:ind w:firstLineChars="0"/>
        <w:rPr>
          <w:lang w:eastAsia="en-US"/>
        </w:rPr>
      </w:pPr>
      <w:r>
        <w:rPr>
          <w:lang w:eastAsia="en-US"/>
        </w:rPr>
        <w:t xml:space="preserve">Click </w:t>
      </w:r>
      <w:r>
        <w:rPr>
          <w:b/>
          <w:lang w:eastAsia="en-US"/>
        </w:rPr>
        <w:t>Save &amp; Run Project</w:t>
      </w:r>
      <w:r>
        <w:rPr>
          <w:lang w:eastAsia="en-US"/>
        </w:rPr>
        <w:t xml:space="preserve"> in the pop-up window. Click Save to create a project (*.proj) file for this tutorial exercise. The Filename should reflect the text entered in the Project Name box from Step 2 above.</w:t>
      </w:r>
    </w:p>
    <w:p>
      <w:pPr>
        <w:rPr>
          <w:lang w:eastAsia="en-US"/>
        </w:rPr>
      </w:pPr>
      <w:r>
        <w:rPr>
          <w:lang w:eastAsia="en-US"/>
        </w:rPr>
        <w:t xml:space="preserve">The Ozone Analysis will complete after a few seconds and the SMAT-CE Data Viewer will present the results of the analysis. See </w:t>
      </w:r>
      <w:r>
        <w:fldChar w:fldCharType="begin"/>
      </w:r>
      <w:r>
        <w:instrText xml:space="preserve"> HYPERLINK \l "_The_SMAT-CE_Data_2" </w:instrText>
      </w:r>
      <w:r>
        <w:fldChar w:fldCharType="separate"/>
      </w:r>
      <w:r>
        <w:rPr>
          <w:rStyle w:val="36"/>
          <w:lang w:eastAsia="en-US"/>
        </w:rPr>
        <w:t>Chapter 10</w:t>
      </w:r>
      <w:r>
        <w:rPr>
          <w:rStyle w:val="36"/>
          <w:lang w:eastAsia="en-US"/>
        </w:rPr>
        <w:fldChar w:fldCharType="end"/>
      </w:r>
      <w:r>
        <w:rPr>
          <w:lang w:eastAsia="en-US"/>
        </w:rPr>
        <w:t xml:space="preserve"> for details on how to use the Data Viewer to analyze the results. </w:t>
      </w:r>
    </w:p>
    <w:p>
      <w:pPr>
        <w:pStyle w:val="3"/>
      </w:pPr>
      <w:bookmarkStart w:id="47" w:name="_Toc476654825"/>
      <w:bookmarkStart w:id="48" w:name="_Toc6811"/>
      <w:bookmarkStart w:id="49" w:name="_Toc476653924"/>
      <w:bookmarkStart w:id="50" w:name="_Toc119010859"/>
      <w:bookmarkStart w:id="51" w:name="_Toc476654447"/>
      <w:r>
        <w:t>Visibility Analysis Quick Start</w:t>
      </w:r>
      <w:bookmarkEnd w:id="47"/>
      <w:bookmarkEnd w:id="48"/>
      <w:bookmarkEnd w:id="49"/>
      <w:bookmarkEnd w:id="50"/>
      <w:bookmarkEnd w:id="51"/>
    </w:p>
    <w:p>
      <w:pPr>
        <w:rPr>
          <w:rStyle w:val="34"/>
        </w:rPr>
      </w:pPr>
      <w:r>
        <w:t xml:space="preserve">Details: </w:t>
      </w:r>
      <w:r>
        <w:fldChar w:fldCharType="begin"/>
      </w:r>
      <w:r>
        <w:instrText xml:space="preserve">HYPERLINK  \l "_Visibility_Analysis_1"</w:instrText>
      </w:r>
      <w:r>
        <w:fldChar w:fldCharType="separate"/>
      </w:r>
      <w:r>
        <w:rPr>
          <w:rStyle w:val="34"/>
        </w:rPr>
        <w:t>Chapter 9</w:t>
      </w:r>
    </w:p>
    <w:p>
      <w:pPr>
        <w:rPr>
          <w:lang w:eastAsia="en-US"/>
        </w:rPr>
      </w:pPr>
      <w:r>
        <w:fldChar w:fldCharType="end"/>
      </w:r>
      <w:r>
        <w:rPr>
          <w:lang w:eastAsia="en-US"/>
        </w:rPr>
        <w:t xml:space="preserve">The steps below describe how to use SMAT-CE to forecast visibility at U.S. Class I Areas. </w:t>
      </w:r>
    </w:p>
    <w:p>
      <w:pPr>
        <w:ind w:left="840" w:hanging="840"/>
      </w:pPr>
      <w:r>
        <w:rPr>
          <w:b/>
          <w:u w:val="single"/>
        </w:rPr>
        <w:t>Step 1.</w:t>
      </w:r>
      <w:r>
        <w:t xml:space="preserve"> </w:t>
      </w:r>
      <w:r>
        <w:tab/>
      </w:r>
      <w:r>
        <w:t xml:space="preserve">Click </w:t>
      </w:r>
      <w:r>
        <w:rPr>
          <w:b/>
        </w:rPr>
        <w:t>Visibility Analysis</w:t>
      </w:r>
      <w:r>
        <w:t xml:space="preserve"> on the SMAT-CE Start Page to launch the Visibility Analysis module window.</w:t>
      </w:r>
    </w:p>
    <w:p>
      <w:pPr>
        <w:ind w:left="840" w:hanging="840"/>
      </w:pPr>
      <w:r>
        <w:rPr>
          <w:b/>
          <w:u w:val="single"/>
        </w:rPr>
        <w:t>Step 2.</w:t>
      </w:r>
      <w:r>
        <w:tab/>
      </w:r>
      <w:r>
        <w:t xml:space="preserve">The </w:t>
      </w:r>
      <w:r>
        <w:rPr>
          <w:b/>
        </w:rPr>
        <w:t>Choose Desired Output</w:t>
      </w:r>
      <w:r>
        <w:t xml:space="preserve"> window displays first. This window sets the visibility analysis output that SMAT-CE will generate</w:t>
      </w:r>
      <w:r>
        <w:rPr>
          <w:lang w:eastAsia="en-US"/>
        </w:rPr>
        <w:t xml:space="preserve">. </w:t>
      </w:r>
    </w:p>
    <w:p>
      <w:pPr>
        <w:pStyle w:val="42"/>
        <w:numPr>
          <w:ilvl w:val="1"/>
          <w:numId w:val="5"/>
        </w:numPr>
        <w:ind w:firstLineChars="0"/>
      </w:pPr>
      <w:r>
        <w:t xml:space="preserve">Click on the </w:t>
      </w:r>
      <w:r>
        <w:rPr>
          <w:b/>
          <w:color w:val="0432FF"/>
          <w:u w:val="single"/>
        </w:rPr>
        <w:t>Choose Desired Output</w:t>
      </w:r>
      <w:r>
        <w:rPr>
          <w:color w:val="1F497D" w:themeColor="text2"/>
          <w14:textFill>
            <w14:solidFill>
              <w14:schemeClr w14:val="tx2"/>
            </w14:solidFill>
          </w14:textFill>
        </w:rPr>
        <w:t xml:space="preserve"> </w:t>
      </w:r>
      <w:r>
        <w:t>hyperlink to display an electronic version of the User’s Manual for this window.</w:t>
      </w:r>
    </w:p>
    <w:p>
      <w:pPr>
        <w:pStyle w:val="42"/>
        <w:numPr>
          <w:ilvl w:val="1"/>
          <w:numId w:val="5"/>
        </w:numPr>
        <w:ind w:firstLineChars="0"/>
      </w:pPr>
      <w:r>
        <w:t xml:space="preserve">Type a </w:t>
      </w:r>
      <w:r>
        <w:rPr>
          <w:b/>
        </w:rPr>
        <w:t>Project Name</w:t>
      </w:r>
      <w:r>
        <w:t xml:space="preserve"> in the dialog box. For example, type “Visibility_Tutorial” in the Project Name box.</w:t>
      </w:r>
    </w:p>
    <w:p>
      <w:pPr>
        <w:pStyle w:val="42"/>
        <w:numPr>
          <w:ilvl w:val="1"/>
          <w:numId w:val="5"/>
        </w:numPr>
        <w:ind w:firstLineChars="0"/>
      </w:pPr>
      <w:r>
        <w:rPr>
          <w:b/>
          <w:lang w:eastAsia="en-US"/>
        </w:rPr>
        <w:t>Forecast:</w:t>
      </w:r>
      <w:r>
        <w:rPr>
          <w:lang w:eastAsia="en-US"/>
        </w:rPr>
        <w:t xml:space="preserve"> Leave the box checked next to “Temporally adjust visibility levels at Class I Areas”. SMAT-CE will create forecasts for each Class I Area in the modeling domain. SMAT-CE includes two IMPROVE equations for calculating visibility from speciated PM</w:t>
      </w:r>
      <w:r>
        <w:rPr>
          <w:vertAlign w:val="subscript"/>
          <w:lang w:eastAsia="en-US"/>
        </w:rPr>
        <w:t>2.5</w:t>
      </w:r>
      <w:r>
        <w:rPr>
          <w:lang w:eastAsia="en-US"/>
        </w:rPr>
        <w:t>. Use the new version of the equation.</w:t>
      </w:r>
    </w:p>
    <w:p>
      <w:pPr>
        <w:pStyle w:val="42"/>
        <w:numPr>
          <w:ilvl w:val="1"/>
          <w:numId w:val="5"/>
        </w:numPr>
        <w:ind w:firstLineChars="0"/>
      </w:pPr>
      <w:r>
        <w:rPr>
          <w:b/>
          <w:lang w:eastAsia="en-US"/>
        </w:rPr>
        <w:t>Use model grid cell at monitor:</w:t>
      </w:r>
      <w:r>
        <w:rPr>
          <w:lang w:eastAsia="en-US"/>
        </w:rPr>
        <w:t xml:space="preserve"> A single IMPROVE monitor is associated with each Class I Area. SMAT-CE multiplies the monitor value by an RRF, which is the modeled future-year visibility divided by the modeled current-year visibility, to calculate future year visibility in the Class I Area. SMAT-CE provides the option to use either the model values in the grid cell at the IMPROVE monitor or to use the model values in the grid cell at the Class I Area centroid. Select the default option of using model values in the grid cell at the monitor.</w:t>
      </w:r>
    </w:p>
    <w:p>
      <w:pPr>
        <w:pStyle w:val="42"/>
        <w:numPr>
          <w:ilvl w:val="1"/>
          <w:numId w:val="5"/>
        </w:numPr>
        <w:ind w:firstLineChars="0"/>
        <w:rPr>
          <w:lang w:eastAsia="en-US"/>
        </w:rPr>
      </w:pPr>
      <w:r>
        <w:rPr>
          <w:b/>
          <w:lang w:eastAsia="en-US"/>
        </w:rPr>
        <w:t>Actions on run completion:</w:t>
      </w:r>
      <w:r>
        <w:rPr>
          <w:lang w:eastAsia="en-US"/>
        </w:rPr>
        <w:t xml:space="preserve"> Check the box next to “Automatically Extract All Selected Output Files” to direct SMAT-CE to export .CSV files with the results of this analysis.</w:t>
      </w:r>
    </w:p>
    <w:p>
      <w:pPr>
        <w:pStyle w:val="42"/>
        <w:numPr>
          <w:ilvl w:val="1"/>
          <w:numId w:val="5"/>
        </w:numPr>
        <w:ind w:firstLineChars="0"/>
        <w:rPr>
          <w:lang w:eastAsia="en-US"/>
        </w:rPr>
      </w:pPr>
      <w:r>
        <w:rPr>
          <w:lang w:eastAsia="en-US"/>
        </w:rPr>
        <w:t xml:space="preserve">Click the </w:t>
      </w:r>
      <w:r>
        <w:rPr>
          <w:b/>
          <w:lang w:eastAsia="en-US"/>
        </w:rPr>
        <w:t>Next</w:t>
      </w:r>
      <w:r>
        <w:rPr>
          <w:lang w:eastAsia="en-US"/>
        </w:rPr>
        <w:t xml:space="preserve"> arrow at the bottom right of the Choose Desired Output window to proceed to the next step.</w:t>
      </w:r>
    </w:p>
    <w:p>
      <w:pPr>
        <w:ind w:left="840" w:hanging="840"/>
        <w:rPr>
          <w:lang w:eastAsia="en-US"/>
        </w:rPr>
      </w:pPr>
      <w:r>
        <w:rPr>
          <w:b/>
          <w:u w:val="single"/>
          <w:lang w:eastAsia="en-US"/>
        </w:rPr>
        <w:t>Step 3.</w:t>
      </w:r>
      <w:r>
        <w:rPr>
          <w:lang w:eastAsia="en-US"/>
        </w:rPr>
        <w:tab/>
      </w:r>
      <w:r>
        <w:rPr>
          <w:lang w:eastAsia="en-US"/>
        </w:rPr>
        <w:t xml:space="preserve">The </w:t>
      </w:r>
      <w:r>
        <w:rPr>
          <w:b/>
          <w:lang w:eastAsia="en-US"/>
        </w:rPr>
        <w:t>Data Input</w:t>
      </w:r>
      <w:r>
        <w:rPr>
          <w:lang w:eastAsia="en-US"/>
        </w:rPr>
        <w:t xml:space="preserve"> window sets the monitor and model data to use in the visibility forecasts. SMAT-CE calculates the ratio of the future to base year model data to calculate RRFs for the 20% best (B20) and 20% worst (W20) visibility days of the year. SMAT-CE then multiplies the calculated observed visibility at the monitor B20 days by the B20 RRF to calculate a future-year estimate for visibility on the best visibility days. SMAT-CE performs an analogous calculation for the worst visibility days. </w:t>
      </w:r>
    </w:p>
    <w:p>
      <w:pPr>
        <w:ind w:left="840"/>
        <w:rPr>
          <w:lang w:eastAsia="en-US"/>
        </w:rPr>
      </w:pPr>
      <w:r>
        <w:rPr>
          <w:lang w:eastAsia="en-US"/>
        </w:rPr>
        <w:t xml:space="preserve">SMAT-CE installs with IMPROVE visibility monitor values from 2000 through 2020. It also comes loaded with an example model output dataset for visibility for 2011 and 2017. </w:t>
      </w:r>
    </w:p>
    <w:p>
      <w:pPr>
        <w:ind w:left="840"/>
        <w:rPr>
          <w:lang w:eastAsia="en-US"/>
        </w:rPr>
      </w:pPr>
      <w:r>
        <w:t>SMAT-CE includes options to use model data in different ways when calculating</w:t>
      </w:r>
      <w:r>
        <w:rPr>
          <w:rFonts w:ascii="Helvetica" w:hAnsi="Helvetica"/>
          <w:kern w:val="0"/>
          <w:sz w:val="18"/>
          <w:szCs w:val="18"/>
          <w:lang w:eastAsia="en-US"/>
        </w:rPr>
        <w:t xml:space="preserve"> </w:t>
      </w:r>
      <w:r>
        <w:t>forecasts at each Class I Area monitor. Options include selecting results from the single</w:t>
      </w:r>
      <w:r>
        <w:rPr>
          <w:rFonts w:ascii="Helvetica" w:hAnsi="Helvetica"/>
          <w:kern w:val="0"/>
          <w:sz w:val="18"/>
          <w:szCs w:val="18"/>
          <w:lang w:eastAsia="en-US"/>
        </w:rPr>
        <w:t xml:space="preserve"> </w:t>
      </w:r>
      <w:r>
        <w:t>grid cell that contains the monitor or selecting a grid cell array of 3x3, 5x5, or 7x7 model cells</w:t>
      </w:r>
      <w:r>
        <w:rPr>
          <w:rFonts w:ascii="Helvetica" w:hAnsi="Helvetica"/>
          <w:kern w:val="0"/>
          <w:sz w:val="18"/>
          <w:szCs w:val="18"/>
          <w:lang w:eastAsia="en-US"/>
        </w:rPr>
        <w:t xml:space="preserve"> </w:t>
      </w:r>
      <w:r>
        <w:t>around each monitor. The tutorial dataset contained in SMAT-CE is at 12km</w:t>
      </w:r>
      <w:r>
        <w:rPr>
          <w:rFonts w:ascii="Helvetica" w:hAnsi="Helvetica"/>
          <w:kern w:val="0"/>
          <w:sz w:val="18"/>
          <w:szCs w:val="18"/>
          <w:lang w:eastAsia="en-US"/>
        </w:rPr>
        <w:t xml:space="preserve"> </w:t>
      </w:r>
      <w:r>
        <w:t xml:space="preserve">resolution and should use a 3x3 grid cell array. </w:t>
      </w:r>
    </w:p>
    <w:p>
      <w:pPr>
        <w:pStyle w:val="42"/>
        <w:ind w:left="720" w:firstLine="120" w:firstLineChars="0"/>
        <w:rPr>
          <w:lang w:eastAsia="en-US"/>
        </w:rPr>
      </w:pPr>
      <w:r>
        <w:rPr>
          <w:lang w:eastAsia="en-US"/>
        </w:rPr>
        <w:t>Use the default settings in the Data Input window.</w:t>
      </w:r>
    </w:p>
    <w:p>
      <w:pPr>
        <w:pStyle w:val="42"/>
        <w:numPr>
          <w:ilvl w:val="1"/>
          <w:numId w:val="5"/>
        </w:numPr>
        <w:ind w:firstLineChars="0"/>
        <w:rPr>
          <w:lang w:eastAsia="en-US"/>
        </w:rPr>
      </w:pPr>
      <w:r>
        <w:t xml:space="preserve">Click on the </w:t>
      </w:r>
      <w:r>
        <w:rPr>
          <w:b/>
          <w:color w:val="0432FF"/>
          <w:u w:val="single"/>
        </w:rPr>
        <w:t>Data Input</w:t>
      </w:r>
      <w:r>
        <w:rPr>
          <w:color w:val="1F497D" w:themeColor="text2"/>
          <w14:textFill>
            <w14:solidFill>
              <w14:schemeClr w14:val="tx2"/>
            </w14:solidFill>
          </w14:textFill>
        </w:rPr>
        <w:t xml:space="preserve"> </w:t>
      </w:r>
      <w:r>
        <w:t>hyperlink to display an electronic version of the User’s Manual for this window.</w:t>
      </w:r>
    </w:p>
    <w:p>
      <w:pPr>
        <w:pStyle w:val="42"/>
        <w:numPr>
          <w:ilvl w:val="1"/>
          <w:numId w:val="5"/>
        </w:numPr>
        <w:ind w:firstLineChars="0"/>
        <w:rPr>
          <w:lang w:eastAsia="en-US"/>
        </w:rPr>
      </w:pPr>
      <w:r>
        <w:rPr>
          <w:lang w:eastAsia="en-US"/>
        </w:rPr>
        <w:t xml:space="preserve">Click the </w:t>
      </w:r>
      <w:r>
        <w:rPr>
          <w:b/>
          <w:lang w:eastAsia="en-US"/>
        </w:rPr>
        <w:t>Next</w:t>
      </w:r>
      <w:r>
        <w:rPr>
          <w:lang w:eastAsia="en-US"/>
        </w:rPr>
        <w:t xml:space="preserve"> arrow at the bottom right of the Data Input window to proceed to the next step.</w:t>
      </w:r>
    </w:p>
    <w:p>
      <w:pPr>
        <w:ind w:left="840" w:hanging="840"/>
        <w:rPr>
          <w:lang w:eastAsia="en-US"/>
        </w:rPr>
      </w:pPr>
      <w:r>
        <w:rPr>
          <w:b/>
          <w:u w:val="single"/>
          <w:lang w:eastAsia="en-US"/>
        </w:rPr>
        <w:t>Step 5.</w:t>
      </w:r>
      <w:r>
        <w:rPr>
          <w:lang w:eastAsia="en-US"/>
        </w:rPr>
        <w:tab/>
      </w:r>
      <w:r>
        <w:rPr>
          <w:lang w:eastAsia="en-US"/>
        </w:rPr>
        <w:t xml:space="preserve">The </w:t>
      </w:r>
      <w:r>
        <w:rPr>
          <w:b/>
          <w:lang w:eastAsia="en-US"/>
        </w:rPr>
        <w:t>Filtering</w:t>
      </w:r>
      <w:r>
        <w:rPr>
          <w:lang w:eastAsia="en-US"/>
        </w:rPr>
        <w:t xml:space="preserve"> window has several functions related to interpolating monitoring data. These functions include identifying the years of monitor data to use in the RRF calculations, choosing the particular monitors to use in the analysis, and (when calculating spatial fields) specifying the interpolation method. </w:t>
      </w:r>
    </w:p>
    <w:p>
      <w:pPr>
        <w:ind w:left="840"/>
        <w:rPr>
          <w:lang w:eastAsia="en-US"/>
        </w:rPr>
      </w:pPr>
      <w:r>
        <w:rPr>
          <w:lang w:eastAsia="en-US"/>
        </w:rPr>
        <w:t>Use the default settings in the Filtering window.</w:t>
      </w:r>
    </w:p>
    <w:p>
      <w:pPr>
        <w:pStyle w:val="42"/>
        <w:numPr>
          <w:ilvl w:val="0"/>
          <w:numId w:val="7"/>
        </w:numPr>
        <w:ind w:firstLineChars="0"/>
        <w:rPr>
          <w:lang w:eastAsia="en-US"/>
        </w:rPr>
      </w:pPr>
      <w:r>
        <w:t xml:space="preserve">Click on the </w:t>
      </w:r>
      <w:r>
        <w:rPr>
          <w:b/>
          <w:color w:val="0432FF"/>
          <w:u w:val="single"/>
        </w:rPr>
        <w:t>Filtering</w:t>
      </w:r>
      <w:r>
        <w:rPr>
          <w:color w:val="1F497D" w:themeColor="text2"/>
          <w14:textFill>
            <w14:solidFill>
              <w14:schemeClr w14:val="tx2"/>
            </w14:solidFill>
          </w14:textFill>
        </w:rPr>
        <w:t xml:space="preserve"> </w:t>
      </w:r>
      <w:r>
        <w:t>hyperlink to display an electronic version of the User’s Manual for this window.</w:t>
      </w:r>
    </w:p>
    <w:p>
      <w:pPr>
        <w:pStyle w:val="42"/>
        <w:numPr>
          <w:ilvl w:val="1"/>
          <w:numId w:val="5"/>
        </w:numPr>
        <w:ind w:firstLineChars="0"/>
        <w:rPr>
          <w:lang w:eastAsia="en-US"/>
        </w:rPr>
      </w:pPr>
      <w:r>
        <w:rPr>
          <w:b/>
          <w:lang w:eastAsia="en-US"/>
        </w:rPr>
        <w:t>Choose Visibility Data Years</w:t>
      </w:r>
      <w:r>
        <w:rPr>
          <w:b/>
          <w:bCs/>
          <w:lang w:eastAsia="en-US"/>
        </w:rPr>
        <w:t>:</w:t>
      </w:r>
      <w:r>
        <w:rPr>
          <w:lang w:eastAsia="en-US"/>
        </w:rPr>
        <w:t xml:space="preserve"> Sets the years of monitor data to use for the visibility forecast. The default is to use a 5-year period (covering three 3-year design value periods) centered on the modeling year. The default modeling year in SMAT-CE is 2011, so the Start Monitor Year is 2009 and the End Monitor Year is 2013. The Base Model Year is 2011.</w:t>
      </w:r>
    </w:p>
    <w:p>
      <w:pPr>
        <w:pStyle w:val="42"/>
        <w:numPr>
          <w:ilvl w:val="1"/>
          <w:numId w:val="5"/>
        </w:numPr>
        <w:ind w:firstLineChars="0"/>
        <w:rPr>
          <w:lang w:eastAsia="en-US"/>
        </w:rPr>
      </w:pPr>
      <w:r>
        <w:rPr>
          <w:b/>
          <w:lang w:eastAsia="en-US"/>
        </w:rPr>
        <w:t>Valid Visibility Monitors</w:t>
      </w:r>
      <w:r>
        <w:rPr>
          <w:b/>
          <w:bCs/>
          <w:lang w:eastAsia="en-US"/>
        </w:rPr>
        <w:t>:</w:t>
      </w:r>
      <w:r>
        <w:rPr>
          <w:lang w:eastAsia="en-US"/>
        </w:rPr>
        <w:t xml:space="preserve"> </w:t>
      </w:r>
      <w:r>
        <w:t>Identifies the "valid" monitors to include in the analysis. The default setting, which is consistent with the EPA Modeling Guidance, is to exclude monitors with less than three years of data.</w:t>
      </w:r>
    </w:p>
    <w:p>
      <w:pPr>
        <w:pStyle w:val="42"/>
        <w:numPr>
          <w:ilvl w:val="1"/>
          <w:numId w:val="5"/>
        </w:numPr>
        <w:ind w:firstLineChars="0"/>
        <w:rPr>
          <w:lang w:eastAsia="en-US"/>
        </w:rPr>
      </w:pPr>
      <w:r>
        <w:rPr>
          <w:lang w:eastAsia="en-US"/>
        </w:rPr>
        <w:t xml:space="preserve">Click the </w:t>
      </w:r>
      <w:r>
        <w:rPr>
          <w:b/>
          <w:lang w:eastAsia="en-US"/>
        </w:rPr>
        <w:t>Next</w:t>
      </w:r>
      <w:r>
        <w:rPr>
          <w:lang w:eastAsia="en-US"/>
        </w:rPr>
        <w:t xml:space="preserve"> arrow at the bottom right of the Filtering Options window to complete the Visibility Analysis configuration and run the attainment test.</w:t>
      </w:r>
    </w:p>
    <w:p>
      <w:pPr>
        <w:pStyle w:val="42"/>
        <w:numPr>
          <w:ilvl w:val="1"/>
          <w:numId w:val="5"/>
        </w:numPr>
        <w:ind w:firstLineChars="0"/>
        <w:rPr>
          <w:lang w:eastAsia="en-US"/>
        </w:rPr>
      </w:pPr>
      <w:r>
        <w:rPr>
          <w:lang w:eastAsia="en-US"/>
        </w:rPr>
        <w:t xml:space="preserve">Click </w:t>
      </w:r>
      <w:r>
        <w:rPr>
          <w:b/>
          <w:lang w:eastAsia="en-US"/>
        </w:rPr>
        <w:t>Save &amp; Run Project</w:t>
      </w:r>
      <w:r>
        <w:rPr>
          <w:lang w:eastAsia="en-US"/>
        </w:rPr>
        <w:t xml:space="preserve"> in the pop-up window. Click Save to create a project (*.proj) file for this tutorial exercise. The Filename should reflect the text entered in the Project Name box from Step 2 above.</w:t>
      </w:r>
    </w:p>
    <w:p>
      <w:r>
        <w:rPr>
          <w:lang w:eastAsia="en-US"/>
        </w:rPr>
        <w:t xml:space="preserve">The Visibility Analysis will complete after a few minutes and the SMAT-CE Data Viewer will present the results of the analysis. See </w:t>
      </w:r>
      <w:r>
        <w:fldChar w:fldCharType="begin"/>
      </w:r>
      <w:r>
        <w:instrText xml:space="preserve"> HYPERLINK \l "_The_SMAT-CE_Data_2" </w:instrText>
      </w:r>
      <w:r>
        <w:fldChar w:fldCharType="separate"/>
      </w:r>
      <w:r>
        <w:rPr>
          <w:rStyle w:val="36"/>
          <w:lang w:eastAsia="en-US"/>
        </w:rPr>
        <w:t>Chapter 10</w:t>
      </w:r>
      <w:r>
        <w:rPr>
          <w:rStyle w:val="36"/>
          <w:lang w:eastAsia="en-US"/>
        </w:rPr>
        <w:fldChar w:fldCharType="end"/>
      </w:r>
      <w:r>
        <w:rPr>
          <w:lang w:eastAsia="en-US"/>
        </w:rPr>
        <w:t xml:space="preserve"> for details on how to use the Data Viewer to analyze the results.</w:t>
      </w:r>
    </w:p>
    <w:p>
      <w:pPr>
        <w:rPr>
          <w:szCs w:val="24"/>
        </w:rPr>
        <w:sectPr>
          <w:pgSz w:w="11906" w:h="16838"/>
          <w:pgMar w:top="1440" w:right="1800" w:bottom="1440" w:left="1800" w:header="851" w:footer="992" w:gutter="0"/>
          <w:cols w:space="425" w:num="1"/>
          <w:titlePg/>
          <w:docGrid w:type="lines" w:linePitch="312" w:charSpace="0"/>
        </w:sectPr>
      </w:pPr>
    </w:p>
    <w:p>
      <w:pPr>
        <w:pStyle w:val="2"/>
      </w:pPr>
      <w:bookmarkStart w:id="52" w:name="_SMAT-CE_Installation"/>
      <w:bookmarkEnd w:id="52"/>
      <w:bookmarkStart w:id="53" w:name="_SMAT-CE_Installation_1"/>
      <w:bookmarkEnd w:id="53"/>
      <w:bookmarkStart w:id="54" w:name="_Toc476653925"/>
      <w:bookmarkStart w:id="55" w:name="_Toc474488608"/>
      <w:bookmarkStart w:id="56" w:name="_Toc29389"/>
      <w:bookmarkStart w:id="57" w:name="_Toc119010860"/>
      <w:bookmarkStart w:id="58" w:name="_Toc476654826"/>
      <w:bookmarkStart w:id="59" w:name="_Toc476654448"/>
      <w:r>
        <w:t>SMAT-CE Installation</w:t>
      </w:r>
      <w:bookmarkEnd w:id="54"/>
      <w:bookmarkEnd w:id="55"/>
      <w:bookmarkEnd w:id="56"/>
      <w:bookmarkEnd w:id="57"/>
      <w:bookmarkEnd w:id="58"/>
      <w:bookmarkEnd w:id="59"/>
    </w:p>
    <w:p>
      <w:r>
        <w:t xml:space="preserve">This section of the SMAT-CE User’s Manual describes how to install the software on a PC running Windows; SMAT-CE is currently not available for other operating systems.  Before installing SMAT-CE, uninstall any previous versions of the software. See Table 3-1 for a description of the recommended PC configuration for running SMAT-CE. </w:t>
      </w:r>
    </w:p>
    <w:p>
      <w:pPr>
        <w:pStyle w:val="12"/>
        <w:keepNext/>
        <w:rPr>
          <w:b w:val="0"/>
          <w:bCs/>
          <w:i/>
          <w:iCs/>
        </w:rPr>
      </w:pPr>
      <w:bookmarkStart w:id="60" w:name="_Toc211"/>
      <w:bookmarkStart w:id="61" w:name="_Toc8491"/>
      <w:r>
        <w:rPr>
          <w:b w:val="0"/>
          <w:bCs/>
          <w:i/>
          <w:iCs/>
        </w:rPr>
        <w:t xml:space="preserve">Table </w:t>
      </w:r>
      <w:r>
        <w:rPr>
          <w:b w:val="0"/>
          <w:bCs/>
          <w:i/>
          <w:iCs/>
        </w:rPr>
        <w:fldChar w:fldCharType="begin"/>
      </w:r>
      <w:r>
        <w:rPr>
          <w:b w:val="0"/>
          <w:bCs/>
          <w:i/>
          <w:iCs/>
        </w:rPr>
        <w:instrText xml:space="preserve"> STYLEREF 1 \s </w:instrText>
      </w:r>
      <w:r>
        <w:rPr>
          <w:b w:val="0"/>
          <w:bCs/>
          <w:i/>
          <w:iCs/>
        </w:rPr>
        <w:fldChar w:fldCharType="separate"/>
      </w:r>
      <w:r>
        <w:rPr>
          <w:b w:val="0"/>
          <w:bCs/>
          <w:i/>
          <w:iCs/>
        </w:rPr>
        <w:t>3</w:t>
      </w:r>
      <w:r>
        <w:rPr>
          <w:b w:val="0"/>
          <w:bCs/>
          <w:i/>
          <w:iCs/>
        </w:rPr>
        <w:fldChar w:fldCharType="end"/>
      </w:r>
      <w:r>
        <w:rPr>
          <w:b w:val="0"/>
          <w:bCs/>
          <w:i/>
          <w:iCs/>
        </w:rPr>
        <w:noBreakHyphen/>
      </w:r>
      <w:r>
        <w:rPr>
          <w:b w:val="0"/>
          <w:bCs/>
          <w:i/>
          <w:iCs/>
        </w:rPr>
        <w:fldChar w:fldCharType="begin"/>
      </w:r>
      <w:r>
        <w:rPr>
          <w:b w:val="0"/>
          <w:bCs/>
          <w:i/>
          <w:iCs/>
        </w:rPr>
        <w:instrText xml:space="preserve"> SEQ _Table \* ARABIC \s 1 </w:instrText>
      </w:r>
      <w:r>
        <w:rPr>
          <w:b w:val="0"/>
          <w:bCs/>
          <w:i/>
          <w:iCs/>
        </w:rPr>
        <w:fldChar w:fldCharType="separate"/>
      </w:r>
      <w:r>
        <w:rPr>
          <w:b w:val="0"/>
          <w:bCs/>
          <w:i/>
          <w:iCs/>
        </w:rPr>
        <w:t>1</w:t>
      </w:r>
      <w:r>
        <w:rPr>
          <w:b w:val="0"/>
          <w:bCs/>
          <w:i/>
          <w:iCs/>
        </w:rPr>
        <w:fldChar w:fldCharType="end"/>
      </w:r>
      <w:r>
        <w:rPr>
          <w:b w:val="0"/>
          <w:bCs/>
          <w:i/>
          <w:iCs/>
        </w:rPr>
        <w:t>. SMAT-CE computing system recommendations.</w:t>
      </w:r>
      <w:bookmarkEnd w:id="60"/>
      <w:bookmarkEnd w:id="61"/>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D8D8D8" w:themeFill="background1" w:themeFillShade="D9"/>
          </w:tcPr>
          <w:p>
            <w:pPr>
              <w:autoSpaceDE w:val="0"/>
              <w:autoSpaceDN w:val="0"/>
              <w:adjustRightInd w:val="0"/>
              <w:jc w:val="left"/>
              <w:rPr>
                <w:rFonts w:cs="Times New Roman"/>
                <w:b/>
                <w:bCs/>
                <w:kern w:val="0"/>
                <w:sz w:val="22"/>
              </w:rPr>
            </w:pPr>
            <w:r>
              <w:rPr>
                <w:rFonts w:cs="Times New Roman"/>
                <w:b/>
                <w:bCs/>
                <w:kern w:val="0"/>
                <w:sz w:val="22"/>
              </w:rPr>
              <w:t>System</w:t>
            </w:r>
          </w:p>
          <w:p>
            <w:pPr>
              <w:autoSpaceDE w:val="0"/>
              <w:autoSpaceDN w:val="0"/>
              <w:adjustRightInd w:val="0"/>
              <w:jc w:val="left"/>
              <w:rPr>
                <w:rFonts w:cs="Times New Roman"/>
                <w:b/>
                <w:bCs/>
                <w:kern w:val="0"/>
                <w:sz w:val="22"/>
              </w:rPr>
            </w:pPr>
            <w:r>
              <w:rPr>
                <w:rFonts w:cs="Times New Roman"/>
                <w:b/>
                <w:bCs/>
                <w:kern w:val="0"/>
                <w:sz w:val="22"/>
              </w:rPr>
              <w:t>Component</w:t>
            </w:r>
          </w:p>
        </w:tc>
        <w:tc>
          <w:tcPr>
            <w:tcW w:w="2841" w:type="dxa"/>
            <w:shd w:val="clear" w:color="auto" w:fill="D8D8D8" w:themeFill="background1" w:themeFillShade="D9"/>
          </w:tcPr>
          <w:p>
            <w:pPr>
              <w:autoSpaceDE w:val="0"/>
              <w:autoSpaceDN w:val="0"/>
              <w:adjustRightInd w:val="0"/>
              <w:jc w:val="left"/>
              <w:rPr>
                <w:rFonts w:cs="Times New Roman"/>
                <w:b/>
                <w:bCs/>
                <w:kern w:val="0"/>
                <w:sz w:val="22"/>
              </w:rPr>
            </w:pPr>
            <w:r>
              <w:rPr>
                <w:rFonts w:cs="Times New Roman"/>
                <w:b/>
                <w:bCs/>
                <w:kern w:val="0"/>
                <w:sz w:val="22"/>
              </w:rPr>
              <w:t>Best</w:t>
            </w:r>
          </w:p>
          <w:p>
            <w:pPr>
              <w:autoSpaceDE w:val="0"/>
              <w:autoSpaceDN w:val="0"/>
              <w:adjustRightInd w:val="0"/>
              <w:jc w:val="left"/>
              <w:rPr>
                <w:rFonts w:cs="Times New Roman"/>
                <w:b/>
                <w:bCs/>
                <w:kern w:val="0"/>
                <w:sz w:val="22"/>
              </w:rPr>
            </w:pPr>
            <w:r>
              <w:rPr>
                <w:rFonts w:cs="Times New Roman"/>
                <w:b/>
                <w:bCs/>
                <w:kern w:val="0"/>
                <w:sz w:val="22"/>
              </w:rPr>
              <w:t>Recommendation</w:t>
            </w:r>
          </w:p>
        </w:tc>
        <w:tc>
          <w:tcPr>
            <w:tcW w:w="2841" w:type="dxa"/>
            <w:shd w:val="clear" w:color="auto" w:fill="D8D8D8" w:themeFill="background1" w:themeFillShade="D9"/>
          </w:tcPr>
          <w:p>
            <w:pPr>
              <w:autoSpaceDE w:val="0"/>
              <w:autoSpaceDN w:val="0"/>
              <w:adjustRightInd w:val="0"/>
              <w:jc w:val="left"/>
              <w:rPr>
                <w:rFonts w:cs="Times New Roman"/>
                <w:b/>
                <w:bCs/>
                <w:kern w:val="0"/>
                <w:sz w:val="22"/>
              </w:rPr>
            </w:pPr>
            <w:r>
              <w:rPr>
                <w:rFonts w:cs="Times New Roman"/>
                <w:b/>
                <w:bCs/>
                <w:kern w:val="0"/>
                <w:sz w:val="22"/>
              </w:rPr>
              <w:t>Minimum Recommendation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autoSpaceDE w:val="0"/>
              <w:autoSpaceDN w:val="0"/>
              <w:adjustRightInd w:val="0"/>
              <w:jc w:val="left"/>
              <w:rPr>
                <w:rFonts w:cs="Times New Roman"/>
                <w:bCs/>
                <w:kern w:val="0"/>
                <w:sz w:val="22"/>
              </w:rPr>
            </w:pPr>
            <w:r>
              <w:rPr>
                <w:rFonts w:cs="Times New Roman"/>
                <w:bCs/>
                <w:kern w:val="0"/>
                <w:sz w:val="22"/>
              </w:rPr>
              <w:t>CPU</w:t>
            </w:r>
          </w:p>
        </w:tc>
        <w:tc>
          <w:tcPr>
            <w:tcW w:w="2841" w:type="dxa"/>
          </w:tcPr>
          <w:p>
            <w:pPr>
              <w:autoSpaceDE w:val="0"/>
              <w:autoSpaceDN w:val="0"/>
              <w:adjustRightInd w:val="0"/>
              <w:jc w:val="left"/>
              <w:rPr>
                <w:rFonts w:cs="Times New Roman"/>
                <w:bCs/>
                <w:kern w:val="0"/>
                <w:sz w:val="22"/>
              </w:rPr>
            </w:pPr>
            <w:r>
              <w:rPr>
                <w:rFonts w:cs="Times New Roman"/>
                <w:bCs/>
                <w:kern w:val="0"/>
                <w:sz w:val="22"/>
              </w:rPr>
              <w:t>Intel, Quad-Core, 3 GHz</w:t>
            </w:r>
          </w:p>
        </w:tc>
        <w:tc>
          <w:tcPr>
            <w:tcW w:w="2841" w:type="dxa"/>
          </w:tcPr>
          <w:p>
            <w:pPr>
              <w:autoSpaceDE w:val="0"/>
              <w:autoSpaceDN w:val="0"/>
              <w:adjustRightInd w:val="0"/>
              <w:jc w:val="left"/>
              <w:rPr>
                <w:rFonts w:cs="Times New Roman"/>
                <w:bCs/>
                <w:kern w:val="0"/>
                <w:sz w:val="22"/>
              </w:rPr>
            </w:pPr>
            <w:r>
              <w:rPr>
                <w:rFonts w:cs="Times New Roman"/>
                <w:bCs/>
                <w:kern w:val="0"/>
                <w:sz w:val="22"/>
              </w:rPr>
              <w:t>Intel, Duo-Core, 1.6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autoSpaceDE w:val="0"/>
              <w:autoSpaceDN w:val="0"/>
              <w:adjustRightInd w:val="0"/>
              <w:jc w:val="left"/>
              <w:rPr>
                <w:rFonts w:cs="Times New Roman"/>
                <w:bCs/>
                <w:kern w:val="0"/>
                <w:sz w:val="22"/>
              </w:rPr>
            </w:pPr>
            <w:r>
              <w:rPr>
                <w:rFonts w:cs="Times New Roman"/>
                <w:bCs/>
                <w:kern w:val="0"/>
                <w:sz w:val="22"/>
              </w:rPr>
              <w:t>Memory (RAM)</w:t>
            </w:r>
          </w:p>
        </w:tc>
        <w:tc>
          <w:tcPr>
            <w:tcW w:w="2841" w:type="dxa"/>
          </w:tcPr>
          <w:p>
            <w:pPr>
              <w:autoSpaceDE w:val="0"/>
              <w:autoSpaceDN w:val="0"/>
              <w:adjustRightInd w:val="0"/>
              <w:jc w:val="left"/>
              <w:rPr>
                <w:rFonts w:cs="Times New Roman"/>
                <w:bCs/>
                <w:kern w:val="0"/>
                <w:sz w:val="22"/>
              </w:rPr>
            </w:pPr>
            <w:r>
              <w:rPr>
                <w:rFonts w:cs="Times New Roman"/>
                <w:bCs/>
                <w:kern w:val="0"/>
                <w:sz w:val="22"/>
              </w:rPr>
              <w:t>6 Gb</w:t>
            </w:r>
          </w:p>
        </w:tc>
        <w:tc>
          <w:tcPr>
            <w:tcW w:w="2841" w:type="dxa"/>
          </w:tcPr>
          <w:p>
            <w:pPr>
              <w:autoSpaceDE w:val="0"/>
              <w:autoSpaceDN w:val="0"/>
              <w:adjustRightInd w:val="0"/>
              <w:jc w:val="left"/>
              <w:rPr>
                <w:rFonts w:cs="Times New Roman"/>
                <w:bCs/>
                <w:kern w:val="0"/>
                <w:sz w:val="22"/>
              </w:rPr>
            </w:pPr>
            <w:r>
              <w:rPr>
                <w:rFonts w:cs="Times New Roman"/>
                <w:bCs/>
                <w:kern w:val="0"/>
                <w:sz w:val="22"/>
              </w:rPr>
              <w:t>2 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autoSpaceDE w:val="0"/>
              <w:autoSpaceDN w:val="0"/>
              <w:adjustRightInd w:val="0"/>
              <w:jc w:val="left"/>
              <w:rPr>
                <w:rFonts w:cs="Times New Roman"/>
                <w:bCs/>
                <w:kern w:val="0"/>
                <w:sz w:val="22"/>
              </w:rPr>
            </w:pPr>
            <w:r>
              <w:rPr>
                <w:rFonts w:cs="Times New Roman"/>
                <w:bCs/>
                <w:kern w:val="0"/>
                <w:sz w:val="22"/>
              </w:rPr>
              <w:t>Free Disk Space</w:t>
            </w:r>
          </w:p>
        </w:tc>
        <w:tc>
          <w:tcPr>
            <w:tcW w:w="2841" w:type="dxa"/>
          </w:tcPr>
          <w:p>
            <w:pPr>
              <w:autoSpaceDE w:val="0"/>
              <w:autoSpaceDN w:val="0"/>
              <w:adjustRightInd w:val="0"/>
              <w:jc w:val="left"/>
              <w:rPr>
                <w:rFonts w:cs="Times New Roman"/>
                <w:bCs/>
                <w:kern w:val="0"/>
                <w:sz w:val="22"/>
              </w:rPr>
            </w:pPr>
            <w:r>
              <w:rPr>
                <w:rFonts w:cs="Times New Roman"/>
                <w:bCs/>
                <w:kern w:val="0"/>
                <w:sz w:val="22"/>
              </w:rPr>
              <w:t>10 Gb</w:t>
            </w:r>
          </w:p>
        </w:tc>
        <w:tc>
          <w:tcPr>
            <w:tcW w:w="2841" w:type="dxa"/>
          </w:tcPr>
          <w:p>
            <w:pPr>
              <w:autoSpaceDE w:val="0"/>
              <w:autoSpaceDN w:val="0"/>
              <w:adjustRightInd w:val="0"/>
              <w:jc w:val="left"/>
              <w:rPr>
                <w:rFonts w:cs="Times New Roman"/>
                <w:bCs/>
                <w:kern w:val="0"/>
                <w:sz w:val="22"/>
              </w:rPr>
            </w:pPr>
            <w:r>
              <w:rPr>
                <w:rFonts w:cs="Times New Roman"/>
                <w:bCs/>
                <w:kern w:val="0"/>
                <w:sz w:val="22"/>
              </w:rPr>
              <w:t>10 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autoSpaceDE w:val="0"/>
              <w:autoSpaceDN w:val="0"/>
              <w:adjustRightInd w:val="0"/>
              <w:jc w:val="left"/>
              <w:rPr>
                <w:rFonts w:cs="Times New Roman"/>
                <w:bCs/>
                <w:kern w:val="0"/>
                <w:sz w:val="22"/>
              </w:rPr>
            </w:pPr>
            <w:r>
              <w:rPr>
                <w:rFonts w:cs="Times New Roman"/>
                <w:bCs/>
                <w:kern w:val="0"/>
                <w:sz w:val="22"/>
              </w:rPr>
              <w:t>Operating System</w:t>
            </w:r>
          </w:p>
        </w:tc>
        <w:tc>
          <w:tcPr>
            <w:tcW w:w="2841" w:type="dxa"/>
          </w:tcPr>
          <w:p>
            <w:pPr>
              <w:autoSpaceDE w:val="0"/>
              <w:autoSpaceDN w:val="0"/>
              <w:adjustRightInd w:val="0"/>
              <w:jc w:val="left"/>
              <w:rPr>
                <w:rFonts w:cs="Times New Roman"/>
                <w:bCs/>
                <w:kern w:val="0"/>
                <w:sz w:val="22"/>
              </w:rPr>
            </w:pPr>
            <w:r>
              <w:rPr>
                <w:rFonts w:cs="Times New Roman"/>
                <w:bCs/>
                <w:kern w:val="0"/>
                <w:sz w:val="22"/>
              </w:rPr>
              <w:t>64-bit Windows 10</w:t>
            </w:r>
          </w:p>
        </w:tc>
        <w:tc>
          <w:tcPr>
            <w:tcW w:w="2841" w:type="dxa"/>
          </w:tcPr>
          <w:p>
            <w:pPr>
              <w:autoSpaceDE w:val="0"/>
              <w:autoSpaceDN w:val="0"/>
              <w:adjustRightInd w:val="0"/>
              <w:jc w:val="left"/>
              <w:rPr>
                <w:rFonts w:cs="Times New Roman"/>
                <w:bCs/>
                <w:kern w:val="0"/>
                <w:sz w:val="22"/>
              </w:rPr>
            </w:pPr>
            <w:r>
              <w:rPr>
                <w:rFonts w:cs="Times New Roman"/>
                <w:bCs/>
                <w:kern w:val="0"/>
                <w:sz w:val="22"/>
              </w:rPr>
              <w:t>32-Bit Windows XP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840" w:type="dxa"/>
          </w:tcPr>
          <w:p>
            <w:pPr>
              <w:autoSpaceDE w:val="0"/>
              <w:autoSpaceDN w:val="0"/>
              <w:adjustRightInd w:val="0"/>
              <w:jc w:val="left"/>
              <w:rPr>
                <w:rFonts w:cs="Times New Roman"/>
                <w:bCs/>
                <w:kern w:val="0"/>
                <w:sz w:val="22"/>
              </w:rPr>
            </w:pPr>
            <w:r>
              <w:rPr>
                <w:rFonts w:cs="Times New Roman"/>
                <w:bCs/>
                <w:kern w:val="0"/>
                <w:sz w:val="22"/>
              </w:rPr>
              <w:t>Screen Resolution</w:t>
            </w:r>
          </w:p>
        </w:tc>
        <w:tc>
          <w:tcPr>
            <w:tcW w:w="5682" w:type="dxa"/>
            <w:gridSpan w:val="2"/>
            <w:vAlign w:val="center"/>
          </w:tcPr>
          <w:p>
            <w:pPr>
              <w:autoSpaceDE w:val="0"/>
              <w:autoSpaceDN w:val="0"/>
              <w:adjustRightInd w:val="0"/>
              <w:jc w:val="center"/>
              <w:rPr>
                <w:rFonts w:cs="Times New Roman"/>
                <w:b/>
                <w:bCs/>
                <w:kern w:val="0"/>
                <w:sz w:val="22"/>
              </w:rPr>
            </w:pPr>
            <w:r>
              <w:rPr>
                <w:rFonts w:cs="Times New Roman"/>
                <w:bCs/>
                <w:kern w:val="0"/>
                <w:sz w:val="22"/>
              </w:rPr>
              <w:t>1024 x 768 pixels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autoSpaceDE w:val="0"/>
              <w:autoSpaceDN w:val="0"/>
              <w:adjustRightInd w:val="0"/>
              <w:jc w:val="left"/>
              <w:rPr>
                <w:rFonts w:cs="Times New Roman"/>
                <w:bCs/>
                <w:kern w:val="0"/>
                <w:sz w:val="22"/>
              </w:rPr>
            </w:pPr>
            <w:r>
              <w:rPr>
                <w:rFonts w:cs="Times New Roman"/>
                <w:bCs/>
                <w:kern w:val="0"/>
                <w:sz w:val="22"/>
              </w:rPr>
              <w:t>Font Size</w:t>
            </w:r>
          </w:p>
        </w:tc>
        <w:tc>
          <w:tcPr>
            <w:tcW w:w="5682" w:type="dxa"/>
            <w:gridSpan w:val="2"/>
            <w:vAlign w:val="center"/>
          </w:tcPr>
          <w:p>
            <w:pPr>
              <w:autoSpaceDE w:val="0"/>
              <w:autoSpaceDN w:val="0"/>
              <w:adjustRightInd w:val="0"/>
              <w:jc w:val="center"/>
              <w:rPr>
                <w:rFonts w:cs="Times New Roman"/>
                <w:b/>
                <w:bCs/>
                <w:kern w:val="0"/>
                <w:sz w:val="22"/>
              </w:rPr>
            </w:pPr>
            <w:r>
              <w:rPr>
                <w:rFonts w:cs="Times New Roman"/>
                <w:bCs/>
                <w:kern w:val="0"/>
                <w:sz w:val="22"/>
              </w:rPr>
              <w:t>normal</w:t>
            </w:r>
          </w:p>
        </w:tc>
      </w:tr>
    </w:tbl>
    <w:p>
      <w:pPr>
        <w:rPr>
          <w:bCs/>
        </w:rPr>
      </w:pPr>
    </w:p>
    <w:p>
      <w:r>
        <w:rPr>
          <w:bCs/>
        </w:rPr>
        <w:t xml:space="preserve">After downloading SMAT-CE from the </w:t>
      </w:r>
      <w:r>
        <w:rPr>
          <w:rFonts w:hint="eastAsia"/>
          <w:bCs/>
        </w:rPr>
        <w:t>ABaCAS</w:t>
      </w:r>
      <w:r>
        <w:rPr>
          <w:bCs/>
        </w:rPr>
        <w:t xml:space="preserve"> website (</w:t>
      </w:r>
      <w:r>
        <w:fldChar w:fldCharType="begin"/>
      </w:r>
      <w:r>
        <w:instrText xml:space="preserve"> HYPERLINK "http://abacas.see.scut.edu.cn/tools/" </w:instrText>
      </w:r>
      <w:r>
        <w:fldChar w:fldCharType="separate"/>
      </w:r>
      <w:r>
        <w:rPr>
          <w:rStyle w:val="34"/>
          <w:rFonts w:hint="eastAsia"/>
        </w:rPr>
        <w:t>http://abacas.see.scut.edu.cn/tools/</w:t>
      </w:r>
      <w:r>
        <w:rPr>
          <w:rStyle w:val="34"/>
          <w:rFonts w:hint="eastAsia"/>
        </w:rPr>
        <w:fldChar w:fldCharType="end"/>
      </w:r>
      <w:r>
        <w:rPr>
          <w:bCs/>
        </w:rPr>
        <w:t>),</w:t>
      </w:r>
      <w:r>
        <w:rPr>
          <w:rFonts w:hint="eastAsia"/>
          <w:bCs/>
        </w:rPr>
        <w:t xml:space="preserve"> </w:t>
      </w:r>
      <w:r>
        <w:t xml:space="preserve">double-click on the SMAT-CE Setup.exe binary file to initiate the SMAT-CE – InstallShield Wizard </w:t>
      </w:r>
      <w:r>
        <w:rPr>
          <w:b w:val="0"/>
          <w:bCs w:val="0"/>
        </w:rPr>
        <w:t>(</w:t>
      </w:r>
      <w:r>
        <w:rPr>
          <w:b w:val="0"/>
          <w:bCs w:val="0"/>
        </w:rPr>
        <w:fldChar w:fldCharType="begin"/>
      </w:r>
      <w:r>
        <w:rPr>
          <w:b w:val="0"/>
          <w:bCs w:val="0"/>
        </w:rPr>
        <w:instrText xml:space="preserve"> REF _Ref476653723 \h </w:instrText>
      </w:r>
      <w:r>
        <w:rPr>
          <w:b w:val="0"/>
          <w:bCs w:val="0"/>
        </w:rPr>
        <w:fldChar w:fldCharType="separate"/>
      </w:r>
      <w:r>
        <w:rPr>
          <w:b w:val="0"/>
          <w:bCs w:val="0"/>
          <w:i/>
          <w:iCs/>
        </w:rPr>
        <w:t>Figure 3</w:t>
      </w:r>
      <w:r>
        <w:rPr>
          <w:b w:val="0"/>
          <w:bCs w:val="0"/>
          <w:i/>
          <w:iCs/>
        </w:rPr>
        <w:noBreakHyphen/>
      </w:r>
      <w:r>
        <w:rPr>
          <w:b w:val="0"/>
          <w:bCs w:val="0"/>
          <w:i/>
          <w:iCs/>
        </w:rPr>
        <w:t>1</w:t>
      </w:r>
      <w:r>
        <w:rPr>
          <w:b w:val="0"/>
          <w:bCs w:val="0"/>
        </w:rPr>
        <w:fldChar w:fldCharType="end"/>
      </w:r>
      <w:r>
        <w:rPr>
          <w:b w:val="0"/>
          <w:bCs w:val="0"/>
        </w:rPr>
        <w:t>)</w:t>
      </w:r>
      <w:r>
        <w:t xml:space="preserve">. Click the </w:t>
      </w:r>
      <w:r>
        <w:rPr>
          <w:b/>
          <w:bCs/>
        </w:rPr>
        <w:t>Next</w:t>
      </w:r>
      <w:r>
        <w:t xml:space="preserve"> button, and follow the tips in the window until the installation is finished. </w:t>
      </w:r>
    </w:p>
    <w:p>
      <w:pPr>
        <w:keepNext/>
        <w:autoSpaceDE w:val="0"/>
        <w:autoSpaceDN w:val="0"/>
        <w:adjustRightInd w:val="0"/>
        <w:spacing w:line="480" w:lineRule="auto"/>
        <w:jc w:val="center"/>
      </w:pPr>
      <w:r>
        <w:rPr>
          <w:lang w:eastAsia="en-US"/>
        </w:rPr>
        <w:drawing>
          <wp:inline distT="0" distB="0" distL="0" distR="0">
            <wp:extent cx="5210175" cy="373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10175" cy="3733800"/>
                    </a:xfrm>
                    <a:prstGeom prst="rect">
                      <a:avLst/>
                    </a:prstGeom>
                  </pic:spPr>
                </pic:pic>
              </a:graphicData>
            </a:graphic>
          </wp:inline>
        </w:drawing>
      </w:r>
    </w:p>
    <w:p>
      <w:pPr>
        <w:pStyle w:val="12"/>
        <w:rPr>
          <w:b w:val="0"/>
          <w:bCs/>
          <w:i/>
          <w:iCs/>
        </w:rPr>
      </w:pPr>
      <w:bookmarkStart w:id="62" w:name="_Ref476653723"/>
      <w:bookmarkStart w:id="63" w:name="_Toc29536"/>
      <w:bookmarkStart w:id="64" w:name="_Toc9810"/>
      <w:bookmarkStart w:id="65" w:name="_Toc14257"/>
      <w:bookmarkStart w:id="66" w:name="_Toc19817"/>
      <w:bookmarkStart w:id="67" w:name="_Toc119010901"/>
      <w:bookmarkStart w:id="68" w:name="_Toc476654209"/>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3</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1</w:t>
      </w:r>
      <w:r>
        <w:rPr>
          <w:b w:val="0"/>
          <w:bCs/>
          <w:i/>
          <w:iCs/>
        </w:rPr>
        <w:fldChar w:fldCharType="end"/>
      </w:r>
      <w:bookmarkEnd w:id="62"/>
      <w:bookmarkStart w:id="69" w:name="_Toc15517"/>
      <w:r>
        <w:rPr>
          <w:b w:val="0"/>
          <w:bCs/>
          <w:i/>
          <w:iCs/>
        </w:rPr>
        <w:t>. SMAT-CE installation window</w:t>
      </w:r>
      <w:bookmarkEnd w:id="63"/>
      <w:bookmarkEnd w:id="64"/>
      <w:bookmarkEnd w:id="65"/>
      <w:bookmarkEnd w:id="66"/>
      <w:bookmarkEnd w:id="67"/>
      <w:bookmarkEnd w:id="68"/>
      <w:bookmarkEnd w:id="69"/>
    </w:p>
    <w:p>
      <w:r>
        <w:t xml:space="preserve">A successful installation will result in a SMAT-CE desktop icon:  </w:t>
      </w:r>
      <w:r>
        <w:rPr>
          <w:lang w:eastAsia="en-US"/>
        </w:rPr>
        <w:drawing>
          <wp:inline distT="0" distB="0" distL="0" distR="0">
            <wp:extent cx="546735" cy="546735"/>
            <wp:effectExtent l="0" t="0" r="12065"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9737" cy="549737"/>
                    </a:xfrm>
                    <a:prstGeom prst="rect">
                      <a:avLst/>
                    </a:prstGeom>
                    <a:noFill/>
                    <a:ln>
                      <a:noFill/>
                    </a:ln>
                  </pic:spPr>
                </pic:pic>
              </a:graphicData>
            </a:graphic>
          </wp:inline>
        </w:drawing>
      </w:r>
      <w:r>
        <w:t>.</w:t>
      </w:r>
    </w:p>
    <w:p>
      <w:pPr>
        <w:sectPr>
          <w:pgSz w:w="11906" w:h="16838"/>
          <w:pgMar w:top="1440" w:right="1800" w:bottom="1440" w:left="1800" w:header="851" w:footer="992" w:gutter="0"/>
          <w:cols w:space="425" w:num="1"/>
          <w:docGrid w:type="lines" w:linePitch="312" w:charSpace="0"/>
        </w:sectPr>
      </w:pPr>
    </w:p>
    <w:p>
      <w:pPr>
        <w:pStyle w:val="2"/>
      </w:pPr>
      <w:bookmarkStart w:id="70" w:name="_SMAT-CE_Start_Page"/>
      <w:bookmarkEnd w:id="70"/>
      <w:bookmarkStart w:id="71" w:name="_SMAT-CE_Start_Page_1"/>
      <w:bookmarkEnd w:id="71"/>
      <w:bookmarkStart w:id="72" w:name="_Toc474488609"/>
      <w:bookmarkStart w:id="73" w:name="_Toc20265"/>
      <w:bookmarkStart w:id="74" w:name="_Toc476654827"/>
      <w:bookmarkStart w:id="75" w:name="_Toc476653926"/>
      <w:bookmarkStart w:id="76" w:name="_Toc476654449"/>
      <w:bookmarkStart w:id="77" w:name="_Toc119010861"/>
      <w:bookmarkStart w:id="78" w:name="OLE_LINK22"/>
      <w:bookmarkStart w:id="79" w:name="OLE_LINK21"/>
      <w:r>
        <w:t xml:space="preserve">SMAT-CE </w:t>
      </w:r>
      <w:bookmarkEnd w:id="72"/>
      <w:r>
        <w:t>Start Page</w:t>
      </w:r>
      <w:bookmarkEnd w:id="73"/>
      <w:bookmarkEnd w:id="74"/>
      <w:bookmarkEnd w:id="75"/>
      <w:bookmarkEnd w:id="76"/>
      <w:bookmarkEnd w:id="77"/>
    </w:p>
    <w:bookmarkEnd w:id="78"/>
    <w:bookmarkEnd w:id="79"/>
    <w:p>
      <w:r>
        <w:t>Double-click the SMAT-CE desktop icon to start the program. The SMAT-CE Start Page (</w:t>
      </w:r>
      <w:r>
        <w:rPr>
          <w:b w:val="0"/>
          <w:bCs w:val="0"/>
        </w:rPr>
        <w:fldChar w:fldCharType="begin"/>
      </w:r>
      <w:r>
        <w:rPr>
          <w:b w:val="0"/>
          <w:bCs w:val="0"/>
        </w:rPr>
        <w:instrText xml:space="preserve"> REF _Ref470099218 \h </w:instrText>
      </w:r>
      <w:r>
        <w:rPr>
          <w:b w:val="0"/>
          <w:bCs w:val="0"/>
        </w:rPr>
        <w:fldChar w:fldCharType="separate"/>
      </w:r>
      <w:r>
        <w:rPr>
          <w:b w:val="0"/>
          <w:bCs w:val="0"/>
          <w:i/>
          <w:iCs/>
        </w:rPr>
        <w:t>Figure 4</w:t>
      </w:r>
      <w:r>
        <w:rPr>
          <w:b w:val="0"/>
          <w:bCs w:val="0"/>
          <w:i/>
          <w:iCs/>
        </w:rPr>
        <w:noBreakHyphen/>
      </w:r>
      <w:r>
        <w:rPr>
          <w:b w:val="0"/>
          <w:bCs w:val="0"/>
          <w:i/>
          <w:iCs/>
        </w:rPr>
        <w:t>1</w:t>
      </w:r>
      <w:r>
        <w:rPr>
          <w:b w:val="0"/>
          <w:bCs w:val="0"/>
        </w:rPr>
        <w:fldChar w:fldCharType="end"/>
      </w:r>
      <w:r>
        <w:rPr>
          <w:b w:val="0"/>
          <w:bCs w:val="0"/>
        </w:rPr>
        <w:t>)</w:t>
      </w:r>
      <w:r>
        <w:t xml:space="preserve"> will appear on your screen. This window provides access to the following SMAT-CE modules: </w:t>
      </w:r>
    </w:p>
    <w:p>
      <w:pPr>
        <w:pStyle w:val="42"/>
        <w:numPr>
          <w:ilvl w:val="0"/>
          <w:numId w:val="9"/>
        </w:numPr>
        <w:ind w:firstLineChars="0"/>
      </w:pPr>
      <w:r>
        <w:t xml:space="preserve">The </w:t>
      </w:r>
      <w:r>
        <w:rPr>
          <w:b/>
        </w:rPr>
        <w:t>Process Data</w:t>
      </w:r>
      <w:r>
        <w:t xml:space="preserve"> module is the interface for loading air quality data into the software for conducting attainment tests. Users can select data from a project that had been loaded previously, or load new data for conducting PM, ozone, or visibility analysis. The Annual PM, Daily PM, Ozone, and Visibility Analysis options each open new windows to configure and run attainment tests for the applicable pollutant. </w:t>
      </w:r>
    </w:p>
    <w:p>
      <w:pPr>
        <w:pStyle w:val="42"/>
        <w:numPr>
          <w:ilvl w:val="0"/>
          <w:numId w:val="9"/>
        </w:numPr>
        <w:ind w:firstLineChars="0"/>
      </w:pPr>
      <w:r>
        <w:t xml:space="preserve">The </w:t>
      </w:r>
      <w:r>
        <w:rPr>
          <w:b/>
        </w:rPr>
        <w:t>Analyze/Visualize Data</w:t>
      </w:r>
      <w:r>
        <w:t xml:space="preserve"> module links to the SMAT-CE Data Viewer. The Data Viewer provides an interface to load previously generated results files (*.proj files), and view the data as maps, tables, and charts; or to export the results as a text file.</w:t>
      </w:r>
    </w:p>
    <w:p>
      <w:pPr>
        <w:pStyle w:val="42"/>
        <w:numPr>
          <w:ilvl w:val="0"/>
          <w:numId w:val="9"/>
        </w:numPr>
        <w:ind w:firstLineChars="0"/>
      </w:pPr>
      <w:r>
        <w:t xml:space="preserve">The </w:t>
      </w:r>
      <w:r>
        <w:rPr>
          <w:b/>
        </w:rPr>
        <w:t>Support &amp; Help</w:t>
      </w:r>
      <w:r>
        <w:t xml:space="preserve"> module links to the SMAT-CE User’s Guide and information about the current version of the software.</w:t>
      </w:r>
      <w:r>
        <w:rPr>
          <w:rFonts w:cs="Times New Roman"/>
          <w:color w:val="000000"/>
          <w:kern w:val="0"/>
          <w:sz w:val="22"/>
        </w:rPr>
        <w:t xml:space="preserve"> </w:t>
      </w:r>
      <w:r>
        <w:t>The “About” option under this module (</w:t>
      </w:r>
      <w:r>
        <w:rPr>
          <w:b w:val="0"/>
          <w:bCs w:val="0"/>
        </w:rPr>
        <w:fldChar w:fldCharType="begin"/>
      </w:r>
      <w:r>
        <w:rPr>
          <w:b w:val="0"/>
          <w:bCs w:val="0"/>
        </w:rPr>
        <w:instrText xml:space="preserve"> REF _Ref470254684 \h </w:instrText>
      </w:r>
      <w:r>
        <w:rPr>
          <w:b w:val="0"/>
          <w:bCs w:val="0"/>
        </w:rPr>
        <w:fldChar w:fldCharType="separate"/>
      </w:r>
      <w:r>
        <w:rPr>
          <w:b w:val="0"/>
          <w:bCs w:val="0"/>
          <w:i/>
          <w:iCs/>
        </w:rPr>
        <w:t>Figure 4</w:t>
      </w:r>
      <w:r>
        <w:rPr>
          <w:b w:val="0"/>
          <w:bCs w:val="0"/>
          <w:i/>
          <w:iCs/>
        </w:rPr>
        <w:noBreakHyphen/>
      </w:r>
      <w:r>
        <w:rPr>
          <w:b w:val="0"/>
          <w:bCs w:val="0"/>
          <w:i/>
          <w:iCs/>
        </w:rPr>
        <w:t>2</w:t>
      </w:r>
      <w:r>
        <w:rPr>
          <w:b w:val="0"/>
          <w:bCs w:val="0"/>
        </w:rPr>
        <w:fldChar w:fldCharType="end"/>
      </w:r>
      <w:r>
        <w:rPr>
          <w:b w:val="0"/>
          <w:bCs w:val="0"/>
        </w:rPr>
        <w:t>)</w:t>
      </w:r>
      <w:r>
        <w:t xml:space="preserve"> provides the software version number, a suggested citation for SMAT-CE, and a Development Log (</w:t>
      </w:r>
      <w:r>
        <w:fldChar w:fldCharType="begin"/>
      </w:r>
      <w:r>
        <w:instrText xml:space="preserve"> REF _Ref470254699 \h </w:instrText>
      </w:r>
      <w:r>
        <w:fldChar w:fldCharType="separate"/>
      </w:r>
      <w:r>
        <w:rPr>
          <w:bCs/>
          <w:i/>
          <w:iCs/>
        </w:rPr>
        <w:t xml:space="preserve">Figure </w:t>
      </w:r>
      <w:r>
        <w:rPr>
          <w:b/>
          <w:bCs/>
          <w:i/>
          <w:iCs/>
        </w:rPr>
        <w:t>4</w:t>
      </w:r>
      <w:r>
        <w:rPr>
          <w:bCs/>
          <w:i/>
          <w:iCs/>
        </w:rPr>
        <w:noBreakHyphen/>
      </w:r>
      <w:r>
        <w:rPr>
          <w:b/>
          <w:bCs/>
          <w:i/>
          <w:iCs/>
        </w:rPr>
        <w:t>3</w:t>
      </w:r>
      <w:r>
        <w:fldChar w:fldCharType="end"/>
      </w:r>
      <w:r>
        <w:t>) listing release notes for current and previous versions of the software.</w:t>
      </w:r>
    </w:p>
    <w:p>
      <w:pPr>
        <w:ind w:left="360"/>
      </w:pPr>
      <w:r>
        <w:t xml:space="preserve">Additional details about configuring and running the different SMAT-CE processing and analysis modules are included in the following sections. </w:t>
      </w:r>
    </w:p>
    <w:p>
      <w:pPr>
        <w:keepNext/>
        <w:jc w:val="center"/>
      </w:pPr>
      <w:r>
        <w:drawing>
          <wp:inline distT="0" distB="0" distL="0" distR="0">
            <wp:extent cx="5274310" cy="4149725"/>
            <wp:effectExtent l="0" t="0" r="254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tretch>
                      <a:fillRect/>
                    </a:stretch>
                  </pic:blipFill>
                  <pic:spPr>
                    <a:xfrm>
                      <a:off x="0" y="0"/>
                      <a:ext cx="5274310" cy="4149725"/>
                    </a:xfrm>
                    <a:prstGeom prst="rect">
                      <a:avLst/>
                    </a:prstGeom>
                  </pic:spPr>
                </pic:pic>
              </a:graphicData>
            </a:graphic>
          </wp:inline>
        </w:drawing>
      </w:r>
    </w:p>
    <w:p>
      <w:pPr>
        <w:pStyle w:val="12"/>
        <w:rPr>
          <w:b w:val="0"/>
          <w:bCs/>
          <w:i/>
          <w:iCs/>
        </w:rPr>
      </w:pPr>
      <w:bookmarkStart w:id="80" w:name="_Ref470099218"/>
      <w:bookmarkStart w:id="81" w:name="_Toc2213"/>
      <w:bookmarkStart w:id="82" w:name="_Toc20727"/>
      <w:bookmarkStart w:id="83" w:name="_Toc119010902"/>
      <w:bookmarkStart w:id="84" w:name="_Toc476654210"/>
      <w:bookmarkStart w:id="85" w:name="_Toc8356"/>
      <w:bookmarkStart w:id="86" w:name="_Toc26573"/>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4</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1</w:t>
      </w:r>
      <w:r>
        <w:rPr>
          <w:b w:val="0"/>
          <w:bCs/>
          <w:i/>
          <w:iCs/>
        </w:rPr>
        <w:fldChar w:fldCharType="end"/>
      </w:r>
      <w:bookmarkEnd w:id="80"/>
      <w:bookmarkStart w:id="87" w:name="_Toc13747"/>
      <w:r>
        <w:rPr>
          <w:b w:val="0"/>
          <w:bCs/>
          <w:i/>
          <w:iCs/>
        </w:rPr>
        <w:t>. SMAT-CE start page window</w:t>
      </w:r>
      <w:bookmarkEnd w:id="81"/>
      <w:bookmarkEnd w:id="82"/>
      <w:bookmarkEnd w:id="83"/>
      <w:bookmarkEnd w:id="84"/>
      <w:bookmarkEnd w:id="85"/>
      <w:bookmarkEnd w:id="86"/>
      <w:bookmarkEnd w:id="87"/>
    </w:p>
    <w:p/>
    <w:p>
      <w:pPr>
        <w:keepNext/>
        <w:jc w:val="center"/>
      </w:pPr>
      <w:r>
        <w:drawing>
          <wp:inline distT="0" distB="0" distL="0" distR="0">
            <wp:extent cx="5274310" cy="293624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8"/>
                    <a:stretch>
                      <a:fillRect/>
                    </a:stretch>
                  </pic:blipFill>
                  <pic:spPr>
                    <a:xfrm>
                      <a:off x="0" y="0"/>
                      <a:ext cx="5274310" cy="2936240"/>
                    </a:xfrm>
                    <a:prstGeom prst="rect">
                      <a:avLst/>
                    </a:prstGeom>
                  </pic:spPr>
                </pic:pic>
              </a:graphicData>
            </a:graphic>
          </wp:inline>
        </w:drawing>
      </w:r>
    </w:p>
    <w:p>
      <w:pPr>
        <w:pStyle w:val="12"/>
        <w:rPr>
          <w:rFonts w:cs="Times New Roman"/>
          <w:b w:val="0"/>
          <w:bCs/>
          <w:i/>
          <w:iCs/>
        </w:rPr>
      </w:pPr>
      <w:bookmarkStart w:id="88" w:name="_Ref470254684"/>
      <w:bookmarkStart w:id="89" w:name="_Toc476654211"/>
      <w:bookmarkStart w:id="90" w:name="_Toc31337"/>
      <w:bookmarkStart w:id="91" w:name="_Toc25234"/>
      <w:bookmarkStart w:id="92" w:name="_Toc119010903"/>
      <w:bookmarkStart w:id="93" w:name="_Toc5601"/>
      <w:bookmarkStart w:id="94" w:name="_Toc7452"/>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4</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2</w:t>
      </w:r>
      <w:r>
        <w:rPr>
          <w:b w:val="0"/>
          <w:bCs/>
          <w:i/>
          <w:iCs/>
        </w:rPr>
        <w:fldChar w:fldCharType="end"/>
      </w:r>
      <w:bookmarkEnd w:id="88"/>
      <w:bookmarkStart w:id="95" w:name="_Toc16464"/>
      <w:r>
        <w:rPr>
          <w:b w:val="0"/>
          <w:bCs/>
          <w:i/>
          <w:iCs/>
        </w:rPr>
        <w:t>. SMAT-CE About window</w:t>
      </w:r>
      <w:bookmarkEnd w:id="89"/>
      <w:bookmarkEnd w:id="90"/>
      <w:bookmarkEnd w:id="91"/>
      <w:bookmarkEnd w:id="92"/>
      <w:bookmarkEnd w:id="93"/>
      <w:bookmarkEnd w:id="94"/>
      <w:bookmarkEnd w:id="95"/>
    </w:p>
    <w:p>
      <w:pPr>
        <w:keepNext/>
        <w:jc w:val="center"/>
      </w:pPr>
      <w:r>
        <w:drawing>
          <wp:inline distT="0" distB="0" distL="0" distR="0">
            <wp:extent cx="5274310" cy="4271010"/>
            <wp:effectExtent l="0" t="0" r="254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19"/>
                    <a:stretch>
                      <a:fillRect/>
                    </a:stretch>
                  </pic:blipFill>
                  <pic:spPr>
                    <a:xfrm>
                      <a:off x="0" y="0"/>
                      <a:ext cx="5274310" cy="4271010"/>
                    </a:xfrm>
                    <a:prstGeom prst="rect">
                      <a:avLst/>
                    </a:prstGeom>
                  </pic:spPr>
                </pic:pic>
              </a:graphicData>
            </a:graphic>
          </wp:inline>
        </w:drawing>
      </w:r>
    </w:p>
    <w:p>
      <w:pPr>
        <w:pStyle w:val="12"/>
        <w:rPr>
          <w:b w:val="0"/>
          <w:bCs/>
          <w:i/>
          <w:iCs/>
        </w:rPr>
      </w:pPr>
      <w:bookmarkStart w:id="96" w:name="_Ref470254699"/>
      <w:bookmarkStart w:id="97" w:name="_Toc9757"/>
      <w:bookmarkStart w:id="98" w:name="_Toc31726"/>
      <w:bookmarkStart w:id="99" w:name="_Toc19361"/>
      <w:bookmarkStart w:id="100" w:name="_Toc476654212"/>
      <w:bookmarkStart w:id="101" w:name="_Toc17663"/>
      <w:bookmarkStart w:id="102" w:name="_Toc119010904"/>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4</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3</w:t>
      </w:r>
      <w:r>
        <w:rPr>
          <w:b w:val="0"/>
          <w:bCs/>
          <w:i/>
          <w:iCs/>
        </w:rPr>
        <w:fldChar w:fldCharType="end"/>
      </w:r>
      <w:bookmarkEnd w:id="96"/>
      <w:bookmarkStart w:id="103" w:name="_Toc14329"/>
      <w:r>
        <w:rPr>
          <w:b w:val="0"/>
          <w:bCs/>
          <w:i/>
          <w:iCs/>
        </w:rPr>
        <w:t>. SMAT-CE development log window</w:t>
      </w:r>
      <w:bookmarkEnd w:id="97"/>
      <w:bookmarkEnd w:id="98"/>
      <w:bookmarkEnd w:id="99"/>
      <w:bookmarkEnd w:id="100"/>
      <w:bookmarkEnd w:id="101"/>
      <w:bookmarkEnd w:id="102"/>
      <w:bookmarkEnd w:id="103"/>
    </w:p>
    <w:p>
      <w:pPr>
        <w:sectPr>
          <w:pgSz w:w="11906" w:h="16838"/>
          <w:pgMar w:top="1440" w:right="1800" w:bottom="1440" w:left="1800" w:header="851" w:footer="992" w:gutter="0"/>
          <w:cols w:space="425" w:num="1"/>
          <w:docGrid w:type="lines" w:linePitch="312" w:charSpace="0"/>
        </w:sectPr>
      </w:pPr>
    </w:p>
    <w:p>
      <w:pPr>
        <w:pStyle w:val="2"/>
      </w:pPr>
      <w:bookmarkStart w:id="104" w:name="_Running_SMAT-CE"/>
      <w:bookmarkEnd w:id="104"/>
      <w:bookmarkStart w:id="105" w:name="_Running_SMAT-CE_1"/>
      <w:bookmarkEnd w:id="105"/>
      <w:bookmarkStart w:id="106" w:name="_Ref470254852"/>
      <w:bookmarkStart w:id="107" w:name="_Toc474488610"/>
      <w:bookmarkStart w:id="108" w:name="_Toc476653927"/>
      <w:bookmarkStart w:id="109" w:name="_Toc13292"/>
      <w:bookmarkStart w:id="110" w:name="_Toc476654450"/>
      <w:bookmarkStart w:id="111" w:name="_Toc119010862"/>
      <w:bookmarkStart w:id="112" w:name="_Toc476654828"/>
      <w:r>
        <w:t>Running SMAT-CE</w:t>
      </w:r>
      <w:bookmarkEnd w:id="106"/>
      <w:bookmarkEnd w:id="107"/>
      <w:bookmarkEnd w:id="108"/>
      <w:bookmarkEnd w:id="109"/>
      <w:bookmarkEnd w:id="110"/>
      <w:bookmarkEnd w:id="111"/>
      <w:bookmarkEnd w:id="112"/>
      <w:r>
        <w:t xml:space="preserve"> </w:t>
      </w:r>
    </w:p>
    <w:p>
      <w:r>
        <w:t xml:space="preserve">Using SMAT-CE to conduct model attainment tests begins with the Process Data module on the Start Page. From this module, users may load a previous project or conduct a new model attainment test for </w:t>
      </w:r>
      <w:r>
        <w:rPr>
          <w:bCs/>
        </w:rPr>
        <w:t>Annual PM, Daily PM</w:t>
      </w:r>
      <w:r>
        <w:t xml:space="preserve">, </w:t>
      </w:r>
      <w:r>
        <w:rPr>
          <w:bCs/>
        </w:rPr>
        <w:t>Ozone, and Visibility.</w:t>
      </w:r>
      <w:r>
        <w:t xml:space="preserve"> One of the key features of SMAT-CE is the project (*.proj) file. This file stores configuration information from a previous SMAT-CE analysis to facilitate recreating or continuing the analysis at a later time. Users may also choose to modify an existing project file to generate a new set of results, avoiding the need to rerun an entire SMAT-CE analysis from the beginning. </w:t>
      </w:r>
    </w:p>
    <w:p>
      <w:r>
        <w:t xml:space="preserve">To conduct an attainment test with SMAT-CE, either select </w:t>
      </w:r>
      <w:r>
        <w:rPr>
          <w:b/>
        </w:rPr>
        <w:t>Load Previous Project</w:t>
      </w:r>
      <w:r>
        <w:t xml:space="preserve"> or one of the pollutant Analysis options in the </w:t>
      </w:r>
      <w:r>
        <w:rPr>
          <w:b/>
        </w:rPr>
        <w:t>Process Data</w:t>
      </w:r>
      <w:r>
        <w:t xml:space="preserve"> module on the Start Page. </w:t>
      </w:r>
    </w:p>
    <w:p>
      <w:pPr>
        <w:pStyle w:val="3"/>
      </w:pPr>
      <w:bookmarkStart w:id="113" w:name="_Toc119010863"/>
      <w:bookmarkStart w:id="114" w:name="_Toc476653928"/>
      <w:bookmarkStart w:id="115" w:name="_Toc24074"/>
      <w:bookmarkStart w:id="116" w:name="_Toc476654451"/>
      <w:bookmarkStart w:id="117" w:name="_Toc476654829"/>
      <w:r>
        <w:t>Load Previous SMAT-CE Project</w:t>
      </w:r>
      <w:bookmarkEnd w:id="113"/>
      <w:bookmarkEnd w:id="114"/>
      <w:bookmarkEnd w:id="115"/>
      <w:bookmarkEnd w:id="116"/>
      <w:bookmarkEnd w:id="117"/>
    </w:p>
    <w:p>
      <w:r>
        <w:t xml:space="preserve">SMAT-CE projects that were run previously may be accessed through the </w:t>
      </w:r>
      <w:r>
        <w:rPr>
          <w:b/>
        </w:rPr>
        <w:t>Load Previous Project</w:t>
      </w:r>
      <w:r>
        <w:t xml:space="preserve"> menu on the Start Page. When this option is selected a Windows file explorer opens to the default directory (C:/Users/[user ID]/My Documents/My SMAT-CE Files/Result/Project) containing SMAT-CE project files. It is recommended that all project files be saved to this directory. Upon selecting one of the existing projects, SMAT-CE will open to the Analysis module (i.e., Annual PM, Daily PM, Ozone, or Visibility) associated with the project. </w:t>
      </w:r>
    </w:p>
    <w:p>
      <w:r>
        <w:t xml:space="preserve">Once a previous project is loaded, you will begin from the point where the loaded project was last saved. Refer to the following relevant sections for the details of how to continue the analysis of a previous project. </w:t>
      </w:r>
    </w:p>
    <w:p>
      <w:pPr>
        <w:pStyle w:val="3"/>
      </w:pPr>
      <w:bookmarkStart w:id="118" w:name="_Toc17581"/>
      <w:bookmarkStart w:id="119" w:name="_Toc476653929"/>
      <w:bookmarkStart w:id="120" w:name="_Toc476654830"/>
      <w:bookmarkStart w:id="121" w:name="_Toc119010864"/>
      <w:bookmarkStart w:id="122" w:name="_Toc476654452"/>
      <w:r>
        <w:t>New SMAT-CE Analysis</w:t>
      </w:r>
      <w:bookmarkEnd w:id="118"/>
      <w:bookmarkEnd w:id="119"/>
      <w:bookmarkEnd w:id="120"/>
      <w:bookmarkEnd w:id="121"/>
      <w:bookmarkEnd w:id="122"/>
    </w:p>
    <w:p>
      <w:pPr>
        <w:autoSpaceDE w:val="0"/>
        <w:autoSpaceDN w:val="0"/>
        <w:adjustRightInd w:val="0"/>
        <w:jc w:val="left"/>
      </w:pPr>
      <w:r>
        <w:t>A new SMAT-CE attainment test is initiated by selecting one of the four Analysis options under the Process Data section on the Start Page:</w:t>
      </w:r>
    </w:p>
    <w:p>
      <w:pPr>
        <w:pStyle w:val="42"/>
        <w:numPr>
          <w:ilvl w:val="0"/>
          <w:numId w:val="10"/>
        </w:numPr>
        <w:autoSpaceDE w:val="0"/>
        <w:autoSpaceDN w:val="0"/>
        <w:adjustRightInd w:val="0"/>
        <w:ind w:firstLineChars="0"/>
        <w:jc w:val="left"/>
        <w:rPr>
          <w:rFonts w:cs="Times New Roman"/>
          <w:kern w:val="0"/>
          <w:szCs w:val="24"/>
        </w:rPr>
      </w:pPr>
      <w:r>
        <w:fldChar w:fldCharType="begin"/>
      </w:r>
      <w:r>
        <w:instrText xml:space="preserve"> HYPERLINK \l "_Annual_PM_Analysis_3" </w:instrText>
      </w:r>
      <w:r>
        <w:fldChar w:fldCharType="separate"/>
      </w:r>
      <w:r>
        <w:rPr>
          <w:rStyle w:val="34"/>
        </w:rPr>
        <w:t>Annual PM Analysis (Chapter 6)</w:t>
      </w:r>
      <w:r>
        <w:rPr>
          <w:rStyle w:val="36"/>
        </w:rPr>
        <w:fldChar w:fldCharType="end"/>
      </w:r>
      <w:r>
        <w:t xml:space="preserve">: </w:t>
      </w:r>
      <w:r>
        <w:rPr>
          <w:rFonts w:cs="Times New Roman"/>
          <w:kern w:val="0"/>
          <w:szCs w:val="24"/>
        </w:rPr>
        <w:t>SMAT-CE will forecast annual PM</w:t>
      </w:r>
      <w:r>
        <w:rPr>
          <w:rFonts w:cs="Times New Roman"/>
          <w:kern w:val="0"/>
          <w:szCs w:val="24"/>
          <w:vertAlign w:val="subscript"/>
        </w:rPr>
        <w:t xml:space="preserve">2.5 </w:t>
      </w:r>
      <w:r>
        <w:rPr>
          <w:rFonts w:cs="Times New Roman"/>
          <w:kern w:val="0"/>
          <w:szCs w:val="24"/>
        </w:rPr>
        <w:t>design values at monitor locations. The software will also optionally calculate quarterly model data files and a species fractions file.</w:t>
      </w:r>
    </w:p>
    <w:p>
      <w:pPr>
        <w:pStyle w:val="42"/>
        <w:numPr>
          <w:ilvl w:val="0"/>
          <w:numId w:val="10"/>
        </w:numPr>
        <w:autoSpaceDE w:val="0"/>
        <w:autoSpaceDN w:val="0"/>
        <w:adjustRightInd w:val="0"/>
        <w:ind w:firstLineChars="0"/>
        <w:jc w:val="left"/>
        <w:rPr>
          <w:rFonts w:cs="Times New Roman"/>
          <w:kern w:val="0"/>
          <w:szCs w:val="24"/>
        </w:rPr>
      </w:pPr>
      <w:r>
        <w:fldChar w:fldCharType="begin"/>
      </w:r>
      <w:r>
        <w:instrText xml:space="preserve"> HYPERLINK \l "_Daily_PM_Analysis_2" </w:instrText>
      </w:r>
      <w:r>
        <w:fldChar w:fldCharType="separate"/>
      </w:r>
      <w:r>
        <w:rPr>
          <w:rStyle w:val="34"/>
          <w:rFonts w:cs="Times New Roman"/>
          <w:kern w:val="0"/>
          <w:szCs w:val="24"/>
        </w:rPr>
        <w:t>Daily PM Analysis (Chapter 7)</w:t>
      </w:r>
      <w:r>
        <w:rPr>
          <w:rStyle w:val="36"/>
          <w:rFonts w:cs="Times New Roman"/>
          <w:kern w:val="0"/>
          <w:szCs w:val="24"/>
        </w:rPr>
        <w:fldChar w:fldCharType="end"/>
      </w:r>
      <w:r>
        <w:rPr>
          <w:rFonts w:cs="Times New Roman"/>
          <w:kern w:val="0"/>
          <w:szCs w:val="24"/>
        </w:rPr>
        <w:t>: SMAT-CE will forecast daily PM</w:t>
      </w:r>
      <w:r>
        <w:rPr>
          <w:rFonts w:cs="Times New Roman"/>
          <w:kern w:val="0"/>
          <w:szCs w:val="24"/>
          <w:vertAlign w:val="subscript"/>
        </w:rPr>
        <w:t xml:space="preserve">2.5 </w:t>
      </w:r>
      <w:r>
        <w:rPr>
          <w:rFonts w:cs="Times New Roman"/>
          <w:kern w:val="0"/>
          <w:szCs w:val="24"/>
        </w:rPr>
        <w:t>design values at monitor locations. The software will also optionally calculate quarterly model data files and a species fractions file.</w:t>
      </w:r>
    </w:p>
    <w:p>
      <w:pPr>
        <w:pStyle w:val="42"/>
        <w:numPr>
          <w:ilvl w:val="0"/>
          <w:numId w:val="10"/>
        </w:numPr>
        <w:autoSpaceDE w:val="0"/>
        <w:autoSpaceDN w:val="0"/>
        <w:adjustRightInd w:val="0"/>
        <w:ind w:firstLineChars="0"/>
        <w:jc w:val="left"/>
        <w:rPr>
          <w:rFonts w:cs="Times New Roman"/>
          <w:color w:val="000000"/>
          <w:kern w:val="0"/>
          <w:szCs w:val="24"/>
        </w:rPr>
      </w:pPr>
      <w:r>
        <w:fldChar w:fldCharType="begin"/>
      </w:r>
      <w:r>
        <w:instrText xml:space="preserve"> HYPERLINK \l "_Ozone_Analysis_2" </w:instrText>
      </w:r>
      <w:r>
        <w:fldChar w:fldCharType="separate"/>
      </w:r>
      <w:r>
        <w:rPr>
          <w:rStyle w:val="34"/>
          <w:rFonts w:cs="Times New Roman"/>
          <w:kern w:val="0"/>
          <w:szCs w:val="24"/>
        </w:rPr>
        <w:t>Ozone Analysis (Chapter 8)</w:t>
      </w:r>
      <w:r>
        <w:rPr>
          <w:rStyle w:val="36"/>
          <w:rFonts w:cs="Times New Roman"/>
          <w:kern w:val="0"/>
          <w:szCs w:val="24"/>
        </w:rPr>
        <w:fldChar w:fldCharType="end"/>
      </w:r>
      <w:r>
        <w:rPr>
          <w:rFonts w:cs="Times New Roman"/>
          <w:kern w:val="0"/>
          <w:szCs w:val="24"/>
        </w:rPr>
        <w:t xml:space="preserve">: </w:t>
      </w:r>
      <w:r>
        <w:rPr>
          <w:rFonts w:cs="Times New Roman"/>
          <w:color w:val="000000"/>
          <w:kern w:val="0"/>
          <w:szCs w:val="24"/>
        </w:rPr>
        <w:t xml:space="preserve">SMAT-CE will forecast ozone design values at explicit (point) monitor locations. Options are also available for a variety of approaches to calculate design values for a </w:t>
      </w:r>
      <w:r>
        <w:rPr>
          <w:rFonts w:cs="Times New Roman"/>
          <w:color w:val="000000" w:themeColor="text1"/>
          <w:kern w:val="0"/>
          <w:szCs w:val="24"/>
          <w14:textFill>
            <w14:solidFill>
              <w14:schemeClr w14:val="tx1"/>
            </w14:solidFill>
          </w14:textFill>
        </w:rPr>
        <w:t xml:space="preserve">spatial field, such as a matrix of model grid cell surrounding each monitor. </w:t>
      </w:r>
    </w:p>
    <w:p>
      <w:pPr>
        <w:pStyle w:val="42"/>
        <w:numPr>
          <w:ilvl w:val="0"/>
          <w:numId w:val="10"/>
        </w:numPr>
        <w:autoSpaceDE w:val="0"/>
        <w:autoSpaceDN w:val="0"/>
        <w:adjustRightInd w:val="0"/>
        <w:ind w:firstLineChars="0"/>
        <w:jc w:val="left"/>
        <w:rPr>
          <w:rFonts w:cs="Times New Roman"/>
          <w:color w:val="000000"/>
          <w:kern w:val="0"/>
          <w:szCs w:val="24"/>
        </w:rPr>
      </w:pPr>
      <w:r>
        <w:fldChar w:fldCharType="begin"/>
      </w:r>
      <w:r>
        <w:instrText xml:space="preserve"> HYPERLINK \l "_Visibility_Analysis_2" </w:instrText>
      </w:r>
      <w:r>
        <w:fldChar w:fldCharType="separate"/>
      </w:r>
      <w:r>
        <w:rPr>
          <w:rStyle w:val="34"/>
          <w:rFonts w:cs="Times New Roman"/>
          <w:kern w:val="0"/>
          <w:szCs w:val="24"/>
        </w:rPr>
        <w:t>Visibility Analysis (Chapter 9)</w:t>
      </w:r>
      <w:r>
        <w:rPr>
          <w:rStyle w:val="36"/>
          <w:rFonts w:cs="Times New Roman"/>
          <w:kern w:val="0"/>
          <w:szCs w:val="24"/>
        </w:rPr>
        <w:fldChar w:fldCharType="end"/>
      </w:r>
      <w:r>
        <w:rPr>
          <w:rFonts w:cs="Times New Roman"/>
          <w:kern w:val="0"/>
          <w:szCs w:val="24"/>
        </w:rPr>
        <w:t xml:space="preserve">: </w:t>
      </w:r>
      <w:r>
        <w:rPr>
          <w:rFonts w:cs="Times New Roman"/>
          <w:color w:val="000000"/>
          <w:kern w:val="0"/>
          <w:szCs w:val="24"/>
        </w:rPr>
        <w:t xml:space="preserve">SMAT-CE will forecast visibility at specific point locations (centroid) in </w:t>
      </w:r>
      <w:r>
        <w:rPr>
          <w:rFonts w:cs="Times New Roman"/>
          <w:color w:val="000000" w:themeColor="text1"/>
          <w:kern w:val="0"/>
          <w:szCs w:val="24"/>
          <w14:textFill>
            <w14:solidFill>
              <w14:schemeClr w14:val="tx1"/>
            </w14:solidFill>
          </w14:textFill>
        </w:rPr>
        <w:t>Class I Areas. Different</w:t>
      </w:r>
      <w:r>
        <w:rPr>
          <w:rFonts w:cs="Times New Roman"/>
          <w:color w:val="000000"/>
          <w:kern w:val="0"/>
          <w:szCs w:val="24"/>
        </w:rPr>
        <w:t xml:space="preserve"> versions of the IMPROVE light extinction algorithm may be selected along with the option to use either model data at the monitor linked to each Class I Area or model data closest to the Class I Area centroid.</w:t>
      </w:r>
    </w:p>
    <w:p>
      <w:pPr>
        <w:pStyle w:val="42"/>
        <w:numPr>
          <w:ilvl w:val="0"/>
          <w:numId w:val="10"/>
        </w:numPr>
        <w:autoSpaceDE w:val="0"/>
        <w:autoSpaceDN w:val="0"/>
        <w:adjustRightInd w:val="0"/>
        <w:ind w:firstLineChars="0"/>
        <w:jc w:val="left"/>
        <w:rPr>
          <w:rFonts w:cs="Times New Roman"/>
          <w:kern w:val="0"/>
          <w:szCs w:val="24"/>
        </w:rPr>
      </w:pPr>
      <w:r>
        <w:fldChar w:fldCharType="begin"/>
      </w:r>
      <w:r>
        <w:instrText xml:space="preserve"> HYPERLINK \l "_The_SMAT-CE_Data_3" </w:instrText>
      </w:r>
      <w:r>
        <w:fldChar w:fldCharType="separate"/>
      </w:r>
      <w:r>
        <w:rPr>
          <w:rStyle w:val="34"/>
          <w:rFonts w:cs="Times New Roman"/>
          <w:kern w:val="0"/>
          <w:szCs w:val="24"/>
        </w:rPr>
        <w:t>Analyze/Visualize Data (Chapter 10)</w:t>
      </w:r>
      <w:r>
        <w:rPr>
          <w:rStyle w:val="36"/>
          <w:rFonts w:cs="Times New Roman"/>
          <w:kern w:val="0"/>
          <w:szCs w:val="24"/>
        </w:rPr>
        <w:fldChar w:fldCharType="end"/>
      </w:r>
      <w:r>
        <w:rPr>
          <w:rFonts w:cs="Times New Roman"/>
          <w:kern w:val="0"/>
          <w:szCs w:val="24"/>
          <w:u w:val="single"/>
        </w:rPr>
        <w:t>:</w:t>
      </w:r>
      <w:r>
        <w:rPr>
          <w:rFonts w:cs="Times New Roman"/>
          <w:kern w:val="0"/>
          <w:szCs w:val="24"/>
        </w:rPr>
        <w:t xml:space="preserve"> The Data Viewer provides a graphical and tabular interface to the input/output data from the attainment test analyses produced by SMAT-CE.</w:t>
      </w:r>
    </w:p>
    <w:p>
      <w:pPr>
        <w:pStyle w:val="3"/>
      </w:pPr>
      <w:bookmarkStart w:id="123" w:name="_Running_SMET-CE_in_1"/>
      <w:bookmarkEnd w:id="123"/>
      <w:bookmarkStart w:id="124" w:name="_Running_SMET-CE_in"/>
      <w:bookmarkEnd w:id="124"/>
      <w:bookmarkStart w:id="125" w:name="_Toc476654453"/>
      <w:bookmarkStart w:id="126" w:name="_Toc476654831"/>
      <w:bookmarkStart w:id="127" w:name="_Toc476653930"/>
      <w:bookmarkStart w:id="128" w:name="_Toc119010865"/>
      <w:bookmarkStart w:id="129" w:name="_Toc22329"/>
      <w:r>
        <w:t>Running SMAT-CE in Batch Mode</w:t>
      </w:r>
      <w:bookmarkEnd w:id="125"/>
      <w:bookmarkEnd w:id="126"/>
      <w:bookmarkEnd w:id="127"/>
      <w:bookmarkEnd w:id="128"/>
      <w:bookmarkEnd w:id="129"/>
    </w:p>
    <w:p>
      <w:r>
        <w:fldChar w:fldCharType="begin"/>
      </w:r>
      <w:r>
        <w:instrText xml:space="preserve"> HYPERLINK \l "_The_SMAT-CE_Configuration" </w:instrText>
      </w:r>
      <w:r>
        <w:fldChar w:fldCharType="separate"/>
      </w:r>
      <w:r>
        <w:rPr>
          <w:rStyle w:val="34"/>
        </w:rPr>
        <w:t>SMAT-CE Configuration Files</w:t>
      </w:r>
      <w:r>
        <w:rPr>
          <w:rStyle w:val="34"/>
        </w:rPr>
        <w:fldChar w:fldCharType="end"/>
      </w:r>
      <w:r>
        <w:t xml:space="preserve"> can be concatenated in a Windows batch script to automatically run multiple SMAT-CE analyses in sequence. A SMAT-CE Configuration File stores the configuration options for one SMAT Analysis (i.e., Annual PM, Daily PM, Ozone, or Visibility). Multiple Configuration Files can be used to define a suite of analyses to run at once through a batch script. The Configuration Files are created and saved automatically when setting up an attainment test analysis in SMAT-CE. They can be edited either through the Data Viewer or using a text editor outside of SMAT-CE.(</w:t>
      </w:r>
      <w:r>
        <w:fldChar w:fldCharType="begin"/>
      </w:r>
      <w:r>
        <w:instrText xml:space="preserve"> REF _Ref476650843 \h </w:instrText>
      </w:r>
      <w:r>
        <w:fldChar w:fldCharType="separate"/>
      </w:r>
      <w:r>
        <w:rPr>
          <w:bCs/>
          <w:i/>
          <w:iCs/>
        </w:rPr>
        <w:t xml:space="preserve">Figure </w:t>
      </w:r>
      <w:r>
        <w:rPr>
          <w:b/>
          <w:bCs/>
          <w:i/>
          <w:iCs/>
        </w:rPr>
        <w:t>5</w:t>
      </w:r>
      <w:r>
        <w:rPr>
          <w:bCs/>
          <w:i/>
          <w:iCs/>
        </w:rPr>
        <w:noBreakHyphen/>
      </w:r>
      <w:r>
        <w:rPr>
          <w:b/>
          <w:bCs/>
          <w:i/>
          <w:iCs/>
        </w:rPr>
        <w:t>1</w:t>
      </w:r>
      <w:r>
        <w:fldChar w:fldCharType="end"/>
      </w:r>
      <w:r>
        <w:t xml:space="preserve">). New configuration files can be added to the batch script to run additional analyses. </w:t>
      </w:r>
    </w:p>
    <w:p>
      <w:r>
        <w:t xml:space="preserve">An example batch script (batsmat.bat) and configuration files (*.cfg) are included in </w:t>
      </w:r>
      <w:r>
        <w:rPr>
          <w:b/>
          <w:bCs/>
        </w:rPr>
        <w:t>User Documents</w:t>
      </w:r>
      <w:r>
        <w:t xml:space="preserve"> under “\My SMAT-CE Files\</w:t>
      </w:r>
      <w:r>
        <w:rPr>
          <w:rFonts w:hint="eastAsia"/>
        </w:rPr>
        <w:t>Data</w:t>
      </w:r>
      <w:r>
        <w:t>\</w:t>
      </w:r>
      <w:r>
        <w:rPr>
          <w:rFonts w:hint="eastAsia"/>
        </w:rPr>
        <w:t>BatchExample</w:t>
      </w:r>
      <w:r>
        <w:t>” (e.g., C:\Users\</w:t>
      </w:r>
      <w:r>
        <w:rPr>
          <w:rFonts w:hint="eastAsia"/>
        </w:rPr>
        <w:t>administrator</w:t>
      </w:r>
      <w:r>
        <w:t>\Documents\My SMAT-CE Files\Data\BatchExample). The script "batchsmat.bat" includes a list of configuration files for the four types of analyses supported by SMAT-CE (</w:t>
      </w:r>
      <w:r>
        <w:fldChar w:fldCharType="begin"/>
      </w:r>
      <w:r>
        <w:instrText xml:space="preserve"> REF _Ref476650843 \h </w:instrText>
      </w:r>
      <w:r>
        <w:fldChar w:fldCharType="separate"/>
      </w:r>
      <w:r>
        <w:rPr>
          <w:bCs/>
          <w:i/>
          <w:iCs/>
        </w:rPr>
        <w:t xml:space="preserve">Figure </w:t>
      </w:r>
      <w:r>
        <w:rPr>
          <w:b/>
          <w:bCs/>
          <w:i/>
          <w:iCs/>
        </w:rPr>
        <w:t>5</w:t>
      </w:r>
      <w:r>
        <w:rPr>
          <w:bCs/>
          <w:i/>
          <w:iCs/>
        </w:rPr>
        <w:noBreakHyphen/>
      </w:r>
      <w:r>
        <w:rPr>
          <w:b/>
          <w:bCs/>
          <w:i/>
          <w:iCs/>
        </w:rPr>
        <w:t>1</w:t>
      </w:r>
      <w:r>
        <w:fldChar w:fldCharType="end"/>
      </w:r>
      <w:r>
        <w:t xml:space="preserve">). Please make sure the paths </w:t>
      </w:r>
      <w:r>
        <w:rPr>
          <w:rFonts w:hint="eastAsia"/>
        </w:rPr>
        <w:t>in .cfg file</w:t>
      </w:r>
      <w:r>
        <w:t>s exist before running the batch script.</w:t>
      </w:r>
    </w:p>
    <w:p>
      <w:pPr>
        <w:keepNext/>
        <w:autoSpaceDE w:val="0"/>
        <w:autoSpaceDN w:val="0"/>
        <w:adjustRightInd w:val="0"/>
        <w:jc w:val="center"/>
      </w:pPr>
      <w:r>
        <w:drawing>
          <wp:inline distT="0" distB="0" distL="0" distR="0">
            <wp:extent cx="5274310" cy="1235710"/>
            <wp:effectExtent l="0" t="0" r="2540" b="254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20"/>
                    <a:stretch>
                      <a:fillRect/>
                    </a:stretch>
                  </pic:blipFill>
                  <pic:spPr>
                    <a:xfrm>
                      <a:off x="0" y="0"/>
                      <a:ext cx="5274310" cy="1235710"/>
                    </a:xfrm>
                    <a:prstGeom prst="rect">
                      <a:avLst/>
                    </a:prstGeom>
                  </pic:spPr>
                </pic:pic>
              </a:graphicData>
            </a:graphic>
          </wp:inline>
        </w:drawing>
      </w:r>
    </w:p>
    <w:p>
      <w:pPr>
        <w:pStyle w:val="12"/>
        <w:rPr>
          <w:rFonts w:ascii="Cambria" w:hAnsi="Cambria" w:cs="Cambria"/>
          <w:b w:val="0"/>
          <w:bCs/>
          <w:i/>
          <w:iCs/>
          <w:color w:val="000000"/>
          <w:kern w:val="0"/>
          <w:sz w:val="20"/>
        </w:rPr>
      </w:pPr>
      <w:bookmarkStart w:id="130" w:name="_Ref476650843"/>
      <w:bookmarkStart w:id="131" w:name="_Toc476654213"/>
      <w:bookmarkStart w:id="132" w:name="_Toc119"/>
      <w:bookmarkStart w:id="133" w:name="_Toc24999"/>
      <w:bookmarkStart w:id="134" w:name="_Toc119010905"/>
      <w:bookmarkStart w:id="135" w:name="_Toc28485"/>
      <w:bookmarkStart w:id="136" w:name="_Toc14676"/>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5</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1</w:t>
      </w:r>
      <w:r>
        <w:rPr>
          <w:b w:val="0"/>
          <w:bCs/>
          <w:i/>
          <w:iCs/>
        </w:rPr>
        <w:fldChar w:fldCharType="end"/>
      </w:r>
      <w:bookmarkEnd w:id="130"/>
      <w:bookmarkStart w:id="137" w:name="_Toc4785"/>
      <w:r>
        <w:rPr>
          <w:b w:val="0"/>
          <w:bCs/>
          <w:i/>
          <w:iCs/>
        </w:rPr>
        <w:t>. SMAT-CE batch script</w:t>
      </w:r>
      <w:bookmarkEnd w:id="131"/>
      <w:bookmarkEnd w:id="132"/>
      <w:bookmarkEnd w:id="133"/>
      <w:bookmarkEnd w:id="134"/>
      <w:bookmarkEnd w:id="135"/>
      <w:bookmarkEnd w:id="136"/>
      <w:bookmarkEnd w:id="137"/>
    </w:p>
    <w:p>
      <w:r>
        <w:t xml:space="preserve">After editing the SMAT-CE batch script, save it and double-click on the file to run the analyses. A Windows command window will display the status of the different SMAT-CE analysis runs. SMAT-CE will start and run in the background and when the runs are complete, the command window will shut down automatically. The results of the SMAT-CE batch runs are output to the </w:t>
      </w:r>
      <w:r>
        <w:rPr>
          <w:b/>
          <w:bCs/>
        </w:rPr>
        <w:t>User Documents</w:t>
      </w:r>
      <w:r>
        <w:t xml:space="preserve"> under “\My SMAT-CE Files\Result\” directory. The *.proj files from these runs can be loaded into the </w:t>
      </w:r>
      <w:r>
        <w:fldChar w:fldCharType="begin"/>
      </w:r>
      <w:r>
        <w:instrText xml:space="preserve"> HYPERLINK \l "_The_SMAT-CE_Data_4" </w:instrText>
      </w:r>
      <w:r>
        <w:fldChar w:fldCharType="separate"/>
      </w:r>
      <w:r>
        <w:rPr>
          <w:rStyle w:val="34"/>
        </w:rPr>
        <w:t>SMAT-CE Data Viewer</w:t>
      </w:r>
      <w:r>
        <w:rPr>
          <w:rStyle w:val="36"/>
        </w:rPr>
        <w:fldChar w:fldCharType="end"/>
      </w:r>
      <w:r>
        <w:t xml:space="preserve"> to probe the results from these runs.</w:t>
      </w:r>
    </w:p>
    <w:p>
      <w:r>
        <w:t>Details of the SMAT-CE Analysis options are provided in the following Chapters. A Continental U.S. (CONUS) example project is used in each of the analysis chapters to demonstrate the options available for each attainment test.</w:t>
      </w:r>
    </w:p>
    <w:p/>
    <w:p/>
    <w:p>
      <w:pPr>
        <w:sectPr>
          <w:pgSz w:w="11906" w:h="16838"/>
          <w:pgMar w:top="1440" w:right="1800" w:bottom="1440" w:left="1800" w:header="851" w:footer="992" w:gutter="0"/>
          <w:cols w:space="425" w:num="1"/>
          <w:docGrid w:type="lines" w:linePitch="312" w:charSpace="0"/>
        </w:sectPr>
      </w:pPr>
    </w:p>
    <w:p>
      <w:pPr>
        <w:pStyle w:val="2"/>
      </w:pPr>
      <w:bookmarkStart w:id="138" w:name="_Annual_PM_Analysis_2"/>
      <w:bookmarkEnd w:id="138"/>
      <w:bookmarkStart w:id="139" w:name="_Annual_PM_Analysis"/>
      <w:bookmarkEnd w:id="139"/>
      <w:bookmarkStart w:id="140" w:name="_Annual_PM_Analysis_3"/>
      <w:bookmarkEnd w:id="140"/>
      <w:bookmarkStart w:id="141" w:name="_Annual_PM_Analysis_1"/>
      <w:bookmarkEnd w:id="141"/>
      <w:bookmarkStart w:id="142" w:name="_Toc476654454"/>
      <w:bookmarkStart w:id="143" w:name="_Toc476654832"/>
      <w:bookmarkStart w:id="144" w:name="_Toc476653931"/>
      <w:bookmarkStart w:id="145" w:name="_Toc11242"/>
      <w:bookmarkStart w:id="146" w:name="_Toc119010866"/>
      <w:bookmarkStart w:id="147" w:name="_Ref474499575"/>
      <w:r>
        <w:t>Annual PM Analysis</w:t>
      </w:r>
      <w:bookmarkEnd w:id="142"/>
      <w:bookmarkEnd w:id="143"/>
      <w:bookmarkEnd w:id="144"/>
      <w:bookmarkEnd w:id="145"/>
      <w:bookmarkEnd w:id="146"/>
      <w:bookmarkEnd w:id="147"/>
    </w:p>
    <w:p>
      <w:r>
        <w:t>SMAT-CE can forecast annual design values at PM</w:t>
      </w:r>
      <w:r>
        <w:rPr>
          <w:vertAlign w:val="subscript"/>
        </w:rPr>
        <w:t xml:space="preserve">2.5 </w:t>
      </w:r>
      <w:r>
        <w:t>monitor locations, these forecasts are referred to as Point Estimates. SMAT-CE can also use a variety of approaches to calculate design values for a Spatial Field. A Spatial Field refers to a set of values comprising calculations for each grid cell in a modeling domain from Eulerian grid models such as CMAQ and CAMx.</w:t>
      </w:r>
    </w:p>
    <w:p>
      <w:r>
        <w:t xml:space="preserve">The Annual PM Design Value Analysis in SMAT-CE is organized into seven steps. The steps include the input/output and configuration options for computing </w:t>
      </w:r>
      <w:r>
        <w:rPr>
          <w:rFonts w:hint="eastAsia"/>
        </w:rPr>
        <w:t>PM</w:t>
      </w:r>
      <w:r>
        <w:rPr>
          <w:rFonts w:hint="eastAsia"/>
          <w:vertAlign w:val="subscript"/>
        </w:rPr>
        <w:t>2.5</w:t>
      </w:r>
      <w:r>
        <w:t xml:space="preserve"> design values. The following configuration steps correspond to different SMAT-CE windows and are described in detail in this chapter:</w:t>
      </w:r>
    </w:p>
    <w:p>
      <w:pPr>
        <w:pStyle w:val="42"/>
        <w:numPr>
          <w:ilvl w:val="0"/>
          <w:numId w:val="11"/>
        </w:numPr>
        <w:ind w:firstLineChars="0"/>
      </w:pPr>
      <w:r>
        <w:rPr>
          <w:b/>
        </w:rPr>
        <w:t>Output Choice</w:t>
      </w:r>
      <w:r>
        <w:rPr>
          <w:b/>
          <w:bCs/>
        </w:rPr>
        <w:t>:</w:t>
      </w:r>
      <w:r>
        <w:t xml:space="preserve"> Select whether to run the Standard Analysis, and whether to output a species fractions file and/or quarterly model data.</w:t>
      </w:r>
    </w:p>
    <w:p>
      <w:pPr>
        <w:pStyle w:val="42"/>
        <w:numPr>
          <w:ilvl w:val="0"/>
          <w:numId w:val="11"/>
        </w:numPr>
        <w:ind w:firstLineChars="0"/>
      </w:pPr>
      <w:r>
        <w:rPr>
          <w:b/>
        </w:rPr>
        <w:t>Output Choice – Advanced</w:t>
      </w:r>
      <w:r>
        <w:rPr>
          <w:b/>
          <w:bCs/>
        </w:rPr>
        <w:t>:</w:t>
      </w:r>
      <w:r>
        <w:t xml:space="preserve"> Configure miscellaneous Point Estimate output files for quality assurance of the PM design value calculations.</w:t>
      </w:r>
    </w:p>
    <w:p>
      <w:pPr>
        <w:pStyle w:val="42"/>
        <w:numPr>
          <w:ilvl w:val="0"/>
          <w:numId w:val="11"/>
        </w:numPr>
        <w:ind w:firstLineChars="0"/>
      </w:pPr>
      <w:r>
        <w:rPr>
          <w:b/>
        </w:rPr>
        <w:t>Data Input</w:t>
      </w:r>
      <w:r>
        <w:rPr>
          <w:b/>
          <w:bCs/>
        </w:rPr>
        <w:t>:</w:t>
      </w:r>
      <w:r>
        <w:t xml:space="preserve"> Specify the species monitoring data, species fractions file, PM</w:t>
      </w:r>
      <w:r>
        <w:rPr>
          <w:vertAlign w:val="subscript"/>
        </w:rPr>
        <w:t>2.5</w:t>
      </w:r>
      <w:r>
        <w:t xml:space="preserve"> ambient monitoring data, and the modeling data to use for the design value calculations.</w:t>
      </w:r>
    </w:p>
    <w:p>
      <w:pPr>
        <w:pStyle w:val="42"/>
        <w:numPr>
          <w:ilvl w:val="0"/>
          <w:numId w:val="11"/>
        </w:numPr>
        <w:ind w:firstLineChars="0"/>
      </w:pPr>
      <w:r>
        <w:rPr>
          <w:b/>
        </w:rPr>
        <w:t>Species Fractions Calculation Options</w:t>
      </w:r>
      <w:r>
        <w:rPr>
          <w:b/>
          <w:bCs/>
        </w:rPr>
        <w:t>:</w:t>
      </w:r>
      <w:r>
        <w:t xml:space="preserve"> Select the years of daily STN-IMPROVE and FRM monitoring data and identify valid monitors. Define data filtering specifications.</w:t>
      </w:r>
    </w:p>
    <w:p>
      <w:pPr>
        <w:pStyle w:val="42"/>
        <w:numPr>
          <w:ilvl w:val="0"/>
          <w:numId w:val="11"/>
        </w:numPr>
        <w:ind w:firstLineChars="0"/>
      </w:pPr>
      <w:r>
        <w:rPr>
          <w:b/>
        </w:rPr>
        <w:t>Species Fractions Calculation Options – Advanced</w:t>
      </w:r>
      <w:r>
        <w:rPr>
          <w:b/>
          <w:bCs/>
        </w:rPr>
        <w:t>:</w:t>
      </w:r>
      <w:r>
        <w:t xml:space="preserve"> Select the method to identify peak monitor values. Choose interpolation options for PM</w:t>
      </w:r>
      <w:r>
        <w:rPr>
          <w:vertAlign w:val="subscript"/>
        </w:rPr>
        <w:t xml:space="preserve">2.5 </w:t>
      </w:r>
      <w:r>
        <w:t>and species monitoring data. Choose assumptions for the ammonium calculation, default blank mass, and organic carbon.</w:t>
      </w:r>
    </w:p>
    <w:p>
      <w:pPr>
        <w:pStyle w:val="42"/>
        <w:numPr>
          <w:ilvl w:val="0"/>
          <w:numId w:val="11"/>
        </w:numPr>
        <w:ind w:firstLineChars="0"/>
      </w:pPr>
      <w:r>
        <w:rPr>
          <w:b/>
        </w:rPr>
        <w:t>PM</w:t>
      </w:r>
      <w:r>
        <w:rPr>
          <w:b/>
          <w:vertAlign w:val="subscript"/>
        </w:rPr>
        <w:t xml:space="preserve">2.5 </w:t>
      </w:r>
      <w:r>
        <w:rPr>
          <w:b/>
        </w:rPr>
        <w:t>Calculation Options - FRM Monitor Data</w:t>
      </w:r>
      <w:r>
        <w:rPr>
          <w:b/>
          <w:bCs/>
        </w:rPr>
        <w:t>:</w:t>
      </w:r>
      <w:r>
        <w:t xml:space="preserve"> Select the years of quarterly FRM monitoring data and identify valid monitors. Select the approach for calculating future year ammonium.</w:t>
      </w:r>
    </w:p>
    <w:p>
      <w:pPr>
        <w:pStyle w:val="42"/>
        <w:numPr>
          <w:ilvl w:val="0"/>
          <w:numId w:val="11"/>
        </w:numPr>
        <w:ind w:firstLineChars="0"/>
      </w:pPr>
      <w:r>
        <w:rPr>
          <w:b/>
        </w:rPr>
        <w:t>Model Data Options</w:t>
      </w:r>
      <w:r>
        <w:rPr>
          <w:b/>
          <w:bCs/>
        </w:rPr>
        <w:t>:</w:t>
      </w:r>
      <w:r>
        <w:t xml:space="preserve"> Specify the maximum distance of monitors from the modeling domain. Choose method to identify peak model values. Specify which model grid cells will be used when calculating RRFs at monitor locations.</w:t>
      </w:r>
    </w:p>
    <w:p>
      <w:pPr>
        <w:keepNext/>
      </w:pPr>
      <w:r>
        <w:rPr>
          <w:rFonts w:cs="Times New Roman"/>
          <w:color w:val="000000"/>
          <w:kern w:val="0"/>
          <w:sz w:val="22"/>
          <w:szCs w:val="24"/>
          <w:lang w:eastAsia="en-US"/>
        </w:rPr>
        <w:drawing>
          <wp:inline distT="0" distB="0" distL="0" distR="0">
            <wp:extent cx="5273040" cy="3692525"/>
            <wp:effectExtent l="0" t="0" r="3810" b="3175"/>
            <wp:docPr id="39" name="图片 39" descr="C:\Users\Administrator\Desktop\help\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Desktop\help\3.1 -2.jpg"/>
                    <pic:cNvPicPr>
                      <a:picLocks noChangeAspect="1" noChangeArrowheads="1"/>
                    </pic:cNvPicPr>
                  </pic:nvPicPr>
                  <pic:blipFill>
                    <a:blip r:embed="rId21">
                      <a:extLst>
                        <a:ext uri="{28A0092B-C50C-407E-A947-70E740481C1C}">
                          <a14:useLocalDpi xmlns:a14="http://schemas.microsoft.com/office/drawing/2010/main" val="0"/>
                        </a:ext>
                      </a:extLst>
                    </a:blip>
                    <a:srcRect t="3670"/>
                    <a:stretch>
                      <a:fillRect/>
                    </a:stretch>
                  </pic:blipFill>
                  <pic:spPr>
                    <a:xfrm>
                      <a:off x="0" y="0"/>
                      <a:ext cx="5274310" cy="3693356"/>
                    </a:xfrm>
                    <a:prstGeom prst="rect">
                      <a:avLst/>
                    </a:prstGeom>
                    <a:noFill/>
                    <a:ln>
                      <a:noFill/>
                    </a:ln>
                  </pic:spPr>
                </pic:pic>
              </a:graphicData>
            </a:graphic>
          </wp:inline>
        </w:drawing>
      </w:r>
    </w:p>
    <w:p>
      <w:pPr>
        <w:pStyle w:val="12"/>
        <w:rPr>
          <w:rFonts w:cs="Times New Roman"/>
          <w:b w:val="0"/>
          <w:bCs/>
          <w:i/>
          <w:iCs/>
          <w:color w:val="000000"/>
          <w:kern w:val="0"/>
          <w:sz w:val="22"/>
          <w:szCs w:val="24"/>
        </w:rPr>
      </w:pPr>
      <w:bookmarkStart w:id="148" w:name="_Ref470255851"/>
      <w:bookmarkStart w:id="149" w:name="_Toc30630"/>
      <w:bookmarkStart w:id="150" w:name="_Toc119010906"/>
      <w:bookmarkStart w:id="151" w:name="_Toc476654214"/>
      <w:bookmarkStart w:id="152" w:name="_Toc27526"/>
      <w:bookmarkStart w:id="153" w:name="_Toc442"/>
      <w:bookmarkStart w:id="154" w:name="_Toc3258"/>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6</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1</w:t>
      </w:r>
      <w:r>
        <w:rPr>
          <w:b w:val="0"/>
          <w:bCs/>
          <w:i/>
          <w:iCs/>
        </w:rPr>
        <w:fldChar w:fldCharType="end"/>
      </w:r>
      <w:bookmarkEnd w:id="148"/>
      <w:bookmarkStart w:id="155" w:name="_Toc18298"/>
      <w:r>
        <w:rPr>
          <w:b w:val="0"/>
          <w:bCs/>
          <w:i/>
          <w:iCs/>
        </w:rPr>
        <w:t>. Annual PM Analysis initial window</w:t>
      </w:r>
      <w:bookmarkEnd w:id="149"/>
      <w:bookmarkEnd w:id="150"/>
      <w:bookmarkEnd w:id="151"/>
      <w:bookmarkEnd w:id="152"/>
      <w:bookmarkEnd w:id="153"/>
      <w:bookmarkEnd w:id="154"/>
      <w:bookmarkEnd w:id="155"/>
    </w:p>
    <w:p>
      <w:bookmarkStart w:id="156" w:name="OLE_LINK29"/>
      <w:bookmarkStart w:id="157" w:name="OLE_LINK30"/>
      <w:r>
        <w:t>To conduct an attainment test for the annual PM</w:t>
      </w:r>
      <w:r>
        <w:rPr>
          <w:vertAlign w:val="subscript"/>
        </w:rPr>
        <w:t>2.5</w:t>
      </w:r>
      <w:r>
        <w:t xml:space="preserve"> NAAQS, select </w:t>
      </w:r>
      <w:r>
        <w:rPr>
          <w:b/>
        </w:rPr>
        <w:t>Annual PM Analysis</w:t>
      </w:r>
      <w:r>
        <w:t xml:space="preserve"> from the Process Data module on the SMAT-CE Start Page. </w:t>
      </w:r>
      <w:r>
        <w:fldChar w:fldCharType="begin"/>
      </w:r>
      <w:r>
        <w:instrText xml:space="preserve"> REF _Ref470255851 \h </w:instrText>
      </w:r>
      <w:r>
        <w:fldChar w:fldCharType="separate"/>
      </w:r>
      <w:r>
        <w:rPr>
          <w:bCs/>
          <w:i/>
          <w:iCs/>
        </w:rPr>
        <w:t xml:space="preserve">Figure </w:t>
      </w:r>
      <w:r>
        <w:rPr>
          <w:b/>
          <w:bCs/>
          <w:i/>
          <w:iCs/>
        </w:rPr>
        <w:t>6</w:t>
      </w:r>
      <w:r>
        <w:rPr>
          <w:bCs/>
          <w:i/>
          <w:iCs/>
        </w:rPr>
        <w:noBreakHyphen/>
      </w:r>
      <w:r>
        <w:rPr>
          <w:b/>
          <w:bCs/>
          <w:i/>
          <w:iCs/>
        </w:rPr>
        <w:t>1</w:t>
      </w:r>
      <w:r>
        <w:fldChar w:fldCharType="end"/>
      </w:r>
      <w:r>
        <w:t xml:space="preserve"> shows the initial window that is displayed when Annual PM Analysis is selected. The box in the upper left of the window (highlighted in red in </w:t>
      </w:r>
      <w:r>
        <w:fldChar w:fldCharType="begin"/>
      </w:r>
      <w:r>
        <w:instrText xml:space="preserve"> REF _Ref470255851 \h </w:instrText>
      </w:r>
      <w:r>
        <w:fldChar w:fldCharType="separate"/>
      </w:r>
      <w:r>
        <w:rPr>
          <w:bCs/>
          <w:i/>
          <w:iCs/>
        </w:rPr>
        <w:t xml:space="preserve">Figure </w:t>
      </w:r>
      <w:r>
        <w:rPr>
          <w:b/>
          <w:bCs/>
          <w:i/>
          <w:iCs/>
        </w:rPr>
        <w:t>6</w:t>
      </w:r>
      <w:r>
        <w:rPr>
          <w:bCs/>
          <w:i/>
          <w:iCs/>
        </w:rPr>
        <w:noBreakHyphen/>
      </w:r>
      <w:r>
        <w:rPr>
          <w:b/>
          <w:bCs/>
          <w:i/>
          <w:iCs/>
        </w:rPr>
        <w:t>1</w:t>
      </w:r>
      <w:r>
        <w:fldChar w:fldCharType="end"/>
      </w:r>
      <w:r>
        <w:t xml:space="preserve">) lists the configuration steps of the Annual PM Analysis. Each step listed in this box has a different set of configuration options that are displayed in the Annual PM Analysis window. Once each step is successfully configured, the yellow buttons in the box will change from yellow to green. In general, the configuration steps must be followed in order, from top to bottom, as they are listed in the box. Previously completed steps may be accessed and modified by double-clicking on the step name in the box. Once the configuration for a step is complete, you may move to the next step by either clicking on it or by selecting the Next button (shown in the blue box in </w:t>
      </w:r>
      <w:r>
        <w:fldChar w:fldCharType="begin"/>
      </w:r>
      <w:r>
        <w:instrText xml:space="preserve"> REF _Ref470255851 \h </w:instrText>
      </w:r>
      <w:r>
        <w:fldChar w:fldCharType="separate"/>
      </w:r>
      <w:r>
        <w:rPr>
          <w:bCs/>
          <w:i/>
          <w:iCs/>
        </w:rPr>
        <w:t xml:space="preserve">Figure </w:t>
      </w:r>
      <w:r>
        <w:rPr>
          <w:b/>
          <w:bCs/>
          <w:i/>
          <w:iCs/>
        </w:rPr>
        <w:t>6</w:t>
      </w:r>
      <w:r>
        <w:rPr>
          <w:bCs/>
          <w:i/>
          <w:iCs/>
        </w:rPr>
        <w:noBreakHyphen/>
      </w:r>
      <w:r>
        <w:rPr>
          <w:b/>
          <w:bCs/>
          <w:i/>
          <w:iCs/>
        </w:rPr>
        <w:t>1</w:t>
      </w:r>
      <w:r>
        <w:fldChar w:fldCharType="end"/>
      </w:r>
      <w:r>
        <w:t xml:space="preserve">). </w:t>
      </w:r>
    </w:p>
    <w:p>
      <w:r>
        <w:t xml:space="preserve">A previous project may be loaded, or a new project may be initiated at any time, in the Annual PM Analysis window by selecting one of the icons to the right of the “Annual PM Analysis” text above the red box in </w:t>
      </w:r>
      <w:r>
        <w:fldChar w:fldCharType="begin"/>
      </w:r>
      <w:r>
        <w:instrText xml:space="preserve"> REF _Ref470255851 \h </w:instrText>
      </w:r>
      <w:r>
        <w:fldChar w:fldCharType="separate"/>
      </w:r>
      <w:r>
        <w:rPr>
          <w:bCs/>
          <w:i/>
          <w:iCs/>
        </w:rPr>
        <w:t xml:space="preserve">Figure </w:t>
      </w:r>
      <w:r>
        <w:rPr>
          <w:b/>
          <w:bCs/>
          <w:i/>
          <w:iCs/>
        </w:rPr>
        <w:t>6</w:t>
      </w:r>
      <w:r>
        <w:rPr>
          <w:bCs/>
          <w:i/>
          <w:iCs/>
        </w:rPr>
        <w:noBreakHyphen/>
      </w:r>
      <w:r>
        <w:rPr>
          <w:b/>
          <w:bCs/>
          <w:i/>
          <w:iCs/>
        </w:rPr>
        <w:t>1</w:t>
      </w:r>
      <w:r>
        <w:fldChar w:fldCharType="end"/>
      </w:r>
      <w:r>
        <w:t>.</w:t>
      </w:r>
    </w:p>
    <w:p>
      <w:r>
        <w:t>Each of the Annual PM Analysis configuration steps are described in the following sections.</w:t>
      </w:r>
    </w:p>
    <w:bookmarkEnd w:id="156"/>
    <w:bookmarkEnd w:id="157"/>
    <w:p>
      <w:pPr>
        <w:pStyle w:val="3"/>
      </w:pPr>
      <w:bookmarkStart w:id="158" w:name="_Toc476653932"/>
      <w:bookmarkStart w:id="159" w:name="_Toc119010867"/>
      <w:bookmarkStart w:id="160" w:name="_Toc10701"/>
      <w:bookmarkStart w:id="161" w:name="_Toc476654455"/>
      <w:bookmarkStart w:id="162" w:name="_Toc476654833"/>
      <w:r>
        <w:t>Choose Desired Output</w:t>
      </w:r>
      <w:bookmarkEnd w:id="158"/>
      <w:bookmarkEnd w:id="159"/>
      <w:bookmarkEnd w:id="160"/>
      <w:bookmarkEnd w:id="161"/>
      <w:bookmarkEnd w:id="162"/>
    </w:p>
    <w:p>
      <w:pPr>
        <w:keepNext/>
        <w:jc w:val="center"/>
      </w:pPr>
      <w:r>
        <w:rPr>
          <w:rFonts w:cs="Times New Roman"/>
          <w:sz w:val="22"/>
          <w:lang w:eastAsia="en-US"/>
        </w:rPr>
        <w:drawing>
          <wp:inline distT="0" distB="0" distL="0" distR="0">
            <wp:extent cx="5273040" cy="3683635"/>
            <wp:effectExtent l="0" t="0" r="3810" b="0"/>
            <wp:docPr id="50" name="图片 50" descr="C:\Users\Administrator\Desktop\SMAT操作手册\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istrator\Desktop\SMAT操作手册\3.1.1-1.jpg"/>
                    <pic:cNvPicPr>
                      <a:picLocks noChangeAspect="1" noChangeArrowheads="1"/>
                    </pic:cNvPicPr>
                  </pic:nvPicPr>
                  <pic:blipFill>
                    <a:blip r:embed="rId22">
                      <a:extLst>
                        <a:ext uri="{28A0092B-C50C-407E-A947-70E740481C1C}">
                          <a14:useLocalDpi xmlns:a14="http://schemas.microsoft.com/office/drawing/2010/main" val="0"/>
                        </a:ext>
                      </a:extLst>
                    </a:blip>
                    <a:srcRect t="3899"/>
                    <a:stretch>
                      <a:fillRect/>
                    </a:stretch>
                  </pic:blipFill>
                  <pic:spPr>
                    <a:xfrm>
                      <a:off x="0" y="0"/>
                      <a:ext cx="5274310" cy="3684562"/>
                    </a:xfrm>
                    <a:prstGeom prst="rect">
                      <a:avLst/>
                    </a:prstGeom>
                    <a:noFill/>
                    <a:ln>
                      <a:noFill/>
                    </a:ln>
                  </pic:spPr>
                </pic:pic>
              </a:graphicData>
            </a:graphic>
          </wp:inline>
        </w:drawing>
      </w:r>
    </w:p>
    <w:p>
      <w:pPr>
        <w:pStyle w:val="12"/>
        <w:rPr>
          <w:rFonts w:cs="Times New Roman"/>
          <w:b w:val="0"/>
          <w:bCs/>
          <w:i/>
          <w:iCs/>
          <w:sz w:val="22"/>
        </w:rPr>
      </w:pPr>
      <w:bookmarkStart w:id="163" w:name="_Ref470259802"/>
      <w:bookmarkStart w:id="164" w:name="_Toc476654215"/>
      <w:bookmarkStart w:id="165" w:name="_Toc18526"/>
      <w:bookmarkStart w:id="166" w:name="_Toc119010907"/>
      <w:bookmarkStart w:id="167" w:name="_Toc8458"/>
      <w:bookmarkStart w:id="168" w:name="_Toc6145"/>
      <w:bookmarkStart w:id="169" w:name="_Toc24531"/>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6</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2</w:t>
      </w:r>
      <w:r>
        <w:rPr>
          <w:b w:val="0"/>
          <w:bCs/>
          <w:i/>
          <w:iCs/>
        </w:rPr>
        <w:fldChar w:fldCharType="end"/>
      </w:r>
      <w:bookmarkEnd w:id="163"/>
      <w:bookmarkStart w:id="170" w:name="_Toc32264"/>
      <w:r>
        <w:rPr>
          <w:b w:val="0"/>
          <w:bCs/>
          <w:i/>
          <w:iCs/>
        </w:rPr>
        <w:t>. Choose Desired Output for Annual PM</w:t>
      </w:r>
      <w:r>
        <w:rPr>
          <w:b w:val="0"/>
          <w:bCs/>
          <w:i/>
          <w:iCs/>
          <w:vertAlign w:val="subscript"/>
        </w:rPr>
        <w:t>2.5</w:t>
      </w:r>
      <w:r>
        <w:rPr>
          <w:b w:val="0"/>
          <w:bCs/>
          <w:i/>
          <w:iCs/>
        </w:rPr>
        <w:t xml:space="preserve"> Analysis</w:t>
      </w:r>
      <w:bookmarkEnd w:id="164"/>
      <w:bookmarkEnd w:id="165"/>
      <w:bookmarkEnd w:id="166"/>
      <w:bookmarkEnd w:id="167"/>
      <w:bookmarkEnd w:id="168"/>
      <w:bookmarkEnd w:id="169"/>
      <w:bookmarkEnd w:id="170"/>
    </w:p>
    <w:p>
      <w:bookmarkStart w:id="171" w:name="OLE_LINK32"/>
      <w:bookmarkStart w:id="172" w:name="OLE_LINK31"/>
      <w:r>
        <w:rPr>
          <w:b/>
        </w:rPr>
        <w:t>Choose Desired Output</w:t>
      </w:r>
      <w:r>
        <w:t xml:space="preserve"> is the first configuration step that is displayed when the Annual PM Analysis module is selected (</w:t>
      </w:r>
      <w:r>
        <w:fldChar w:fldCharType="begin"/>
      </w:r>
      <w:r>
        <w:instrText xml:space="preserve"> REF _Ref470259802 \h </w:instrText>
      </w:r>
      <w:r>
        <w:fldChar w:fldCharType="separate"/>
      </w:r>
      <w:r>
        <w:rPr>
          <w:bCs/>
          <w:i/>
          <w:iCs/>
        </w:rPr>
        <w:t xml:space="preserve">Figure </w:t>
      </w:r>
      <w:r>
        <w:rPr>
          <w:b/>
          <w:bCs/>
          <w:i/>
          <w:iCs/>
        </w:rPr>
        <w:t>6</w:t>
      </w:r>
      <w:r>
        <w:rPr>
          <w:bCs/>
          <w:i/>
          <w:iCs/>
        </w:rPr>
        <w:noBreakHyphen/>
      </w:r>
      <w:r>
        <w:rPr>
          <w:b/>
          <w:bCs/>
          <w:i/>
          <w:iCs/>
        </w:rPr>
        <w:t>2</w:t>
      </w:r>
      <w:r>
        <w:fldChar w:fldCharType="end"/>
      </w:r>
      <w:r>
        <w:t>). The blue hyperlinked text in this window brings up the documentation for this configuration step. The settings in this step include:</w:t>
      </w:r>
    </w:p>
    <w:p>
      <w:r>
        <w:rPr>
          <w:b/>
          <w:u w:val="single"/>
        </w:rPr>
        <w:t>Project Name</w:t>
      </w:r>
    </w:p>
    <w:p>
      <w:r>
        <w:t>Text string to identify this analysis and set the name of the project file</w:t>
      </w:r>
    </w:p>
    <w:p>
      <w:r>
        <w:rPr>
          <w:b/>
          <w:u w:val="single"/>
        </w:rPr>
        <w:t>Standard Analysis</w:t>
      </w:r>
    </w:p>
    <w:p>
      <w:pPr>
        <w:rPr>
          <w:szCs w:val="24"/>
        </w:rPr>
      </w:pPr>
      <w:r>
        <w:t>Since most Federal Reference Method (FRM) PM</w:t>
      </w:r>
      <w:r>
        <w:rPr>
          <w:vertAlign w:val="subscript"/>
        </w:rPr>
        <w:t xml:space="preserve">2.5 </w:t>
      </w:r>
      <w:r>
        <w:t>monitoring sites do not have collocated chemical speciation monitors, spatial interpolation is used to estimate species data at FRM PM</w:t>
      </w:r>
      <w:r>
        <w:rPr>
          <w:vertAlign w:val="subscript"/>
        </w:rPr>
        <w:t>2.5</w:t>
      </w:r>
      <w:r>
        <w:t xml:space="preserve"> monitor locations. SMAT-CE provides options to use different methods for spatially interpolating chemical speciation information to the FRM monitors. These options are available from the </w:t>
      </w:r>
      <w:r>
        <w:rPr>
          <w:b/>
        </w:rPr>
        <w:t>Output Choices-Advanced</w:t>
      </w:r>
      <w:r>
        <w:t xml:space="preserve"> configuration window. Complete details of the Standard Analysis approach, including the formula used to calculate species concentrations, are available in the U.S. EPA </w:t>
      </w:r>
      <w:r>
        <w:rPr>
          <w:szCs w:val="24"/>
        </w:rPr>
        <w:t>Draft Modeling Guidance for</w:t>
      </w:r>
      <w:r>
        <w:t xml:space="preserve"> </w:t>
      </w:r>
      <w:r>
        <w:rPr>
          <w:szCs w:val="24"/>
        </w:rPr>
        <w:t>Attainment of Air Quality Goals for Ozone, PM</w:t>
      </w:r>
      <w:r>
        <w:rPr>
          <w:szCs w:val="24"/>
          <w:vertAlign w:val="subscript"/>
        </w:rPr>
        <w:t>2.5</w:t>
      </w:r>
      <w:r>
        <w:rPr>
          <w:szCs w:val="24"/>
        </w:rPr>
        <w:t xml:space="preserve">, and Regional Haze (U.S. EPA, 2014) and in Section 5.1.2 of the MATS User’s Manual (Abt, 2014). </w:t>
      </w:r>
    </w:p>
    <w:p>
      <w:r>
        <w:t>Most SMAT-CE users will run the standard analysis and it is checked by default.</w:t>
      </w:r>
    </w:p>
    <w:p>
      <w:pPr>
        <w:autoSpaceDE w:val="0"/>
        <w:autoSpaceDN w:val="0"/>
        <w:adjustRightInd w:val="0"/>
        <w:jc w:val="left"/>
        <w:rPr>
          <w:b/>
        </w:rPr>
      </w:pPr>
      <w:r>
        <w:rPr>
          <w:b/>
          <w:u w:val="single"/>
        </w:rPr>
        <w:t>Quarterly Model Data</w:t>
      </w:r>
    </w:p>
    <w:p>
      <w:r>
        <w:t>Directs SMAT-CE to calculate and output quarterly averaged modeled PM</w:t>
      </w:r>
      <w:r>
        <w:rPr>
          <w:vertAlign w:val="subscript"/>
        </w:rPr>
        <w:t xml:space="preserve">2.5 </w:t>
      </w:r>
      <w:r>
        <w:t xml:space="preserve">data from daily model data input to the system. SMAT-CE requires two types of </w:t>
      </w:r>
      <w:r>
        <w:rPr>
          <w:color w:val="000000" w:themeColor="text1"/>
          <w14:textFill>
            <w14:solidFill>
              <w14:schemeClr w14:val="tx1"/>
            </w14:solidFill>
          </w14:textFill>
        </w:rPr>
        <w:t>data input</w:t>
      </w:r>
      <w:r>
        <w:t>: ambient monitor data and gridded model output data. For the annual PM</w:t>
      </w:r>
      <w:r>
        <w:rPr>
          <w:vertAlign w:val="subscript"/>
        </w:rPr>
        <w:t>2.5</w:t>
      </w:r>
      <w:r>
        <w:t xml:space="preserve"> calculations, SMAT-CE will accept either SMAT-CE formatted daily average gridded model files or quarterly average files. If daily average model files are used as inputs, SMAT-CE will calculate quarterly averages from the daily averages and optionally output the quarterly average concentrations into text files (CSV files). The quarterly average text files can then be re-used in subsequent SMAT-CE analyses. Quarterly average input files are smaller and run faster than daily average files. </w:t>
      </w:r>
    </w:p>
    <w:p>
      <w:r>
        <w:t>There are two options to output quarterly average model concentration CSV files:</w:t>
      </w:r>
    </w:p>
    <w:p>
      <w:pPr>
        <w:pStyle w:val="42"/>
        <w:numPr>
          <w:ilvl w:val="0"/>
          <w:numId w:val="12"/>
        </w:numPr>
        <w:ind w:firstLineChars="0"/>
      </w:pPr>
      <w:r>
        <w:t xml:space="preserve">Selecting the </w:t>
      </w:r>
      <w:r>
        <w:rPr>
          <w:b/>
        </w:rPr>
        <w:t>Output quarterly average model data file</w:t>
      </w:r>
      <w:r>
        <w:t xml:space="preserve"> box creates quarterly average CSV for all grid cells in the modeling domain. SMAT-CE will create one baseline year file and one future year file. This will create relatively large files, but they will still be ~90 times smaller than daily average files (assuming a full year of model data). </w:t>
      </w:r>
    </w:p>
    <w:p>
      <w:pPr>
        <w:pStyle w:val="42"/>
        <w:numPr>
          <w:ilvl w:val="0"/>
          <w:numId w:val="12"/>
        </w:numPr>
        <w:ind w:firstLineChars="0"/>
      </w:pPr>
      <w:r>
        <w:t xml:space="preserve">Selecting the </w:t>
      </w:r>
      <w:r>
        <w:rPr>
          <w:b/>
        </w:rPr>
        <w:t>Output used quarterly average model data file</w:t>
      </w:r>
      <w:r>
        <w:t xml:space="preserve"> causes SMAT-CE to output only the grid cells that are subsequently used in the particular SMAT-CE configuration. For example, if SMAT-CE calculates future year design values at 20 FRM sites using a 1 X 1 grid array, then SMAT-CE will output base and future model values for only 20 grid cells (assuming each monitor is in a unique grid cell). The advantage of these files is that they are extremely small. But if subsequent SMAT-CE runs use a different set of monitors or grid arrays, then the files may not contain all of the necessary data to complete the analysis. This option is recommended as a QA tool to examine the grid cells and the model concentrations that SMAT-CE is using in the analysis.</w:t>
      </w:r>
    </w:p>
    <w:p>
      <w:r>
        <w:t xml:space="preserve">Additional details of the Quarterly Model Data option are available in </w:t>
      </w:r>
      <w:r>
        <w:rPr>
          <w:szCs w:val="24"/>
        </w:rPr>
        <w:t>Section 5.1.3 of the MATS User’s Manual (Abt, 2014).</w:t>
      </w:r>
    </w:p>
    <w:p>
      <w:pPr>
        <w:rPr>
          <w:b/>
        </w:rPr>
      </w:pPr>
      <w:r>
        <w:rPr>
          <w:b/>
          <w:u w:val="single"/>
        </w:rPr>
        <w:t>Species Fractions</w:t>
      </w:r>
    </w:p>
    <w:p>
      <w:pPr>
        <w:rPr>
          <w:rFonts w:cs="Times New Roman"/>
          <w:kern w:val="0"/>
          <w:szCs w:val="24"/>
        </w:rPr>
      </w:pPr>
      <w:r>
        <w:t>After calculating the ambient level of SO</w:t>
      </w:r>
      <w:r>
        <w:rPr>
          <w:vertAlign w:val="subscript"/>
        </w:rPr>
        <w:t>4</w:t>
      </w:r>
      <w:r>
        <w:t>, NO</w:t>
      </w:r>
      <w:r>
        <w:rPr>
          <w:vertAlign w:val="subscript"/>
        </w:rPr>
        <w:t>3</w:t>
      </w:r>
      <w:r>
        <w:t>, OC, EC, PBW, NH</w:t>
      </w:r>
      <w:r>
        <w:rPr>
          <w:vertAlign w:val="subscript"/>
        </w:rPr>
        <w:t>4</w:t>
      </w:r>
      <w:r>
        <w:t>, and crustal, SMAT-CE then divides these ambient levels by the non-blank mass of PM</w:t>
      </w:r>
      <w:r>
        <w:rPr>
          <w:vertAlign w:val="subscript"/>
        </w:rPr>
        <w:t xml:space="preserve">2.5 </w:t>
      </w:r>
      <w:r>
        <w:t>to calculate species fractions. Select this box to output a text file of species fractions at each FRM monitor.</w:t>
      </w:r>
      <w:r>
        <w:rPr>
          <w:rFonts w:cs="Times New Roman"/>
          <w:kern w:val="0"/>
          <w:szCs w:val="24"/>
        </w:rPr>
        <w:t xml:space="preserve"> This species fraction file can be re-used in MATS as an input file. The species fraction file can be useful for several reasons. One, using a species fraction file saves time because MATS won’t have to interpolate species data and calculate fractions each time it is run. Two, it can provide consistency between MATS runs by ensuring that the same species fractions are used each time. And for the same reason, the species fraction file can be used interchangeably between different users to ensure that multiple groups are using the same species fractions (if that is a goal). And finally, the fractions file can serve as a template for creating a custom species fractions file using whatever data and techniques (e.g., alternative interpolation techniques) are desired by any particular user.</w:t>
      </w:r>
    </w:p>
    <w:p>
      <w:r>
        <w:t xml:space="preserve">Additional details of the Species Fractions calculation are available in </w:t>
      </w:r>
      <w:r>
        <w:rPr>
          <w:szCs w:val="24"/>
        </w:rPr>
        <w:t>Section 5.1.4 of the MATS User’s Manual (Abt, 2014).</w:t>
      </w:r>
    </w:p>
    <w:p>
      <w:pPr>
        <w:rPr>
          <w:b/>
        </w:rPr>
      </w:pPr>
      <w:r>
        <w:rPr>
          <w:b/>
          <w:u w:val="single"/>
        </w:rPr>
        <w:t>Actions on run completion</w:t>
      </w:r>
    </w:p>
    <w:p>
      <w:r>
        <w:t>Checking the “Automatically Extract All Selected Output Files” box will export CSV files of all selected output to a separate folder named with the Project Name in the SMAT</w:t>
      </w:r>
      <w:r>
        <w:rPr>
          <w:rFonts w:hint="eastAsia"/>
        </w:rPr>
        <w:t xml:space="preserve"> </w:t>
      </w:r>
      <w:r>
        <w:t>"</w:t>
      </w:r>
      <w:r>
        <w:rPr>
          <w:rFonts w:hint="eastAsia"/>
        </w:rPr>
        <w:t>\Result\</w:t>
      </w:r>
      <w:r>
        <w:t xml:space="preserve">Output" folder. The results may also be exported later from the </w:t>
      </w:r>
      <w:r>
        <w:rPr>
          <w:rFonts w:hint="eastAsia"/>
          <w:b/>
        </w:rPr>
        <w:t>Data Viewer</w:t>
      </w:r>
      <w:r>
        <w:t xml:space="preserve">. </w:t>
      </w:r>
    </w:p>
    <w:p>
      <w:pPr>
        <w:pStyle w:val="4"/>
      </w:pPr>
      <w:r>
        <w:t>Run the Eastern U.S. Example</w:t>
      </w:r>
    </w:p>
    <w:p>
      <w:r>
        <w:t xml:space="preserve">The default settings for these options, and the configuration to use for the Eastern U.S. example project, is to check all of the boxes in the SMAT-CE </w:t>
      </w:r>
      <w:r>
        <w:rPr>
          <w:b/>
        </w:rPr>
        <w:t>Choose Desired Output</w:t>
      </w:r>
      <w:r>
        <w:t xml:space="preserve"> window. After setting a Project Name and selecting all of the boxes in the window either click </w:t>
      </w:r>
      <w:r>
        <w:rPr>
          <w:lang w:eastAsia="en-US"/>
        </w:rPr>
        <w:t xml:space="preserve">Next </w:t>
      </w:r>
      <w:r>
        <w:t xml:space="preserve">or double-click the </w:t>
      </w:r>
      <w:r>
        <w:rPr>
          <w:b/>
          <w:bCs/>
        </w:rPr>
        <w:t>Output Choices-Advanced</w:t>
      </w:r>
      <w:r>
        <w:t xml:space="preserve"> button in the upper left-hand panel of </w:t>
      </w:r>
      <w:r>
        <w:rPr>
          <w:b/>
        </w:rPr>
        <w:t>Annual PM Analysis</w:t>
      </w:r>
      <w:r>
        <w:t xml:space="preserve"> window. The icon next to </w:t>
      </w:r>
      <w:r>
        <w:rPr>
          <w:b/>
          <w:bCs/>
        </w:rPr>
        <w:t xml:space="preserve">Choose Desired Output </w:t>
      </w:r>
      <w:r>
        <w:t>will turn from yellow to green, indicating that this step is complete.</w:t>
      </w:r>
    </w:p>
    <w:bookmarkEnd w:id="171"/>
    <w:bookmarkEnd w:id="172"/>
    <w:p>
      <w:pPr>
        <w:pStyle w:val="3"/>
      </w:pPr>
      <w:bookmarkStart w:id="173" w:name="_Toc6513"/>
      <w:bookmarkStart w:id="174" w:name="_Toc476653933"/>
      <w:bookmarkStart w:id="175" w:name="_Toc476654834"/>
      <w:bookmarkStart w:id="176" w:name="_Toc476654456"/>
      <w:bookmarkStart w:id="177" w:name="_Toc119010868"/>
      <w:r>
        <w:rPr>
          <w:rFonts w:hint="eastAsia"/>
        </w:rPr>
        <w:t>Output Choices-Advanced</w:t>
      </w:r>
      <w:bookmarkEnd w:id="173"/>
      <w:bookmarkEnd w:id="174"/>
      <w:bookmarkEnd w:id="175"/>
      <w:bookmarkEnd w:id="176"/>
      <w:bookmarkEnd w:id="177"/>
    </w:p>
    <w:p>
      <w:pPr>
        <w:keepNext/>
        <w:jc w:val="center"/>
      </w:pPr>
      <w:r>
        <w:drawing>
          <wp:inline distT="0" distB="0" distL="0" distR="0">
            <wp:extent cx="5274310" cy="3676650"/>
            <wp:effectExtent l="0" t="0" r="254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23"/>
                    <a:stretch>
                      <a:fillRect/>
                    </a:stretch>
                  </pic:blipFill>
                  <pic:spPr>
                    <a:xfrm>
                      <a:off x="0" y="0"/>
                      <a:ext cx="5274310" cy="3676650"/>
                    </a:xfrm>
                    <a:prstGeom prst="rect">
                      <a:avLst/>
                    </a:prstGeom>
                  </pic:spPr>
                </pic:pic>
              </a:graphicData>
            </a:graphic>
          </wp:inline>
        </w:drawing>
      </w:r>
    </w:p>
    <w:p>
      <w:pPr>
        <w:pStyle w:val="12"/>
        <w:rPr>
          <w:rFonts w:cs="Times New Roman"/>
          <w:b w:val="0"/>
          <w:bCs/>
          <w:i/>
          <w:iCs/>
          <w:sz w:val="22"/>
        </w:rPr>
      </w:pPr>
      <w:bookmarkStart w:id="178" w:name="_Ref470261769"/>
      <w:bookmarkStart w:id="179" w:name="_Toc27258"/>
      <w:bookmarkStart w:id="180" w:name="_Toc28699"/>
      <w:bookmarkStart w:id="181" w:name="_Toc119010908"/>
      <w:bookmarkStart w:id="182" w:name="_Toc476654216"/>
      <w:bookmarkStart w:id="183" w:name="_Toc6527"/>
      <w:bookmarkStart w:id="184" w:name="_Toc23764"/>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6</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3</w:t>
      </w:r>
      <w:r>
        <w:rPr>
          <w:b w:val="0"/>
          <w:bCs/>
          <w:i/>
          <w:iCs/>
        </w:rPr>
        <w:fldChar w:fldCharType="end"/>
      </w:r>
      <w:bookmarkEnd w:id="178"/>
      <w:bookmarkStart w:id="185" w:name="_Toc30942"/>
      <w:r>
        <w:rPr>
          <w:b w:val="0"/>
          <w:bCs/>
          <w:i/>
          <w:iCs/>
        </w:rPr>
        <w:t>. Output Choices-Advanced for Annual PM</w:t>
      </w:r>
      <w:r>
        <w:rPr>
          <w:b w:val="0"/>
          <w:bCs/>
          <w:i/>
          <w:iCs/>
          <w:vertAlign w:val="subscript"/>
        </w:rPr>
        <w:t>2.5</w:t>
      </w:r>
      <w:r>
        <w:rPr>
          <w:b w:val="0"/>
          <w:bCs/>
          <w:i/>
          <w:iCs/>
        </w:rPr>
        <w:t xml:space="preserve"> Analysis</w:t>
      </w:r>
      <w:bookmarkEnd w:id="179"/>
      <w:bookmarkEnd w:id="180"/>
      <w:bookmarkEnd w:id="181"/>
      <w:bookmarkEnd w:id="182"/>
      <w:bookmarkEnd w:id="183"/>
      <w:bookmarkEnd w:id="184"/>
      <w:bookmarkEnd w:id="185"/>
    </w:p>
    <w:p>
      <w:pPr>
        <w:rPr>
          <w:b/>
        </w:rPr>
      </w:pPr>
      <w:bookmarkStart w:id="186" w:name="OLE_LINK33"/>
      <w:bookmarkStart w:id="187" w:name="OLE_LINK34"/>
      <w:r>
        <w:t xml:space="preserve">The </w:t>
      </w:r>
      <w:r>
        <w:rPr>
          <w:b/>
        </w:rPr>
        <w:t>Output Choices</w:t>
      </w:r>
      <w:r>
        <w:rPr>
          <w:b/>
          <w:bCs/>
        </w:rPr>
        <w:t>–</w:t>
      </w:r>
      <w:r>
        <w:rPr>
          <w:b/>
        </w:rPr>
        <w:t>Advanced</w:t>
      </w:r>
      <w:r>
        <w:t xml:space="preserve"> configuration step provides detailed control over the calculations, output, and quality assurance fields used by SMAT-CE (</w:t>
      </w:r>
      <w:r>
        <w:fldChar w:fldCharType="begin"/>
      </w:r>
      <w:r>
        <w:instrText xml:space="preserve"> REF _Ref470261769 \h  \* MERGEFORMAT </w:instrText>
      </w:r>
      <w:r>
        <w:fldChar w:fldCharType="separate"/>
      </w:r>
      <w:r>
        <w:t>Figure 6</w:t>
      </w:r>
      <w:r>
        <w:noBreakHyphen/>
      </w:r>
      <w:r>
        <w:t>3</w:t>
      </w:r>
      <w:r>
        <w:fldChar w:fldCharType="end"/>
      </w:r>
      <w:r>
        <w:t>). The blue hyperlinked text in this window brings up the documentation for this configuration step. The settings in this step include the following:</w:t>
      </w:r>
    </w:p>
    <w:p>
      <w:pPr>
        <w:rPr>
          <w:b/>
          <w:szCs w:val="24"/>
        </w:rPr>
      </w:pPr>
      <w:r>
        <w:rPr>
          <w:b/>
          <w:bCs/>
          <w:szCs w:val="24"/>
          <w:u w:val="single"/>
        </w:rPr>
        <w:t>Spatial Field Estimates</w:t>
      </w:r>
    </w:p>
    <w:p>
      <w:r>
        <w:t>This option provides PM</w:t>
      </w:r>
      <w:r>
        <w:rPr>
          <w:vertAlign w:val="subscript"/>
        </w:rPr>
        <w:t xml:space="preserve">2.5 </w:t>
      </w:r>
      <w:r>
        <w:t xml:space="preserve">forecasts for each grid cell in the modeling domain (e.g., CMAQ 36 km). </w:t>
      </w:r>
      <w:r>
        <w:rPr>
          <w:b/>
        </w:rPr>
        <w:t xml:space="preserve">The </w:t>
      </w:r>
      <w:r>
        <w:rPr>
          <w:b/>
          <w:color w:val="000000" w:themeColor="text1"/>
          <w14:textFill>
            <w14:solidFill>
              <w14:schemeClr w14:val="tx1"/>
            </w14:solidFill>
          </w14:textFill>
        </w:rPr>
        <w:t>Interpolate FRM &amp; speciation monitor data to spatial field. Temporally-adjust (VNA)</w:t>
      </w:r>
      <w:r>
        <w:rPr>
          <w:color w:val="000000" w:themeColor="text1"/>
          <w14:textFill>
            <w14:solidFill>
              <w14:schemeClr w14:val="tx1"/>
            </w14:solidFill>
          </w14:textFill>
        </w:rPr>
        <w:t xml:space="preserve"> </w:t>
      </w:r>
      <w:r>
        <w:t>option calculates interpolated spatial fields that are temporally adjusted using the Voronoi Neighbor Averaging (VNA) technique. This option creates gridded spatial fields of future year PM</w:t>
      </w:r>
      <w:r>
        <w:rPr>
          <w:vertAlign w:val="subscript"/>
        </w:rPr>
        <w:t xml:space="preserve">2.5 </w:t>
      </w:r>
      <w:r>
        <w:t>data. To create PM</w:t>
      </w:r>
      <w:r>
        <w:rPr>
          <w:vertAlign w:val="subscript"/>
        </w:rPr>
        <w:t xml:space="preserve">2.5 </w:t>
      </w:r>
      <w:r>
        <w:t xml:space="preserve">spatial fields, SMAT-CE interpolates both speciation data </w:t>
      </w:r>
      <w:r>
        <w:rPr>
          <w:bCs/>
        </w:rPr>
        <w:t>and</w:t>
      </w:r>
      <w:r>
        <w:rPr>
          <w:b/>
          <w:bCs/>
        </w:rPr>
        <w:t xml:space="preserve"> </w:t>
      </w:r>
      <w:r>
        <w:t>PM</w:t>
      </w:r>
      <w:r>
        <w:rPr>
          <w:vertAlign w:val="subscript"/>
        </w:rPr>
        <w:t xml:space="preserve">2.5 </w:t>
      </w:r>
      <w:r>
        <w:t xml:space="preserve">data (FRM and IMPROVE). </w:t>
      </w:r>
    </w:p>
    <w:p>
      <w:r>
        <w:t xml:space="preserve">The </w:t>
      </w:r>
      <w:r>
        <w:rPr>
          <w:b/>
          <w:color w:val="000000" w:themeColor="text1"/>
          <w14:textFill>
            <w14:solidFill>
              <w14:schemeClr w14:val="tx1"/>
            </w14:solidFill>
          </w14:textFill>
        </w:rPr>
        <w:t xml:space="preserve">Interpolate gradient-adjusted FRM &amp; speciation monitor data to spatial field. Temporally-adjust </w:t>
      </w:r>
      <w:r>
        <w:rPr>
          <w:b/>
        </w:rPr>
        <w:t>(eVNA)</w:t>
      </w:r>
      <w:r>
        <w:t xml:space="preserve"> option calculates interpolated spatial fields that are temporally adjusted and gradient adjusted. Check this option to create gridded spatial fields of gradient adjusted future year PM</w:t>
      </w:r>
      <w:r>
        <w:rPr>
          <w:vertAlign w:val="subscript"/>
        </w:rPr>
        <w:t xml:space="preserve">2.5 </w:t>
      </w:r>
      <w:r>
        <w:t>data. To create PM</w:t>
      </w:r>
      <w:r>
        <w:rPr>
          <w:vertAlign w:val="subscript"/>
        </w:rPr>
        <w:t xml:space="preserve">2.5 </w:t>
      </w:r>
      <w:r>
        <w:t>spatial fields, SMAT-CE interpolates both gradient adjusted speciation data and PM</w:t>
      </w:r>
      <w:r>
        <w:rPr>
          <w:vertAlign w:val="subscript"/>
        </w:rPr>
        <w:t xml:space="preserve">2.5 </w:t>
      </w:r>
      <w:r>
        <w:t>data (FRM and IMPROVE). This option creates the recommended spatial fields for the “Unmonitored Area Analysis” from the PM</w:t>
      </w:r>
      <w:r>
        <w:rPr>
          <w:vertAlign w:val="subscript"/>
        </w:rPr>
        <w:t xml:space="preserve">2.5 </w:t>
      </w:r>
      <w:r>
        <w:t xml:space="preserve">modeling guidance. </w:t>
      </w:r>
    </w:p>
    <w:p>
      <w:pPr>
        <w:rPr>
          <w:kern w:val="0"/>
          <w:szCs w:val="24"/>
          <w:lang w:eastAsia="en-US"/>
        </w:rPr>
      </w:pPr>
      <w:r>
        <w:t xml:space="preserve">The </w:t>
      </w:r>
      <w:r>
        <w:rPr>
          <w:b/>
        </w:rPr>
        <w:t>Interpolate gradient-adjusted model and monitor data by Downscaler Algorithm (DS)</w:t>
      </w:r>
      <w:r>
        <w:t xml:space="preserve"> optio</w:t>
      </w:r>
      <w:r>
        <w:rPr>
          <w:rFonts w:hint="eastAsia"/>
        </w:rPr>
        <w:t>n</w:t>
      </w:r>
      <w:r>
        <w:t xml:space="preserve"> calculates interpolated spatial fields by using </w:t>
      </w:r>
      <w:r>
        <w:rPr>
          <w:rFonts w:eastAsia="微软雅黑"/>
          <w:kern w:val="0"/>
          <w:szCs w:val="24"/>
        </w:rPr>
        <w:t>Markov chain Monte Carlo (MCMC) methods with Gibbs sampling to develop a relationship between observed and modeled concentrations, and then predict</w:t>
      </w:r>
      <w:r>
        <w:rPr>
          <w:rFonts w:hint="eastAsia" w:eastAsia="微软雅黑"/>
          <w:kern w:val="0"/>
          <w:szCs w:val="24"/>
        </w:rPr>
        <w:t>ing</w:t>
      </w:r>
      <w:r>
        <w:rPr>
          <w:rFonts w:eastAsia="微软雅黑"/>
          <w:kern w:val="0"/>
          <w:szCs w:val="24"/>
        </w:rPr>
        <w:t xml:space="preserve"> concentrations at points in the spatial domain.</w:t>
      </w:r>
    </w:p>
    <w:p>
      <w:pPr>
        <w:rPr>
          <w:b/>
        </w:rPr>
      </w:pPr>
      <w:r>
        <w:t>The configuration options in this step provide a variety of output files that can be used in the quality assurance of the SMAT-CE calculations. The options are organized under the “Miscellaneous Outputs” heading and include the following.</w:t>
      </w:r>
    </w:p>
    <w:p>
      <w:pPr>
        <w:rPr>
          <w:b/>
          <w:color w:val="000000" w:themeColor="text1"/>
          <w:u w:val="single"/>
          <w14:textFill>
            <w14:solidFill>
              <w14:schemeClr w14:val="tx1"/>
            </w14:solidFill>
          </w14:textFill>
        </w:rPr>
      </w:pPr>
      <w:r>
        <w:rPr>
          <w:b/>
          <w:color w:val="000000" w:themeColor="text1"/>
          <w:u w:val="single"/>
          <w14:textFill>
            <w14:solidFill>
              <w14:schemeClr w14:val="tx1"/>
            </w14:solidFill>
          </w14:textFill>
        </w:rPr>
        <w:t xml:space="preserve">Quarterly Average Files </w:t>
      </w:r>
    </w:p>
    <w:p>
      <w:r>
        <w:rPr>
          <w:color w:val="000000" w:themeColor="text1"/>
          <w14:textFill>
            <w14:solidFill>
              <w14:schemeClr w14:val="tx1"/>
            </w14:solidFill>
          </w14:textFill>
        </w:rPr>
        <w:t>A</w:t>
      </w:r>
      <w:r>
        <w:t>ugments the SMAT-CE default of outputting annual average results for all analyses (point, spatial fields). Checking any one of these boxes will direct SMAT-CE to output more detailed quarterly average data, which are the basis of all of the SMAT-CE annual PM</w:t>
      </w:r>
      <w:r>
        <w:rPr>
          <w:vertAlign w:val="subscript"/>
        </w:rPr>
        <w:t>2.5</w:t>
      </w:r>
      <w:r>
        <w:t xml:space="preserve"> calculations. </w:t>
      </w:r>
    </w:p>
    <w:p>
      <w:pPr>
        <w:rPr>
          <w:u w:val="single"/>
        </w:rPr>
      </w:pPr>
      <w:r>
        <w:rPr>
          <w:b/>
          <w:color w:val="000000" w:themeColor="text1"/>
          <w:u w:val="single"/>
          <w14:textFill>
            <w14:solidFill>
              <w14:schemeClr w14:val="tx1"/>
            </w14:solidFill>
          </w14:textFill>
        </w:rPr>
        <w:t>High County Sites</w:t>
      </w:r>
      <w:r>
        <w:rPr>
          <w:u w:val="single"/>
        </w:rPr>
        <w:t xml:space="preserve"> </w:t>
      </w:r>
    </w:p>
    <w:p>
      <w:r>
        <w:t xml:space="preserve">Augments the SMAT-CE default of outputting the point results for all FRM sites. Checking this box will also produce a file that contains the single highest monitor in each county, based on the highest future year value. This dataset is a subset of the all-sites file. </w:t>
      </w:r>
    </w:p>
    <w:p>
      <w:pPr>
        <w:rPr>
          <w:u w:val="single"/>
        </w:rPr>
      </w:pPr>
      <w:r>
        <w:rPr>
          <w:b/>
          <w:color w:val="000000" w:themeColor="text1"/>
          <w:u w:val="single"/>
          <w14:textFill>
            <w14:solidFill>
              <w14:schemeClr w14:val="tx1"/>
            </w14:solidFill>
          </w14:textFill>
        </w:rPr>
        <w:t>Species Fractions Spatial Field</w:t>
      </w:r>
    </w:p>
    <w:p>
      <w:pPr>
        <w:rPr>
          <w:kern w:val="0"/>
          <w:szCs w:val="24"/>
          <w:lang w:eastAsia="en-US"/>
        </w:rPr>
      </w:pPr>
      <w:r>
        <w:t xml:space="preserve">Produces the same result as the species fraction file created from the </w:t>
      </w:r>
      <w:r>
        <w:rPr>
          <w:b/>
        </w:rPr>
        <w:t>Standard Analysis</w:t>
      </w:r>
      <w:r>
        <w:t xml:space="preserve"> except it outputs the species fractions file created from a spatial field. The file will contain species fraction data for each quarter for each grid cell. </w:t>
      </w:r>
    </w:p>
    <w:p>
      <w:pPr>
        <w:rPr>
          <w:b/>
          <w:color w:val="000000" w:themeColor="text1"/>
          <w:u w:val="single"/>
          <w14:textFill>
            <w14:solidFill>
              <w14:schemeClr w14:val="tx1"/>
            </w14:solidFill>
          </w14:textFill>
        </w:rPr>
      </w:pPr>
      <w:r>
        <w:rPr>
          <w:b/>
          <w:color w:val="000000" w:themeColor="text1"/>
          <w:u w:val="single"/>
          <w14:textFill>
            <w14:solidFill>
              <w14:schemeClr w14:val="tx1"/>
            </w14:solidFill>
          </w14:textFill>
        </w:rPr>
        <w:t>Quarterly Average Speciated Monitors</w:t>
      </w:r>
    </w:p>
    <w:p>
      <w:r>
        <w:t xml:space="preserve">Directs SMAT-CE to produce a file with the raw quarterly average speciated data that were used to interpolate species fractions to the FRM monitors. These data are derived from the “species for fractions” input file. </w:t>
      </w:r>
    </w:p>
    <w:p>
      <w:pPr>
        <w:rPr>
          <w:b/>
          <w:color w:val="000000" w:themeColor="text1"/>
          <w:u w:val="single"/>
          <w14:textFill>
            <w14:solidFill>
              <w14:schemeClr w14:val="tx1"/>
            </w14:solidFill>
          </w14:textFill>
        </w:rPr>
      </w:pPr>
      <w:r>
        <w:rPr>
          <w:b/>
          <w:color w:val="000000" w:themeColor="text1"/>
          <w:u w:val="single"/>
          <w14:textFill>
            <w14:solidFill>
              <w14:schemeClr w14:val="tx1"/>
            </w14:solidFill>
          </w14:textFill>
        </w:rPr>
        <w:t>Design Value Periods</w:t>
      </w:r>
    </w:p>
    <w:p>
      <w:r>
        <w:rPr>
          <w:color w:val="000000" w:themeColor="text1"/>
          <w14:textFill>
            <w14:solidFill>
              <w14:schemeClr w14:val="tx1"/>
            </w14:solidFill>
          </w14:textFill>
        </w:rPr>
        <w:t>Directs SMAT-CE</w:t>
      </w:r>
      <w:r>
        <w:rPr>
          <w:color w:val="0000FF"/>
        </w:rPr>
        <w:t xml:space="preserve"> </w:t>
      </w:r>
      <w:r>
        <w:t>to produce a file with the standard SMAT-CE output for each design period within the period covered by the analysis. By default, SMAT-CE outputs one set of files covering the entire analysis period specified</w:t>
      </w:r>
      <w:r>
        <w:rPr>
          <w:rFonts w:ascii="Helvetica" w:hAnsi="Helvetica"/>
          <w:kern w:val="0"/>
          <w:sz w:val="18"/>
          <w:szCs w:val="18"/>
          <w:lang w:eastAsia="en-US"/>
        </w:rPr>
        <w:t xml:space="preserve"> </w:t>
      </w:r>
      <w:r>
        <w:t>by the user. The outputs represent the averages of the values for each 3-year design value period. If the "Output design value periods" option is checked, SMAT-CE will produce discrete outputs for each design value period. The output files will be the same as a standard analysis, but with "Period 1", "Period 2", etc., attached at the end of the name. Selecting this option will increase the SMAT-CE run time.</w:t>
      </w:r>
    </w:p>
    <w:p>
      <w:pPr>
        <w:rPr>
          <w:u w:val="single"/>
        </w:rPr>
      </w:pPr>
      <w:r>
        <w:rPr>
          <w:b/>
          <w:color w:val="000000" w:themeColor="text1"/>
          <w:u w:val="single"/>
          <w14:textFill>
            <w14:solidFill>
              <w14:schemeClr w14:val="tx1"/>
            </w14:solidFill>
          </w14:textFill>
        </w:rPr>
        <w:t>Neighbor files</w:t>
      </w:r>
      <w:r>
        <w:rPr>
          <w:u w:val="single"/>
        </w:rPr>
        <w:t xml:space="preserve"> </w:t>
      </w:r>
    </w:p>
    <w:p>
      <w:r>
        <w:t xml:space="preserve">Directs SMAT-CE to produce files of “nearest neighbor” data for the VNA interpolation scheme. The data include the distance to neighbor monitors and weights used to do the interpolations. There is information for each FRM monitor (for point analyses) or each grid cell (for spatial fields) for each quarter and for each species. </w:t>
      </w:r>
    </w:p>
    <w:p>
      <w:r>
        <w:t xml:space="preserve">Additional details of the Output Choices–Advanced options, including the formats of the output files from this step, are available in </w:t>
      </w:r>
      <w:r>
        <w:rPr>
          <w:szCs w:val="24"/>
        </w:rPr>
        <w:t>Section 5.2 of the MATS User’s Manual (Abt, 2014).</w:t>
      </w:r>
    </w:p>
    <w:p>
      <w:pPr>
        <w:pStyle w:val="4"/>
        <w:rPr>
          <w:kern w:val="0"/>
          <w:szCs w:val="24"/>
          <w:lang w:eastAsia="en-US"/>
        </w:rPr>
      </w:pPr>
      <w:r>
        <w:t>Run the Eastern U.S. Example</w:t>
      </w:r>
    </w:p>
    <w:p>
      <w:r>
        <w:t xml:space="preserve">Use the default settings for these options for the Eastern U.S. example project. Either click </w:t>
      </w:r>
      <w:r>
        <w:rPr>
          <w:lang w:eastAsia="en-US"/>
        </w:rPr>
        <w:t xml:space="preserve">Next </w:t>
      </w:r>
      <w:r>
        <w:t xml:space="preserve">or double-click the </w:t>
      </w:r>
      <w:r>
        <w:rPr>
          <w:b/>
          <w:bCs/>
        </w:rPr>
        <w:t>Data Input</w:t>
      </w:r>
      <w:r>
        <w:t xml:space="preserve"> button in the upper left-hand panel of </w:t>
      </w:r>
      <w:r>
        <w:rPr>
          <w:b/>
        </w:rPr>
        <w:t>Annual PM Analysis</w:t>
      </w:r>
      <w:r>
        <w:t xml:space="preserve"> window. The button next to </w:t>
      </w:r>
      <w:r>
        <w:rPr>
          <w:b/>
          <w:bCs/>
        </w:rPr>
        <w:t xml:space="preserve">Output Choices-Advanced </w:t>
      </w:r>
      <w:r>
        <w:t>will turn from yellow to green, indicating that this step is complete.</w:t>
      </w:r>
    </w:p>
    <w:bookmarkEnd w:id="186"/>
    <w:bookmarkEnd w:id="187"/>
    <w:p>
      <w:pPr>
        <w:pStyle w:val="3"/>
      </w:pPr>
      <w:bookmarkStart w:id="188" w:name="_Toc476654835"/>
      <w:bookmarkStart w:id="189" w:name="_Ref339044369"/>
      <w:bookmarkStart w:id="190" w:name="_Toc476654457"/>
      <w:bookmarkStart w:id="191" w:name="_Toc119010869"/>
      <w:bookmarkStart w:id="192" w:name="_Toc476653934"/>
      <w:bookmarkStart w:id="193" w:name="_Toc14088"/>
      <w:bookmarkStart w:id="194" w:name="OLE_LINK35"/>
      <w:bookmarkStart w:id="195" w:name="OLE_LINK36"/>
      <w:r>
        <w:rPr>
          <w:rFonts w:hint="eastAsia"/>
        </w:rPr>
        <w:t>Data Input</w:t>
      </w:r>
      <w:bookmarkEnd w:id="188"/>
      <w:bookmarkEnd w:id="189"/>
      <w:bookmarkEnd w:id="190"/>
      <w:bookmarkEnd w:id="191"/>
      <w:bookmarkEnd w:id="192"/>
      <w:bookmarkEnd w:id="193"/>
    </w:p>
    <w:p>
      <w:pPr>
        <w:keepNext/>
        <w:jc w:val="center"/>
      </w:pPr>
      <w:r>
        <w:rPr>
          <w:lang w:eastAsia="en-US"/>
        </w:rPr>
        <w:drawing>
          <wp:inline distT="0" distB="0" distL="0" distR="0">
            <wp:extent cx="5273040" cy="3674745"/>
            <wp:effectExtent l="0" t="0" r="3810" b="1905"/>
            <wp:docPr id="57" name="图片 57" descr="C:\Users\Administrator\Desktop\SMAT操作手册\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Administrator\Desktop\SMAT操作手册\3.1.2-2.jpg"/>
                    <pic:cNvPicPr>
                      <a:picLocks noChangeAspect="1" noChangeArrowheads="1"/>
                    </pic:cNvPicPr>
                  </pic:nvPicPr>
                  <pic:blipFill>
                    <a:blip r:embed="rId24">
                      <a:extLst>
                        <a:ext uri="{28A0092B-C50C-407E-A947-70E740481C1C}">
                          <a14:useLocalDpi xmlns:a14="http://schemas.microsoft.com/office/drawing/2010/main" val="0"/>
                        </a:ext>
                      </a:extLst>
                    </a:blip>
                    <a:srcRect t="4129"/>
                    <a:stretch>
                      <a:fillRect/>
                    </a:stretch>
                  </pic:blipFill>
                  <pic:spPr>
                    <a:xfrm>
                      <a:off x="0" y="0"/>
                      <a:ext cx="5274310" cy="3675768"/>
                    </a:xfrm>
                    <a:prstGeom prst="rect">
                      <a:avLst/>
                    </a:prstGeom>
                    <a:noFill/>
                    <a:ln>
                      <a:noFill/>
                    </a:ln>
                  </pic:spPr>
                </pic:pic>
              </a:graphicData>
            </a:graphic>
          </wp:inline>
        </w:drawing>
      </w:r>
    </w:p>
    <w:p>
      <w:pPr>
        <w:pStyle w:val="12"/>
        <w:rPr>
          <w:b w:val="0"/>
          <w:bCs/>
          <w:i/>
          <w:iCs/>
        </w:rPr>
      </w:pPr>
      <w:bookmarkStart w:id="196" w:name="_Ref470263688"/>
      <w:bookmarkStart w:id="197" w:name="_Toc119010909"/>
      <w:bookmarkStart w:id="198" w:name="_Toc11551"/>
      <w:bookmarkStart w:id="199" w:name="_Toc10535"/>
      <w:bookmarkStart w:id="200" w:name="_Toc2243"/>
      <w:bookmarkStart w:id="201" w:name="_Toc476654217"/>
      <w:bookmarkStart w:id="202" w:name="_Toc25811"/>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6</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4</w:t>
      </w:r>
      <w:r>
        <w:rPr>
          <w:b w:val="0"/>
          <w:bCs/>
          <w:i/>
          <w:iCs/>
        </w:rPr>
        <w:fldChar w:fldCharType="end"/>
      </w:r>
      <w:bookmarkEnd w:id="196"/>
      <w:bookmarkStart w:id="203" w:name="_Toc30052"/>
      <w:r>
        <w:rPr>
          <w:b w:val="0"/>
          <w:bCs/>
          <w:i/>
          <w:iCs/>
        </w:rPr>
        <w:t>. Data Input for Annual PM</w:t>
      </w:r>
      <w:r>
        <w:rPr>
          <w:b w:val="0"/>
          <w:bCs/>
          <w:i/>
          <w:iCs/>
          <w:vertAlign w:val="subscript"/>
        </w:rPr>
        <w:t>2.5</w:t>
      </w:r>
      <w:r>
        <w:rPr>
          <w:b w:val="0"/>
          <w:bCs/>
          <w:i/>
          <w:iCs/>
        </w:rPr>
        <w:t xml:space="preserve"> Analysis</w:t>
      </w:r>
      <w:bookmarkEnd w:id="197"/>
      <w:bookmarkEnd w:id="198"/>
      <w:bookmarkEnd w:id="199"/>
      <w:bookmarkEnd w:id="200"/>
      <w:bookmarkEnd w:id="201"/>
      <w:bookmarkEnd w:id="202"/>
      <w:bookmarkEnd w:id="203"/>
    </w:p>
    <w:bookmarkEnd w:id="194"/>
    <w:bookmarkEnd w:id="195"/>
    <w:p>
      <w:r>
        <w:t xml:space="preserve">The </w:t>
      </w:r>
      <w:r>
        <w:rPr>
          <w:b/>
        </w:rPr>
        <w:t>Data Input</w:t>
      </w:r>
      <w:r>
        <w:t xml:space="preserve"> configuration step sets the ambient PM</w:t>
      </w:r>
      <w:r>
        <w:rPr>
          <w:vertAlign w:val="subscript"/>
        </w:rPr>
        <w:t>2.5</w:t>
      </w:r>
      <w:r>
        <w:t xml:space="preserve"> species data, PM</w:t>
      </w:r>
      <w:r>
        <w:rPr>
          <w:vertAlign w:val="subscript"/>
        </w:rPr>
        <w:t xml:space="preserve">2.5 </w:t>
      </w:r>
      <w:r>
        <w:t>monitor data (FRM and IMPROVE), and the gridded model output data to use for the SMAT-CE project (</w:t>
      </w:r>
      <w:r>
        <w:fldChar w:fldCharType="begin"/>
      </w:r>
      <w:r>
        <w:instrText xml:space="preserve"> REF _Ref470263688 \h </w:instrText>
      </w:r>
      <w:r>
        <w:fldChar w:fldCharType="separate"/>
      </w:r>
      <w:r>
        <w:rPr>
          <w:bCs/>
          <w:i/>
          <w:iCs/>
        </w:rPr>
        <w:t xml:space="preserve">Figure </w:t>
      </w:r>
      <w:r>
        <w:rPr>
          <w:b/>
          <w:bCs/>
          <w:i/>
          <w:iCs/>
        </w:rPr>
        <w:t>6</w:t>
      </w:r>
      <w:r>
        <w:rPr>
          <w:bCs/>
          <w:i/>
          <w:iCs/>
        </w:rPr>
        <w:noBreakHyphen/>
      </w:r>
      <w:r>
        <w:rPr>
          <w:b/>
          <w:bCs/>
          <w:i/>
          <w:iCs/>
        </w:rPr>
        <w:t>4</w:t>
      </w:r>
      <w:r>
        <w:fldChar w:fldCharType="end"/>
      </w:r>
      <w:r>
        <w:t xml:space="preserve">). </w:t>
      </w:r>
    </w:p>
    <w:p>
      <w:r>
        <w:t>There is specific terminology that is used on the Data Input page. "Official" data refers to PM</w:t>
      </w:r>
      <w:r>
        <w:rPr>
          <w:vertAlign w:val="subscript"/>
        </w:rPr>
        <w:t xml:space="preserve">2.5 </w:t>
      </w:r>
      <w:r>
        <w:t>FRM data that can be used to determine official design values for compliance purposes (comparison to the NAAQS). Other datasets which may not have rigid regulatory significance are sometimes referred to as "unofficial" data. The blue hyperlinked text in this window brings up the documentation for this configuration step. The settings in this step include:</w:t>
      </w:r>
    </w:p>
    <w:p>
      <w:pPr>
        <w:rPr>
          <w:b/>
          <w:bCs/>
          <w:szCs w:val="24"/>
        </w:rPr>
      </w:pPr>
      <w:r>
        <w:rPr>
          <w:b/>
          <w:bCs/>
          <w:szCs w:val="24"/>
          <w:u w:val="single"/>
        </w:rPr>
        <w:t>Species Data</w:t>
      </w:r>
    </w:p>
    <w:p>
      <w:pPr>
        <w:rPr>
          <w:kern w:val="0"/>
          <w:szCs w:val="24"/>
          <w:lang w:eastAsia="en-US"/>
        </w:rPr>
      </w:pPr>
      <w:r>
        <w:t>SMAT-CE uses ambient PM</w:t>
      </w:r>
      <w:r>
        <w:rPr>
          <w:vertAlign w:val="subscript"/>
        </w:rPr>
        <w:t xml:space="preserve">2.5 </w:t>
      </w:r>
      <w:r>
        <w:t xml:space="preserve">species data to calculate species concentrations at FRM monitoring sites and spatial fields. Users have a choice of supplying a “Species Monitor Data File” or a “Species Fractions File”. </w:t>
      </w:r>
    </w:p>
    <w:p>
      <w:pPr>
        <w:pStyle w:val="42"/>
        <w:numPr>
          <w:ilvl w:val="0"/>
          <w:numId w:val="13"/>
        </w:numPr>
        <w:ind w:firstLineChars="0"/>
        <w:rPr>
          <w:rFonts w:ascii="Helvetica" w:hAnsi="Helvetica"/>
          <w:kern w:val="0"/>
          <w:sz w:val="18"/>
          <w:szCs w:val="18"/>
          <w:lang w:eastAsia="en-US"/>
        </w:rPr>
      </w:pPr>
      <w:r>
        <w:rPr>
          <w:b/>
          <w:bCs/>
          <w:iCs/>
          <w:color w:val="000000" w:themeColor="text1"/>
          <w14:textFill>
            <w14:solidFill>
              <w14:schemeClr w14:val="tx1"/>
            </w14:solidFill>
          </w14:textFill>
        </w:rPr>
        <w:t>Species Monitor Data File:</w:t>
      </w:r>
      <w:r>
        <w:rPr>
          <w:color w:val="000000" w:themeColor="text1"/>
          <w14:textFill>
            <w14:solidFill>
              <w14:schemeClr w14:val="tx1"/>
            </w14:solidFill>
          </w14:textFill>
        </w:rPr>
        <w:t xml:space="preserve"> This</w:t>
      </w:r>
      <w:r>
        <w:rPr>
          <w:b/>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is the SMAT-CE default of </w:t>
      </w:r>
      <w:r>
        <w:t>daily average species data from STN and IMPROVE sites across the country. Users can also provide their own ambient data files. MATS uses the daily average species data to calculate species fractions at each FRM monitor (or at each grid cell, in the case of spatial fields). The species fraction data is combined with the “unofficial daily average PM</w:t>
      </w:r>
      <w:r>
        <w:rPr>
          <w:vertAlign w:val="subscript"/>
        </w:rPr>
        <w:t xml:space="preserve">2.5 </w:t>
      </w:r>
      <w:r>
        <w:t>data” to calculate species concentrations. The default SMAT-CE species data file</w:t>
      </w:r>
      <w:r>
        <w:rPr>
          <w:rFonts w:ascii="Helvetica" w:hAnsi="Helvetica"/>
          <w:kern w:val="0"/>
          <w:sz w:val="18"/>
          <w:szCs w:val="18"/>
          <w:lang w:eastAsia="en-US"/>
        </w:rPr>
        <w:t xml:space="preserve"> </w:t>
      </w:r>
      <w:r>
        <w:t>contains all available data. However, there is a data flag to indicate site days that are</w:t>
      </w:r>
      <w:r>
        <w:rPr>
          <w:rFonts w:ascii="Helvetica" w:hAnsi="Helvetica"/>
          <w:kern w:val="0"/>
          <w:sz w:val="18"/>
          <w:szCs w:val="18"/>
          <w:lang w:eastAsia="en-US"/>
        </w:rPr>
        <w:t xml:space="preserve"> </w:t>
      </w:r>
      <w:r>
        <w:t>recommended to be removed from the species fractions calculations. SMAT-CE has</w:t>
      </w:r>
      <w:r>
        <w:rPr>
          <w:rFonts w:ascii="Helvetica" w:hAnsi="Helvetica"/>
          <w:kern w:val="0"/>
          <w:sz w:val="18"/>
          <w:szCs w:val="18"/>
          <w:lang w:eastAsia="en-US"/>
        </w:rPr>
        <w:t xml:space="preserve"> </w:t>
      </w:r>
      <w:r>
        <w:t>incorporated flagging routines that remove data that are considered to be outliers</w:t>
      </w:r>
      <w:r>
        <w:rPr>
          <w:rFonts w:ascii="Helvetica" w:hAnsi="Helvetica"/>
          <w:kern w:val="0"/>
          <w:sz w:val="18"/>
          <w:szCs w:val="18"/>
          <w:lang w:eastAsia="en-US"/>
        </w:rPr>
        <w:t xml:space="preserve"> </w:t>
      </w:r>
      <w:r>
        <w:t xml:space="preserve">and/or incomplete data. </w:t>
      </w:r>
      <w:r>
        <w:rPr>
          <w:szCs w:val="24"/>
        </w:rPr>
        <w:t>Section 5.4.2 of the MATS User’s Manual (Abt, 2014) describes the flags used in the species fractions calculations.</w:t>
      </w:r>
    </w:p>
    <w:p>
      <w:pPr>
        <w:pStyle w:val="42"/>
        <w:numPr>
          <w:ilvl w:val="0"/>
          <w:numId w:val="14"/>
        </w:numPr>
        <w:ind w:firstLineChars="0"/>
      </w:pPr>
      <w:r>
        <w:rPr>
          <w:b/>
          <w:bCs/>
          <w:iCs/>
        </w:rPr>
        <w:t>Species Fraction File:</w:t>
      </w:r>
      <w:r>
        <w:t xml:space="preserve"> An alternative to the </w:t>
      </w:r>
      <w:r>
        <w:rPr>
          <w:b/>
          <w:color w:val="000000" w:themeColor="text1"/>
          <w14:textFill>
            <w14:solidFill>
              <w14:schemeClr w14:val="tx1"/>
            </w14:solidFill>
          </w14:textFill>
        </w:rPr>
        <w:t>Species Monitor Data File</w:t>
      </w:r>
      <w:r>
        <w:t xml:space="preserve">. This file contains pre-calculated species fractions with quarterly species information for the FRM monitors of interest. SMAT-CE can use a species fractions file (either "point" or "spatial fields") generated by a previous project. To use an existing fractions file, enter the correct path to the file in the </w:t>
      </w:r>
      <w:r>
        <w:rPr>
          <w:b/>
        </w:rPr>
        <w:t>Data Input</w:t>
      </w:r>
      <w:r>
        <w:t xml:space="preserve"> window. When using spatial fields for existing species fractions files, select either "spatial field" or gradient adjusted spatial fields" from the drop-down box. </w:t>
      </w:r>
    </w:p>
    <w:p>
      <w:pPr>
        <w:rPr>
          <w:b/>
        </w:rPr>
      </w:pPr>
      <w:r>
        <w:rPr>
          <w:b/>
          <w:bCs/>
          <w:szCs w:val="24"/>
          <w:u w:val="single"/>
        </w:rPr>
        <w:t>PM</w:t>
      </w:r>
      <w:r>
        <w:rPr>
          <w:b/>
          <w:bCs/>
          <w:szCs w:val="24"/>
          <w:u w:val="single"/>
          <w:vertAlign w:val="subscript"/>
        </w:rPr>
        <w:t xml:space="preserve">2.5 </w:t>
      </w:r>
      <w:r>
        <w:rPr>
          <w:b/>
          <w:bCs/>
          <w:szCs w:val="24"/>
          <w:u w:val="single"/>
        </w:rPr>
        <w:t>Monitor Data</w:t>
      </w:r>
    </w:p>
    <w:p>
      <w:r>
        <w:t xml:space="preserve">SMAT-CE uses both "official" and "unofficial" data in its calculations. </w:t>
      </w:r>
    </w:p>
    <w:p>
      <w:pPr>
        <w:pStyle w:val="42"/>
        <w:numPr>
          <w:ilvl w:val="0"/>
          <w:numId w:val="14"/>
        </w:numPr>
        <w:ind w:firstLineChars="0"/>
      </w:pPr>
      <w:r>
        <w:rPr>
          <w:b/>
          <w:bCs/>
          <w:iCs/>
          <w:color w:val="000000" w:themeColor="text1"/>
          <w14:textFill>
            <w14:solidFill>
              <w14:schemeClr w14:val="tx1"/>
            </w14:solidFill>
          </w14:textFill>
        </w:rPr>
        <w:t>Unofficial Daily Average PM</w:t>
      </w:r>
      <w:r>
        <w:rPr>
          <w:b/>
          <w:bCs/>
          <w:iCs/>
          <w:color w:val="000000" w:themeColor="text1"/>
          <w:vertAlign w:val="subscript"/>
          <w14:textFill>
            <w14:solidFill>
              <w14:schemeClr w14:val="tx1"/>
            </w14:solidFill>
          </w14:textFill>
        </w:rPr>
        <w:t xml:space="preserve">2.5 </w:t>
      </w:r>
      <w:r>
        <w:rPr>
          <w:b/>
          <w:bCs/>
          <w:iCs/>
          <w:color w:val="000000" w:themeColor="text1"/>
          <w14:textFill>
            <w14:solidFill>
              <w14:schemeClr w14:val="tx1"/>
            </w14:solidFill>
          </w14:textFill>
        </w:rPr>
        <w:t>Data File:</w:t>
      </w:r>
      <w:r>
        <w:rPr>
          <w:b/>
          <w:color w:val="000000" w:themeColor="text1"/>
          <w14:textFill>
            <w14:solidFill>
              <w14:schemeClr w14:val="tx1"/>
            </w14:solidFill>
          </w14:textFill>
        </w:rPr>
        <w:t xml:space="preserve"> </w:t>
      </w:r>
      <w:r>
        <w:t>PM</w:t>
      </w:r>
      <w:r>
        <w:rPr>
          <w:vertAlign w:val="subscript"/>
        </w:rPr>
        <w:t xml:space="preserve">2.5 </w:t>
      </w:r>
      <w:r>
        <w:t xml:space="preserve">data that are needed to calculate species fractions. These data are used in combination with the </w:t>
      </w:r>
      <w:r>
        <w:rPr>
          <w:b/>
        </w:rPr>
        <w:t>Species Monitor Data</w:t>
      </w:r>
      <w:r>
        <w:t xml:space="preserve"> </w:t>
      </w:r>
      <w:r>
        <w:rPr>
          <w:b/>
        </w:rPr>
        <w:t>File</w:t>
      </w:r>
      <w:r>
        <w:t>. This file is not needed if the user supplies a pre-calculated species fractions file.</w:t>
      </w:r>
    </w:p>
    <w:p>
      <w:pPr>
        <w:pStyle w:val="42"/>
        <w:ind w:left="720" w:firstLine="0" w:firstLineChars="0"/>
        <w:rPr>
          <w:rFonts w:ascii="Helvetica" w:hAnsi="Helvetica"/>
          <w:kern w:val="0"/>
          <w:sz w:val="18"/>
          <w:szCs w:val="18"/>
          <w:lang w:eastAsia="en-US"/>
        </w:rPr>
      </w:pPr>
      <w:r>
        <w:t xml:space="preserve">Similar to the </w:t>
      </w:r>
      <w:r>
        <w:rPr>
          <w:b/>
        </w:rPr>
        <w:t>Species Monitor Data File</w:t>
      </w:r>
      <w:r>
        <w:t xml:space="preserve">, the </w:t>
      </w:r>
      <w:r>
        <w:rPr>
          <w:b/>
        </w:rPr>
        <w:t>Unofficial Daily Average PM</w:t>
      </w:r>
      <w:r>
        <w:rPr>
          <w:b/>
          <w:vertAlign w:val="subscript"/>
        </w:rPr>
        <w:t xml:space="preserve">2.5 </w:t>
      </w:r>
      <w:r>
        <w:rPr>
          <w:b/>
        </w:rPr>
        <w:t>Data File</w:t>
      </w:r>
      <w:r>
        <w:rPr>
          <w:rFonts w:ascii="Helvetica" w:hAnsi="Helvetica"/>
          <w:b/>
          <w:kern w:val="0"/>
          <w:sz w:val="18"/>
          <w:szCs w:val="18"/>
          <w:lang w:eastAsia="en-US"/>
        </w:rPr>
        <w:t xml:space="preserve"> </w:t>
      </w:r>
      <w:r>
        <w:t>contains a data flag to indicate site days that are recommended to be removed from the species fractions calculations. The flagged data is matched between the species file and the PM</w:t>
      </w:r>
      <w:r>
        <w:rPr>
          <w:vertAlign w:val="subscript"/>
        </w:rPr>
        <w:t>2.5</w:t>
      </w:r>
      <w:r>
        <w:t xml:space="preserve"> file so that the same site days are removed. The PM</w:t>
      </w:r>
      <w:r>
        <w:rPr>
          <w:vertAlign w:val="subscript"/>
        </w:rPr>
        <w:t>2.5</w:t>
      </w:r>
      <w:r>
        <w:t xml:space="preserve"> data file contains additional data (sites that don’t contain speciation measurements) and therefore has additional flagged site days. These are not the same data flags that have been identified by State agencies. SMAT-CE has incorporated flagging routines that remove data that are considered to be outliers and/or incomplete data. SMAT-CE users are free to alter the flags as needed for their applications. </w:t>
      </w:r>
    </w:p>
    <w:p>
      <w:pPr>
        <w:pStyle w:val="42"/>
        <w:numPr>
          <w:ilvl w:val="0"/>
          <w:numId w:val="14"/>
        </w:numPr>
        <w:ind w:firstLineChars="0"/>
      </w:pPr>
      <w:r>
        <w:rPr>
          <w:i/>
          <w:color w:val="000000" w:themeColor="text1"/>
          <w14:textFill>
            <w14:solidFill>
              <w14:schemeClr w14:val="tx1"/>
            </w14:solidFill>
          </w14:textFill>
        </w:rPr>
        <w:t>Official Quarterly Average FRM Data File.</w:t>
      </w:r>
      <w:r>
        <w:t xml:space="preserve"> The EPA-approved quarterly average FRM data that have been used to calculate PM</w:t>
      </w:r>
      <w:r>
        <w:rPr>
          <w:vertAlign w:val="subscript"/>
        </w:rPr>
        <w:t xml:space="preserve">2.5 </w:t>
      </w:r>
      <w:r>
        <w:t xml:space="preserve">design values. These data are used to calculate design values and 5-year weighted average design values as part of the attainment test. </w:t>
      </w:r>
    </w:p>
    <w:p>
      <w:pPr>
        <w:pStyle w:val="42"/>
        <w:ind w:left="720" w:firstLine="0" w:firstLineChars="0"/>
      </w:pPr>
      <w:r>
        <w:t>The default data file in SMAT-CE was created by EPA OAQPS. In most cases, the data should not be altered, however, in some cases (e.g., sensitivity analyses) there may be a need to add or remove data.</w:t>
      </w:r>
    </w:p>
    <w:p>
      <w:r>
        <w:t xml:space="preserve">A detailed description of the formats of the input data files used in this step, are available in </w:t>
      </w:r>
      <w:r>
        <w:rPr>
          <w:szCs w:val="24"/>
        </w:rPr>
        <w:t>Section 5.3.2 of the MATS User’s Manual (Abt, 2014).</w:t>
      </w:r>
    </w:p>
    <w:p>
      <w:pPr>
        <w:rPr>
          <w:b/>
        </w:rPr>
      </w:pPr>
      <w:r>
        <w:rPr>
          <w:b/>
          <w:bCs/>
          <w:szCs w:val="24"/>
          <w:u w:val="single"/>
        </w:rPr>
        <w:t>Model Data</w:t>
      </w:r>
    </w:p>
    <w:p>
      <w:r>
        <w:t>These are gridded model output from models such as CMAQ or CAMx. The user can choose either daily model data input or quarterly model data input (which is just a quarterly average of the daily model data). Either will work for the Annual PM</w:t>
      </w:r>
      <w:r>
        <w:rPr>
          <w:vertAlign w:val="subscript"/>
        </w:rPr>
        <w:t xml:space="preserve">2.5 </w:t>
      </w:r>
      <w:r>
        <w:t xml:space="preserve">Analysis. The default setting is daily average data. Model data must be selected for all SMAT-CE projects. The size of the modeling grid defines the outputs for point estimates and for spatial fields. For point estimates, SMAT-CE will output the results for all specified monitors within the domain. For spatial fields, SMAT-CE will create spatial fields that match the size of the gridded model domain. </w:t>
      </w:r>
    </w:p>
    <w:p>
      <w:r>
        <w:t xml:space="preserve">SMAT-CE requires both a Baseline File and a Forecast File. The baseline file should be consistent with the historical monitor data used for the project, and the forecast year is the future-year of interest. </w:t>
      </w:r>
    </w:p>
    <w:p>
      <w:pPr>
        <w:pStyle w:val="4"/>
        <w:rPr>
          <w:i/>
        </w:rPr>
      </w:pPr>
      <w:r>
        <w:t>Run the Eastern U.S. Example</w:t>
      </w:r>
    </w:p>
    <w:p>
      <w:r>
        <w:t xml:space="preserve">Use the default settings for the Data Input options for the Eastern U.S. example project. Either click </w:t>
      </w:r>
      <w:r>
        <w:rPr>
          <w:lang w:eastAsia="en-US"/>
        </w:rPr>
        <w:t xml:space="preserve">Next </w:t>
      </w:r>
      <w:r>
        <w:t xml:space="preserve">or double-click the </w:t>
      </w:r>
      <w:r>
        <w:rPr>
          <w:b/>
          <w:bCs/>
        </w:rPr>
        <w:t>Species Fraction Options</w:t>
      </w:r>
      <w:r>
        <w:t xml:space="preserve"> button in the upper left-hand panel of </w:t>
      </w:r>
      <w:r>
        <w:rPr>
          <w:b/>
        </w:rPr>
        <w:t>Annual PM Analysis</w:t>
      </w:r>
      <w:r>
        <w:t xml:space="preserve"> window. The button next to </w:t>
      </w:r>
      <w:r>
        <w:rPr>
          <w:b/>
          <w:bCs/>
        </w:rPr>
        <w:t xml:space="preserve">Data Input </w:t>
      </w:r>
      <w:r>
        <w:t>will turn from yellow to green, indicating that this step is complete.</w:t>
      </w:r>
    </w:p>
    <w:p>
      <w:pPr>
        <w:pStyle w:val="3"/>
      </w:pPr>
      <w:bookmarkStart w:id="204" w:name="_Toc476654458"/>
      <w:bookmarkStart w:id="205" w:name="_Toc476653935"/>
      <w:bookmarkStart w:id="206" w:name="_Toc119010870"/>
      <w:bookmarkStart w:id="207" w:name="_Ref474782577"/>
      <w:bookmarkStart w:id="208" w:name="_Toc476654836"/>
      <w:bookmarkStart w:id="209" w:name="_Toc24428"/>
      <w:r>
        <w:rPr>
          <w:rFonts w:hint="eastAsia"/>
        </w:rPr>
        <w:t>Species Fraction Options</w:t>
      </w:r>
      <w:bookmarkEnd w:id="204"/>
      <w:bookmarkEnd w:id="205"/>
      <w:bookmarkEnd w:id="206"/>
      <w:bookmarkEnd w:id="207"/>
      <w:bookmarkEnd w:id="208"/>
      <w:bookmarkEnd w:id="209"/>
    </w:p>
    <w:p>
      <w:pPr>
        <w:keepNext/>
        <w:jc w:val="center"/>
      </w:pPr>
      <w:r>
        <w:drawing>
          <wp:inline distT="0" distB="0" distL="0" distR="0">
            <wp:extent cx="5103495" cy="3561715"/>
            <wp:effectExtent l="0" t="0" r="190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stretch>
                      <a:fillRect/>
                    </a:stretch>
                  </pic:blipFill>
                  <pic:spPr>
                    <a:xfrm>
                      <a:off x="0" y="0"/>
                      <a:ext cx="5104423" cy="3562526"/>
                    </a:xfrm>
                    <a:prstGeom prst="rect">
                      <a:avLst/>
                    </a:prstGeom>
                  </pic:spPr>
                </pic:pic>
              </a:graphicData>
            </a:graphic>
          </wp:inline>
        </w:drawing>
      </w:r>
    </w:p>
    <w:p>
      <w:pPr>
        <w:pStyle w:val="12"/>
        <w:rPr>
          <w:b w:val="0"/>
          <w:bCs/>
          <w:i/>
          <w:iCs/>
        </w:rPr>
      </w:pPr>
      <w:bookmarkStart w:id="210" w:name="_Ref474768337"/>
      <w:bookmarkStart w:id="211" w:name="_Toc119010910"/>
      <w:bookmarkStart w:id="212" w:name="_Toc21622"/>
      <w:bookmarkStart w:id="213" w:name="_Toc25521"/>
      <w:bookmarkStart w:id="214" w:name="_Toc476654218"/>
      <w:bookmarkStart w:id="215" w:name="_Toc3672"/>
      <w:bookmarkStart w:id="216" w:name="_Toc26128"/>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6</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5</w:t>
      </w:r>
      <w:r>
        <w:rPr>
          <w:b w:val="0"/>
          <w:bCs/>
          <w:i/>
          <w:iCs/>
        </w:rPr>
        <w:fldChar w:fldCharType="end"/>
      </w:r>
      <w:bookmarkEnd w:id="210"/>
      <w:bookmarkStart w:id="217" w:name="_Toc22981"/>
      <w:r>
        <w:rPr>
          <w:b w:val="0"/>
          <w:bCs/>
          <w:i/>
          <w:iCs/>
        </w:rPr>
        <w:t>. Species Fraction Options for Annual PM</w:t>
      </w:r>
      <w:r>
        <w:rPr>
          <w:b w:val="0"/>
          <w:bCs/>
          <w:i/>
          <w:iCs/>
          <w:vertAlign w:val="subscript"/>
        </w:rPr>
        <w:t>2.5</w:t>
      </w:r>
      <w:r>
        <w:rPr>
          <w:b w:val="0"/>
          <w:bCs/>
          <w:i/>
          <w:iCs/>
        </w:rPr>
        <w:t xml:space="preserve"> Analysis</w:t>
      </w:r>
      <w:bookmarkEnd w:id="211"/>
      <w:bookmarkEnd w:id="212"/>
      <w:bookmarkEnd w:id="213"/>
      <w:bookmarkEnd w:id="214"/>
      <w:bookmarkEnd w:id="215"/>
      <w:bookmarkEnd w:id="216"/>
      <w:bookmarkEnd w:id="217"/>
    </w:p>
    <w:p>
      <w:r>
        <w:t xml:space="preserve">The </w:t>
      </w:r>
      <w:r>
        <w:rPr>
          <w:b/>
          <w:bCs/>
        </w:rPr>
        <w:t xml:space="preserve">Species Fraction Calculation Options </w:t>
      </w:r>
      <w:r>
        <w:t xml:space="preserve">configuration step shown in </w:t>
      </w:r>
      <w:r>
        <w:fldChar w:fldCharType="begin"/>
      </w:r>
      <w:r>
        <w:instrText xml:space="preserve"> REF _Ref474768337 \h </w:instrText>
      </w:r>
      <w:r>
        <w:fldChar w:fldCharType="separate"/>
      </w:r>
      <w:r>
        <w:rPr>
          <w:bCs/>
          <w:i/>
          <w:iCs/>
        </w:rPr>
        <w:t xml:space="preserve">Figure </w:t>
      </w:r>
      <w:r>
        <w:rPr>
          <w:b/>
          <w:bCs/>
          <w:i/>
          <w:iCs/>
        </w:rPr>
        <w:t>6</w:t>
      </w:r>
      <w:r>
        <w:rPr>
          <w:bCs/>
          <w:i/>
          <w:iCs/>
        </w:rPr>
        <w:noBreakHyphen/>
      </w:r>
      <w:r>
        <w:rPr>
          <w:b/>
          <w:bCs/>
          <w:i/>
          <w:iCs/>
        </w:rPr>
        <w:t>5</w:t>
      </w:r>
      <w:r>
        <w:fldChar w:fldCharType="end"/>
      </w:r>
      <w:r>
        <w:t xml:space="preserve"> has several options related to the speciated monitor data (IMPROVE and STN) monitor data and the total PM</w:t>
      </w:r>
      <w:r>
        <w:rPr>
          <w:vertAlign w:val="subscript"/>
        </w:rPr>
        <w:t>2.5</w:t>
      </w:r>
      <w:r>
        <w:t xml:space="preserve"> monitor data (FRM and IMPROVE). These functions include identifying the years of monitor data to use in the attainment test, deleting any specific data values, and choosing the minimum data requirements of monitors to use in the analysis. These options are listed below:</w:t>
      </w:r>
    </w:p>
    <w:p>
      <w:pPr>
        <w:pStyle w:val="42"/>
        <w:numPr>
          <w:ilvl w:val="0"/>
          <w:numId w:val="15"/>
        </w:numPr>
        <w:ind w:firstLineChars="0"/>
      </w:pPr>
      <w:r>
        <w:rPr>
          <w:rFonts w:cs="Times New Roman"/>
          <w:b/>
          <w:bCs/>
          <w:iCs/>
          <w:kern w:val="0"/>
          <w:szCs w:val="24"/>
        </w:rPr>
        <w:t>IMPROVE-STN Monitor Data:</w:t>
      </w:r>
      <w:r>
        <w:rPr>
          <w:rFonts w:cs="Times New Roman"/>
          <w:kern w:val="0"/>
          <w:szCs w:val="24"/>
        </w:rPr>
        <w:t xml:space="preserve"> The speciation data from STN and IMPROVE</w:t>
      </w:r>
      <w:r>
        <w:t xml:space="preserve"> </w:t>
      </w:r>
      <w:r>
        <w:rPr>
          <w:rFonts w:cs="Times New Roman"/>
          <w:kern w:val="0"/>
          <w:szCs w:val="24"/>
        </w:rPr>
        <w:t>monitors are interpolated by SMAT-CE in order to provide species data for any point in a</w:t>
      </w:r>
      <w:r>
        <w:t xml:space="preserve"> </w:t>
      </w:r>
      <w:r>
        <w:rPr>
          <w:rFonts w:cs="Times New Roman"/>
          <w:kern w:val="0"/>
          <w:szCs w:val="24"/>
        </w:rPr>
        <w:t>modeling domain. The interpolated species data is used to calculate species fractions at FRM monitors (point estimates) and/or species fractions at all grid cells (spatial fields). Note that you do not need to have values for all species for a monitor to be considered valid, as each species is considered individually. However, the "EPA_Flag" variable in the default "species for fractions" file has been set so that all monitor days that do not have complete species data are not used in the calculations (flag = 1). If the user wants to use the incomplete species data, the flag should be set to "0".</w:t>
      </w:r>
    </w:p>
    <w:p>
      <w:pPr>
        <w:pStyle w:val="42"/>
        <w:numPr>
          <w:ilvl w:val="0"/>
          <w:numId w:val="15"/>
        </w:numPr>
        <w:ind w:firstLineChars="0"/>
      </w:pPr>
      <w:r>
        <w:rPr>
          <w:rFonts w:cs="Times New Roman"/>
          <w:b/>
          <w:bCs/>
          <w:iCs/>
          <w:kern w:val="0"/>
          <w:szCs w:val="24"/>
        </w:rPr>
        <w:t>PM</w:t>
      </w:r>
      <w:r>
        <w:rPr>
          <w:rFonts w:cs="Times New Roman"/>
          <w:b/>
          <w:bCs/>
          <w:iCs/>
          <w:kern w:val="0"/>
          <w:szCs w:val="24"/>
          <w:vertAlign w:val="subscript"/>
        </w:rPr>
        <w:t>2.5</w:t>
      </w:r>
      <w:r>
        <w:rPr>
          <w:rFonts w:cs="Times New Roman"/>
          <w:b/>
          <w:bCs/>
          <w:iCs/>
          <w:kern w:val="0"/>
          <w:szCs w:val="24"/>
        </w:rPr>
        <w:t xml:space="preserve"> Monitor Data:</w:t>
      </w:r>
      <w:r>
        <w:rPr>
          <w:rFonts w:cs="Times New Roman"/>
          <w:kern w:val="0"/>
          <w:szCs w:val="24"/>
        </w:rPr>
        <w:t xml:space="preserve"> The total PM</w:t>
      </w:r>
      <w:r>
        <w:rPr>
          <w:rFonts w:cs="Times New Roman"/>
          <w:kern w:val="0"/>
          <w:szCs w:val="24"/>
          <w:vertAlign w:val="subscript"/>
        </w:rPr>
        <w:t xml:space="preserve">2.5 </w:t>
      </w:r>
      <w:r>
        <w:rPr>
          <w:rFonts w:cs="Times New Roman"/>
          <w:kern w:val="0"/>
          <w:szCs w:val="24"/>
        </w:rPr>
        <w:t>data from FRM are used by SMAT-CE to calculate</w:t>
      </w:r>
      <w:r>
        <w:t xml:space="preserve"> </w:t>
      </w:r>
      <w:r>
        <w:rPr>
          <w:rFonts w:cs="Times New Roman"/>
          <w:kern w:val="0"/>
          <w:szCs w:val="24"/>
        </w:rPr>
        <w:t>species fractions for point estimates (in conjunction with the interpolated speciation data from STN and IMPROVE monitors). The interpolated species data is used to calculate species fractions at FRM monitors (point estimates) and/or species fractions at all grid cells (spatial fields).</w:t>
      </w:r>
    </w:p>
    <w:p>
      <w:r>
        <w:rPr>
          <w:bCs/>
          <w:u w:val="single"/>
        </w:rPr>
        <w:t>Monitor Data Years</w:t>
      </w:r>
    </w:p>
    <w:p>
      <w:r>
        <w:t>Use the drop-down menus to choose the three years of monitor data for the Annual PM</w:t>
      </w:r>
      <w:r>
        <w:rPr>
          <w:vertAlign w:val="subscript"/>
        </w:rPr>
        <w:t xml:space="preserve">2.5 </w:t>
      </w:r>
      <w:r>
        <w:t>Analysis. The SMAT-CE default is to use the 3-year period 2010 to 2012. (That is, for both IMPROVE-STN and PM</w:t>
      </w:r>
      <w:r>
        <w:rPr>
          <w:vertAlign w:val="subscript"/>
        </w:rPr>
        <w:t>2.5</w:t>
      </w:r>
      <w:r>
        <w:t xml:space="preserve"> monitor data, the </w:t>
      </w:r>
      <w:r>
        <w:rPr>
          <w:b/>
          <w:bCs/>
        </w:rPr>
        <w:t xml:space="preserve">Start Year </w:t>
      </w:r>
      <w:r>
        <w:t xml:space="preserve">is </w:t>
      </w:r>
      <w:r>
        <w:rPr>
          <w:i/>
          <w:iCs/>
        </w:rPr>
        <w:t xml:space="preserve">2010 </w:t>
      </w:r>
      <w:r>
        <w:t xml:space="preserve">and the </w:t>
      </w:r>
      <w:r>
        <w:rPr>
          <w:b/>
          <w:bCs/>
        </w:rPr>
        <w:t xml:space="preserve">End Year </w:t>
      </w:r>
      <w:r>
        <w:t xml:space="preserve">is </w:t>
      </w:r>
      <w:r>
        <w:rPr>
          <w:i/>
          <w:iCs/>
        </w:rPr>
        <w:t>2012</w:t>
      </w:r>
      <w:r>
        <w:t xml:space="preserve">.) The default period is based on a modeling year of 2011. The start and end years should be changed to applicable time periods, depending on the base modeling year. </w:t>
      </w:r>
    </w:p>
    <w:p>
      <w:r>
        <w:rPr>
          <w:rFonts w:cs="Times New Roman"/>
          <w:kern w:val="0"/>
          <w:szCs w:val="24"/>
        </w:rPr>
        <w:t>SMAT-CE handles multiple years of data by calculating averages for each species by quarter</w:t>
      </w:r>
      <w:r>
        <w:t xml:space="preserve"> </w:t>
      </w:r>
      <w:r>
        <w:rPr>
          <w:rFonts w:cs="Times New Roman"/>
          <w:kern w:val="0"/>
          <w:szCs w:val="24"/>
        </w:rPr>
        <w:t>and year. SMAT-CE then averages the quarterly values across the years (e.g., average quarter</w:t>
      </w:r>
      <w:r>
        <w:t xml:space="preserve"> </w:t>
      </w:r>
      <w:r>
        <w:rPr>
          <w:rFonts w:cs="Times New Roman"/>
          <w:kern w:val="0"/>
          <w:szCs w:val="24"/>
        </w:rPr>
        <w:t>1 values of SO</w:t>
      </w:r>
      <w:r>
        <w:rPr>
          <w:rFonts w:cs="Times New Roman"/>
          <w:kern w:val="0"/>
          <w:szCs w:val="24"/>
          <w:vertAlign w:val="subscript"/>
        </w:rPr>
        <w:t>4</w:t>
      </w:r>
      <w:r>
        <w:rPr>
          <w:rFonts w:cs="Times New Roman"/>
          <w:kern w:val="0"/>
          <w:szCs w:val="24"/>
        </w:rPr>
        <w:t xml:space="preserve"> across two years to get a single "quarter 1" estimate). After completing</w:t>
      </w:r>
      <w:r>
        <w:t xml:space="preserve"> </w:t>
      </w:r>
      <w:r>
        <w:rPr>
          <w:rFonts w:cs="Times New Roman"/>
          <w:kern w:val="0"/>
          <w:szCs w:val="24"/>
        </w:rPr>
        <w:t>this step, SMAT-CE will have four quarterly estimates for each species at each</w:t>
      </w:r>
      <w:r>
        <w:t xml:space="preserve"> </w:t>
      </w:r>
      <w:r>
        <w:rPr>
          <w:rFonts w:cs="Times New Roman"/>
          <w:kern w:val="0"/>
          <w:szCs w:val="24"/>
        </w:rPr>
        <w:t>monitor. These quarterly values are then ready to be interpolated to FRM sites or to grid</w:t>
      </w:r>
      <w:r>
        <w:t xml:space="preserve"> </w:t>
      </w:r>
      <w:r>
        <w:rPr>
          <w:rFonts w:cs="Times New Roman"/>
          <w:kern w:val="0"/>
          <w:szCs w:val="24"/>
        </w:rPr>
        <w:t>cell centroids in spatial fields.</w:t>
      </w:r>
    </w:p>
    <w:p>
      <w:pPr>
        <w:rPr>
          <w:u w:val="single"/>
        </w:rPr>
      </w:pPr>
      <w:r>
        <w:rPr>
          <w:bCs/>
          <w:u w:val="single"/>
        </w:rPr>
        <w:t>Delete Specified Data Values</w:t>
      </w:r>
    </w:p>
    <w:p>
      <w:pPr>
        <w:rPr>
          <w:kern w:val="0"/>
          <w:szCs w:val="24"/>
          <w:lang w:eastAsia="en-US"/>
        </w:rPr>
      </w:pPr>
      <w:r>
        <w:t xml:space="preserve">The default is to delete the observations specified by EPA. Valid data are given a value of "0" and observations that should be deleted are given a value of "1" to "10". There is also an option for the user to flag data, using the same convention of "0" for valid data and "1" to "10" for data marked for deletion. If both the </w:t>
      </w:r>
      <w:r>
        <w:rPr>
          <w:b/>
          <w:bCs/>
        </w:rPr>
        <w:t xml:space="preserve">EPA-specified </w:t>
      </w:r>
      <w:r>
        <w:t xml:space="preserve">and </w:t>
      </w:r>
      <w:r>
        <w:rPr>
          <w:b/>
          <w:bCs/>
        </w:rPr>
        <w:t xml:space="preserve">User-specified </w:t>
      </w:r>
      <w:r>
        <w:t>flags are checked, then SMAT-CE deletes any observations that are marked for deletion by either the EPA or the user. These settings make it easy for the user to flag additional data for removal from the calculations (without deleting the actual record from the ambient data file). See Section 5.4.2 of the MATS User’s Manual (Abt, 2014) for a description of the observational data flags.</w:t>
      </w:r>
    </w:p>
    <w:p>
      <w:pPr>
        <w:rPr>
          <w:u w:val="single"/>
        </w:rPr>
      </w:pPr>
      <w:r>
        <w:rPr>
          <w:bCs/>
          <w:u w:val="single"/>
        </w:rPr>
        <w:t>Minimum Data Requirements</w:t>
      </w:r>
    </w:p>
    <w:p>
      <w:r>
        <w:t>There are three sets of minimum data requirements for calculating design values:</w:t>
      </w:r>
    </w:p>
    <w:p>
      <w:pPr>
        <w:pStyle w:val="42"/>
        <w:numPr>
          <w:ilvl w:val="0"/>
          <w:numId w:val="16"/>
        </w:numPr>
        <w:ind w:firstLineChars="0"/>
      </w:pPr>
      <w:r>
        <w:rPr>
          <w:i/>
        </w:rPr>
        <w:t>Minimum number of valid days per valid quarter</w:t>
      </w:r>
      <w:r>
        <w:t xml:space="preserve">. This is the minimum number of site-days per valid quarter. The default is 11 days, which corresponds to &gt; 75% completeness for monitors on a 1-in-6-day monitoring schedule. This is the minimum number of samples that is routinely used in calculations of quarterly average concentrations. </w:t>
      </w:r>
    </w:p>
    <w:p>
      <w:pPr>
        <w:pStyle w:val="42"/>
        <w:numPr>
          <w:ilvl w:val="0"/>
          <w:numId w:val="16"/>
        </w:numPr>
        <w:ind w:firstLineChars="0"/>
      </w:pPr>
      <w:r>
        <w:rPr>
          <w:i/>
        </w:rPr>
        <w:t>Minimum number of valid quarters required for valid season</w:t>
      </w:r>
      <w:r>
        <w:t xml:space="preserve">. This is the number of years of data (within the start year and end year specified) for which there are valid quarters for a given season. The default value is 1 year. If the value is set = 2, then there will need to be 2 years of valid data from quarter 1 in order for quarter one to be considered complete (and the same for the other 3 quarters). </w:t>
      </w:r>
    </w:p>
    <w:p>
      <w:pPr>
        <w:pStyle w:val="42"/>
        <w:numPr>
          <w:ilvl w:val="0"/>
          <w:numId w:val="16"/>
        </w:numPr>
        <w:ind w:firstLineChars="0"/>
      </w:pPr>
      <w:r>
        <w:rPr>
          <w:i/>
        </w:rPr>
        <w:t>Minimum number of valid seasons required for valid monitor (point and spatial fields calculation)</w:t>
      </w:r>
      <w:r>
        <w:t>. This is the number of valid seasons that are needed in order for a particular monitor's data to be considered valid. The default is 1 for IMPROVE-STN monitor data and the range is 1-4. For example, if the value is = 1, then a monitor's data will be used in the species fractions calculations if it has at least one valid season. If the value = 4, then the site must have all 4 seasons of valid data to be used. The default for PM</w:t>
      </w:r>
      <w:r>
        <w:rPr>
          <w:vertAlign w:val="subscript"/>
        </w:rPr>
        <w:t xml:space="preserve">2.5 </w:t>
      </w:r>
      <w:r>
        <w:t xml:space="preserve">depends on whether the data are used in point calculations (default = 4) or spatial field calculations (default = 1). </w:t>
      </w:r>
    </w:p>
    <w:p>
      <w:r>
        <w:t xml:space="preserve">Section 5.4.3 of the MATS User’s Manual (Abt, 2014) shows an example of how the minimum data requirements are used in calculating averages for monitoring data. </w:t>
      </w:r>
    </w:p>
    <w:p>
      <w:pPr>
        <w:rPr>
          <w:rFonts w:cs="Times New Roman"/>
          <w:kern w:val="0"/>
          <w:szCs w:val="24"/>
        </w:rPr>
      </w:pPr>
      <w:r>
        <w:t xml:space="preserve">Clicking the Advanced box displays additional Species Fractions Calculations Options. </w:t>
      </w:r>
      <w:r>
        <w:rPr>
          <w:rFonts w:cs="Times New Roman"/>
          <w:kern w:val="0"/>
          <w:szCs w:val="24"/>
        </w:rPr>
        <w:t>The Species Fractions Calculation Options–Advanced screen allows you to make</w:t>
      </w:r>
      <w:r>
        <w:t xml:space="preserve"> </w:t>
      </w:r>
      <w:r>
        <w:rPr>
          <w:rFonts w:cs="Times New Roman"/>
          <w:kern w:val="0"/>
          <w:szCs w:val="24"/>
        </w:rPr>
        <w:t>relatively advanced choices for your analysis. Generally speaking, the default options</w:t>
      </w:r>
      <w:r>
        <w:t xml:space="preserve"> </w:t>
      </w:r>
      <w:r>
        <w:rPr>
          <w:rFonts w:cs="Times New Roman"/>
          <w:kern w:val="0"/>
          <w:szCs w:val="24"/>
        </w:rPr>
        <w:t>settings are consistent with the EPA modeling guidance document. One set of options</w:t>
      </w:r>
      <w:r>
        <w:t xml:space="preserve"> </w:t>
      </w:r>
      <w:r>
        <w:rPr>
          <w:rFonts w:cs="Times New Roman"/>
          <w:kern w:val="0"/>
          <w:szCs w:val="24"/>
        </w:rPr>
        <w:t>allows you to specify the interpolation weighting that you want to use and whether the</w:t>
      </w:r>
      <w:r>
        <w:t xml:space="preserve"> </w:t>
      </w:r>
      <w:r>
        <w:rPr>
          <w:rFonts w:cs="Times New Roman"/>
          <w:kern w:val="0"/>
          <w:szCs w:val="24"/>
        </w:rPr>
        <w:t>interpolation involves a maximum distance or not. The second set of options involves</w:t>
      </w:r>
      <w:r>
        <w:t xml:space="preserve"> </w:t>
      </w:r>
      <w:r>
        <w:rPr>
          <w:rFonts w:cs="Times New Roman"/>
          <w:kern w:val="0"/>
          <w:szCs w:val="24"/>
        </w:rPr>
        <w:t xml:space="preserve">choices regarding ammonium, blank mass, and organic carbon. </w:t>
      </w:r>
      <w:r>
        <w:t>These options are described below.</w:t>
      </w:r>
    </w:p>
    <w:p>
      <w:pPr>
        <w:rPr>
          <w:b/>
          <w:bCs/>
        </w:rPr>
      </w:pPr>
      <w:r>
        <w:rPr>
          <w:bCs/>
          <w:u w:val="single"/>
        </w:rPr>
        <w:t>Interpolation Options</w:t>
      </w:r>
    </w:p>
    <w:p>
      <w:r>
        <w:rPr>
          <w:bCs/>
        </w:rPr>
        <w:t xml:space="preserve">The selections in this section </w:t>
      </w:r>
      <w:r>
        <w:t xml:space="preserve">set how SMAT-CE will </w:t>
      </w:r>
      <w:r>
        <w:rPr>
          <w:color w:val="000000" w:themeColor="text1"/>
          <w14:textFill>
            <w14:solidFill>
              <w14:schemeClr w14:val="tx1"/>
            </w14:solidFill>
          </w14:textFill>
        </w:rPr>
        <w:t xml:space="preserve">interpolate, or combine, the values from different monitors. One approach is to use Inverse Distance Weights, </w:t>
      </w:r>
      <w:r>
        <w:t>which assigns a weight to any particular monitor that is inversely proportional to its distance from the point of interest. A second approach is Inverse Distance Squared Weights, which means that the weights are inversely proportional to the square of the distance. And the third approach is Equal Weighting of Monitors. The default approach for PM is Inverse Distance Squared Weights.</w:t>
      </w:r>
    </w:p>
    <w:p>
      <w:r>
        <w:t>When interpolating monitor values, SMAT-CE identifies monitors based on their distance away from the point of interest (</w:t>
      </w:r>
      <w:r>
        <w:rPr>
          <w:i/>
          <w:iCs/>
        </w:rPr>
        <w:t>e.g.</w:t>
      </w:r>
      <w:r>
        <w:t xml:space="preserve">, the center of a grid cell). The first step in the interpolation process is to identify the monitors that are nearby, or neighbors, for each point of interest. The next step is to determine the distance (in kilometers) from the nearby monitors to the point of interest. The default approach is to include all valid monitors (i.e., those that satisfy the three criteria in the </w:t>
      </w:r>
      <w:r>
        <w:rPr>
          <w:color w:val="000000" w:themeColor="text1"/>
          <w14:textFill>
            <w14:solidFill>
              <w14:schemeClr w14:val="tx1"/>
            </w14:solidFill>
          </w14:textFill>
        </w:rPr>
        <w:t xml:space="preserve">Species Fractions Calculation Options </w:t>
      </w:r>
      <w:r>
        <w:t xml:space="preserve">panel), regardless of distance. To limit the use of monitors based on distance, type in the distance in km (e.g., 100) next to the pollutant of interest. Note that a distance of 100 kilometers means that any monitors further than 100 kilometers can no longer be used in the interpolation. If a point of interest has no monitors within the specified distance, then no value is calculated. </w:t>
      </w:r>
    </w:p>
    <w:p>
      <w:r>
        <w:t xml:space="preserve">The Miscellaneous Options panel sets the following options for SMAT-CE: </w:t>
      </w:r>
    </w:p>
    <w:p>
      <w:r>
        <w:rPr>
          <w:bCs/>
          <w:u w:val="single"/>
        </w:rPr>
        <w:t>Ammonium</w:t>
      </w:r>
      <w:r>
        <w:t xml:space="preserve"> </w:t>
      </w:r>
    </w:p>
    <w:p>
      <w:r>
        <w:t>Specify whether to use degree of neutralization (DON) values to calculate ammonium (NH</w:t>
      </w:r>
      <w:r>
        <w:rPr>
          <w:vertAlign w:val="subscript"/>
        </w:rPr>
        <w:t>4</w:t>
      </w:r>
      <w:r>
        <w:t>) or to use measured ammonium in conjunction with an assumption about the percentage of NH</w:t>
      </w:r>
      <w:r>
        <w:rPr>
          <w:vertAlign w:val="subscript"/>
        </w:rPr>
        <w:t>4</w:t>
      </w:r>
      <w:r>
        <w:t xml:space="preserve"> that evaporates. The default option is to use DON values. To use measured ammonium, click the button and choose an NH</w:t>
      </w:r>
      <w:r>
        <w:rPr>
          <w:vertAlign w:val="subscript"/>
        </w:rPr>
        <w:t>4</w:t>
      </w:r>
      <w:r>
        <w:t xml:space="preserve"> percentage evaporating (e.g., 50 means that the evaporation of NH</w:t>
      </w:r>
      <w:r>
        <w:rPr>
          <w:vertAlign w:val="subscript"/>
        </w:rPr>
        <w:t>4</w:t>
      </w:r>
      <w:r>
        <w:t xml:space="preserve"> in PM is 50% of the original NH</w:t>
      </w:r>
      <w:r>
        <w:rPr>
          <w:vertAlign w:val="subscript"/>
        </w:rPr>
        <w:t>4</w:t>
      </w:r>
      <w:r>
        <w:t>.</w:t>
      </w:r>
      <w:r>
        <w:rPr>
          <w:rFonts w:hint="eastAsia"/>
        </w:rPr>
        <w:t xml:space="preserve"> Note that t</w:t>
      </w:r>
      <w:r>
        <w:t>he PM particles are dissolved in water and evaporated in the evaporating pan until the water disappears, and the reduction of NH</w:t>
      </w:r>
      <w:r>
        <w:rPr>
          <w:vertAlign w:val="subscript"/>
        </w:rPr>
        <w:t>4</w:t>
      </w:r>
      <w:r>
        <w:t xml:space="preserve"> is the evaporation amount). The default is "0", which assumes that no ammonium evaporates from the FRM filters. </w:t>
      </w:r>
    </w:p>
    <w:p>
      <w:r>
        <w:rPr>
          <w:bCs/>
          <w:u w:val="single"/>
        </w:rPr>
        <w:t>Default Blank Mass</w:t>
      </w:r>
    </w:p>
    <w:p>
      <w:r>
        <w:t>The Default Blank Mass option sets default blank mass to the desired level. The default is 0.5. Either type in or use the arrows to increase or decrease the value.</w:t>
      </w:r>
    </w:p>
    <w:p>
      <w:r>
        <w:rPr>
          <w:bCs/>
          <w:u w:val="single"/>
        </w:rPr>
        <w:t>Organic Carbon</w:t>
      </w:r>
      <w:r>
        <w:t xml:space="preserve"> </w:t>
      </w:r>
    </w:p>
    <w:p>
      <w:r>
        <w:t xml:space="preserve">Set the "floor" and the "ceiling" for the mass balance calculation for organic carbon. </w:t>
      </w:r>
    </w:p>
    <w:p>
      <w:pPr>
        <w:pStyle w:val="4"/>
        <w:ind w:left="0" w:firstLine="0"/>
      </w:pPr>
      <w:r>
        <w:t>Run the Eastern U.S. Example</w:t>
      </w:r>
    </w:p>
    <w:p>
      <w:r>
        <w:t xml:space="preserve">Use the default settings for the Species Fraction Options for the Eastern U.S. example project. Either click </w:t>
      </w:r>
      <w:r>
        <w:rPr>
          <w:lang w:eastAsia="en-US"/>
        </w:rPr>
        <w:t xml:space="preserve">Next </w:t>
      </w:r>
      <w:r>
        <w:t xml:space="preserve">or double-click the </w:t>
      </w:r>
      <w:r>
        <w:rPr>
          <w:b/>
          <w:bCs/>
        </w:rPr>
        <w:t>PM</w:t>
      </w:r>
      <w:r>
        <w:rPr>
          <w:b/>
          <w:bCs/>
          <w:vertAlign w:val="subscript"/>
        </w:rPr>
        <w:t xml:space="preserve">2.5 </w:t>
      </w:r>
      <w:r>
        <w:rPr>
          <w:b/>
          <w:bCs/>
        </w:rPr>
        <w:t>Calculation Options</w:t>
      </w:r>
      <w:r>
        <w:t xml:space="preserve"> button in the upper left-hand panel of </w:t>
      </w:r>
      <w:r>
        <w:rPr>
          <w:b/>
        </w:rPr>
        <w:t>Annual PM Analysis</w:t>
      </w:r>
      <w:r>
        <w:t xml:space="preserve"> window. The button next to </w:t>
      </w:r>
      <w:r>
        <w:rPr>
          <w:b/>
          <w:bCs/>
        </w:rPr>
        <w:t xml:space="preserve">Species Fraction Options </w:t>
      </w:r>
      <w:r>
        <w:t>will turn from yellow to green, indicating that this step is complete.</w:t>
      </w:r>
    </w:p>
    <w:p>
      <w:pPr>
        <w:pStyle w:val="3"/>
      </w:pPr>
      <w:bookmarkStart w:id="218" w:name="_Toc20146"/>
      <w:bookmarkStart w:id="219" w:name="_Toc119010871"/>
      <w:bookmarkStart w:id="220" w:name="_Toc476654837"/>
      <w:bookmarkStart w:id="221" w:name="_Toc476653936"/>
      <w:bookmarkStart w:id="222" w:name="_Toc476654459"/>
      <w:r>
        <w:rPr>
          <w:rFonts w:hint="eastAsia"/>
        </w:rPr>
        <w:t>PM</w:t>
      </w:r>
      <w:r>
        <w:rPr>
          <w:vertAlign w:val="subscript"/>
        </w:rPr>
        <w:t xml:space="preserve">2.5 </w:t>
      </w:r>
      <w:r>
        <w:rPr>
          <w:rFonts w:hint="eastAsia"/>
        </w:rPr>
        <w:t>Calculation Options</w:t>
      </w:r>
      <w:bookmarkEnd w:id="218"/>
      <w:bookmarkEnd w:id="219"/>
      <w:bookmarkEnd w:id="220"/>
      <w:bookmarkEnd w:id="221"/>
      <w:bookmarkEnd w:id="222"/>
    </w:p>
    <w:p>
      <w:pPr>
        <w:keepNext/>
        <w:jc w:val="center"/>
      </w:pPr>
      <w:r>
        <w:drawing>
          <wp:inline distT="0" distB="0" distL="0" distR="0">
            <wp:extent cx="4977765" cy="348488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4981903" cy="3487812"/>
                    </a:xfrm>
                    <a:prstGeom prst="rect">
                      <a:avLst/>
                    </a:prstGeom>
                  </pic:spPr>
                </pic:pic>
              </a:graphicData>
            </a:graphic>
          </wp:inline>
        </w:drawing>
      </w:r>
    </w:p>
    <w:p>
      <w:pPr>
        <w:pStyle w:val="12"/>
        <w:rPr>
          <w:rFonts w:cs="Times New Roman"/>
          <w:b w:val="0"/>
          <w:bCs/>
          <w:i/>
          <w:iCs/>
          <w:sz w:val="22"/>
        </w:rPr>
      </w:pPr>
      <w:bookmarkStart w:id="223" w:name="_Ref474768382"/>
      <w:bookmarkStart w:id="224" w:name="_Toc950"/>
      <w:bookmarkStart w:id="225" w:name="_Toc476654219"/>
      <w:bookmarkStart w:id="226" w:name="_Toc1701"/>
      <w:bookmarkStart w:id="227" w:name="_Toc6817"/>
      <w:bookmarkStart w:id="228" w:name="_Toc29270"/>
      <w:bookmarkStart w:id="229" w:name="_Toc119010911"/>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6</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6</w:t>
      </w:r>
      <w:r>
        <w:rPr>
          <w:b w:val="0"/>
          <w:bCs/>
          <w:i/>
          <w:iCs/>
        </w:rPr>
        <w:fldChar w:fldCharType="end"/>
      </w:r>
      <w:bookmarkEnd w:id="223"/>
      <w:bookmarkStart w:id="230" w:name="_Toc1677"/>
      <w:r>
        <w:rPr>
          <w:b w:val="0"/>
          <w:bCs/>
          <w:i/>
          <w:iCs/>
        </w:rPr>
        <w:t>. PM</w:t>
      </w:r>
      <w:r>
        <w:rPr>
          <w:b w:val="0"/>
          <w:bCs/>
          <w:i/>
          <w:iCs/>
          <w:vertAlign w:val="subscript"/>
        </w:rPr>
        <w:t>2.5</w:t>
      </w:r>
      <w:r>
        <w:rPr>
          <w:b w:val="0"/>
          <w:bCs/>
          <w:i/>
          <w:iCs/>
        </w:rPr>
        <w:t xml:space="preserve"> Calculation Options for Annual PM</w:t>
      </w:r>
      <w:r>
        <w:rPr>
          <w:b w:val="0"/>
          <w:bCs/>
          <w:i/>
          <w:iCs/>
          <w:vertAlign w:val="subscript"/>
        </w:rPr>
        <w:t xml:space="preserve">2.5 </w:t>
      </w:r>
      <w:r>
        <w:rPr>
          <w:b w:val="0"/>
          <w:bCs/>
          <w:i/>
          <w:iCs/>
        </w:rPr>
        <w:t>Analysis</w:t>
      </w:r>
      <w:bookmarkEnd w:id="224"/>
      <w:bookmarkEnd w:id="225"/>
      <w:bookmarkEnd w:id="226"/>
      <w:bookmarkEnd w:id="227"/>
      <w:bookmarkEnd w:id="228"/>
      <w:bookmarkEnd w:id="229"/>
      <w:bookmarkEnd w:id="230"/>
    </w:p>
    <w:p>
      <w:bookmarkStart w:id="231" w:name="OLE_LINK10"/>
      <w:bookmarkStart w:id="232" w:name="OLE_LINK9"/>
      <w:r>
        <w:t xml:space="preserve">The </w:t>
      </w:r>
      <w:r>
        <w:rPr>
          <w:b/>
        </w:rPr>
        <w:t>PM</w:t>
      </w:r>
      <w:r>
        <w:rPr>
          <w:b/>
          <w:vertAlign w:val="subscript"/>
        </w:rPr>
        <w:t>2.5</w:t>
      </w:r>
      <w:r>
        <w:rPr>
          <w:b/>
        </w:rPr>
        <w:t xml:space="preserve"> Calculation Options</w:t>
      </w:r>
      <w:r>
        <w:t xml:space="preserve"> window</w:t>
      </w:r>
      <w:r>
        <w:rPr>
          <w:rFonts w:hint="eastAsia"/>
        </w:rPr>
        <w:t xml:space="preserve"> shown in </w:t>
      </w:r>
      <w:r>
        <w:fldChar w:fldCharType="begin"/>
      </w:r>
      <w:r>
        <w:instrText xml:space="preserve"> </w:instrText>
      </w:r>
      <w:r>
        <w:rPr>
          <w:rFonts w:hint="eastAsia"/>
        </w:rPr>
        <w:instrText xml:space="preserve">REF _Ref474768382 \h</w:instrText>
      </w:r>
      <w:r>
        <w:instrText xml:space="preserve"> </w:instrText>
      </w:r>
      <w:r>
        <w:fldChar w:fldCharType="separate"/>
      </w:r>
      <w:r>
        <w:rPr>
          <w:bCs/>
          <w:i/>
          <w:iCs/>
        </w:rPr>
        <w:t xml:space="preserve">Figure </w:t>
      </w:r>
      <w:r>
        <w:rPr>
          <w:b/>
          <w:bCs/>
          <w:i/>
          <w:iCs/>
        </w:rPr>
        <w:t>6</w:t>
      </w:r>
      <w:r>
        <w:rPr>
          <w:bCs/>
          <w:i/>
          <w:iCs/>
        </w:rPr>
        <w:noBreakHyphen/>
      </w:r>
      <w:r>
        <w:rPr>
          <w:b/>
          <w:bCs/>
          <w:i/>
          <w:iCs/>
        </w:rPr>
        <w:t>6</w:t>
      </w:r>
      <w:r>
        <w:fldChar w:fldCharType="end"/>
      </w:r>
      <w:r>
        <w:rPr>
          <w:rFonts w:hint="eastAsia"/>
        </w:rPr>
        <w:t xml:space="preserve"> </w:t>
      </w:r>
      <w:r>
        <w:t xml:space="preserve">sets the particular years of monitor data to use from the input file specified in the </w:t>
      </w:r>
      <w:r>
        <w:rPr>
          <w:b/>
        </w:rPr>
        <w:t>Data Input</w:t>
      </w:r>
      <w:bookmarkEnd w:id="231"/>
      <w:bookmarkEnd w:id="232"/>
      <w:r>
        <w:rPr>
          <w:b/>
        </w:rPr>
        <w:t xml:space="preserve"> </w:t>
      </w:r>
      <w:r>
        <w:t>window. The following options are available in this window.</w:t>
      </w:r>
    </w:p>
    <w:p>
      <w:pPr>
        <w:rPr>
          <w:u w:val="single"/>
        </w:rPr>
      </w:pPr>
      <w:r>
        <w:rPr>
          <w:u w:val="single"/>
        </w:rPr>
        <w:t>PM</w:t>
      </w:r>
      <w:r>
        <w:rPr>
          <w:u w:val="single"/>
          <w:vertAlign w:val="subscript"/>
        </w:rPr>
        <w:t>2.5</w:t>
      </w:r>
      <w:r>
        <w:rPr>
          <w:u w:val="single"/>
        </w:rPr>
        <w:t xml:space="preserve"> Monitor Data Years</w:t>
      </w:r>
    </w:p>
    <w:p>
      <w:r>
        <w:t>The Start Year and End Year drop-down menu options list the years of available official PM monitor data to use in the calculation of future PM</w:t>
      </w:r>
      <w:r>
        <w:rPr>
          <w:vertAlign w:val="subscript"/>
        </w:rPr>
        <w:t xml:space="preserve">2.5 </w:t>
      </w:r>
      <w:r>
        <w:t>design values. The default approach in SMAT-CE is to use five years of data.</w:t>
      </w:r>
    </w:p>
    <w:p>
      <w:r>
        <w:t>SMAT-CE provides the option to use "official" design values, which are generally recommended, or to choose "custom" design values. The custom design values option requires the specification of the minimum number of observation days in each quarter and the minimum number of quarters to produce valid design values.</w:t>
      </w:r>
    </w:p>
    <w:p>
      <w:pPr>
        <w:rPr>
          <w:u w:val="single"/>
        </w:rPr>
      </w:pPr>
      <w:r>
        <w:rPr>
          <w:u w:val="single"/>
        </w:rPr>
        <w:t>Valid FRM Quarters</w:t>
      </w:r>
    </w:p>
    <w:p>
      <w:r>
        <w:t>Set the minimum number of site-days per valid quarter. The default is 11 days, which corresponds to &gt; 75% completeness for monitors on a 1-in-6-day monitoring schedule. This is a minimum number of samples that is routinely used in calculations of quarterly average concentrations.</w:t>
      </w:r>
    </w:p>
    <w:p>
      <w:pPr>
        <w:rPr>
          <w:u w:val="single"/>
        </w:rPr>
      </w:pPr>
      <w:r>
        <w:rPr>
          <w:u w:val="single"/>
        </w:rPr>
        <w:t>Valid FRM Design Values</w:t>
      </w:r>
    </w:p>
    <w:p>
      <w:r>
        <w:t>Set the minimum number of quarters for which there are data within three consecutive design value periods. The default value is 12 quarters. If the value is set to 11, then there will need to be at least 11 valid quarters (i.e., two years must have four valid quarters and one year must have at least three valid quarters.)</w:t>
      </w:r>
    </w:p>
    <w:p>
      <w:pPr>
        <w:rPr>
          <w:u w:val="single"/>
        </w:rPr>
      </w:pPr>
      <w:r>
        <w:rPr>
          <w:u w:val="single"/>
        </w:rPr>
        <w:t>Completion Code</w:t>
      </w:r>
    </w:p>
    <w:p>
      <w:r>
        <w:t>Use this variable from the official quarterly PM</w:t>
      </w:r>
      <w:r>
        <w:rPr>
          <w:vertAlign w:val="subscript"/>
        </w:rPr>
        <w:t xml:space="preserve">2.5 </w:t>
      </w:r>
      <w:r>
        <w:t xml:space="preserve">monitor database to identify valid data. As noted above in Section </w:t>
      </w:r>
      <w:r>
        <w:fldChar w:fldCharType="begin"/>
      </w:r>
      <w:r>
        <w:instrText xml:space="preserve"> REF _Ref474782577 \r \h  \* MERGEFORMAT </w:instrText>
      </w:r>
      <w:r>
        <w:fldChar w:fldCharType="separate"/>
      </w:r>
      <w:r>
        <w:t>6.4</w:t>
      </w:r>
      <w:r>
        <w:fldChar w:fldCharType="end"/>
      </w:r>
      <w:r>
        <w:t>, the completion code has values of 1, 2, 3, 4, or 5; and the codes are valid for the end year of each 3-year design value period. SMAT-CE uses the completion code variable somewhat differently when using official design values and when using custom design values:</w:t>
      </w:r>
    </w:p>
    <w:p>
      <w:pPr>
        <w:pStyle w:val="42"/>
        <w:numPr>
          <w:ilvl w:val="0"/>
          <w:numId w:val="17"/>
        </w:numPr>
        <w:ind w:firstLineChars="0"/>
      </w:pPr>
      <w:r>
        <w:t>When using official data, SMAT-CE will only use completion codes: 1 and 2.</w:t>
      </w:r>
    </w:p>
    <w:p>
      <w:pPr>
        <w:pStyle w:val="42"/>
        <w:numPr>
          <w:ilvl w:val="0"/>
          <w:numId w:val="17"/>
        </w:numPr>
        <w:ind w:firstLineChars="0"/>
      </w:pPr>
      <w:r>
        <w:t xml:space="preserve">When using custom data, SMAT-CE will potentially use completion codes: 1, 2, 3, and 4 (if the user specified completion criteria are met). </w:t>
      </w:r>
    </w:p>
    <w:p>
      <w:r>
        <w:t>The following is an explanation of the official EPA completion codes:</w:t>
      </w:r>
    </w:p>
    <w:p>
      <w:pPr>
        <w:pStyle w:val="42"/>
        <w:numPr>
          <w:ilvl w:val="0"/>
          <w:numId w:val="18"/>
        </w:numPr>
        <w:ind w:firstLineChars="0"/>
      </w:pPr>
      <w:r>
        <w:t>Code "1"- complete data and violates the NAAQS</w:t>
      </w:r>
    </w:p>
    <w:p>
      <w:pPr>
        <w:pStyle w:val="42"/>
        <w:numPr>
          <w:ilvl w:val="0"/>
          <w:numId w:val="18"/>
        </w:numPr>
        <w:ind w:firstLineChars="0"/>
      </w:pPr>
      <w:r>
        <w:t>Code "2"- complete data that is below the NAAQS</w:t>
      </w:r>
    </w:p>
    <w:p>
      <w:pPr>
        <w:pStyle w:val="42"/>
        <w:numPr>
          <w:ilvl w:val="0"/>
          <w:numId w:val="18"/>
        </w:numPr>
        <w:ind w:firstLineChars="0"/>
      </w:pPr>
      <w:r>
        <w:t>Code "3"- incomplete data and violates the NAAQS</w:t>
      </w:r>
    </w:p>
    <w:p>
      <w:pPr>
        <w:pStyle w:val="42"/>
        <w:numPr>
          <w:ilvl w:val="0"/>
          <w:numId w:val="18"/>
        </w:numPr>
        <w:ind w:firstLineChars="0"/>
      </w:pPr>
      <w:r>
        <w:t>Code "4" - incomplete data that is below the NAAQS</w:t>
      </w:r>
    </w:p>
    <w:p>
      <w:pPr>
        <w:pStyle w:val="42"/>
        <w:numPr>
          <w:ilvl w:val="0"/>
          <w:numId w:val="18"/>
        </w:numPr>
        <w:ind w:firstLineChars="0"/>
      </w:pPr>
      <w:r>
        <w:t>Code "5" - data that is not comparable to the NAAQS and should not be used. For example, FRM data collected at a micro-scale site cannot be compared to the annual PM</w:t>
      </w:r>
      <w:r>
        <w:rPr>
          <w:vertAlign w:val="subscript"/>
        </w:rPr>
        <w:t xml:space="preserve">2.5 </w:t>
      </w:r>
      <w:r>
        <w:t>NAAQS.</w:t>
      </w:r>
    </w:p>
    <w:p>
      <w:r>
        <w:rPr>
          <w:u w:val="single"/>
        </w:rPr>
        <w:t>Valid FRM Monitors</w:t>
      </w:r>
      <w:r>
        <w:t xml:space="preserve"> </w:t>
      </w:r>
    </w:p>
    <w:p>
      <w:r>
        <w:t xml:space="preserve">By default, SMAT-CE assumes that there only needs to be one design value for a monitor to be considered valid. In addition, SMAT-CE assumes that no particular design value is required, so different monitors with different years of data could be used. </w:t>
      </w:r>
    </w:p>
    <w:p>
      <w:r>
        <w:t xml:space="preserve">For example, a start year and end year as 2005 and 2009 gives potential 3-year design values of 2005-2007, 2006-2008, and 2007-2009. When the Minimum Number of Design Values is set to 1, one monitor could have data for, say, 2005-2007 and another monitor data for 2006-2008, and both monitors would be used. A Minimum Number of Design Values setting of 2 would only use monitors that have design values for two of the three design value periods, ignoring monitors that only have design values for a single period. </w:t>
      </w:r>
    </w:p>
    <w:p>
      <w:pPr>
        <w:rPr>
          <w:u w:val="single"/>
        </w:rPr>
      </w:pPr>
      <w:r>
        <w:rPr>
          <w:u w:val="single"/>
        </w:rPr>
        <w:t>NH</w:t>
      </w:r>
      <w:r>
        <w:rPr>
          <w:u w:val="single"/>
          <w:vertAlign w:val="subscript"/>
        </w:rPr>
        <w:t>4</w:t>
      </w:r>
      <w:r>
        <w:rPr>
          <w:u w:val="single"/>
        </w:rPr>
        <w:t xml:space="preserve"> Future Calculation</w:t>
      </w:r>
    </w:p>
    <w:p>
      <w:r>
        <w:t>SMAT-CE can forecast NH</w:t>
      </w:r>
      <w:r>
        <w:rPr>
          <w:vertAlign w:val="subscript"/>
        </w:rPr>
        <w:t>4</w:t>
      </w:r>
      <w:r>
        <w:t xml:space="preserve"> in two different ways. The default approach uses base year DON values. See Section 5.1.2.3 of the MATS User’s Manual for details on the forms of the two equations that are available to forecast NH</w:t>
      </w:r>
      <w:r>
        <w:rPr>
          <w:vertAlign w:val="subscript"/>
        </w:rPr>
        <w:t>4</w:t>
      </w:r>
      <w:r>
        <w:t>.</w:t>
      </w:r>
    </w:p>
    <w:p>
      <w:pPr>
        <w:pStyle w:val="4"/>
        <w:ind w:left="0" w:firstLine="0"/>
      </w:pPr>
      <w:r>
        <w:t>Run the Eastern U.S. Example</w:t>
      </w:r>
    </w:p>
    <w:p>
      <w:r>
        <w:t>Use the default settings for the PM</w:t>
      </w:r>
      <w:r>
        <w:rPr>
          <w:vertAlign w:val="subscript"/>
        </w:rPr>
        <w:t xml:space="preserve">2.5 </w:t>
      </w:r>
      <w:r>
        <w:t xml:space="preserve">Calculation Options for the Eastern U.S. example project. Either click </w:t>
      </w:r>
      <w:r>
        <w:rPr>
          <w:lang w:eastAsia="en-US"/>
        </w:rPr>
        <w:t xml:space="preserve">Next </w:t>
      </w:r>
      <w:r>
        <w:t xml:space="preserve">or double-click the </w:t>
      </w:r>
      <w:r>
        <w:rPr>
          <w:b/>
          <w:bCs/>
        </w:rPr>
        <w:t>Model Data Options</w:t>
      </w:r>
      <w:r>
        <w:t xml:space="preserve"> button in the upper left-hand panel of </w:t>
      </w:r>
      <w:r>
        <w:rPr>
          <w:b/>
        </w:rPr>
        <w:t>Annual PM Analysis</w:t>
      </w:r>
      <w:r>
        <w:t xml:space="preserve"> window. The button next to </w:t>
      </w:r>
      <w:r>
        <w:rPr>
          <w:b/>
          <w:bCs/>
        </w:rPr>
        <w:t>PM</w:t>
      </w:r>
      <w:r>
        <w:rPr>
          <w:b/>
          <w:bCs/>
          <w:vertAlign w:val="subscript"/>
        </w:rPr>
        <w:t xml:space="preserve">2.5 </w:t>
      </w:r>
      <w:r>
        <w:rPr>
          <w:b/>
          <w:bCs/>
        </w:rPr>
        <w:t xml:space="preserve">Calculation Options </w:t>
      </w:r>
      <w:r>
        <w:t>will turn from yellow to green, indicating that this step is complete.</w:t>
      </w:r>
    </w:p>
    <w:p>
      <w:pPr>
        <w:pStyle w:val="3"/>
        <w:ind w:left="374" w:hanging="374"/>
      </w:pPr>
      <w:r>
        <w:t xml:space="preserve"> </w:t>
      </w:r>
      <w:bookmarkStart w:id="233" w:name="_Toc17342"/>
      <w:bookmarkStart w:id="234" w:name="_Toc119010872"/>
      <w:r>
        <w:rPr>
          <w:rFonts w:hint="eastAsia"/>
        </w:rPr>
        <w:t>Model Data Options</w:t>
      </w:r>
      <w:bookmarkEnd w:id="233"/>
      <w:bookmarkEnd w:id="234"/>
    </w:p>
    <w:p>
      <w:pPr>
        <w:keepNext/>
      </w:pPr>
      <w:r>
        <w:rPr>
          <w:rFonts w:cs="Times New Roman"/>
          <w:sz w:val="22"/>
          <w:lang w:eastAsia="en-US"/>
        </w:rPr>
        <w:drawing>
          <wp:inline distT="0" distB="0" distL="0" distR="0">
            <wp:extent cx="5271770" cy="3656965"/>
            <wp:effectExtent l="0" t="0" r="5080" b="635"/>
            <wp:docPr id="77" name="图片 77" descr="C:\Users\Administrator\Desktop\SMAT操作手册\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Users\Administrator\Desktop\SMAT操作手册\3.1.6-1.jpg"/>
                    <pic:cNvPicPr>
                      <a:picLocks noChangeAspect="1" noChangeArrowheads="1"/>
                    </pic:cNvPicPr>
                  </pic:nvPicPr>
                  <pic:blipFill>
                    <a:blip r:embed="rId27">
                      <a:extLst>
                        <a:ext uri="{28A0092B-C50C-407E-A947-70E740481C1C}">
                          <a14:useLocalDpi xmlns:a14="http://schemas.microsoft.com/office/drawing/2010/main" val="0"/>
                        </a:ext>
                      </a:extLst>
                    </a:blip>
                    <a:srcRect t="4569"/>
                    <a:stretch>
                      <a:fillRect/>
                    </a:stretch>
                  </pic:blipFill>
                  <pic:spPr>
                    <a:xfrm>
                      <a:off x="0" y="0"/>
                      <a:ext cx="5274310" cy="3658894"/>
                    </a:xfrm>
                    <a:prstGeom prst="rect">
                      <a:avLst/>
                    </a:prstGeom>
                    <a:noFill/>
                    <a:ln>
                      <a:noFill/>
                    </a:ln>
                  </pic:spPr>
                </pic:pic>
              </a:graphicData>
            </a:graphic>
          </wp:inline>
        </w:drawing>
      </w:r>
    </w:p>
    <w:p>
      <w:pPr>
        <w:pStyle w:val="12"/>
        <w:rPr>
          <w:b w:val="0"/>
          <w:bCs/>
          <w:i/>
          <w:iCs/>
        </w:rPr>
      </w:pPr>
      <w:bookmarkStart w:id="235" w:name="_Ref474829655"/>
      <w:bookmarkStart w:id="236" w:name="_Toc119010912"/>
      <w:bookmarkStart w:id="237" w:name="_Toc23370"/>
      <w:bookmarkStart w:id="238" w:name="_Toc21873"/>
      <w:bookmarkStart w:id="239" w:name="_Toc27256"/>
      <w:bookmarkStart w:id="240" w:name="_Toc4295"/>
      <w:bookmarkStart w:id="241" w:name="_Toc476654220"/>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6</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7</w:t>
      </w:r>
      <w:r>
        <w:rPr>
          <w:b w:val="0"/>
          <w:bCs/>
          <w:i/>
          <w:iCs/>
        </w:rPr>
        <w:fldChar w:fldCharType="end"/>
      </w:r>
      <w:bookmarkEnd w:id="235"/>
      <w:bookmarkStart w:id="242" w:name="_Toc4702"/>
      <w:r>
        <w:rPr>
          <w:b w:val="0"/>
          <w:bCs/>
          <w:i/>
          <w:iCs/>
        </w:rPr>
        <w:t>. Model Data Options for Annual PM</w:t>
      </w:r>
      <w:r>
        <w:rPr>
          <w:b w:val="0"/>
          <w:bCs/>
          <w:i/>
          <w:iCs/>
          <w:vertAlign w:val="subscript"/>
        </w:rPr>
        <w:t xml:space="preserve">2.5 </w:t>
      </w:r>
      <w:r>
        <w:rPr>
          <w:b w:val="0"/>
          <w:bCs/>
          <w:i/>
          <w:iCs/>
        </w:rPr>
        <w:t>Analysis</w:t>
      </w:r>
      <w:bookmarkEnd w:id="236"/>
      <w:bookmarkEnd w:id="237"/>
      <w:bookmarkEnd w:id="238"/>
      <w:bookmarkEnd w:id="239"/>
      <w:bookmarkEnd w:id="240"/>
      <w:bookmarkEnd w:id="241"/>
      <w:bookmarkEnd w:id="242"/>
    </w:p>
    <w:p>
      <w:pPr>
        <w:rPr>
          <w:rFonts w:cs="Times New Roman"/>
          <w:color w:val="000000"/>
          <w:kern w:val="0"/>
          <w:sz w:val="22"/>
        </w:rPr>
      </w:pPr>
      <w:r>
        <w:t xml:space="preserve">The </w:t>
      </w:r>
      <w:r>
        <w:rPr>
          <w:b/>
        </w:rPr>
        <w:t>Model Data Options</w:t>
      </w:r>
      <w:r>
        <w:t xml:space="preserve"> window</w:t>
      </w:r>
      <w:r>
        <w:rPr>
          <w:rFonts w:hint="eastAsia"/>
        </w:rPr>
        <w:t xml:space="preserve"> shown in </w:t>
      </w:r>
      <w:r>
        <w:fldChar w:fldCharType="begin"/>
      </w:r>
      <w:r>
        <w:instrText xml:space="preserve"> </w:instrText>
      </w:r>
      <w:r>
        <w:rPr>
          <w:rFonts w:hint="eastAsia"/>
        </w:rPr>
        <w:instrText xml:space="preserve">REF _Ref474829655 \h</w:instrText>
      </w:r>
      <w:r>
        <w:instrText xml:space="preserve">  \* MERGEFORMAT </w:instrText>
      </w:r>
      <w:r>
        <w:fldChar w:fldCharType="separate"/>
      </w:r>
      <w:r>
        <w:t>Figure 6</w:t>
      </w:r>
      <w:r>
        <w:noBreakHyphen/>
      </w:r>
      <w:r>
        <w:t>7</w:t>
      </w:r>
      <w:r>
        <w:fldChar w:fldCharType="end"/>
      </w:r>
      <w:r>
        <w:t>. This window sets the temporal adjustments for each monitor</w:t>
      </w:r>
      <w:r>
        <w:rPr>
          <w:rFonts w:cs="Times New Roman"/>
          <w:color w:val="000000"/>
          <w:kern w:val="0"/>
          <w:sz w:val="22"/>
        </w:rPr>
        <w:t>:</w:t>
      </w:r>
    </w:p>
    <w:p>
      <w:pPr>
        <w:rPr>
          <w:bCs/>
          <w:u w:val="single"/>
        </w:rPr>
      </w:pPr>
      <w:r>
        <w:rPr>
          <w:bCs/>
          <w:u w:val="single"/>
        </w:rPr>
        <w:t xml:space="preserve">Temporal Adjustment at Monitor </w:t>
      </w:r>
    </w:p>
    <w:p>
      <w:r>
        <w:t xml:space="preserve">This option specifies how many model grid cells to use in the calculation of RRFs for point estimates and for spatial estimates. </w:t>
      </w:r>
      <w:r>
        <w:rPr>
          <w:rFonts w:cs="Times New Roman"/>
          <w:color w:val="000000"/>
          <w:kern w:val="0"/>
          <w:szCs w:val="24"/>
        </w:rPr>
        <w:t>A drop-down menu provides options to use 1x1, 3x3, 5x5, and 7x7 arrays of model grid cells. The default for a 12 kilometer by 12-kilometer grid is to use a 3x3 array of grid cells. The</w:t>
      </w:r>
      <w:r>
        <w:t xml:space="preserve"> U.S. EPA </w:t>
      </w:r>
      <w:r>
        <w:rPr>
          <w:szCs w:val="24"/>
        </w:rPr>
        <w:t>Draft Modeling Guidance for</w:t>
      </w:r>
      <w:r>
        <w:t xml:space="preserve"> </w:t>
      </w:r>
      <w:r>
        <w:rPr>
          <w:szCs w:val="24"/>
        </w:rPr>
        <w:t>Attainment of Air Quality Goals for Ozone, PM</w:t>
      </w:r>
      <w:r>
        <w:rPr>
          <w:szCs w:val="24"/>
          <w:vertAlign w:val="subscript"/>
        </w:rPr>
        <w:t>2.5</w:t>
      </w:r>
      <w:r>
        <w:rPr>
          <w:szCs w:val="24"/>
        </w:rPr>
        <w:t>, and Regional Haze (U.S. EPA, 2014)</w:t>
      </w:r>
      <w:r>
        <w:rPr>
          <w:rFonts w:cs="Times New Roman"/>
          <w:color w:val="000000"/>
          <w:kern w:val="0"/>
          <w:szCs w:val="24"/>
        </w:rPr>
        <w:t xml:space="preserve"> includes discussion on selecting the appropriate grid call array size for different model resolutions. </w:t>
      </w:r>
    </w:p>
    <w:p>
      <w:r>
        <w:t xml:space="preserve">Note that for PM analyses, SMAT-CE calculates </w:t>
      </w:r>
      <w:r>
        <w:rPr>
          <w:b/>
          <w:bCs/>
        </w:rPr>
        <w:t>mean</w:t>
      </w:r>
      <w:r>
        <w:t xml:space="preserve"> concentrations across the grid cell array (as compared to maximum concentrations used for ozone analyses).</w:t>
      </w:r>
    </w:p>
    <w:p>
      <w:pPr>
        <w:pStyle w:val="4"/>
        <w:ind w:left="0" w:firstLine="0"/>
      </w:pPr>
      <w:r>
        <w:t>Run the Eastern U.S. Example</w:t>
      </w:r>
    </w:p>
    <w:p>
      <w:r>
        <w:t xml:space="preserve">Use the default settings for the Model Data Options for the Eastern U.S. example project. Either click </w:t>
      </w:r>
      <w:r>
        <w:rPr>
          <w:b/>
          <w:lang w:eastAsia="en-US"/>
        </w:rPr>
        <w:t>Next</w:t>
      </w:r>
      <w:r>
        <w:rPr>
          <w:lang w:eastAsia="en-US"/>
        </w:rPr>
        <w:t xml:space="preserve">, which will bring up a window prompting to “Save &amp; Run Project” or </w:t>
      </w:r>
      <w:r>
        <w:t xml:space="preserve">click the </w:t>
      </w:r>
      <w:r>
        <w:rPr>
          <w:b/>
        </w:rPr>
        <w:t>Save Project &amp; Run</w:t>
      </w:r>
      <w:r>
        <w:t xml:space="preserve"> button at the bottom of the SMAT-CE window.</w:t>
      </w:r>
    </w:p>
    <w:p>
      <w:r>
        <w:t>The Annual PM</w:t>
      </w:r>
      <w:r>
        <w:rPr>
          <w:vertAlign w:val="subscript"/>
        </w:rPr>
        <w:t xml:space="preserve">2.5 </w:t>
      </w:r>
      <w:r>
        <w:t xml:space="preserve">Analysis project may also be saved without running SMAT-CE by clicking the </w:t>
      </w:r>
      <w:r>
        <w:rPr>
          <w:b/>
          <w:bCs/>
        </w:rPr>
        <w:t>Save Project</w:t>
      </w:r>
      <w:r>
        <w:t xml:space="preserve"> button. A file explorer window will request a filename to which the project settings will be saved to a *.proj file. This file can be loaded later to restart the analysis.  </w:t>
      </w:r>
    </w:p>
    <w:p>
      <w:r>
        <w:t>For the Eastern U.S. example, select save and run for the Annual PM</w:t>
      </w:r>
      <w:r>
        <w:rPr>
          <w:vertAlign w:val="subscript"/>
        </w:rPr>
        <w:t xml:space="preserve">2.5 </w:t>
      </w:r>
      <w:r>
        <w:t xml:space="preserve">Analysis project. A file explorer window will request a filename (*.proj) to which to save the project settings. While the Analysis is running, the icon next to </w:t>
      </w:r>
      <w:r>
        <w:rPr>
          <w:b/>
          <w:bCs/>
        </w:rPr>
        <w:t>Model Data Options</w:t>
      </w:r>
      <w:r>
        <w:t xml:space="preserve"> will turn to a running status and status messages will be displayed in the </w:t>
      </w:r>
      <w:r>
        <w:rPr>
          <w:b/>
        </w:rPr>
        <w:t>Log &amp; Msg</w:t>
      </w:r>
      <w:r>
        <w:t xml:space="preserve"> tab on the right panel of the SMAT-CE main window (</w:t>
      </w:r>
      <w:r>
        <w:fldChar w:fldCharType="begin"/>
      </w:r>
      <w:r>
        <w:instrText xml:space="preserve"> REF _Ref474834399 \h </w:instrText>
      </w:r>
      <w:r>
        <w:fldChar w:fldCharType="separate"/>
      </w:r>
      <w:r>
        <w:rPr>
          <w:bCs/>
          <w:i/>
          <w:iCs/>
        </w:rPr>
        <w:t xml:space="preserve">Figure </w:t>
      </w:r>
      <w:r>
        <w:rPr>
          <w:b/>
          <w:bCs/>
          <w:i/>
          <w:iCs/>
        </w:rPr>
        <w:t>6</w:t>
      </w:r>
      <w:r>
        <w:rPr>
          <w:bCs/>
          <w:i/>
          <w:iCs/>
        </w:rPr>
        <w:noBreakHyphen/>
      </w:r>
      <w:r>
        <w:rPr>
          <w:b/>
          <w:bCs/>
          <w:i/>
          <w:iCs/>
        </w:rPr>
        <w:t>8</w:t>
      </w:r>
      <w:r>
        <w:fldChar w:fldCharType="end"/>
      </w:r>
      <w:r>
        <w:t>).</w:t>
      </w:r>
    </w:p>
    <w:p>
      <w:pPr>
        <w:keepNext/>
        <w:jc w:val="center"/>
      </w:pPr>
      <w:r>
        <w:rPr>
          <w:lang w:eastAsia="en-US"/>
        </w:rPr>
        <w:drawing>
          <wp:inline distT="0" distB="0" distL="0" distR="0">
            <wp:extent cx="5269230" cy="3705860"/>
            <wp:effectExtent l="0" t="0" r="762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a:srcRect t="3299"/>
                    <a:stretch>
                      <a:fillRect/>
                    </a:stretch>
                  </pic:blipFill>
                  <pic:spPr>
                    <a:xfrm>
                      <a:off x="0" y="0"/>
                      <a:ext cx="5274310" cy="3709512"/>
                    </a:xfrm>
                    <a:prstGeom prst="rect">
                      <a:avLst/>
                    </a:prstGeom>
                    <a:ln>
                      <a:noFill/>
                    </a:ln>
                  </pic:spPr>
                </pic:pic>
              </a:graphicData>
            </a:graphic>
          </wp:inline>
        </w:drawing>
      </w:r>
    </w:p>
    <w:p>
      <w:pPr>
        <w:pStyle w:val="12"/>
        <w:rPr>
          <w:b w:val="0"/>
          <w:bCs/>
          <w:i/>
          <w:iCs/>
        </w:rPr>
      </w:pPr>
      <w:bookmarkStart w:id="243" w:name="_Ref474834399"/>
      <w:bookmarkStart w:id="244" w:name="_Toc7673"/>
      <w:bookmarkStart w:id="245" w:name="_Toc2419"/>
      <w:bookmarkStart w:id="246" w:name="_Toc145"/>
      <w:bookmarkStart w:id="247" w:name="_Toc476654221"/>
      <w:bookmarkStart w:id="248" w:name="_Toc31928"/>
      <w:bookmarkStart w:id="249" w:name="_Toc119010913"/>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6</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8</w:t>
      </w:r>
      <w:r>
        <w:rPr>
          <w:b w:val="0"/>
          <w:bCs/>
          <w:i/>
          <w:iCs/>
        </w:rPr>
        <w:fldChar w:fldCharType="end"/>
      </w:r>
      <w:bookmarkEnd w:id="243"/>
      <w:bookmarkStart w:id="250" w:name="_Toc10299"/>
      <w:r>
        <w:rPr>
          <w:b w:val="0"/>
          <w:bCs/>
          <w:i/>
          <w:iCs/>
        </w:rPr>
        <w:t>. Annual PM</w:t>
      </w:r>
      <w:r>
        <w:rPr>
          <w:b w:val="0"/>
          <w:bCs/>
          <w:i/>
          <w:iCs/>
          <w:vertAlign w:val="subscript"/>
        </w:rPr>
        <w:t>2.5</w:t>
      </w:r>
      <w:r>
        <w:rPr>
          <w:b w:val="0"/>
          <w:bCs/>
          <w:i/>
          <w:iCs/>
        </w:rPr>
        <w:t xml:space="preserve"> Analysis run status</w:t>
      </w:r>
      <w:bookmarkEnd w:id="244"/>
      <w:bookmarkEnd w:id="245"/>
      <w:bookmarkEnd w:id="246"/>
      <w:bookmarkEnd w:id="247"/>
      <w:bookmarkEnd w:id="248"/>
      <w:bookmarkEnd w:id="249"/>
      <w:bookmarkEnd w:id="250"/>
    </w:p>
    <w:p>
      <w:pPr>
        <w:rPr>
          <w:szCs w:val="24"/>
        </w:rPr>
      </w:pPr>
      <w:r>
        <w:rPr>
          <w:szCs w:val="24"/>
        </w:rPr>
        <w:t>When the Annual PM</w:t>
      </w:r>
      <w:r>
        <w:rPr>
          <w:szCs w:val="24"/>
          <w:vertAlign w:val="subscript"/>
        </w:rPr>
        <w:t xml:space="preserve">2.5 </w:t>
      </w:r>
      <w:r>
        <w:rPr>
          <w:szCs w:val="24"/>
        </w:rPr>
        <w:t>Analysis is completed</w:t>
      </w:r>
      <w:r>
        <w:rPr>
          <w:rStyle w:val="47"/>
          <w:rFonts w:cs="Times New Roman"/>
          <w:szCs w:val="24"/>
        </w:rPr>
        <w:t>, the Data Viewer will automatically display in</w:t>
      </w:r>
      <w:r>
        <w:rPr>
          <w:rStyle w:val="47"/>
          <w:rFonts w:hint="eastAsia" w:cs="Times New Roman"/>
          <w:szCs w:val="24"/>
        </w:rPr>
        <w:t xml:space="preserve"> </w:t>
      </w:r>
      <w:r>
        <w:rPr>
          <w:rStyle w:val="47"/>
          <w:rFonts w:cs="Times New Roman"/>
          <w:szCs w:val="24"/>
        </w:rPr>
        <w:t xml:space="preserve">the SMAT-CE </w:t>
      </w:r>
      <w:r>
        <w:rPr>
          <w:rStyle w:val="47"/>
          <w:rFonts w:hint="eastAsia" w:cs="Times New Roman"/>
          <w:szCs w:val="24"/>
        </w:rPr>
        <w:t xml:space="preserve">main </w:t>
      </w:r>
      <w:r>
        <w:rPr>
          <w:rStyle w:val="47"/>
          <w:rFonts w:cs="Times New Roman"/>
          <w:szCs w:val="24"/>
        </w:rPr>
        <w:t>window</w:t>
      </w:r>
      <w:r>
        <w:rPr>
          <w:rStyle w:val="47"/>
          <w:rFonts w:hint="eastAsia" w:cs="Times New Roman"/>
          <w:szCs w:val="24"/>
        </w:rPr>
        <w:t xml:space="preserve"> (</w:t>
      </w:r>
      <w:r>
        <w:rPr>
          <w:rStyle w:val="47"/>
          <w:rFonts w:cs="Times New Roman"/>
          <w:szCs w:val="24"/>
        </w:rPr>
        <w:fldChar w:fldCharType="begin"/>
      </w:r>
      <w:r>
        <w:rPr>
          <w:rStyle w:val="47"/>
          <w:rFonts w:cs="Times New Roman"/>
          <w:szCs w:val="24"/>
        </w:rPr>
        <w:instrText xml:space="preserve"> </w:instrText>
      </w:r>
      <w:r>
        <w:rPr>
          <w:rStyle w:val="47"/>
          <w:rFonts w:hint="eastAsia" w:cs="Times New Roman"/>
          <w:szCs w:val="24"/>
        </w:rPr>
        <w:instrText xml:space="preserve">REF _Ref474937318 \h</w:instrText>
      </w:r>
      <w:r>
        <w:rPr>
          <w:rStyle w:val="47"/>
          <w:rFonts w:cs="Times New Roman"/>
          <w:szCs w:val="24"/>
        </w:rPr>
        <w:instrText xml:space="preserve"> </w:instrText>
      </w:r>
      <w:r>
        <w:rPr>
          <w:rStyle w:val="47"/>
          <w:rFonts w:cs="Times New Roman"/>
          <w:szCs w:val="24"/>
        </w:rPr>
        <w:fldChar w:fldCharType="separate"/>
      </w:r>
      <w:r>
        <w:rPr>
          <w:bCs/>
          <w:i/>
          <w:iCs/>
        </w:rPr>
        <w:t xml:space="preserve">Figure </w:t>
      </w:r>
      <w:r>
        <w:rPr>
          <w:b/>
          <w:bCs/>
          <w:i/>
          <w:iCs/>
        </w:rPr>
        <w:t>6</w:t>
      </w:r>
      <w:r>
        <w:rPr>
          <w:bCs/>
          <w:i/>
          <w:iCs/>
        </w:rPr>
        <w:noBreakHyphen/>
      </w:r>
      <w:r>
        <w:rPr>
          <w:b/>
          <w:bCs/>
          <w:i/>
          <w:iCs/>
        </w:rPr>
        <w:t>9</w:t>
      </w:r>
      <w:r>
        <w:rPr>
          <w:rStyle w:val="47"/>
          <w:rFonts w:cs="Times New Roman"/>
          <w:szCs w:val="24"/>
        </w:rPr>
        <w:fldChar w:fldCharType="end"/>
      </w:r>
      <w:r>
        <w:rPr>
          <w:rStyle w:val="47"/>
          <w:rFonts w:hint="eastAsia" w:cs="Times New Roman"/>
          <w:szCs w:val="24"/>
        </w:rPr>
        <w:t>)</w:t>
      </w:r>
      <w:r>
        <w:rPr>
          <w:rStyle w:val="47"/>
          <w:rFonts w:cs="Times New Roman"/>
          <w:szCs w:val="24"/>
        </w:rPr>
        <w:t xml:space="preserve">. </w:t>
      </w:r>
      <w:r>
        <w:rPr>
          <w:szCs w:val="24"/>
        </w:rPr>
        <w:t>The Output Files section of the Data Viewer left panel will display a</w:t>
      </w:r>
      <w:r>
        <w:rPr>
          <w:rFonts w:hint="eastAsia"/>
          <w:szCs w:val="24"/>
        </w:rPr>
        <w:t xml:space="preserve">ll </w:t>
      </w:r>
      <w:r>
        <w:rPr>
          <w:szCs w:val="24"/>
        </w:rPr>
        <w:t>of</w:t>
      </w:r>
      <w:r>
        <w:rPr>
          <w:rFonts w:hint="eastAsia"/>
          <w:szCs w:val="24"/>
        </w:rPr>
        <w:t xml:space="preserve"> output files </w:t>
      </w:r>
      <w:r>
        <w:rPr>
          <w:szCs w:val="24"/>
        </w:rPr>
        <w:t>selected</w:t>
      </w:r>
      <w:r>
        <w:rPr>
          <w:rFonts w:hint="eastAsia"/>
          <w:szCs w:val="24"/>
        </w:rPr>
        <w:t xml:space="preserve"> in </w:t>
      </w:r>
      <w:r>
        <w:rPr>
          <w:szCs w:val="24"/>
        </w:rPr>
        <w:t xml:space="preserve">the </w:t>
      </w:r>
      <w:r>
        <w:rPr>
          <w:rFonts w:hint="eastAsia"/>
          <w:b/>
          <w:szCs w:val="24"/>
        </w:rPr>
        <w:t xml:space="preserve">Choose Desired Output </w:t>
      </w:r>
      <w:r>
        <w:rPr>
          <w:rFonts w:hint="eastAsia"/>
          <w:szCs w:val="24"/>
        </w:rPr>
        <w:t xml:space="preserve">and </w:t>
      </w:r>
      <w:r>
        <w:rPr>
          <w:rFonts w:hint="eastAsia"/>
          <w:b/>
          <w:szCs w:val="24"/>
        </w:rPr>
        <w:t>Output Choices-Advanced</w:t>
      </w:r>
      <w:r>
        <w:rPr>
          <w:szCs w:val="24"/>
        </w:rPr>
        <w:t xml:space="preserve"> Annual PM</w:t>
      </w:r>
      <w:r>
        <w:rPr>
          <w:szCs w:val="24"/>
          <w:vertAlign w:val="subscript"/>
        </w:rPr>
        <w:t xml:space="preserve">2.5 </w:t>
      </w:r>
      <w:r>
        <w:rPr>
          <w:szCs w:val="24"/>
        </w:rPr>
        <w:t xml:space="preserve">Analysis windows. </w:t>
      </w:r>
    </w:p>
    <w:p>
      <w:pPr>
        <w:rPr>
          <w:szCs w:val="24"/>
        </w:rPr>
      </w:pPr>
      <w:r>
        <w:rPr>
          <w:szCs w:val="24"/>
        </w:rPr>
        <w:t>The Data Viewer provides options to display the Annual PM</w:t>
      </w:r>
      <w:r>
        <w:rPr>
          <w:szCs w:val="24"/>
          <w:vertAlign w:val="subscript"/>
        </w:rPr>
        <w:t xml:space="preserve">2.5 </w:t>
      </w:r>
      <w:r>
        <w:rPr>
          <w:szCs w:val="24"/>
        </w:rPr>
        <w:t xml:space="preserve">Analysis results as maps, bar charts, and tables. </w:t>
      </w:r>
      <w:r>
        <w:fldChar w:fldCharType="begin"/>
      </w:r>
      <w:r>
        <w:instrText xml:space="preserve"> HYPERLINK \l "_The_SMAT-CE_Data_5" </w:instrText>
      </w:r>
      <w:r>
        <w:fldChar w:fldCharType="separate"/>
      </w:r>
      <w:r>
        <w:rPr>
          <w:rStyle w:val="36"/>
          <w:szCs w:val="24"/>
        </w:rPr>
        <w:t>Chapter 10</w:t>
      </w:r>
      <w:r>
        <w:rPr>
          <w:rStyle w:val="36"/>
          <w:szCs w:val="24"/>
        </w:rPr>
        <w:fldChar w:fldCharType="end"/>
      </w:r>
      <w:r>
        <w:rPr>
          <w:szCs w:val="24"/>
        </w:rPr>
        <w:t xml:space="preserve"> describes how to load and analyze data using the SMAT-CE Data Viewer.</w:t>
      </w:r>
    </w:p>
    <w:p>
      <w:pPr>
        <w:keepNext/>
      </w:pPr>
      <w:r>
        <w:rPr>
          <w:szCs w:val="24"/>
          <w:lang w:eastAsia="en-US"/>
        </w:rPr>
        <w:drawing>
          <wp:inline distT="0" distB="0" distL="0" distR="0">
            <wp:extent cx="5274310" cy="3705225"/>
            <wp:effectExtent l="0" t="0" r="8890" b="31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3705225"/>
                    </a:xfrm>
                    <a:prstGeom prst="rect">
                      <a:avLst/>
                    </a:prstGeom>
                  </pic:spPr>
                </pic:pic>
              </a:graphicData>
            </a:graphic>
          </wp:inline>
        </w:drawing>
      </w:r>
    </w:p>
    <w:p>
      <w:pPr>
        <w:pStyle w:val="12"/>
        <w:rPr>
          <w:b w:val="0"/>
          <w:bCs/>
          <w:i/>
          <w:iCs/>
          <w:szCs w:val="24"/>
        </w:rPr>
      </w:pPr>
      <w:bookmarkStart w:id="251" w:name="_Ref474937318"/>
      <w:bookmarkStart w:id="252" w:name="_Toc28651"/>
      <w:bookmarkStart w:id="253" w:name="_Toc16985"/>
      <w:bookmarkStart w:id="254" w:name="_Toc26808"/>
      <w:bookmarkStart w:id="255" w:name="_Toc476654222"/>
      <w:bookmarkStart w:id="256" w:name="_Toc23279"/>
      <w:bookmarkStart w:id="257" w:name="_Toc119010914"/>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6</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9</w:t>
      </w:r>
      <w:r>
        <w:rPr>
          <w:b w:val="0"/>
          <w:bCs/>
          <w:i/>
          <w:iCs/>
        </w:rPr>
        <w:fldChar w:fldCharType="end"/>
      </w:r>
      <w:bookmarkEnd w:id="251"/>
      <w:bookmarkStart w:id="258" w:name="_Toc17718"/>
      <w:r>
        <w:rPr>
          <w:b w:val="0"/>
          <w:bCs/>
          <w:i/>
          <w:iCs/>
        </w:rPr>
        <w:t>. Annual PM Analysis Data Viewer</w:t>
      </w:r>
      <w:bookmarkEnd w:id="252"/>
      <w:bookmarkEnd w:id="253"/>
      <w:bookmarkEnd w:id="254"/>
      <w:bookmarkEnd w:id="255"/>
      <w:bookmarkEnd w:id="256"/>
      <w:bookmarkEnd w:id="257"/>
      <w:bookmarkEnd w:id="258"/>
    </w:p>
    <w:p>
      <w:pPr>
        <w:rPr>
          <w:szCs w:val="24"/>
        </w:rPr>
      </w:pPr>
      <w:r>
        <w:rPr>
          <w:szCs w:val="24"/>
        </w:rPr>
        <w:t>This concludes the chapter on the SMAT-CE Annual PM</w:t>
      </w:r>
      <w:r>
        <w:rPr>
          <w:szCs w:val="24"/>
          <w:vertAlign w:val="subscript"/>
        </w:rPr>
        <w:t xml:space="preserve">2.5 </w:t>
      </w:r>
      <w:r>
        <w:rPr>
          <w:szCs w:val="24"/>
        </w:rPr>
        <w:t xml:space="preserve">Analysis. As described in this section, details of the calculations and settings used in this analysis are available </w:t>
      </w:r>
      <w:r>
        <w:t xml:space="preserve">in the U.S. EPA </w:t>
      </w:r>
      <w:r>
        <w:rPr>
          <w:szCs w:val="24"/>
        </w:rPr>
        <w:t>Draft Modeling Guidance for</w:t>
      </w:r>
      <w:r>
        <w:t xml:space="preserve"> </w:t>
      </w:r>
      <w:r>
        <w:rPr>
          <w:szCs w:val="24"/>
        </w:rPr>
        <w:t>Attainment of Air Quality Goals for Ozone, PM</w:t>
      </w:r>
      <w:r>
        <w:rPr>
          <w:szCs w:val="24"/>
          <w:vertAlign w:val="subscript"/>
        </w:rPr>
        <w:t>2.5</w:t>
      </w:r>
      <w:r>
        <w:rPr>
          <w:szCs w:val="24"/>
        </w:rPr>
        <w:t xml:space="preserve">, and Regional Haze (U.S. EPA, 2014) and in Chapter 5 of the MATS User’s Manual (Abt, 2014).  </w:t>
      </w:r>
    </w:p>
    <w:p>
      <w:pPr>
        <w:rPr>
          <w:rStyle w:val="47"/>
          <w:rFonts w:cs="Times New Roman"/>
          <w:szCs w:val="24"/>
        </w:rPr>
        <w:sectPr>
          <w:pgSz w:w="11906" w:h="16838"/>
          <w:pgMar w:top="1440" w:right="1800" w:bottom="1440" w:left="1800" w:header="851" w:footer="992" w:gutter="0"/>
          <w:cols w:space="425" w:num="1"/>
          <w:docGrid w:type="lines" w:linePitch="312" w:charSpace="0"/>
        </w:sectPr>
      </w:pPr>
    </w:p>
    <w:p>
      <w:pPr>
        <w:pStyle w:val="2"/>
      </w:pPr>
      <w:bookmarkStart w:id="259" w:name="_Daily_PM_Analysis_1"/>
      <w:bookmarkEnd w:id="259"/>
      <w:bookmarkStart w:id="260" w:name="_Daily_PM_Analysis"/>
      <w:bookmarkEnd w:id="260"/>
      <w:bookmarkStart w:id="261" w:name="_Daily_PM_Analysis_2"/>
      <w:bookmarkEnd w:id="261"/>
      <w:bookmarkStart w:id="262" w:name="_Ref474499879"/>
      <w:bookmarkStart w:id="263" w:name="_Toc119010873"/>
      <w:bookmarkStart w:id="264" w:name="_Toc476654838"/>
      <w:bookmarkStart w:id="265" w:name="_Toc476653937"/>
      <w:bookmarkStart w:id="266" w:name="_Toc476654460"/>
      <w:bookmarkStart w:id="267" w:name="_Toc26486"/>
      <w:r>
        <w:t>Daily PM Analysis</w:t>
      </w:r>
      <w:bookmarkEnd w:id="262"/>
      <w:bookmarkEnd w:id="263"/>
      <w:bookmarkEnd w:id="264"/>
      <w:bookmarkEnd w:id="265"/>
      <w:bookmarkEnd w:id="266"/>
      <w:bookmarkEnd w:id="267"/>
    </w:p>
    <w:p>
      <w:r>
        <w:t>SMAT-CE can forecast daily (24-hour) design values at PM</w:t>
      </w:r>
      <w:r>
        <w:rPr>
          <w:vertAlign w:val="subscript"/>
        </w:rPr>
        <w:t xml:space="preserve">2.5 </w:t>
      </w:r>
      <w:r>
        <w:t>monitor locations – these forecasts are referred to as Point Estimates. SMAT-CE can also use a variety of approaches to calculate design values for a Spatial Field. A Spatial Field refers to a set of values comprising calculations for each grid cell in a modeling domain from Eulerian grid models such as CMAQ and CAMx.</w:t>
      </w:r>
    </w:p>
    <w:p>
      <w:r>
        <w:t>The Daily PM Design Value Analysis in SMAT-CE is organized into seven steps. The steps include the input/output and configuration options for computing ozone design values. The following configuration steps correspond to different SMAT-CE windows and are described in detail in this chapter:</w:t>
      </w:r>
    </w:p>
    <w:p>
      <w:pPr>
        <w:pStyle w:val="42"/>
        <w:numPr>
          <w:ilvl w:val="0"/>
          <w:numId w:val="11"/>
        </w:numPr>
        <w:ind w:firstLineChars="0"/>
      </w:pPr>
      <w:r>
        <w:rPr>
          <w:b/>
        </w:rPr>
        <w:t>Output Choice</w:t>
      </w:r>
      <w:r>
        <w:rPr>
          <w:b/>
          <w:bCs/>
        </w:rPr>
        <w:t>:</w:t>
      </w:r>
      <w:r>
        <w:t xml:space="preserve"> Select whether to run the Standard Analysis, and whether to output a species fractions file and/or quarterly model data.</w:t>
      </w:r>
    </w:p>
    <w:p>
      <w:pPr>
        <w:pStyle w:val="42"/>
        <w:numPr>
          <w:ilvl w:val="0"/>
          <w:numId w:val="11"/>
        </w:numPr>
        <w:ind w:firstLineChars="0"/>
      </w:pPr>
      <w:r>
        <w:rPr>
          <w:b/>
        </w:rPr>
        <w:t>Output Choice–Advanced</w:t>
      </w:r>
      <w:r>
        <w:rPr>
          <w:b/>
          <w:bCs/>
        </w:rPr>
        <w:t>:</w:t>
      </w:r>
      <w:r>
        <w:t xml:space="preserve"> Configure miscellaneous Point Estimate output files for quality assurance of the PM design value calculations.</w:t>
      </w:r>
    </w:p>
    <w:p>
      <w:pPr>
        <w:pStyle w:val="42"/>
        <w:numPr>
          <w:ilvl w:val="0"/>
          <w:numId w:val="11"/>
        </w:numPr>
        <w:ind w:firstLineChars="0"/>
      </w:pPr>
      <w:r>
        <w:rPr>
          <w:b/>
        </w:rPr>
        <w:t>Data Input</w:t>
      </w:r>
      <w:r>
        <w:rPr>
          <w:b/>
          <w:bCs/>
        </w:rPr>
        <w:t>:</w:t>
      </w:r>
      <w:r>
        <w:t xml:space="preserve"> Specify the species monitoring data, species fractions file, PM</w:t>
      </w:r>
      <w:r>
        <w:rPr>
          <w:vertAlign w:val="subscript"/>
        </w:rPr>
        <w:t>2.5</w:t>
      </w:r>
      <w:r>
        <w:t xml:space="preserve"> ambient monitoring data, and the modeling data to use for the design value calculations.</w:t>
      </w:r>
    </w:p>
    <w:p>
      <w:pPr>
        <w:pStyle w:val="42"/>
        <w:numPr>
          <w:ilvl w:val="0"/>
          <w:numId w:val="11"/>
        </w:numPr>
        <w:ind w:firstLineChars="0"/>
      </w:pPr>
      <w:r>
        <w:rPr>
          <w:b/>
        </w:rPr>
        <w:t>Species Fractions Calculation Options</w:t>
      </w:r>
      <w:r>
        <w:rPr>
          <w:b/>
          <w:bCs/>
        </w:rPr>
        <w:t>:</w:t>
      </w:r>
      <w:r>
        <w:t xml:space="preserve"> Select the years of daily STN-IMPROVE and FRM monitoring data and identify valid monitors. Define data filtering specifications.</w:t>
      </w:r>
    </w:p>
    <w:p>
      <w:pPr>
        <w:pStyle w:val="42"/>
        <w:numPr>
          <w:ilvl w:val="0"/>
          <w:numId w:val="11"/>
        </w:numPr>
        <w:ind w:firstLineChars="0"/>
      </w:pPr>
      <w:r>
        <w:rPr>
          <w:b/>
        </w:rPr>
        <w:t>Species Fractions Calculation Options–Advanced</w:t>
      </w:r>
      <w:r>
        <w:rPr>
          <w:b/>
          <w:bCs/>
        </w:rPr>
        <w:t>:</w:t>
      </w:r>
      <w:r>
        <w:t xml:space="preserve"> Select the method to identify peak monitor values. Choose interpolation options for PM</w:t>
      </w:r>
      <w:r>
        <w:rPr>
          <w:vertAlign w:val="subscript"/>
        </w:rPr>
        <w:t xml:space="preserve">2.5 </w:t>
      </w:r>
      <w:r>
        <w:t>and species monitoring data. Choose assumptions for the ammonium calculation, default blank mass, and organic carbon.</w:t>
      </w:r>
    </w:p>
    <w:p>
      <w:pPr>
        <w:pStyle w:val="42"/>
        <w:numPr>
          <w:ilvl w:val="0"/>
          <w:numId w:val="11"/>
        </w:numPr>
        <w:ind w:firstLineChars="0"/>
      </w:pPr>
      <w:r>
        <w:rPr>
          <w:b/>
        </w:rPr>
        <w:t>PM</w:t>
      </w:r>
      <w:r>
        <w:rPr>
          <w:b/>
          <w:vertAlign w:val="subscript"/>
        </w:rPr>
        <w:t>2.5</w:t>
      </w:r>
      <w:r>
        <w:rPr>
          <w:b/>
        </w:rPr>
        <w:t xml:space="preserve"> Calculation Options - FRM Monitor Data:</w:t>
      </w:r>
      <w:r>
        <w:t xml:space="preserve"> Select the years of quarterly FRM monitoring data and identify valid monitors. Select the approach for calculating future year ammonium.</w:t>
      </w:r>
    </w:p>
    <w:p>
      <w:pPr>
        <w:pStyle w:val="42"/>
        <w:numPr>
          <w:ilvl w:val="0"/>
          <w:numId w:val="11"/>
        </w:numPr>
        <w:ind w:firstLineChars="0"/>
      </w:pPr>
      <w:r>
        <w:rPr>
          <w:b/>
        </w:rPr>
        <w:t>Model Data Options:</w:t>
      </w:r>
      <w:r>
        <w:t xml:space="preserve"> Specify the maximum distance of monitors from modeling domain. Choose method to identify peak model values. Specify which model grid cells will be used when calculating RRFs at monitor locations.</w:t>
      </w:r>
    </w:p>
    <w:p>
      <w:r>
        <w:rPr>
          <w:lang w:eastAsia="en-US"/>
        </w:rPr>
        <w:drawing>
          <wp:inline distT="0" distB="0" distL="0" distR="0">
            <wp:extent cx="5267325" cy="3667125"/>
            <wp:effectExtent l="0" t="0" r="9525" b="0"/>
            <wp:docPr id="4" name="图片 70" descr="C:\Users\Administrator\Desktop\help\3.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0" descr="C:\Users\Administrator\Desktop\help\3.2 -2.jpg"/>
                    <pic:cNvPicPr>
                      <a:picLocks noChangeAspect="1" noChangeArrowheads="1"/>
                    </pic:cNvPicPr>
                  </pic:nvPicPr>
                  <pic:blipFill>
                    <a:blip r:embed="rId30">
                      <a:extLst>
                        <a:ext uri="{28A0092B-C50C-407E-A947-70E740481C1C}">
                          <a14:useLocalDpi xmlns:a14="http://schemas.microsoft.com/office/drawing/2010/main" val="0"/>
                        </a:ext>
                      </a:extLst>
                    </a:blip>
                    <a:srcRect t="4315"/>
                    <a:stretch>
                      <a:fillRect/>
                    </a:stretch>
                  </pic:blipFill>
                  <pic:spPr>
                    <a:xfrm>
                      <a:off x="0" y="0"/>
                      <a:ext cx="5274310" cy="3671839"/>
                    </a:xfrm>
                    <a:prstGeom prst="rect">
                      <a:avLst/>
                    </a:prstGeom>
                    <a:noFill/>
                    <a:ln>
                      <a:noFill/>
                    </a:ln>
                  </pic:spPr>
                </pic:pic>
              </a:graphicData>
            </a:graphic>
          </wp:inline>
        </w:drawing>
      </w:r>
    </w:p>
    <w:p>
      <w:pPr>
        <w:pStyle w:val="12"/>
        <w:rPr>
          <w:b w:val="0"/>
          <w:bCs/>
          <w:i/>
          <w:iCs/>
        </w:rPr>
      </w:pPr>
      <w:bookmarkStart w:id="268" w:name="_Ref474837967"/>
      <w:bookmarkStart w:id="269" w:name="_Toc19115"/>
      <w:bookmarkStart w:id="270" w:name="_Toc28105"/>
      <w:bookmarkStart w:id="271" w:name="_Toc1847"/>
      <w:bookmarkStart w:id="272" w:name="_Toc119010915"/>
      <w:bookmarkStart w:id="273" w:name="_Toc29150"/>
      <w:bookmarkStart w:id="274" w:name="_Toc476654223"/>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7</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1</w:t>
      </w:r>
      <w:r>
        <w:rPr>
          <w:b w:val="0"/>
          <w:bCs/>
          <w:i/>
          <w:iCs/>
        </w:rPr>
        <w:fldChar w:fldCharType="end"/>
      </w:r>
      <w:bookmarkEnd w:id="268"/>
      <w:bookmarkStart w:id="275" w:name="_Toc14469"/>
      <w:r>
        <w:rPr>
          <w:b w:val="0"/>
          <w:bCs/>
          <w:i/>
          <w:iCs/>
        </w:rPr>
        <w:t>. Daily PM Analysis initial window</w:t>
      </w:r>
      <w:bookmarkEnd w:id="269"/>
      <w:bookmarkEnd w:id="270"/>
      <w:bookmarkEnd w:id="271"/>
      <w:bookmarkEnd w:id="272"/>
      <w:bookmarkEnd w:id="273"/>
      <w:bookmarkEnd w:id="274"/>
      <w:bookmarkEnd w:id="275"/>
    </w:p>
    <w:p>
      <w:r>
        <w:t>To conduct an attainment test for the daily PM</w:t>
      </w:r>
      <w:r>
        <w:rPr>
          <w:vertAlign w:val="subscript"/>
        </w:rPr>
        <w:t>2.5</w:t>
      </w:r>
      <w:r>
        <w:t xml:space="preserve"> NAAQS, select </w:t>
      </w:r>
      <w:r>
        <w:rPr>
          <w:b/>
        </w:rPr>
        <w:t>Daily PM Analysis</w:t>
      </w:r>
      <w:r>
        <w:t xml:space="preserve"> from the Process Data module on the SMAT-CE Start Page. </w:t>
      </w:r>
      <w:r>
        <w:fldChar w:fldCharType="begin"/>
      </w:r>
      <w:r>
        <w:instrText xml:space="preserve"> REF _Ref474837967 \h </w:instrText>
      </w:r>
      <w:r>
        <w:fldChar w:fldCharType="separate"/>
      </w:r>
      <w:r>
        <w:rPr>
          <w:bCs/>
          <w:i/>
          <w:iCs/>
        </w:rPr>
        <w:t xml:space="preserve">Figure </w:t>
      </w:r>
      <w:r>
        <w:rPr>
          <w:b/>
          <w:bCs/>
          <w:i/>
          <w:iCs/>
        </w:rPr>
        <w:t>7</w:t>
      </w:r>
      <w:r>
        <w:rPr>
          <w:bCs/>
          <w:i/>
          <w:iCs/>
        </w:rPr>
        <w:noBreakHyphen/>
      </w:r>
      <w:r>
        <w:rPr>
          <w:b/>
          <w:bCs/>
          <w:i/>
          <w:iCs/>
        </w:rPr>
        <w:t>1</w:t>
      </w:r>
      <w:r>
        <w:fldChar w:fldCharType="end"/>
      </w:r>
      <w:r>
        <w:t xml:space="preserve"> shows the initial window that is displayed when Daily PM Analysis is selected. The box in the upper left of the window (highlighted in red in </w:t>
      </w:r>
      <w:r>
        <w:fldChar w:fldCharType="begin"/>
      </w:r>
      <w:r>
        <w:instrText xml:space="preserve"> REF _Ref474837967 \h </w:instrText>
      </w:r>
      <w:r>
        <w:fldChar w:fldCharType="separate"/>
      </w:r>
      <w:r>
        <w:rPr>
          <w:bCs/>
          <w:i/>
          <w:iCs/>
        </w:rPr>
        <w:t xml:space="preserve">Figure </w:t>
      </w:r>
      <w:r>
        <w:rPr>
          <w:b/>
          <w:bCs/>
          <w:i/>
          <w:iCs/>
        </w:rPr>
        <w:t>7</w:t>
      </w:r>
      <w:r>
        <w:rPr>
          <w:bCs/>
          <w:i/>
          <w:iCs/>
        </w:rPr>
        <w:noBreakHyphen/>
      </w:r>
      <w:r>
        <w:rPr>
          <w:b/>
          <w:bCs/>
          <w:i/>
          <w:iCs/>
        </w:rPr>
        <w:t>1</w:t>
      </w:r>
      <w:r>
        <w:fldChar w:fldCharType="end"/>
      </w:r>
      <w:r>
        <w:t xml:space="preserve">) lists the configuration steps of the Daily PM Analysis. Each step listed in this box has a different set of configuration options that are displayed in the Daily PM Analysis window. Once each step is successfully configured, the icons next to each step in the box will change from yellow to green. In general, the configuration steps must be followed in order, from top to bottom, as they are listed in the box. Previously completed steps may be accessed and modified by double-clicking on the step name in the box. Once the configuration for a step is complete, you may move to the next step by either clicking on it or by selecting the Next button (shown in the blue box in </w:t>
      </w:r>
      <w:r>
        <w:fldChar w:fldCharType="begin"/>
      </w:r>
      <w:r>
        <w:instrText xml:space="preserve"> REF _Ref474837967 \h </w:instrText>
      </w:r>
      <w:r>
        <w:fldChar w:fldCharType="separate"/>
      </w:r>
      <w:r>
        <w:rPr>
          <w:bCs/>
          <w:i/>
          <w:iCs/>
        </w:rPr>
        <w:t xml:space="preserve">Figure </w:t>
      </w:r>
      <w:r>
        <w:rPr>
          <w:b/>
          <w:bCs/>
          <w:i/>
          <w:iCs/>
        </w:rPr>
        <w:t>7</w:t>
      </w:r>
      <w:r>
        <w:rPr>
          <w:bCs/>
          <w:i/>
          <w:iCs/>
        </w:rPr>
        <w:noBreakHyphen/>
      </w:r>
      <w:r>
        <w:rPr>
          <w:b/>
          <w:bCs/>
          <w:i/>
          <w:iCs/>
        </w:rPr>
        <w:t>1</w:t>
      </w:r>
      <w:r>
        <w:fldChar w:fldCharType="end"/>
      </w:r>
      <w:r>
        <w:t xml:space="preserve">). </w:t>
      </w:r>
    </w:p>
    <w:p>
      <w:r>
        <w:t xml:space="preserve">A previous project may be loaded, or a new project may be initiated, at any time in the Daily PM Analysis window by selecting one of the icons to the right of the “Daily PM Analysis” text above the red box in </w:t>
      </w:r>
      <w:r>
        <w:fldChar w:fldCharType="begin"/>
      </w:r>
      <w:r>
        <w:instrText xml:space="preserve"> REF _Ref474837967 \h </w:instrText>
      </w:r>
      <w:r>
        <w:fldChar w:fldCharType="separate"/>
      </w:r>
      <w:r>
        <w:rPr>
          <w:bCs/>
          <w:i/>
          <w:iCs/>
        </w:rPr>
        <w:t xml:space="preserve">Figure </w:t>
      </w:r>
      <w:r>
        <w:rPr>
          <w:b/>
          <w:bCs/>
          <w:i/>
          <w:iCs/>
        </w:rPr>
        <w:t>7</w:t>
      </w:r>
      <w:r>
        <w:rPr>
          <w:bCs/>
          <w:i/>
          <w:iCs/>
        </w:rPr>
        <w:noBreakHyphen/>
      </w:r>
      <w:r>
        <w:rPr>
          <w:b/>
          <w:bCs/>
          <w:i/>
          <w:iCs/>
        </w:rPr>
        <w:t>1</w:t>
      </w:r>
      <w:r>
        <w:fldChar w:fldCharType="end"/>
      </w:r>
      <w:r>
        <w:t>.</w:t>
      </w:r>
    </w:p>
    <w:p>
      <w:r>
        <w:t>Each of the Daily PM Analysis configuration steps are described in the following sections.</w:t>
      </w:r>
    </w:p>
    <w:p>
      <w:pPr>
        <w:pStyle w:val="3"/>
      </w:pPr>
      <w:bookmarkStart w:id="276" w:name="_Toc476654839"/>
      <w:bookmarkStart w:id="277" w:name="_Toc476654461"/>
      <w:bookmarkStart w:id="278" w:name="_Toc476653938"/>
      <w:bookmarkStart w:id="279" w:name="_Toc119010874"/>
      <w:bookmarkStart w:id="280" w:name="_Toc20842"/>
      <w:r>
        <w:rPr>
          <w:rFonts w:hint="eastAsia"/>
        </w:rPr>
        <w:t>Choose Desired Output</w:t>
      </w:r>
      <w:bookmarkEnd w:id="276"/>
      <w:bookmarkEnd w:id="277"/>
      <w:bookmarkEnd w:id="278"/>
      <w:bookmarkEnd w:id="279"/>
      <w:bookmarkEnd w:id="280"/>
    </w:p>
    <w:p>
      <w:pPr>
        <w:keepNext/>
        <w:jc w:val="center"/>
      </w:pPr>
      <w:r>
        <w:rPr>
          <w:lang w:eastAsia="en-US"/>
        </w:rPr>
        <w:drawing>
          <wp:inline distT="0" distB="0" distL="0" distR="0">
            <wp:extent cx="5274310" cy="366204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274310" cy="3662045"/>
                    </a:xfrm>
                    <a:prstGeom prst="rect">
                      <a:avLst/>
                    </a:prstGeom>
                  </pic:spPr>
                </pic:pic>
              </a:graphicData>
            </a:graphic>
          </wp:inline>
        </w:drawing>
      </w:r>
    </w:p>
    <w:p>
      <w:pPr>
        <w:pStyle w:val="12"/>
        <w:rPr>
          <w:b w:val="0"/>
          <w:bCs/>
          <w:i/>
          <w:iCs/>
        </w:rPr>
      </w:pPr>
      <w:bookmarkStart w:id="281" w:name="_Ref474842198"/>
      <w:bookmarkStart w:id="282" w:name="_Toc5799"/>
      <w:bookmarkStart w:id="283" w:name="_Toc20752"/>
      <w:bookmarkStart w:id="284" w:name="_Toc119010916"/>
      <w:bookmarkStart w:id="285" w:name="_Toc476654224"/>
      <w:bookmarkStart w:id="286" w:name="_Toc5534"/>
      <w:bookmarkStart w:id="287" w:name="_Toc20247"/>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7</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2</w:t>
      </w:r>
      <w:r>
        <w:rPr>
          <w:b w:val="0"/>
          <w:bCs/>
          <w:i/>
          <w:iCs/>
        </w:rPr>
        <w:fldChar w:fldCharType="end"/>
      </w:r>
      <w:bookmarkEnd w:id="281"/>
      <w:bookmarkStart w:id="288" w:name="_Toc8525"/>
      <w:r>
        <w:rPr>
          <w:b w:val="0"/>
          <w:bCs/>
          <w:i/>
          <w:iCs/>
        </w:rPr>
        <w:t>. Choose Desired Output for Daily PM</w:t>
      </w:r>
      <w:r>
        <w:rPr>
          <w:b w:val="0"/>
          <w:bCs/>
          <w:i/>
          <w:iCs/>
          <w:vertAlign w:val="subscript"/>
        </w:rPr>
        <w:t xml:space="preserve">2.5 </w:t>
      </w:r>
      <w:r>
        <w:rPr>
          <w:b w:val="0"/>
          <w:bCs/>
          <w:i/>
          <w:iCs/>
        </w:rPr>
        <w:t>Analysis</w:t>
      </w:r>
      <w:bookmarkEnd w:id="282"/>
      <w:bookmarkEnd w:id="283"/>
      <w:bookmarkEnd w:id="284"/>
      <w:bookmarkEnd w:id="285"/>
      <w:bookmarkEnd w:id="286"/>
      <w:bookmarkEnd w:id="287"/>
      <w:bookmarkEnd w:id="288"/>
    </w:p>
    <w:p>
      <w:pPr>
        <w:autoSpaceDE w:val="0"/>
        <w:autoSpaceDN w:val="0"/>
        <w:adjustRightInd w:val="0"/>
      </w:pPr>
      <w:r>
        <w:rPr>
          <w:b/>
        </w:rPr>
        <w:t>Choose Desired Output</w:t>
      </w:r>
      <w:r>
        <w:t xml:space="preserve"> is the first configuration step that is displayed when the Daily PM Analysis module is selected (</w:t>
      </w:r>
      <w:r>
        <w:fldChar w:fldCharType="begin"/>
      </w:r>
      <w:r>
        <w:instrText xml:space="preserve"> REF _Ref474842198 \h </w:instrText>
      </w:r>
      <w:r>
        <w:fldChar w:fldCharType="separate"/>
      </w:r>
      <w:r>
        <w:rPr>
          <w:bCs/>
          <w:i/>
          <w:iCs/>
        </w:rPr>
        <w:t xml:space="preserve">Figure </w:t>
      </w:r>
      <w:r>
        <w:rPr>
          <w:b/>
          <w:bCs/>
          <w:i/>
          <w:iCs/>
        </w:rPr>
        <w:t>7</w:t>
      </w:r>
      <w:r>
        <w:rPr>
          <w:bCs/>
          <w:i/>
          <w:iCs/>
        </w:rPr>
        <w:noBreakHyphen/>
      </w:r>
      <w:r>
        <w:rPr>
          <w:b/>
          <w:bCs/>
          <w:i/>
          <w:iCs/>
        </w:rPr>
        <w:t>2</w:t>
      </w:r>
      <w:r>
        <w:fldChar w:fldCharType="end"/>
      </w:r>
      <w:r>
        <w:t>). The blue hyperlinked text in this window brings up the documentation for this configuration step. The settings in this step include:</w:t>
      </w:r>
    </w:p>
    <w:p>
      <w:r>
        <w:rPr>
          <w:b/>
          <w:u w:val="single"/>
        </w:rPr>
        <w:t>Project Name</w:t>
      </w:r>
    </w:p>
    <w:p>
      <w:r>
        <w:t>Text string to identify this analysis and set the name of the project file.</w:t>
      </w:r>
    </w:p>
    <w:p>
      <w:r>
        <w:rPr>
          <w:b/>
          <w:u w:val="single"/>
        </w:rPr>
        <w:t>Standard Analysis</w:t>
      </w:r>
    </w:p>
    <w:p>
      <w:pPr>
        <w:rPr>
          <w:szCs w:val="24"/>
        </w:rPr>
      </w:pPr>
      <w:r>
        <w:t>Since most Federal Reference Method (FRM) PM</w:t>
      </w:r>
      <w:r>
        <w:rPr>
          <w:vertAlign w:val="subscript"/>
        </w:rPr>
        <w:t xml:space="preserve">2.5 </w:t>
      </w:r>
      <w:r>
        <w:t>monitoring sites do not have collocated chemical speciation monitors, spatial interpolation is used to estimate species data at FRM PM</w:t>
      </w:r>
      <w:r>
        <w:rPr>
          <w:vertAlign w:val="subscript"/>
        </w:rPr>
        <w:t>2.5</w:t>
      </w:r>
      <w:r>
        <w:t xml:space="preserve"> monitor locations. SMAT-CE provides options to use different methods for spatially interpolating chemical speciation information to the FRM monitors. These options are available from the </w:t>
      </w:r>
      <w:r>
        <w:rPr>
          <w:b/>
        </w:rPr>
        <w:t>PM</w:t>
      </w:r>
      <w:r>
        <w:rPr>
          <w:b/>
          <w:vertAlign w:val="subscript"/>
        </w:rPr>
        <w:t>2.5</w:t>
      </w:r>
      <w:r>
        <w:rPr>
          <w:b/>
        </w:rPr>
        <w:t xml:space="preserve"> Calculation Options</w:t>
      </w:r>
      <w:r>
        <w:t xml:space="preserve"> configuration window. Complete details of the Standard Analysis approach, including the formula used to calculate species concentrations, are available in the U.S. EPA </w:t>
      </w:r>
      <w:r>
        <w:rPr>
          <w:szCs w:val="24"/>
        </w:rPr>
        <w:t>Draft Modeling Guidance for</w:t>
      </w:r>
      <w:r>
        <w:t xml:space="preserve"> </w:t>
      </w:r>
      <w:r>
        <w:rPr>
          <w:szCs w:val="24"/>
        </w:rPr>
        <w:t>Attainment of Air Quality Goals for Ozone, PM</w:t>
      </w:r>
      <w:r>
        <w:rPr>
          <w:szCs w:val="24"/>
          <w:vertAlign w:val="subscript"/>
        </w:rPr>
        <w:t>2.5</w:t>
      </w:r>
      <w:r>
        <w:rPr>
          <w:szCs w:val="24"/>
        </w:rPr>
        <w:t xml:space="preserve">, and Regional Haze (U.S. EPA, 2014) and in Section 7.1.2 of the MATS User’s Manual (Abt, 2014). </w:t>
      </w:r>
    </w:p>
    <w:p>
      <w:r>
        <w:t>Most SMAT-CE users will run the standard analysis and it is checked by default.</w:t>
      </w:r>
    </w:p>
    <w:p>
      <w:pPr>
        <w:autoSpaceDE w:val="0"/>
        <w:autoSpaceDN w:val="0"/>
        <w:adjustRightInd w:val="0"/>
        <w:jc w:val="left"/>
        <w:rPr>
          <w:b/>
        </w:rPr>
      </w:pPr>
      <w:r>
        <w:rPr>
          <w:b/>
          <w:u w:val="single"/>
        </w:rPr>
        <w:t>Quarterly Peak Model Data</w:t>
      </w:r>
    </w:p>
    <w:p>
      <w:pPr>
        <w:rPr>
          <w:rFonts w:ascii="Helvetica" w:hAnsi="Helvetica"/>
          <w:kern w:val="0"/>
          <w:sz w:val="18"/>
          <w:szCs w:val="18"/>
          <w:lang w:eastAsia="en-US"/>
        </w:rPr>
      </w:pPr>
      <w:r>
        <w:t xml:space="preserve">SMAT-CE requires two types of </w:t>
      </w:r>
      <w:r>
        <w:rPr>
          <w:color w:val="000000" w:themeColor="text1"/>
          <w14:textFill>
            <w14:solidFill>
              <w14:schemeClr w14:val="tx1"/>
            </w14:solidFill>
          </w14:textFill>
        </w:rPr>
        <w:t>data input</w:t>
      </w:r>
      <w:r>
        <w:t>: ambient monitor data and gridded model output data. For the daily PM</w:t>
      </w:r>
      <w:r>
        <w:rPr>
          <w:vertAlign w:val="subscript"/>
        </w:rPr>
        <w:t>2.5</w:t>
      </w:r>
      <w:r>
        <w:t xml:space="preserve"> calculations, SMAT-CE will accept</w:t>
      </w:r>
      <w:r>
        <w:rPr>
          <w:rFonts w:ascii="Helvetica" w:hAnsi="Helvetica"/>
          <w:kern w:val="0"/>
          <w:sz w:val="18"/>
          <w:szCs w:val="18"/>
          <w:lang w:eastAsia="en-US"/>
        </w:rPr>
        <w:t xml:space="preserve"> </w:t>
      </w:r>
      <w:r>
        <w:t>either SMAT-CE formatted daily average gridded model files or quarterly peak average files.</w:t>
      </w:r>
    </w:p>
    <w:p>
      <w:r>
        <w:t>If daily average model files are used as inputs, SMAT-CE will calculate quarterly peak averages from the daily averages and optionally output the quarterly peak average concentrations into text files (CSV files). The quarterly average text files can then be re-used in subsequent SMAT-CE analyses. Quarterly average input files are smaller and run faster than daily average files. Choosing this option will direct SMAT-CE to generate two types of quarterly peak average model concentration CSV files:</w:t>
      </w:r>
    </w:p>
    <w:p>
      <w:pPr>
        <w:pStyle w:val="42"/>
        <w:numPr>
          <w:ilvl w:val="0"/>
          <w:numId w:val="19"/>
        </w:numPr>
        <w:ind w:firstLineChars="0"/>
      </w:pPr>
      <w:r>
        <w:rPr>
          <w:i/>
        </w:rPr>
        <w:t>All Data</w:t>
      </w:r>
      <w:r>
        <w:t>. SMAT-CE outputs quarterly peak data for all grid cells in the modeling domain. SMAT</w:t>
      </w:r>
      <w:r>
        <w:rPr>
          <w:rFonts w:hint="eastAsia"/>
        </w:rPr>
        <w:t>-CE</w:t>
      </w:r>
      <w:r>
        <w:t xml:space="preserve"> will create one baseline year file and one future year file. This will create relatively large files, but they will still be much smaller than daily average files.</w:t>
      </w:r>
    </w:p>
    <w:p>
      <w:pPr>
        <w:pStyle w:val="42"/>
        <w:numPr>
          <w:ilvl w:val="0"/>
          <w:numId w:val="19"/>
        </w:numPr>
        <w:ind w:firstLineChars="0"/>
      </w:pPr>
      <w:r>
        <w:rPr>
          <w:i/>
        </w:rPr>
        <w:t>Used Data</w:t>
      </w:r>
      <w:r>
        <w:t>. SMAT-CE outputs quarterly peak data for the grid cells that are subsequently used in the particular SMAT-CE configuration. For example, if SMAT-CE calculates future year design values at 20 FRM sites using a 1x1 grid array, then SMAT-CE will output base and future model values for only 20 grid cells (assuming each monitor is in a unique grid cell). The advantage of these files is that they are extremely small. But if subsequent SMAT-CE runs use a different set of monitors or grid arrays, then the files may not contain all of the necessary data to complete the analysis. This option is recommended as a QA tool to examine the grid cells and the model concentrations that MATS is using in the analysis.</w:t>
      </w:r>
    </w:p>
    <w:p>
      <w:r>
        <w:t xml:space="preserve">Additional details of the Quarterly Peak Model Data option are available in </w:t>
      </w:r>
      <w:r>
        <w:rPr>
          <w:szCs w:val="24"/>
        </w:rPr>
        <w:t>Section 7.1.3 of the MATS User’s Manual (Abt, 2014).</w:t>
      </w:r>
    </w:p>
    <w:p>
      <w:pPr>
        <w:autoSpaceDE w:val="0"/>
        <w:autoSpaceDN w:val="0"/>
        <w:adjustRightInd w:val="0"/>
        <w:jc w:val="left"/>
        <w:rPr>
          <w:b/>
          <w:u w:val="single"/>
        </w:rPr>
      </w:pPr>
      <w:r>
        <w:rPr>
          <w:b/>
          <w:u w:val="single"/>
        </w:rPr>
        <w:t>Species Fraction</w:t>
      </w:r>
    </w:p>
    <w:p>
      <w:pPr>
        <w:rPr>
          <w:rFonts w:ascii="Helvetica" w:hAnsi="Helvetica"/>
          <w:kern w:val="0"/>
          <w:sz w:val="18"/>
          <w:szCs w:val="18"/>
          <w:lang w:eastAsia="en-US"/>
        </w:rPr>
      </w:pPr>
      <w:r>
        <w:t>Checking the “Output species fraction file” box will create an output</w:t>
      </w:r>
      <w:r>
        <w:rPr>
          <w:rFonts w:ascii="Helvetica" w:hAnsi="Helvetica"/>
          <w:kern w:val="0"/>
          <w:sz w:val="18"/>
          <w:szCs w:val="18"/>
          <w:lang w:eastAsia="en-US"/>
        </w:rPr>
        <w:t xml:space="preserve"> </w:t>
      </w:r>
      <w:r>
        <w:t>file containing the calculated PM</w:t>
      </w:r>
      <w:r>
        <w:rPr>
          <w:vertAlign w:val="subscript"/>
        </w:rPr>
        <w:t xml:space="preserve">2.5 </w:t>
      </w:r>
      <w:r>
        <w:t>species fractions at each FRM site used by SMAT-CE. Species fractions are simply the fraction of quarterly average PM</w:t>
      </w:r>
      <w:r>
        <w:rPr>
          <w:vertAlign w:val="subscript"/>
        </w:rPr>
        <w:t xml:space="preserve">2.5 </w:t>
      </w:r>
      <w:r>
        <w:t>at a given monitor</w:t>
      </w:r>
      <w:r>
        <w:rPr>
          <w:rFonts w:ascii="Helvetica" w:hAnsi="Helvetica"/>
          <w:kern w:val="0"/>
          <w:sz w:val="18"/>
          <w:szCs w:val="18"/>
          <w:lang w:eastAsia="en-US"/>
        </w:rPr>
        <w:t xml:space="preserve"> </w:t>
      </w:r>
      <w:r>
        <w:t>attributable to seven (and potentially eight) species: nitrate (NO</w:t>
      </w:r>
      <w:r>
        <w:rPr>
          <w:vertAlign w:val="subscript"/>
        </w:rPr>
        <w:t>3</w:t>
      </w:r>
      <w:r>
        <w:t>), sulfate (SO</w:t>
      </w:r>
      <w:r>
        <w:rPr>
          <w:vertAlign w:val="subscript"/>
        </w:rPr>
        <w:t>4</w:t>
      </w:r>
      <w:r>
        <w:t>), organic</w:t>
      </w:r>
      <w:r>
        <w:rPr>
          <w:rFonts w:ascii="Helvetica" w:hAnsi="Helvetica"/>
          <w:kern w:val="0"/>
          <w:sz w:val="18"/>
          <w:szCs w:val="18"/>
          <w:lang w:eastAsia="en-US"/>
        </w:rPr>
        <w:t xml:space="preserve"> </w:t>
      </w:r>
      <w:r>
        <w:t>carbon (OC), crustal, elemental carbon (EC), ammonium (NH</w:t>
      </w:r>
      <w:r>
        <w:rPr>
          <w:vertAlign w:val="subscript"/>
        </w:rPr>
        <w:t>4</w:t>
      </w:r>
      <w:r>
        <w:t>), and particle-bound water</w:t>
      </w:r>
      <w:r>
        <w:rPr>
          <w:rFonts w:ascii="Helvetica" w:hAnsi="Helvetica"/>
          <w:kern w:val="0"/>
          <w:sz w:val="18"/>
          <w:szCs w:val="18"/>
          <w:lang w:eastAsia="en-US"/>
        </w:rPr>
        <w:t xml:space="preserve"> </w:t>
      </w:r>
      <w:r>
        <w:t>(PBW). And pending data availability, sea salt can be included as well. While the default SMAT-CE species files include sea salt data, it is an optional species in the model</w:t>
      </w:r>
      <w:r>
        <w:rPr>
          <w:rFonts w:ascii="Helvetica" w:hAnsi="Helvetica"/>
          <w:kern w:val="0"/>
          <w:sz w:val="18"/>
          <w:szCs w:val="18"/>
          <w:lang w:eastAsia="en-US"/>
        </w:rPr>
        <w:t xml:space="preserve"> </w:t>
      </w:r>
      <w:r>
        <w:t>files. If base and future year modeled sea salt data are available, a sea salt RRF will be calculated by SMAT-CE.</w:t>
      </w:r>
      <w:r>
        <w:rPr>
          <w:rFonts w:ascii="Helvetica" w:hAnsi="Helvetica"/>
          <w:kern w:val="0"/>
          <w:sz w:val="18"/>
          <w:szCs w:val="18"/>
          <w:lang w:eastAsia="en-US"/>
        </w:rPr>
        <w:t xml:space="preserve"> </w:t>
      </w:r>
      <w:r>
        <w:t>If the salt data are not available in the model files, then the sea salt RRF will be set to 1.</w:t>
      </w:r>
    </w:p>
    <w:p>
      <w:r>
        <w:t>This species fraction file can be re-used in SMAT-CE as an input file. The species fraction file can be useful for several reasons. Using a species fraction file saves time because</w:t>
      </w:r>
      <w:r>
        <w:rPr>
          <w:rFonts w:ascii="Helvetica" w:hAnsi="Helvetica"/>
          <w:kern w:val="0"/>
          <w:sz w:val="18"/>
          <w:szCs w:val="18"/>
          <w:lang w:eastAsia="en-US"/>
        </w:rPr>
        <w:t xml:space="preserve"> </w:t>
      </w:r>
      <w:r>
        <w:t>SMAT-CE won’t have to interpolate species data and calculate fractions each time it is run. This file can provide consistency between SMAT-CE runs by ensuring that the same species fractions are used each time. And for the same reason, the species fraction file can be used interchangeably between different users to ensure that multiple groups are using the same species fractions (if that is a goal). And finally, the fractions file can serve as a template for creating a custom species fractions file using whatever data and techniques (e.g., alternative interpolation techniques) are desired by any particular user.</w:t>
      </w:r>
    </w:p>
    <w:p>
      <w:pPr>
        <w:autoSpaceDE w:val="0"/>
        <w:autoSpaceDN w:val="0"/>
        <w:adjustRightInd w:val="0"/>
        <w:jc w:val="left"/>
        <w:rPr>
          <w:b/>
        </w:rPr>
      </w:pPr>
      <w:r>
        <w:t xml:space="preserve">Additional details of the Species Fractions calculation are available in </w:t>
      </w:r>
      <w:r>
        <w:rPr>
          <w:szCs w:val="24"/>
        </w:rPr>
        <w:t>Section 7.1.4 of the MATS User’s Manual (Abt, 2014).</w:t>
      </w:r>
    </w:p>
    <w:p>
      <w:pPr>
        <w:autoSpaceDE w:val="0"/>
        <w:autoSpaceDN w:val="0"/>
        <w:adjustRightInd w:val="0"/>
        <w:rPr>
          <w:rFonts w:cs="Times New Roman"/>
          <w:color w:val="000000"/>
          <w:kern w:val="0"/>
          <w:sz w:val="22"/>
        </w:rPr>
      </w:pPr>
      <w:r>
        <w:rPr>
          <w:b/>
          <w:u w:val="single"/>
        </w:rPr>
        <w:t>Actions on Run Completion</w:t>
      </w:r>
    </w:p>
    <w:p>
      <w:r>
        <w:t>Checking the “Automatically Extract All Selected Output Files” box will export CSV files of all selected output to a separate folder named with the Project Name in the SMAT</w:t>
      </w:r>
      <w:r>
        <w:rPr>
          <w:rFonts w:hint="eastAsia"/>
        </w:rPr>
        <w:t xml:space="preserve"> </w:t>
      </w:r>
      <w:r>
        <w:t>"</w:t>
      </w:r>
      <w:r>
        <w:rPr>
          <w:rFonts w:hint="eastAsia"/>
        </w:rPr>
        <w:t>\Result\</w:t>
      </w:r>
      <w:r>
        <w:t xml:space="preserve">Output" folder. The results may also be exported later from the </w:t>
      </w:r>
      <w:r>
        <w:rPr>
          <w:rFonts w:hint="eastAsia"/>
          <w:b/>
        </w:rPr>
        <w:t>Data Viewer</w:t>
      </w:r>
      <w:r>
        <w:t>.</w:t>
      </w:r>
    </w:p>
    <w:p>
      <w:pPr>
        <w:pStyle w:val="4"/>
      </w:pPr>
      <w:r>
        <w:t>Run the Eastern U.S. Example</w:t>
      </w:r>
    </w:p>
    <w:p>
      <w:r>
        <w:t xml:space="preserve">The default settings for these options, and the configuration to use for the Eastern U.S. example project, is to check all of the boxes in the SMAT-CE </w:t>
      </w:r>
      <w:r>
        <w:rPr>
          <w:b/>
        </w:rPr>
        <w:t>Choose Desired Output</w:t>
      </w:r>
      <w:r>
        <w:t xml:space="preserve"> window. After setting a Project Name and selecting all of the boxes in the window either click </w:t>
      </w:r>
      <w:r>
        <w:rPr>
          <w:lang w:eastAsia="en-US"/>
        </w:rPr>
        <w:t xml:space="preserve">Next </w:t>
      </w:r>
      <w:r>
        <w:t xml:space="preserve">or double-click the </w:t>
      </w:r>
      <w:r>
        <w:rPr>
          <w:b/>
          <w:bCs/>
        </w:rPr>
        <w:t>Output Choices-Advanced</w:t>
      </w:r>
      <w:r>
        <w:t xml:space="preserve"> button in the upper left-hand panel of </w:t>
      </w:r>
      <w:r>
        <w:rPr>
          <w:b/>
        </w:rPr>
        <w:t>Daily PM Analysis</w:t>
      </w:r>
      <w:r>
        <w:t xml:space="preserve"> window. The icon next to </w:t>
      </w:r>
      <w:r>
        <w:rPr>
          <w:b/>
          <w:bCs/>
        </w:rPr>
        <w:t xml:space="preserve">Choose Desired Output </w:t>
      </w:r>
      <w:r>
        <w:t>will turn from yellow to green, indicating that this step is complete.</w:t>
      </w:r>
    </w:p>
    <w:p>
      <w:pPr>
        <w:pStyle w:val="3"/>
      </w:pPr>
      <w:bookmarkStart w:id="289" w:name="_Toc476653939"/>
      <w:bookmarkStart w:id="290" w:name="_Toc119010875"/>
      <w:bookmarkStart w:id="291" w:name="_Toc15143"/>
      <w:bookmarkStart w:id="292" w:name="_Toc476654840"/>
      <w:bookmarkStart w:id="293" w:name="_Toc476654462"/>
      <w:r>
        <w:rPr>
          <w:rFonts w:hint="eastAsia"/>
        </w:rPr>
        <w:t>Output Choices</w:t>
      </w:r>
      <w:r>
        <w:t>–</w:t>
      </w:r>
      <w:r>
        <w:rPr>
          <w:rFonts w:hint="eastAsia"/>
        </w:rPr>
        <w:t>Advanced</w:t>
      </w:r>
      <w:bookmarkEnd w:id="289"/>
      <w:bookmarkEnd w:id="290"/>
      <w:bookmarkEnd w:id="291"/>
      <w:bookmarkEnd w:id="292"/>
      <w:bookmarkEnd w:id="293"/>
    </w:p>
    <w:p>
      <w:pPr>
        <w:keepNext/>
      </w:pPr>
      <w:r>
        <w:rPr>
          <w:rFonts w:cs="Times New Roman"/>
          <w:color w:val="000000"/>
          <w:sz w:val="22"/>
          <w:lang w:eastAsia="en-US"/>
        </w:rPr>
        <w:drawing>
          <wp:inline distT="0" distB="0" distL="0" distR="0">
            <wp:extent cx="5267325" cy="3667125"/>
            <wp:effectExtent l="0" t="0" r="9525" b="0"/>
            <wp:docPr id="5" name="图片 81" descr="C:\Users\Administrator\Desktop\help\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1" descr="C:\Users\Administrator\Desktop\help\3.2.2-1.jpg"/>
                    <pic:cNvPicPr>
                      <a:picLocks noChangeAspect="1" noChangeArrowheads="1"/>
                    </pic:cNvPicPr>
                  </pic:nvPicPr>
                  <pic:blipFill>
                    <a:blip r:embed="rId32">
                      <a:extLst>
                        <a:ext uri="{28A0092B-C50C-407E-A947-70E740481C1C}">
                          <a14:useLocalDpi xmlns:a14="http://schemas.microsoft.com/office/drawing/2010/main" val="0"/>
                        </a:ext>
                      </a:extLst>
                    </a:blip>
                    <a:srcRect t="4315"/>
                    <a:stretch>
                      <a:fillRect/>
                    </a:stretch>
                  </pic:blipFill>
                  <pic:spPr>
                    <a:xfrm>
                      <a:off x="0" y="0"/>
                      <a:ext cx="5274310" cy="3671839"/>
                    </a:xfrm>
                    <a:prstGeom prst="rect">
                      <a:avLst/>
                    </a:prstGeom>
                    <a:noFill/>
                    <a:ln>
                      <a:noFill/>
                    </a:ln>
                  </pic:spPr>
                </pic:pic>
              </a:graphicData>
            </a:graphic>
          </wp:inline>
        </w:drawing>
      </w:r>
    </w:p>
    <w:p>
      <w:pPr>
        <w:pStyle w:val="12"/>
        <w:rPr>
          <w:b w:val="0"/>
          <w:bCs/>
          <w:i/>
          <w:iCs/>
        </w:rPr>
      </w:pPr>
      <w:bookmarkStart w:id="294" w:name="_Ref474844003"/>
      <w:bookmarkStart w:id="295" w:name="_Toc6187"/>
      <w:bookmarkStart w:id="296" w:name="_Toc17611"/>
      <w:bookmarkStart w:id="297" w:name="_Toc119010917"/>
      <w:bookmarkStart w:id="298" w:name="_Toc1075"/>
      <w:bookmarkStart w:id="299" w:name="_Toc7909"/>
      <w:bookmarkStart w:id="300" w:name="_Toc476654225"/>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7</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3</w:t>
      </w:r>
      <w:r>
        <w:rPr>
          <w:b w:val="0"/>
          <w:bCs/>
          <w:i/>
          <w:iCs/>
        </w:rPr>
        <w:fldChar w:fldCharType="end"/>
      </w:r>
      <w:bookmarkEnd w:id="294"/>
      <w:bookmarkStart w:id="301" w:name="_Toc16284"/>
      <w:r>
        <w:rPr>
          <w:b w:val="0"/>
          <w:bCs/>
          <w:i/>
          <w:iCs/>
        </w:rPr>
        <w:t>.Output Choices-Advanced for Daily PM</w:t>
      </w:r>
      <w:r>
        <w:rPr>
          <w:b w:val="0"/>
          <w:bCs/>
          <w:i/>
          <w:iCs/>
          <w:vertAlign w:val="subscript"/>
        </w:rPr>
        <w:t xml:space="preserve">2.5 </w:t>
      </w:r>
      <w:r>
        <w:rPr>
          <w:b w:val="0"/>
          <w:bCs/>
          <w:i/>
          <w:iCs/>
        </w:rPr>
        <w:t>Analysis</w:t>
      </w:r>
      <w:bookmarkEnd w:id="295"/>
      <w:bookmarkEnd w:id="296"/>
      <w:bookmarkEnd w:id="297"/>
      <w:bookmarkEnd w:id="298"/>
      <w:bookmarkEnd w:id="299"/>
      <w:bookmarkEnd w:id="300"/>
      <w:bookmarkEnd w:id="301"/>
    </w:p>
    <w:p>
      <w:r>
        <w:t xml:space="preserve">The </w:t>
      </w:r>
      <w:r>
        <w:rPr>
          <w:b/>
        </w:rPr>
        <w:t>Output Choices–Advanced</w:t>
      </w:r>
      <w:r>
        <w:t xml:space="preserve"> configuration step provides detailed control over the calculations, output, and quality assurance fields used by SMAT-CE (</w:t>
      </w:r>
      <w:r>
        <w:fldChar w:fldCharType="begin"/>
      </w:r>
      <w:r>
        <w:instrText xml:space="preserve"> REF _Ref474844003 \h </w:instrText>
      </w:r>
      <w:r>
        <w:fldChar w:fldCharType="separate"/>
      </w:r>
      <w:r>
        <w:rPr>
          <w:bCs/>
          <w:i/>
          <w:iCs/>
        </w:rPr>
        <w:t xml:space="preserve">Figure </w:t>
      </w:r>
      <w:r>
        <w:rPr>
          <w:b/>
          <w:bCs/>
          <w:i/>
          <w:iCs/>
        </w:rPr>
        <w:t>7</w:t>
      </w:r>
      <w:r>
        <w:rPr>
          <w:bCs/>
          <w:i/>
          <w:iCs/>
        </w:rPr>
        <w:noBreakHyphen/>
      </w:r>
      <w:r>
        <w:rPr>
          <w:b/>
          <w:bCs/>
          <w:i/>
          <w:iCs/>
        </w:rPr>
        <w:t>3</w:t>
      </w:r>
      <w:r>
        <w:fldChar w:fldCharType="end"/>
      </w:r>
      <w:r>
        <w:t>). The blue hyperlinked text in this window brings up the documentation for this configuration step. All of the settings in this step are organized under the “Miscellaneous Outputs” heading and include the following.</w:t>
      </w:r>
    </w:p>
    <w:p>
      <w:pPr>
        <w:rPr>
          <w:b/>
          <w:u w:val="single"/>
        </w:rPr>
      </w:pPr>
      <w:r>
        <w:rPr>
          <w:b/>
          <w:u w:val="single"/>
        </w:rPr>
        <w:t>Quarterly Average Files</w:t>
      </w:r>
    </w:p>
    <w:p>
      <w:r>
        <w:t>SMAT-CE outputs by default the 98th percentile design values, which are</w:t>
      </w:r>
      <w:r>
        <w:rPr>
          <w:rFonts w:ascii="Helvetica" w:hAnsi="Helvetica"/>
          <w:kern w:val="0"/>
          <w:sz w:val="18"/>
          <w:szCs w:val="18"/>
          <w:lang w:eastAsia="en-US"/>
        </w:rPr>
        <w:t xml:space="preserve"> </w:t>
      </w:r>
      <w:r>
        <w:t xml:space="preserve">based on a weighted average of five years of data. Checking the </w:t>
      </w:r>
      <w:r>
        <w:rPr>
          <w:b/>
        </w:rPr>
        <w:t>Point</w:t>
      </w:r>
      <w:r>
        <w:t xml:space="preserve"> box under </w:t>
      </w:r>
      <w:r>
        <w:rPr>
          <w:b/>
        </w:rPr>
        <w:t>Quarterly average files</w:t>
      </w:r>
      <w:r>
        <w:t xml:space="preserve"> will direct SMAT-CE to output detailed parameters from the peak calculations that are the basis of all of the PM design value calculations. Two additional files are output by SMAT-CE when this option is selected:</w:t>
      </w:r>
    </w:p>
    <w:p>
      <w:pPr>
        <w:pStyle w:val="42"/>
        <w:numPr>
          <w:ilvl w:val="0"/>
          <w:numId w:val="20"/>
        </w:numPr>
        <w:ind w:firstLineChars="0"/>
      </w:pPr>
      <w:r>
        <w:rPr>
          <w:i/>
        </w:rPr>
        <w:t>Daily All Years All Days PM</w:t>
      </w:r>
      <w:r>
        <w:rPr>
          <w:i/>
          <w:vertAlign w:val="subscript"/>
        </w:rPr>
        <w:t>2.5</w:t>
      </w:r>
      <w:r>
        <w:rPr>
          <w:i/>
        </w:rPr>
        <w:t xml:space="preserve"> Point</w:t>
      </w:r>
      <w:r>
        <w:t>. This file has baseline and future values for the Top 32 ranked PM</w:t>
      </w:r>
      <w:r>
        <w:rPr>
          <w:vertAlign w:val="subscript"/>
        </w:rPr>
        <w:t xml:space="preserve">2.5 </w:t>
      </w:r>
      <w:r>
        <w:t>values and constituent species. In addition, it gives the speciated RRFs.</w:t>
      </w:r>
    </w:p>
    <w:p>
      <w:pPr>
        <w:pStyle w:val="42"/>
        <w:numPr>
          <w:ilvl w:val="0"/>
          <w:numId w:val="20"/>
        </w:numPr>
        <w:ind w:firstLineChars="0"/>
        <w:rPr>
          <w:b/>
          <w:u w:val="single"/>
        </w:rPr>
      </w:pPr>
      <w:r>
        <w:rPr>
          <w:i/>
        </w:rPr>
        <w:t>Daily All Years High Days PM</w:t>
      </w:r>
      <w:r>
        <w:rPr>
          <w:i/>
          <w:vertAlign w:val="subscript"/>
        </w:rPr>
        <w:t>2.5</w:t>
      </w:r>
      <w:r>
        <w:rPr>
          <w:i/>
        </w:rPr>
        <w:t xml:space="preserve"> Point</w:t>
      </w:r>
      <w:r>
        <w:t>. This file identifies the 98th percentile PM</w:t>
      </w:r>
      <w:r>
        <w:rPr>
          <w:vertAlign w:val="subscript"/>
        </w:rPr>
        <w:t xml:space="preserve">2.5 </w:t>
      </w:r>
      <w:r>
        <w:t>value in the baseline and future for each year at each monitor. Note that the baseline and future quarters and days may differ.</w:t>
      </w:r>
    </w:p>
    <w:p>
      <w:pPr>
        <w:rPr>
          <w:b/>
          <w:u w:val="single"/>
        </w:rPr>
      </w:pPr>
      <w:r>
        <w:rPr>
          <w:b/>
          <w:u w:val="single"/>
        </w:rPr>
        <w:t>High County Sites</w:t>
      </w:r>
    </w:p>
    <w:p>
      <w:pPr>
        <w:rPr>
          <w:rFonts w:ascii="Helvetica" w:hAnsi="Helvetica"/>
          <w:kern w:val="0"/>
          <w:sz w:val="18"/>
          <w:szCs w:val="18"/>
          <w:lang w:eastAsia="en-US"/>
        </w:rPr>
      </w:pPr>
      <w:r>
        <w:t>Augments the SMAT-CE default of outputting the point results for all FRM sites. Checking this box will also produce a file that contains the single highest monitor in each county, based on the highest future year value. This dataset is a subset of the all-sites file.</w:t>
      </w:r>
    </w:p>
    <w:p>
      <w:pPr>
        <w:rPr>
          <w:b/>
          <w:u w:val="single"/>
        </w:rPr>
      </w:pPr>
      <w:r>
        <w:rPr>
          <w:b/>
          <w:u w:val="single"/>
        </w:rPr>
        <w:t>Quarterly Average Speciated Monitors</w:t>
      </w:r>
    </w:p>
    <w:p>
      <w:r>
        <w:t>Directs SMAT-CE to produce a file with the raw quarterly average speciated data that were used to interpolate species fractions to the FRM monitors. These data are derived from the “species for fractions” input file.</w:t>
      </w:r>
    </w:p>
    <w:p>
      <w:pPr>
        <w:rPr>
          <w:b/>
          <w:u w:val="single"/>
        </w:rPr>
      </w:pPr>
      <w:r>
        <w:rPr>
          <w:b/>
          <w:u w:val="single"/>
        </w:rPr>
        <w:t>Design Values Periods</w:t>
      </w:r>
    </w:p>
    <w:p>
      <w:pPr>
        <w:rPr>
          <w:rFonts w:ascii="Helvetica" w:hAnsi="Helvetica"/>
          <w:kern w:val="0"/>
          <w:sz w:val="18"/>
          <w:szCs w:val="18"/>
          <w:lang w:eastAsia="en-US"/>
        </w:rPr>
      </w:pPr>
      <w:r>
        <w:rPr>
          <w:color w:val="000000" w:themeColor="text1"/>
          <w14:textFill>
            <w14:solidFill>
              <w14:schemeClr w14:val="tx1"/>
            </w14:solidFill>
          </w14:textFill>
        </w:rPr>
        <w:t>Directs SMAT-CE</w:t>
      </w:r>
      <w:r>
        <w:rPr>
          <w:color w:val="0000FF"/>
        </w:rPr>
        <w:t xml:space="preserve"> </w:t>
      </w:r>
      <w:r>
        <w:t>to produce a file with the standard SMAT-CE output for each design period within the period covered by the analysis. By default, SMAT-CE outputs one set of files covering the entire analysis period specified</w:t>
      </w:r>
      <w:r>
        <w:rPr>
          <w:rFonts w:ascii="Helvetica" w:hAnsi="Helvetica"/>
          <w:kern w:val="0"/>
          <w:sz w:val="18"/>
          <w:szCs w:val="18"/>
          <w:lang w:eastAsia="en-US"/>
        </w:rPr>
        <w:t xml:space="preserve"> </w:t>
      </w:r>
      <w:r>
        <w:t>by the user. The outputs represent the averages of the values for each 3-year design value period. If the "Output design value periods" option is checked, SMAT-CE will produce discrete outputs for each design value period. The output files will be the same as a standard analysis, but with "Period 1", "Period 2", etc., attached at the end of the name. Selecting this option will increase the SMAT-CE run time.</w:t>
      </w:r>
    </w:p>
    <w:p>
      <w:pPr>
        <w:rPr>
          <w:b/>
          <w:u w:val="single"/>
        </w:rPr>
      </w:pPr>
      <w:r>
        <w:rPr>
          <w:b/>
          <w:u w:val="single"/>
        </w:rPr>
        <w:t>Neighbor Files</w:t>
      </w:r>
    </w:p>
    <w:p>
      <w:r>
        <w:t>Directs SMAT-CE to produce files of “nearest neighbor” data for the VNA interpolation scheme. The data include the distance to neighbor monitors and weights used to do the interpolations. This option will generate information for each FRM monitor (for point analyses) or each grid cell (for spatial fields) for each quarter and for each species.</w:t>
      </w:r>
    </w:p>
    <w:p>
      <w:r>
        <w:t xml:space="preserve">Additional details of the Output Choices – Advanced options, including the formats of the output files from this step, are available in </w:t>
      </w:r>
      <w:r>
        <w:rPr>
          <w:szCs w:val="24"/>
        </w:rPr>
        <w:t>Section 7.2 of the MATS User’s Manual (Abt, 2014).</w:t>
      </w:r>
    </w:p>
    <w:p>
      <w:pPr>
        <w:pStyle w:val="4"/>
        <w:rPr>
          <w:kern w:val="0"/>
          <w:szCs w:val="24"/>
          <w:lang w:eastAsia="en-US"/>
        </w:rPr>
      </w:pPr>
      <w:r>
        <w:t>Run the Eastern U.S. Example</w:t>
      </w:r>
    </w:p>
    <w:p>
      <w:r>
        <w:t xml:space="preserve">Use the default settings for these options for the Eastern U.S. example project. Either click </w:t>
      </w:r>
      <w:r>
        <w:rPr>
          <w:lang w:eastAsia="en-US"/>
        </w:rPr>
        <w:t xml:space="preserve">Next </w:t>
      </w:r>
      <w:r>
        <w:t xml:space="preserve">or double-click the </w:t>
      </w:r>
      <w:r>
        <w:rPr>
          <w:b/>
          <w:bCs/>
        </w:rPr>
        <w:t>Data Input</w:t>
      </w:r>
      <w:r>
        <w:t xml:space="preserve"> button in the upper left-hand panel of the </w:t>
      </w:r>
      <w:r>
        <w:rPr>
          <w:b/>
        </w:rPr>
        <w:t>Daily PM Analysis</w:t>
      </w:r>
      <w:r>
        <w:t xml:space="preserve"> window. The button next to </w:t>
      </w:r>
      <w:r>
        <w:rPr>
          <w:b/>
          <w:bCs/>
        </w:rPr>
        <w:t xml:space="preserve">Output Choices-Advanced </w:t>
      </w:r>
      <w:r>
        <w:t>will turn from yellow to green, indicating that this step is complete.</w:t>
      </w:r>
    </w:p>
    <w:p>
      <w:pPr>
        <w:pStyle w:val="3"/>
      </w:pPr>
      <w:bookmarkStart w:id="302" w:name="_Toc119010876"/>
      <w:bookmarkStart w:id="303" w:name="_Toc21077"/>
      <w:bookmarkStart w:id="304" w:name="_Ref339131153"/>
      <w:bookmarkStart w:id="305" w:name="_Toc476653940"/>
      <w:bookmarkStart w:id="306" w:name="_Toc476654463"/>
      <w:bookmarkStart w:id="307" w:name="_Toc476654841"/>
      <w:r>
        <w:rPr>
          <w:rFonts w:hint="eastAsia"/>
        </w:rPr>
        <w:t>Data Input</w:t>
      </w:r>
      <w:bookmarkEnd w:id="302"/>
      <w:bookmarkEnd w:id="303"/>
      <w:bookmarkEnd w:id="304"/>
      <w:bookmarkEnd w:id="305"/>
      <w:bookmarkEnd w:id="306"/>
      <w:bookmarkEnd w:id="307"/>
    </w:p>
    <w:p>
      <w:pPr>
        <w:keepNext/>
      </w:pPr>
      <w:r>
        <w:rPr>
          <w:lang w:eastAsia="en-US"/>
        </w:rPr>
        <w:drawing>
          <wp:inline distT="0" distB="0" distL="0" distR="0">
            <wp:extent cx="5267325" cy="3696335"/>
            <wp:effectExtent l="0" t="0" r="9525" b="0"/>
            <wp:docPr id="84" name="图片 84" descr="C:\Users\Administrator\Desktop\help\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Users\Administrator\Desktop\help\3.2.3-1.jpg"/>
                    <pic:cNvPicPr>
                      <a:picLocks noChangeAspect="1" noChangeArrowheads="1"/>
                    </pic:cNvPicPr>
                  </pic:nvPicPr>
                  <pic:blipFill>
                    <a:blip r:embed="rId33">
                      <a:extLst>
                        <a:ext uri="{28A0092B-C50C-407E-A947-70E740481C1C}">
                          <a14:useLocalDpi xmlns:a14="http://schemas.microsoft.com/office/drawing/2010/main" val="0"/>
                        </a:ext>
                      </a:extLst>
                    </a:blip>
                    <a:srcRect t="3553"/>
                    <a:stretch>
                      <a:fillRect/>
                    </a:stretch>
                  </pic:blipFill>
                  <pic:spPr>
                    <a:xfrm>
                      <a:off x="0" y="0"/>
                      <a:ext cx="5274310" cy="3701057"/>
                    </a:xfrm>
                    <a:prstGeom prst="rect">
                      <a:avLst/>
                    </a:prstGeom>
                    <a:noFill/>
                    <a:ln>
                      <a:noFill/>
                    </a:ln>
                  </pic:spPr>
                </pic:pic>
              </a:graphicData>
            </a:graphic>
          </wp:inline>
        </w:drawing>
      </w:r>
    </w:p>
    <w:p>
      <w:pPr>
        <w:pStyle w:val="12"/>
        <w:rPr>
          <w:b w:val="0"/>
          <w:bCs/>
          <w:i/>
          <w:iCs/>
        </w:rPr>
      </w:pPr>
      <w:bookmarkStart w:id="308" w:name="_Ref474852215"/>
      <w:bookmarkStart w:id="309" w:name="_Toc476654226"/>
      <w:bookmarkStart w:id="310" w:name="_Toc25485"/>
      <w:bookmarkStart w:id="311" w:name="_Toc119010918"/>
      <w:bookmarkStart w:id="312" w:name="_Toc8518"/>
      <w:bookmarkStart w:id="313" w:name="_Toc26197"/>
      <w:bookmarkStart w:id="314" w:name="_Toc9382"/>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7</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4</w:t>
      </w:r>
      <w:r>
        <w:rPr>
          <w:b w:val="0"/>
          <w:bCs/>
          <w:i/>
          <w:iCs/>
        </w:rPr>
        <w:fldChar w:fldCharType="end"/>
      </w:r>
      <w:bookmarkEnd w:id="308"/>
      <w:bookmarkStart w:id="315" w:name="_Toc23151"/>
      <w:r>
        <w:rPr>
          <w:b w:val="0"/>
          <w:bCs/>
          <w:i/>
          <w:iCs/>
        </w:rPr>
        <w:t>. Data Input for Daily PM</w:t>
      </w:r>
      <w:r>
        <w:rPr>
          <w:b w:val="0"/>
          <w:bCs/>
          <w:i/>
          <w:iCs/>
          <w:vertAlign w:val="subscript"/>
        </w:rPr>
        <w:t>2.5</w:t>
      </w:r>
      <w:r>
        <w:rPr>
          <w:b w:val="0"/>
          <w:bCs/>
          <w:i/>
          <w:iCs/>
        </w:rPr>
        <w:t xml:space="preserve"> Analysis</w:t>
      </w:r>
      <w:bookmarkEnd w:id="309"/>
      <w:bookmarkEnd w:id="310"/>
      <w:bookmarkEnd w:id="311"/>
      <w:bookmarkEnd w:id="312"/>
      <w:bookmarkEnd w:id="313"/>
      <w:bookmarkEnd w:id="314"/>
      <w:bookmarkEnd w:id="315"/>
    </w:p>
    <w:p>
      <w:r>
        <w:t xml:space="preserve">The </w:t>
      </w:r>
      <w:r>
        <w:rPr>
          <w:b/>
        </w:rPr>
        <w:t>Data Input</w:t>
      </w:r>
      <w:r>
        <w:t xml:space="preserve"> configuration step sets the ambient PM</w:t>
      </w:r>
      <w:r>
        <w:rPr>
          <w:vertAlign w:val="subscript"/>
        </w:rPr>
        <w:t>2.5</w:t>
      </w:r>
      <w:r>
        <w:t xml:space="preserve"> species data, PM</w:t>
      </w:r>
      <w:r>
        <w:rPr>
          <w:vertAlign w:val="subscript"/>
        </w:rPr>
        <w:t xml:space="preserve">2.5 </w:t>
      </w:r>
      <w:r>
        <w:t>monitor data (FRM and IMPROVE), and the gridded model output data to use for the SMAT-CE project (</w:t>
      </w:r>
      <w:r>
        <w:fldChar w:fldCharType="begin"/>
      </w:r>
      <w:r>
        <w:instrText xml:space="preserve"> REF _Ref474852215 \h </w:instrText>
      </w:r>
      <w:r>
        <w:fldChar w:fldCharType="separate"/>
      </w:r>
      <w:r>
        <w:rPr>
          <w:bCs/>
          <w:i/>
          <w:iCs/>
        </w:rPr>
        <w:t xml:space="preserve">Figure </w:t>
      </w:r>
      <w:r>
        <w:rPr>
          <w:b/>
          <w:bCs/>
          <w:i/>
          <w:iCs/>
        </w:rPr>
        <w:t>7</w:t>
      </w:r>
      <w:r>
        <w:rPr>
          <w:bCs/>
          <w:i/>
          <w:iCs/>
        </w:rPr>
        <w:noBreakHyphen/>
      </w:r>
      <w:r>
        <w:rPr>
          <w:b/>
          <w:bCs/>
          <w:i/>
          <w:iCs/>
        </w:rPr>
        <w:t>4</w:t>
      </w:r>
      <w:r>
        <w:fldChar w:fldCharType="end"/>
      </w:r>
      <w:r>
        <w:t xml:space="preserve">). </w:t>
      </w:r>
    </w:p>
    <w:p>
      <w:r>
        <w:t>There is specific terminology that is used on the Data Input page. "Official" data refers to PM</w:t>
      </w:r>
      <w:r>
        <w:rPr>
          <w:vertAlign w:val="subscript"/>
        </w:rPr>
        <w:t xml:space="preserve">2.5 </w:t>
      </w:r>
      <w:r>
        <w:t>FRM data that can be used to determine official design values for compliance purposes (comparison to the NAAQS). Other datasets which may not have rigid regulatory significance are sometimes referred to as "unofficial" data. The blue hyperlinked text in this window brings up the documentation for this configuration step. The settings in this step include:</w:t>
      </w:r>
    </w:p>
    <w:p>
      <w:pPr>
        <w:rPr>
          <w:b/>
          <w:bCs/>
          <w:szCs w:val="24"/>
        </w:rPr>
      </w:pPr>
      <w:r>
        <w:rPr>
          <w:b/>
          <w:bCs/>
          <w:szCs w:val="24"/>
          <w:u w:val="single"/>
        </w:rPr>
        <w:t>Species Data</w:t>
      </w:r>
    </w:p>
    <w:p>
      <w:pPr>
        <w:rPr>
          <w:kern w:val="0"/>
          <w:szCs w:val="24"/>
          <w:lang w:eastAsia="en-US"/>
        </w:rPr>
      </w:pPr>
      <w:r>
        <w:t>SMAT-CE uses ambient PM</w:t>
      </w:r>
      <w:r>
        <w:rPr>
          <w:vertAlign w:val="subscript"/>
        </w:rPr>
        <w:t xml:space="preserve">2.5 </w:t>
      </w:r>
      <w:r>
        <w:t xml:space="preserve">species data to calculate species concentrations at FRM monitoring sites and spatial fields. Users have a choice of supplying a “Species Monitor Data File” or a “Species Fractions File”. </w:t>
      </w:r>
    </w:p>
    <w:p>
      <w:pPr>
        <w:pStyle w:val="42"/>
        <w:numPr>
          <w:ilvl w:val="0"/>
          <w:numId w:val="21"/>
        </w:numPr>
        <w:ind w:firstLineChars="0"/>
      </w:pPr>
      <w:r>
        <w:rPr>
          <w:i/>
          <w:color w:val="000000" w:themeColor="text1"/>
          <w14:textFill>
            <w14:solidFill>
              <w14:schemeClr w14:val="tx1"/>
            </w14:solidFill>
          </w14:textFill>
        </w:rPr>
        <w:t xml:space="preserve">Species Monitor Data File. </w:t>
      </w:r>
      <w:r>
        <w:rPr>
          <w:color w:val="000000" w:themeColor="text1"/>
          <w14:textFill>
            <w14:solidFill>
              <w14:schemeClr w14:val="tx1"/>
            </w14:solidFill>
          </w14:textFill>
        </w:rPr>
        <w:t>This</w:t>
      </w:r>
      <w:r>
        <w:rPr>
          <w:b/>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is the SMAT-CE default of </w:t>
      </w:r>
      <w:r>
        <w:t>daily average species data from STN and IMPROVE sites across the country. Users can also provide their own ambient data file. MATS uses the daily average species data to calculate species fractions at each FRM monitor (or at each grid cell, in the case of spatial fields). The species fraction data is combined with the “unofficial daily average PM2.5 data” to calculate species concentrations. However, there is a data flag to indicate site days that are</w:t>
      </w:r>
      <w:r>
        <w:rPr>
          <w:rFonts w:ascii="Helvetica" w:hAnsi="Helvetica"/>
          <w:kern w:val="0"/>
          <w:sz w:val="18"/>
          <w:szCs w:val="18"/>
          <w:lang w:eastAsia="en-US"/>
        </w:rPr>
        <w:t xml:space="preserve"> </w:t>
      </w:r>
      <w:r>
        <w:t>recommended to be removed from the species fractions calculations. SMAT-CE has</w:t>
      </w:r>
      <w:r>
        <w:rPr>
          <w:rFonts w:ascii="Helvetica" w:hAnsi="Helvetica"/>
          <w:kern w:val="0"/>
          <w:sz w:val="18"/>
          <w:szCs w:val="18"/>
          <w:lang w:eastAsia="en-US"/>
        </w:rPr>
        <w:t xml:space="preserve"> </w:t>
      </w:r>
      <w:r>
        <w:t>incorporated flagging routines that remove data that are considered to be outliers</w:t>
      </w:r>
      <w:r>
        <w:rPr>
          <w:rFonts w:ascii="Helvetica" w:hAnsi="Helvetica"/>
          <w:kern w:val="0"/>
          <w:sz w:val="18"/>
          <w:szCs w:val="18"/>
          <w:lang w:eastAsia="en-US"/>
        </w:rPr>
        <w:t xml:space="preserve"> </w:t>
      </w:r>
      <w:r>
        <w:t xml:space="preserve">and/or incomplete data. </w:t>
      </w:r>
      <w:r>
        <w:rPr>
          <w:szCs w:val="24"/>
        </w:rPr>
        <w:t>Section 7.4.2 of the MATS User’s Manual (Abt, 2014) describes the flags used in the species fractions calculations.</w:t>
      </w:r>
    </w:p>
    <w:p>
      <w:pPr>
        <w:pStyle w:val="42"/>
        <w:numPr>
          <w:ilvl w:val="0"/>
          <w:numId w:val="21"/>
        </w:numPr>
        <w:ind w:firstLineChars="0"/>
      </w:pPr>
      <w:r>
        <w:rPr>
          <w:i/>
        </w:rPr>
        <w:t>Species Fraction File</w:t>
      </w:r>
      <w:r>
        <w:t xml:space="preserve">. Alternative to the </w:t>
      </w:r>
      <w:r>
        <w:rPr>
          <w:b/>
          <w:color w:val="000000" w:themeColor="text1"/>
          <w14:textFill>
            <w14:solidFill>
              <w14:schemeClr w14:val="tx1"/>
            </w14:solidFill>
          </w14:textFill>
        </w:rPr>
        <w:t>Species Monitor Data File</w:t>
      </w:r>
      <w:r>
        <w:t xml:space="preserve">. This file contains pre-calculated species fractions with quarterly species information for the FRM monitors of interest. SMAT-CE can use a species fractions file (either "point" or "spatial fields") generated by a previous project. To use an existing fractions file, enter the correct path to the file in the </w:t>
      </w:r>
      <w:r>
        <w:rPr>
          <w:b/>
        </w:rPr>
        <w:t>Data Input</w:t>
      </w:r>
      <w:r>
        <w:t xml:space="preserve"> window. When using spatial fields for existing species fractions files, select either "spatial field" or gradient adjusted spatial fields" from the drop-down box. </w:t>
      </w:r>
    </w:p>
    <w:p>
      <w:pPr>
        <w:rPr>
          <w:b/>
        </w:rPr>
      </w:pPr>
      <w:r>
        <w:rPr>
          <w:b/>
          <w:bCs/>
          <w:szCs w:val="24"/>
          <w:u w:val="single"/>
        </w:rPr>
        <w:t>PM</w:t>
      </w:r>
      <w:r>
        <w:rPr>
          <w:b/>
          <w:bCs/>
          <w:szCs w:val="24"/>
          <w:u w:val="single"/>
          <w:vertAlign w:val="subscript"/>
        </w:rPr>
        <w:t xml:space="preserve">2.5 </w:t>
      </w:r>
      <w:r>
        <w:rPr>
          <w:b/>
          <w:bCs/>
          <w:szCs w:val="24"/>
          <w:u w:val="single"/>
        </w:rPr>
        <w:t>Monitor Data</w:t>
      </w:r>
    </w:p>
    <w:p>
      <w:r>
        <w:t xml:space="preserve">SMAT-CE requires model data in the form of a text file. SMAT-CE uses both "official" and "unofficial" data in its calculations. </w:t>
      </w:r>
    </w:p>
    <w:p>
      <w:pPr>
        <w:pStyle w:val="42"/>
        <w:numPr>
          <w:ilvl w:val="0"/>
          <w:numId w:val="22"/>
        </w:numPr>
        <w:ind w:firstLineChars="0"/>
        <w:rPr>
          <w:rFonts w:ascii="Helvetica" w:hAnsi="Helvetica"/>
          <w:kern w:val="0"/>
          <w:sz w:val="18"/>
          <w:szCs w:val="18"/>
          <w:lang w:eastAsia="en-US"/>
        </w:rPr>
      </w:pPr>
      <w:r>
        <w:rPr>
          <w:i/>
          <w:color w:val="000000" w:themeColor="text1"/>
          <w14:textFill>
            <w14:solidFill>
              <w14:schemeClr w14:val="tx1"/>
            </w14:solidFill>
          </w14:textFill>
        </w:rPr>
        <w:t>Unofficial Daily Average PM</w:t>
      </w:r>
      <w:r>
        <w:rPr>
          <w:i/>
          <w:color w:val="000000" w:themeColor="text1"/>
          <w:vertAlign w:val="subscript"/>
          <w14:textFill>
            <w14:solidFill>
              <w14:schemeClr w14:val="tx1"/>
            </w14:solidFill>
          </w14:textFill>
        </w:rPr>
        <w:t xml:space="preserve">2.5 </w:t>
      </w:r>
      <w:r>
        <w:rPr>
          <w:i/>
          <w:color w:val="000000" w:themeColor="text1"/>
          <w14:textFill>
            <w14:solidFill>
              <w14:schemeClr w14:val="tx1"/>
            </w14:solidFill>
          </w14:textFill>
        </w:rPr>
        <w:t>Data File.</w:t>
      </w:r>
      <w:r>
        <w:t xml:space="preserve"> PM</w:t>
      </w:r>
      <w:r>
        <w:rPr>
          <w:vertAlign w:val="subscript"/>
        </w:rPr>
        <w:t xml:space="preserve">2.5 </w:t>
      </w:r>
      <w:r>
        <w:t xml:space="preserve">data that are needed to calculate species fractions. These data are used in combination with the </w:t>
      </w:r>
      <w:r>
        <w:rPr>
          <w:b/>
        </w:rPr>
        <w:t>Species Monitor Data</w:t>
      </w:r>
      <w:r>
        <w:t xml:space="preserve"> </w:t>
      </w:r>
      <w:r>
        <w:rPr>
          <w:b/>
        </w:rPr>
        <w:t>File</w:t>
      </w:r>
      <w:r>
        <w:t xml:space="preserve">. This file is not needed if the user supplies a pre-calculated species fractions file. </w:t>
      </w:r>
    </w:p>
    <w:p>
      <w:pPr>
        <w:pStyle w:val="42"/>
        <w:ind w:left="720" w:firstLine="0" w:firstLineChars="0"/>
        <w:rPr>
          <w:rFonts w:ascii="Helvetica" w:hAnsi="Helvetica"/>
          <w:kern w:val="0"/>
          <w:sz w:val="18"/>
          <w:szCs w:val="18"/>
          <w:lang w:eastAsia="en-US"/>
        </w:rPr>
      </w:pPr>
      <w:r>
        <w:t xml:space="preserve">Similar to the </w:t>
      </w:r>
      <w:r>
        <w:rPr>
          <w:b/>
        </w:rPr>
        <w:t>Species Monitor Data File</w:t>
      </w:r>
      <w:r>
        <w:t xml:space="preserve">, the </w:t>
      </w:r>
      <w:r>
        <w:rPr>
          <w:b/>
        </w:rPr>
        <w:t>Unofficial Daily Average PM</w:t>
      </w:r>
      <w:r>
        <w:rPr>
          <w:b/>
          <w:vertAlign w:val="subscript"/>
        </w:rPr>
        <w:t xml:space="preserve">2.5 </w:t>
      </w:r>
      <w:r>
        <w:rPr>
          <w:b/>
        </w:rPr>
        <w:t>Data File</w:t>
      </w:r>
      <w:r>
        <w:rPr>
          <w:rFonts w:ascii="Helvetica" w:hAnsi="Helvetica"/>
          <w:b/>
          <w:kern w:val="0"/>
          <w:sz w:val="18"/>
          <w:szCs w:val="18"/>
          <w:lang w:eastAsia="en-US"/>
        </w:rPr>
        <w:t xml:space="preserve"> </w:t>
      </w:r>
      <w:r>
        <w:t>contains a data flag to indicate site days that are recommended to be removed from the species fractions calculations. The flagged data is matched between the species file and the PM</w:t>
      </w:r>
      <w:r>
        <w:rPr>
          <w:vertAlign w:val="subscript"/>
        </w:rPr>
        <w:t>2.5</w:t>
      </w:r>
      <w:r>
        <w:t xml:space="preserve"> file so that the same site days are removed. The PM</w:t>
      </w:r>
      <w:r>
        <w:rPr>
          <w:vertAlign w:val="subscript"/>
        </w:rPr>
        <w:t>2.5</w:t>
      </w:r>
      <w:r>
        <w:t xml:space="preserve"> data file contains additional data (sites that don’t contain speciation measurements) and therefore has additional flagged site days. These are not the same data flags that have been identified by State agencies. SMAT-CE has incorporated flagging routines that remove data that are considered to be outliers and/or incomplete data. SMAT-CE users are free to alter the flags as needed for their applications. </w:t>
      </w:r>
    </w:p>
    <w:p>
      <w:pPr>
        <w:pStyle w:val="42"/>
        <w:numPr>
          <w:ilvl w:val="0"/>
          <w:numId w:val="23"/>
        </w:numPr>
        <w:ind w:firstLineChars="0"/>
      </w:pPr>
      <w:r>
        <w:rPr>
          <w:i/>
          <w:color w:val="000000" w:themeColor="text1"/>
          <w14:textFill>
            <w14:solidFill>
              <w14:schemeClr w14:val="tx1"/>
            </w14:solidFill>
          </w14:textFill>
        </w:rPr>
        <w:t>Official Quarterly Average FRM Data File.</w:t>
      </w:r>
      <w:r>
        <w:t xml:space="preserve"> The EPA-approved quarterly average FRM data that have been used to calculate PM</w:t>
      </w:r>
      <w:r>
        <w:rPr>
          <w:vertAlign w:val="subscript"/>
        </w:rPr>
        <w:t xml:space="preserve">2.5 </w:t>
      </w:r>
      <w:r>
        <w:t xml:space="preserve">design values. These data are used to calculate design values and 5-year weighted average design values as part of the attainment test. </w:t>
      </w:r>
    </w:p>
    <w:p>
      <w:pPr>
        <w:pStyle w:val="42"/>
        <w:ind w:left="720" w:firstLine="0" w:firstLineChars="0"/>
      </w:pPr>
      <w:r>
        <w:t>The default data file in SMAT-CE was created by EPA OAQPS. In most cases, the data should not be altered, however, in some cases (e.g., sensitivity analyses) there may be a need to add or remove data.</w:t>
      </w:r>
    </w:p>
    <w:p>
      <w:r>
        <w:t xml:space="preserve">A detailed description of the formats of the input data files used in this step, are available in </w:t>
      </w:r>
      <w:r>
        <w:rPr>
          <w:szCs w:val="24"/>
        </w:rPr>
        <w:t>Section 7.3.2 of the MATS User’s Manual (Abt, 2014).</w:t>
      </w:r>
    </w:p>
    <w:p>
      <w:pPr>
        <w:rPr>
          <w:b/>
        </w:rPr>
      </w:pPr>
      <w:r>
        <w:rPr>
          <w:b/>
          <w:bCs/>
          <w:szCs w:val="24"/>
          <w:u w:val="single"/>
        </w:rPr>
        <w:t>Model Data</w:t>
      </w:r>
    </w:p>
    <w:p>
      <w:r>
        <w:t>These are gridded model output from models such as CMAQ or CAMx. The user can choose either daily model data input or quarterly model data input (which is just a quarterly average of the daily model data). Either will work for the Daily PM</w:t>
      </w:r>
      <w:r>
        <w:rPr>
          <w:vertAlign w:val="subscript"/>
        </w:rPr>
        <w:t xml:space="preserve">2.5 </w:t>
      </w:r>
      <w:r>
        <w:t xml:space="preserve">Analysis. The default setting is daily average data. Model data must be selected for all SMAT-CE projects. The size of the modeling grid defines the outputs for point estimates and for spatial fields. For point estimates, SMAT-CE will output the results for all specified monitors within the domain. For spatial fields, SMAT-CE will create spatial fields that match the size of the gridded model domain. </w:t>
      </w:r>
    </w:p>
    <w:p>
      <w:r>
        <w:t>Subsequent versions of SMAT-CE will support reading directly from CMAQ data files. This option is currently greyed out in SMAT-CE.</w:t>
      </w:r>
    </w:p>
    <w:p>
      <w:r>
        <w:t xml:space="preserve">SMAT-CE requires both a Baseline File and a Forecast File. The baseline file should be consistent with the historical monitor data used for the project, and the forecast year is the future-year of interest. </w:t>
      </w:r>
    </w:p>
    <w:p>
      <w:pPr>
        <w:pStyle w:val="4"/>
        <w:rPr>
          <w:i/>
        </w:rPr>
      </w:pPr>
      <w:r>
        <w:t>Run the Eastern U.S. Example</w:t>
      </w:r>
    </w:p>
    <w:p>
      <w:r>
        <w:t xml:space="preserve">Use the default settings for the Data Input options for the Eastern U.S. example project. Either click </w:t>
      </w:r>
      <w:r>
        <w:rPr>
          <w:lang w:eastAsia="en-US"/>
        </w:rPr>
        <w:t xml:space="preserve">Next </w:t>
      </w:r>
      <w:r>
        <w:t xml:space="preserve">or double-click the </w:t>
      </w:r>
      <w:r>
        <w:rPr>
          <w:b/>
          <w:bCs/>
        </w:rPr>
        <w:t>Species Fraction Options</w:t>
      </w:r>
      <w:r>
        <w:t xml:space="preserve"> button in the upper left-hand panel of </w:t>
      </w:r>
      <w:r>
        <w:rPr>
          <w:b/>
        </w:rPr>
        <w:t>Daily PM Analysis</w:t>
      </w:r>
      <w:r>
        <w:t xml:space="preserve"> window. The button next to </w:t>
      </w:r>
      <w:r>
        <w:rPr>
          <w:b/>
          <w:bCs/>
        </w:rPr>
        <w:t xml:space="preserve">Data Input </w:t>
      </w:r>
      <w:r>
        <w:t>will turn from yellow to green, indicating that this step is complete.</w:t>
      </w:r>
    </w:p>
    <w:p>
      <w:pPr>
        <w:pStyle w:val="3"/>
      </w:pPr>
      <w:bookmarkStart w:id="316" w:name="_Toc119010877"/>
      <w:bookmarkStart w:id="317" w:name="_Toc476654842"/>
      <w:bookmarkStart w:id="318" w:name="_Toc28171"/>
      <w:bookmarkStart w:id="319" w:name="_Toc476653941"/>
      <w:bookmarkStart w:id="320" w:name="_Toc476654464"/>
      <w:bookmarkStart w:id="321" w:name="_Ref474936227"/>
      <w:r>
        <w:rPr>
          <w:rFonts w:hint="eastAsia"/>
        </w:rPr>
        <w:t>Species Fraction Options</w:t>
      </w:r>
      <w:bookmarkEnd w:id="316"/>
      <w:bookmarkEnd w:id="317"/>
      <w:bookmarkEnd w:id="318"/>
      <w:bookmarkEnd w:id="319"/>
      <w:bookmarkEnd w:id="320"/>
      <w:bookmarkEnd w:id="321"/>
    </w:p>
    <w:p>
      <w:pPr>
        <w:keepNext/>
      </w:pPr>
      <w:r>
        <w:drawing>
          <wp:inline distT="0" distB="0" distL="0" distR="0">
            <wp:extent cx="5274310" cy="3669665"/>
            <wp:effectExtent l="0" t="0" r="254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4"/>
                    <a:stretch>
                      <a:fillRect/>
                    </a:stretch>
                  </pic:blipFill>
                  <pic:spPr>
                    <a:xfrm>
                      <a:off x="0" y="0"/>
                      <a:ext cx="5274310" cy="3669665"/>
                    </a:xfrm>
                    <a:prstGeom prst="rect">
                      <a:avLst/>
                    </a:prstGeom>
                  </pic:spPr>
                </pic:pic>
              </a:graphicData>
            </a:graphic>
          </wp:inline>
        </w:drawing>
      </w:r>
    </w:p>
    <w:p>
      <w:pPr>
        <w:pStyle w:val="12"/>
        <w:rPr>
          <w:b w:val="0"/>
          <w:bCs/>
          <w:i/>
          <w:iCs/>
        </w:rPr>
      </w:pPr>
      <w:bookmarkStart w:id="322" w:name="_Ref474854730"/>
      <w:bookmarkStart w:id="323" w:name="_Toc22411"/>
      <w:bookmarkStart w:id="324" w:name="_Toc25448"/>
      <w:bookmarkStart w:id="325" w:name="_Toc25089"/>
      <w:bookmarkStart w:id="326" w:name="_Toc476654227"/>
      <w:bookmarkStart w:id="327" w:name="_Toc119010919"/>
      <w:bookmarkStart w:id="328" w:name="_Toc7458"/>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7</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5</w:t>
      </w:r>
      <w:r>
        <w:rPr>
          <w:b w:val="0"/>
          <w:bCs/>
          <w:i/>
          <w:iCs/>
        </w:rPr>
        <w:fldChar w:fldCharType="end"/>
      </w:r>
      <w:bookmarkEnd w:id="322"/>
      <w:bookmarkStart w:id="329" w:name="_Toc19129"/>
      <w:r>
        <w:rPr>
          <w:b w:val="0"/>
          <w:bCs/>
          <w:i/>
          <w:iCs/>
        </w:rPr>
        <w:t>. Species Fraction Options for Daily PM</w:t>
      </w:r>
      <w:r>
        <w:rPr>
          <w:b w:val="0"/>
          <w:bCs/>
          <w:i/>
          <w:iCs/>
          <w:vertAlign w:val="subscript"/>
        </w:rPr>
        <w:t xml:space="preserve">2.5 </w:t>
      </w:r>
      <w:r>
        <w:rPr>
          <w:b w:val="0"/>
          <w:bCs/>
          <w:i/>
          <w:iCs/>
        </w:rPr>
        <w:t>Analysis</w:t>
      </w:r>
      <w:bookmarkEnd w:id="323"/>
      <w:bookmarkEnd w:id="324"/>
      <w:bookmarkEnd w:id="325"/>
      <w:bookmarkEnd w:id="326"/>
      <w:bookmarkEnd w:id="327"/>
      <w:bookmarkEnd w:id="328"/>
      <w:bookmarkEnd w:id="329"/>
    </w:p>
    <w:p>
      <w:r>
        <w:t xml:space="preserve">The </w:t>
      </w:r>
      <w:r>
        <w:rPr>
          <w:b/>
          <w:bCs/>
        </w:rPr>
        <w:t xml:space="preserve">Species Fraction Calculation Options </w:t>
      </w:r>
      <w:r>
        <w:t xml:space="preserve">configuration step shown in </w:t>
      </w:r>
      <w:r>
        <w:fldChar w:fldCharType="begin"/>
      </w:r>
      <w:r>
        <w:instrText xml:space="preserve"> REF _Ref474854730 \h </w:instrText>
      </w:r>
      <w:r>
        <w:fldChar w:fldCharType="separate"/>
      </w:r>
      <w:r>
        <w:rPr>
          <w:bCs/>
          <w:i/>
          <w:iCs/>
        </w:rPr>
        <w:t xml:space="preserve">Figure </w:t>
      </w:r>
      <w:r>
        <w:rPr>
          <w:b/>
          <w:bCs/>
          <w:i/>
          <w:iCs/>
        </w:rPr>
        <w:t>7</w:t>
      </w:r>
      <w:r>
        <w:rPr>
          <w:bCs/>
          <w:i/>
          <w:iCs/>
        </w:rPr>
        <w:noBreakHyphen/>
      </w:r>
      <w:r>
        <w:rPr>
          <w:b/>
          <w:bCs/>
          <w:i/>
          <w:iCs/>
        </w:rPr>
        <w:t>5</w:t>
      </w:r>
      <w:r>
        <w:fldChar w:fldCharType="end"/>
      </w:r>
      <w:r>
        <w:t xml:space="preserve"> has several options related to the speciated monitor data (IMPROVE and STN) monitor data and the total PM</w:t>
      </w:r>
      <w:r>
        <w:rPr>
          <w:vertAlign w:val="subscript"/>
        </w:rPr>
        <w:t>2.5</w:t>
      </w:r>
      <w:r>
        <w:t xml:space="preserve"> monitor data (FRM and IMPROVE). These functions include identifying the years of monitor data to use in the attainment test, deleting any specific data values, and choosing the minimum data requirements of monitors to use in the analysis. These options are listed below:</w:t>
      </w:r>
    </w:p>
    <w:p>
      <w:pPr>
        <w:pStyle w:val="42"/>
        <w:numPr>
          <w:ilvl w:val="0"/>
          <w:numId w:val="15"/>
        </w:numPr>
        <w:ind w:firstLineChars="0"/>
      </w:pPr>
      <w:r>
        <w:rPr>
          <w:rFonts w:cs="Times New Roman"/>
          <w:i/>
          <w:kern w:val="0"/>
          <w:szCs w:val="24"/>
        </w:rPr>
        <w:t>IMPROVE-CSN Monitor Data</w:t>
      </w:r>
      <w:r>
        <w:rPr>
          <w:rFonts w:cs="Times New Roman"/>
          <w:kern w:val="0"/>
          <w:szCs w:val="24"/>
        </w:rPr>
        <w:t>. The speciation data from CSN and IMPROVE</w:t>
      </w:r>
      <w:r>
        <w:t xml:space="preserve"> </w:t>
      </w:r>
      <w:r>
        <w:rPr>
          <w:rFonts w:cs="Times New Roman"/>
          <w:kern w:val="0"/>
          <w:szCs w:val="24"/>
        </w:rPr>
        <w:t>monitors are interpolated by SMAT-CE in order to provide species data for any point in a</w:t>
      </w:r>
      <w:r>
        <w:t xml:space="preserve"> </w:t>
      </w:r>
      <w:r>
        <w:rPr>
          <w:rFonts w:cs="Times New Roman"/>
          <w:kern w:val="0"/>
          <w:szCs w:val="24"/>
        </w:rPr>
        <w:t>modeling domain. The interpolated species data is used to calculate species fractions at FRM monitors (point estimates) and/or species fractions at all grid cells (spatial fields). Note that you do not need to have values for all species for a monitor to be considered valid, as each species is considered individually. However, the "EPA_Flag" variable in the default "species for fractions" file has been set so that all monitor days that do not have complete species data are not used in the calculations (flag = 1). If the user wants to use the incomplete species data, the flag should be set to "0".</w:t>
      </w:r>
    </w:p>
    <w:p>
      <w:pPr>
        <w:pStyle w:val="42"/>
        <w:numPr>
          <w:ilvl w:val="0"/>
          <w:numId w:val="15"/>
        </w:numPr>
        <w:ind w:firstLineChars="0"/>
      </w:pPr>
      <w:r>
        <w:rPr>
          <w:rFonts w:cs="Times New Roman"/>
          <w:i/>
          <w:kern w:val="0"/>
          <w:szCs w:val="24"/>
        </w:rPr>
        <w:t>PM</w:t>
      </w:r>
      <w:r>
        <w:rPr>
          <w:rFonts w:cs="Times New Roman"/>
          <w:i/>
          <w:kern w:val="0"/>
          <w:szCs w:val="24"/>
          <w:vertAlign w:val="subscript"/>
        </w:rPr>
        <w:t xml:space="preserve">2.5 </w:t>
      </w:r>
      <w:r>
        <w:rPr>
          <w:rFonts w:cs="Times New Roman"/>
          <w:i/>
          <w:kern w:val="0"/>
          <w:szCs w:val="24"/>
        </w:rPr>
        <w:t>Monitor Data</w:t>
      </w:r>
      <w:r>
        <w:rPr>
          <w:rFonts w:cs="Times New Roman"/>
          <w:kern w:val="0"/>
          <w:szCs w:val="24"/>
        </w:rPr>
        <w:t>. The total PM</w:t>
      </w:r>
      <w:r>
        <w:rPr>
          <w:rFonts w:cs="Times New Roman"/>
          <w:kern w:val="0"/>
          <w:szCs w:val="24"/>
          <w:vertAlign w:val="subscript"/>
        </w:rPr>
        <w:t xml:space="preserve">2.5 </w:t>
      </w:r>
      <w:r>
        <w:rPr>
          <w:rFonts w:cs="Times New Roman"/>
          <w:kern w:val="0"/>
          <w:szCs w:val="24"/>
        </w:rPr>
        <w:t>data from FRM are used by SMAT-CE to calculate</w:t>
      </w:r>
      <w:r>
        <w:t xml:space="preserve"> </w:t>
      </w:r>
      <w:r>
        <w:rPr>
          <w:rFonts w:cs="Times New Roman"/>
          <w:kern w:val="0"/>
          <w:szCs w:val="24"/>
        </w:rPr>
        <w:t>species fractions for point estimates (in conjunction with the interpolated speciation data from CSN and IMPROVE monitors). The interpolated species data is used to calculate species fractions at FRM monitors (point estimates) and/or species fractions at all grid cells (spatial fields).</w:t>
      </w:r>
    </w:p>
    <w:p>
      <w:r>
        <w:rPr>
          <w:bCs/>
          <w:u w:val="single"/>
        </w:rPr>
        <w:t>Monitor Data Years</w:t>
      </w:r>
    </w:p>
    <w:p>
      <w:r>
        <w:t>Use the drop-down menus to choose the three years of monitor data for the Annual PM</w:t>
      </w:r>
      <w:r>
        <w:rPr>
          <w:vertAlign w:val="subscript"/>
        </w:rPr>
        <w:t xml:space="preserve">2.5 </w:t>
      </w:r>
      <w:r>
        <w:t>Analysis. The SMAT-CE default is to use the 3-year period 2010 to 2012. (That is, for both IMPROVE-CSN and PM</w:t>
      </w:r>
      <w:r>
        <w:rPr>
          <w:vertAlign w:val="subscript"/>
        </w:rPr>
        <w:t xml:space="preserve">2.5 </w:t>
      </w:r>
      <w:r>
        <w:t xml:space="preserve">monitor data, the </w:t>
      </w:r>
      <w:r>
        <w:rPr>
          <w:b/>
          <w:bCs/>
        </w:rPr>
        <w:t xml:space="preserve">Start Year </w:t>
      </w:r>
      <w:r>
        <w:t xml:space="preserve">is 2010 and the </w:t>
      </w:r>
      <w:r>
        <w:rPr>
          <w:b/>
          <w:bCs/>
        </w:rPr>
        <w:t xml:space="preserve">End Year </w:t>
      </w:r>
      <w:r>
        <w:t xml:space="preserve">is 2012.) The default period is based on a modeling year of 2011. The start and end years should be changed to applicable time periods, depending on the base modeling year. </w:t>
      </w:r>
    </w:p>
    <w:p>
      <w:r>
        <w:rPr>
          <w:rFonts w:cs="Times New Roman"/>
          <w:kern w:val="0"/>
          <w:szCs w:val="24"/>
        </w:rPr>
        <w:t>SMAT-CE handles multiple years of data by calculating averages for each species by quarter</w:t>
      </w:r>
      <w:r>
        <w:t xml:space="preserve"> </w:t>
      </w:r>
      <w:r>
        <w:rPr>
          <w:rFonts w:cs="Times New Roman"/>
          <w:kern w:val="0"/>
          <w:szCs w:val="24"/>
        </w:rPr>
        <w:t>and year. SMAT-CE then averages the quarterly values across the years (e.g., average quarter</w:t>
      </w:r>
      <w:r>
        <w:t xml:space="preserve"> </w:t>
      </w:r>
      <w:r>
        <w:rPr>
          <w:rFonts w:cs="Times New Roman"/>
          <w:kern w:val="0"/>
          <w:szCs w:val="24"/>
        </w:rPr>
        <w:t>1 values of SO</w:t>
      </w:r>
      <w:r>
        <w:rPr>
          <w:rFonts w:cs="Times New Roman"/>
          <w:kern w:val="0"/>
          <w:szCs w:val="24"/>
          <w:vertAlign w:val="subscript"/>
        </w:rPr>
        <w:t>4</w:t>
      </w:r>
      <w:r>
        <w:rPr>
          <w:rFonts w:cs="Times New Roman"/>
          <w:kern w:val="0"/>
          <w:szCs w:val="24"/>
        </w:rPr>
        <w:t xml:space="preserve"> across two years to get a single "quarter 1" estimate). After completing</w:t>
      </w:r>
      <w:r>
        <w:t xml:space="preserve"> </w:t>
      </w:r>
      <w:r>
        <w:rPr>
          <w:rFonts w:cs="Times New Roman"/>
          <w:kern w:val="0"/>
          <w:szCs w:val="24"/>
        </w:rPr>
        <w:t>this step, SMAT-CE will have four quarterly estimates for each species at each</w:t>
      </w:r>
      <w:r>
        <w:t xml:space="preserve"> </w:t>
      </w:r>
      <w:r>
        <w:rPr>
          <w:rFonts w:cs="Times New Roman"/>
          <w:kern w:val="0"/>
          <w:szCs w:val="24"/>
        </w:rPr>
        <w:t>monitor. These quarterly values are then ready to be interpolated to FRM sites or to grid</w:t>
      </w:r>
      <w:r>
        <w:t xml:space="preserve"> </w:t>
      </w:r>
      <w:r>
        <w:rPr>
          <w:rFonts w:cs="Times New Roman"/>
          <w:kern w:val="0"/>
          <w:szCs w:val="24"/>
        </w:rPr>
        <w:t>cell centroids in spatial fields.</w:t>
      </w:r>
    </w:p>
    <w:p>
      <w:pPr>
        <w:rPr>
          <w:u w:val="single"/>
        </w:rPr>
      </w:pPr>
      <w:r>
        <w:rPr>
          <w:bCs/>
          <w:u w:val="single"/>
        </w:rPr>
        <w:t>Delete Specified Data Values</w:t>
      </w:r>
    </w:p>
    <w:p>
      <w:pPr>
        <w:rPr>
          <w:kern w:val="0"/>
          <w:szCs w:val="24"/>
          <w:lang w:eastAsia="en-US"/>
        </w:rPr>
      </w:pPr>
      <w:r>
        <w:t xml:space="preserve">The default is to delete the observations specified by EPA. Valid data are given a value of "0" and observations that should be deleted are given a value of "1" to "10". There is also an option for the user to flag data, using the same convention of "0" for valid data and "1" to "10" for data marked for deletion. If both the </w:t>
      </w:r>
      <w:r>
        <w:rPr>
          <w:b/>
          <w:bCs/>
        </w:rPr>
        <w:t xml:space="preserve">EPA-specified </w:t>
      </w:r>
      <w:r>
        <w:t xml:space="preserve">and </w:t>
      </w:r>
      <w:r>
        <w:rPr>
          <w:b/>
          <w:bCs/>
        </w:rPr>
        <w:t xml:space="preserve">User-specified </w:t>
      </w:r>
      <w:r>
        <w:t>flags are checked, then SMAT-CE deletes any observations that are marked for deletion by either the EPA or the user. These settings make it easy for the user to flag additional data for removal from the calculations (without deleting the actual record from the ambient data file). See Section 7.4.2 of the MATS User’s Manual (Abt, 2014) for a description of the observational data flags.</w:t>
      </w:r>
    </w:p>
    <w:p>
      <w:pPr>
        <w:rPr>
          <w:u w:val="single"/>
        </w:rPr>
      </w:pPr>
      <w:r>
        <w:rPr>
          <w:bCs/>
          <w:u w:val="single"/>
        </w:rPr>
        <w:t>Minimum Data Requirements</w:t>
      </w:r>
    </w:p>
    <w:p>
      <w:r>
        <w:t>There are three sets of minimum data requirements for calculating design values:</w:t>
      </w:r>
    </w:p>
    <w:p>
      <w:pPr>
        <w:pStyle w:val="42"/>
        <w:numPr>
          <w:ilvl w:val="0"/>
          <w:numId w:val="16"/>
        </w:numPr>
        <w:ind w:firstLineChars="0"/>
      </w:pPr>
      <w:r>
        <w:rPr>
          <w:i/>
        </w:rPr>
        <w:t>Minimum number of valid days per valid quarter</w:t>
      </w:r>
      <w:r>
        <w:t xml:space="preserve">. This is the minimum number of site-days per valid quarter. The default is 11 days, which corresponds to &gt; 75% completeness for monitors on a 1-in-6-day monitoring schedule. This is the minimum number of samples that is routinely used in calculations of quarterly average concentrations. </w:t>
      </w:r>
    </w:p>
    <w:p>
      <w:pPr>
        <w:pStyle w:val="42"/>
        <w:numPr>
          <w:ilvl w:val="0"/>
          <w:numId w:val="16"/>
        </w:numPr>
        <w:ind w:firstLineChars="0"/>
      </w:pPr>
      <w:r>
        <w:rPr>
          <w:i/>
        </w:rPr>
        <w:t>Minimum number of valid quarters required for valid season</w:t>
      </w:r>
      <w:r>
        <w:t xml:space="preserve">. This is the number of years of data (within the start year and end year specified) for which there are valid quarters for a given season. The default value is 1 year. If the value is set = 2, then there will need to be two years of valid data from quarter 1 in order for quarter one to be considered complete (and the same for the other three quarters). </w:t>
      </w:r>
    </w:p>
    <w:p>
      <w:pPr>
        <w:pStyle w:val="42"/>
        <w:numPr>
          <w:ilvl w:val="0"/>
          <w:numId w:val="16"/>
        </w:numPr>
        <w:ind w:firstLineChars="0"/>
      </w:pPr>
      <w:r>
        <w:rPr>
          <w:i/>
        </w:rPr>
        <w:t>Minimum number of valid seasons required for valid monitor (point and spatial fields calculation)</w:t>
      </w:r>
      <w:r>
        <w:t>. This is the number of valid seasons that are needed in order for a particular monitor's data to be considered valid. The default is 1 for IMPROVE-STN monitor data and the range is 1-4. For example, if the value is = 1, then a monitor's data will be used in the species fractions calculations if it has at least one valid season. If the value = 4, then the site must have all four seasons of valid data to be used. The default for PM</w:t>
      </w:r>
      <w:r>
        <w:rPr>
          <w:vertAlign w:val="subscript"/>
        </w:rPr>
        <w:t xml:space="preserve">2.5 </w:t>
      </w:r>
      <w:r>
        <w:t xml:space="preserve">depends on whether the data are used in point calculations (default = 4) or spatial field calculations (default = 1). </w:t>
      </w:r>
    </w:p>
    <w:p>
      <w:r>
        <w:t xml:space="preserve">Section 7.4.3 of the MATS User’s Manual (Abt, 2014) shows an example of how the minimum data requirements are used in calculating averages for monitoring data. </w:t>
      </w:r>
    </w:p>
    <w:p>
      <w:pPr>
        <w:rPr>
          <w:rFonts w:cs="Times New Roman"/>
          <w:kern w:val="0"/>
          <w:szCs w:val="24"/>
        </w:rPr>
      </w:pPr>
      <w:r>
        <w:t xml:space="preserve">Clicking the Advanced box displays additional Species Fractions Calculations Options. </w:t>
      </w:r>
      <w:r>
        <w:rPr>
          <w:rFonts w:cs="Times New Roman"/>
          <w:kern w:val="0"/>
          <w:szCs w:val="24"/>
        </w:rPr>
        <w:t>The Species Fractions Calculation Options–Advanced screen allows you to make</w:t>
      </w:r>
      <w:r>
        <w:t xml:space="preserve"> </w:t>
      </w:r>
      <w:r>
        <w:rPr>
          <w:rFonts w:cs="Times New Roman"/>
          <w:kern w:val="0"/>
          <w:szCs w:val="24"/>
        </w:rPr>
        <w:t>relatively advanced choices for your analysis. Generally speaking, the default options</w:t>
      </w:r>
      <w:r>
        <w:t xml:space="preserve"> </w:t>
      </w:r>
      <w:r>
        <w:rPr>
          <w:rFonts w:cs="Times New Roman"/>
          <w:kern w:val="0"/>
          <w:szCs w:val="24"/>
        </w:rPr>
        <w:t>settings are consistent with the EPA modeling guidance document. One set of options</w:t>
      </w:r>
      <w:r>
        <w:t xml:space="preserve"> </w:t>
      </w:r>
      <w:r>
        <w:rPr>
          <w:rFonts w:cs="Times New Roman"/>
          <w:kern w:val="0"/>
          <w:szCs w:val="24"/>
        </w:rPr>
        <w:t>allows you to specify the interpolation weighting that you want to use and whether the</w:t>
      </w:r>
      <w:r>
        <w:t xml:space="preserve"> </w:t>
      </w:r>
      <w:r>
        <w:rPr>
          <w:rFonts w:cs="Times New Roman"/>
          <w:kern w:val="0"/>
          <w:szCs w:val="24"/>
        </w:rPr>
        <w:t>interpolation involves a maximum distance or not. The second set of options involves</w:t>
      </w:r>
      <w:r>
        <w:t xml:space="preserve"> </w:t>
      </w:r>
      <w:r>
        <w:rPr>
          <w:rFonts w:cs="Times New Roman"/>
          <w:kern w:val="0"/>
          <w:szCs w:val="24"/>
        </w:rPr>
        <w:t>choices regarding ammonium, blank mass, and organic carbon.</w:t>
      </w:r>
      <w:r>
        <w:t xml:space="preserve"> These options are described below.</w:t>
      </w:r>
    </w:p>
    <w:p>
      <w:pPr>
        <w:rPr>
          <w:u w:val="single"/>
        </w:rPr>
      </w:pPr>
      <w:r>
        <w:rPr>
          <w:u w:val="single"/>
        </w:rPr>
        <w:t>Using Monitor Data to Calculate Species Fractions</w:t>
      </w:r>
    </w:p>
    <w:p>
      <w:r>
        <w:t xml:space="preserve">The </w:t>
      </w:r>
      <w:r>
        <w:rPr>
          <w:b/>
        </w:rPr>
        <w:t>Using Monitor Data to Calculate Species Fractions</w:t>
      </w:r>
      <w:r>
        <w:t xml:space="preserve"> panel sets how IMPROVE and STN speciated monitor data and ("unofficial") PM</w:t>
      </w:r>
      <w:r>
        <w:rPr>
          <w:vertAlign w:val="subscript"/>
        </w:rPr>
        <w:t xml:space="preserve">2.5 </w:t>
      </w:r>
      <w:r>
        <w:t>monitor data will be used to calculate quarterly peak values. Three data filtering options are available to apply to the averaging calculations:</w:t>
      </w:r>
    </w:p>
    <w:p>
      <w:pPr>
        <w:pStyle w:val="42"/>
        <w:numPr>
          <w:ilvl w:val="0"/>
          <w:numId w:val="24"/>
        </w:numPr>
        <w:ind w:firstLineChars="0"/>
      </w:pPr>
      <w:r>
        <w:rPr>
          <w:i/>
        </w:rPr>
        <w:t>Use Top X Percent of Daily Monitor Days</w:t>
      </w:r>
      <w:r>
        <w:t>. SMAT-CE uses the top "X" percent of days per quarter to calculate the quarterly peak values. Set the percent cutoff to use for this option.</w:t>
      </w:r>
    </w:p>
    <w:p>
      <w:pPr>
        <w:pStyle w:val="42"/>
        <w:numPr>
          <w:ilvl w:val="0"/>
          <w:numId w:val="24"/>
        </w:numPr>
        <w:ind w:firstLineChars="0"/>
      </w:pPr>
      <w:r>
        <w:rPr>
          <w:i/>
        </w:rPr>
        <w:t>Use All Daily Monitor Values Greater than Fixed Amount (ug/m</w:t>
      </w:r>
      <w:r>
        <w:rPr>
          <w:i/>
          <w:sz w:val="16"/>
          <w:szCs w:val="16"/>
        </w:rPr>
        <w:t>3</w:t>
      </w:r>
      <w:r>
        <w:rPr>
          <w:i/>
        </w:rPr>
        <w:t>).</w:t>
      </w:r>
      <w:r>
        <w:t xml:space="preserve"> SMAT-CE averages all monitor values greater than or equal to a concentration cutoff. Set the concentration cutoff and the minimum number of days greater than or equal to the cutoff concentration. If there is an insufficient number of days, SMAT-CE will drop the data for that particular quarter. </w:t>
      </w:r>
    </w:p>
    <w:p>
      <w:pPr>
        <w:pStyle w:val="42"/>
        <w:numPr>
          <w:ilvl w:val="0"/>
          <w:numId w:val="24"/>
        </w:numPr>
        <w:ind w:firstLineChars="0"/>
      </w:pPr>
      <w:r>
        <w:rPr>
          <w:i/>
        </w:rPr>
        <w:t>Use Top X Number of Daily Monitor Days</w:t>
      </w:r>
      <w:r>
        <w:t xml:space="preserve">. SMAT-CE averages the concentrations for the top "X" number of days per quarter. Set the number of days to use for this option. </w:t>
      </w:r>
    </w:p>
    <w:p>
      <w:r>
        <w:t>These three filtering options work in essentially the same way for IMPROVE and CSN speciated monitor data and for ("unofficial") PM</w:t>
      </w:r>
      <w:r>
        <w:rPr>
          <w:vertAlign w:val="subscript"/>
        </w:rPr>
        <w:t xml:space="preserve">2.5 </w:t>
      </w:r>
      <w:r>
        <w:t>monitor data. Section 7.5.1 of the MATS User’s Manual (Abt, 2014) shows examples of how the data filters are used in calculating averages for monitoring data.</w:t>
      </w:r>
    </w:p>
    <w:p>
      <w:r>
        <w:t>Note that the IMPROVE and STN speciated monitor data uses the "measured_FM" variable to identify peak days. Note also that it is possible that the option used to identify peak days (e.g., Use Top X Percent of Daily Monitor Days) does not give a unique set of days because a number of days may have the same value.</w:t>
      </w:r>
    </w:p>
    <w:p>
      <w:pPr>
        <w:rPr>
          <w:b/>
          <w:bCs/>
        </w:rPr>
      </w:pPr>
      <w:r>
        <w:rPr>
          <w:bCs/>
          <w:u w:val="single"/>
        </w:rPr>
        <w:t>Interpolation Options</w:t>
      </w:r>
    </w:p>
    <w:p>
      <w:r>
        <w:rPr>
          <w:bCs/>
        </w:rPr>
        <w:t xml:space="preserve">The selections in this section </w:t>
      </w:r>
      <w:r>
        <w:t xml:space="preserve">set how SMAT-CE will </w:t>
      </w:r>
      <w:r>
        <w:rPr>
          <w:color w:val="000000" w:themeColor="text1"/>
          <w14:textFill>
            <w14:solidFill>
              <w14:schemeClr w14:val="tx1"/>
            </w14:solidFill>
          </w14:textFill>
        </w:rPr>
        <w:t xml:space="preserve">interpolate, or combine, the values from different monitors. One approach is to use Inverse Distance Weights, </w:t>
      </w:r>
      <w:r>
        <w:t>which assigns a weight to any particular monitor that is inversely proportional to its distance from the point of interest. A second approach is Inverse Distance Squared Weights, which means that the weights are inversely proportional to the square of the distance. And the third approach is Equal Weighting of Monitors. The default approach for PM is Inverse Distance Squared Weights.</w:t>
      </w:r>
    </w:p>
    <w:p>
      <w:r>
        <w:t xml:space="preserve">When interpolating monitor values, SMAT-CE identifies monitors based on their distance away from the point of interest (e.g., the center of a grid cell). The first step in the interpolation process is to identify the monitors that are nearby, or neighbors, for each point of interest. The next step is to determine the distance (in kilometers) from the nearby monitors to the point of interest. The default approach is to include all valid monitors (i.e., those that satisfy the three criteria in the </w:t>
      </w:r>
      <w:r>
        <w:rPr>
          <w:color w:val="000000" w:themeColor="text1"/>
          <w14:textFill>
            <w14:solidFill>
              <w14:schemeClr w14:val="tx1"/>
            </w14:solidFill>
          </w14:textFill>
        </w:rPr>
        <w:t xml:space="preserve">Species Fractions Calculation Options </w:t>
      </w:r>
      <w:r>
        <w:t xml:space="preserve">panel), regardless of distance. To limit the use of monitors based on distance, type in the distance in km (e.g., 100) next to the pollutant of interest. Note that a distance of 100 kilometers means that any monitors further than 100 kilometers can no longer be used in the interpolation. If a point of interest has no monitors within the specified distance, then no value is calculated. </w:t>
      </w:r>
    </w:p>
    <w:p>
      <w:r>
        <w:t xml:space="preserve">The Miscellaneous Options panel sets the following options for SMAT-CE: </w:t>
      </w:r>
    </w:p>
    <w:p>
      <w:r>
        <w:rPr>
          <w:bCs/>
          <w:u w:val="single"/>
        </w:rPr>
        <w:t>Ammonium</w:t>
      </w:r>
      <w:r>
        <w:t xml:space="preserve"> </w:t>
      </w:r>
    </w:p>
    <w:p>
      <w:r>
        <w:t>Specify whether to use degree of neutralization (DON) values to calculate ammonium (NH</w:t>
      </w:r>
      <w:r>
        <w:rPr>
          <w:vertAlign w:val="subscript"/>
        </w:rPr>
        <w:t>4</w:t>
      </w:r>
      <w:r>
        <w:t>) or to use measured ammonium in conjunction with an assumption about the percentage of NH</w:t>
      </w:r>
      <w:r>
        <w:rPr>
          <w:vertAlign w:val="subscript"/>
        </w:rPr>
        <w:t>4</w:t>
      </w:r>
      <w:r>
        <w:t xml:space="preserve"> that evaporates. The default option is to use DON values. To use measured ammonium, click the button and choose an NH</w:t>
      </w:r>
      <w:r>
        <w:rPr>
          <w:vertAlign w:val="subscript"/>
        </w:rPr>
        <w:t>4</w:t>
      </w:r>
      <w:r>
        <w:t xml:space="preserve"> percentage evaporating (e.g., 50). The default is "0", which assumes that no ammonium evaporates from the FRM filters. </w:t>
      </w:r>
    </w:p>
    <w:p>
      <w:r>
        <w:rPr>
          <w:bCs/>
          <w:u w:val="single"/>
        </w:rPr>
        <w:t>Default Blank Mass</w:t>
      </w:r>
    </w:p>
    <w:p>
      <w:r>
        <w:t>The Default Blank Mass option sets default blank mass to the desired level. The default is 0.5. Either type in or use the arrows to increase or decrease the value.</w:t>
      </w:r>
    </w:p>
    <w:p>
      <w:r>
        <w:rPr>
          <w:bCs/>
          <w:u w:val="single"/>
        </w:rPr>
        <w:t>Organic Carbon</w:t>
      </w:r>
      <w:r>
        <w:t xml:space="preserve"> </w:t>
      </w:r>
    </w:p>
    <w:p>
      <w:r>
        <w:t xml:space="preserve">Set the "floor" and the "ceiling" for the mass balance calculation for organic carbon. </w:t>
      </w:r>
    </w:p>
    <w:p>
      <w:pPr>
        <w:pStyle w:val="4"/>
      </w:pPr>
      <w:r>
        <w:t>Run the Eastern U.S. Example</w:t>
      </w:r>
    </w:p>
    <w:p>
      <w:r>
        <w:t xml:space="preserve">Use the default settings for the Species Fraction Options for the Eastern U.S. example project. Either click </w:t>
      </w:r>
      <w:r>
        <w:rPr>
          <w:lang w:eastAsia="en-US"/>
        </w:rPr>
        <w:t xml:space="preserve">Next </w:t>
      </w:r>
      <w:r>
        <w:t xml:space="preserve">or double-click the </w:t>
      </w:r>
      <w:r>
        <w:rPr>
          <w:b/>
          <w:bCs/>
        </w:rPr>
        <w:t>PM</w:t>
      </w:r>
      <w:r>
        <w:rPr>
          <w:b/>
          <w:bCs/>
          <w:vertAlign w:val="subscript"/>
        </w:rPr>
        <w:t xml:space="preserve">2.5 </w:t>
      </w:r>
      <w:r>
        <w:rPr>
          <w:b/>
          <w:bCs/>
        </w:rPr>
        <w:t>Calculation Options</w:t>
      </w:r>
      <w:r>
        <w:t xml:space="preserve"> button in the upper left-hand panel of </w:t>
      </w:r>
      <w:r>
        <w:rPr>
          <w:b/>
        </w:rPr>
        <w:t>Daily PM Analysis</w:t>
      </w:r>
      <w:r>
        <w:t xml:space="preserve"> window. The button next to </w:t>
      </w:r>
      <w:r>
        <w:rPr>
          <w:b/>
          <w:bCs/>
        </w:rPr>
        <w:t xml:space="preserve">Species Fraction Options </w:t>
      </w:r>
      <w:r>
        <w:t>will turn from yellow to green, indicating that this step is complete.</w:t>
      </w:r>
    </w:p>
    <w:p>
      <w:pPr>
        <w:pStyle w:val="3"/>
      </w:pPr>
      <w:bookmarkStart w:id="330" w:name="_Toc119010878"/>
      <w:bookmarkStart w:id="331" w:name="_Toc7126"/>
      <w:r>
        <w:rPr>
          <w:rFonts w:hint="eastAsia"/>
        </w:rPr>
        <w:t>PM</w:t>
      </w:r>
      <w:r>
        <w:rPr>
          <w:vertAlign w:val="subscript"/>
        </w:rPr>
        <w:t xml:space="preserve">2.5 </w:t>
      </w:r>
      <w:r>
        <w:rPr>
          <w:rFonts w:hint="eastAsia"/>
        </w:rPr>
        <w:t>Calculation Options</w:t>
      </w:r>
      <w:bookmarkEnd w:id="330"/>
      <w:bookmarkEnd w:id="331"/>
    </w:p>
    <w:p>
      <w:pPr>
        <w:keepNext/>
        <w:jc w:val="center"/>
      </w:pPr>
      <w:r>
        <w:drawing>
          <wp:inline distT="0" distB="0" distL="0" distR="0">
            <wp:extent cx="5274310" cy="370332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5"/>
                    <a:stretch>
                      <a:fillRect/>
                    </a:stretch>
                  </pic:blipFill>
                  <pic:spPr>
                    <a:xfrm>
                      <a:off x="0" y="0"/>
                      <a:ext cx="5274310" cy="3703320"/>
                    </a:xfrm>
                    <a:prstGeom prst="rect">
                      <a:avLst/>
                    </a:prstGeom>
                  </pic:spPr>
                </pic:pic>
              </a:graphicData>
            </a:graphic>
          </wp:inline>
        </w:drawing>
      </w:r>
    </w:p>
    <w:p>
      <w:pPr>
        <w:pStyle w:val="12"/>
        <w:rPr>
          <w:b w:val="0"/>
          <w:bCs/>
          <w:i/>
          <w:iCs/>
        </w:rPr>
      </w:pPr>
      <w:bookmarkStart w:id="332" w:name="_Ref474935227"/>
      <w:bookmarkStart w:id="333" w:name="_Toc2192"/>
      <w:bookmarkStart w:id="334" w:name="_Toc4189"/>
      <w:bookmarkStart w:id="335" w:name="_Toc22721"/>
      <w:bookmarkStart w:id="336" w:name="_Toc476654228"/>
      <w:bookmarkStart w:id="337" w:name="_Toc12414"/>
      <w:bookmarkStart w:id="338" w:name="_Toc119010920"/>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7</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6</w:t>
      </w:r>
      <w:r>
        <w:rPr>
          <w:b w:val="0"/>
          <w:bCs/>
          <w:i/>
          <w:iCs/>
        </w:rPr>
        <w:fldChar w:fldCharType="end"/>
      </w:r>
      <w:bookmarkEnd w:id="332"/>
      <w:bookmarkStart w:id="339" w:name="_Toc31681"/>
      <w:r>
        <w:rPr>
          <w:b w:val="0"/>
          <w:bCs/>
          <w:i/>
          <w:iCs/>
        </w:rPr>
        <w:t>. PM</w:t>
      </w:r>
      <w:r>
        <w:rPr>
          <w:b w:val="0"/>
          <w:bCs/>
          <w:i/>
          <w:iCs/>
          <w:vertAlign w:val="subscript"/>
        </w:rPr>
        <w:t xml:space="preserve">2.5 </w:t>
      </w:r>
      <w:r>
        <w:rPr>
          <w:b w:val="0"/>
          <w:bCs/>
          <w:i/>
          <w:iCs/>
        </w:rPr>
        <w:t>Calculation Options for Daily PM</w:t>
      </w:r>
      <w:r>
        <w:rPr>
          <w:b w:val="0"/>
          <w:bCs/>
          <w:i/>
          <w:iCs/>
          <w:vertAlign w:val="subscript"/>
        </w:rPr>
        <w:t xml:space="preserve">2.5 </w:t>
      </w:r>
      <w:r>
        <w:rPr>
          <w:b w:val="0"/>
          <w:bCs/>
          <w:i/>
          <w:iCs/>
        </w:rPr>
        <w:t>Analysis</w:t>
      </w:r>
      <w:bookmarkEnd w:id="333"/>
      <w:bookmarkEnd w:id="334"/>
      <w:bookmarkEnd w:id="335"/>
      <w:bookmarkEnd w:id="336"/>
      <w:bookmarkEnd w:id="337"/>
      <w:bookmarkEnd w:id="338"/>
      <w:bookmarkEnd w:id="339"/>
    </w:p>
    <w:p>
      <w:r>
        <w:t xml:space="preserve">The </w:t>
      </w:r>
      <w:r>
        <w:rPr>
          <w:b/>
        </w:rPr>
        <w:t>PM</w:t>
      </w:r>
      <w:r>
        <w:rPr>
          <w:b/>
          <w:vertAlign w:val="subscript"/>
        </w:rPr>
        <w:t xml:space="preserve">2.5 </w:t>
      </w:r>
      <w:r>
        <w:rPr>
          <w:b/>
        </w:rPr>
        <w:t>Calculation Options</w:t>
      </w:r>
      <w:r>
        <w:t xml:space="preserve"> window</w:t>
      </w:r>
      <w:r>
        <w:rPr>
          <w:rFonts w:hint="eastAsia"/>
        </w:rPr>
        <w:t xml:space="preserve"> shown in </w:t>
      </w:r>
      <w:r>
        <w:fldChar w:fldCharType="begin"/>
      </w:r>
      <w:r>
        <w:instrText xml:space="preserve"> </w:instrText>
      </w:r>
      <w:r>
        <w:rPr>
          <w:rFonts w:hint="eastAsia"/>
        </w:rPr>
        <w:instrText xml:space="preserve">REF _Ref474935227 \h</w:instrText>
      </w:r>
      <w:r>
        <w:instrText xml:space="preserve"> </w:instrText>
      </w:r>
      <w:r>
        <w:fldChar w:fldCharType="separate"/>
      </w:r>
      <w:r>
        <w:rPr>
          <w:bCs/>
          <w:i/>
          <w:iCs/>
        </w:rPr>
        <w:t xml:space="preserve">Figure </w:t>
      </w:r>
      <w:r>
        <w:rPr>
          <w:b/>
          <w:bCs/>
          <w:i/>
          <w:iCs/>
        </w:rPr>
        <w:t>7</w:t>
      </w:r>
      <w:r>
        <w:rPr>
          <w:bCs/>
          <w:i/>
          <w:iCs/>
        </w:rPr>
        <w:noBreakHyphen/>
      </w:r>
      <w:r>
        <w:rPr>
          <w:b/>
          <w:bCs/>
          <w:i/>
          <w:iCs/>
        </w:rPr>
        <w:t>6</w:t>
      </w:r>
      <w:r>
        <w:fldChar w:fldCharType="end"/>
      </w:r>
      <w:r>
        <w:t xml:space="preserve"> sets the particular years of monitor data to use from the input file specified in the </w:t>
      </w:r>
      <w:r>
        <w:rPr>
          <w:b/>
        </w:rPr>
        <w:t xml:space="preserve">Data Input </w:t>
      </w:r>
      <w:r>
        <w:t>window. The following options are available in this window.</w:t>
      </w:r>
    </w:p>
    <w:p>
      <w:pPr>
        <w:rPr>
          <w:u w:val="single"/>
        </w:rPr>
      </w:pPr>
      <w:r>
        <w:rPr>
          <w:u w:val="single"/>
        </w:rPr>
        <w:t>PM</w:t>
      </w:r>
      <w:r>
        <w:rPr>
          <w:u w:val="single"/>
          <w:vertAlign w:val="subscript"/>
        </w:rPr>
        <w:t xml:space="preserve">2.5 </w:t>
      </w:r>
      <w:r>
        <w:rPr>
          <w:u w:val="single"/>
        </w:rPr>
        <w:t>Monitor Data Years</w:t>
      </w:r>
    </w:p>
    <w:p>
      <w:r>
        <w:t>The Start Year and End Year drop-down menu options list the years of available official PM monitor data to use in the calculation of future PM</w:t>
      </w:r>
      <w:r>
        <w:rPr>
          <w:vertAlign w:val="subscript"/>
        </w:rPr>
        <w:t xml:space="preserve">2.5 </w:t>
      </w:r>
      <w:r>
        <w:t>design values. The default approach in SMAT-CE is to use five years of data.</w:t>
      </w:r>
    </w:p>
    <w:p>
      <w:r>
        <w:t>SMAT-CE provides the option to use "official" design values, which are generally recommended, or to choose "custom" design values. The custom design values option requires the specification of the minimum number of observation days in each quarter and the minimum number of quarters to produce valid design values.</w:t>
      </w:r>
    </w:p>
    <w:p>
      <w:r>
        <w:rPr>
          <w:u w:val="single"/>
        </w:rPr>
        <w:t>Valid FRM Monitors</w:t>
      </w:r>
      <w:r>
        <w:t xml:space="preserve"> </w:t>
      </w:r>
    </w:p>
    <w:p>
      <w:r>
        <w:t xml:space="preserve">By default, SMAT-CE assumes that there only needs to be one design value for a monitor to be considered valid. In addition, SMAT-CE assumes that no particular design value is required, so different monitors with different years of data could be used. </w:t>
      </w:r>
    </w:p>
    <w:p>
      <w:r>
        <w:t xml:space="preserve">For example, a start year and end year as 2005 and 2009 gives potential 3-year design values of 2005-2007, 2006-2008, and 2007-2009. When the Minimum Number of Design Values is set to 1, one monitor could have data for, say, 2005-2007 and another monitor data for 2006-2008, and both monitors would be used. A Minimum Number of Design Values setting of 2 would only use monitors that have design values for two of the three design value periods, ignoring monitors that only have design values for a single period. </w:t>
      </w:r>
    </w:p>
    <w:p>
      <w:pPr>
        <w:rPr>
          <w:u w:val="single"/>
        </w:rPr>
      </w:pPr>
      <w:r>
        <w:rPr>
          <w:u w:val="single"/>
        </w:rPr>
        <w:t>NH</w:t>
      </w:r>
      <w:r>
        <w:rPr>
          <w:u w:val="single"/>
          <w:vertAlign w:val="subscript"/>
        </w:rPr>
        <w:t>4</w:t>
      </w:r>
      <w:r>
        <w:rPr>
          <w:u w:val="single"/>
        </w:rPr>
        <w:t xml:space="preserve"> Future Calculation</w:t>
      </w:r>
    </w:p>
    <w:p>
      <w:r>
        <w:t>SMAT-CE can forecast NH</w:t>
      </w:r>
      <w:r>
        <w:rPr>
          <w:vertAlign w:val="subscript"/>
        </w:rPr>
        <w:t>4</w:t>
      </w:r>
      <w:r>
        <w:t xml:space="preserve"> in two different ways. The default approach uses base year DON values. See Section 7.1.2.4 of the MATS User’s Manual for details on the forms of the two equations that are available to forecast NH</w:t>
      </w:r>
      <w:r>
        <w:rPr>
          <w:vertAlign w:val="subscript"/>
        </w:rPr>
        <w:t>4</w:t>
      </w:r>
      <w:r>
        <w:t>.</w:t>
      </w:r>
    </w:p>
    <w:p>
      <w:pPr>
        <w:pStyle w:val="4"/>
      </w:pPr>
      <w:r>
        <w:t>Run the Eastern U.S. Example</w:t>
      </w:r>
    </w:p>
    <w:p>
      <w:r>
        <w:t>Use the default settings for the PM</w:t>
      </w:r>
      <w:r>
        <w:rPr>
          <w:vertAlign w:val="subscript"/>
        </w:rPr>
        <w:t xml:space="preserve">2.5 </w:t>
      </w:r>
      <w:r>
        <w:t xml:space="preserve">Calculation Options for the Eastern U.S. example project. Either click </w:t>
      </w:r>
      <w:r>
        <w:rPr>
          <w:lang w:eastAsia="en-US"/>
        </w:rPr>
        <w:t xml:space="preserve">Next </w:t>
      </w:r>
      <w:r>
        <w:t xml:space="preserve">or double-click the </w:t>
      </w:r>
      <w:r>
        <w:rPr>
          <w:b/>
          <w:bCs/>
        </w:rPr>
        <w:t>Model Data Options</w:t>
      </w:r>
      <w:r>
        <w:t xml:space="preserve"> button in the upper left-hand panel of </w:t>
      </w:r>
      <w:r>
        <w:rPr>
          <w:b/>
        </w:rPr>
        <w:t>Daily PM Analysis</w:t>
      </w:r>
      <w:r>
        <w:t xml:space="preserve"> window. The button next to </w:t>
      </w:r>
      <w:r>
        <w:rPr>
          <w:b/>
          <w:bCs/>
        </w:rPr>
        <w:t>PM</w:t>
      </w:r>
      <w:r>
        <w:rPr>
          <w:b/>
          <w:bCs/>
          <w:vertAlign w:val="subscript"/>
        </w:rPr>
        <w:t xml:space="preserve">2.5 </w:t>
      </w:r>
      <w:r>
        <w:rPr>
          <w:b/>
          <w:bCs/>
        </w:rPr>
        <w:t xml:space="preserve">Calculation Options </w:t>
      </w:r>
      <w:r>
        <w:t>will turn from yellow to green, indicating that this step is complete.</w:t>
      </w:r>
    </w:p>
    <w:p>
      <w:pPr>
        <w:pStyle w:val="3"/>
      </w:pPr>
      <w:bookmarkStart w:id="340" w:name="_Toc476654843"/>
      <w:bookmarkStart w:id="341" w:name="_Toc119010879"/>
      <w:bookmarkStart w:id="342" w:name="_Toc476654465"/>
      <w:bookmarkStart w:id="343" w:name="_Toc476653942"/>
      <w:bookmarkStart w:id="344" w:name="_Toc24993"/>
      <w:r>
        <w:rPr>
          <w:rFonts w:hint="eastAsia"/>
        </w:rPr>
        <w:t>Model Data Options</w:t>
      </w:r>
      <w:bookmarkEnd w:id="340"/>
      <w:bookmarkEnd w:id="341"/>
      <w:bookmarkEnd w:id="342"/>
      <w:bookmarkEnd w:id="343"/>
      <w:bookmarkEnd w:id="344"/>
    </w:p>
    <w:p>
      <w:pPr>
        <w:keepNext/>
        <w:jc w:val="center"/>
      </w:pPr>
      <w:r>
        <w:rPr>
          <w:lang w:eastAsia="en-US"/>
        </w:rPr>
        <w:drawing>
          <wp:inline distT="0" distB="0" distL="0" distR="0">
            <wp:extent cx="5267325" cy="3696335"/>
            <wp:effectExtent l="0" t="0" r="9525" b="0"/>
            <wp:docPr id="94" name="图片 94" descr="C:\Users\Administrator\Desktop\help\3.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C:\Users\Administrator\Desktop\help\3.2.6-1.jpg"/>
                    <pic:cNvPicPr>
                      <a:picLocks noChangeAspect="1" noChangeArrowheads="1"/>
                    </pic:cNvPicPr>
                  </pic:nvPicPr>
                  <pic:blipFill>
                    <a:blip r:embed="rId36">
                      <a:extLst>
                        <a:ext uri="{28A0092B-C50C-407E-A947-70E740481C1C}">
                          <a14:useLocalDpi xmlns:a14="http://schemas.microsoft.com/office/drawing/2010/main" val="0"/>
                        </a:ext>
                      </a:extLst>
                    </a:blip>
                    <a:srcRect t="3553"/>
                    <a:stretch>
                      <a:fillRect/>
                    </a:stretch>
                  </pic:blipFill>
                  <pic:spPr>
                    <a:xfrm>
                      <a:off x="0" y="0"/>
                      <a:ext cx="5274310" cy="3701057"/>
                    </a:xfrm>
                    <a:prstGeom prst="rect">
                      <a:avLst/>
                    </a:prstGeom>
                    <a:noFill/>
                    <a:ln>
                      <a:noFill/>
                    </a:ln>
                  </pic:spPr>
                </pic:pic>
              </a:graphicData>
            </a:graphic>
          </wp:inline>
        </w:drawing>
      </w:r>
    </w:p>
    <w:p>
      <w:pPr>
        <w:pStyle w:val="12"/>
        <w:rPr>
          <w:b w:val="0"/>
          <w:bCs/>
          <w:i/>
          <w:iCs/>
        </w:rPr>
      </w:pPr>
      <w:bookmarkStart w:id="345" w:name="_Ref474935908"/>
      <w:bookmarkStart w:id="346" w:name="_Toc119010921"/>
      <w:bookmarkStart w:id="347" w:name="_Toc22390"/>
      <w:bookmarkStart w:id="348" w:name="_Toc28175"/>
      <w:bookmarkStart w:id="349" w:name="_Toc6506"/>
      <w:bookmarkStart w:id="350" w:name="_Toc476654229"/>
      <w:bookmarkStart w:id="351" w:name="_Toc31671"/>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7</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7</w:t>
      </w:r>
      <w:r>
        <w:rPr>
          <w:b w:val="0"/>
          <w:bCs/>
          <w:i/>
          <w:iCs/>
        </w:rPr>
        <w:fldChar w:fldCharType="end"/>
      </w:r>
      <w:bookmarkEnd w:id="345"/>
      <w:bookmarkStart w:id="352" w:name="_Toc29524"/>
      <w:r>
        <w:rPr>
          <w:b w:val="0"/>
          <w:bCs/>
          <w:i/>
          <w:iCs/>
        </w:rPr>
        <w:t>. Model Data Options for Daily PM</w:t>
      </w:r>
      <w:r>
        <w:rPr>
          <w:b w:val="0"/>
          <w:bCs/>
          <w:i/>
          <w:iCs/>
          <w:vertAlign w:val="subscript"/>
        </w:rPr>
        <w:t xml:space="preserve">2.5 </w:t>
      </w:r>
      <w:r>
        <w:rPr>
          <w:b w:val="0"/>
          <w:bCs/>
          <w:i/>
          <w:iCs/>
        </w:rPr>
        <w:t>Analysis</w:t>
      </w:r>
      <w:bookmarkEnd w:id="346"/>
      <w:bookmarkEnd w:id="347"/>
      <w:bookmarkEnd w:id="348"/>
      <w:bookmarkEnd w:id="349"/>
      <w:bookmarkEnd w:id="350"/>
      <w:bookmarkEnd w:id="351"/>
      <w:bookmarkEnd w:id="352"/>
    </w:p>
    <w:p>
      <w:pPr>
        <w:rPr>
          <w:rFonts w:cs="Times New Roman"/>
          <w:color w:val="000000"/>
          <w:kern w:val="0"/>
          <w:sz w:val="22"/>
        </w:rPr>
      </w:pPr>
      <w:r>
        <w:t xml:space="preserve">The </w:t>
      </w:r>
      <w:r>
        <w:rPr>
          <w:b/>
        </w:rPr>
        <w:t>Model Data Options</w:t>
      </w:r>
      <w:r>
        <w:t xml:space="preserve"> window</w:t>
      </w:r>
      <w:r>
        <w:rPr>
          <w:rFonts w:hint="eastAsia"/>
        </w:rPr>
        <w:t xml:space="preserve"> shown in</w:t>
      </w:r>
      <w:r>
        <w:t xml:space="preserve"> </w:t>
      </w:r>
      <w:r>
        <w:fldChar w:fldCharType="begin"/>
      </w:r>
      <w:r>
        <w:instrText xml:space="preserve"> REF _Ref474935908 \h </w:instrText>
      </w:r>
      <w:r>
        <w:fldChar w:fldCharType="separate"/>
      </w:r>
      <w:r>
        <w:rPr>
          <w:bCs/>
          <w:i/>
          <w:iCs/>
        </w:rPr>
        <w:t xml:space="preserve">Figure </w:t>
      </w:r>
      <w:r>
        <w:rPr>
          <w:b/>
          <w:bCs/>
          <w:i/>
          <w:iCs/>
        </w:rPr>
        <w:t>7</w:t>
      </w:r>
      <w:r>
        <w:rPr>
          <w:bCs/>
          <w:i/>
          <w:iCs/>
        </w:rPr>
        <w:noBreakHyphen/>
      </w:r>
      <w:r>
        <w:rPr>
          <w:b/>
          <w:bCs/>
          <w:i/>
          <w:iCs/>
        </w:rPr>
        <w:t>7</w:t>
      </w:r>
      <w:r>
        <w:fldChar w:fldCharType="end"/>
      </w:r>
      <w:r>
        <w:t>. This window sets the temporal adjustments for each monitor</w:t>
      </w:r>
      <w:r>
        <w:rPr>
          <w:rFonts w:cs="Times New Roman"/>
          <w:color w:val="000000"/>
          <w:kern w:val="0"/>
          <w:sz w:val="22"/>
        </w:rPr>
        <w:t>:</w:t>
      </w:r>
    </w:p>
    <w:p>
      <w:pPr>
        <w:rPr>
          <w:bCs/>
          <w:u w:val="single"/>
        </w:rPr>
      </w:pPr>
      <w:r>
        <w:rPr>
          <w:bCs/>
          <w:u w:val="single"/>
        </w:rPr>
        <w:t xml:space="preserve">Temporal Adjustment at Monitor </w:t>
      </w:r>
    </w:p>
    <w:p>
      <w:r>
        <w:t xml:space="preserve">This option specifies how many model grid cells to use in the calculation of RRFs for point estimates and for spatial estimates. </w:t>
      </w:r>
      <w:r>
        <w:rPr>
          <w:rFonts w:cs="Times New Roman"/>
          <w:color w:val="000000"/>
          <w:kern w:val="0"/>
          <w:szCs w:val="24"/>
        </w:rPr>
        <w:t>A drop-down menu provides options to use 1x1, 3x3, 5x5, and 7x7 arrays of model grid cells. The default for a 12-kilometer by 12-kilometer grid is to use a 3x3 array of grid cells. The</w:t>
      </w:r>
      <w:r>
        <w:t xml:space="preserve"> U.S. EPA </w:t>
      </w:r>
      <w:r>
        <w:rPr>
          <w:szCs w:val="24"/>
        </w:rPr>
        <w:t>Draft Modeling Guidance for</w:t>
      </w:r>
      <w:r>
        <w:t xml:space="preserve"> </w:t>
      </w:r>
      <w:r>
        <w:rPr>
          <w:szCs w:val="24"/>
        </w:rPr>
        <w:t>Attainment of Air Quality Goals for Ozone, PM</w:t>
      </w:r>
      <w:r>
        <w:rPr>
          <w:szCs w:val="24"/>
          <w:vertAlign w:val="subscript"/>
        </w:rPr>
        <w:t>2.5</w:t>
      </w:r>
      <w:r>
        <w:rPr>
          <w:szCs w:val="24"/>
        </w:rPr>
        <w:t>, and Regional Haze (U.S. EPA, 2014)</w:t>
      </w:r>
      <w:r>
        <w:rPr>
          <w:rFonts w:cs="Times New Roman"/>
          <w:color w:val="000000"/>
          <w:kern w:val="0"/>
          <w:szCs w:val="24"/>
        </w:rPr>
        <w:t xml:space="preserve"> includes discussion on selecting the appropriate grid call array size for different model resolutions. </w:t>
      </w:r>
    </w:p>
    <w:p>
      <w:r>
        <w:t xml:space="preserve">Note that for PM analyses, SMAT-CE calculates </w:t>
      </w:r>
      <w:r>
        <w:rPr>
          <w:b/>
          <w:bCs/>
        </w:rPr>
        <w:t>mean</w:t>
      </w:r>
      <w:r>
        <w:t xml:space="preserve"> concentrations across the grid cell array (as compared to maximum concentrations used for ozone analyses).</w:t>
      </w:r>
    </w:p>
    <w:p>
      <w:pPr>
        <w:rPr>
          <w:u w:val="single"/>
        </w:rPr>
      </w:pPr>
      <w:r>
        <w:rPr>
          <w:u w:val="single"/>
        </w:rPr>
        <w:t>Advanced Options: RRF Model Values Used</w:t>
      </w:r>
    </w:p>
    <w:p>
      <w:r>
        <w:t xml:space="preserve">This option allows presents three different ways to calculate quarterly peak modeled values: (1) the top X percent of daily model days, (2) all daily model values greater than or equal to a specified amount, and (3) the top X number of model days. The three options are described in Section </w:t>
      </w:r>
      <w:r>
        <w:fldChar w:fldCharType="begin"/>
      </w:r>
      <w:r>
        <w:instrText xml:space="preserve"> REF _Ref474936227 \r \h </w:instrText>
      </w:r>
      <w:r>
        <w:fldChar w:fldCharType="separate"/>
      </w:r>
      <w:r>
        <w:t>7.4</w:t>
      </w:r>
      <w:r>
        <w:fldChar w:fldCharType="end"/>
      </w:r>
      <w:r>
        <w:t>: Species Fractions Calculation Options–Advanced. SMAT-CE determines the peak modeled days by sorting the PM</w:t>
      </w:r>
      <w:r>
        <w:rPr>
          <w:vertAlign w:val="subscript"/>
        </w:rPr>
        <w:t xml:space="preserve">2.5 </w:t>
      </w:r>
      <w:r>
        <w:t>concentrations in the baseline model data input file.</w:t>
      </w:r>
    </w:p>
    <w:p>
      <w:pPr>
        <w:pStyle w:val="4"/>
      </w:pPr>
      <w:r>
        <w:t>Run the Eastern U.S. Example</w:t>
      </w:r>
    </w:p>
    <w:p>
      <w:r>
        <w:t xml:space="preserve">Use the default settings for the Model Data Options for the Eastern U.S. example project. Either click </w:t>
      </w:r>
      <w:r>
        <w:rPr>
          <w:b/>
          <w:lang w:eastAsia="en-US"/>
        </w:rPr>
        <w:t>Next</w:t>
      </w:r>
      <w:r>
        <w:rPr>
          <w:lang w:eastAsia="en-US"/>
        </w:rPr>
        <w:t xml:space="preserve">, which will bring up a window prompting to “Save &amp; Run Project” or </w:t>
      </w:r>
      <w:r>
        <w:t xml:space="preserve">click the </w:t>
      </w:r>
      <w:r>
        <w:rPr>
          <w:b/>
        </w:rPr>
        <w:t>Save Project &amp; Run</w:t>
      </w:r>
      <w:r>
        <w:t xml:space="preserve"> button at the bottom of the SMAT-CE window.</w:t>
      </w:r>
    </w:p>
    <w:p>
      <w:r>
        <w:t>The Daily PM</w:t>
      </w:r>
      <w:r>
        <w:rPr>
          <w:vertAlign w:val="subscript"/>
        </w:rPr>
        <w:t xml:space="preserve">2.5 </w:t>
      </w:r>
      <w:r>
        <w:t xml:space="preserve">Analysis project may also be saved without running SMAT-CE by clicking the </w:t>
      </w:r>
      <w:r>
        <w:rPr>
          <w:b/>
          <w:bCs/>
        </w:rPr>
        <w:t>Save Project</w:t>
      </w:r>
      <w:r>
        <w:t xml:space="preserve"> button. A file explorer window will request a filename to which the project settings will be saved to a *.proj file. This file can be loaded later to restart the analysis.  </w:t>
      </w:r>
    </w:p>
    <w:p>
      <w:r>
        <w:t>For the Eastern U.S. example, choosing to save and run the Daily PM</w:t>
      </w:r>
      <w:r>
        <w:rPr>
          <w:vertAlign w:val="subscript"/>
        </w:rPr>
        <w:t xml:space="preserve">2.5 </w:t>
      </w:r>
      <w:r>
        <w:t xml:space="preserve">Analysis project. A file explorer window will request a filename (*.proj) to which to save the project settings. While the Analysis is running, the icon next to </w:t>
      </w:r>
      <w:r>
        <w:rPr>
          <w:b/>
          <w:bCs/>
        </w:rPr>
        <w:t>Model Data Options</w:t>
      </w:r>
      <w:r>
        <w:t xml:space="preserve"> will turn to a running status and status messages will be displayed in the </w:t>
      </w:r>
      <w:r>
        <w:rPr>
          <w:b/>
        </w:rPr>
        <w:t>Log &amp; Msg</w:t>
      </w:r>
      <w:r>
        <w:t xml:space="preserve"> tab on the right panel of the SMAT-CE main window (</w:t>
      </w:r>
      <w:r>
        <w:fldChar w:fldCharType="begin"/>
      </w:r>
      <w:r>
        <w:instrText xml:space="preserve"> REF _Ref474936438 \h </w:instrText>
      </w:r>
      <w:r>
        <w:fldChar w:fldCharType="separate"/>
      </w:r>
      <w:r>
        <w:rPr>
          <w:bCs/>
          <w:i/>
          <w:iCs/>
        </w:rPr>
        <w:t xml:space="preserve">Figure </w:t>
      </w:r>
      <w:r>
        <w:rPr>
          <w:b/>
          <w:bCs/>
          <w:i/>
          <w:iCs/>
        </w:rPr>
        <w:t>7</w:t>
      </w:r>
      <w:r>
        <w:rPr>
          <w:bCs/>
          <w:i/>
          <w:iCs/>
        </w:rPr>
        <w:noBreakHyphen/>
      </w:r>
      <w:r>
        <w:rPr>
          <w:b/>
          <w:bCs/>
          <w:i/>
          <w:iCs/>
        </w:rPr>
        <w:t>8</w:t>
      </w:r>
      <w:r>
        <w:fldChar w:fldCharType="end"/>
      </w:r>
      <w:r>
        <w:t xml:space="preserve"> ).</w:t>
      </w:r>
    </w:p>
    <w:p>
      <w:pPr>
        <w:keepNext/>
        <w:jc w:val="center"/>
      </w:pPr>
      <w:r>
        <w:rPr>
          <w:lang w:eastAsia="en-US"/>
        </w:rPr>
        <w:drawing>
          <wp:inline distT="0" distB="0" distL="0" distR="0">
            <wp:extent cx="5269230" cy="3676650"/>
            <wp:effectExtent l="0" t="0" r="7620" b="0"/>
            <wp:docPr id="29"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5"/>
                    <pic:cNvPicPr>
                      <a:picLocks noChangeAspect="1"/>
                    </pic:cNvPicPr>
                  </pic:nvPicPr>
                  <pic:blipFill>
                    <a:blip r:embed="rId37"/>
                    <a:srcRect t="4061"/>
                    <a:stretch>
                      <a:fillRect/>
                    </a:stretch>
                  </pic:blipFill>
                  <pic:spPr>
                    <a:xfrm>
                      <a:off x="0" y="0"/>
                      <a:ext cx="5274310" cy="3680303"/>
                    </a:xfrm>
                    <a:prstGeom prst="rect">
                      <a:avLst/>
                    </a:prstGeom>
                    <a:ln>
                      <a:noFill/>
                    </a:ln>
                  </pic:spPr>
                </pic:pic>
              </a:graphicData>
            </a:graphic>
          </wp:inline>
        </w:drawing>
      </w:r>
    </w:p>
    <w:p>
      <w:pPr>
        <w:pStyle w:val="12"/>
        <w:rPr>
          <w:rFonts w:cs="Times New Roman"/>
          <w:b w:val="0"/>
          <w:bCs/>
          <w:i/>
          <w:iCs/>
          <w:color w:val="000000"/>
          <w:sz w:val="22"/>
        </w:rPr>
      </w:pPr>
      <w:bookmarkStart w:id="353" w:name="_Ref474936438"/>
      <w:bookmarkStart w:id="354" w:name="_Toc4892"/>
      <w:bookmarkStart w:id="355" w:name="_Toc28550"/>
      <w:bookmarkStart w:id="356" w:name="_Toc3627"/>
      <w:bookmarkStart w:id="357" w:name="_Toc119010922"/>
      <w:bookmarkStart w:id="358" w:name="_Toc476654230"/>
      <w:bookmarkStart w:id="359" w:name="_Toc23983"/>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7</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8</w:t>
      </w:r>
      <w:r>
        <w:rPr>
          <w:b w:val="0"/>
          <w:bCs/>
          <w:i/>
          <w:iCs/>
        </w:rPr>
        <w:fldChar w:fldCharType="end"/>
      </w:r>
      <w:bookmarkEnd w:id="353"/>
      <w:bookmarkStart w:id="360" w:name="_Toc18587"/>
      <w:r>
        <w:rPr>
          <w:b w:val="0"/>
          <w:bCs/>
          <w:i/>
          <w:iCs/>
        </w:rPr>
        <w:t>. Daily PM2.5 Analysis run status</w:t>
      </w:r>
      <w:bookmarkEnd w:id="354"/>
      <w:bookmarkEnd w:id="355"/>
      <w:bookmarkEnd w:id="356"/>
      <w:bookmarkEnd w:id="357"/>
      <w:bookmarkEnd w:id="358"/>
      <w:bookmarkEnd w:id="359"/>
      <w:bookmarkEnd w:id="360"/>
    </w:p>
    <w:p>
      <w:pPr>
        <w:rPr>
          <w:szCs w:val="24"/>
        </w:rPr>
      </w:pPr>
      <w:r>
        <w:rPr>
          <w:szCs w:val="24"/>
        </w:rPr>
        <w:t>When the Daily PM</w:t>
      </w:r>
      <w:r>
        <w:rPr>
          <w:szCs w:val="24"/>
          <w:vertAlign w:val="subscript"/>
        </w:rPr>
        <w:t xml:space="preserve">2.5 </w:t>
      </w:r>
      <w:r>
        <w:rPr>
          <w:szCs w:val="24"/>
        </w:rPr>
        <w:t>Analysis is completed</w:t>
      </w:r>
      <w:r>
        <w:rPr>
          <w:rStyle w:val="47"/>
          <w:rFonts w:cs="Times New Roman"/>
          <w:szCs w:val="24"/>
        </w:rPr>
        <w:t>, the Data Viewer will automatically display in</w:t>
      </w:r>
      <w:r>
        <w:rPr>
          <w:rStyle w:val="47"/>
          <w:rFonts w:hint="eastAsia" w:cs="Times New Roman"/>
          <w:szCs w:val="24"/>
        </w:rPr>
        <w:t xml:space="preserve"> </w:t>
      </w:r>
      <w:r>
        <w:rPr>
          <w:rStyle w:val="47"/>
          <w:rFonts w:cs="Times New Roman"/>
          <w:szCs w:val="24"/>
        </w:rPr>
        <w:t xml:space="preserve">the SMAT-CE </w:t>
      </w:r>
      <w:r>
        <w:rPr>
          <w:rStyle w:val="47"/>
          <w:rFonts w:hint="eastAsia" w:cs="Times New Roman"/>
          <w:szCs w:val="24"/>
        </w:rPr>
        <w:t xml:space="preserve">main </w:t>
      </w:r>
      <w:r>
        <w:rPr>
          <w:rStyle w:val="47"/>
          <w:rFonts w:cs="Times New Roman"/>
          <w:szCs w:val="24"/>
        </w:rPr>
        <w:t>window</w:t>
      </w:r>
      <w:r>
        <w:rPr>
          <w:rStyle w:val="47"/>
          <w:rFonts w:hint="eastAsia" w:cs="Times New Roman"/>
          <w:szCs w:val="24"/>
        </w:rPr>
        <w:t xml:space="preserve"> (</w:t>
      </w:r>
      <w:r>
        <w:rPr>
          <w:rStyle w:val="47"/>
          <w:rFonts w:cs="Times New Roman"/>
          <w:szCs w:val="24"/>
        </w:rPr>
        <w:fldChar w:fldCharType="begin"/>
      </w:r>
      <w:r>
        <w:rPr>
          <w:rStyle w:val="47"/>
          <w:rFonts w:cs="Times New Roman"/>
          <w:szCs w:val="24"/>
        </w:rPr>
        <w:instrText xml:space="preserve"> </w:instrText>
      </w:r>
      <w:r>
        <w:rPr>
          <w:rStyle w:val="47"/>
          <w:rFonts w:hint="eastAsia" w:cs="Times New Roman"/>
          <w:szCs w:val="24"/>
        </w:rPr>
        <w:instrText xml:space="preserve">REF _Ref474937093 \h</w:instrText>
      </w:r>
      <w:r>
        <w:rPr>
          <w:rStyle w:val="47"/>
          <w:rFonts w:cs="Times New Roman"/>
          <w:szCs w:val="24"/>
        </w:rPr>
        <w:instrText xml:space="preserve"> </w:instrText>
      </w:r>
      <w:r>
        <w:rPr>
          <w:rStyle w:val="47"/>
          <w:rFonts w:cs="Times New Roman"/>
          <w:szCs w:val="24"/>
        </w:rPr>
        <w:fldChar w:fldCharType="separate"/>
      </w:r>
      <w:r>
        <w:rPr>
          <w:bCs/>
          <w:i/>
          <w:iCs/>
        </w:rPr>
        <w:t xml:space="preserve">Figure </w:t>
      </w:r>
      <w:r>
        <w:rPr>
          <w:b/>
          <w:bCs/>
          <w:i/>
          <w:iCs/>
        </w:rPr>
        <w:t>7</w:t>
      </w:r>
      <w:r>
        <w:rPr>
          <w:bCs/>
          <w:i/>
          <w:iCs/>
        </w:rPr>
        <w:noBreakHyphen/>
      </w:r>
      <w:r>
        <w:rPr>
          <w:b/>
          <w:bCs/>
          <w:i/>
          <w:iCs/>
        </w:rPr>
        <w:t>9</w:t>
      </w:r>
      <w:r>
        <w:rPr>
          <w:rStyle w:val="47"/>
          <w:rFonts w:cs="Times New Roman"/>
          <w:szCs w:val="24"/>
        </w:rPr>
        <w:fldChar w:fldCharType="end"/>
      </w:r>
      <w:r>
        <w:rPr>
          <w:rStyle w:val="47"/>
          <w:rFonts w:hint="eastAsia" w:cs="Times New Roman"/>
          <w:szCs w:val="24"/>
        </w:rPr>
        <w:t>)</w:t>
      </w:r>
      <w:r>
        <w:rPr>
          <w:rStyle w:val="47"/>
          <w:rFonts w:cs="Times New Roman"/>
          <w:szCs w:val="24"/>
        </w:rPr>
        <w:t xml:space="preserve">. </w:t>
      </w:r>
      <w:r>
        <w:rPr>
          <w:szCs w:val="24"/>
        </w:rPr>
        <w:t>The Output Files section of the Data Viewer left panel will display a</w:t>
      </w:r>
      <w:r>
        <w:rPr>
          <w:rFonts w:hint="eastAsia"/>
          <w:szCs w:val="24"/>
        </w:rPr>
        <w:t xml:space="preserve">ll </w:t>
      </w:r>
      <w:r>
        <w:rPr>
          <w:szCs w:val="24"/>
        </w:rPr>
        <w:t>of</w:t>
      </w:r>
      <w:r>
        <w:rPr>
          <w:rFonts w:hint="eastAsia"/>
          <w:szCs w:val="24"/>
        </w:rPr>
        <w:t xml:space="preserve"> output files </w:t>
      </w:r>
      <w:r>
        <w:rPr>
          <w:szCs w:val="24"/>
        </w:rPr>
        <w:t>selected</w:t>
      </w:r>
      <w:r>
        <w:rPr>
          <w:rFonts w:hint="eastAsia"/>
          <w:szCs w:val="24"/>
        </w:rPr>
        <w:t xml:space="preserve"> in </w:t>
      </w:r>
      <w:r>
        <w:rPr>
          <w:szCs w:val="24"/>
        </w:rPr>
        <w:t xml:space="preserve">the </w:t>
      </w:r>
      <w:r>
        <w:rPr>
          <w:rFonts w:hint="eastAsia"/>
          <w:b/>
          <w:szCs w:val="24"/>
        </w:rPr>
        <w:t xml:space="preserve">Choose Desired Output </w:t>
      </w:r>
      <w:r>
        <w:rPr>
          <w:rFonts w:hint="eastAsia"/>
          <w:szCs w:val="24"/>
        </w:rPr>
        <w:t xml:space="preserve">and </w:t>
      </w:r>
      <w:r>
        <w:rPr>
          <w:rFonts w:hint="eastAsia"/>
          <w:b/>
          <w:szCs w:val="24"/>
        </w:rPr>
        <w:t>Output Choices-Advanced</w:t>
      </w:r>
      <w:r>
        <w:rPr>
          <w:szCs w:val="24"/>
        </w:rPr>
        <w:t xml:space="preserve"> Daily PM</w:t>
      </w:r>
      <w:r>
        <w:rPr>
          <w:szCs w:val="24"/>
          <w:vertAlign w:val="subscript"/>
        </w:rPr>
        <w:t xml:space="preserve">2.5 </w:t>
      </w:r>
      <w:r>
        <w:rPr>
          <w:szCs w:val="24"/>
        </w:rPr>
        <w:t xml:space="preserve">Analysis windows. </w:t>
      </w:r>
    </w:p>
    <w:p>
      <w:pPr>
        <w:rPr>
          <w:szCs w:val="24"/>
        </w:rPr>
      </w:pPr>
      <w:r>
        <w:rPr>
          <w:szCs w:val="24"/>
        </w:rPr>
        <w:t>The Data Viewer provides options to display the Daily PM</w:t>
      </w:r>
      <w:r>
        <w:rPr>
          <w:szCs w:val="24"/>
          <w:vertAlign w:val="subscript"/>
        </w:rPr>
        <w:t xml:space="preserve">2.5 </w:t>
      </w:r>
      <w:r>
        <w:rPr>
          <w:szCs w:val="24"/>
        </w:rPr>
        <w:t xml:space="preserve">Analysis results as maps, bar charts, and tables. </w:t>
      </w:r>
      <w:r>
        <w:fldChar w:fldCharType="begin"/>
      </w:r>
      <w:r>
        <w:instrText xml:space="preserve"> HYPERLINK \l "_The_SMAT-CE_Data_6" </w:instrText>
      </w:r>
      <w:r>
        <w:fldChar w:fldCharType="separate"/>
      </w:r>
      <w:r>
        <w:rPr>
          <w:rStyle w:val="34"/>
          <w:szCs w:val="24"/>
        </w:rPr>
        <w:t>Chapter 10</w:t>
      </w:r>
      <w:r>
        <w:rPr>
          <w:rStyle w:val="36"/>
          <w:szCs w:val="24"/>
        </w:rPr>
        <w:fldChar w:fldCharType="end"/>
      </w:r>
      <w:r>
        <w:rPr>
          <w:szCs w:val="24"/>
        </w:rPr>
        <w:t xml:space="preserve"> describes how to load and analyze data using the SMAT-CE Data Viewer.</w:t>
      </w:r>
    </w:p>
    <w:p>
      <w:pPr>
        <w:keepNext/>
      </w:pPr>
      <w:r>
        <w:rPr>
          <w:szCs w:val="24"/>
          <w:lang w:eastAsia="en-US"/>
        </w:rPr>
        <w:drawing>
          <wp:inline distT="0" distB="0" distL="0" distR="0">
            <wp:extent cx="5274310" cy="371729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3717290"/>
                    </a:xfrm>
                    <a:prstGeom prst="rect">
                      <a:avLst/>
                    </a:prstGeom>
                  </pic:spPr>
                </pic:pic>
              </a:graphicData>
            </a:graphic>
          </wp:inline>
        </w:drawing>
      </w:r>
    </w:p>
    <w:p>
      <w:pPr>
        <w:pStyle w:val="12"/>
        <w:rPr>
          <w:b w:val="0"/>
          <w:bCs/>
          <w:i/>
          <w:iCs/>
          <w:szCs w:val="24"/>
        </w:rPr>
      </w:pPr>
      <w:bookmarkStart w:id="361" w:name="_Ref474937093"/>
      <w:bookmarkStart w:id="362" w:name="_Toc680"/>
      <w:bookmarkStart w:id="363" w:name="_Toc119010923"/>
      <w:bookmarkStart w:id="364" w:name="_Toc26598"/>
      <w:bookmarkStart w:id="365" w:name="_Toc23367"/>
      <w:bookmarkStart w:id="366" w:name="_Toc476654231"/>
      <w:bookmarkStart w:id="367" w:name="_Toc1746"/>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7</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9</w:t>
      </w:r>
      <w:r>
        <w:rPr>
          <w:b w:val="0"/>
          <w:bCs/>
          <w:i/>
          <w:iCs/>
        </w:rPr>
        <w:fldChar w:fldCharType="end"/>
      </w:r>
      <w:bookmarkEnd w:id="361"/>
      <w:bookmarkStart w:id="368" w:name="_Toc26263"/>
      <w:r>
        <w:rPr>
          <w:b w:val="0"/>
          <w:bCs/>
          <w:i/>
          <w:iCs/>
        </w:rPr>
        <w:t>. Daily PM Analysis Data Viewer</w:t>
      </w:r>
      <w:bookmarkEnd w:id="362"/>
      <w:bookmarkEnd w:id="363"/>
      <w:bookmarkEnd w:id="364"/>
      <w:bookmarkEnd w:id="365"/>
      <w:bookmarkEnd w:id="366"/>
      <w:bookmarkEnd w:id="367"/>
      <w:bookmarkEnd w:id="368"/>
    </w:p>
    <w:p>
      <w:pPr>
        <w:rPr>
          <w:rStyle w:val="47"/>
          <w:rFonts w:cs="Times New Roman"/>
          <w:szCs w:val="24"/>
        </w:rPr>
      </w:pPr>
      <w:r>
        <w:rPr>
          <w:szCs w:val="24"/>
        </w:rPr>
        <w:t>This concludes the chapter on the SMAT-CE Daily PM</w:t>
      </w:r>
      <w:r>
        <w:rPr>
          <w:szCs w:val="24"/>
          <w:vertAlign w:val="subscript"/>
        </w:rPr>
        <w:t xml:space="preserve">2.5 </w:t>
      </w:r>
      <w:r>
        <w:rPr>
          <w:szCs w:val="24"/>
        </w:rPr>
        <w:t xml:space="preserve">Analysis. As described in this section, details of the calculations and settings used in this analysis are available </w:t>
      </w:r>
      <w:r>
        <w:t xml:space="preserve">in the U.S. EPA </w:t>
      </w:r>
      <w:r>
        <w:rPr>
          <w:szCs w:val="24"/>
        </w:rPr>
        <w:t>Draft Modeling Guidance for</w:t>
      </w:r>
      <w:r>
        <w:t xml:space="preserve"> </w:t>
      </w:r>
      <w:r>
        <w:rPr>
          <w:szCs w:val="24"/>
        </w:rPr>
        <w:t>Attainment of Air Quality Goals for Ozone, PM</w:t>
      </w:r>
      <w:r>
        <w:rPr>
          <w:szCs w:val="24"/>
          <w:vertAlign w:val="subscript"/>
        </w:rPr>
        <w:t>2.5</w:t>
      </w:r>
      <w:r>
        <w:rPr>
          <w:szCs w:val="24"/>
        </w:rPr>
        <w:t xml:space="preserve">, and Regional Haze (U.S. EPA, 2014) and in Section 7 of the MATS User’s Manual (Abt, 2014).  </w:t>
      </w:r>
    </w:p>
    <w:p>
      <w:pPr>
        <w:rPr>
          <w:rFonts w:cs="Times New Roman"/>
          <w:szCs w:val="24"/>
        </w:rPr>
        <w:sectPr>
          <w:pgSz w:w="11906" w:h="16838"/>
          <w:pgMar w:top="1440" w:right="1800" w:bottom="1440" w:left="1800" w:header="851" w:footer="992" w:gutter="0"/>
          <w:cols w:space="425" w:num="1"/>
          <w:docGrid w:type="lines" w:linePitch="312" w:charSpace="0"/>
        </w:sectPr>
      </w:pPr>
    </w:p>
    <w:p>
      <w:pPr>
        <w:pStyle w:val="2"/>
      </w:pPr>
      <w:bookmarkStart w:id="369" w:name="_Ozone_Analysis_1"/>
      <w:bookmarkEnd w:id="369"/>
      <w:bookmarkStart w:id="370" w:name="_Ozone_Analysis_2"/>
      <w:bookmarkEnd w:id="370"/>
      <w:bookmarkStart w:id="371" w:name="_Ozone_Analysis"/>
      <w:bookmarkEnd w:id="371"/>
      <w:bookmarkStart w:id="372" w:name="_Toc476654466"/>
      <w:bookmarkStart w:id="373" w:name="_Toc119010880"/>
      <w:bookmarkStart w:id="374" w:name="_Toc476654844"/>
      <w:bookmarkStart w:id="375" w:name="_Ref474499888"/>
      <w:bookmarkStart w:id="376" w:name="_Toc476653943"/>
      <w:bookmarkStart w:id="377" w:name="_Toc27883"/>
      <w:r>
        <w:t>Ozone Analysis</w:t>
      </w:r>
      <w:bookmarkEnd w:id="372"/>
      <w:bookmarkEnd w:id="373"/>
      <w:bookmarkEnd w:id="374"/>
      <w:bookmarkEnd w:id="375"/>
      <w:bookmarkEnd w:id="376"/>
      <w:bookmarkEnd w:id="377"/>
    </w:p>
    <w:p>
      <w:r>
        <w:t>SMAT-CE can forecast design values at ozone monitor locations – these forecasts are referred to as Point Estimates. SMAT-CE can also use a variety of approaches to calculate design values for a Spatial Field. A Spatial Field refers to a set of values comprising calculations for each grid cell in a modeling domain from Eulerian grid models such as CMAQ and CAMx.</w:t>
      </w:r>
    </w:p>
    <w:p>
      <w:r>
        <w:t xml:space="preserve">The Ozone Design Value Analysis in SMAT-CE is organized into four steps. The steps include the input/output and configuration options for computing ozone design values. The following four configuration steps correspond to different SMAT-CE windows and are described in detail in this chapter: </w:t>
      </w:r>
    </w:p>
    <w:p>
      <w:pPr>
        <w:pStyle w:val="42"/>
        <w:numPr>
          <w:ilvl w:val="0"/>
          <w:numId w:val="25"/>
        </w:numPr>
        <w:ind w:firstLineChars="0"/>
      </w:pPr>
      <w:r>
        <w:rPr>
          <w:b/>
        </w:rPr>
        <w:t>Choose Desired Output</w:t>
      </w:r>
      <w:r>
        <w:rPr>
          <w:b/>
          <w:bCs/>
        </w:rPr>
        <w:t>:</w:t>
      </w:r>
      <w:r>
        <w:t xml:space="preserve"> Select point estimates, spatial field estimates, or both.</w:t>
      </w:r>
    </w:p>
    <w:p>
      <w:pPr>
        <w:pStyle w:val="42"/>
        <w:numPr>
          <w:ilvl w:val="0"/>
          <w:numId w:val="25"/>
        </w:numPr>
        <w:ind w:firstLineChars="0"/>
      </w:pPr>
      <w:r>
        <w:rPr>
          <w:b/>
        </w:rPr>
        <w:t>Data Input</w:t>
      </w:r>
      <w:r>
        <w:rPr>
          <w:b/>
          <w:bCs/>
        </w:rPr>
        <w:t>:</w:t>
      </w:r>
      <w:r>
        <w:t xml:space="preserve"> Specify the air quality modeling and ambient monitoring data to use for the design value calculations. Specify which model grid cells will be used when calculating RRFs at monitor locations.</w:t>
      </w:r>
    </w:p>
    <w:p>
      <w:pPr>
        <w:pStyle w:val="42"/>
        <w:numPr>
          <w:ilvl w:val="0"/>
          <w:numId w:val="25"/>
        </w:numPr>
        <w:ind w:firstLineChars="0"/>
      </w:pPr>
      <w:r>
        <w:rPr>
          <w:b/>
        </w:rPr>
        <w:t>Filtering Interpolation</w:t>
      </w:r>
      <w:r>
        <w:rPr>
          <w:b/>
          <w:bCs/>
        </w:rPr>
        <w:t>:</w:t>
      </w:r>
      <w:r>
        <w:t xml:space="preserve"> Select the monitoring data years, identify valid monitors, and define the interpolation approach to use when calculating a Spatial Field.</w:t>
      </w:r>
    </w:p>
    <w:p>
      <w:pPr>
        <w:pStyle w:val="42"/>
        <w:numPr>
          <w:ilvl w:val="0"/>
          <w:numId w:val="25"/>
        </w:numPr>
        <w:ind w:firstLineChars="0"/>
      </w:pPr>
      <w:r>
        <w:rPr>
          <w:b/>
        </w:rPr>
        <w:t>RRF and Spatial Gradient</w:t>
      </w:r>
      <w:r>
        <w:rPr>
          <w:b/>
          <w:bCs/>
        </w:rPr>
        <w:t>:</w:t>
      </w:r>
      <w:r>
        <w:t xml:space="preserve"> Specify the daily ozone values to use in the calculation of RRFs and Spatial Gradients.</w:t>
      </w:r>
    </w:p>
    <w:p>
      <w:pPr>
        <w:keepNext/>
        <w:jc w:val="center"/>
      </w:pPr>
      <w:r>
        <w:rPr>
          <w:lang w:eastAsia="en-US"/>
        </w:rPr>
        <w:drawing>
          <wp:inline distT="0" distB="0" distL="0" distR="0">
            <wp:extent cx="5267325" cy="3686175"/>
            <wp:effectExtent l="0" t="0" r="0" b="9525"/>
            <wp:docPr id="234" name="图片 97" descr="C:\Users\Administrator\Desktop\help\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97" descr="C:\Users\Administrator\Desktop\help\3.3 -2.jpg"/>
                    <pic:cNvPicPr>
                      <a:picLocks noChangeAspect="1" noChangeArrowheads="1"/>
                    </pic:cNvPicPr>
                  </pic:nvPicPr>
                  <pic:blipFill>
                    <a:blip r:embed="rId39">
                      <a:extLst>
                        <a:ext uri="{28A0092B-C50C-407E-A947-70E740481C1C}">
                          <a14:useLocalDpi xmlns:a14="http://schemas.microsoft.com/office/drawing/2010/main" val="0"/>
                        </a:ext>
                      </a:extLst>
                    </a:blip>
                    <a:srcRect t="3807"/>
                    <a:stretch>
                      <a:fillRect/>
                    </a:stretch>
                  </pic:blipFill>
                  <pic:spPr>
                    <a:xfrm>
                      <a:off x="0" y="0"/>
                      <a:ext cx="5274310" cy="3691318"/>
                    </a:xfrm>
                    <a:prstGeom prst="rect">
                      <a:avLst/>
                    </a:prstGeom>
                    <a:noFill/>
                    <a:ln>
                      <a:noFill/>
                    </a:ln>
                  </pic:spPr>
                </pic:pic>
              </a:graphicData>
            </a:graphic>
          </wp:inline>
        </w:drawing>
      </w:r>
    </w:p>
    <w:p>
      <w:pPr>
        <w:pStyle w:val="12"/>
        <w:rPr>
          <w:b w:val="0"/>
          <w:bCs/>
          <w:i/>
          <w:iCs/>
        </w:rPr>
      </w:pPr>
      <w:bookmarkStart w:id="378" w:name="_Ref474937916"/>
      <w:bookmarkStart w:id="379" w:name="_Toc6315"/>
      <w:bookmarkStart w:id="380" w:name="_Toc9295"/>
      <w:bookmarkStart w:id="381" w:name="_Toc476654232"/>
      <w:bookmarkStart w:id="382" w:name="_Toc12191"/>
      <w:bookmarkStart w:id="383" w:name="_Toc119010924"/>
      <w:bookmarkStart w:id="384" w:name="_Toc1030"/>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8</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1</w:t>
      </w:r>
      <w:r>
        <w:rPr>
          <w:b w:val="0"/>
          <w:bCs/>
          <w:i/>
          <w:iCs/>
        </w:rPr>
        <w:fldChar w:fldCharType="end"/>
      </w:r>
      <w:bookmarkEnd w:id="378"/>
      <w:bookmarkStart w:id="385" w:name="_Toc8085"/>
      <w:r>
        <w:rPr>
          <w:b w:val="0"/>
          <w:bCs/>
          <w:i/>
          <w:iCs/>
        </w:rPr>
        <w:t>. Ozone Analysis initial window</w:t>
      </w:r>
      <w:bookmarkEnd w:id="379"/>
      <w:bookmarkEnd w:id="380"/>
      <w:bookmarkEnd w:id="381"/>
      <w:bookmarkEnd w:id="382"/>
      <w:bookmarkEnd w:id="383"/>
      <w:bookmarkEnd w:id="384"/>
      <w:bookmarkEnd w:id="385"/>
    </w:p>
    <w:p>
      <w:r>
        <w:t>To conduct an attainment test for the ozone (O</w:t>
      </w:r>
      <w:r>
        <w:rPr>
          <w:vertAlign w:val="subscript"/>
        </w:rPr>
        <w:t>3</w:t>
      </w:r>
      <w:r>
        <w:t xml:space="preserve">) NAAQS, select </w:t>
      </w:r>
      <w:r>
        <w:rPr>
          <w:b/>
        </w:rPr>
        <w:t>Ozone Analysis</w:t>
      </w:r>
      <w:r>
        <w:t xml:space="preserve"> from the Process Data module on the SMAT-CE Start Page. </w:t>
      </w:r>
      <w:r>
        <w:fldChar w:fldCharType="begin"/>
      </w:r>
      <w:r>
        <w:instrText xml:space="preserve"> REF _Ref474937916 \h </w:instrText>
      </w:r>
      <w:r>
        <w:fldChar w:fldCharType="separate"/>
      </w:r>
      <w:r>
        <w:rPr>
          <w:bCs/>
          <w:i/>
          <w:iCs/>
        </w:rPr>
        <w:t xml:space="preserve">Figure </w:t>
      </w:r>
      <w:r>
        <w:rPr>
          <w:b/>
          <w:bCs/>
          <w:i/>
          <w:iCs/>
        </w:rPr>
        <w:t>8</w:t>
      </w:r>
      <w:r>
        <w:rPr>
          <w:bCs/>
          <w:i/>
          <w:iCs/>
        </w:rPr>
        <w:noBreakHyphen/>
      </w:r>
      <w:r>
        <w:rPr>
          <w:b/>
          <w:bCs/>
          <w:i/>
          <w:iCs/>
        </w:rPr>
        <w:t>1</w:t>
      </w:r>
      <w:r>
        <w:fldChar w:fldCharType="end"/>
      </w:r>
      <w:r>
        <w:t xml:space="preserve"> shows the initial window that is displayed when Ozone Analysis is selected. The box in the upper left of the window (highlighted in red in </w:t>
      </w:r>
      <w:r>
        <w:fldChar w:fldCharType="begin"/>
      </w:r>
      <w:r>
        <w:instrText xml:space="preserve"> REF _Ref474937916 \h </w:instrText>
      </w:r>
      <w:r>
        <w:fldChar w:fldCharType="separate"/>
      </w:r>
      <w:r>
        <w:rPr>
          <w:bCs/>
          <w:i/>
          <w:iCs/>
        </w:rPr>
        <w:t xml:space="preserve">Figure </w:t>
      </w:r>
      <w:r>
        <w:rPr>
          <w:b/>
          <w:bCs/>
          <w:i/>
          <w:iCs/>
        </w:rPr>
        <w:t>8</w:t>
      </w:r>
      <w:r>
        <w:rPr>
          <w:bCs/>
          <w:i/>
          <w:iCs/>
        </w:rPr>
        <w:noBreakHyphen/>
      </w:r>
      <w:r>
        <w:rPr>
          <w:b/>
          <w:bCs/>
          <w:i/>
          <w:iCs/>
        </w:rPr>
        <w:t>1</w:t>
      </w:r>
      <w:r>
        <w:fldChar w:fldCharType="end"/>
      </w:r>
      <w:r>
        <w:t xml:space="preserve">) lists the configuration steps of the Ozone Analysis. Each step listed in this box has a different set of configuration options that are displayed in the Ozone Analysis window. Once each step is successfully configured, the yellow icons next to each step in the box will change from yellow to green. In general, the configuration steps must be followed in order, from top to bottom, as they are listed in the box. Previously completed steps may be accessed and modified by double-clicking on the step name in the box. Once the configuration for a step is complete, you may move to the next step by either clicking on it or by selecting the Next button (shown in the blue box in </w:t>
      </w:r>
      <w:r>
        <w:fldChar w:fldCharType="begin"/>
      </w:r>
      <w:r>
        <w:instrText xml:space="preserve"> REF _Ref474937916 \h </w:instrText>
      </w:r>
      <w:r>
        <w:fldChar w:fldCharType="separate"/>
      </w:r>
      <w:r>
        <w:rPr>
          <w:bCs/>
          <w:i/>
          <w:iCs/>
        </w:rPr>
        <w:t xml:space="preserve">Figure </w:t>
      </w:r>
      <w:r>
        <w:rPr>
          <w:b/>
          <w:bCs/>
          <w:i/>
          <w:iCs/>
        </w:rPr>
        <w:t>8</w:t>
      </w:r>
      <w:r>
        <w:rPr>
          <w:bCs/>
          <w:i/>
          <w:iCs/>
        </w:rPr>
        <w:noBreakHyphen/>
      </w:r>
      <w:r>
        <w:rPr>
          <w:b/>
          <w:bCs/>
          <w:i/>
          <w:iCs/>
        </w:rPr>
        <w:t>1</w:t>
      </w:r>
      <w:r>
        <w:fldChar w:fldCharType="end"/>
      </w:r>
      <w:r>
        <w:t xml:space="preserve">). </w:t>
      </w:r>
    </w:p>
    <w:p>
      <w:r>
        <w:t xml:space="preserve">A previous project may be loaded, or a new project may be initiated, at any time in the Ozone Analysis window by selecting one of the icons to the right of the “Ozone Analysis” text above the red box in </w:t>
      </w:r>
      <w:r>
        <w:fldChar w:fldCharType="begin"/>
      </w:r>
      <w:r>
        <w:instrText xml:space="preserve"> REF _Ref474937916 \h </w:instrText>
      </w:r>
      <w:r>
        <w:fldChar w:fldCharType="separate"/>
      </w:r>
      <w:r>
        <w:rPr>
          <w:bCs/>
          <w:i/>
          <w:iCs/>
        </w:rPr>
        <w:t xml:space="preserve">Figure </w:t>
      </w:r>
      <w:r>
        <w:rPr>
          <w:b/>
          <w:bCs/>
          <w:i/>
          <w:iCs/>
        </w:rPr>
        <w:t>8</w:t>
      </w:r>
      <w:r>
        <w:rPr>
          <w:bCs/>
          <w:i/>
          <w:iCs/>
        </w:rPr>
        <w:noBreakHyphen/>
      </w:r>
      <w:r>
        <w:rPr>
          <w:b/>
          <w:bCs/>
          <w:i/>
          <w:iCs/>
        </w:rPr>
        <w:t>1</w:t>
      </w:r>
      <w:r>
        <w:fldChar w:fldCharType="end"/>
      </w:r>
      <w:r>
        <w:t>.</w:t>
      </w:r>
    </w:p>
    <w:p>
      <w:r>
        <w:t>Each of the Ozone Analysis configuration steps are described in the following sections.</w:t>
      </w:r>
    </w:p>
    <w:p>
      <w:pPr>
        <w:pStyle w:val="3"/>
      </w:pPr>
      <w:bookmarkStart w:id="386" w:name="_Toc476654467"/>
      <w:bookmarkStart w:id="387" w:name="_Toc476654845"/>
      <w:bookmarkStart w:id="388" w:name="_Toc5760"/>
      <w:bookmarkStart w:id="389" w:name="_Toc119010881"/>
      <w:bookmarkStart w:id="390" w:name="_Toc476653944"/>
      <w:r>
        <w:t>Desired Output</w:t>
      </w:r>
      <w:bookmarkEnd w:id="386"/>
      <w:bookmarkEnd w:id="387"/>
      <w:bookmarkEnd w:id="388"/>
      <w:bookmarkEnd w:id="389"/>
      <w:bookmarkEnd w:id="390"/>
    </w:p>
    <w:p>
      <w:pPr>
        <w:keepNext/>
      </w:pPr>
      <w:r>
        <w:drawing>
          <wp:inline distT="0" distB="0" distL="0" distR="0">
            <wp:extent cx="5274310" cy="4025900"/>
            <wp:effectExtent l="0" t="0" r="254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40"/>
                    <a:stretch>
                      <a:fillRect/>
                    </a:stretch>
                  </pic:blipFill>
                  <pic:spPr>
                    <a:xfrm>
                      <a:off x="0" y="0"/>
                      <a:ext cx="5274310" cy="4025900"/>
                    </a:xfrm>
                    <a:prstGeom prst="rect">
                      <a:avLst/>
                    </a:prstGeom>
                  </pic:spPr>
                </pic:pic>
              </a:graphicData>
            </a:graphic>
          </wp:inline>
        </w:drawing>
      </w:r>
    </w:p>
    <w:p>
      <w:pPr>
        <w:pStyle w:val="12"/>
        <w:rPr>
          <w:b w:val="0"/>
          <w:bCs/>
          <w:i/>
          <w:iCs/>
        </w:rPr>
      </w:pPr>
      <w:bookmarkStart w:id="391" w:name="_Ref474938226"/>
      <w:bookmarkStart w:id="392" w:name="_Toc11989"/>
      <w:bookmarkStart w:id="393" w:name="_Toc2266"/>
      <w:bookmarkStart w:id="394" w:name="_Toc3103"/>
      <w:bookmarkStart w:id="395" w:name="_Toc476654233"/>
      <w:bookmarkStart w:id="396" w:name="_Toc25344"/>
      <w:bookmarkStart w:id="397" w:name="_Toc119010925"/>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8</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2</w:t>
      </w:r>
      <w:r>
        <w:rPr>
          <w:b w:val="0"/>
          <w:bCs/>
          <w:i/>
          <w:iCs/>
        </w:rPr>
        <w:fldChar w:fldCharType="end"/>
      </w:r>
      <w:bookmarkEnd w:id="391"/>
      <w:bookmarkStart w:id="398" w:name="_Toc274"/>
      <w:r>
        <w:rPr>
          <w:b w:val="0"/>
          <w:bCs/>
          <w:i/>
          <w:iCs/>
        </w:rPr>
        <w:t>. Choose Desired Output for Ozone Analysis</w:t>
      </w:r>
      <w:bookmarkEnd w:id="392"/>
      <w:bookmarkEnd w:id="393"/>
      <w:bookmarkEnd w:id="394"/>
      <w:bookmarkEnd w:id="395"/>
      <w:bookmarkEnd w:id="396"/>
      <w:bookmarkEnd w:id="397"/>
      <w:bookmarkEnd w:id="398"/>
    </w:p>
    <w:p>
      <w:pPr>
        <w:autoSpaceDE w:val="0"/>
        <w:autoSpaceDN w:val="0"/>
        <w:adjustRightInd w:val="0"/>
        <w:jc w:val="left"/>
        <w:rPr>
          <w:rFonts w:cs="Times New Roman"/>
          <w:color w:val="000000"/>
          <w:kern w:val="0"/>
          <w:szCs w:val="24"/>
        </w:rPr>
      </w:pPr>
      <w:r>
        <w:rPr>
          <w:b/>
        </w:rPr>
        <w:t>Choose Desired Output</w:t>
      </w:r>
      <w:r>
        <w:t xml:space="preserve"> is the first configuration step that is displayed when the Ozone Analysis module is selected (</w:t>
      </w:r>
      <w:r>
        <w:fldChar w:fldCharType="begin"/>
      </w:r>
      <w:r>
        <w:instrText xml:space="preserve"> REF _Ref474938226 \h </w:instrText>
      </w:r>
      <w:r>
        <w:fldChar w:fldCharType="separate"/>
      </w:r>
      <w:r>
        <w:rPr>
          <w:bCs/>
          <w:i/>
          <w:iCs/>
        </w:rPr>
        <w:t xml:space="preserve">Figure </w:t>
      </w:r>
      <w:r>
        <w:rPr>
          <w:b/>
          <w:bCs/>
          <w:i/>
          <w:iCs/>
        </w:rPr>
        <w:t>8</w:t>
      </w:r>
      <w:r>
        <w:rPr>
          <w:bCs/>
          <w:i/>
          <w:iCs/>
        </w:rPr>
        <w:noBreakHyphen/>
      </w:r>
      <w:r>
        <w:rPr>
          <w:b/>
          <w:bCs/>
          <w:i/>
          <w:iCs/>
        </w:rPr>
        <w:t>2</w:t>
      </w:r>
      <w:r>
        <w:fldChar w:fldCharType="end"/>
      </w:r>
      <w:r>
        <w:t xml:space="preserve">). The blue hyperlinked text in this window brings up the documentation for this configuration step. </w:t>
      </w:r>
      <w:r>
        <w:rPr>
          <w:rFonts w:cs="Times New Roman"/>
          <w:color w:val="000000"/>
          <w:kern w:val="0"/>
          <w:szCs w:val="24"/>
        </w:rPr>
        <w:t>SMAT-CE supports design value calculations as Point Estimates, which refer to forecasts made at fixed</w:t>
      </w:r>
    </w:p>
    <w:p>
      <w:pPr>
        <w:autoSpaceDE w:val="0"/>
        <w:autoSpaceDN w:val="0"/>
        <w:adjustRightInd w:val="0"/>
        <w:jc w:val="left"/>
        <w:rPr>
          <w:rFonts w:cs="Times New Roman"/>
          <w:color w:val="000000"/>
          <w:kern w:val="0"/>
          <w:szCs w:val="24"/>
        </w:rPr>
      </w:pPr>
      <w:r>
        <w:rPr>
          <w:rFonts w:cs="Times New Roman"/>
          <w:color w:val="000000"/>
          <w:kern w:val="0"/>
          <w:szCs w:val="24"/>
        </w:rPr>
        <w:t xml:space="preserve">locations, such as monitors. SMAT-CE can also generate Spatial Fields, which refer to air pollution estimates made at the center of each grid cell in a specified model domain. The Spatial Field estimates can be baseline estimates or forecasts, generated with or without a </w:t>
      </w:r>
      <w:r>
        <w:rPr>
          <w:rFonts w:cs="Times New Roman"/>
          <w:kern w:val="0"/>
          <w:szCs w:val="24"/>
        </w:rPr>
        <w:t>gradient adjustment.</w:t>
      </w:r>
    </w:p>
    <w:p>
      <w:pPr>
        <w:autoSpaceDE w:val="0"/>
        <w:autoSpaceDN w:val="0"/>
        <w:adjustRightInd w:val="0"/>
      </w:pPr>
      <w:r>
        <w:t>The settings in this step include:</w:t>
      </w:r>
    </w:p>
    <w:p>
      <w:r>
        <w:rPr>
          <w:b/>
          <w:u w:val="single"/>
        </w:rPr>
        <w:t>Project Name</w:t>
      </w:r>
    </w:p>
    <w:p>
      <w:r>
        <w:t>Text string to identify this analysis and set the name of the project file.</w:t>
      </w:r>
    </w:p>
    <w:p>
      <w:pPr>
        <w:rPr>
          <w:b/>
          <w:u w:val="single"/>
        </w:rPr>
      </w:pPr>
      <w:r>
        <w:rPr>
          <w:b/>
          <w:u w:val="single"/>
        </w:rPr>
        <w:t>Point Estimates</w:t>
      </w:r>
    </w:p>
    <w:p>
      <w:pPr>
        <w:rPr>
          <w:szCs w:val="24"/>
        </w:rPr>
      </w:pPr>
      <w:r>
        <w:t xml:space="preserve">The calculation of Point Estimates, or future-year ozone levels at monitors, has several steps. The first step is to calculate the baseline value as a function of up to three design values. The second step is to use model data to temporally adjust the baseline value. For details of these calculations see the U.S. EPA </w:t>
      </w:r>
      <w:r>
        <w:rPr>
          <w:szCs w:val="24"/>
        </w:rPr>
        <w:t>Draft Modeling Guidance for</w:t>
      </w:r>
      <w:r>
        <w:t xml:space="preserve"> </w:t>
      </w:r>
      <w:r>
        <w:rPr>
          <w:szCs w:val="24"/>
        </w:rPr>
        <w:t>Attainment of Air Quality Goals for Ozone, PM</w:t>
      </w:r>
      <w:r>
        <w:rPr>
          <w:szCs w:val="24"/>
          <w:vertAlign w:val="subscript"/>
        </w:rPr>
        <w:t>2.5</w:t>
      </w:r>
      <w:r>
        <w:rPr>
          <w:szCs w:val="24"/>
        </w:rPr>
        <w:t>, and Regional Haze (U.S. EPA, 2014).</w:t>
      </w:r>
    </w:p>
    <w:p>
      <w:pPr>
        <w:pStyle w:val="42"/>
        <w:numPr>
          <w:ilvl w:val="0"/>
          <w:numId w:val="26"/>
        </w:numPr>
        <w:ind w:firstLineChars="0"/>
        <w:rPr>
          <w:szCs w:val="24"/>
        </w:rPr>
      </w:pPr>
      <w:r>
        <w:rPr>
          <w:rFonts w:cs="Times New Roman"/>
          <w:i/>
          <w:color w:val="000000"/>
          <w:kern w:val="0"/>
          <w:szCs w:val="24"/>
        </w:rPr>
        <w:t>Baseline Ozone</w:t>
      </w:r>
      <w:r>
        <w:rPr>
          <w:rFonts w:cs="Times New Roman"/>
          <w:color w:val="000000"/>
          <w:kern w:val="0"/>
          <w:szCs w:val="24"/>
        </w:rPr>
        <w:t xml:space="preserve">. The baseline </w:t>
      </w:r>
      <w:r>
        <w:rPr>
          <w:rFonts w:cs="Times New Roman"/>
          <w:kern w:val="0"/>
          <w:szCs w:val="24"/>
        </w:rPr>
        <w:t xml:space="preserve">ozone design value is </w:t>
      </w:r>
      <w:r>
        <w:rPr>
          <w:rFonts w:cs="Times New Roman"/>
          <w:color w:val="000000"/>
          <w:kern w:val="0"/>
          <w:szCs w:val="24"/>
        </w:rPr>
        <w:t xml:space="preserve">the simple average of design values, where the average carries one significant figure to the right of the decimal point. Generally, design value years should match the modeling data being used. The EPA modeling guidance recommends using an average of the 3 design values periods which straddle the emissions base year. For example, if the modeled emissions base year is 2007, then design values from 2005-2007, 2006-2008, and 2007-2009 should be used to compute the baseline ozone. An average of design values is, in effect, a weighted average of annual averages -- 2007 is “weighted” three times, 2006 and 2008 are weighted twice, and 2005 and 2009 are weighted once. This creates a 5-year weighted average design value which is used to project future air quality levels. </w:t>
      </w:r>
    </w:p>
    <w:p>
      <w:pPr>
        <w:pStyle w:val="42"/>
        <w:ind w:left="720" w:firstLine="0" w:firstLineChars="0"/>
        <w:rPr>
          <w:rFonts w:cs="Times New Roman"/>
          <w:color w:val="000000"/>
          <w:kern w:val="0"/>
          <w:szCs w:val="24"/>
        </w:rPr>
      </w:pPr>
      <w:r>
        <w:rPr>
          <w:rFonts w:cs="Times New Roman"/>
          <w:color w:val="000000"/>
          <w:kern w:val="0"/>
          <w:szCs w:val="24"/>
        </w:rPr>
        <w:t>The default design value years in SMAT</w:t>
      </w:r>
      <w:r>
        <w:rPr>
          <w:rFonts w:hint="eastAsia" w:cs="Times New Roman"/>
          <w:color w:val="000000"/>
          <w:kern w:val="0"/>
          <w:szCs w:val="24"/>
        </w:rPr>
        <w:t>-</w:t>
      </w:r>
      <w:r>
        <w:rPr>
          <w:rFonts w:cs="Times New Roman"/>
          <w:color w:val="000000"/>
          <w:kern w:val="0"/>
          <w:szCs w:val="24"/>
        </w:rPr>
        <w:t xml:space="preserve">CE are the periods 2009-2013, which assumes a model base year of 2011. </w:t>
      </w:r>
    </w:p>
    <w:p>
      <w:pPr>
        <w:pStyle w:val="42"/>
        <w:numPr>
          <w:ilvl w:val="0"/>
          <w:numId w:val="26"/>
        </w:numPr>
        <w:ind w:firstLineChars="0"/>
        <w:rPr>
          <w:szCs w:val="24"/>
        </w:rPr>
      </w:pPr>
      <w:r>
        <w:rPr>
          <w:rFonts w:cs="Times New Roman"/>
          <w:i/>
          <w:color w:val="000000"/>
          <w:kern w:val="0"/>
          <w:szCs w:val="24"/>
        </w:rPr>
        <w:t>Temporally Adjusted Ozone</w:t>
      </w:r>
      <w:r>
        <w:rPr>
          <w:rFonts w:cs="Times New Roman"/>
          <w:color w:val="000000"/>
          <w:kern w:val="0"/>
          <w:szCs w:val="24"/>
        </w:rPr>
        <w:t xml:space="preserve">. The first step </w:t>
      </w:r>
      <w:r>
        <w:rPr>
          <w:rFonts w:cs="Times New Roman"/>
          <w:kern w:val="0"/>
          <w:szCs w:val="24"/>
        </w:rPr>
        <w:t xml:space="preserve">in temporally adjusting </w:t>
      </w:r>
      <w:r>
        <w:rPr>
          <w:rFonts w:cs="Times New Roman"/>
          <w:color w:val="000000"/>
          <w:kern w:val="0"/>
          <w:szCs w:val="24"/>
        </w:rPr>
        <w:t xml:space="preserve">baseline ozone involves identifying the model grid cells near the monitor site. Next, SMAT-CE calculates the average of daily 8-hour average maximum model values for both the baseline and future-year model runs, and then takes the ratio of the two to calculate </w:t>
      </w:r>
      <w:r>
        <w:rPr>
          <w:rFonts w:cs="Times New Roman"/>
          <w:kern w:val="0"/>
          <w:szCs w:val="24"/>
        </w:rPr>
        <w:t>the RRF</w:t>
      </w:r>
      <w:r>
        <w:rPr>
          <w:rFonts w:cs="Times New Roman"/>
          <w:color w:val="000000"/>
          <w:kern w:val="0"/>
          <w:szCs w:val="24"/>
        </w:rPr>
        <w:t>. Finally, SMAT-CE calculates the future-year design value by multiplying the RRF with the baseline design value measured at the monitor.</w:t>
      </w:r>
    </w:p>
    <w:p>
      <w:pPr>
        <w:pStyle w:val="42"/>
        <w:ind w:left="720" w:firstLine="0" w:firstLineChars="0"/>
        <w:rPr>
          <w:rFonts w:cs="Times New Roman"/>
          <w:color w:val="000000"/>
          <w:kern w:val="0"/>
          <w:szCs w:val="24"/>
        </w:rPr>
      </w:pPr>
      <w:r>
        <w:rPr>
          <w:rFonts w:cs="Times New Roman"/>
          <w:color w:val="000000"/>
          <w:kern w:val="0"/>
          <w:szCs w:val="24"/>
        </w:rPr>
        <w:t>The equation for temporally adjusting baseline ozone is as follows:</w:t>
      </w:r>
    </w:p>
    <w:p>
      <w:pPr>
        <w:pStyle w:val="42"/>
        <w:ind w:left="720" w:firstLine="0" w:firstLineChars="0"/>
        <w:jc w:val="center"/>
        <w:rPr>
          <w:i/>
          <w:szCs w:val="24"/>
          <w:vertAlign w:val="subscript"/>
        </w:rPr>
      </w:pPr>
      <w:r>
        <w:rPr>
          <w:rFonts w:cs="Times New Roman"/>
          <w:i/>
          <w:color w:val="000000"/>
          <w:kern w:val="0"/>
          <w:szCs w:val="24"/>
        </w:rPr>
        <w:t>Monitor</w:t>
      </w:r>
      <w:r>
        <w:rPr>
          <w:rFonts w:cs="Times New Roman"/>
          <w:i/>
          <w:color w:val="000000"/>
          <w:kern w:val="0"/>
          <w:szCs w:val="24"/>
          <w:vertAlign w:val="subscript"/>
        </w:rPr>
        <w:t>i,future</w:t>
      </w:r>
      <w:r>
        <w:rPr>
          <w:rFonts w:cs="Times New Roman"/>
          <w:i/>
          <w:color w:val="000000"/>
          <w:kern w:val="0"/>
          <w:szCs w:val="24"/>
        </w:rPr>
        <w:t xml:space="preserve"> = Monitor</w:t>
      </w:r>
      <w:r>
        <w:rPr>
          <w:rFonts w:cs="Times New Roman"/>
          <w:i/>
          <w:color w:val="000000"/>
          <w:kern w:val="0"/>
          <w:szCs w:val="24"/>
          <w:vertAlign w:val="subscript"/>
        </w:rPr>
        <w:t>i</w:t>
      </w:r>
      <w:r>
        <w:rPr>
          <w:rFonts w:cs="Times New Roman"/>
          <w:i/>
          <w:color w:val="000000"/>
          <w:kern w:val="0"/>
          <w:szCs w:val="24"/>
        </w:rPr>
        <w:t xml:space="preserve"> * RRF</w:t>
      </w:r>
      <w:r>
        <w:rPr>
          <w:rFonts w:cs="Times New Roman"/>
          <w:i/>
          <w:color w:val="000000"/>
          <w:kern w:val="0"/>
          <w:szCs w:val="24"/>
          <w:vertAlign w:val="subscript"/>
        </w:rPr>
        <w:t>i</w:t>
      </w:r>
    </w:p>
    <w:p>
      <w:pPr>
        <w:autoSpaceDE w:val="0"/>
        <w:autoSpaceDN w:val="0"/>
        <w:adjustRightInd w:val="0"/>
        <w:ind w:left="300" w:firstLine="420"/>
        <w:jc w:val="left"/>
        <w:rPr>
          <w:rFonts w:cs="Times New Roman"/>
          <w:color w:val="000000"/>
          <w:kern w:val="0"/>
          <w:szCs w:val="24"/>
        </w:rPr>
      </w:pPr>
      <w:r>
        <w:rPr>
          <w:rFonts w:cs="Times New Roman"/>
          <w:color w:val="000000"/>
          <w:kern w:val="0"/>
          <w:szCs w:val="24"/>
        </w:rPr>
        <w:t>where:</w:t>
      </w:r>
    </w:p>
    <w:p>
      <w:pPr>
        <w:ind w:left="300" w:firstLine="420"/>
      </w:pPr>
      <w:r>
        <w:rPr>
          <w:i/>
        </w:rPr>
        <w:t>Monitor</w:t>
      </w:r>
      <w:r>
        <w:rPr>
          <w:i/>
          <w:sz w:val="16"/>
          <w:szCs w:val="16"/>
        </w:rPr>
        <w:t>i, future</w:t>
      </w:r>
      <w:r>
        <w:rPr>
          <w:sz w:val="16"/>
          <w:szCs w:val="16"/>
        </w:rPr>
        <w:t xml:space="preserve"> </w:t>
      </w:r>
      <w:r>
        <w:t>= future-year ozone design value at monitor site i, measured in</w:t>
      </w:r>
      <w:r>
        <w:tab/>
      </w:r>
      <w:r>
        <w:tab/>
      </w:r>
      <w:r>
        <w:t>parts per billion (ppb)</w:t>
      </w:r>
    </w:p>
    <w:p>
      <w:pPr>
        <w:ind w:left="300" w:firstLine="420"/>
      </w:pPr>
      <w:r>
        <w:rPr>
          <w:i/>
        </w:rPr>
        <w:t>Monitor</w:t>
      </w:r>
      <w:r>
        <w:rPr>
          <w:i/>
          <w:sz w:val="16"/>
          <w:szCs w:val="16"/>
        </w:rPr>
        <w:t>i</w:t>
      </w:r>
      <w:r>
        <w:rPr>
          <w:sz w:val="16"/>
          <w:szCs w:val="16"/>
        </w:rPr>
        <w:t xml:space="preserve"> </w:t>
      </w:r>
      <w:r>
        <w:t>= baseline ozone design value at monitor site i, measured in ppb</w:t>
      </w:r>
    </w:p>
    <w:p>
      <w:pPr>
        <w:ind w:left="720"/>
      </w:pPr>
      <w:r>
        <w:rPr>
          <w:i/>
        </w:rPr>
        <w:t>RRF</w:t>
      </w:r>
      <w:r>
        <w:rPr>
          <w:i/>
          <w:sz w:val="16"/>
          <w:szCs w:val="16"/>
        </w:rPr>
        <w:t>i</w:t>
      </w:r>
      <w:r>
        <w:rPr>
          <w:sz w:val="16"/>
          <w:szCs w:val="16"/>
        </w:rPr>
        <w:t xml:space="preserve"> </w:t>
      </w:r>
      <w:r>
        <w:t>= relative response factor at monitor site i. The RRF is the ratio of the future 8-hour daily maximum concentration predicted near a monitor (averaged over multiple days) to the baseline 8-hour daily maximum concentration predicted near the monitor (averaged over the same days).</w:t>
      </w:r>
    </w:p>
    <w:p>
      <w:r>
        <w:t xml:space="preserve">Selecting </w:t>
      </w:r>
      <w:r>
        <w:rPr>
          <w:b/>
        </w:rPr>
        <w:t>Forecast ozone design values at monitors</w:t>
      </w:r>
      <w:r>
        <w:t xml:space="preserve"> configures SMAT-CE to generate future year design values at each monitor in the modeling domain. </w:t>
      </w:r>
    </w:p>
    <w:p>
      <w:pPr>
        <w:rPr>
          <w:b/>
          <w:u w:val="single"/>
        </w:rPr>
      </w:pPr>
      <w:r>
        <w:rPr>
          <w:b/>
          <w:u w:val="single"/>
        </w:rPr>
        <w:t>Quarterly Model Data</w:t>
      </w:r>
    </w:p>
    <w:p>
      <w:r>
        <w:t>SMAT-CE calculate</w:t>
      </w:r>
      <w:r>
        <w:rPr>
          <w:rFonts w:hint="eastAsia"/>
        </w:rPr>
        <w:t>s</w:t>
      </w:r>
      <w:r>
        <w:t xml:space="preserve"> and outputs quarterly averaged modeled Ozone data from daily model data input to the system. SMAT-CE requires two types of data input: ambient monitor data and gridded model output data. For the annual Ozone calculations, SMAT-CE will accept either SMAT-CE formatted daily average gridded model files or quarterly average files. If daily average model files are used as inputs, SMAT-CE will calculate quarterly averages from the daily averages and optionally output the quarterly average concentrations into text files (CSV files). The quarterly average text files can then be re-used in subsequent SMAT-CE analyses. Quarterly average input files are smaller and run faster than daily average files.</w:t>
      </w:r>
    </w:p>
    <w:p>
      <w:pPr>
        <w:rPr>
          <w:b/>
          <w:u w:val="single"/>
        </w:rPr>
      </w:pPr>
      <w:r>
        <w:rPr>
          <w:b/>
          <w:u w:val="single"/>
        </w:rPr>
        <w:t>Spatial Field</w:t>
      </w:r>
    </w:p>
    <w:p>
      <w:pPr>
        <w:rPr>
          <w:lang w:eastAsia="en-US"/>
        </w:rPr>
      </w:pPr>
      <w:r>
        <w:rPr>
          <w:lang w:eastAsia="en-US"/>
        </w:rPr>
        <w:t>A Spatial Field refers to air pollution estimates made at the center of each grid cell in a specified model domain. For example, SMAT-CE may be configured to calculate ozone design values for each grid cell in a modeling domain.</w:t>
      </w:r>
    </w:p>
    <w:p>
      <w:pPr>
        <w:rPr>
          <w:lang w:eastAsia="en-US"/>
        </w:rPr>
      </w:pPr>
      <w:r>
        <w:rPr>
          <w:lang w:eastAsia="en-US"/>
        </w:rPr>
        <w:t>SMAT-CE calculates three types of ozone-related Spatial Fields:</w:t>
      </w:r>
    </w:p>
    <w:p>
      <w:pPr>
        <w:pStyle w:val="42"/>
        <w:numPr>
          <w:ilvl w:val="0"/>
          <w:numId w:val="26"/>
        </w:numPr>
        <w:ind w:firstLineChars="0"/>
        <w:rPr>
          <w:lang w:eastAsia="en-US"/>
        </w:rPr>
      </w:pPr>
      <w:r>
        <w:rPr>
          <w:i/>
          <w:lang w:eastAsia="en-US"/>
        </w:rPr>
        <w:t>Interpolate monitor data to spatial field. Base year and Future year (VNA)</w:t>
      </w:r>
      <w:r>
        <w:rPr>
          <w:lang w:eastAsia="en-US"/>
        </w:rPr>
        <w:t xml:space="preserve">. This is an interpolation of </w:t>
      </w:r>
      <w:r>
        <w:rPr>
          <w:color w:val="000000"/>
          <w:lang w:eastAsia="en-US"/>
        </w:rPr>
        <w:t xml:space="preserve">baseline </w:t>
      </w:r>
      <w:r>
        <w:rPr>
          <w:lang w:eastAsia="en-US"/>
        </w:rPr>
        <w:t xml:space="preserve">monitor values at each grid cell, including temporal adjustments to a specified future year. SMAT-CE identifies the "neighbor" monitors for each grid cell and then calculates an inverse-distance-weighted average of the monitor values at each grid cell. The future year forecasts are derived by multiplying the baseline spatial fields with RRFs at each monitor. </w:t>
      </w:r>
    </w:p>
    <w:p>
      <w:pPr>
        <w:pStyle w:val="42"/>
        <w:ind w:left="720" w:firstLine="0" w:firstLineChars="0"/>
        <w:rPr>
          <w:lang w:eastAsia="en-US"/>
        </w:rPr>
      </w:pPr>
      <w:r>
        <w:rPr>
          <w:lang w:eastAsia="en-US"/>
        </w:rPr>
        <w:t>Checking this option will interpolate the data for both the base and future years. Upon selecting this option, additional selections become available to interpolate the monitor values for either the “Base only” or “Future only”.</w:t>
      </w:r>
    </w:p>
    <w:p>
      <w:pPr>
        <w:pStyle w:val="42"/>
        <w:numPr>
          <w:ilvl w:val="0"/>
          <w:numId w:val="26"/>
        </w:numPr>
        <w:ind w:firstLineChars="0"/>
        <w:rPr>
          <w:lang w:eastAsia="en-US"/>
        </w:rPr>
      </w:pPr>
      <w:r>
        <w:rPr>
          <w:i/>
          <w:lang w:eastAsia="en-US"/>
        </w:rPr>
        <w:t>Interpolate gradient-adjusted monitor data to spatial field. Base year and Future year (eVNA)</w:t>
      </w:r>
      <w:r>
        <w:rPr>
          <w:color w:val="000000"/>
          <w:lang w:eastAsia="en-US"/>
        </w:rPr>
        <w:t xml:space="preserve">. This is an </w:t>
      </w:r>
      <w:r>
        <w:rPr>
          <w:lang w:eastAsia="en-US"/>
        </w:rPr>
        <w:t>interpolation of model-adjusted baseline monitor values at each grid cell, including temporal adjustments to a specified future year. SMAT-CE identifies the "neighbor" monitors for each grid cell, it adjusts the monitor values to account for the modeled spatial gradient, and then calculates an inverse-distance weighted average of the monitor values.  The future year forecasts are derived by multiplying the gradient-adjusted baseline spatial fields with RRFs at each monitor.</w:t>
      </w:r>
    </w:p>
    <w:p>
      <w:pPr>
        <w:pStyle w:val="42"/>
        <w:ind w:left="720" w:firstLine="0" w:firstLineChars="0"/>
        <w:rPr>
          <w:lang w:eastAsia="en-US"/>
        </w:rPr>
      </w:pPr>
      <w:r>
        <w:rPr>
          <w:lang w:eastAsia="en-US"/>
        </w:rPr>
        <w:t>Checking this option will interpolate the data for both the base and future years. Upon selecting this option, additional selections become available to interpolate the monitor values for either the “Base only” or “Future only”.</w:t>
      </w:r>
    </w:p>
    <w:p>
      <w:pPr>
        <w:pStyle w:val="42"/>
        <w:numPr>
          <w:ilvl w:val="0"/>
          <w:numId w:val="26"/>
        </w:numPr>
        <w:ind w:firstLineChars="0"/>
        <w:rPr>
          <w:lang w:eastAsia="en-US"/>
        </w:rPr>
      </w:pPr>
      <w:r>
        <w:rPr>
          <w:i/>
          <w:lang w:eastAsia="en-US"/>
        </w:rPr>
        <w:t>Interpolate gradient-adjusted model and monitor data by Downscaler Algorithm (DS</w:t>
      </w:r>
      <w:r>
        <w:rPr>
          <w:lang w:eastAsia="en-US"/>
        </w:rPr>
        <w:t xml:space="preserve">). </w:t>
      </w:r>
      <w:r>
        <w:rPr>
          <w:rFonts w:eastAsia="微软雅黑"/>
          <w:kern w:val="0"/>
          <w:szCs w:val="24"/>
        </w:rPr>
        <w:t>The DS interpolation method is a relatively complex statistical prediction method, but DS resembles a simple linear regression model with spatially varying coefficients at a high level. DS uses Markov chain Monte Carlo (MCMC) methods with Gibbs sampling to develop a relationship between observed and modeled concentrations, and then use the relationship to predict concentrations at points in the spatial domain.</w:t>
      </w:r>
    </w:p>
    <w:p>
      <w:pPr>
        <w:pStyle w:val="42"/>
        <w:ind w:left="720" w:firstLine="0" w:firstLineChars="0"/>
        <w:rPr>
          <w:lang w:eastAsia="en-US"/>
        </w:rPr>
      </w:pPr>
      <w:r>
        <w:rPr>
          <w:lang w:eastAsia="en-US"/>
        </w:rPr>
        <w:t>Checking this option will interpolate the data for both the base and future years. Upon selecting this option, additional selections become available to interpolate the monitor values for either the “Base only” or “Future only”.</w:t>
      </w:r>
    </w:p>
    <w:p>
      <w:pPr>
        <w:rPr>
          <w:lang w:eastAsia="en-US"/>
        </w:rPr>
      </w:pPr>
      <w:r>
        <w:rPr>
          <w:lang w:eastAsia="en-US"/>
        </w:rPr>
        <w:t xml:space="preserve">Selecting each of the interpolation options to produce additional configure </w:t>
      </w:r>
    </w:p>
    <w:p>
      <w:pPr>
        <w:rPr>
          <w:lang w:eastAsia="en-US"/>
        </w:rPr>
      </w:pPr>
      <w:r>
        <w:rPr>
          <w:lang w:eastAsia="en-US"/>
        </w:rPr>
        <w:t xml:space="preserve">Details of the interpolation calculations are available </w:t>
      </w:r>
      <w:r>
        <w:rPr>
          <w:szCs w:val="24"/>
        </w:rPr>
        <w:t>in Section 9.1.3 of the MATS User’s Manual (Abt, 2014).</w:t>
      </w:r>
    </w:p>
    <w:p>
      <w:pPr>
        <w:rPr>
          <w:b/>
          <w:u w:val="single"/>
        </w:rPr>
      </w:pPr>
      <w:r>
        <w:rPr>
          <w:b/>
          <w:u w:val="single"/>
        </w:rPr>
        <w:t>Neighbor File</w:t>
      </w:r>
    </w:p>
    <w:p>
      <w:pPr>
        <w:rPr>
          <w:b/>
          <w:u w:val="single"/>
        </w:rPr>
      </w:pPr>
      <w:r>
        <w:t>Selecting “Spatial Field” directs SMAT-CE to produce files of “nearest neighbor” data for the VNA interpolation scheme. The data include the distance to neighbor monitors and weights used to do the interpolations. This option will generate information for each monitor (for point analyses) or each grid cell (for spatial fields) for each quarter and for each species.</w:t>
      </w:r>
    </w:p>
    <w:p>
      <w:pPr>
        <w:rPr>
          <w:b/>
          <w:u w:val="single"/>
        </w:rPr>
      </w:pPr>
      <w:r>
        <w:rPr>
          <w:b/>
          <w:u w:val="single"/>
        </w:rPr>
        <w:t>Actions on Run Completion</w:t>
      </w:r>
    </w:p>
    <w:p>
      <w:r>
        <w:t>Checking the “Automatically Extract All Selected Output Files” box will export CSV files of all selected output to a separate folder named with the Project Name in the SMAT</w:t>
      </w:r>
      <w:r>
        <w:rPr>
          <w:rFonts w:hint="eastAsia"/>
        </w:rPr>
        <w:t xml:space="preserve"> </w:t>
      </w:r>
      <w:r>
        <w:t>"</w:t>
      </w:r>
      <w:r>
        <w:rPr>
          <w:rFonts w:hint="eastAsia"/>
        </w:rPr>
        <w:t>\Result\</w:t>
      </w:r>
      <w:r>
        <w:t xml:space="preserve">Output" folder. The results may also be exported later from the </w:t>
      </w:r>
      <w:r>
        <w:rPr>
          <w:rFonts w:hint="eastAsia"/>
          <w:b/>
        </w:rPr>
        <w:t>Data Viewer</w:t>
      </w:r>
      <w:r>
        <w:t>.</w:t>
      </w:r>
    </w:p>
    <w:p>
      <w:pPr>
        <w:rPr>
          <w:b/>
          <w:u w:val="single"/>
        </w:rPr>
      </w:pPr>
      <w:r>
        <w:rPr>
          <w:b/>
          <w:u w:val="single"/>
        </w:rPr>
        <w:t>Design Value Periods</w:t>
      </w:r>
    </w:p>
    <w:p>
      <w:pPr>
        <w:rPr>
          <w:rFonts w:ascii="Helvetica" w:hAnsi="Helvetica"/>
          <w:kern w:val="0"/>
          <w:sz w:val="18"/>
          <w:szCs w:val="18"/>
          <w:lang w:eastAsia="en-US"/>
        </w:rPr>
      </w:pPr>
      <w:r>
        <w:t>Normally, SMAT-CE will output one set of files covering the entire analysis period specified</w:t>
      </w:r>
      <w:r>
        <w:rPr>
          <w:rFonts w:ascii="Helvetica" w:hAnsi="Helvetica"/>
          <w:kern w:val="0"/>
          <w:sz w:val="18"/>
          <w:szCs w:val="18"/>
          <w:lang w:eastAsia="en-US"/>
        </w:rPr>
        <w:t xml:space="preserve"> </w:t>
      </w:r>
      <w:r>
        <w:t>by the user. The outputs represent the averages of the values for each 3-year design value</w:t>
      </w:r>
      <w:r>
        <w:rPr>
          <w:rFonts w:ascii="Helvetica" w:hAnsi="Helvetica"/>
          <w:kern w:val="0"/>
          <w:sz w:val="18"/>
          <w:szCs w:val="18"/>
          <w:lang w:eastAsia="en-US"/>
        </w:rPr>
        <w:t xml:space="preserve"> </w:t>
      </w:r>
      <w:r>
        <w:t>period. If the "Output all design value periods" option is checked, SMAT-CE will produce</w:t>
      </w:r>
      <w:r>
        <w:rPr>
          <w:rFonts w:ascii="Helvetica" w:hAnsi="Helvetica"/>
          <w:kern w:val="0"/>
          <w:sz w:val="18"/>
          <w:szCs w:val="18"/>
          <w:lang w:eastAsia="en-US"/>
        </w:rPr>
        <w:t xml:space="preserve"> </w:t>
      </w:r>
      <w:r>
        <w:t>discrete outputs for each design value period. The output files will include a period identifier (e.g., "Period 1", "Period 2") inserted into the file name. Checking this option will increase the SMAT-CE run time by up to four times.</w:t>
      </w:r>
    </w:p>
    <w:p>
      <w:pPr>
        <w:rPr>
          <w:b/>
          <w:u w:val="single"/>
        </w:rPr>
      </w:pPr>
      <w:r>
        <w:rPr>
          <w:b/>
          <w:u w:val="single"/>
        </w:rPr>
        <w:t>Base &amp; Future Design Values</w:t>
      </w:r>
    </w:p>
    <w:p>
      <w:pPr>
        <w:rPr>
          <w:rFonts w:ascii="Helvetica" w:hAnsi="Helvetica"/>
          <w:kern w:val="0"/>
          <w:sz w:val="18"/>
          <w:szCs w:val="18"/>
          <w:lang w:eastAsia="en-US"/>
        </w:rPr>
      </w:pPr>
      <w:r>
        <w:t>The maximum design values are based on the highest future year value from the three</w:t>
      </w:r>
      <w:r>
        <w:rPr>
          <w:rFonts w:ascii="Helvetica" w:hAnsi="Helvetica"/>
          <w:kern w:val="0"/>
          <w:sz w:val="18"/>
          <w:szCs w:val="18"/>
          <w:lang w:eastAsia="en-US"/>
        </w:rPr>
        <w:t xml:space="preserve"> </w:t>
      </w:r>
      <w:r>
        <w:t>design value periods. These values can be output by checking the "Output Max Design Values" option. The output file will include “maximum forecast” inserted into the file name.</w:t>
      </w:r>
    </w:p>
    <w:p>
      <w:pPr>
        <w:pStyle w:val="4"/>
        <w:rPr>
          <w:kern w:val="0"/>
          <w:szCs w:val="24"/>
          <w:lang w:eastAsia="en-US"/>
        </w:rPr>
      </w:pPr>
      <w:r>
        <w:t>Run the Eastern U.S. Example</w:t>
      </w:r>
    </w:p>
    <w:p>
      <w:r>
        <w:t xml:space="preserve">Use the default settings for these options for the Eastern U.S. example project. Either click </w:t>
      </w:r>
      <w:r>
        <w:rPr>
          <w:lang w:eastAsia="en-US"/>
        </w:rPr>
        <w:t xml:space="preserve">Next </w:t>
      </w:r>
      <w:r>
        <w:t xml:space="preserve">or double-click the </w:t>
      </w:r>
      <w:r>
        <w:rPr>
          <w:b/>
          <w:bCs/>
        </w:rPr>
        <w:t>Data Input</w:t>
      </w:r>
      <w:r>
        <w:t xml:space="preserve"> button in the upper left-hand panel of the </w:t>
      </w:r>
      <w:r>
        <w:rPr>
          <w:b/>
        </w:rPr>
        <w:t>Ozone Analysis</w:t>
      </w:r>
      <w:r>
        <w:t xml:space="preserve"> window. The button next to </w:t>
      </w:r>
      <w:r>
        <w:rPr>
          <w:b/>
          <w:bCs/>
        </w:rPr>
        <w:t xml:space="preserve">Desired Output </w:t>
      </w:r>
      <w:r>
        <w:t>will turn from yellow to green, indicating that this step is complete.</w:t>
      </w:r>
    </w:p>
    <w:p>
      <w:pPr>
        <w:pStyle w:val="3"/>
      </w:pPr>
      <w:bookmarkStart w:id="399" w:name="_Toc119010882"/>
      <w:bookmarkStart w:id="400" w:name="_Toc476653945"/>
      <w:bookmarkStart w:id="401" w:name="_Toc476654846"/>
      <w:bookmarkStart w:id="402" w:name="_Toc21271"/>
      <w:bookmarkStart w:id="403" w:name="_Toc476654468"/>
      <w:r>
        <w:t>Data Input</w:t>
      </w:r>
      <w:bookmarkEnd w:id="399"/>
      <w:bookmarkEnd w:id="400"/>
      <w:bookmarkEnd w:id="401"/>
      <w:bookmarkEnd w:id="402"/>
      <w:bookmarkEnd w:id="403"/>
    </w:p>
    <w:p>
      <w:pPr>
        <w:keepNext/>
      </w:pPr>
      <w:r>
        <w:rPr>
          <w:lang w:eastAsia="en-US"/>
        </w:rPr>
        <w:drawing>
          <wp:inline distT="0" distB="0" distL="0" distR="0">
            <wp:extent cx="5274310" cy="3676015"/>
            <wp:effectExtent l="0" t="0" r="889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274310" cy="3676015"/>
                    </a:xfrm>
                    <a:prstGeom prst="rect">
                      <a:avLst/>
                    </a:prstGeom>
                  </pic:spPr>
                </pic:pic>
              </a:graphicData>
            </a:graphic>
          </wp:inline>
        </w:drawing>
      </w:r>
    </w:p>
    <w:p>
      <w:pPr>
        <w:pStyle w:val="12"/>
        <w:rPr>
          <w:b w:val="0"/>
          <w:bCs/>
          <w:i/>
          <w:iCs/>
        </w:rPr>
      </w:pPr>
      <w:bookmarkStart w:id="404" w:name="_Ref475013267"/>
      <w:bookmarkStart w:id="405" w:name="_Toc119010926"/>
      <w:bookmarkStart w:id="406" w:name="_Toc9976"/>
      <w:bookmarkStart w:id="407" w:name="_Toc476654234"/>
      <w:bookmarkStart w:id="408" w:name="_Toc24100"/>
      <w:bookmarkStart w:id="409" w:name="_Toc13139"/>
      <w:bookmarkStart w:id="410" w:name="_Toc19733"/>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8</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3</w:t>
      </w:r>
      <w:r>
        <w:rPr>
          <w:b w:val="0"/>
          <w:bCs/>
          <w:i/>
          <w:iCs/>
        </w:rPr>
        <w:fldChar w:fldCharType="end"/>
      </w:r>
      <w:bookmarkEnd w:id="404"/>
      <w:bookmarkStart w:id="411" w:name="_Toc5093"/>
      <w:r>
        <w:rPr>
          <w:b w:val="0"/>
          <w:bCs/>
          <w:i/>
          <w:iCs/>
        </w:rPr>
        <w:t>. Data Input for Ozone Analysis</w:t>
      </w:r>
      <w:bookmarkEnd w:id="405"/>
      <w:bookmarkEnd w:id="406"/>
      <w:bookmarkEnd w:id="407"/>
      <w:bookmarkEnd w:id="408"/>
      <w:bookmarkEnd w:id="409"/>
      <w:bookmarkEnd w:id="410"/>
      <w:bookmarkEnd w:id="411"/>
    </w:p>
    <w:p>
      <w:pPr>
        <w:autoSpaceDE w:val="0"/>
        <w:autoSpaceDN w:val="0"/>
        <w:adjustRightInd w:val="0"/>
        <w:rPr>
          <w:rFonts w:cs="Times New Roman"/>
          <w:color w:val="000000"/>
          <w:kern w:val="0"/>
          <w:sz w:val="22"/>
        </w:rPr>
      </w:pPr>
      <w:r>
        <w:t xml:space="preserve">The </w:t>
      </w:r>
      <w:r>
        <w:rPr>
          <w:b/>
        </w:rPr>
        <w:t>Data Input</w:t>
      </w:r>
      <w:r>
        <w:t xml:space="preserve"> configuration step sets the ambient </w:t>
      </w:r>
      <w:r>
        <w:rPr>
          <w:rFonts w:hint="eastAsia"/>
        </w:rPr>
        <w:t>ozone</w:t>
      </w:r>
      <w:r>
        <w:rPr>
          <w:vertAlign w:val="subscript"/>
        </w:rPr>
        <w:t xml:space="preserve"> </w:t>
      </w:r>
      <w:r>
        <w:t>monitor data and the gridded model output data to use for the SMAT-CE project (</w:t>
      </w:r>
      <w:r>
        <w:fldChar w:fldCharType="begin"/>
      </w:r>
      <w:r>
        <w:instrText xml:space="preserve"> REF _Ref475013267 \h </w:instrText>
      </w:r>
      <w:r>
        <w:fldChar w:fldCharType="separate"/>
      </w:r>
      <w:r>
        <w:rPr>
          <w:bCs/>
          <w:i/>
          <w:iCs/>
        </w:rPr>
        <w:t xml:space="preserve">Figure </w:t>
      </w:r>
      <w:r>
        <w:rPr>
          <w:b/>
          <w:bCs/>
          <w:i/>
          <w:iCs/>
        </w:rPr>
        <w:t>8</w:t>
      </w:r>
      <w:r>
        <w:rPr>
          <w:bCs/>
          <w:i/>
          <w:iCs/>
        </w:rPr>
        <w:noBreakHyphen/>
      </w:r>
      <w:r>
        <w:rPr>
          <w:b/>
          <w:bCs/>
          <w:i/>
          <w:iCs/>
        </w:rPr>
        <w:t>3</w:t>
      </w:r>
      <w:r>
        <w:fldChar w:fldCharType="end"/>
      </w:r>
      <w:r>
        <w:t xml:space="preserve">). This step also sets the model grid cells to use for calculating RRFs at the monitor locations. </w:t>
      </w:r>
    </w:p>
    <w:p>
      <w:r>
        <w:t xml:space="preserve">SMAT-CE is pre-loaded with ozone design values at U.S. monitors for the period from 2002-2020. It is also distributed with example ozone model data for 2001 and 2018. </w:t>
      </w:r>
    </w:p>
    <w:p>
      <w:r>
        <w:t>The blue hyperlinked text in this window brings up the documentation for this configuration step. The settings in this step include:</w:t>
      </w:r>
    </w:p>
    <w:p>
      <w:pPr>
        <w:rPr>
          <w:b/>
          <w:u w:val="single"/>
        </w:rPr>
      </w:pPr>
      <w:r>
        <w:rPr>
          <w:b/>
          <w:u w:val="single"/>
        </w:rPr>
        <w:t>Monitor Data</w:t>
      </w:r>
    </w:p>
    <w:p>
      <w:r>
        <w:t>Monitor data should be in the form of a simple text file. The first row specifies the</w:t>
      </w:r>
      <w:r>
        <w:rPr>
          <w:rFonts w:ascii="Helvetica" w:hAnsi="Helvetica"/>
          <w:kern w:val="0"/>
          <w:sz w:val="18"/>
          <w:szCs w:val="18"/>
          <w:lang w:eastAsia="en-US"/>
        </w:rPr>
        <w:t xml:space="preserve"> </w:t>
      </w:r>
      <w:r>
        <w:t xml:space="preserve">nature or frequency of the data (e.g., Design Value or Day). The second row presents comma-separated variable names. The third row begins the data values. </w:t>
      </w:r>
      <w:r>
        <w:rPr>
          <w:rFonts w:hint="eastAsia"/>
        </w:rPr>
        <w:t>The</w:t>
      </w:r>
      <w:r>
        <w:t xml:space="preserve"> table below shows the format of the ozone monitor data for input to SMAT-CE.</w:t>
      </w:r>
    </w:p>
    <w:p/>
    <w:p>
      <w:pPr>
        <w:pStyle w:val="12"/>
        <w:keepNext/>
        <w:rPr>
          <w:b w:val="0"/>
          <w:bCs/>
          <w:i/>
          <w:iCs/>
        </w:rPr>
      </w:pPr>
      <w:bookmarkStart w:id="412" w:name="_Toc26175"/>
      <w:bookmarkStart w:id="413" w:name="_Toc8743"/>
      <w:r>
        <w:rPr>
          <w:b w:val="0"/>
          <w:bCs/>
          <w:i/>
          <w:iCs/>
        </w:rPr>
        <w:t xml:space="preserve">Table </w:t>
      </w:r>
      <w:r>
        <w:rPr>
          <w:b w:val="0"/>
          <w:bCs/>
          <w:i/>
          <w:iCs/>
        </w:rPr>
        <w:fldChar w:fldCharType="begin"/>
      </w:r>
      <w:r>
        <w:rPr>
          <w:b w:val="0"/>
          <w:bCs/>
          <w:i/>
          <w:iCs/>
        </w:rPr>
        <w:instrText xml:space="preserve"> STYLEREF 1 \s </w:instrText>
      </w:r>
      <w:r>
        <w:rPr>
          <w:b w:val="0"/>
          <w:bCs/>
          <w:i/>
          <w:iCs/>
        </w:rPr>
        <w:fldChar w:fldCharType="separate"/>
      </w:r>
      <w:r>
        <w:rPr>
          <w:b w:val="0"/>
          <w:bCs/>
          <w:i/>
          <w:iCs/>
        </w:rPr>
        <w:t>8</w:t>
      </w:r>
      <w:r>
        <w:rPr>
          <w:b w:val="0"/>
          <w:bCs/>
          <w:i/>
          <w:iCs/>
        </w:rPr>
        <w:fldChar w:fldCharType="end"/>
      </w:r>
      <w:r>
        <w:rPr>
          <w:b w:val="0"/>
          <w:bCs/>
          <w:i/>
          <w:iCs/>
        </w:rPr>
        <w:noBreakHyphen/>
      </w:r>
      <w:r>
        <w:rPr>
          <w:b w:val="0"/>
          <w:bCs/>
          <w:i/>
          <w:iCs/>
        </w:rPr>
        <w:fldChar w:fldCharType="begin"/>
      </w:r>
      <w:r>
        <w:rPr>
          <w:b w:val="0"/>
          <w:bCs/>
          <w:i/>
          <w:iCs/>
        </w:rPr>
        <w:instrText xml:space="preserve"> SEQ _Table \* ARABIC \s 1 </w:instrText>
      </w:r>
      <w:r>
        <w:rPr>
          <w:b w:val="0"/>
          <w:bCs/>
          <w:i/>
          <w:iCs/>
        </w:rPr>
        <w:fldChar w:fldCharType="separate"/>
      </w:r>
      <w:r>
        <w:rPr>
          <w:b w:val="0"/>
          <w:bCs/>
          <w:i/>
          <w:iCs/>
        </w:rPr>
        <w:t>1</w:t>
      </w:r>
      <w:r>
        <w:rPr>
          <w:b w:val="0"/>
          <w:bCs/>
          <w:i/>
          <w:iCs/>
        </w:rPr>
        <w:fldChar w:fldCharType="end"/>
      </w:r>
      <w:r>
        <w:rPr>
          <w:b w:val="0"/>
          <w:bCs/>
          <w:i/>
          <w:iCs/>
        </w:rPr>
        <w:t>. Ozone monitor data format</w:t>
      </w:r>
      <w:bookmarkEnd w:id="412"/>
      <w:bookmarkEnd w:id="413"/>
    </w:p>
    <w:tbl>
      <w:tblPr>
        <w:tblStyle w:val="31"/>
        <w:tblW w:w="8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0"/>
        <w:gridCol w:w="6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2190" w:type="dxa"/>
            <w:shd w:val="clear" w:color="auto" w:fill="D8D8D8" w:themeFill="background1" w:themeFillShade="D9"/>
          </w:tcPr>
          <w:p>
            <w:pPr>
              <w:rPr>
                <w:rFonts w:ascii="Arial" w:hAnsi="Arial" w:cs="Arial"/>
                <w:b/>
                <w:kern w:val="0"/>
                <w:szCs w:val="24"/>
                <w:lang w:eastAsia="en-US"/>
              </w:rPr>
            </w:pPr>
            <w:r>
              <w:rPr>
                <w:rFonts w:ascii="Arial" w:hAnsi="Arial" w:cs="Arial"/>
                <w:b/>
                <w:kern w:val="0"/>
                <w:szCs w:val="24"/>
                <w:lang w:eastAsia="en-US"/>
              </w:rPr>
              <w:t>Variable</w:t>
            </w:r>
          </w:p>
        </w:tc>
        <w:tc>
          <w:tcPr>
            <w:tcW w:w="6067" w:type="dxa"/>
            <w:shd w:val="clear" w:color="auto" w:fill="D8D8D8" w:themeFill="background1" w:themeFillShade="D9"/>
          </w:tcPr>
          <w:p>
            <w:pPr>
              <w:rPr>
                <w:rFonts w:ascii="Arial" w:hAnsi="Arial" w:cs="Arial"/>
                <w:b/>
                <w:kern w:val="0"/>
                <w:szCs w:val="24"/>
                <w:lang w:eastAsia="en-US"/>
              </w:rPr>
            </w:pPr>
            <w:r>
              <w:rPr>
                <w:rFonts w:ascii="Arial" w:hAnsi="Arial" w:cs="Arial"/>
                <w:b/>
                <w:kern w:val="0"/>
                <w:szCs w:val="24"/>
                <w:lang w:eastAsia="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190" w:type="dxa"/>
          </w:tcPr>
          <w:p>
            <w:pPr>
              <w:rPr>
                <w:rFonts w:ascii="Arial" w:hAnsi="Arial" w:cs="Arial"/>
                <w:kern w:val="0"/>
                <w:szCs w:val="24"/>
                <w:lang w:eastAsia="en-US"/>
              </w:rPr>
            </w:pPr>
            <w:r>
              <w:rPr>
                <w:rFonts w:ascii="Arial" w:hAnsi="Arial" w:cs="Arial"/>
                <w:kern w:val="0"/>
                <w:szCs w:val="24"/>
                <w:lang w:eastAsia="en-US"/>
              </w:rPr>
              <w:t>_ID</w:t>
            </w:r>
          </w:p>
        </w:tc>
        <w:tc>
          <w:tcPr>
            <w:tcW w:w="6067" w:type="dxa"/>
          </w:tcPr>
          <w:p>
            <w:pPr>
              <w:widowControl/>
              <w:jc w:val="left"/>
              <w:rPr>
                <w:rFonts w:ascii="Arial" w:hAnsi="Arial" w:cs="Arial"/>
                <w:kern w:val="0"/>
                <w:szCs w:val="24"/>
                <w:lang w:eastAsia="en-US"/>
              </w:rPr>
            </w:pPr>
            <w:r>
              <w:rPr>
                <w:rFonts w:ascii="Arial" w:hAnsi="Arial" w:cs="Arial"/>
                <w:kern w:val="0"/>
                <w:szCs w:val="24"/>
                <w:lang w:eastAsia="en-US"/>
              </w:rPr>
              <w:t> The ID is a unique name for each monitor in a particular location. The default value is the AIRS ID. (This is a character variable.)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0" w:type="dxa"/>
          </w:tcPr>
          <w:p>
            <w:pPr>
              <w:rPr>
                <w:rFonts w:ascii="Arial" w:hAnsi="Arial" w:cs="Arial"/>
                <w:kern w:val="0"/>
                <w:szCs w:val="24"/>
                <w:lang w:eastAsia="en-US"/>
              </w:rPr>
            </w:pPr>
            <w:r>
              <w:rPr>
                <w:rFonts w:ascii="Arial" w:hAnsi="Arial" w:cs="Arial"/>
                <w:kern w:val="0"/>
                <w:szCs w:val="24"/>
                <w:lang w:eastAsia="en-US"/>
              </w:rPr>
              <w:t>_TYPE</w:t>
            </w:r>
          </w:p>
        </w:tc>
        <w:tc>
          <w:tcPr>
            <w:tcW w:w="6067" w:type="dxa"/>
          </w:tcPr>
          <w:p>
            <w:pPr>
              <w:widowControl/>
              <w:jc w:val="left"/>
              <w:rPr>
                <w:rFonts w:ascii="Arial" w:hAnsi="Arial" w:cs="Arial"/>
                <w:kern w:val="0"/>
                <w:szCs w:val="24"/>
                <w:lang w:eastAsia="en-US"/>
              </w:rPr>
            </w:pPr>
            <w:r>
              <w:rPr>
                <w:rFonts w:ascii="Arial" w:hAnsi="Arial" w:cs="Arial"/>
                <w:kern w:val="0"/>
                <w:szCs w:val="24"/>
                <w:lang w:eastAsia="en-US"/>
              </w:rPr>
              <w:t>Leave this blank.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0" w:type="dxa"/>
          </w:tcPr>
          <w:p>
            <w:pPr>
              <w:rPr>
                <w:rFonts w:ascii="Arial" w:hAnsi="Arial" w:cs="Arial"/>
                <w:kern w:val="0"/>
                <w:szCs w:val="24"/>
                <w:lang w:eastAsia="en-US"/>
              </w:rPr>
            </w:pPr>
            <w:r>
              <w:rPr>
                <w:rFonts w:ascii="Arial" w:hAnsi="Arial" w:cs="Arial"/>
                <w:kern w:val="0"/>
                <w:szCs w:val="24"/>
                <w:lang w:eastAsia="en-US"/>
              </w:rPr>
              <w:t>LAT</w:t>
            </w:r>
          </w:p>
        </w:tc>
        <w:tc>
          <w:tcPr>
            <w:tcW w:w="6067" w:type="dxa"/>
          </w:tcPr>
          <w:p>
            <w:pPr>
              <w:widowControl/>
              <w:jc w:val="left"/>
              <w:rPr>
                <w:rFonts w:ascii="Arial" w:hAnsi="Arial" w:cs="Arial"/>
                <w:kern w:val="0"/>
                <w:szCs w:val="24"/>
                <w:lang w:eastAsia="en-US"/>
              </w:rPr>
            </w:pPr>
            <w:r>
              <w:rPr>
                <w:rFonts w:ascii="Arial" w:hAnsi="Arial" w:cs="Arial"/>
                <w:kern w:val="0"/>
                <w:szCs w:val="24"/>
                <w:lang w:eastAsia="en-US"/>
              </w:rPr>
              <w:t>Latitude in decimal degrees. Values in the northern hemisphere are positive, and those in the southern hemisphere are negative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0" w:type="dxa"/>
          </w:tcPr>
          <w:p>
            <w:pPr>
              <w:rPr>
                <w:rFonts w:ascii="Arial" w:hAnsi="Arial" w:cs="Arial"/>
                <w:kern w:val="0"/>
                <w:szCs w:val="24"/>
                <w:lang w:eastAsia="en-US"/>
              </w:rPr>
            </w:pPr>
            <w:r>
              <w:rPr>
                <w:rFonts w:ascii="Arial" w:hAnsi="Arial" w:cs="Arial"/>
                <w:kern w:val="0"/>
                <w:szCs w:val="24"/>
                <w:lang w:eastAsia="en-US"/>
              </w:rPr>
              <w:t>LONG</w:t>
            </w:r>
          </w:p>
        </w:tc>
        <w:tc>
          <w:tcPr>
            <w:tcW w:w="6067" w:type="dxa"/>
          </w:tcPr>
          <w:p>
            <w:pPr>
              <w:widowControl/>
              <w:jc w:val="left"/>
              <w:rPr>
                <w:rFonts w:ascii="Arial" w:hAnsi="Arial" w:cs="Arial"/>
                <w:kern w:val="0"/>
                <w:szCs w:val="24"/>
                <w:lang w:eastAsia="en-US"/>
              </w:rPr>
            </w:pPr>
            <w:r>
              <w:rPr>
                <w:rFonts w:ascii="Arial" w:hAnsi="Arial" w:cs="Arial"/>
                <w:kern w:val="0"/>
                <w:szCs w:val="24"/>
                <w:lang w:eastAsia="en-US"/>
              </w:rPr>
              <w:t>Longitude in decimal degrees. Values in the eastern hemisphere are positive, and those in the western hemisphere (e.g., United States) are negative.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0" w:type="dxa"/>
          </w:tcPr>
          <w:p>
            <w:pPr>
              <w:rPr>
                <w:rFonts w:ascii="Arial" w:hAnsi="Arial" w:cs="Arial"/>
                <w:kern w:val="0"/>
                <w:szCs w:val="24"/>
                <w:lang w:eastAsia="en-US"/>
              </w:rPr>
            </w:pPr>
            <w:r>
              <w:rPr>
                <w:rFonts w:ascii="Arial" w:hAnsi="Arial" w:cs="Arial"/>
                <w:kern w:val="0"/>
                <w:szCs w:val="24"/>
                <w:lang w:eastAsia="en-US"/>
              </w:rPr>
              <w:t>DATE</w:t>
            </w:r>
          </w:p>
        </w:tc>
        <w:tc>
          <w:tcPr>
            <w:tcW w:w="6067" w:type="dxa"/>
          </w:tcPr>
          <w:p>
            <w:pPr>
              <w:widowControl/>
              <w:jc w:val="left"/>
              <w:rPr>
                <w:rFonts w:ascii="Arial" w:hAnsi="Arial" w:cs="Arial"/>
                <w:kern w:val="0"/>
                <w:szCs w:val="24"/>
                <w:lang w:eastAsia="en-US"/>
              </w:rPr>
            </w:pPr>
            <w:r>
              <w:rPr>
                <w:rFonts w:ascii="Arial" w:hAnsi="Arial" w:cs="Arial"/>
                <w:kern w:val="0"/>
                <w:szCs w:val="24"/>
                <w:lang w:eastAsia="en-US"/>
              </w:rPr>
              <w:t>The time period of the monitor observation. As a convention, the date represents the last year of the 3-year design value period (e.g., 2001 represents the 1999-2001 design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0" w:type="dxa"/>
          </w:tcPr>
          <w:p>
            <w:pPr>
              <w:rPr>
                <w:rFonts w:ascii="Arial" w:hAnsi="Arial" w:cs="Arial"/>
                <w:kern w:val="0"/>
                <w:szCs w:val="24"/>
              </w:rPr>
            </w:pPr>
            <w:r>
              <w:rPr>
                <w:rFonts w:ascii="Arial" w:hAnsi="Arial" w:cs="Arial"/>
                <w:kern w:val="0"/>
                <w:szCs w:val="24"/>
                <w:lang w:eastAsia="en-US"/>
              </w:rPr>
              <w:t>O3</w:t>
            </w:r>
          </w:p>
        </w:tc>
        <w:tc>
          <w:tcPr>
            <w:tcW w:w="6067" w:type="dxa"/>
          </w:tcPr>
          <w:p>
            <w:pPr>
              <w:widowControl/>
              <w:jc w:val="left"/>
              <w:rPr>
                <w:rFonts w:ascii="Arial" w:hAnsi="Arial" w:cs="Arial"/>
                <w:kern w:val="0"/>
                <w:szCs w:val="24"/>
                <w:lang w:eastAsia="en-US"/>
              </w:rPr>
            </w:pPr>
            <w:r>
              <w:rPr>
                <w:rFonts w:ascii="Arial" w:hAnsi="Arial" w:cs="Arial"/>
                <w:kern w:val="0"/>
                <w:szCs w:val="24"/>
                <w:lang w:eastAsia="en-US"/>
              </w:rPr>
              <w:t>Observed monitor value. Note that missing values are represented by a minus nine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0" w:type="dxa"/>
          </w:tcPr>
          <w:p>
            <w:pPr>
              <w:rPr>
                <w:rFonts w:ascii="Arial" w:hAnsi="Arial" w:cs="Arial"/>
                <w:kern w:val="0"/>
                <w:szCs w:val="24"/>
                <w:lang w:eastAsia="en-US"/>
              </w:rPr>
            </w:pPr>
            <w:r>
              <w:rPr>
                <w:rFonts w:ascii="Arial" w:hAnsi="Arial" w:cs="Arial"/>
                <w:iCs/>
                <w:kern w:val="0"/>
                <w:szCs w:val="24"/>
                <w:lang w:eastAsia="en-US"/>
              </w:rPr>
              <w:t>_STATE_NAME</w:t>
            </w:r>
          </w:p>
        </w:tc>
        <w:tc>
          <w:tcPr>
            <w:tcW w:w="6067" w:type="dxa"/>
          </w:tcPr>
          <w:p>
            <w:pPr>
              <w:widowControl/>
              <w:jc w:val="left"/>
              <w:rPr>
                <w:rFonts w:ascii="Arial" w:hAnsi="Arial" w:cs="Arial"/>
                <w:kern w:val="0"/>
                <w:szCs w:val="24"/>
                <w:lang w:eastAsia="en-US"/>
              </w:rPr>
            </w:pPr>
            <w:r>
              <w:rPr>
                <w:rFonts w:ascii="Arial" w:hAnsi="Arial" w:cs="Arial"/>
                <w:kern w:val="0"/>
                <w:szCs w:val="24"/>
                <w:lang w:eastAsia="en-US"/>
              </w:rPr>
              <w:t>State name. (This is a character variable.)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0" w:type="dxa"/>
          </w:tcPr>
          <w:p>
            <w:pPr>
              <w:rPr>
                <w:rFonts w:ascii="Arial" w:hAnsi="Arial" w:cs="Arial"/>
                <w:kern w:val="0"/>
                <w:szCs w:val="24"/>
                <w:lang w:eastAsia="en-US"/>
              </w:rPr>
            </w:pPr>
            <w:r>
              <w:rPr>
                <w:rFonts w:ascii="Arial" w:hAnsi="Arial" w:cs="Arial"/>
                <w:iCs/>
                <w:kern w:val="0"/>
                <w:szCs w:val="24"/>
                <w:lang w:eastAsia="en-US"/>
              </w:rPr>
              <w:t>_COUNTY</w:t>
            </w:r>
            <w:r>
              <w:rPr>
                <w:rFonts w:ascii="Arial" w:hAnsi="Arial" w:cs="Arial"/>
                <w:kern w:val="0"/>
                <w:szCs w:val="24"/>
                <w:lang w:eastAsia="en-US"/>
              </w:rPr>
              <w:t>_NAME</w:t>
            </w:r>
          </w:p>
        </w:tc>
        <w:tc>
          <w:tcPr>
            <w:tcW w:w="6067" w:type="dxa"/>
          </w:tcPr>
          <w:p>
            <w:pPr>
              <w:widowControl/>
              <w:jc w:val="left"/>
              <w:rPr>
                <w:rFonts w:ascii="Arial" w:hAnsi="Arial" w:cs="Arial"/>
                <w:kern w:val="0"/>
                <w:szCs w:val="24"/>
                <w:lang w:eastAsia="en-US"/>
              </w:rPr>
            </w:pPr>
            <w:r>
              <w:rPr>
                <w:rFonts w:ascii="Arial" w:hAnsi="Arial" w:cs="Arial"/>
                <w:kern w:val="0"/>
                <w:szCs w:val="24"/>
                <w:lang w:eastAsia="en-US"/>
              </w:rPr>
              <w:t>County name. (This is a character variable.)</w:t>
            </w:r>
          </w:p>
        </w:tc>
      </w:tr>
    </w:tbl>
    <w:p>
      <w:pPr>
        <w:rPr>
          <w:b/>
          <w:u w:val="single"/>
        </w:rPr>
      </w:pPr>
    </w:p>
    <w:p>
      <w:pPr>
        <w:rPr>
          <w:b/>
          <w:u w:val="single"/>
        </w:rPr>
      </w:pPr>
      <w:r>
        <w:rPr>
          <w:b/>
          <w:u w:val="single"/>
        </w:rPr>
        <w:t>Model Data</w:t>
      </w:r>
    </w:p>
    <w:p>
      <w:pPr>
        <w:rPr>
          <w:rFonts w:ascii="Helvetica" w:hAnsi="Helvetica"/>
          <w:kern w:val="0"/>
          <w:sz w:val="18"/>
          <w:szCs w:val="18"/>
          <w:lang w:eastAsia="en-US"/>
        </w:rPr>
      </w:pPr>
      <w:r>
        <w:t xml:space="preserve">SMAT-CE requires model data in the form of a text file. A forthcoming feature will support reading CMAQ output files directly; the </w:t>
      </w:r>
      <w:r>
        <w:rPr>
          <w:b/>
        </w:rPr>
        <w:t>Input from CMAQ</w:t>
      </w:r>
      <w:r>
        <w:t xml:space="preserve"> option is currently greyed out in SMAT-CE. To compute RRFs and future year design values, SMAT-CE requires text files of Baseline and Forecast (future) ozone concentrations. The first row of these text files specifies the</w:t>
      </w:r>
      <w:r>
        <w:rPr>
          <w:rFonts w:ascii="Helvetica" w:hAnsi="Helvetica"/>
          <w:kern w:val="0"/>
          <w:sz w:val="18"/>
          <w:szCs w:val="18"/>
          <w:lang w:eastAsia="en-US"/>
        </w:rPr>
        <w:t xml:space="preserve"> </w:t>
      </w:r>
      <w:r>
        <w:t>frequency of the data (e.g., Day or Hour). The second row presents comma-separated variable names. The third row begins with the data values. For design value calculations, the ozone model data must be daily 8-hour average maximum concentrations in each grid cell. lists the file format and descriptions of the variables in the ozone model data file.</w:t>
      </w:r>
    </w:p>
    <w:p>
      <w:pPr>
        <w:pStyle w:val="12"/>
        <w:keepNext/>
        <w:rPr>
          <w:b w:val="0"/>
          <w:bCs/>
          <w:i/>
          <w:iCs/>
        </w:rPr>
      </w:pPr>
      <w:bookmarkStart w:id="414" w:name="_Toc27304"/>
      <w:bookmarkStart w:id="415" w:name="_Toc6324"/>
      <w:r>
        <w:rPr>
          <w:b w:val="0"/>
          <w:bCs/>
          <w:i/>
          <w:iCs/>
        </w:rPr>
        <w:t xml:space="preserve">Table </w:t>
      </w:r>
      <w:r>
        <w:rPr>
          <w:b w:val="0"/>
          <w:bCs/>
          <w:i/>
          <w:iCs/>
        </w:rPr>
        <w:fldChar w:fldCharType="begin"/>
      </w:r>
      <w:r>
        <w:rPr>
          <w:b w:val="0"/>
          <w:bCs/>
          <w:i/>
          <w:iCs/>
        </w:rPr>
        <w:instrText xml:space="preserve"> STYLEREF 1 \s </w:instrText>
      </w:r>
      <w:r>
        <w:rPr>
          <w:b w:val="0"/>
          <w:bCs/>
          <w:i/>
          <w:iCs/>
        </w:rPr>
        <w:fldChar w:fldCharType="separate"/>
      </w:r>
      <w:r>
        <w:rPr>
          <w:b w:val="0"/>
          <w:bCs/>
          <w:i/>
          <w:iCs/>
        </w:rPr>
        <w:t>8</w:t>
      </w:r>
      <w:r>
        <w:rPr>
          <w:b w:val="0"/>
          <w:bCs/>
          <w:i/>
          <w:iCs/>
        </w:rPr>
        <w:fldChar w:fldCharType="end"/>
      </w:r>
      <w:r>
        <w:rPr>
          <w:b w:val="0"/>
          <w:bCs/>
          <w:i/>
          <w:iCs/>
        </w:rPr>
        <w:noBreakHyphen/>
      </w:r>
      <w:r>
        <w:rPr>
          <w:b w:val="0"/>
          <w:bCs/>
          <w:i/>
          <w:iCs/>
        </w:rPr>
        <w:fldChar w:fldCharType="begin"/>
      </w:r>
      <w:r>
        <w:rPr>
          <w:b w:val="0"/>
          <w:bCs/>
          <w:i/>
          <w:iCs/>
        </w:rPr>
        <w:instrText xml:space="preserve"> SEQ _Table \* ARABIC \s 1 </w:instrText>
      </w:r>
      <w:r>
        <w:rPr>
          <w:b w:val="0"/>
          <w:bCs/>
          <w:i/>
          <w:iCs/>
        </w:rPr>
        <w:fldChar w:fldCharType="separate"/>
      </w:r>
      <w:r>
        <w:rPr>
          <w:b w:val="0"/>
          <w:bCs/>
          <w:i/>
          <w:iCs/>
        </w:rPr>
        <w:t>2</w:t>
      </w:r>
      <w:r>
        <w:rPr>
          <w:b w:val="0"/>
          <w:bCs/>
          <w:i/>
          <w:iCs/>
        </w:rPr>
        <w:fldChar w:fldCharType="end"/>
      </w:r>
      <w:r>
        <w:rPr>
          <w:b w:val="0"/>
          <w:bCs/>
          <w:i/>
          <w:iCs/>
        </w:rPr>
        <w:t>. Ozone modeling data format</w:t>
      </w:r>
      <w:bookmarkEnd w:id="414"/>
      <w:bookmarkEnd w:id="415"/>
    </w:p>
    <w:tbl>
      <w:tblPr>
        <w:tblStyle w:val="31"/>
        <w:tblW w:w="8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0"/>
        <w:gridCol w:w="6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2190" w:type="dxa"/>
            <w:shd w:val="clear" w:color="auto" w:fill="D8D8D8" w:themeFill="background1" w:themeFillShade="D9"/>
          </w:tcPr>
          <w:p>
            <w:pPr>
              <w:rPr>
                <w:rFonts w:ascii="Arial" w:hAnsi="Arial" w:cs="Arial"/>
                <w:b/>
                <w:kern w:val="0"/>
                <w:szCs w:val="24"/>
                <w:lang w:eastAsia="en-US"/>
              </w:rPr>
            </w:pPr>
            <w:r>
              <w:rPr>
                <w:rFonts w:ascii="Arial" w:hAnsi="Arial" w:cs="Arial"/>
                <w:b/>
                <w:kern w:val="0"/>
                <w:szCs w:val="24"/>
                <w:lang w:eastAsia="en-US"/>
              </w:rPr>
              <w:t>Variable</w:t>
            </w:r>
          </w:p>
        </w:tc>
        <w:tc>
          <w:tcPr>
            <w:tcW w:w="6067" w:type="dxa"/>
            <w:shd w:val="clear" w:color="auto" w:fill="D8D8D8" w:themeFill="background1" w:themeFillShade="D9"/>
          </w:tcPr>
          <w:p>
            <w:pPr>
              <w:rPr>
                <w:rFonts w:ascii="Arial" w:hAnsi="Arial" w:cs="Arial"/>
                <w:b/>
                <w:kern w:val="0"/>
                <w:szCs w:val="24"/>
                <w:lang w:eastAsia="en-US"/>
              </w:rPr>
            </w:pPr>
            <w:r>
              <w:rPr>
                <w:rFonts w:ascii="Arial" w:hAnsi="Arial" w:cs="Arial"/>
                <w:b/>
                <w:kern w:val="0"/>
                <w:szCs w:val="24"/>
                <w:lang w:eastAsia="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190" w:type="dxa"/>
          </w:tcPr>
          <w:p>
            <w:pPr>
              <w:rPr>
                <w:rFonts w:ascii="Arial" w:hAnsi="Arial" w:cs="Arial"/>
                <w:kern w:val="0"/>
                <w:szCs w:val="24"/>
                <w:lang w:eastAsia="en-US"/>
              </w:rPr>
            </w:pPr>
            <w:r>
              <w:rPr>
                <w:rFonts w:ascii="Arial" w:hAnsi="Arial" w:cs="Arial"/>
                <w:kern w:val="0"/>
                <w:szCs w:val="24"/>
                <w:lang w:eastAsia="en-US"/>
              </w:rPr>
              <w:t>_ID</w:t>
            </w:r>
          </w:p>
        </w:tc>
        <w:tc>
          <w:tcPr>
            <w:tcW w:w="6067" w:type="dxa"/>
          </w:tcPr>
          <w:p>
            <w:pPr>
              <w:jc w:val="left"/>
              <w:rPr>
                <w:rFonts w:ascii="Arial" w:hAnsi="Arial" w:cs="Arial"/>
                <w:lang w:eastAsia="en-US"/>
              </w:rPr>
            </w:pPr>
            <w:r>
              <w:rPr>
                <w:rFonts w:ascii="Arial" w:hAnsi="Arial" w:cs="Arial"/>
                <w:lang w:eastAsia="en-US"/>
              </w:rPr>
              <w:t>The ID is a unique number for each model grid cell in the air quality model domain. It is generally based on the column and row identifiers from the air quality modeling domain. The default convention is to calculate the ID by multiplying the column identifier by one thousand (1000) and adding the row identifier. (This is a character variable.)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0" w:type="dxa"/>
          </w:tcPr>
          <w:p>
            <w:pPr>
              <w:rPr>
                <w:rFonts w:ascii="Arial" w:hAnsi="Arial" w:cs="Arial"/>
                <w:kern w:val="0"/>
                <w:szCs w:val="24"/>
                <w:lang w:eastAsia="en-US"/>
              </w:rPr>
            </w:pPr>
            <w:r>
              <w:rPr>
                <w:rFonts w:ascii="Arial" w:hAnsi="Arial" w:cs="Arial"/>
                <w:kern w:val="0"/>
                <w:szCs w:val="24"/>
                <w:lang w:eastAsia="en-US"/>
              </w:rPr>
              <w:t>_TYPE</w:t>
            </w:r>
          </w:p>
        </w:tc>
        <w:tc>
          <w:tcPr>
            <w:tcW w:w="6067" w:type="dxa"/>
          </w:tcPr>
          <w:p>
            <w:pPr>
              <w:widowControl/>
              <w:jc w:val="left"/>
              <w:rPr>
                <w:rFonts w:ascii="Arial" w:hAnsi="Arial" w:cs="Arial"/>
                <w:kern w:val="0"/>
                <w:szCs w:val="24"/>
                <w:lang w:eastAsia="en-US"/>
              </w:rPr>
            </w:pPr>
            <w:r>
              <w:rPr>
                <w:rFonts w:ascii="Arial" w:hAnsi="Arial" w:cs="Arial"/>
                <w:kern w:val="0"/>
                <w:szCs w:val="24"/>
                <w:lang w:eastAsia="en-US"/>
              </w:rPr>
              <w:t>Leave this blank.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0" w:type="dxa"/>
          </w:tcPr>
          <w:p>
            <w:pPr>
              <w:rPr>
                <w:rFonts w:ascii="Arial" w:hAnsi="Arial" w:cs="Arial"/>
                <w:kern w:val="0"/>
                <w:szCs w:val="24"/>
                <w:lang w:eastAsia="en-US"/>
              </w:rPr>
            </w:pPr>
            <w:r>
              <w:rPr>
                <w:rFonts w:ascii="Arial" w:hAnsi="Arial" w:cs="Arial"/>
                <w:kern w:val="0"/>
                <w:szCs w:val="24"/>
                <w:lang w:eastAsia="en-US"/>
              </w:rPr>
              <w:t>LAT</w:t>
            </w:r>
          </w:p>
        </w:tc>
        <w:tc>
          <w:tcPr>
            <w:tcW w:w="6067" w:type="dxa"/>
          </w:tcPr>
          <w:p>
            <w:pPr>
              <w:widowControl/>
              <w:jc w:val="left"/>
              <w:rPr>
                <w:rFonts w:ascii="Arial" w:hAnsi="Arial" w:cs="Arial"/>
                <w:kern w:val="0"/>
                <w:szCs w:val="24"/>
                <w:lang w:eastAsia="en-US"/>
              </w:rPr>
            </w:pPr>
            <w:r>
              <w:rPr>
                <w:rFonts w:ascii="Arial" w:hAnsi="Arial" w:cs="Arial"/>
                <w:kern w:val="0"/>
                <w:szCs w:val="24"/>
                <w:lang w:eastAsia="en-US"/>
              </w:rPr>
              <w:t>Latitude in decimal degrees. Values in the northern hemisphere are positive, and those in the southern hemisphere are negative.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0" w:type="dxa"/>
          </w:tcPr>
          <w:p>
            <w:pPr>
              <w:rPr>
                <w:rFonts w:ascii="Arial" w:hAnsi="Arial" w:cs="Arial"/>
                <w:kern w:val="0"/>
                <w:szCs w:val="24"/>
                <w:lang w:eastAsia="en-US"/>
              </w:rPr>
            </w:pPr>
            <w:r>
              <w:rPr>
                <w:rFonts w:ascii="Arial" w:hAnsi="Arial" w:cs="Arial"/>
                <w:kern w:val="0"/>
                <w:szCs w:val="24"/>
                <w:lang w:eastAsia="en-US"/>
              </w:rPr>
              <w:t>LONG</w:t>
            </w:r>
          </w:p>
        </w:tc>
        <w:tc>
          <w:tcPr>
            <w:tcW w:w="6067" w:type="dxa"/>
          </w:tcPr>
          <w:p>
            <w:pPr>
              <w:widowControl/>
              <w:jc w:val="left"/>
              <w:rPr>
                <w:rFonts w:ascii="Arial" w:hAnsi="Arial" w:cs="Arial"/>
                <w:kern w:val="0"/>
                <w:szCs w:val="24"/>
                <w:lang w:eastAsia="en-US"/>
              </w:rPr>
            </w:pPr>
            <w:r>
              <w:rPr>
                <w:rFonts w:ascii="Arial" w:hAnsi="Arial" w:cs="Arial"/>
                <w:kern w:val="0"/>
                <w:szCs w:val="24"/>
                <w:lang w:eastAsia="en-US"/>
              </w:rPr>
              <w:t>Longitude in decimal degrees. Values in the eastern hemisphere are positive, and those in the western hemisphere (e.g., United States) are negative.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0" w:type="dxa"/>
          </w:tcPr>
          <w:p>
            <w:pPr>
              <w:rPr>
                <w:rFonts w:ascii="Arial" w:hAnsi="Arial" w:cs="Arial"/>
                <w:kern w:val="0"/>
                <w:szCs w:val="24"/>
                <w:lang w:eastAsia="en-US"/>
              </w:rPr>
            </w:pPr>
            <w:r>
              <w:rPr>
                <w:rFonts w:ascii="Arial" w:hAnsi="Arial" w:cs="Arial"/>
                <w:kern w:val="0"/>
                <w:szCs w:val="24"/>
                <w:lang w:eastAsia="en-US"/>
              </w:rPr>
              <w:t>DATE</w:t>
            </w:r>
          </w:p>
        </w:tc>
        <w:tc>
          <w:tcPr>
            <w:tcW w:w="6067" w:type="dxa"/>
          </w:tcPr>
          <w:p>
            <w:pPr>
              <w:widowControl/>
              <w:jc w:val="left"/>
              <w:rPr>
                <w:rFonts w:ascii="Arial" w:hAnsi="Arial" w:cs="Arial"/>
                <w:kern w:val="0"/>
                <w:szCs w:val="24"/>
                <w:lang w:eastAsia="en-US"/>
              </w:rPr>
            </w:pPr>
            <w:r>
              <w:rPr>
                <w:rFonts w:ascii="Arial" w:hAnsi="Arial" w:cs="Arial"/>
                <w:kern w:val="0"/>
                <w:szCs w:val="24"/>
                <w:lang w:eastAsia="en-US"/>
              </w:rPr>
              <w:t>The time period of the monitor observation. As a convention, the date represents the last year of the 3-year design value period (e.g., 2001 represents the 1999-2001 design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0" w:type="dxa"/>
          </w:tcPr>
          <w:p>
            <w:pPr>
              <w:rPr>
                <w:rFonts w:ascii="Arial" w:hAnsi="Arial" w:cs="Arial"/>
                <w:kern w:val="0"/>
                <w:szCs w:val="24"/>
              </w:rPr>
            </w:pPr>
            <w:r>
              <w:rPr>
                <w:rFonts w:ascii="Arial" w:hAnsi="Arial" w:cs="Arial"/>
                <w:kern w:val="0"/>
                <w:szCs w:val="24"/>
                <w:lang w:eastAsia="en-US"/>
              </w:rPr>
              <w:t>O3</w:t>
            </w:r>
          </w:p>
        </w:tc>
        <w:tc>
          <w:tcPr>
            <w:tcW w:w="6067" w:type="dxa"/>
          </w:tcPr>
          <w:p>
            <w:pPr>
              <w:widowControl/>
              <w:jc w:val="left"/>
              <w:rPr>
                <w:rFonts w:ascii="Arial" w:hAnsi="Arial" w:cs="Arial"/>
                <w:kern w:val="0"/>
                <w:szCs w:val="24"/>
                <w:lang w:eastAsia="en-US"/>
              </w:rPr>
            </w:pPr>
            <w:r>
              <w:rPr>
                <w:rFonts w:ascii="Arial" w:hAnsi="Arial" w:cs="Arial"/>
                <w:kern w:val="0"/>
                <w:szCs w:val="24"/>
                <w:lang w:eastAsia="en-US"/>
              </w:rPr>
              <w:t>Modeled ozone concentration in the form of an 8-hour average daily maximum. Note that missing values are represented by a minus nine (-9).</w:t>
            </w:r>
          </w:p>
        </w:tc>
      </w:tr>
    </w:tbl>
    <w:p>
      <w:pPr>
        <w:rPr>
          <w:b/>
          <w:u w:val="single"/>
        </w:rPr>
      </w:pPr>
    </w:p>
    <w:p>
      <w:pPr>
        <w:rPr>
          <w:b/>
          <w:u w:val="single"/>
        </w:rPr>
      </w:pPr>
      <w:r>
        <w:rPr>
          <w:b/>
          <w:u w:val="single"/>
        </w:rPr>
        <w:t>Using Model Data</w:t>
      </w:r>
    </w:p>
    <w:p>
      <w:r>
        <w:t>The RRF for a monitor is calculated from "nearby" model grid cells. For purposes of this</w:t>
      </w:r>
      <w:r>
        <w:rPr>
          <w:rFonts w:ascii="Helvetica" w:hAnsi="Helvetica"/>
          <w:kern w:val="0"/>
          <w:sz w:val="18"/>
          <w:szCs w:val="18"/>
          <w:lang w:eastAsia="en-US"/>
        </w:rPr>
        <w:t xml:space="preserve"> </w:t>
      </w:r>
      <w:r>
        <w:t>calculation, a monitor is assumed to be at the center of the cell in which it is located, and</w:t>
      </w:r>
      <w:r>
        <w:rPr>
          <w:rFonts w:ascii="Helvetica" w:hAnsi="Helvetica"/>
          <w:kern w:val="0"/>
          <w:sz w:val="18"/>
          <w:szCs w:val="18"/>
          <w:lang w:eastAsia="en-US"/>
        </w:rPr>
        <w:t xml:space="preserve"> </w:t>
      </w:r>
      <w:r>
        <w:t>this cell is at the center of an array of “nearby” cells.</w:t>
      </w:r>
      <w:r>
        <w:rPr>
          <w:rFonts w:ascii="Helvetica" w:hAnsi="Helvetica"/>
          <w:kern w:val="0"/>
          <w:sz w:val="18"/>
          <w:szCs w:val="18"/>
          <w:lang w:eastAsia="en-US"/>
        </w:rPr>
        <w:t xml:space="preserve"> </w:t>
      </w:r>
      <w:r>
        <w:t>The number of cells considered “nearby” a monitor is a function of the size of the grid</w:t>
      </w:r>
      <w:r>
        <w:rPr>
          <w:rFonts w:ascii="Helvetica" w:hAnsi="Helvetica"/>
          <w:kern w:val="0"/>
          <w:sz w:val="18"/>
          <w:szCs w:val="18"/>
          <w:lang w:eastAsia="en-US"/>
        </w:rPr>
        <w:t xml:space="preserve"> </w:t>
      </w:r>
      <w:r>
        <w:t>cells used in the modeling. In the example case of a 12-kilometer grid, EPA uses a default 3x3</w:t>
      </w:r>
      <w:r>
        <w:rPr>
          <w:rFonts w:ascii="Helvetica" w:hAnsi="Helvetica"/>
          <w:kern w:val="0"/>
          <w:sz w:val="18"/>
          <w:szCs w:val="18"/>
          <w:lang w:eastAsia="en-US"/>
        </w:rPr>
        <w:t xml:space="preserve"> </w:t>
      </w:r>
      <w:r>
        <w:t xml:space="preserve">array of grid cells. See the U.S. EPA </w:t>
      </w:r>
      <w:r>
        <w:rPr>
          <w:szCs w:val="24"/>
        </w:rPr>
        <w:t>Draft Modeling Guidance for</w:t>
      </w:r>
      <w:r>
        <w:t xml:space="preserve"> </w:t>
      </w:r>
      <w:r>
        <w:rPr>
          <w:szCs w:val="24"/>
        </w:rPr>
        <w:t>Attainment of Air Quality Goals for Ozone, PM</w:t>
      </w:r>
      <w:r>
        <w:rPr>
          <w:szCs w:val="24"/>
          <w:vertAlign w:val="subscript"/>
        </w:rPr>
        <w:t>2.5</w:t>
      </w:r>
      <w:r>
        <w:rPr>
          <w:szCs w:val="24"/>
        </w:rPr>
        <w:t>, and Regional Haze (U.S. EPA, 2014)</w:t>
      </w:r>
      <w:r>
        <w:t xml:space="preserve"> for details on how model data arrays are used in the design value calculation. </w:t>
      </w:r>
    </w:p>
    <w:p>
      <w:r>
        <w:t>With the array size determined, SMAT-CE provides three options for how the modeling data are extracted from array:</w:t>
      </w:r>
    </w:p>
    <w:p>
      <w:pPr>
        <w:pStyle w:val="42"/>
        <w:numPr>
          <w:ilvl w:val="0"/>
          <w:numId w:val="26"/>
        </w:numPr>
        <w:ind w:firstLineChars="0"/>
        <w:rPr>
          <w:rFonts w:ascii="Helvetica" w:hAnsi="Helvetica"/>
          <w:kern w:val="0"/>
          <w:sz w:val="18"/>
          <w:szCs w:val="18"/>
          <w:lang w:eastAsia="en-US"/>
        </w:rPr>
      </w:pPr>
      <w:r>
        <w:rPr>
          <w:i/>
        </w:rPr>
        <w:t>Maximum</w:t>
      </w:r>
      <w:r>
        <w:t>. For each day of modeling data, SMAT-CE will identify the highest 8-hour daily maximum among the grid cells in the chosen array. In the case of a 3x3 array, SMAT-CE will identify the highest daily 8-hour average maximum from among the nine “nearby” grid cells for each day and for each monitor site.</w:t>
      </w:r>
    </w:p>
    <w:p>
      <w:pPr>
        <w:pStyle w:val="42"/>
        <w:numPr>
          <w:ilvl w:val="0"/>
          <w:numId w:val="26"/>
        </w:numPr>
        <w:ind w:firstLineChars="0"/>
        <w:rPr>
          <w:rFonts w:ascii="Helvetica" w:hAnsi="Helvetica"/>
          <w:kern w:val="0"/>
          <w:sz w:val="18"/>
          <w:szCs w:val="18"/>
          <w:lang w:eastAsia="en-US"/>
        </w:rPr>
      </w:pPr>
      <w:r>
        <w:rPr>
          <w:i/>
        </w:rPr>
        <w:t>Mean</w:t>
      </w:r>
      <w:r>
        <w:t>. For each day of modeling data, SMAT-CE will average the 8-hour daily values for the grid cells in the chosen array. In the case of a 3x3 array, SMAT-CE will average nine values.</w:t>
      </w:r>
    </w:p>
    <w:p>
      <w:pPr>
        <w:pStyle w:val="42"/>
        <w:numPr>
          <w:ilvl w:val="0"/>
          <w:numId w:val="26"/>
        </w:numPr>
        <w:ind w:firstLineChars="0"/>
        <w:rPr>
          <w:rFonts w:ascii="Helvetica" w:hAnsi="Helvetica"/>
          <w:kern w:val="0"/>
          <w:sz w:val="18"/>
          <w:szCs w:val="18"/>
          <w:lang w:eastAsia="en-US"/>
        </w:rPr>
      </w:pPr>
      <w:r>
        <w:rPr>
          <w:i/>
        </w:rPr>
        <w:t>Maximum-paired in space</w:t>
      </w:r>
      <w:r>
        <w:t>. For each day of modeling data, SMAT-CE will identify the grid cell with the highest 8-hour daily maximum in the chosen array in the baseline file and calculate the RRF using the same grid cell in the control file.</w:t>
      </w:r>
    </w:p>
    <w:p>
      <w:pPr>
        <w:rPr>
          <w:rFonts w:ascii="Helvetica" w:hAnsi="Helvetica"/>
          <w:kern w:val="0"/>
          <w:sz w:val="18"/>
          <w:szCs w:val="18"/>
          <w:lang w:eastAsia="en-US"/>
        </w:rPr>
      </w:pPr>
      <w:r>
        <w:t>The default choice for the ozone analysis in SMAT-CE is to use the maximum-paired in</w:t>
      </w:r>
      <w:r>
        <w:rPr>
          <w:rFonts w:ascii="Helvetica" w:hAnsi="Helvetica"/>
          <w:kern w:val="0"/>
          <w:sz w:val="18"/>
          <w:szCs w:val="18"/>
          <w:lang w:eastAsia="en-US"/>
        </w:rPr>
        <w:t xml:space="preserve"> </w:t>
      </w:r>
      <w:r>
        <w:t>space option to calculate temporally-adjusted ozone concentrations at each monitor.</w:t>
      </w:r>
    </w:p>
    <w:p>
      <w:r>
        <w:t xml:space="preserve">For monitors located on the border of a modeling domain where it may not be possible to have a full array of grid cells, SMAT-CE uses as much available modeling data as possible to fill the array. </w:t>
      </w:r>
    </w:p>
    <w:p>
      <w:pPr>
        <w:rPr>
          <w:szCs w:val="24"/>
        </w:rPr>
      </w:pPr>
      <w:r>
        <w:rPr>
          <w:szCs w:val="24"/>
        </w:rPr>
        <w:t xml:space="preserve">See section 9.2.3.1 of the SMAT-CE User’s Manual (Abt, 2014) for examples of how the matrix of grid cells are used to compute RRFs and ozone design values.  </w:t>
      </w:r>
    </w:p>
    <w:p>
      <w:pPr>
        <w:pStyle w:val="4"/>
      </w:pPr>
      <w:r>
        <w:t>Run the Eastern U.S. Example</w:t>
      </w:r>
    </w:p>
    <w:p>
      <w:pPr>
        <w:rPr>
          <w:b/>
          <w:u w:val="single"/>
        </w:rPr>
      </w:pPr>
      <w:r>
        <w:t xml:space="preserve">Use the default settings for these options for the Eastern U.S. example project. Either click </w:t>
      </w:r>
      <w:r>
        <w:rPr>
          <w:lang w:eastAsia="en-US"/>
        </w:rPr>
        <w:t xml:space="preserve">Next </w:t>
      </w:r>
      <w:r>
        <w:t xml:space="preserve">or double-click the </w:t>
      </w:r>
      <w:r>
        <w:rPr>
          <w:b/>
          <w:bCs/>
        </w:rPr>
        <w:t>Filtering/Interpolation</w:t>
      </w:r>
      <w:r>
        <w:t xml:space="preserve"> button in the upper left-hand panel of the </w:t>
      </w:r>
      <w:r>
        <w:rPr>
          <w:b/>
        </w:rPr>
        <w:t>Ozone Analysis</w:t>
      </w:r>
      <w:r>
        <w:t xml:space="preserve"> window. The button next to </w:t>
      </w:r>
      <w:r>
        <w:rPr>
          <w:b/>
          <w:bCs/>
        </w:rPr>
        <w:t xml:space="preserve">Data Input </w:t>
      </w:r>
      <w:r>
        <w:t>will turn from yellow to green, indicating that this step is complete.</w:t>
      </w:r>
    </w:p>
    <w:p>
      <w:pPr>
        <w:pStyle w:val="3"/>
      </w:pPr>
      <w:bookmarkStart w:id="416" w:name="_Toc476653946"/>
      <w:bookmarkStart w:id="417" w:name="_Toc24126"/>
      <w:bookmarkStart w:id="418" w:name="_Toc476654469"/>
      <w:bookmarkStart w:id="419" w:name="_Toc119010883"/>
      <w:bookmarkStart w:id="420" w:name="_Toc476654847"/>
      <w:r>
        <w:t>Filtering/Interpolation</w:t>
      </w:r>
      <w:bookmarkEnd w:id="416"/>
      <w:bookmarkEnd w:id="417"/>
      <w:bookmarkEnd w:id="418"/>
      <w:bookmarkEnd w:id="419"/>
      <w:bookmarkEnd w:id="420"/>
    </w:p>
    <w:p>
      <w:pPr>
        <w:keepNext/>
      </w:pPr>
      <w:r>
        <w:drawing>
          <wp:inline distT="0" distB="0" distL="0" distR="0">
            <wp:extent cx="5265420" cy="370840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2"/>
                    <a:srcRect l="164"/>
                    <a:stretch>
                      <a:fillRect/>
                    </a:stretch>
                  </pic:blipFill>
                  <pic:spPr>
                    <a:xfrm>
                      <a:off x="0" y="0"/>
                      <a:ext cx="5265683" cy="3708400"/>
                    </a:xfrm>
                    <a:prstGeom prst="rect">
                      <a:avLst/>
                    </a:prstGeom>
                    <a:ln>
                      <a:noFill/>
                    </a:ln>
                  </pic:spPr>
                </pic:pic>
              </a:graphicData>
            </a:graphic>
          </wp:inline>
        </w:drawing>
      </w:r>
    </w:p>
    <w:p>
      <w:pPr>
        <w:pStyle w:val="12"/>
        <w:rPr>
          <w:b w:val="0"/>
          <w:bCs/>
          <w:i/>
          <w:iCs/>
        </w:rPr>
      </w:pPr>
      <w:bookmarkStart w:id="421" w:name="_Ref475360266"/>
      <w:bookmarkStart w:id="422" w:name="_Toc1059"/>
      <w:bookmarkStart w:id="423" w:name="_Toc2357"/>
      <w:bookmarkStart w:id="424" w:name="_Toc119010927"/>
      <w:bookmarkStart w:id="425" w:name="_Toc476654235"/>
      <w:bookmarkStart w:id="426" w:name="_Toc420"/>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8</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4</w:t>
      </w:r>
      <w:r>
        <w:rPr>
          <w:b w:val="0"/>
          <w:bCs/>
          <w:i/>
          <w:iCs/>
        </w:rPr>
        <w:fldChar w:fldCharType="end"/>
      </w:r>
      <w:bookmarkEnd w:id="421"/>
      <w:bookmarkStart w:id="427" w:name="_Toc21168"/>
      <w:r>
        <w:rPr>
          <w:b w:val="0"/>
          <w:bCs/>
          <w:i/>
          <w:iCs/>
        </w:rPr>
        <w:t>. Filtering/Interpolation for Ozone Analysis</w:t>
      </w:r>
      <w:bookmarkEnd w:id="422"/>
      <w:bookmarkEnd w:id="423"/>
      <w:bookmarkEnd w:id="424"/>
      <w:bookmarkEnd w:id="425"/>
      <w:bookmarkEnd w:id="426"/>
      <w:bookmarkEnd w:id="427"/>
    </w:p>
    <w:p>
      <w:r>
        <w:t xml:space="preserve">The </w:t>
      </w:r>
      <w:r>
        <w:rPr>
          <w:b/>
          <w:bCs/>
        </w:rPr>
        <w:t>Filtering and Interpolation</w:t>
      </w:r>
      <w:r>
        <w:t xml:space="preserve"> window (</w:t>
      </w:r>
      <w:r>
        <w:fldChar w:fldCharType="begin"/>
      </w:r>
      <w:r>
        <w:instrText xml:space="preserve"> REF _Ref475360266 \h </w:instrText>
      </w:r>
      <w:r>
        <w:fldChar w:fldCharType="separate"/>
      </w:r>
      <w:r>
        <w:rPr>
          <w:bCs/>
          <w:i/>
          <w:iCs/>
        </w:rPr>
        <w:t xml:space="preserve">Figure </w:t>
      </w:r>
      <w:r>
        <w:rPr>
          <w:b/>
          <w:bCs/>
          <w:i/>
          <w:iCs/>
        </w:rPr>
        <w:t>8</w:t>
      </w:r>
      <w:r>
        <w:rPr>
          <w:bCs/>
          <w:i/>
          <w:iCs/>
        </w:rPr>
        <w:noBreakHyphen/>
      </w:r>
      <w:r>
        <w:rPr>
          <w:b/>
          <w:bCs/>
          <w:i/>
          <w:iCs/>
        </w:rPr>
        <w:t>4</w:t>
      </w:r>
      <w:r>
        <w:fldChar w:fldCharType="end"/>
      </w:r>
      <w:r>
        <w:t xml:space="preserve">) identifies the years of monitor data to use for calculating RRFs, sets the monitors to use in the analysis, and specifies the interpolation method to use when calculating spatial fields. </w:t>
      </w:r>
    </w:p>
    <w:p>
      <w:r>
        <w:t>The blue hyperlinked text in this window brings up the documentation for this configuration step. The settings in this step include:</w:t>
      </w:r>
    </w:p>
    <w:p>
      <w:pPr>
        <w:rPr>
          <w:b/>
          <w:u w:val="single"/>
        </w:rPr>
      </w:pPr>
      <w:r>
        <w:rPr>
          <w:b/>
          <w:u w:val="single"/>
        </w:rPr>
        <w:t>Choose Ozone Design Values</w:t>
      </w:r>
    </w:p>
    <w:p>
      <w:pPr>
        <w:rPr>
          <w:rFonts w:ascii="Helvetica" w:hAnsi="Helvetica"/>
          <w:kern w:val="0"/>
          <w:sz w:val="18"/>
          <w:szCs w:val="18"/>
          <w:lang w:eastAsia="en-US"/>
        </w:rPr>
      </w:pPr>
      <w:r>
        <w:t>Setting the Start Year and the End Year defines the range of the ozone design values</w:t>
      </w:r>
      <w:r>
        <w:rPr>
          <w:rFonts w:ascii="Helvetica" w:hAnsi="Helvetica"/>
          <w:kern w:val="0"/>
          <w:sz w:val="18"/>
          <w:szCs w:val="18"/>
          <w:lang w:eastAsia="en-US"/>
        </w:rPr>
        <w:t xml:space="preserve"> </w:t>
      </w:r>
      <w:r>
        <w:t>that will be used in the calculation of the baseline ozone level. You can vary the number of design values used in this calculation. The default in SMAT-CE is to use a 5-year design value period (three design values) centered on the 2011 base year. A base year of 2011 uses the following design value periods: 2009-2011, 2010-2012, and 2011-2013. The Start Year is set to 2009-2011 and the End Year is set to 2011-2013.</w:t>
      </w:r>
    </w:p>
    <w:p>
      <w:pPr>
        <w:rPr>
          <w:b/>
          <w:u w:val="single"/>
        </w:rPr>
      </w:pPr>
      <w:r>
        <w:rPr>
          <w:b/>
          <w:u w:val="single"/>
        </w:rPr>
        <w:t>Valid Ozone Monitors</w:t>
      </w:r>
    </w:p>
    <w:p>
      <w:pPr>
        <w:rPr>
          <w:rFonts w:ascii="Helvetica" w:hAnsi="Helvetica"/>
          <w:kern w:val="0"/>
          <w:sz w:val="18"/>
          <w:szCs w:val="18"/>
          <w:lang w:eastAsia="en-US"/>
        </w:rPr>
      </w:pPr>
      <w:r>
        <w:t>MATS provides two choices for identifying monitors that are "valid" and thus included in</w:t>
      </w:r>
      <w:r>
        <w:rPr>
          <w:rFonts w:ascii="Helvetica" w:hAnsi="Helvetica"/>
          <w:kern w:val="0"/>
          <w:sz w:val="18"/>
          <w:szCs w:val="18"/>
          <w:lang w:eastAsia="en-US"/>
        </w:rPr>
        <w:t xml:space="preserve"> </w:t>
      </w:r>
      <w:r>
        <w:t>your analysis:</w:t>
      </w:r>
    </w:p>
    <w:p>
      <w:pPr>
        <w:pStyle w:val="42"/>
        <w:numPr>
          <w:ilvl w:val="0"/>
          <w:numId w:val="27"/>
        </w:numPr>
        <w:ind w:firstLineChars="0"/>
        <w:rPr>
          <w:rFonts w:ascii="Helvetica" w:hAnsi="Helvetica"/>
          <w:kern w:val="0"/>
          <w:sz w:val="18"/>
          <w:szCs w:val="18"/>
          <w:lang w:eastAsia="en-US"/>
        </w:rPr>
      </w:pPr>
      <w:r>
        <w:rPr>
          <w:i/>
        </w:rPr>
        <w:t>Minimum Number of Design Values</w:t>
      </w:r>
      <w:r>
        <w:t>. Specifies the minimum number of design value</w:t>
      </w:r>
      <w:r>
        <w:rPr>
          <w:rFonts w:ascii="Helvetica" w:hAnsi="Helvetica"/>
          <w:kern w:val="0"/>
          <w:sz w:val="18"/>
          <w:szCs w:val="18"/>
          <w:lang w:eastAsia="en-US"/>
        </w:rPr>
        <w:t xml:space="preserve"> </w:t>
      </w:r>
      <w:r>
        <w:t>periods that need to be included in the calculation of the baseline ozone design value (1,</w:t>
      </w:r>
      <w:r>
        <w:rPr>
          <w:rFonts w:ascii="Helvetica" w:hAnsi="Helvetica"/>
          <w:kern w:val="0"/>
          <w:sz w:val="18"/>
          <w:szCs w:val="18"/>
          <w:lang w:eastAsia="en-US"/>
        </w:rPr>
        <w:t xml:space="preserve"> </w:t>
      </w:r>
      <w:r>
        <w:t xml:space="preserve">2, or 3). The default option is to require the one design value be available in the specified range of dates. </w:t>
      </w:r>
    </w:p>
    <w:p>
      <w:pPr>
        <w:pStyle w:val="42"/>
        <w:numPr>
          <w:ilvl w:val="0"/>
          <w:numId w:val="27"/>
        </w:numPr>
        <w:ind w:firstLineChars="0"/>
        <w:rPr>
          <w:rFonts w:ascii="Helvetica" w:hAnsi="Helvetica"/>
          <w:kern w:val="0"/>
          <w:sz w:val="18"/>
          <w:szCs w:val="18"/>
          <w:lang w:eastAsia="en-US"/>
        </w:rPr>
      </w:pPr>
      <w:r>
        <w:rPr>
          <w:i/>
        </w:rPr>
        <w:t>Required Design Values</w:t>
      </w:r>
      <w:r>
        <w:t>. Specifies whether a particular design value period needs to</w:t>
      </w:r>
      <w:r>
        <w:rPr>
          <w:rFonts w:ascii="Helvetica" w:hAnsi="Helvetica"/>
          <w:kern w:val="0"/>
          <w:sz w:val="18"/>
          <w:szCs w:val="18"/>
          <w:lang w:eastAsia="en-US"/>
        </w:rPr>
        <w:t xml:space="preserve"> </w:t>
      </w:r>
      <w:r>
        <w:t xml:space="preserve">be valid for the calculations to be performed at that monitor. The default option is </w:t>
      </w:r>
      <w:r>
        <w:rPr>
          <w:i/>
        </w:rPr>
        <w:t>None Selected</w:t>
      </w:r>
      <w:r>
        <w:t>.</w:t>
      </w:r>
    </w:p>
    <w:p>
      <w:pPr>
        <w:rPr>
          <w:b/>
          <w:u w:val="single"/>
        </w:rPr>
      </w:pPr>
      <w:r>
        <w:rPr>
          <w:b/>
          <w:u w:val="single"/>
        </w:rPr>
        <w:t>Default Interpolation Method</w:t>
      </w:r>
    </w:p>
    <w:p>
      <w:r>
        <w:t xml:space="preserve">The Default Interpolation Method sets the interpolation method to use for combining the values from different monitors. One approach is to use </w:t>
      </w:r>
      <w:r>
        <w:rPr>
          <w:rStyle w:val="58"/>
          <w:i/>
          <w:color w:val="auto"/>
        </w:rPr>
        <w:t>Inverse Distance</w:t>
      </w:r>
      <w:r>
        <w:rPr>
          <w:rFonts w:ascii="Helvetica" w:hAnsi="Helvetica"/>
          <w:i/>
          <w:kern w:val="0"/>
          <w:sz w:val="18"/>
          <w:szCs w:val="18"/>
          <w:lang w:eastAsia="en-US"/>
        </w:rPr>
        <w:t xml:space="preserve"> </w:t>
      </w:r>
      <w:r>
        <w:rPr>
          <w:rStyle w:val="58"/>
          <w:i/>
          <w:color w:val="auto"/>
        </w:rPr>
        <w:t>Weights</w:t>
      </w:r>
      <w:r>
        <w:t xml:space="preserve"> such that the weight given to any particular monitor is inversely</w:t>
      </w:r>
      <w:r>
        <w:rPr>
          <w:rFonts w:ascii="Helvetica" w:hAnsi="Helvetica"/>
          <w:kern w:val="0"/>
          <w:sz w:val="18"/>
          <w:szCs w:val="18"/>
          <w:lang w:eastAsia="en-US"/>
        </w:rPr>
        <w:t xml:space="preserve"> </w:t>
      </w:r>
      <w:r>
        <w:t xml:space="preserve">proportional to its distance from the point of interest. A second approach is </w:t>
      </w:r>
      <w:r>
        <w:rPr>
          <w:i/>
        </w:rPr>
        <w:t>Inverse</w:t>
      </w:r>
      <w:r>
        <w:rPr>
          <w:rFonts w:ascii="Helvetica" w:hAnsi="Helvetica"/>
          <w:i/>
          <w:kern w:val="0"/>
          <w:sz w:val="18"/>
          <w:szCs w:val="18"/>
          <w:lang w:eastAsia="en-US"/>
        </w:rPr>
        <w:t xml:space="preserve"> </w:t>
      </w:r>
      <w:r>
        <w:rPr>
          <w:i/>
        </w:rPr>
        <w:t>Distance Squared</w:t>
      </w:r>
      <w:r>
        <w:t xml:space="preserve"> </w:t>
      </w:r>
      <w:r>
        <w:rPr>
          <w:i/>
        </w:rPr>
        <w:t>Weights</w:t>
      </w:r>
      <w:r>
        <w:t>, in which the weights are inversely proportional to the</w:t>
      </w:r>
      <w:r>
        <w:rPr>
          <w:rFonts w:ascii="Helvetica" w:hAnsi="Helvetica"/>
          <w:kern w:val="0"/>
          <w:sz w:val="18"/>
          <w:szCs w:val="18"/>
          <w:lang w:eastAsia="en-US"/>
        </w:rPr>
        <w:t xml:space="preserve"> </w:t>
      </w:r>
      <w:r>
        <w:t xml:space="preserve">square of the distance. And the third approach is </w:t>
      </w:r>
      <w:r>
        <w:rPr>
          <w:i/>
        </w:rPr>
        <w:t>Equal Weighting of Monitors</w:t>
      </w:r>
      <w:r>
        <w:t>. The</w:t>
      </w:r>
      <w:r>
        <w:rPr>
          <w:rFonts w:ascii="Helvetica" w:hAnsi="Helvetica"/>
          <w:kern w:val="0"/>
          <w:sz w:val="18"/>
          <w:szCs w:val="18"/>
          <w:lang w:eastAsia="en-US"/>
        </w:rPr>
        <w:t xml:space="preserve"> </w:t>
      </w:r>
      <w:r>
        <w:t>default approach for ozone is Inverse Distance Weights.</w:t>
      </w:r>
    </w:p>
    <w:p>
      <w:pPr>
        <w:rPr>
          <w:rFonts w:ascii="Helvetica" w:hAnsi="Helvetica"/>
          <w:kern w:val="0"/>
          <w:sz w:val="18"/>
          <w:szCs w:val="18"/>
          <w:lang w:eastAsia="en-US"/>
        </w:rPr>
      </w:pPr>
      <w:r>
        <w:t>The first step in the interpolation process is to identify the monitors that are nearby, or neighbors, for each point of interest. The next step is to determine the distance from the</w:t>
      </w:r>
      <w:r>
        <w:rPr>
          <w:rFonts w:ascii="Helvetica" w:hAnsi="Helvetica"/>
          <w:kern w:val="0"/>
          <w:sz w:val="18"/>
          <w:szCs w:val="18"/>
          <w:lang w:eastAsia="en-US"/>
        </w:rPr>
        <w:t xml:space="preserve"> </w:t>
      </w:r>
      <w:r>
        <w:t>nearby monitors to the point of interest.</w:t>
      </w:r>
      <w:r>
        <w:rPr>
          <w:rFonts w:ascii="Helvetica" w:hAnsi="Helvetica"/>
          <w:kern w:val="0"/>
          <w:sz w:val="18"/>
          <w:szCs w:val="18"/>
          <w:lang w:eastAsia="en-US"/>
        </w:rPr>
        <w:t xml:space="preserve"> </w:t>
      </w:r>
      <w:r>
        <w:t xml:space="preserve">The default approach in SMAT-CE is to include all valid monitors (i.e., those that satisfy the two criteria under </w:t>
      </w:r>
      <w:r>
        <w:rPr>
          <w:rStyle w:val="58"/>
          <w:b/>
          <w:color w:val="auto"/>
        </w:rPr>
        <w:t>Valid Ozone Monitors</w:t>
      </w:r>
      <w:r>
        <w:t>), regardless of distance. If you want to limit the use of monitors based on distance, select “</w:t>
      </w:r>
      <w:r>
        <w:rPr>
          <w:iCs/>
        </w:rPr>
        <w:t>Check to Set a Maximum Interpolation Distance</w:t>
      </w:r>
      <w:r>
        <w:t>,” and then specify a distance (in kilometers). A distance of 100 kilometers means that any monitors more than 100 kilometers from the point of interest can no longer be used in the interpolation. If a point of interest has no monitors within the specified distance, then no value is calculated. The default is to leave this box unchecked.</w:t>
      </w:r>
    </w:p>
    <w:p>
      <w:r>
        <w:t xml:space="preserve">The interpolation method option is only used when generating estimates for Spatial Field. Since the ozone analysis only uses point estimates, the interpolation method is not active. </w:t>
      </w:r>
    </w:p>
    <w:p>
      <w:pPr>
        <w:pStyle w:val="4"/>
      </w:pPr>
      <w:r>
        <w:t>Run the Eastern U.S. Example</w:t>
      </w:r>
    </w:p>
    <w:p>
      <w:r>
        <w:t xml:space="preserve">Use the default settings for these options for the Eastern U.S. example project. Either click </w:t>
      </w:r>
      <w:r>
        <w:rPr>
          <w:lang w:eastAsia="en-US"/>
        </w:rPr>
        <w:t xml:space="preserve">Next </w:t>
      </w:r>
      <w:r>
        <w:t xml:space="preserve">or double-click the </w:t>
      </w:r>
      <w:r>
        <w:rPr>
          <w:b/>
          <w:bCs/>
        </w:rPr>
        <w:t>RRF/Spatial Gradient</w:t>
      </w:r>
      <w:r>
        <w:t xml:space="preserve"> button in the upper left-hand panel of the </w:t>
      </w:r>
      <w:r>
        <w:rPr>
          <w:b/>
        </w:rPr>
        <w:t>Ozone Analysis</w:t>
      </w:r>
      <w:r>
        <w:t xml:space="preserve"> window. The button next to </w:t>
      </w:r>
      <w:r>
        <w:rPr>
          <w:b/>
          <w:bCs/>
        </w:rPr>
        <w:t xml:space="preserve">Data Input </w:t>
      </w:r>
      <w:r>
        <w:t>will turn from yellow to green, indicating that this step is complete.</w:t>
      </w:r>
    </w:p>
    <w:p>
      <w:pPr>
        <w:pStyle w:val="3"/>
      </w:pPr>
      <w:bookmarkStart w:id="428" w:name="_Toc119010884"/>
      <w:bookmarkStart w:id="429" w:name="_Toc476654848"/>
      <w:bookmarkStart w:id="430" w:name="_Toc29493"/>
      <w:bookmarkStart w:id="431" w:name="_Toc476653947"/>
      <w:bookmarkStart w:id="432" w:name="_Toc476654470"/>
      <w:r>
        <w:t>RRF/Spatial Gradient</w:t>
      </w:r>
      <w:bookmarkEnd w:id="428"/>
      <w:bookmarkEnd w:id="429"/>
      <w:bookmarkEnd w:id="430"/>
      <w:bookmarkEnd w:id="431"/>
      <w:bookmarkEnd w:id="432"/>
    </w:p>
    <w:p>
      <w:pPr>
        <w:rPr>
          <w:lang w:eastAsia="en-US"/>
        </w:rPr>
      </w:pPr>
      <w:r>
        <w:rPr>
          <w:lang w:eastAsia="en-US"/>
        </w:rPr>
        <w:t xml:space="preserve">In calculating an ozone RRF or a Spatial Gradient not all of the model data are typically used. In the case of RRFs, daily values falling below specified thresholds can be excluded from the calculation. In the case of a spatial gradient, SMAT-CE may be setup to follow the same thresholds as used for point estimates. If a valid result is needed in all grid cells a Backstop minimum threshold can be used. A sub-range of days to be included in the RRF calculation may also be specified along with whether to pair the days by high concentration rather than by date. SMAT-CE can also average a user-specified range of values to calculate gradient adjustments. </w:t>
      </w:r>
    </w:p>
    <w:p>
      <w:pPr>
        <w:rPr>
          <w:lang w:eastAsia="en-US"/>
        </w:rPr>
      </w:pPr>
      <w:r>
        <w:t>The blue hyperlinked text in this window brings up the documentation for this configuration step. The settings in this step include:</w:t>
      </w:r>
    </w:p>
    <w:p>
      <w:pPr>
        <w:rPr>
          <w:b/>
          <w:u w:val="single"/>
        </w:rPr>
      </w:pPr>
      <w:r>
        <w:rPr>
          <w:b/>
          <w:u w:val="single"/>
        </w:rPr>
        <w:t>RRF Setup</w:t>
      </w:r>
    </w:p>
    <w:p>
      <w:r>
        <w:t xml:space="preserve">The </w:t>
      </w:r>
      <w:r>
        <w:rPr>
          <w:rStyle w:val="58"/>
          <w:color w:val="auto"/>
        </w:rPr>
        <w:t xml:space="preserve">RRF </w:t>
      </w:r>
      <w:r>
        <w:t>Setup involves four variables that specify the thresholds and the numbers of days</w:t>
      </w:r>
      <w:r>
        <w:rPr>
          <w:rFonts w:ascii="Helvetica" w:hAnsi="Helvetica"/>
          <w:kern w:val="0"/>
          <w:sz w:val="18"/>
          <w:szCs w:val="18"/>
          <w:lang w:eastAsia="en-US"/>
        </w:rPr>
        <w:t xml:space="preserve"> </w:t>
      </w:r>
      <w:r>
        <w:t xml:space="preserve">above the thresholds – </w:t>
      </w:r>
      <w:r>
        <w:rPr>
          <w:i/>
        </w:rPr>
        <w:t>Initial threshold value</w:t>
      </w:r>
      <w:r>
        <w:t xml:space="preserve">; </w:t>
      </w:r>
      <w:r>
        <w:rPr>
          <w:i/>
        </w:rPr>
        <w:t>Minimum number of days in baseline at</w:t>
      </w:r>
      <w:r>
        <w:rPr>
          <w:rFonts w:ascii="Helvetica" w:hAnsi="Helvetica"/>
          <w:i/>
          <w:kern w:val="0"/>
          <w:sz w:val="18"/>
          <w:szCs w:val="18"/>
          <w:lang w:eastAsia="en-US"/>
        </w:rPr>
        <w:t xml:space="preserve"> </w:t>
      </w:r>
      <w:r>
        <w:rPr>
          <w:i/>
        </w:rPr>
        <w:t>or above threshold</w:t>
      </w:r>
      <w:r>
        <w:t xml:space="preserve">; </w:t>
      </w:r>
      <w:r>
        <w:rPr>
          <w:i/>
        </w:rPr>
        <w:t>Minimum allowable threshold value</w:t>
      </w:r>
      <w:r>
        <w:t xml:space="preserve">; and </w:t>
      </w:r>
      <w:r>
        <w:rPr>
          <w:i/>
        </w:rPr>
        <w:t>Min number of days at</w:t>
      </w:r>
      <w:r>
        <w:rPr>
          <w:rFonts w:ascii="Helvetica" w:hAnsi="Helvetica"/>
          <w:i/>
          <w:kern w:val="0"/>
          <w:sz w:val="18"/>
          <w:szCs w:val="18"/>
          <w:lang w:eastAsia="en-US"/>
        </w:rPr>
        <w:t xml:space="preserve"> </w:t>
      </w:r>
      <w:r>
        <w:rPr>
          <w:i/>
        </w:rPr>
        <w:t>or above minimum allowable threshold</w:t>
      </w:r>
      <w:r>
        <w:t>.</w:t>
      </w:r>
    </w:p>
    <w:p>
      <w:r>
        <w:t xml:space="preserve">The first step in calculating the RRF is to determine the days to use in the RRF calculation. Select to either use the highest concentration days (i.e., a specified number of highest ozone days) or the number of days above a concentration threshold. If the number of days is above the Minimum number of days in baseline at or above threshold, then SMAT-CE averages the 8-hour values for those grid cells with at least this concentration. </w:t>
      </w:r>
    </w:p>
    <w:p>
      <w:r>
        <w:t>SMAT-CE performs the following steps in calculating RRFs:</w:t>
      </w:r>
    </w:p>
    <w:p>
      <w:pPr>
        <w:pStyle w:val="42"/>
        <w:numPr>
          <w:ilvl w:val="0"/>
          <w:numId w:val="28"/>
        </w:numPr>
        <w:ind w:firstLineChars="0"/>
      </w:pPr>
      <w:r>
        <w:t>In the case of a 3x3 array, SMAT-CE identifies the highest daily 8-hour average maximum from among the nine “nearby” grid cells for each day and for each monitor site. In the case where there are 90 days of model outputs, SMAT-CE generates 90 daily values.</w:t>
      </w:r>
    </w:p>
    <w:p>
      <w:pPr>
        <w:pStyle w:val="42"/>
        <w:ind w:left="720" w:firstLine="0" w:firstLineChars="0"/>
      </w:pPr>
      <w:r>
        <w:t xml:space="preserve">SMAT-CE can do this calculation separately for the baseline and future-year scenarios. If you chose an option other than “Maximum – paired in space” under the </w:t>
      </w:r>
      <w:r>
        <w:rPr>
          <w:b/>
        </w:rPr>
        <w:t>Data Input</w:t>
      </w:r>
      <w:r>
        <w:t xml:space="preserve"> menu, two different grid cells in the baseline and future-year might be used to represent a given day.</w:t>
      </w:r>
    </w:p>
    <w:p>
      <w:pPr>
        <w:pStyle w:val="42"/>
        <w:numPr>
          <w:ilvl w:val="0"/>
          <w:numId w:val="28"/>
        </w:numPr>
        <w:ind w:firstLineChars="0"/>
        <w:rPr>
          <w:rFonts w:ascii="Helvetica" w:hAnsi="Helvetica"/>
          <w:kern w:val="0"/>
          <w:sz w:val="18"/>
          <w:szCs w:val="18"/>
          <w:lang w:eastAsia="en-US"/>
        </w:rPr>
      </w:pPr>
      <w:r>
        <w:t xml:space="preserve">If the </w:t>
      </w:r>
      <w:r>
        <w:rPr>
          <w:i/>
        </w:rPr>
        <w:t>Top X modeled ozone days</w:t>
      </w:r>
      <w:r>
        <w:t xml:space="preserve"> option is selected, SMAT-CE will select the specified number of days based on their ranking by value and date. If there are fewer days above the minimum allowable threshold than specified, then the monitor site will be dropped. Otherwise, the selected days will be used in computing the RRF. </w:t>
      </w:r>
    </w:p>
    <w:p>
      <w:pPr>
        <w:pStyle w:val="42"/>
        <w:numPr>
          <w:ilvl w:val="0"/>
          <w:numId w:val="28"/>
        </w:numPr>
        <w:ind w:firstLineChars="0"/>
        <w:rPr>
          <w:rFonts w:ascii="Helvetica" w:hAnsi="Helvetica"/>
          <w:kern w:val="0"/>
          <w:sz w:val="18"/>
          <w:szCs w:val="18"/>
          <w:lang w:eastAsia="en-US"/>
        </w:rPr>
      </w:pPr>
      <w:r>
        <w:t xml:space="preserve">If the </w:t>
      </w:r>
      <w:r>
        <w:rPr>
          <w:i/>
        </w:rPr>
        <w:t>Initial threshold value</w:t>
      </w:r>
      <w:r>
        <w:t xml:space="preserve"> option is selected, SMAT-CE will find the days with concentrations above the specified threshold and average the concentrations across all of the selected days. The </w:t>
      </w:r>
      <w:r>
        <w:rPr>
          <w:i/>
        </w:rPr>
        <w:t>Minimum number of days in baseline at or above threshold</w:t>
      </w:r>
      <w:r>
        <w:t xml:space="preserve"> setting is used to set the minimum number days required for a valid calculation. If SMAT-CE does not find the minimum number of days above the specified threshold, it will lower the threshold concentration by 1 ppb to try to meet the minimum number of day criterion. SMAT-CE will iterate on this approach until the minimum number of days is met. </w:t>
      </w:r>
    </w:p>
    <w:p>
      <w:pPr>
        <w:pStyle w:val="42"/>
        <w:numPr>
          <w:ilvl w:val="0"/>
          <w:numId w:val="28"/>
        </w:numPr>
        <w:ind w:firstLineChars="0"/>
        <w:rPr>
          <w:rFonts w:ascii="Helvetica" w:hAnsi="Helvetica"/>
          <w:kern w:val="0"/>
          <w:sz w:val="18"/>
          <w:szCs w:val="18"/>
          <w:lang w:eastAsia="en-US"/>
        </w:rPr>
      </w:pPr>
      <w:r>
        <w:t xml:space="preserve">The default </w:t>
      </w:r>
      <w:r>
        <w:rPr>
          <w:i/>
        </w:rPr>
        <w:t>Minimum allowable threshold value</w:t>
      </w:r>
      <w:r>
        <w:t xml:space="preserve"> in SMAT-CE is 60 ppb. If there are fewer days with concentrations above this threshold value than is set by the </w:t>
      </w:r>
      <w:r>
        <w:rPr>
          <w:i/>
        </w:rPr>
        <w:t>Min number of days at or above minimum allowable threshold</w:t>
      </w:r>
      <w:r>
        <w:t xml:space="preserve">, then the monitor site will be dropped from the RRF calculations. The SMAT-CE default setting for the Min number of days at or above minimum allowable threshold is 5. </w:t>
      </w:r>
    </w:p>
    <w:p>
      <w:pPr>
        <w:pStyle w:val="42"/>
        <w:ind w:left="720" w:firstLine="0" w:firstLineChars="0"/>
      </w:pPr>
      <w:r>
        <w:t>SMAT-CE checks the daily 8-hour maxima calculated for the baseline scenario and sets to missing any daily value falling below the minimum allowable concentration threshold. For all days set to missing in the baseline scenario, SMAT-CE also sets the corresponding day in the future-year scenario to missing.</w:t>
      </w:r>
    </w:p>
    <w:p>
      <w:pPr>
        <w:pStyle w:val="42"/>
        <w:numPr>
          <w:ilvl w:val="0"/>
          <w:numId w:val="29"/>
        </w:numPr>
        <w:ind w:firstLineChars="0"/>
      </w:pPr>
      <w:r>
        <w:t xml:space="preserve">By enabling the </w:t>
      </w:r>
      <w:r>
        <w:rPr>
          <w:i/>
        </w:rPr>
        <w:t>Backstop minimum threshold for spatial fields</w:t>
      </w:r>
      <w:r>
        <w:t>, a lower bound concentration is set for the iterative lowering of the minimum concentration when SMAT-CE is trying to meet the minimum number of days criteria in the RRF calculation. The backstop threshold is only used for grid cells which do not have enough days above the minimum allowable threshold concentration to meet the minimum number of days criteria. The backstop threshold does not change the calculation for grid cells that already meet the minimum number of days.</w:t>
      </w:r>
    </w:p>
    <w:p>
      <w:pPr>
        <w:pStyle w:val="42"/>
        <w:numPr>
          <w:ilvl w:val="0"/>
          <w:numId w:val="29"/>
        </w:numPr>
        <w:ind w:firstLineChars="0"/>
      </w:pPr>
      <w:r>
        <w:t xml:space="preserve">SMAT-CE also supports using date ranges to define an ozone season to use for RRF calculations. The </w:t>
      </w:r>
      <w:r>
        <w:rPr>
          <w:i/>
        </w:rPr>
        <w:t>Subrange first day of ozone season used in RRF</w:t>
      </w:r>
      <w:r>
        <w:t xml:space="preserve"> and </w:t>
      </w:r>
      <w:r>
        <w:rPr>
          <w:i/>
        </w:rPr>
        <w:t xml:space="preserve">Subrange last day of ozone season used in RRF </w:t>
      </w:r>
      <w:r>
        <w:t>set the</w:t>
      </w:r>
      <w:r>
        <w:rPr>
          <w:i/>
        </w:rPr>
        <w:t xml:space="preserve"> </w:t>
      </w:r>
      <w:r>
        <w:t>start day and end day of the subrange based on a count of the number of days from the first day in the modeled ozone concentration file. For example, if the model files contained data for June 1 through August 30, a subrange start and end day of "31" and "61" respectively would specify the period for July 1 through July 31.</w:t>
      </w:r>
    </w:p>
    <w:p>
      <w:pPr>
        <w:pStyle w:val="42"/>
        <w:numPr>
          <w:ilvl w:val="0"/>
          <w:numId w:val="29"/>
        </w:numPr>
        <w:ind w:firstLineChars="0"/>
      </w:pPr>
      <w:r>
        <w:t xml:space="preserve">The </w:t>
      </w:r>
      <w:r>
        <w:rPr>
          <w:i/>
        </w:rPr>
        <w:t>Pair days based on high concentration instead of date</w:t>
      </w:r>
      <w:r>
        <w:t xml:space="preserve"> option is available for simulations in which the future year meteorology is different than the base year (such as climate modeling). SMAT-CE will pair the future year highest concentrations with the highest concentrations in the base year file, regardless of date. The number of days in the RRF will continue to be based on the threshold variables. For example, if eleven days are greater than the selected threshold in the base year, then the RRF will be calculated based on the eleven highest base and future year concentration days.</w:t>
      </w:r>
    </w:p>
    <w:p>
      <w:pPr>
        <w:pStyle w:val="42"/>
        <w:numPr>
          <w:ilvl w:val="0"/>
          <w:numId w:val="29"/>
        </w:numPr>
        <w:ind w:firstLineChars="0"/>
      </w:pPr>
      <w:r>
        <w:t>For each monitor site, SMAT-CE averages the non-missing daily values for the baseline and future-year scenarios, and then calculates the RRF as the ratio of the future-year average concentration to the baseline average concentration.</w:t>
      </w:r>
    </w:p>
    <w:p>
      <w:pPr>
        <w:rPr>
          <w:b/>
          <w:u w:val="single"/>
        </w:rPr>
      </w:pPr>
      <w:r>
        <w:rPr>
          <w:b/>
          <w:u w:val="single"/>
        </w:rPr>
        <w:t>Spatial Gradient Setup</w:t>
      </w:r>
    </w:p>
    <w:p>
      <w:pPr>
        <w:rPr>
          <w:rFonts w:ascii="Helvetica" w:hAnsi="Helvetica"/>
          <w:kern w:val="0"/>
          <w:sz w:val="18"/>
          <w:szCs w:val="18"/>
          <w:lang w:eastAsia="en-US"/>
        </w:rPr>
      </w:pPr>
      <w:r>
        <w:t>In using a spatial gradient to estimate ozone levels, SMAT-CE estimates ozone levels in</w:t>
      </w:r>
      <w:r>
        <w:rPr>
          <w:rFonts w:ascii="Helvetica" w:hAnsi="Helvetica"/>
          <w:kern w:val="0"/>
          <w:sz w:val="18"/>
          <w:szCs w:val="18"/>
          <w:lang w:eastAsia="en-US"/>
        </w:rPr>
        <w:t xml:space="preserve"> </w:t>
      </w:r>
      <w:r>
        <w:t>unmonitored locations by using the values of nearby monitored data scaled by a ratio of</w:t>
      </w:r>
      <w:r>
        <w:rPr>
          <w:rFonts w:ascii="Helvetica" w:hAnsi="Helvetica"/>
          <w:kern w:val="0"/>
          <w:sz w:val="18"/>
          <w:szCs w:val="18"/>
          <w:lang w:eastAsia="en-US"/>
        </w:rPr>
        <w:t xml:space="preserve"> </w:t>
      </w:r>
      <w:r>
        <w:t>model values. The ratio, or spatial gradient, is a mean of model values at the unmonitored location over the mean of the model values at a monitor.</w:t>
      </w:r>
    </w:p>
    <w:p>
      <w:r>
        <w:t>Note that several "nearby" monitors (and their associated model values) are used in the calculation of ozone values at an unmonitored location. SMAT-CE uses a process called Voronoi Neighbor Averaging (VNA) to identify these neighbors, and then takes an inverse distance-weighted average of these monitors.</w:t>
      </w:r>
    </w:p>
    <w:p>
      <w:r>
        <w:t>SMAT-CE sorts the daily 8-hour maximum ozone values from high to low, averages a certain number of these values (by default the top five), and then uses these averages in the calculation of the spatial gradient. Note that the highest days for Cell A and Cell E are determined independently of each other.</w:t>
      </w:r>
    </w:p>
    <w:p>
      <w:r>
        <w:t>To select a different set of days for the gradient adjustment, set the Start Value and End Value. SMAT-CE assigns an index value of 1 to the highest daily 8-hour maximum ozone value in each grid cell, the second highest an index value of 2, etc. Use the Start Value and the End Value to identify the values to average by using these indices.</w:t>
      </w:r>
    </w:p>
    <w:p>
      <w:r>
        <w:t>Since point estimates are currently only available for ozone design values in SMAT-CE, the Spatial Gradient Setup option is not active.</w:t>
      </w:r>
    </w:p>
    <w:p>
      <w:r>
        <w:t>Detailed examples of the RRF calculations are available in Section 9.4.1 of the MATS User’s Manual (Abt, 2014).</w:t>
      </w:r>
    </w:p>
    <w:p>
      <w:pPr>
        <w:pStyle w:val="4"/>
      </w:pPr>
      <w:r>
        <w:t>Run the Eastern U.S. Example</w:t>
      </w:r>
    </w:p>
    <w:p>
      <w:r>
        <w:t xml:space="preserve">Use the default settings for the RRF/Spatial Gradient options for the Eastern U.S. example project. Either click </w:t>
      </w:r>
      <w:r>
        <w:rPr>
          <w:b/>
          <w:lang w:eastAsia="en-US"/>
        </w:rPr>
        <w:t>Next</w:t>
      </w:r>
      <w:r>
        <w:rPr>
          <w:lang w:eastAsia="en-US"/>
        </w:rPr>
        <w:t xml:space="preserve">, which will bring up a window prompting to “Save &amp; Run Project” or </w:t>
      </w:r>
      <w:r>
        <w:t xml:space="preserve">click the </w:t>
      </w:r>
      <w:r>
        <w:rPr>
          <w:b/>
        </w:rPr>
        <w:t>Save Project &amp; Run</w:t>
      </w:r>
      <w:r>
        <w:t xml:space="preserve"> button at the bottom of the SMAT-CE window.</w:t>
      </w:r>
    </w:p>
    <w:p>
      <w:r>
        <w:t>The Ozone</w:t>
      </w:r>
      <w:r>
        <w:rPr>
          <w:vertAlign w:val="subscript"/>
        </w:rPr>
        <w:t xml:space="preserve"> </w:t>
      </w:r>
      <w:r>
        <w:t xml:space="preserve">Analysis project may also be saved without running SMAT-CE by clicking the </w:t>
      </w:r>
      <w:r>
        <w:rPr>
          <w:b/>
          <w:bCs/>
        </w:rPr>
        <w:t>Save Project</w:t>
      </w:r>
      <w:r>
        <w:t xml:space="preserve"> button. A file explorer window will request a filename to which the project settings will be saved to a *.proj file. This file can be loaded later to restart the analysis.  </w:t>
      </w:r>
    </w:p>
    <w:p>
      <w:r>
        <w:t xml:space="preserve">For the Eastern U.S. example, select save and run for the Ozone Analysis project. A file explorer window will request a filename (*.proj) to which to save the project settings. While the Analysis is running, the icon next to </w:t>
      </w:r>
      <w:r>
        <w:rPr>
          <w:b/>
          <w:bCs/>
        </w:rPr>
        <w:t>Model Data Options</w:t>
      </w:r>
      <w:r>
        <w:t xml:space="preserve"> will turn to a running status and status messages will be displayed in the </w:t>
      </w:r>
      <w:r>
        <w:rPr>
          <w:b/>
        </w:rPr>
        <w:t>Log &amp; Msg</w:t>
      </w:r>
      <w:r>
        <w:t xml:space="preserve"> tab on the right panel of the SMAT-CE main window (</w:t>
      </w:r>
      <w:r>
        <w:fldChar w:fldCharType="begin"/>
      </w:r>
      <w:r>
        <w:instrText xml:space="preserve"> REF _Ref475370105 \h </w:instrText>
      </w:r>
      <w:r>
        <w:fldChar w:fldCharType="separate"/>
      </w:r>
      <w:r>
        <w:rPr>
          <w:bCs/>
          <w:i/>
          <w:iCs/>
        </w:rPr>
        <w:t xml:space="preserve">Figure </w:t>
      </w:r>
      <w:r>
        <w:rPr>
          <w:b/>
          <w:bCs/>
          <w:i/>
          <w:iCs/>
        </w:rPr>
        <w:t>8</w:t>
      </w:r>
      <w:r>
        <w:rPr>
          <w:bCs/>
          <w:i/>
          <w:iCs/>
        </w:rPr>
        <w:noBreakHyphen/>
      </w:r>
      <w:r>
        <w:rPr>
          <w:b/>
          <w:bCs/>
          <w:i/>
          <w:iCs/>
        </w:rPr>
        <w:t>5</w:t>
      </w:r>
      <w:r>
        <w:fldChar w:fldCharType="end"/>
      </w:r>
      <w:r>
        <w:t>).</w:t>
      </w:r>
    </w:p>
    <w:p/>
    <w:p>
      <w:pPr>
        <w:keepNext/>
      </w:pPr>
      <w:r>
        <w:rPr>
          <w:lang w:eastAsia="en-US"/>
        </w:rPr>
        <w:drawing>
          <wp:inline distT="0" distB="0" distL="0" distR="0">
            <wp:extent cx="5267325" cy="3676650"/>
            <wp:effectExtent l="0" t="0" r="0" b="0"/>
            <wp:docPr id="121" name="图片 121" descr="C:\Users\Administrator\Desktop\help\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C:\Users\Administrator\Desktop\help\3.3.4-3.jpg"/>
                    <pic:cNvPicPr>
                      <a:picLocks noChangeAspect="1" noChangeArrowheads="1"/>
                    </pic:cNvPicPr>
                  </pic:nvPicPr>
                  <pic:blipFill>
                    <a:blip r:embed="rId43">
                      <a:extLst>
                        <a:ext uri="{28A0092B-C50C-407E-A947-70E740481C1C}">
                          <a14:useLocalDpi xmlns:a14="http://schemas.microsoft.com/office/drawing/2010/main" val="0"/>
                        </a:ext>
                      </a:extLst>
                    </a:blip>
                    <a:srcRect t="4061"/>
                    <a:stretch>
                      <a:fillRect/>
                    </a:stretch>
                  </pic:blipFill>
                  <pic:spPr>
                    <a:xfrm>
                      <a:off x="0" y="0"/>
                      <a:ext cx="5274310" cy="3681578"/>
                    </a:xfrm>
                    <a:prstGeom prst="rect">
                      <a:avLst/>
                    </a:prstGeom>
                    <a:noFill/>
                    <a:ln>
                      <a:noFill/>
                    </a:ln>
                  </pic:spPr>
                </pic:pic>
              </a:graphicData>
            </a:graphic>
          </wp:inline>
        </w:drawing>
      </w:r>
    </w:p>
    <w:p>
      <w:pPr>
        <w:pStyle w:val="12"/>
        <w:rPr>
          <w:rFonts w:cs="Times New Roman"/>
          <w:b w:val="0"/>
          <w:bCs/>
          <w:i/>
          <w:iCs/>
          <w:color w:val="000000"/>
          <w:sz w:val="22"/>
        </w:rPr>
      </w:pPr>
      <w:bookmarkStart w:id="433" w:name="_Ref475370105"/>
      <w:bookmarkStart w:id="434" w:name="_Toc20285"/>
      <w:bookmarkStart w:id="435" w:name="_Toc10853"/>
      <w:bookmarkStart w:id="436" w:name="_Toc476654236"/>
      <w:bookmarkStart w:id="437" w:name="_Toc119010928"/>
      <w:bookmarkStart w:id="438" w:name="_Toc19456"/>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8</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5</w:t>
      </w:r>
      <w:r>
        <w:rPr>
          <w:b w:val="0"/>
          <w:bCs/>
          <w:i/>
          <w:iCs/>
        </w:rPr>
        <w:fldChar w:fldCharType="end"/>
      </w:r>
      <w:bookmarkEnd w:id="433"/>
      <w:bookmarkStart w:id="439" w:name="_Toc12520"/>
      <w:r>
        <w:rPr>
          <w:b w:val="0"/>
          <w:bCs/>
          <w:i/>
          <w:iCs/>
        </w:rPr>
        <w:t>. Ozone Analysis run status</w:t>
      </w:r>
      <w:bookmarkEnd w:id="434"/>
      <w:bookmarkEnd w:id="435"/>
      <w:bookmarkEnd w:id="436"/>
      <w:bookmarkEnd w:id="437"/>
      <w:bookmarkEnd w:id="438"/>
      <w:bookmarkEnd w:id="439"/>
    </w:p>
    <w:p>
      <w:pPr>
        <w:rPr>
          <w:szCs w:val="24"/>
        </w:rPr>
      </w:pPr>
      <w:r>
        <w:rPr>
          <w:szCs w:val="24"/>
        </w:rPr>
        <w:t>When the Ozone Analysis is completed</w:t>
      </w:r>
      <w:r>
        <w:rPr>
          <w:rStyle w:val="47"/>
          <w:rFonts w:cs="Times New Roman"/>
          <w:szCs w:val="24"/>
        </w:rPr>
        <w:t>, the Data Viewer will automatically display in</w:t>
      </w:r>
      <w:r>
        <w:rPr>
          <w:rStyle w:val="47"/>
          <w:rFonts w:hint="eastAsia" w:cs="Times New Roman"/>
          <w:szCs w:val="24"/>
        </w:rPr>
        <w:t xml:space="preserve"> </w:t>
      </w:r>
      <w:r>
        <w:rPr>
          <w:rStyle w:val="47"/>
          <w:rFonts w:cs="Times New Roman"/>
          <w:szCs w:val="24"/>
        </w:rPr>
        <w:t xml:space="preserve">the SMAT-CE </w:t>
      </w:r>
      <w:r>
        <w:rPr>
          <w:rStyle w:val="47"/>
          <w:rFonts w:hint="eastAsia" w:cs="Times New Roman"/>
          <w:szCs w:val="24"/>
        </w:rPr>
        <w:t xml:space="preserve">main </w:t>
      </w:r>
      <w:r>
        <w:rPr>
          <w:rStyle w:val="47"/>
          <w:rFonts w:cs="Times New Roman"/>
          <w:szCs w:val="24"/>
        </w:rPr>
        <w:t>window</w:t>
      </w:r>
      <w:r>
        <w:rPr>
          <w:rStyle w:val="47"/>
          <w:rFonts w:hint="eastAsia" w:cs="Times New Roman"/>
          <w:szCs w:val="24"/>
        </w:rPr>
        <w:t xml:space="preserve"> (</w:t>
      </w:r>
      <w:r>
        <w:rPr>
          <w:rStyle w:val="47"/>
          <w:rFonts w:cs="Times New Roman"/>
          <w:szCs w:val="24"/>
        </w:rPr>
        <w:fldChar w:fldCharType="begin"/>
      </w:r>
      <w:r>
        <w:rPr>
          <w:rStyle w:val="47"/>
          <w:rFonts w:cs="Times New Roman"/>
          <w:szCs w:val="24"/>
        </w:rPr>
        <w:instrText xml:space="preserve"> </w:instrText>
      </w:r>
      <w:r>
        <w:rPr>
          <w:rStyle w:val="47"/>
          <w:rFonts w:hint="eastAsia" w:cs="Times New Roman"/>
          <w:szCs w:val="24"/>
        </w:rPr>
        <w:instrText xml:space="preserve">REF _Ref475370134 \h</w:instrText>
      </w:r>
      <w:r>
        <w:rPr>
          <w:rStyle w:val="47"/>
          <w:rFonts w:cs="Times New Roman"/>
          <w:szCs w:val="24"/>
        </w:rPr>
        <w:instrText xml:space="preserve"> </w:instrText>
      </w:r>
      <w:r>
        <w:rPr>
          <w:rStyle w:val="47"/>
          <w:rFonts w:cs="Times New Roman"/>
          <w:szCs w:val="24"/>
        </w:rPr>
        <w:fldChar w:fldCharType="separate"/>
      </w:r>
      <w:r>
        <w:rPr>
          <w:bCs/>
          <w:i/>
          <w:iCs/>
        </w:rPr>
        <w:t xml:space="preserve">Figure </w:t>
      </w:r>
      <w:r>
        <w:rPr>
          <w:b/>
          <w:bCs/>
          <w:i/>
          <w:iCs/>
        </w:rPr>
        <w:t>8</w:t>
      </w:r>
      <w:r>
        <w:rPr>
          <w:bCs/>
          <w:i/>
          <w:iCs/>
        </w:rPr>
        <w:noBreakHyphen/>
      </w:r>
      <w:r>
        <w:rPr>
          <w:b/>
          <w:bCs/>
          <w:i/>
          <w:iCs/>
        </w:rPr>
        <w:t>6</w:t>
      </w:r>
      <w:r>
        <w:rPr>
          <w:rStyle w:val="47"/>
          <w:rFonts w:cs="Times New Roman"/>
          <w:szCs w:val="24"/>
        </w:rPr>
        <w:fldChar w:fldCharType="end"/>
      </w:r>
      <w:r>
        <w:rPr>
          <w:rStyle w:val="47"/>
          <w:rFonts w:hint="eastAsia" w:cs="Times New Roman"/>
          <w:szCs w:val="24"/>
        </w:rPr>
        <w:t>)</w:t>
      </w:r>
      <w:r>
        <w:rPr>
          <w:rStyle w:val="47"/>
          <w:rFonts w:cs="Times New Roman"/>
          <w:szCs w:val="24"/>
        </w:rPr>
        <w:t xml:space="preserve">. </w:t>
      </w:r>
      <w:r>
        <w:rPr>
          <w:szCs w:val="24"/>
        </w:rPr>
        <w:t>The Output Files section of the Data Viewer left panel will display a</w:t>
      </w:r>
      <w:r>
        <w:rPr>
          <w:rFonts w:hint="eastAsia"/>
          <w:szCs w:val="24"/>
        </w:rPr>
        <w:t xml:space="preserve">ll </w:t>
      </w:r>
      <w:r>
        <w:rPr>
          <w:szCs w:val="24"/>
        </w:rPr>
        <w:t>of</w:t>
      </w:r>
      <w:r>
        <w:rPr>
          <w:rFonts w:hint="eastAsia"/>
          <w:szCs w:val="24"/>
        </w:rPr>
        <w:t xml:space="preserve"> output files </w:t>
      </w:r>
      <w:r>
        <w:rPr>
          <w:szCs w:val="24"/>
        </w:rPr>
        <w:t>selected</w:t>
      </w:r>
      <w:r>
        <w:rPr>
          <w:rFonts w:hint="eastAsia"/>
          <w:szCs w:val="24"/>
        </w:rPr>
        <w:t xml:space="preserve"> in </w:t>
      </w:r>
      <w:r>
        <w:rPr>
          <w:szCs w:val="24"/>
        </w:rPr>
        <w:t xml:space="preserve">the </w:t>
      </w:r>
      <w:r>
        <w:rPr>
          <w:rFonts w:hint="eastAsia"/>
          <w:b/>
          <w:szCs w:val="24"/>
        </w:rPr>
        <w:t xml:space="preserve">Desired Output </w:t>
      </w:r>
      <w:r>
        <w:rPr>
          <w:szCs w:val="24"/>
        </w:rPr>
        <w:t>Ozone</w:t>
      </w:r>
      <w:r>
        <w:rPr>
          <w:szCs w:val="24"/>
          <w:vertAlign w:val="subscript"/>
        </w:rPr>
        <w:t xml:space="preserve"> </w:t>
      </w:r>
      <w:r>
        <w:rPr>
          <w:szCs w:val="24"/>
        </w:rPr>
        <w:t xml:space="preserve">Analysis window. </w:t>
      </w:r>
    </w:p>
    <w:p>
      <w:pPr>
        <w:rPr>
          <w:szCs w:val="24"/>
        </w:rPr>
      </w:pPr>
      <w:r>
        <w:t xml:space="preserve">The Data Viewer provides options to display the Ozone Analysis results as maps, bar charts, and tables. </w:t>
      </w:r>
      <w:r>
        <w:fldChar w:fldCharType="begin"/>
      </w:r>
      <w:r>
        <w:instrText xml:space="preserve"> HYPERLINK \l "_The_SMAT-CE_Data_6" </w:instrText>
      </w:r>
      <w:r>
        <w:fldChar w:fldCharType="separate"/>
      </w:r>
      <w:r>
        <w:rPr>
          <w:rStyle w:val="36"/>
          <w:szCs w:val="24"/>
        </w:rPr>
        <w:t>Chapter 10</w:t>
      </w:r>
      <w:r>
        <w:rPr>
          <w:rStyle w:val="36"/>
          <w:szCs w:val="24"/>
        </w:rPr>
        <w:fldChar w:fldCharType="end"/>
      </w:r>
      <w:r>
        <w:rPr>
          <w:szCs w:val="24"/>
        </w:rPr>
        <w:t xml:space="preserve"> describes how to load and analyze data using the SMAT-CE Data Viewer.</w:t>
      </w:r>
    </w:p>
    <w:p>
      <w:pPr>
        <w:rPr>
          <w:szCs w:val="24"/>
        </w:rPr>
      </w:pPr>
      <w:r>
        <w:rPr>
          <w:lang w:eastAsia="en-US"/>
        </w:rPr>
        <w:drawing>
          <wp:inline distT="0" distB="0" distL="0" distR="0">
            <wp:extent cx="5269230" cy="3686175"/>
            <wp:effectExtent l="0" t="0" r="7620" b="952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44"/>
                    <a:srcRect t="3807"/>
                    <a:stretch>
                      <a:fillRect/>
                    </a:stretch>
                  </pic:blipFill>
                  <pic:spPr>
                    <a:xfrm>
                      <a:off x="0" y="0"/>
                      <a:ext cx="5274310" cy="3690040"/>
                    </a:xfrm>
                    <a:prstGeom prst="rect">
                      <a:avLst/>
                    </a:prstGeom>
                    <a:ln>
                      <a:noFill/>
                    </a:ln>
                  </pic:spPr>
                </pic:pic>
              </a:graphicData>
            </a:graphic>
          </wp:inline>
        </w:drawing>
      </w:r>
    </w:p>
    <w:p>
      <w:pPr>
        <w:pStyle w:val="12"/>
        <w:rPr>
          <w:b w:val="0"/>
          <w:bCs/>
          <w:i/>
          <w:iCs/>
        </w:rPr>
      </w:pPr>
      <w:bookmarkStart w:id="440" w:name="_Ref475370134"/>
      <w:bookmarkStart w:id="441" w:name="_Toc3180"/>
      <w:bookmarkStart w:id="442" w:name="_Toc476654237"/>
      <w:bookmarkStart w:id="443" w:name="_Toc12186"/>
      <w:bookmarkStart w:id="444" w:name="_Toc119010929"/>
      <w:bookmarkStart w:id="445" w:name="_Toc28984"/>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8</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6</w:t>
      </w:r>
      <w:r>
        <w:rPr>
          <w:b w:val="0"/>
          <w:bCs/>
          <w:i/>
          <w:iCs/>
        </w:rPr>
        <w:fldChar w:fldCharType="end"/>
      </w:r>
      <w:bookmarkEnd w:id="440"/>
      <w:bookmarkStart w:id="446" w:name="_Toc7914"/>
      <w:r>
        <w:rPr>
          <w:b w:val="0"/>
          <w:bCs/>
          <w:i/>
          <w:iCs/>
        </w:rPr>
        <w:t>.Ozone Analysis data viewer</w:t>
      </w:r>
      <w:bookmarkEnd w:id="441"/>
      <w:bookmarkEnd w:id="442"/>
      <w:bookmarkEnd w:id="443"/>
      <w:bookmarkEnd w:id="444"/>
      <w:bookmarkEnd w:id="445"/>
      <w:bookmarkEnd w:id="446"/>
    </w:p>
    <w:p>
      <w:pPr>
        <w:rPr>
          <w:szCs w:val="24"/>
        </w:rPr>
      </w:pPr>
      <w:r>
        <w:rPr>
          <w:szCs w:val="24"/>
        </w:rPr>
        <w:t>This concludes the chapter on the SMAT-CE Ozone</w:t>
      </w:r>
      <w:r>
        <w:rPr>
          <w:szCs w:val="24"/>
          <w:vertAlign w:val="subscript"/>
        </w:rPr>
        <w:t xml:space="preserve"> </w:t>
      </w:r>
      <w:r>
        <w:rPr>
          <w:szCs w:val="24"/>
        </w:rPr>
        <w:t xml:space="preserve">Analysis. As described in this section, details of the calculations and settings used in this analysis are available </w:t>
      </w:r>
      <w:r>
        <w:t xml:space="preserve">in the U.S. EPA </w:t>
      </w:r>
      <w:r>
        <w:rPr>
          <w:szCs w:val="24"/>
        </w:rPr>
        <w:t>Draft Modeling Guidance for</w:t>
      </w:r>
      <w:r>
        <w:t xml:space="preserve"> </w:t>
      </w:r>
      <w:r>
        <w:rPr>
          <w:szCs w:val="24"/>
        </w:rPr>
        <w:t>Attainment of Air Quality Goals for Ozone, PM</w:t>
      </w:r>
      <w:r>
        <w:rPr>
          <w:szCs w:val="24"/>
          <w:vertAlign w:val="subscript"/>
        </w:rPr>
        <w:t>2.5</w:t>
      </w:r>
      <w:r>
        <w:rPr>
          <w:szCs w:val="24"/>
        </w:rPr>
        <w:t xml:space="preserve">, and Regional Haze (U.S. EPA, 2014) and in Chapter 9 of the MATS User’s Manual (Abt, 2014).  </w:t>
      </w:r>
    </w:p>
    <w:p>
      <w:pPr>
        <w:sectPr>
          <w:pgSz w:w="11906" w:h="16838"/>
          <w:pgMar w:top="1440" w:right="1800" w:bottom="1440" w:left="1800" w:header="851" w:footer="992" w:gutter="0"/>
          <w:cols w:space="425" w:num="1"/>
          <w:docGrid w:type="lines" w:linePitch="312" w:charSpace="0"/>
        </w:sectPr>
      </w:pPr>
    </w:p>
    <w:p>
      <w:pPr>
        <w:pStyle w:val="2"/>
      </w:pPr>
      <w:bookmarkStart w:id="447" w:name="_Visibility_Analysis"/>
      <w:bookmarkEnd w:id="447"/>
      <w:bookmarkStart w:id="448" w:name="_Visibility_Analysis_2"/>
      <w:bookmarkEnd w:id="448"/>
      <w:bookmarkStart w:id="449" w:name="_Visibility_Analysis_1"/>
      <w:bookmarkEnd w:id="449"/>
      <w:bookmarkStart w:id="450" w:name="_Toc476654849"/>
      <w:bookmarkStart w:id="451" w:name="_Ref474499902"/>
      <w:bookmarkStart w:id="452" w:name="_Toc476654471"/>
      <w:bookmarkStart w:id="453" w:name="_Toc25985"/>
      <w:bookmarkStart w:id="454" w:name="_Toc476653948"/>
      <w:bookmarkStart w:id="455" w:name="_Toc119010885"/>
      <w:r>
        <w:t>Visibility Analysis</w:t>
      </w:r>
      <w:bookmarkEnd w:id="450"/>
      <w:bookmarkEnd w:id="451"/>
      <w:bookmarkEnd w:id="452"/>
      <w:bookmarkEnd w:id="453"/>
      <w:bookmarkEnd w:id="454"/>
      <w:bookmarkEnd w:id="455"/>
    </w:p>
    <w:p>
      <w:pPr>
        <w:rPr>
          <w:lang w:eastAsia="en-US"/>
        </w:rPr>
      </w:pPr>
      <w:r>
        <w:rPr>
          <w:lang w:eastAsia="en-US"/>
        </w:rPr>
        <w:t xml:space="preserve">SMAT-CE can calculate baseline and future-year visibility levels for the best and worst days for Class I Areas – these estimates are referred to as Point Estimates, as they refer to particular locations. </w:t>
      </w:r>
    </w:p>
    <w:p>
      <w:r>
        <w:t>The Visibility Analysis in SMAT-CE is organized into three steps. The steps include the input/output and configuration options for conducting visibility analysis. The following configuration steps correspond to different SMAT-CE windows and are described in detail in this chapter:</w:t>
      </w:r>
    </w:p>
    <w:p>
      <w:pPr>
        <w:pStyle w:val="42"/>
        <w:numPr>
          <w:ilvl w:val="0"/>
          <w:numId w:val="11"/>
        </w:numPr>
        <w:ind w:firstLineChars="0"/>
      </w:pPr>
      <w:r>
        <w:rPr>
          <w:b/>
        </w:rPr>
        <w:t>Choose Desired Output</w:t>
      </w:r>
      <w:r>
        <w:rPr>
          <w:b/>
          <w:bCs/>
        </w:rPr>
        <w:t>:</w:t>
      </w:r>
      <w:r>
        <w:t xml:space="preserve"> Select whether to calculate Point Estimates at IMPROVE monitors or at Class I Area centroids and whether to use the old or new version of the IMPROVE visibility equation.</w:t>
      </w:r>
    </w:p>
    <w:p>
      <w:pPr>
        <w:pStyle w:val="42"/>
        <w:numPr>
          <w:ilvl w:val="0"/>
          <w:numId w:val="11"/>
        </w:numPr>
        <w:ind w:firstLineChars="0"/>
      </w:pPr>
      <w:r>
        <w:rPr>
          <w:b/>
        </w:rPr>
        <w:t>Data Input</w:t>
      </w:r>
      <w:r>
        <w:rPr>
          <w:b/>
          <w:bCs/>
        </w:rPr>
        <w:t>:</w:t>
      </w:r>
      <w:r>
        <w:t xml:space="preserve"> Specify the air modeling and monitoring data that you want to use.  Specify which model grid cells will be used when calculating RRFs at monitor locations.</w:t>
      </w:r>
    </w:p>
    <w:p>
      <w:pPr>
        <w:pStyle w:val="42"/>
        <w:numPr>
          <w:ilvl w:val="0"/>
          <w:numId w:val="11"/>
        </w:numPr>
        <w:ind w:firstLineChars="0"/>
      </w:pPr>
      <w:r>
        <w:rPr>
          <w:b/>
        </w:rPr>
        <w:t>Filtering</w:t>
      </w:r>
      <w:r>
        <w:rPr>
          <w:b/>
          <w:bCs/>
        </w:rPr>
        <w:t>:</w:t>
      </w:r>
      <w:r>
        <w:t xml:space="preserve"> Choose the years of monitoring data. Identify valid monitors.  </w:t>
      </w:r>
    </w:p>
    <w:p>
      <w:pPr>
        <w:rPr>
          <w:lang w:eastAsia="en-US"/>
        </w:rPr>
      </w:pPr>
    </w:p>
    <w:p>
      <w:r>
        <w:t>Refer to the EPA Visibility and Regional Haze</w:t>
      </w:r>
      <w:r>
        <w:rPr>
          <w:rStyle w:val="38"/>
        </w:rPr>
        <w:footnoteReference w:id="0"/>
      </w:r>
      <w:r>
        <w:t xml:space="preserve"> webpage for the latest guidance and data related to Visibility Analysis.</w:t>
      </w:r>
    </w:p>
    <w:p/>
    <w:p>
      <w:pPr>
        <w:keepNext/>
        <w:jc w:val="center"/>
      </w:pPr>
      <w:r>
        <w:rPr>
          <w:lang w:eastAsia="en-US"/>
        </w:rPr>
        <w:drawing>
          <wp:inline distT="0" distB="0" distL="0" distR="0">
            <wp:extent cx="5267325" cy="3667125"/>
            <wp:effectExtent l="0" t="0" r="9525" b="0"/>
            <wp:docPr id="41" name="图片 124" descr="C:\Users\Administrator\Desktop\help\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4" descr="C:\Users\Administrator\Desktop\help\3.4 -2.jpg"/>
                    <pic:cNvPicPr>
                      <a:picLocks noChangeAspect="1" noChangeArrowheads="1"/>
                    </pic:cNvPicPr>
                  </pic:nvPicPr>
                  <pic:blipFill>
                    <a:blip r:embed="rId45">
                      <a:extLst>
                        <a:ext uri="{28A0092B-C50C-407E-A947-70E740481C1C}">
                          <a14:useLocalDpi xmlns:a14="http://schemas.microsoft.com/office/drawing/2010/main" val="0"/>
                        </a:ext>
                      </a:extLst>
                    </a:blip>
                    <a:srcRect t="4315"/>
                    <a:stretch>
                      <a:fillRect/>
                    </a:stretch>
                  </pic:blipFill>
                  <pic:spPr>
                    <a:xfrm>
                      <a:off x="0" y="0"/>
                      <a:ext cx="5274310" cy="3671838"/>
                    </a:xfrm>
                    <a:prstGeom prst="rect">
                      <a:avLst/>
                    </a:prstGeom>
                    <a:noFill/>
                    <a:ln>
                      <a:noFill/>
                    </a:ln>
                  </pic:spPr>
                </pic:pic>
              </a:graphicData>
            </a:graphic>
          </wp:inline>
        </w:drawing>
      </w:r>
    </w:p>
    <w:p>
      <w:pPr>
        <w:pStyle w:val="12"/>
        <w:rPr>
          <w:b w:val="0"/>
          <w:bCs/>
          <w:i/>
          <w:iCs/>
        </w:rPr>
      </w:pPr>
      <w:bookmarkStart w:id="456" w:name="_Ref475456169"/>
      <w:bookmarkStart w:id="457" w:name="_Toc476654238"/>
      <w:bookmarkStart w:id="458" w:name="_Toc119010930"/>
      <w:bookmarkStart w:id="459" w:name="_Toc25509"/>
      <w:bookmarkStart w:id="460" w:name="_Toc1580"/>
      <w:bookmarkStart w:id="461" w:name="_Toc1342"/>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9</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1</w:t>
      </w:r>
      <w:r>
        <w:rPr>
          <w:b w:val="0"/>
          <w:bCs/>
          <w:i/>
          <w:iCs/>
        </w:rPr>
        <w:fldChar w:fldCharType="end"/>
      </w:r>
      <w:bookmarkEnd w:id="456"/>
      <w:bookmarkStart w:id="462" w:name="_Toc7166"/>
      <w:r>
        <w:rPr>
          <w:b w:val="0"/>
          <w:bCs/>
          <w:i/>
          <w:iCs/>
        </w:rPr>
        <w:t>. Visibility Analysis initial window</w:t>
      </w:r>
      <w:bookmarkEnd w:id="457"/>
      <w:bookmarkEnd w:id="458"/>
      <w:bookmarkEnd w:id="459"/>
      <w:bookmarkEnd w:id="460"/>
      <w:bookmarkEnd w:id="461"/>
      <w:bookmarkEnd w:id="462"/>
    </w:p>
    <w:p>
      <w:r>
        <w:t xml:space="preserve">To conduct a visibility analysis, select </w:t>
      </w:r>
      <w:r>
        <w:rPr>
          <w:b/>
        </w:rPr>
        <w:t>Visibility Analysis</w:t>
      </w:r>
      <w:r>
        <w:t xml:space="preserve"> from the Process Data module on the SMAT-CE Start Page. </w:t>
      </w:r>
      <w:r>
        <w:fldChar w:fldCharType="begin"/>
      </w:r>
      <w:r>
        <w:instrText xml:space="preserve"> REF _Ref475456169 \h </w:instrText>
      </w:r>
      <w:r>
        <w:fldChar w:fldCharType="separate"/>
      </w:r>
      <w:r>
        <w:rPr>
          <w:bCs/>
          <w:i/>
          <w:iCs/>
        </w:rPr>
        <w:t xml:space="preserve">Figure </w:t>
      </w:r>
      <w:r>
        <w:rPr>
          <w:b/>
          <w:bCs/>
          <w:i/>
          <w:iCs/>
        </w:rPr>
        <w:t>9</w:t>
      </w:r>
      <w:r>
        <w:rPr>
          <w:bCs/>
          <w:i/>
          <w:iCs/>
        </w:rPr>
        <w:noBreakHyphen/>
      </w:r>
      <w:r>
        <w:rPr>
          <w:b/>
          <w:bCs/>
          <w:i/>
          <w:iCs/>
        </w:rPr>
        <w:t>1</w:t>
      </w:r>
      <w:r>
        <w:fldChar w:fldCharType="end"/>
      </w:r>
      <w:r>
        <w:t xml:space="preserve"> shows the initial window that is displayed when Visibility Analysis is selected. The box in the upper left of the window lists the configuration steps of the Visibility Analysis. Each step listed in this box has a different set of configuration options that are displayed in the Visibility Analysis window. Once each step is successfully configured, the icons next to each step in the box will change from yellow to green. In general, the configuration steps must be followed in order, from top to bottom, as they are listed in the box. Previously completed steps may be accessed and modified by double-clicking on the step name in the box. Once the configuration for a step is complete, you may move to the next step by either clicking on it or by selecting the Next button.</w:t>
      </w:r>
    </w:p>
    <w:p>
      <w:r>
        <w:t xml:space="preserve">A previous project may be loaded, or a new project may be initiated, at any time in the Visibility Analysis window by selecting one of the icons to the right of the “Visibility Analysis” text shown in </w:t>
      </w:r>
      <w:r>
        <w:fldChar w:fldCharType="begin"/>
      </w:r>
      <w:r>
        <w:instrText xml:space="preserve"> REF _Ref475456169 \h </w:instrText>
      </w:r>
      <w:r>
        <w:fldChar w:fldCharType="separate"/>
      </w:r>
      <w:r>
        <w:rPr>
          <w:bCs/>
          <w:i/>
          <w:iCs/>
        </w:rPr>
        <w:t xml:space="preserve">Figure </w:t>
      </w:r>
      <w:r>
        <w:rPr>
          <w:b/>
          <w:bCs/>
          <w:i/>
          <w:iCs/>
        </w:rPr>
        <w:t>9</w:t>
      </w:r>
      <w:r>
        <w:rPr>
          <w:bCs/>
          <w:i/>
          <w:iCs/>
        </w:rPr>
        <w:noBreakHyphen/>
      </w:r>
      <w:r>
        <w:rPr>
          <w:b/>
          <w:bCs/>
          <w:i/>
          <w:iCs/>
        </w:rPr>
        <w:t>1</w:t>
      </w:r>
      <w:r>
        <w:fldChar w:fldCharType="end"/>
      </w:r>
      <w:r>
        <w:t>.</w:t>
      </w:r>
    </w:p>
    <w:p>
      <w:r>
        <w:t>Each of the Visibility Analysis configuration steps are described in the following sections.</w:t>
      </w:r>
    </w:p>
    <w:p>
      <w:pPr>
        <w:pStyle w:val="3"/>
      </w:pPr>
      <w:bookmarkStart w:id="463" w:name="_Toc476653949"/>
      <w:bookmarkStart w:id="464" w:name="_Toc476654472"/>
      <w:bookmarkStart w:id="465" w:name="_Toc15801"/>
      <w:bookmarkStart w:id="466" w:name="_Toc476654850"/>
      <w:bookmarkStart w:id="467" w:name="_Toc119010886"/>
      <w:r>
        <w:t>Choose Desired Output</w:t>
      </w:r>
      <w:bookmarkEnd w:id="463"/>
      <w:bookmarkEnd w:id="464"/>
      <w:bookmarkEnd w:id="465"/>
      <w:bookmarkEnd w:id="466"/>
      <w:bookmarkEnd w:id="467"/>
    </w:p>
    <w:p>
      <w:pPr>
        <w:keepNext/>
        <w:jc w:val="center"/>
      </w:pPr>
      <w:r>
        <w:drawing>
          <wp:inline distT="0" distB="0" distL="0" distR="0">
            <wp:extent cx="5274310" cy="3882390"/>
            <wp:effectExtent l="0" t="0" r="2540" b="381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46"/>
                    <a:stretch>
                      <a:fillRect/>
                    </a:stretch>
                  </pic:blipFill>
                  <pic:spPr>
                    <a:xfrm>
                      <a:off x="0" y="0"/>
                      <a:ext cx="5274310" cy="3882390"/>
                    </a:xfrm>
                    <a:prstGeom prst="rect">
                      <a:avLst/>
                    </a:prstGeom>
                  </pic:spPr>
                </pic:pic>
              </a:graphicData>
            </a:graphic>
          </wp:inline>
        </w:drawing>
      </w:r>
    </w:p>
    <w:p>
      <w:pPr>
        <w:pStyle w:val="12"/>
        <w:rPr>
          <w:b w:val="0"/>
          <w:bCs/>
          <w:i/>
          <w:iCs/>
        </w:rPr>
      </w:pPr>
      <w:bookmarkStart w:id="468" w:name="_Ref475456969"/>
      <w:bookmarkStart w:id="469" w:name="_Toc476654239"/>
      <w:bookmarkStart w:id="470" w:name="_Toc22839"/>
      <w:bookmarkStart w:id="471" w:name="_Toc9605"/>
      <w:bookmarkStart w:id="472" w:name="_Toc119010931"/>
      <w:bookmarkStart w:id="473" w:name="_Toc12034"/>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9</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2</w:t>
      </w:r>
      <w:r>
        <w:rPr>
          <w:b w:val="0"/>
          <w:bCs/>
          <w:i/>
          <w:iCs/>
        </w:rPr>
        <w:fldChar w:fldCharType="end"/>
      </w:r>
      <w:bookmarkEnd w:id="468"/>
      <w:bookmarkStart w:id="474" w:name="_Toc11578"/>
      <w:r>
        <w:rPr>
          <w:b w:val="0"/>
          <w:bCs/>
          <w:i/>
          <w:iCs/>
        </w:rPr>
        <w:t>. Choose Desired Output for Visibility Analysis</w:t>
      </w:r>
      <w:bookmarkEnd w:id="469"/>
      <w:bookmarkEnd w:id="470"/>
      <w:bookmarkEnd w:id="471"/>
      <w:bookmarkEnd w:id="472"/>
      <w:bookmarkEnd w:id="473"/>
      <w:bookmarkEnd w:id="474"/>
    </w:p>
    <w:p>
      <w:pPr>
        <w:autoSpaceDE w:val="0"/>
        <w:autoSpaceDN w:val="0"/>
        <w:adjustRightInd w:val="0"/>
      </w:pPr>
      <w:r>
        <w:rPr>
          <w:b/>
        </w:rPr>
        <w:t>Choose Desired Output</w:t>
      </w:r>
      <w:r>
        <w:t xml:space="preserve"> is the first configuration step that is displayed when the Visibility Analysis module is selected (</w:t>
      </w:r>
      <w:r>
        <w:fldChar w:fldCharType="begin"/>
      </w:r>
      <w:r>
        <w:instrText xml:space="preserve"> REF _Ref475456969 \h </w:instrText>
      </w:r>
      <w:r>
        <w:fldChar w:fldCharType="separate"/>
      </w:r>
      <w:r>
        <w:rPr>
          <w:bCs/>
          <w:i/>
          <w:iCs/>
        </w:rPr>
        <w:t xml:space="preserve">Figure </w:t>
      </w:r>
      <w:r>
        <w:rPr>
          <w:b/>
          <w:bCs/>
          <w:i/>
          <w:iCs/>
        </w:rPr>
        <w:t>9</w:t>
      </w:r>
      <w:r>
        <w:rPr>
          <w:bCs/>
          <w:i/>
          <w:iCs/>
        </w:rPr>
        <w:noBreakHyphen/>
      </w:r>
      <w:r>
        <w:rPr>
          <w:b/>
          <w:bCs/>
          <w:i/>
          <w:iCs/>
        </w:rPr>
        <w:t>2</w:t>
      </w:r>
      <w:r>
        <w:fldChar w:fldCharType="end"/>
      </w:r>
      <w:r>
        <w:t>). The blue hyperlinked text in this window brings up the documentation for this configuration step. The settings in this step include:</w:t>
      </w:r>
    </w:p>
    <w:p>
      <w:pPr>
        <w:pStyle w:val="4"/>
      </w:pPr>
      <w:r>
        <w:t>Project Name</w:t>
      </w:r>
    </w:p>
    <w:p>
      <w:r>
        <w:t>Text string to identify this analysis and set the name of the project file.</w:t>
      </w:r>
    </w:p>
    <w:p>
      <w:pPr>
        <w:pStyle w:val="4"/>
      </w:pPr>
      <w:r>
        <w:t>Forecast</w:t>
      </w:r>
    </w:p>
    <w:p>
      <w:r>
        <w:rPr>
          <w:lang w:eastAsia="en-US"/>
        </w:rPr>
        <w:t xml:space="preserve">SMAT-CE supports to use the "Use old version" or "Use new version" of the IMPROVE </w:t>
      </w:r>
      <w:r>
        <w:rPr>
          <w:rFonts w:hint="eastAsia"/>
        </w:rPr>
        <w:t>Algorithm</w:t>
      </w:r>
      <w:r>
        <w:rPr>
          <w:lang w:eastAsia="en-US"/>
        </w:rPr>
        <w:t xml:space="preserve"> (IMPROVE,2006), which SMAT uses to translate PM levels (measured in ug/m3) to visibility levels (measured in extinction or deciviews). Note that "Use old version" of the IMPROVE </w:t>
      </w:r>
      <w:r>
        <w:rPr>
          <w:rFonts w:hint="eastAsia"/>
        </w:rPr>
        <w:t>Algorithm</w:t>
      </w:r>
      <w:r>
        <w:rPr>
          <w:lang w:eastAsia="en-US"/>
        </w:rPr>
        <w:t xml:space="preserve"> is still under development.</w:t>
      </w:r>
    </w:p>
    <w:p>
      <w:pPr>
        <w:rPr>
          <w:lang w:eastAsia="en-US"/>
        </w:rPr>
      </w:pPr>
      <w:r>
        <w:t xml:space="preserve">SMAT-CE includes two options for how model data are selected for the visibility RRF calculation. </w:t>
      </w:r>
      <w:r>
        <w:rPr>
          <w:lang w:eastAsia="en-US"/>
        </w:rPr>
        <w:t>When forecasting visibility, SMAT-CE can calculate RRFs from model data at either the grid cell containing the monitor or at the centroid of the Class I Area.</w:t>
      </w:r>
    </w:p>
    <w:p>
      <w:pPr>
        <w:rPr>
          <w:lang w:eastAsia="en-US"/>
        </w:rPr>
      </w:pPr>
      <w:r>
        <w:rPr>
          <w:color w:val="000000"/>
          <w:lang w:eastAsia="en-US"/>
        </w:rPr>
        <w:t>Monitors assigned to</w:t>
      </w:r>
      <w:r>
        <w:rPr>
          <w:lang w:eastAsia="en-US"/>
        </w:rPr>
        <w:t xml:space="preserve"> represent a Class I Area are generally close to the Class I Area. However, in some cases, this distance can be substantial. For example, the YELL2 monitor in Wyoming (44.5653 latitude, -110.4002 longitude) is located more than a degree longitude away from the Red Rocks Lake Class I Area (44.64 latitude, -111.78 longitude). By default, SMAT-CE uses model data at the monitor. </w:t>
      </w:r>
    </w:p>
    <w:p>
      <w:pPr>
        <w:rPr>
          <w:lang w:eastAsia="en-US"/>
        </w:rPr>
      </w:pPr>
      <w:r>
        <w:rPr>
          <w:lang w:eastAsia="en-US"/>
        </w:rPr>
        <w:t>SMAT-CE produces a forecast of visibility in Class I Areas through the following steps:</w:t>
      </w:r>
    </w:p>
    <w:p>
      <w:pPr>
        <w:pStyle w:val="42"/>
        <w:numPr>
          <w:ilvl w:val="0"/>
          <w:numId w:val="30"/>
        </w:numPr>
        <w:ind w:firstLineChars="0"/>
        <w:rPr>
          <w:lang w:eastAsia="en-US"/>
        </w:rPr>
      </w:pPr>
      <w:r>
        <w:rPr>
          <w:b/>
          <w:bCs/>
          <w:i/>
          <w:lang w:eastAsia="en-US"/>
        </w:rPr>
        <w:t>Identify best &amp; worst visibility monitor days in Base Model Year</w:t>
      </w:r>
      <w:r>
        <w:rPr>
          <w:lang w:eastAsia="en-US"/>
        </w:rPr>
        <w:t>. Use monitored total extinction data from a user-specified year to identify the 20% best (B20) and 20% worst (W20) visibility days at each Class I area. At this stage SMAT-CE is using extinction values (measured in Mm</w:t>
      </w:r>
      <w:r>
        <w:rPr>
          <w:vertAlign w:val="superscript"/>
          <w:lang w:eastAsia="en-US"/>
        </w:rPr>
        <w:t>-1</w:t>
      </w:r>
      <w:r>
        <w:rPr>
          <w:lang w:eastAsia="en-US"/>
        </w:rPr>
        <w:t>). By the end of this series of calculations, SMAT-CE will convert these extinction visibility measures to deciviews.</w:t>
      </w:r>
    </w:p>
    <w:p>
      <w:pPr>
        <w:pStyle w:val="42"/>
        <w:ind w:left="720" w:firstLine="0" w:firstLineChars="0"/>
        <w:rPr>
          <w:lang w:eastAsia="en-US"/>
        </w:rPr>
      </w:pPr>
      <w:r>
        <w:rPr>
          <w:lang w:eastAsia="en-US"/>
        </w:rPr>
        <w:t>Note that you specify the particular year, the Base Model Year, from the available monitoring data in the Filtering window. SMAT-CE labels the year of monitoring data as the Base Model Year because this particular year of monitor data matches the baseline model data, specified in the Data Input window.</w:t>
      </w:r>
    </w:p>
    <w:p>
      <w:pPr>
        <w:pStyle w:val="42"/>
        <w:numPr>
          <w:ilvl w:val="0"/>
          <w:numId w:val="31"/>
        </w:numPr>
        <w:ind w:firstLineChars="0"/>
        <w:rPr>
          <w:lang w:eastAsia="en-US"/>
        </w:rPr>
      </w:pPr>
      <w:r>
        <w:rPr>
          <w:b/>
          <w:bCs/>
          <w:i/>
          <w:lang w:eastAsia="en-US"/>
        </w:rPr>
        <w:t>Average best &amp; worst baseline model days</w:t>
      </w:r>
      <w:r>
        <w:rPr>
          <w:lang w:eastAsia="en-US"/>
        </w:rPr>
        <w:t>. Using baseline speciated model data (specified in the Data Input window), average the B20 visibility days and then average the W20 visibility days at each Class I areas (matched with the ambient data). The model data comes into SMAT-CE as speciated values with units in ug/m</w:t>
      </w:r>
      <w:r>
        <w:rPr>
          <w:vertAlign w:val="superscript"/>
          <w:lang w:eastAsia="en-US"/>
        </w:rPr>
        <w:t>3</w:t>
      </w:r>
      <w:r>
        <w:rPr>
          <w:lang w:eastAsia="en-US"/>
        </w:rPr>
        <w:t>. These data are averaged to produce speciated baseline concentrations for the B20 and W20 days with units of ug/m</w:t>
      </w:r>
      <w:r>
        <w:rPr>
          <w:vertAlign w:val="superscript"/>
          <w:lang w:eastAsia="en-US"/>
        </w:rPr>
        <w:t>3</w:t>
      </w:r>
      <w:r>
        <w:rPr>
          <w:lang w:eastAsia="en-US"/>
        </w:rPr>
        <w:t>.</w:t>
      </w:r>
    </w:p>
    <w:p>
      <w:pPr>
        <w:pStyle w:val="42"/>
        <w:numPr>
          <w:ilvl w:val="0"/>
          <w:numId w:val="31"/>
        </w:numPr>
        <w:ind w:firstLineChars="0"/>
        <w:rPr>
          <w:lang w:eastAsia="en-US"/>
        </w:rPr>
      </w:pPr>
      <w:r>
        <w:rPr>
          <w:b/>
          <w:bCs/>
          <w:i/>
          <w:lang w:eastAsia="en-US"/>
        </w:rPr>
        <w:t>Average best &amp; worst forecast model days</w:t>
      </w:r>
      <w:r>
        <w:rPr>
          <w:lang w:eastAsia="en-US"/>
        </w:rPr>
        <w:t>. Calculate these same averages for the forecast model data (specified in the Data Input window). Identify the same B20 and W20 days from the model results and then average the speciated model data (reported in ug/m</w:t>
      </w:r>
      <w:r>
        <w:rPr>
          <w:vertAlign w:val="superscript"/>
          <w:lang w:eastAsia="en-US"/>
        </w:rPr>
        <w:t>3</w:t>
      </w:r>
      <w:r>
        <w:rPr>
          <w:lang w:eastAsia="en-US"/>
        </w:rPr>
        <w:t>). These data are averaged to produce speciated forecast (future) concentrations for the B20 and W20 days with units of ug/m</w:t>
      </w:r>
      <w:r>
        <w:rPr>
          <w:vertAlign w:val="superscript"/>
          <w:lang w:eastAsia="en-US"/>
        </w:rPr>
        <w:t>3</w:t>
      </w:r>
      <w:r>
        <w:rPr>
          <w:lang w:eastAsia="en-US"/>
        </w:rPr>
        <w:t>.</w:t>
      </w:r>
    </w:p>
    <w:p>
      <w:pPr>
        <w:pStyle w:val="42"/>
        <w:numPr>
          <w:ilvl w:val="0"/>
          <w:numId w:val="31"/>
        </w:numPr>
        <w:ind w:firstLineChars="0"/>
        <w:rPr>
          <w:lang w:eastAsia="en-US"/>
        </w:rPr>
      </w:pPr>
      <w:r>
        <w:rPr>
          <w:b/>
          <w:bCs/>
          <w:i/>
          <w:lang w:eastAsia="en-US"/>
        </w:rPr>
        <w:t>Calculate RRFs</w:t>
      </w:r>
      <w:r>
        <w:rPr>
          <w:b/>
          <w:bCs/>
          <w:lang w:eastAsia="en-US"/>
        </w:rPr>
        <w:t>.</w:t>
      </w:r>
      <w:r>
        <w:rPr>
          <w:lang w:eastAsia="en-US"/>
        </w:rPr>
        <w:t xml:space="preserve"> Use the speciated B20 and W20 averages from the baseline and forecast model data to calculate B20 and W20 RRFs for each species at each Class I area. The B20 RRF is simply the ratio of the baseline B20 average to the forecast B20 average. The result of this step will be two unitless RRFs for each species at each Class I area.</w:t>
      </w:r>
    </w:p>
    <w:p>
      <w:pPr>
        <w:pStyle w:val="42"/>
        <w:numPr>
          <w:ilvl w:val="0"/>
          <w:numId w:val="31"/>
        </w:numPr>
        <w:ind w:firstLineChars="0"/>
        <w:rPr>
          <w:lang w:eastAsia="en-US"/>
        </w:rPr>
      </w:pPr>
      <w:r>
        <w:rPr>
          <w:b/>
          <w:bCs/>
          <w:i/>
          <w:lang w:eastAsia="en-US"/>
        </w:rPr>
        <w:t>Identify best &amp; worst visibility days in other monitored years</w:t>
      </w:r>
      <w:r>
        <w:rPr>
          <w:lang w:eastAsia="en-US"/>
        </w:rPr>
        <w:t xml:space="preserve">. Using the monitored total extinction, identify the B20 visibility days and the W20 visibility days from the other available years of monitoring data. The default in SMAT-CE is that there should be at least three valid years and one of those years should be the base modeling year (the base meteorological year). (Monitor validity is discussed further in </w:t>
      </w:r>
      <w:r>
        <w:rPr>
          <w:color w:val="000000"/>
          <w:lang w:eastAsia="en-US"/>
        </w:rPr>
        <w:t xml:space="preserve">the section on the Visibility Analysis </w:t>
      </w:r>
      <w:r>
        <w:rPr>
          <w:lang w:eastAsia="en-US"/>
        </w:rPr>
        <w:t>Filtering window.)</w:t>
      </w:r>
    </w:p>
    <w:p>
      <w:pPr>
        <w:pStyle w:val="42"/>
        <w:ind w:left="720" w:firstLine="0" w:firstLineChars="0"/>
        <w:rPr>
          <w:lang w:eastAsia="en-US"/>
        </w:rPr>
      </w:pPr>
      <w:r>
        <w:rPr>
          <w:lang w:eastAsia="en-US"/>
        </w:rPr>
        <w:t>Note that the B20 days will occur on a different set of days for each year; similarly, the W20 days will occur on a different set of days for each year.</w:t>
      </w:r>
    </w:p>
    <w:p>
      <w:pPr>
        <w:pStyle w:val="42"/>
        <w:numPr>
          <w:ilvl w:val="0"/>
          <w:numId w:val="32"/>
        </w:numPr>
        <w:ind w:firstLineChars="0"/>
        <w:rPr>
          <w:lang w:eastAsia="en-US"/>
        </w:rPr>
      </w:pPr>
      <w:r>
        <w:rPr>
          <w:b/>
          <w:bCs/>
          <w:i/>
          <w:lang w:eastAsia="en-US"/>
        </w:rPr>
        <w:t>Multiply RRFs with speciated monitor data from each year</w:t>
      </w:r>
      <w:r>
        <w:rPr>
          <w:lang w:eastAsia="en-US"/>
        </w:rPr>
        <w:t>. Multiply the species specific B20 RRF (unitless) with the B20 daily speciated monitor values (measured in ug/m</w:t>
      </w:r>
      <w:r>
        <w:rPr>
          <w:vertAlign w:val="superscript"/>
          <w:lang w:eastAsia="en-US"/>
        </w:rPr>
        <w:t>3</w:t>
      </w:r>
      <w:r>
        <w:rPr>
          <w:lang w:eastAsia="en-US"/>
        </w:rPr>
        <w:t xml:space="preserve">) from each of the available years. Do analogous calculations for the W20 days. </w:t>
      </w:r>
    </w:p>
    <w:p>
      <w:pPr>
        <w:pStyle w:val="42"/>
        <w:ind w:left="780" w:firstLine="0" w:firstLineChars="0"/>
        <w:rPr>
          <w:lang w:eastAsia="en-US"/>
        </w:rPr>
      </w:pPr>
      <w:r>
        <w:rPr>
          <w:lang w:eastAsia="en-US"/>
        </w:rPr>
        <w:t>Note that the RRF is based on best/worst days identified from the base model year. This same "Base Model Year" RRF is used with all of the valid monitor years. For example, if the Base Model Year is 2001, then the RRF developed from 2001 modeling data will be applied to all valid monitoring data in the 5-year period surrounding the model year.</w:t>
      </w:r>
    </w:p>
    <w:p>
      <w:pPr>
        <w:pStyle w:val="42"/>
        <w:numPr>
          <w:ilvl w:val="0"/>
          <w:numId w:val="32"/>
        </w:numPr>
        <w:ind w:firstLineChars="0"/>
        <w:rPr>
          <w:lang w:eastAsia="en-US"/>
        </w:rPr>
      </w:pPr>
      <w:r>
        <w:rPr>
          <w:b/>
          <w:bCs/>
          <w:i/>
          <w:lang w:eastAsia="en-US"/>
        </w:rPr>
        <w:t>Convert ug/m</w:t>
      </w:r>
      <w:r>
        <w:rPr>
          <w:b/>
          <w:bCs/>
          <w:i/>
          <w:vertAlign w:val="superscript"/>
          <w:lang w:eastAsia="en-US"/>
        </w:rPr>
        <w:t>3</w:t>
      </w:r>
      <w:r>
        <w:rPr>
          <w:b/>
          <w:bCs/>
          <w:i/>
          <w:sz w:val="12"/>
          <w:szCs w:val="12"/>
          <w:lang w:eastAsia="en-US"/>
        </w:rPr>
        <w:t xml:space="preserve"> </w:t>
      </w:r>
      <w:r>
        <w:rPr>
          <w:b/>
          <w:bCs/>
          <w:i/>
          <w:lang w:eastAsia="en-US"/>
        </w:rPr>
        <w:t>values to daily extinction values and sum to get total extinction</w:t>
      </w:r>
      <w:r>
        <w:rPr>
          <w:b/>
          <w:bCs/>
          <w:lang w:eastAsia="en-US"/>
        </w:rPr>
        <w:t>.</w:t>
      </w:r>
      <w:r>
        <w:rPr>
          <w:lang w:eastAsia="en-US"/>
        </w:rPr>
        <w:t xml:space="preserve"> For each day in each valid monitor year (for both the baseline and forecast), use either the new or old IMPROVE equation to estimate daily total extinction (measured in Mm</w:t>
      </w:r>
      <w:r>
        <w:rPr>
          <w:vertAlign w:val="superscript"/>
          <w:lang w:eastAsia="en-US"/>
        </w:rPr>
        <w:t>-1</w:t>
      </w:r>
      <w:r>
        <w:rPr>
          <w:lang w:eastAsia="en-US"/>
        </w:rPr>
        <w:t>). After this calculation, there will be a set of total extinction values for B20 and W20 days in each valid year for both the baseline and the forecast.</w:t>
      </w:r>
    </w:p>
    <w:p>
      <w:pPr>
        <w:pStyle w:val="42"/>
        <w:numPr>
          <w:ilvl w:val="0"/>
          <w:numId w:val="32"/>
        </w:numPr>
        <w:ind w:firstLineChars="0"/>
        <w:rPr>
          <w:lang w:eastAsia="en-US"/>
        </w:rPr>
      </w:pPr>
      <w:r>
        <w:rPr>
          <w:b/>
          <w:bCs/>
          <w:i/>
          <w:lang w:eastAsia="en-US"/>
        </w:rPr>
        <w:t>Convert extinction to deciviews</w:t>
      </w:r>
      <w:r>
        <w:rPr>
          <w:b/>
          <w:bCs/>
          <w:lang w:eastAsia="en-US"/>
        </w:rPr>
        <w:t xml:space="preserve">. </w:t>
      </w:r>
      <w:r>
        <w:rPr>
          <w:lang w:eastAsia="en-US"/>
        </w:rPr>
        <w:t>For each valid year in both the baseline and forecast, convert the B20 and W20 daily averages from Mm</w:t>
      </w:r>
      <w:r>
        <w:rPr>
          <w:vertAlign w:val="superscript"/>
          <w:lang w:eastAsia="en-US"/>
        </w:rPr>
        <w:t>-1</w:t>
      </w:r>
      <w:r>
        <w:rPr>
          <w:lang w:eastAsia="en-US"/>
        </w:rPr>
        <w:t xml:space="preserve"> to deciviews. The formula for this conversion is as follows: </w:t>
      </w:r>
    </w:p>
    <w:p>
      <w:pPr>
        <w:pStyle w:val="42"/>
        <w:ind w:left="780" w:firstLine="0" w:firstLineChars="0"/>
        <w:rPr>
          <w:lang w:eastAsia="en-US"/>
        </w:rPr>
      </w:pPr>
      <w:r>
        <w:rPr>
          <w:lang w:eastAsia="en-US"/>
        </w:rPr>
        <w:t>Deciviews = 10*ln(extinction/10)</w:t>
      </w:r>
    </w:p>
    <w:p>
      <w:pPr>
        <w:pStyle w:val="42"/>
        <w:numPr>
          <w:ilvl w:val="0"/>
          <w:numId w:val="33"/>
        </w:numPr>
        <w:ind w:firstLineChars="0"/>
      </w:pPr>
      <w:r>
        <w:rPr>
          <w:b/>
          <w:bCs/>
          <w:i/>
          <w:lang w:eastAsia="en-US"/>
        </w:rPr>
        <w:t>Average daily B20 days and W20 days</w:t>
      </w:r>
      <w:r>
        <w:rPr>
          <w:b/>
          <w:bCs/>
          <w:lang w:eastAsia="en-US"/>
        </w:rPr>
        <w:t>.</w:t>
      </w:r>
      <w:r>
        <w:rPr>
          <w:lang w:eastAsia="en-US"/>
        </w:rPr>
        <w:t xml:space="preserve"> For each valid year, average the daily deciview</w:t>
      </w:r>
      <w:r>
        <w:t xml:space="preserve"> values from the B20 visibility days and calculate the same average for the W20 visibility days. There will be up to five “best” averages and “worst” total visibility measures (measured in deciviews) for both the baseline and the forecast.</w:t>
      </w:r>
    </w:p>
    <w:p>
      <w:pPr>
        <w:pStyle w:val="42"/>
        <w:numPr>
          <w:ilvl w:val="0"/>
          <w:numId w:val="33"/>
        </w:numPr>
        <w:ind w:firstLineChars="0"/>
      </w:pPr>
      <w:r>
        <w:rPr>
          <w:b/>
          <w:bCs/>
          <w:i/>
        </w:rPr>
        <w:t>Calculate final average</w:t>
      </w:r>
      <w:r>
        <w:rPr>
          <w:b/>
          <w:bCs/>
        </w:rPr>
        <w:t>.</w:t>
      </w:r>
      <w:r>
        <w:t xml:space="preserve"> Average the valid B20 and W20 yearly visibility measures. The final result will be a single “best” value and a single “worst” deciview estimate at each Class I Area for both the baseline and forecast.</w:t>
      </w:r>
    </w:p>
    <w:p>
      <w:pPr>
        <w:pStyle w:val="4"/>
      </w:pPr>
      <w:r>
        <w:rPr>
          <w:lang w:eastAsia="en-US"/>
        </w:rPr>
        <w:t xml:space="preserve">"Use new version" of the IMPROVE </w:t>
      </w:r>
      <w:r>
        <w:rPr>
          <w:rFonts w:hint="eastAsia"/>
        </w:rPr>
        <w:t>Algorithm</w:t>
      </w:r>
      <w:r>
        <w:t>:</w:t>
      </w:r>
    </w:p>
    <w:p>
      <w:r>
        <w:t xml:space="preserve">The </w:t>
      </w:r>
      <w:r>
        <w:rPr>
          <w:lang w:eastAsia="en-US"/>
        </w:rPr>
        <w:t xml:space="preserve">"Use new version" of the IMPROVE </w:t>
      </w:r>
      <w:r>
        <w:t>a</w:t>
      </w:r>
      <w:r>
        <w:rPr>
          <w:rFonts w:hint="eastAsia"/>
        </w:rPr>
        <w:t>lgorithm</w:t>
      </w:r>
      <w:r>
        <w:t xml:space="preserve"> has a number of additional terms, in relation to the Old IMPROVE equation. In particular, it considers the different effects of small and large sulfate, nitrate, and organic carbon particles. A separate equation defining small and large is given below:</w:t>
      </w:r>
    </w:p>
    <w:p>
      <w:pPr>
        <w:widowControl/>
        <w:autoSpaceDE w:val="0"/>
        <w:autoSpaceDN w:val="0"/>
        <w:adjustRightInd w:val="0"/>
        <w:spacing w:line="240" w:lineRule="auto"/>
        <w:jc w:val="left"/>
        <w:rPr>
          <w:rFonts w:cs="Times New Roman"/>
          <w:kern w:val="0"/>
          <w:szCs w:val="24"/>
        </w:rPr>
      </w:pPr>
      <w:r>
        <w:rPr>
          <w:rFonts w:cs="Times New Roman"/>
          <w:kern w:val="0"/>
          <w:szCs w:val="24"/>
        </w:rPr>
        <w:t>bext = 2.2*f</w:t>
      </w:r>
      <w:r>
        <w:rPr>
          <w:rFonts w:cs="Times New Roman"/>
          <w:kern w:val="0"/>
          <w:sz w:val="16"/>
          <w:szCs w:val="16"/>
        </w:rPr>
        <w:t>s</w:t>
      </w:r>
      <w:r>
        <w:rPr>
          <w:rFonts w:cs="Times New Roman"/>
          <w:kern w:val="0"/>
          <w:szCs w:val="24"/>
        </w:rPr>
        <w:t>(RH)*[SMALL_AMM_SO4] + 4.8*f</w:t>
      </w:r>
      <w:r>
        <w:rPr>
          <w:rFonts w:cs="Times New Roman"/>
          <w:kern w:val="0"/>
          <w:sz w:val="16"/>
          <w:szCs w:val="16"/>
        </w:rPr>
        <w:t>l</w:t>
      </w:r>
      <w:r>
        <w:rPr>
          <w:rFonts w:cs="Times New Roman"/>
          <w:kern w:val="0"/>
          <w:szCs w:val="24"/>
        </w:rPr>
        <w:t>(RH)*[LARGE_AMM_SO4]</w:t>
      </w:r>
    </w:p>
    <w:p>
      <w:pPr>
        <w:widowControl/>
        <w:autoSpaceDE w:val="0"/>
        <w:autoSpaceDN w:val="0"/>
        <w:adjustRightInd w:val="0"/>
        <w:spacing w:line="240" w:lineRule="auto"/>
        <w:jc w:val="left"/>
        <w:rPr>
          <w:rFonts w:cs="Times New Roman"/>
          <w:kern w:val="0"/>
          <w:szCs w:val="24"/>
        </w:rPr>
      </w:pPr>
      <w:r>
        <w:rPr>
          <w:rFonts w:cs="Times New Roman"/>
          <w:kern w:val="0"/>
          <w:szCs w:val="24"/>
        </w:rPr>
        <w:t>+ 2.4*f</w:t>
      </w:r>
      <w:r>
        <w:rPr>
          <w:rFonts w:cs="Times New Roman"/>
          <w:kern w:val="0"/>
          <w:sz w:val="16"/>
          <w:szCs w:val="16"/>
        </w:rPr>
        <w:t>s</w:t>
      </w:r>
      <w:r>
        <w:rPr>
          <w:rFonts w:cs="Times New Roman"/>
          <w:kern w:val="0"/>
          <w:szCs w:val="24"/>
        </w:rPr>
        <w:t>(RH)*[SMALL_AMM_NO3] + 5.1*f</w:t>
      </w:r>
      <w:r>
        <w:rPr>
          <w:rFonts w:cs="Times New Roman"/>
          <w:kern w:val="0"/>
          <w:sz w:val="16"/>
          <w:szCs w:val="16"/>
        </w:rPr>
        <w:t>l</w:t>
      </w:r>
      <w:r>
        <w:rPr>
          <w:rFonts w:cs="Times New Roman"/>
          <w:kern w:val="0"/>
          <w:szCs w:val="24"/>
        </w:rPr>
        <w:t>(RH)*[LARGE_AMM_NO3]</w:t>
      </w:r>
    </w:p>
    <w:p>
      <w:pPr>
        <w:widowControl/>
        <w:autoSpaceDE w:val="0"/>
        <w:autoSpaceDN w:val="0"/>
        <w:adjustRightInd w:val="0"/>
        <w:spacing w:line="240" w:lineRule="auto"/>
        <w:jc w:val="left"/>
        <w:rPr>
          <w:rFonts w:cs="Times New Roman"/>
          <w:kern w:val="0"/>
          <w:szCs w:val="24"/>
        </w:rPr>
      </w:pPr>
      <w:r>
        <w:rPr>
          <w:rFonts w:cs="Times New Roman"/>
          <w:kern w:val="0"/>
          <w:szCs w:val="24"/>
        </w:rPr>
        <w:t>+ 2.8*[SMALL_OMC] + 6.1*[LARGE_OMC]</w:t>
      </w:r>
    </w:p>
    <w:p>
      <w:pPr>
        <w:widowControl/>
        <w:autoSpaceDE w:val="0"/>
        <w:autoSpaceDN w:val="0"/>
        <w:adjustRightInd w:val="0"/>
        <w:spacing w:line="240" w:lineRule="auto"/>
        <w:jc w:val="left"/>
        <w:rPr>
          <w:rFonts w:cs="Times New Roman"/>
          <w:kern w:val="0"/>
          <w:szCs w:val="24"/>
        </w:rPr>
      </w:pPr>
      <w:r>
        <w:rPr>
          <w:rFonts w:cs="Times New Roman"/>
          <w:kern w:val="0"/>
          <w:szCs w:val="24"/>
        </w:rPr>
        <w:t>+ 10*EC</w:t>
      </w:r>
    </w:p>
    <w:p>
      <w:pPr>
        <w:widowControl/>
        <w:autoSpaceDE w:val="0"/>
        <w:autoSpaceDN w:val="0"/>
        <w:adjustRightInd w:val="0"/>
        <w:spacing w:line="240" w:lineRule="auto"/>
        <w:jc w:val="left"/>
        <w:rPr>
          <w:rFonts w:cs="Times New Roman"/>
          <w:kern w:val="0"/>
          <w:szCs w:val="24"/>
        </w:rPr>
      </w:pPr>
      <w:r>
        <w:rPr>
          <w:rFonts w:cs="Times New Roman"/>
          <w:kern w:val="0"/>
          <w:szCs w:val="24"/>
        </w:rPr>
        <w:t>+ CRUSTAL</w:t>
      </w:r>
    </w:p>
    <w:p>
      <w:pPr>
        <w:widowControl/>
        <w:autoSpaceDE w:val="0"/>
        <w:autoSpaceDN w:val="0"/>
        <w:adjustRightInd w:val="0"/>
        <w:spacing w:line="240" w:lineRule="auto"/>
        <w:jc w:val="left"/>
        <w:rPr>
          <w:rFonts w:cs="Times New Roman"/>
          <w:kern w:val="0"/>
          <w:szCs w:val="24"/>
        </w:rPr>
      </w:pPr>
      <w:r>
        <w:rPr>
          <w:rFonts w:cs="Times New Roman"/>
          <w:kern w:val="0"/>
          <w:szCs w:val="24"/>
        </w:rPr>
        <w:t>+ 0.6*CM</w:t>
      </w:r>
    </w:p>
    <w:p>
      <w:pPr>
        <w:widowControl/>
        <w:autoSpaceDE w:val="0"/>
        <w:autoSpaceDN w:val="0"/>
        <w:adjustRightInd w:val="0"/>
        <w:spacing w:line="240" w:lineRule="auto"/>
        <w:jc w:val="left"/>
        <w:rPr>
          <w:rFonts w:cs="Times New Roman"/>
          <w:kern w:val="0"/>
          <w:szCs w:val="24"/>
        </w:rPr>
      </w:pPr>
      <w:r>
        <w:rPr>
          <w:rFonts w:cs="Times New Roman"/>
          <w:kern w:val="0"/>
          <w:szCs w:val="24"/>
        </w:rPr>
        <w:t>+ SS_RAYLEIGH</w:t>
      </w:r>
    </w:p>
    <w:p>
      <w:pPr>
        <w:widowControl/>
        <w:autoSpaceDE w:val="0"/>
        <w:autoSpaceDN w:val="0"/>
        <w:adjustRightInd w:val="0"/>
        <w:spacing w:line="240" w:lineRule="auto"/>
        <w:jc w:val="left"/>
        <w:rPr>
          <w:rFonts w:cs="Times New Roman"/>
          <w:kern w:val="0"/>
          <w:szCs w:val="24"/>
        </w:rPr>
      </w:pPr>
      <w:r>
        <w:rPr>
          <w:rFonts w:cs="Times New Roman"/>
          <w:kern w:val="0"/>
          <w:szCs w:val="24"/>
        </w:rPr>
        <w:t>+ 1.7*f</w:t>
      </w:r>
      <w:r>
        <w:rPr>
          <w:rFonts w:cs="Times New Roman"/>
          <w:kern w:val="0"/>
          <w:sz w:val="16"/>
          <w:szCs w:val="16"/>
        </w:rPr>
        <w:t>ss</w:t>
      </w:r>
      <w:r>
        <w:rPr>
          <w:rFonts w:cs="Times New Roman"/>
          <w:kern w:val="0"/>
          <w:szCs w:val="24"/>
        </w:rPr>
        <w:t>(RH)*SEA_SALT</w:t>
      </w:r>
    </w:p>
    <w:p>
      <w:pPr>
        <w:rPr>
          <w:rFonts w:cs="Times New Roman"/>
          <w:kern w:val="0"/>
          <w:szCs w:val="24"/>
        </w:rPr>
      </w:pPr>
      <w:r>
        <w:rPr>
          <w:rFonts w:cs="Times New Roman"/>
          <w:kern w:val="0"/>
          <w:szCs w:val="24"/>
        </w:rPr>
        <w:t>+ 0.33*NO2.</w:t>
      </w:r>
    </w:p>
    <w:p>
      <w:pPr>
        <w:widowControl/>
        <w:autoSpaceDE w:val="0"/>
        <w:autoSpaceDN w:val="0"/>
        <w:adjustRightInd w:val="0"/>
        <w:spacing w:line="240" w:lineRule="auto"/>
        <w:jc w:val="left"/>
        <w:rPr>
          <w:rFonts w:cs="Times New Roman"/>
          <w:kern w:val="0"/>
          <w:szCs w:val="24"/>
        </w:rPr>
      </w:pPr>
      <w:r>
        <w:rPr>
          <w:rFonts w:cs="Times New Roman"/>
          <w:kern w:val="0"/>
          <w:szCs w:val="24"/>
        </w:rPr>
        <w:t>where:</w:t>
      </w:r>
    </w:p>
    <w:p>
      <w:pPr>
        <w:widowControl/>
        <w:autoSpaceDE w:val="0"/>
        <w:autoSpaceDN w:val="0"/>
        <w:adjustRightInd w:val="0"/>
        <w:jc w:val="left"/>
        <w:rPr>
          <w:rFonts w:cs="Times New Roman"/>
          <w:kern w:val="0"/>
          <w:szCs w:val="24"/>
        </w:rPr>
      </w:pPr>
      <w:r>
        <w:rPr>
          <w:rFonts w:cs="Times New Roman"/>
          <w:kern w:val="0"/>
          <w:szCs w:val="24"/>
        </w:rPr>
        <w:t>bext = total extinction (measured in inverse megameters)</w:t>
      </w:r>
    </w:p>
    <w:p>
      <w:pPr>
        <w:widowControl/>
        <w:autoSpaceDE w:val="0"/>
        <w:autoSpaceDN w:val="0"/>
        <w:adjustRightInd w:val="0"/>
        <w:jc w:val="left"/>
        <w:rPr>
          <w:rFonts w:cs="Times New Roman"/>
          <w:kern w:val="0"/>
          <w:szCs w:val="24"/>
        </w:rPr>
      </w:pPr>
      <w:r>
        <w:rPr>
          <w:rFonts w:cs="Times New Roman"/>
          <w:kern w:val="0"/>
          <w:szCs w:val="24"/>
        </w:rPr>
        <w:t>f</w:t>
      </w:r>
      <w:r>
        <w:rPr>
          <w:rFonts w:cs="Times New Roman"/>
          <w:kern w:val="0"/>
          <w:sz w:val="16"/>
          <w:szCs w:val="16"/>
        </w:rPr>
        <w:t>s</w:t>
      </w:r>
      <w:r>
        <w:rPr>
          <w:rFonts w:cs="Times New Roman"/>
          <w:kern w:val="0"/>
          <w:szCs w:val="24"/>
        </w:rPr>
        <w:t>(RH) = term to account for enhancement of light scattering due to hydroscopic growth of small ammonium nitrate and ammonium sulfate (unitless)</w:t>
      </w:r>
    </w:p>
    <w:p>
      <w:pPr>
        <w:widowControl/>
        <w:autoSpaceDE w:val="0"/>
        <w:autoSpaceDN w:val="0"/>
        <w:adjustRightInd w:val="0"/>
        <w:jc w:val="left"/>
        <w:rPr>
          <w:rFonts w:cs="Times New Roman"/>
          <w:kern w:val="0"/>
          <w:szCs w:val="24"/>
        </w:rPr>
      </w:pPr>
      <w:r>
        <w:rPr>
          <w:rFonts w:cs="Times New Roman"/>
          <w:kern w:val="0"/>
          <w:szCs w:val="24"/>
        </w:rPr>
        <w:t>f</w:t>
      </w:r>
      <w:r>
        <w:rPr>
          <w:rFonts w:cs="Times New Roman"/>
          <w:kern w:val="0"/>
          <w:sz w:val="16"/>
          <w:szCs w:val="16"/>
        </w:rPr>
        <w:t>l</w:t>
      </w:r>
      <w:r>
        <w:rPr>
          <w:rFonts w:cs="Times New Roman"/>
          <w:kern w:val="0"/>
          <w:szCs w:val="24"/>
        </w:rPr>
        <w:t>(RH) = term to account for enhancement of light scattering due to hydroscopic growth of large ammonium nitrate and ammonium sulfate (unitless)</w:t>
      </w:r>
    </w:p>
    <w:p>
      <w:pPr>
        <w:rPr>
          <w:rFonts w:cs="Times New Roman"/>
          <w:kern w:val="0"/>
          <w:szCs w:val="24"/>
        </w:rPr>
      </w:pPr>
      <w:r>
        <w:rPr>
          <w:rFonts w:cs="Times New Roman"/>
          <w:kern w:val="0"/>
          <w:szCs w:val="24"/>
        </w:rPr>
        <w:t>SMALL_AMM_SO4 = small ammonium sulfate (ug/m</w:t>
      </w:r>
      <w:r>
        <w:rPr>
          <w:rFonts w:cs="Times New Roman"/>
          <w:kern w:val="0"/>
          <w:sz w:val="16"/>
          <w:szCs w:val="16"/>
        </w:rPr>
        <w:t>3</w:t>
      </w:r>
      <w:r>
        <w:rPr>
          <w:rFonts w:cs="Times New Roman"/>
          <w:kern w:val="0"/>
          <w:szCs w:val="24"/>
        </w:rPr>
        <w:t>)</w:t>
      </w:r>
    </w:p>
    <w:p>
      <w:pPr>
        <w:widowControl/>
        <w:autoSpaceDE w:val="0"/>
        <w:autoSpaceDN w:val="0"/>
        <w:adjustRightInd w:val="0"/>
        <w:jc w:val="left"/>
        <w:rPr>
          <w:rFonts w:cs="Times New Roman"/>
          <w:kern w:val="0"/>
          <w:szCs w:val="24"/>
        </w:rPr>
      </w:pPr>
      <w:r>
        <w:rPr>
          <w:rFonts w:cs="Times New Roman"/>
          <w:kern w:val="0"/>
          <w:szCs w:val="24"/>
        </w:rPr>
        <w:t>LARGE_AMM_SO4 = large ammonium sulfate (ug/m</w:t>
      </w:r>
      <w:r>
        <w:rPr>
          <w:rFonts w:cs="Times New Roman"/>
          <w:kern w:val="0"/>
          <w:sz w:val="16"/>
          <w:szCs w:val="16"/>
        </w:rPr>
        <w:t>3</w:t>
      </w:r>
      <w:r>
        <w:rPr>
          <w:rFonts w:cs="Times New Roman"/>
          <w:kern w:val="0"/>
          <w:szCs w:val="24"/>
        </w:rPr>
        <w:t>)</w:t>
      </w:r>
    </w:p>
    <w:p>
      <w:pPr>
        <w:widowControl/>
        <w:autoSpaceDE w:val="0"/>
        <w:autoSpaceDN w:val="0"/>
        <w:adjustRightInd w:val="0"/>
        <w:jc w:val="left"/>
        <w:rPr>
          <w:rFonts w:cs="Times New Roman"/>
          <w:kern w:val="0"/>
          <w:szCs w:val="24"/>
        </w:rPr>
      </w:pPr>
      <w:r>
        <w:rPr>
          <w:rFonts w:cs="Times New Roman"/>
          <w:kern w:val="0"/>
          <w:szCs w:val="24"/>
        </w:rPr>
        <w:t>SMALL_AMM_NO3 = small ammonium nitrate (ug/m</w:t>
      </w:r>
      <w:r>
        <w:rPr>
          <w:rFonts w:cs="Times New Roman"/>
          <w:kern w:val="0"/>
          <w:sz w:val="16"/>
          <w:szCs w:val="16"/>
        </w:rPr>
        <w:t>3</w:t>
      </w:r>
      <w:r>
        <w:rPr>
          <w:rFonts w:cs="Times New Roman"/>
          <w:kern w:val="0"/>
          <w:szCs w:val="24"/>
        </w:rPr>
        <w:t>)</w:t>
      </w:r>
    </w:p>
    <w:p>
      <w:pPr>
        <w:widowControl/>
        <w:autoSpaceDE w:val="0"/>
        <w:autoSpaceDN w:val="0"/>
        <w:adjustRightInd w:val="0"/>
        <w:jc w:val="left"/>
        <w:rPr>
          <w:rFonts w:cs="Times New Roman"/>
          <w:kern w:val="0"/>
          <w:szCs w:val="24"/>
        </w:rPr>
      </w:pPr>
      <w:r>
        <w:rPr>
          <w:rFonts w:cs="Times New Roman"/>
          <w:kern w:val="0"/>
          <w:szCs w:val="24"/>
        </w:rPr>
        <w:t>LARGE_AMM_NO3 = large ammonium nitrate (ug/m</w:t>
      </w:r>
      <w:r>
        <w:rPr>
          <w:rFonts w:cs="Times New Roman"/>
          <w:kern w:val="0"/>
          <w:sz w:val="16"/>
          <w:szCs w:val="16"/>
        </w:rPr>
        <w:t>3</w:t>
      </w:r>
      <w:r>
        <w:rPr>
          <w:rFonts w:cs="Times New Roman"/>
          <w:kern w:val="0"/>
          <w:szCs w:val="24"/>
        </w:rPr>
        <w:t>)</w:t>
      </w:r>
    </w:p>
    <w:p>
      <w:pPr>
        <w:widowControl/>
        <w:autoSpaceDE w:val="0"/>
        <w:autoSpaceDN w:val="0"/>
        <w:adjustRightInd w:val="0"/>
        <w:jc w:val="left"/>
        <w:rPr>
          <w:rFonts w:cs="Times New Roman"/>
          <w:kern w:val="0"/>
          <w:szCs w:val="24"/>
        </w:rPr>
      </w:pPr>
      <w:r>
        <w:rPr>
          <w:rFonts w:cs="Times New Roman"/>
          <w:kern w:val="0"/>
          <w:szCs w:val="24"/>
        </w:rPr>
        <w:t>SMALL_OMC = small organic carbon mass (ug/m</w:t>
      </w:r>
      <w:r>
        <w:rPr>
          <w:rFonts w:cs="Times New Roman"/>
          <w:kern w:val="0"/>
          <w:sz w:val="16"/>
          <w:szCs w:val="16"/>
        </w:rPr>
        <w:t>3</w:t>
      </w:r>
      <w:r>
        <w:rPr>
          <w:rFonts w:cs="Times New Roman"/>
          <w:kern w:val="0"/>
          <w:szCs w:val="24"/>
        </w:rPr>
        <w:t>) (OC*1.8)</w:t>
      </w:r>
    </w:p>
    <w:p>
      <w:pPr>
        <w:widowControl/>
        <w:autoSpaceDE w:val="0"/>
        <w:autoSpaceDN w:val="0"/>
        <w:adjustRightInd w:val="0"/>
        <w:jc w:val="left"/>
        <w:rPr>
          <w:rFonts w:cs="Times New Roman"/>
          <w:kern w:val="0"/>
          <w:szCs w:val="24"/>
        </w:rPr>
      </w:pPr>
      <w:r>
        <w:rPr>
          <w:rFonts w:cs="Times New Roman"/>
          <w:kern w:val="0"/>
          <w:szCs w:val="24"/>
        </w:rPr>
        <w:t>LARGE_OMC = large organic carbon mass (ug/m</w:t>
      </w:r>
      <w:r>
        <w:rPr>
          <w:rFonts w:cs="Times New Roman"/>
          <w:kern w:val="0"/>
          <w:sz w:val="16"/>
          <w:szCs w:val="16"/>
        </w:rPr>
        <w:t>3</w:t>
      </w:r>
      <w:r>
        <w:rPr>
          <w:rFonts w:cs="Times New Roman"/>
          <w:kern w:val="0"/>
          <w:szCs w:val="24"/>
        </w:rPr>
        <w:t>) (OC*1.8)</w:t>
      </w:r>
    </w:p>
    <w:p>
      <w:pPr>
        <w:widowControl/>
        <w:autoSpaceDE w:val="0"/>
        <w:autoSpaceDN w:val="0"/>
        <w:adjustRightInd w:val="0"/>
        <w:jc w:val="left"/>
        <w:rPr>
          <w:rFonts w:cs="Times New Roman"/>
          <w:kern w:val="0"/>
          <w:szCs w:val="24"/>
        </w:rPr>
      </w:pPr>
      <w:r>
        <w:rPr>
          <w:rFonts w:cs="Times New Roman"/>
          <w:kern w:val="0"/>
          <w:szCs w:val="24"/>
        </w:rPr>
        <w:t>EC = elemental carbon (ug/m</w:t>
      </w:r>
      <w:r>
        <w:rPr>
          <w:rFonts w:cs="Times New Roman"/>
          <w:kern w:val="0"/>
          <w:sz w:val="16"/>
          <w:szCs w:val="16"/>
        </w:rPr>
        <w:t>3</w:t>
      </w:r>
      <w:r>
        <w:rPr>
          <w:rFonts w:cs="Times New Roman"/>
          <w:kern w:val="0"/>
          <w:szCs w:val="24"/>
        </w:rPr>
        <w:t>)</w:t>
      </w:r>
    </w:p>
    <w:p>
      <w:pPr>
        <w:widowControl/>
        <w:autoSpaceDE w:val="0"/>
        <w:autoSpaceDN w:val="0"/>
        <w:adjustRightInd w:val="0"/>
        <w:jc w:val="left"/>
        <w:rPr>
          <w:rFonts w:cs="Times New Roman"/>
          <w:kern w:val="0"/>
          <w:szCs w:val="24"/>
        </w:rPr>
      </w:pPr>
      <w:r>
        <w:rPr>
          <w:rFonts w:cs="Times New Roman"/>
          <w:kern w:val="0"/>
          <w:szCs w:val="24"/>
        </w:rPr>
        <w:t>CRUSTAL = fine soil (ug/m</w:t>
      </w:r>
      <w:r>
        <w:rPr>
          <w:rFonts w:cs="Times New Roman"/>
          <w:kern w:val="0"/>
          <w:sz w:val="16"/>
          <w:szCs w:val="16"/>
        </w:rPr>
        <w:t>3</w:t>
      </w:r>
      <w:r>
        <w:rPr>
          <w:rFonts w:cs="Times New Roman"/>
          <w:kern w:val="0"/>
          <w:szCs w:val="24"/>
        </w:rPr>
        <w:t>)</w:t>
      </w:r>
    </w:p>
    <w:p>
      <w:pPr>
        <w:widowControl/>
        <w:autoSpaceDE w:val="0"/>
        <w:autoSpaceDN w:val="0"/>
        <w:adjustRightInd w:val="0"/>
        <w:jc w:val="left"/>
        <w:rPr>
          <w:rFonts w:cs="Times New Roman"/>
          <w:kern w:val="0"/>
          <w:szCs w:val="24"/>
        </w:rPr>
      </w:pPr>
      <w:r>
        <w:rPr>
          <w:rFonts w:cs="Times New Roman"/>
          <w:kern w:val="0"/>
          <w:szCs w:val="24"/>
        </w:rPr>
        <w:t>CM = coarse particulate matter (ug/m</w:t>
      </w:r>
      <w:r>
        <w:rPr>
          <w:rFonts w:cs="Times New Roman"/>
          <w:kern w:val="0"/>
          <w:sz w:val="16"/>
          <w:szCs w:val="16"/>
        </w:rPr>
        <w:t>3</w:t>
      </w:r>
      <w:r>
        <w:rPr>
          <w:rFonts w:cs="Times New Roman"/>
          <w:kern w:val="0"/>
          <w:szCs w:val="24"/>
        </w:rPr>
        <w:t>)</w:t>
      </w:r>
    </w:p>
    <w:p>
      <w:pPr>
        <w:widowControl/>
        <w:autoSpaceDE w:val="0"/>
        <w:autoSpaceDN w:val="0"/>
        <w:adjustRightInd w:val="0"/>
        <w:jc w:val="left"/>
        <w:rPr>
          <w:rFonts w:cs="Times New Roman"/>
          <w:kern w:val="0"/>
          <w:szCs w:val="24"/>
        </w:rPr>
      </w:pPr>
      <w:r>
        <w:rPr>
          <w:rFonts w:cs="Times New Roman"/>
          <w:kern w:val="0"/>
          <w:szCs w:val="24"/>
        </w:rPr>
        <w:t>SS_RAYLEIGH = Site-specific Rayleigh scattering (inverse megameters)</w:t>
      </w:r>
    </w:p>
    <w:p>
      <w:pPr>
        <w:widowControl/>
        <w:autoSpaceDE w:val="0"/>
        <w:autoSpaceDN w:val="0"/>
        <w:adjustRightInd w:val="0"/>
        <w:jc w:val="left"/>
        <w:rPr>
          <w:rFonts w:cs="Times New Roman"/>
          <w:kern w:val="0"/>
          <w:szCs w:val="24"/>
        </w:rPr>
      </w:pPr>
      <w:r>
        <w:rPr>
          <w:rFonts w:cs="Times New Roman"/>
          <w:kern w:val="0"/>
          <w:szCs w:val="24"/>
        </w:rPr>
        <w:t>f</w:t>
      </w:r>
      <w:r>
        <w:rPr>
          <w:rFonts w:cs="Times New Roman"/>
          <w:kern w:val="0"/>
          <w:sz w:val="16"/>
          <w:szCs w:val="16"/>
        </w:rPr>
        <w:t>ss</w:t>
      </w:r>
      <w:r>
        <w:rPr>
          <w:rFonts w:cs="Times New Roman"/>
          <w:kern w:val="0"/>
          <w:szCs w:val="24"/>
        </w:rPr>
        <w:t>(RH) = term to account for enhancement of light scattering due to hydroscopic growth of sea salt (unitless)</w:t>
      </w:r>
    </w:p>
    <w:p>
      <w:pPr>
        <w:widowControl/>
        <w:autoSpaceDE w:val="0"/>
        <w:autoSpaceDN w:val="0"/>
        <w:adjustRightInd w:val="0"/>
        <w:jc w:val="left"/>
        <w:rPr>
          <w:rFonts w:cs="Times New Roman"/>
          <w:kern w:val="0"/>
          <w:szCs w:val="24"/>
        </w:rPr>
      </w:pPr>
      <w:r>
        <w:rPr>
          <w:rFonts w:cs="Times New Roman"/>
          <w:kern w:val="0"/>
          <w:szCs w:val="24"/>
        </w:rPr>
        <w:t>SEA_SALT = Sea salt (ug/m</w:t>
      </w:r>
      <w:r>
        <w:rPr>
          <w:rFonts w:cs="Times New Roman"/>
          <w:kern w:val="0"/>
          <w:sz w:val="16"/>
          <w:szCs w:val="16"/>
        </w:rPr>
        <w:t>3</w:t>
      </w:r>
      <w:r>
        <w:rPr>
          <w:rFonts w:cs="Times New Roman"/>
          <w:kern w:val="0"/>
          <w:szCs w:val="24"/>
        </w:rPr>
        <w:t>)</w:t>
      </w:r>
    </w:p>
    <w:p>
      <w:pPr>
        <w:widowControl/>
        <w:autoSpaceDE w:val="0"/>
        <w:autoSpaceDN w:val="0"/>
        <w:adjustRightInd w:val="0"/>
        <w:jc w:val="left"/>
        <w:rPr>
          <w:rFonts w:cs="Times New Roman"/>
          <w:kern w:val="0"/>
          <w:szCs w:val="24"/>
        </w:rPr>
      </w:pPr>
      <w:r>
        <w:rPr>
          <w:rFonts w:cs="Times New Roman"/>
          <w:kern w:val="0"/>
          <w:szCs w:val="24"/>
        </w:rPr>
        <w:t>NO2 = Nitrogen dioxide levels (parts per billion). This term is assumed to be zero.</w:t>
      </w:r>
    </w:p>
    <w:p>
      <w:pPr>
        <w:widowControl/>
        <w:autoSpaceDE w:val="0"/>
        <w:autoSpaceDN w:val="0"/>
        <w:adjustRightInd w:val="0"/>
        <w:jc w:val="left"/>
        <w:rPr>
          <w:rFonts w:cs="Times New Roman"/>
          <w:kern w:val="0"/>
          <w:szCs w:val="24"/>
        </w:rPr>
      </w:pPr>
      <w:r>
        <w:rPr>
          <w:rFonts w:cs="Times New Roman"/>
          <w:kern w:val="0"/>
          <w:szCs w:val="24"/>
        </w:rPr>
        <w:t>The apportionment of the total concentration of sulfate compounds into the concentrations of the small and large size fractions is accomplished using the following equations:</w:t>
      </w:r>
    </w:p>
    <w:p>
      <w:pPr>
        <w:widowControl/>
        <w:autoSpaceDE w:val="0"/>
        <w:autoSpaceDN w:val="0"/>
        <w:adjustRightInd w:val="0"/>
        <w:jc w:val="left"/>
        <w:rPr>
          <w:rFonts w:cs="Times New Roman"/>
          <w:kern w:val="0"/>
          <w:sz w:val="16"/>
          <w:szCs w:val="16"/>
        </w:rPr>
      </w:pPr>
      <w:r>
        <w:rPr>
          <w:rFonts w:cs="Times New Roman"/>
          <w:kern w:val="0"/>
          <w:szCs w:val="24"/>
        </w:rPr>
        <w:t>[Large Sulfate] = [Total Sulfate]/20ug/m</w:t>
      </w:r>
      <w:r>
        <w:rPr>
          <w:rFonts w:cs="Times New Roman"/>
          <w:kern w:val="0"/>
          <w:szCs w:val="24"/>
          <w:vertAlign w:val="superscript"/>
        </w:rPr>
        <w:t>3</w:t>
      </w:r>
      <w:r>
        <w:rPr>
          <w:rFonts w:cs="Times New Roman"/>
          <w:kern w:val="0"/>
          <w:sz w:val="16"/>
          <w:szCs w:val="16"/>
        </w:rPr>
        <w:t xml:space="preserve"> </w:t>
      </w:r>
      <w:r>
        <w:rPr>
          <w:rFonts w:cs="Times New Roman"/>
          <w:kern w:val="0"/>
          <w:szCs w:val="24"/>
        </w:rPr>
        <w:t>x [Total Sulfate], for [Total Sulfate] &lt; 20</w:t>
      </w:r>
    </w:p>
    <w:p>
      <w:pPr>
        <w:widowControl/>
        <w:autoSpaceDE w:val="0"/>
        <w:autoSpaceDN w:val="0"/>
        <w:adjustRightInd w:val="0"/>
        <w:jc w:val="left"/>
        <w:rPr>
          <w:rFonts w:cs="Times New Roman"/>
          <w:kern w:val="0"/>
          <w:sz w:val="16"/>
          <w:szCs w:val="16"/>
        </w:rPr>
      </w:pPr>
      <w:r>
        <w:rPr>
          <w:rFonts w:cs="Times New Roman"/>
          <w:kern w:val="0"/>
          <w:szCs w:val="24"/>
        </w:rPr>
        <w:t>ug/m</w:t>
      </w:r>
      <w:r>
        <w:rPr>
          <w:rFonts w:cs="Times New Roman"/>
          <w:kern w:val="0"/>
          <w:szCs w:val="24"/>
          <w:vertAlign w:val="superscript"/>
        </w:rPr>
        <w:t>3</w:t>
      </w:r>
    </w:p>
    <w:p>
      <w:pPr>
        <w:widowControl/>
        <w:autoSpaceDE w:val="0"/>
        <w:autoSpaceDN w:val="0"/>
        <w:adjustRightInd w:val="0"/>
        <w:jc w:val="left"/>
        <w:rPr>
          <w:rFonts w:cs="Times New Roman"/>
          <w:kern w:val="0"/>
          <w:sz w:val="16"/>
          <w:szCs w:val="16"/>
        </w:rPr>
      </w:pPr>
      <w:r>
        <w:rPr>
          <w:rFonts w:cs="Times New Roman"/>
          <w:kern w:val="0"/>
          <w:szCs w:val="24"/>
        </w:rPr>
        <w:t>[Large Sulfate] = [Total Sulfate], for [Total Sulfate] &gt;= 20 ug/m</w:t>
      </w:r>
      <w:r>
        <w:rPr>
          <w:rFonts w:cs="Times New Roman"/>
          <w:kern w:val="0"/>
          <w:szCs w:val="24"/>
          <w:vertAlign w:val="superscript"/>
        </w:rPr>
        <w:t>3</w:t>
      </w:r>
    </w:p>
    <w:p>
      <w:pPr>
        <w:widowControl/>
        <w:autoSpaceDE w:val="0"/>
        <w:autoSpaceDN w:val="0"/>
        <w:adjustRightInd w:val="0"/>
        <w:jc w:val="left"/>
        <w:rPr>
          <w:rFonts w:cs="Times New Roman"/>
          <w:kern w:val="0"/>
          <w:szCs w:val="24"/>
        </w:rPr>
      </w:pPr>
      <w:r>
        <w:rPr>
          <w:rFonts w:cs="Times New Roman"/>
          <w:kern w:val="0"/>
          <w:szCs w:val="24"/>
        </w:rPr>
        <w:t>[Small Sulfate] = [Total Sulfate] - [Large Sulfate]</w:t>
      </w:r>
    </w:p>
    <w:p>
      <w:pPr>
        <w:widowControl/>
        <w:autoSpaceDE w:val="0"/>
        <w:autoSpaceDN w:val="0"/>
        <w:adjustRightInd w:val="0"/>
        <w:jc w:val="left"/>
        <w:rPr>
          <w:rFonts w:cs="Times New Roman"/>
          <w:kern w:val="0"/>
          <w:szCs w:val="24"/>
        </w:rPr>
      </w:pPr>
      <w:r>
        <w:rPr>
          <w:rFonts w:cs="Times New Roman"/>
          <w:kern w:val="0"/>
          <w:szCs w:val="24"/>
        </w:rPr>
        <w:t>The same equations are used to apportion total nitrate and total organic mass concentrations into the small and large size fractions.</w:t>
      </w:r>
    </w:p>
    <w:p>
      <w:pPr>
        <w:widowControl/>
        <w:autoSpaceDE w:val="0"/>
        <w:autoSpaceDN w:val="0"/>
        <w:adjustRightInd w:val="0"/>
        <w:spacing w:line="240" w:lineRule="auto"/>
        <w:jc w:val="left"/>
        <w:rPr>
          <w:rFonts w:cs="Times New Roman"/>
          <w:kern w:val="0"/>
          <w:szCs w:val="24"/>
        </w:rPr>
      </w:pPr>
    </w:p>
    <w:p>
      <w:pPr>
        <w:widowControl/>
        <w:autoSpaceDE w:val="0"/>
        <w:autoSpaceDN w:val="0"/>
        <w:adjustRightInd w:val="0"/>
        <w:spacing w:line="240" w:lineRule="auto"/>
        <w:jc w:val="left"/>
        <w:rPr>
          <w:rFonts w:cs="Times New Roman"/>
          <w:b/>
          <w:bCs/>
          <w:kern w:val="0"/>
          <w:szCs w:val="24"/>
          <w:u w:val="single"/>
        </w:rPr>
      </w:pPr>
      <w:r>
        <w:rPr>
          <w:rFonts w:cs="Times New Roman"/>
          <w:b/>
          <w:bCs/>
          <w:kern w:val="0"/>
          <w:szCs w:val="24"/>
          <w:u w:val="single"/>
        </w:rPr>
        <w:t>Example Calculation New IMPROVE Algorithm</w:t>
      </w:r>
    </w:p>
    <w:p>
      <w:r>
        <w:rPr>
          <w:rFonts w:cs="Times New Roman"/>
          <w:kern w:val="0"/>
          <w:szCs w:val="24"/>
        </w:rPr>
        <w:t>The first column "bext" presents the calculated value given the following data.</w:t>
      </w:r>
    </w:p>
    <w:p>
      <w:r>
        <w:drawing>
          <wp:inline distT="0" distB="0" distL="0" distR="0">
            <wp:extent cx="5274310" cy="412305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7"/>
                    <a:stretch>
                      <a:fillRect/>
                    </a:stretch>
                  </pic:blipFill>
                  <pic:spPr>
                    <a:xfrm>
                      <a:off x="0" y="0"/>
                      <a:ext cx="5274310" cy="4123055"/>
                    </a:xfrm>
                    <a:prstGeom prst="rect">
                      <a:avLst/>
                    </a:prstGeom>
                  </pic:spPr>
                </pic:pic>
              </a:graphicData>
            </a:graphic>
          </wp:inline>
        </w:drawing>
      </w:r>
    </w:p>
    <w:p>
      <w:pPr>
        <w:pStyle w:val="12"/>
      </w:pPr>
      <w:bookmarkStart w:id="475" w:name="_Toc20513"/>
      <w:bookmarkStart w:id="476" w:name="_Toc10427"/>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9</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3</w:t>
      </w:r>
      <w:r>
        <w:rPr>
          <w:b w:val="0"/>
          <w:bCs/>
          <w:i/>
          <w:iCs/>
        </w:rPr>
        <w:fldChar w:fldCharType="end"/>
      </w:r>
      <w:bookmarkStart w:id="477" w:name="_Toc2203"/>
      <w:r>
        <w:rPr>
          <w:b w:val="0"/>
          <w:bCs/>
          <w:i/>
          <w:iCs/>
        </w:rPr>
        <w:t xml:space="preserve">. </w:t>
      </w:r>
      <w:r>
        <w:rPr>
          <w:rFonts w:hint="eastAsia"/>
          <w:b w:val="0"/>
          <w:bCs/>
          <w:i/>
          <w:iCs/>
        </w:rPr>
        <w:t>Calculation Data Example</w:t>
      </w:r>
      <w:bookmarkEnd w:id="475"/>
      <w:bookmarkEnd w:id="476"/>
      <w:bookmarkEnd w:id="477"/>
    </w:p>
    <w:p>
      <w:pPr>
        <w:rPr>
          <w:szCs w:val="24"/>
        </w:rPr>
      </w:pPr>
      <w:r>
        <w:t xml:space="preserve">Additional details of the visibility forecasting approach using by SMAT-CE, including the forms of the new and old IMPROVE equations, are available in the U.S. EPA </w:t>
      </w:r>
      <w:r>
        <w:rPr>
          <w:szCs w:val="24"/>
        </w:rPr>
        <w:t>Draft Modeling Guidance for</w:t>
      </w:r>
      <w:r>
        <w:t xml:space="preserve"> </w:t>
      </w:r>
      <w:r>
        <w:rPr>
          <w:szCs w:val="24"/>
        </w:rPr>
        <w:t>Attainment of Air Quality Goals for Ozone, PM</w:t>
      </w:r>
      <w:r>
        <w:rPr>
          <w:szCs w:val="24"/>
          <w:vertAlign w:val="subscript"/>
        </w:rPr>
        <w:t>2.5</w:t>
      </w:r>
      <w:r>
        <w:rPr>
          <w:szCs w:val="24"/>
        </w:rPr>
        <w:t>, and Regional Haze (U.S. EPA, 2014) and in Section 11.1.2 of the MATS User’s Manual (Abt, 2014).</w:t>
      </w:r>
    </w:p>
    <w:p>
      <w:pPr>
        <w:pStyle w:val="4"/>
      </w:pPr>
      <w:r>
        <w:t>Actions on Run Completion</w:t>
      </w:r>
    </w:p>
    <w:p>
      <w:r>
        <w:t xml:space="preserve">By checking </w:t>
      </w:r>
      <w:r>
        <w:rPr>
          <w:lang w:eastAsia="en-US"/>
        </w:rPr>
        <w:t xml:space="preserve">“Automatically Extract All Selected Output Files,” </w:t>
      </w:r>
      <w:r>
        <w:t>SMAT-CE will generate the following five output files:</w:t>
      </w:r>
    </w:p>
    <w:p>
      <w:pPr>
        <w:pStyle w:val="42"/>
        <w:numPr>
          <w:ilvl w:val="0"/>
          <w:numId w:val="34"/>
        </w:numPr>
        <w:ind w:firstLineChars="0"/>
      </w:pPr>
      <w:r>
        <w:rPr>
          <w:i/>
          <w:lang w:eastAsia="en-US"/>
        </w:rPr>
        <w:t>Visibility forecast (average of design values)</w:t>
      </w:r>
      <w:r>
        <w:rPr>
          <w:lang w:eastAsia="en-US"/>
        </w:rPr>
        <w:t xml:space="preserve">. (Up to) 5-year average of forecasted and base-year average visibility. When </w:t>
      </w:r>
      <w:r>
        <w:rPr>
          <w:b/>
          <w:lang w:eastAsia="en-US"/>
        </w:rPr>
        <w:t xml:space="preserve">Use model grid cells at monitor </w:t>
      </w:r>
      <w:r>
        <w:rPr>
          <w:lang w:eastAsia="en-US"/>
        </w:rPr>
        <w:t xml:space="preserve">is selected, the name of this output file is "Forecasted Visibility Data.csv" with the Scenario Name appended at the beginning. When </w:t>
      </w:r>
      <w:r>
        <w:rPr>
          <w:b/>
          <w:lang w:eastAsia="en-US"/>
        </w:rPr>
        <w:t>Use model grid cells at Class 1 area centroid</w:t>
      </w:r>
      <w:r>
        <w:rPr>
          <w:lang w:eastAsia="en-US"/>
        </w:rPr>
        <w:t xml:space="preserve"> is selected the name of this output file is "Forecasted Visibility Data for Class 1 Areas.csv" plus the Scenario Name.</w:t>
      </w:r>
    </w:p>
    <w:p>
      <w:pPr>
        <w:pStyle w:val="42"/>
        <w:numPr>
          <w:ilvl w:val="0"/>
          <w:numId w:val="34"/>
        </w:numPr>
        <w:ind w:firstLineChars="0"/>
      </w:pPr>
      <w:r>
        <w:rPr>
          <w:i/>
          <w:lang w:eastAsia="en-US"/>
        </w:rPr>
        <w:t>Visibility forecast (all design values)</w:t>
      </w:r>
      <w:r>
        <w:rPr>
          <w:lang w:eastAsia="en-US"/>
        </w:rPr>
        <w:t>. Forecasted and base-year values for individual years. The name of this file is "Forecasted Visibility – all design values.csv" plus the Scenario Name.</w:t>
      </w:r>
    </w:p>
    <w:p>
      <w:pPr>
        <w:pStyle w:val="42"/>
        <w:numPr>
          <w:ilvl w:val="0"/>
          <w:numId w:val="34"/>
        </w:numPr>
        <w:ind w:firstLineChars="0"/>
      </w:pPr>
      <w:r>
        <w:rPr>
          <w:i/>
          <w:lang w:eastAsia="en-US"/>
        </w:rPr>
        <w:t>Class I areas and the monitors</w:t>
      </w:r>
      <w:r>
        <w:rPr>
          <w:lang w:eastAsia="en-US"/>
        </w:rPr>
        <w:t>. The list of all of the Class I areas and the monitors assigned to each. The name of this file is "Class 1 Area and IMPROVE Monitor Identifiers and Locations.csv" plus the Scenario Name.</w:t>
      </w:r>
    </w:p>
    <w:p>
      <w:pPr>
        <w:pStyle w:val="42"/>
        <w:numPr>
          <w:ilvl w:val="0"/>
          <w:numId w:val="34"/>
        </w:numPr>
        <w:ind w:firstLineChars="0"/>
      </w:pPr>
      <w:r>
        <w:rPr>
          <w:i/>
          <w:lang w:eastAsia="en-US"/>
        </w:rPr>
        <w:t>Base-year model data</w:t>
      </w:r>
      <w:r>
        <w:rPr>
          <w:lang w:eastAsia="en-US"/>
        </w:rPr>
        <w:t xml:space="preserve">. The base year model values for PM species for the grid cells and days used in the RRF calculations. The name of this file is: "Used Model Grid Cells – Base Data.csv" plus the Scenario Name. </w:t>
      </w:r>
    </w:p>
    <w:p>
      <w:pPr>
        <w:pStyle w:val="42"/>
        <w:numPr>
          <w:ilvl w:val="0"/>
          <w:numId w:val="34"/>
        </w:numPr>
        <w:ind w:firstLineChars="0"/>
      </w:pPr>
      <w:r>
        <w:rPr>
          <w:i/>
          <w:lang w:eastAsia="en-US"/>
        </w:rPr>
        <w:t>Future-year model data</w:t>
      </w:r>
      <w:r>
        <w:rPr>
          <w:lang w:eastAsia="en-US"/>
        </w:rPr>
        <w:t xml:space="preserve">. This future year model values for PM species for the grid cells and days used in the RRF calculations. The name of this file is: "Used Model Grid Cells - Future Data.csv" plus the Scenario Name. </w:t>
      </w:r>
    </w:p>
    <w:p>
      <w:pPr>
        <w:pStyle w:val="4"/>
        <w:rPr>
          <w:u w:val="single"/>
        </w:rPr>
      </w:pPr>
      <w:r>
        <w:t>Visibility Output Variable Description</w:t>
      </w:r>
    </w:p>
    <w:p>
      <w:pPr>
        <w:pStyle w:val="5"/>
      </w:pPr>
      <w:r>
        <w:t>Forecasted Visibility Data.csv (</w:t>
      </w:r>
      <w:r>
        <w:rPr>
          <w:i/>
          <w:lang w:eastAsia="en-US"/>
        </w:rPr>
        <w:t>average of design values</w:t>
      </w:r>
      <w:r>
        <w:t>)</w:t>
      </w:r>
    </w:p>
    <w:p>
      <w:pPr>
        <w:widowControl/>
        <w:autoSpaceDE w:val="0"/>
        <w:autoSpaceDN w:val="0"/>
        <w:adjustRightInd w:val="0"/>
        <w:ind w:firstLine="420"/>
        <w:jc w:val="left"/>
        <w:rPr>
          <w:rFonts w:cs="Times New Roman"/>
          <w:color w:val="000000"/>
          <w:kern w:val="0"/>
          <w:szCs w:val="24"/>
        </w:rPr>
      </w:pPr>
      <w:r>
        <w:rPr>
          <w:rFonts w:cs="Times New Roman"/>
          <w:color w:val="000000"/>
          <w:kern w:val="0"/>
          <w:szCs w:val="24"/>
        </w:rPr>
        <w:t>The table below describes the variables in the output file.</w:t>
      </w:r>
      <w:r>
        <w:rPr>
          <w:bCs/>
        </w:rPr>
        <w:t xml:space="preserve"> The first row specifies the frequency of the data (e.g., Year). The second row presents comma-separated variable names. The third row begins the data values.</w:t>
      </w:r>
      <w:r>
        <w:rPr>
          <w:rFonts w:cs="Times New Roman"/>
          <w:color w:val="000000"/>
          <w:kern w:val="0"/>
          <w:szCs w:val="24"/>
        </w:rPr>
        <w:t xml:space="preserve"> Note that the output data includes a large number of variables, so in the sample output below we have divided the variables into two blocks. In a file actually generated by SMAT-CE, these two blocks would be combined. Note also that the variables output by SMAT-CE depend on whether you have </w:t>
      </w:r>
      <w:r>
        <w:rPr>
          <w:rFonts w:cs="Times New Roman"/>
          <w:kern w:val="0"/>
          <w:szCs w:val="24"/>
        </w:rPr>
        <w:t xml:space="preserve">specified using model data at the monitor </w:t>
      </w:r>
      <w:r>
        <w:rPr>
          <w:rFonts w:cs="Times New Roman"/>
          <w:color w:val="000000"/>
          <w:kern w:val="0"/>
          <w:szCs w:val="24"/>
        </w:rPr>
        <w:t>or model data at the center of the Class I Area. This is detailed in the description table below.</w:t>
      </w:r>
    </w:p>
    <w:p>
      <w:pPr>
        <w:pStyle w:val="12"/>
      </w:pPr>
      <w:bookmarkStart w:id="478" w:name="_Toc27116"/>
      <w:bookmarkStart w:id="479" w:name="_Toc23558"/>
      <w:r>
        <w:rPr>
          <w:b w:val="0"/>
          <w:bCs/>
          <w:i/>
          <w:iCs/>
        </w:rPr>
        <w:t xml:space="preserve">Table </w:t>
      </w:r>
      <w:r>
        <w:rPr>
          <w:b w:val="0"/>
          <w:bCs/>
          <w:i/>
          <w:iCs/>
        </w:rPr>
        <w:fldChar w:fldCharType="begin"/>
      </w:r>
      <w:r>
        <w:rPr>
          <w:b w:val="0"/>
          <w:bCs/>
          <w:i/>
          <w:iCs/>
        </w:rPr>
        <w:instrText xml:space="preserve"> STYLEREF 1 \s </w:instrText>
      </w:r>
      <w:r>
        <w:rPr>
          <w:b w:val="0"/>
          <w:bCs/>
          <w:i/>
          <w:iCs/>
        </w:rPr>
        <w:fldChar w:fldCharType="separate"/>
      </w:r>
      <w:r>
        <w:rPr>
          <w:b w:val="0"/>
          <w:bCs/>
          <w:i/>
          <w:iCs/>
        </w:rPr>
        <w:t>9</w:t>
      </w:r>
      <w:r>
        <w:rPr>
          <w:b w:val="0"/>
          <w:bCs/>
          <w:i/>
          <w:iCs/>
        </w:rPr>
        <w:fldChar w:fldCharType="end"/>
      </w:r>
      <w:r>
        <w:rPr>
          <w:rFonts w:hint="eastAsia"/>
          <w:b w:val="0"/>
          <w:bCs/>
          <w:i/>
          <w:iCs/>
        </w:rPr>
        <w:t>-</w:t>
      </w:r>
      <w:r>
        <w:rPr>
          <w:b w:val="0"/>
          <w:bCs/>
          <w:i/>
          <w:iCs/>
        </w:rPr>
        <w:fldChar w:fldCharType="begin"/>
      </w:r>
      <w:r>
        <w:rPr>
          <w:b w:val="0"/>
          <w:bCs/>
          <w:i/>
          <w:iCs/>
        </w:rPr>
        <w:instrText xml:space="preserve"> SEQ Table \* ARABIC \s 1 </w:instrText>
      </w:r>
      <w:r>
        <w:rPr>
          <w:b w:val="0"/>
          <w:bCs/>
          <w:i/>
          <w:iCs/>
        </w:rPr>
        <w:fldChar w:fldCharType="separate"/>
      </w:r>
      <w:r>
        <w:rPr>
          <w:b w:val="0"/>
          <w:bCs/>
          <w:i/>
          <w:iCs/>
        </w:rPr>
        <w:t>1</w:t>
      </w:r>
      <w:r>
        <w:rPr>
          <w:b w:val="0"/>
          <w:bCs/>
          <w:i/>
          <w:iCs/>
        </w:rPr>
        <w:fldChar w:fldCharType="end"/>
      </w:r>
      <w:r>
        <w:rPr>
          <w:rFonts w:hint="eastAsia"/>
          <w:b w:val="0"/>
          <w:bCs/>
          <w:i/>
          <w:iCs/>
        </w:rPr>
        <w:t xml:space="preserve"> Variables and descriptions for Forecasted Visibility Data file</w:t>
      </w:r>
      <w:bookmarkEnd w:id="478"/>
      <w:bookmarkEnd w:id="479"/>
    </w:p>
    <w:tbl>
      <w:tblPr>
        <w:tblStyle w:val="30"/>
        <w:tblW w:w="0" w:type="auto"/>
        <w:tblInd w:w="-23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64"/>
        <w:gridCol w:w="6688"/>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tcPr>
          <w:p>
            <w:pPr>
              <w:spacing w:line="240" w:lineRule="auto"/>
              <w:ind w:left="225"/>
              <w:rPr>
                <w:rFonts w:cs="Times New Roman"/>
                <w:b/>
                <w:bCs/>
              </w:rPr>
            </w:pPr>
            <w:r>
              <w:rPr>
                <w:rFonts w:cs="Times New Roman"/>
                <w:b/>
                <w:bCs/>
              </w:rPr>
              <w:t>Var Name</w:t>
            </w:r>
          </w:p>
        </w:tc>
        <w:tc>
          <w:tcPr>
            <w:tcW w:w="0" w:type="auto"/>
          </w:tcPr>
          <w:p>
            <w:pPr>
              <w:spacing w:line="240" w:lineRule="auto"/>
              <w:ind w:left="225"/>
              <w:rPr>
                <w:rFonts w:cs="Times New Roman"/>
                <w:b/>
                <w:bCs/>
              </w:rPr>
            </w:pPr>
            <w:r>
              <w:rPr>
                <w:rFonts w:cs="Times New Roman"/>
                <w:b/>
                <w:bCs/>
              </w:rPr>
              <w:t>Description</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vAlign w:val="center"/>
          </w:tcPr>
          <w:p>
            <w:pPr>
              <w:spacing w:line="240" w:lineRule="auto"/>
              <w:ind w:left="225"/>
              <w:jc w:val="left"/>
              <w:rPr>
                <w:rFonts w:cs="Times New Roman"/>
                <w:b/>
                <w:bCs/>
                <w:sz w:val="20"/>
                <w:szCs w:val="20"/>
              </w:rPr>
            </w:pPr>
            <w:r>
              <w:rPr>
                <w:rFonts w:cs="Times New Roman"/>
                <w:color w:val="000000"/>
                <w:sz w:val="20"/>
                <w:szCs w:val="20"/>
              </w:rPr>
              <w:t>site_id</w:t>
            </w:r>
          </w:p>
        </w:tc>
        <w:tc>
          <w:tcPr>
            <w:tcW w:w="0" w:type="auto"/>
          </w:tcPr>
          <w:p>
            <w:pPr>
              <w:spacing w:line="240" w:lineRule="auto"/>
              <w:ind w:left="225"/>
              <w:rPr>
                <w:rFonts w:cs="Times New Roman"/>
                <w:sz w:val="20"/>
                <w:szCs w:val="20"/>
              </w:rPr>
            </w:pPr>
            <w:r>
              <w:rPr>
                <w:rFonts w:cs="Times New Roman"/>
                <w:sz w:val="20"/>
                <w:szCs w:val="20"/>
              </w:rPr>
              <w:t>IMPROVE monitor identification code (text)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0" w:type="auto"/>
            <w:vAlign w:val="center"/>
          </w:tcPr>
          <w:p>
            <w:pPr>
              <w:spacing w:line="240" w:lineRule="auto"/>
              <w:ind w:left="225"/>
              <w:jc w:val="left"/>
              <w:rPr>
                <w:rFonts w:cs="Times New Roman"/>
                <w:b/>
                <w:bCs/>
                <w:sz w:val="20"/>
                <w:szCs w:val="20"/>
              </w:rPr>
            </w:pPr>
            <w:r>
              <w:rPr>
                <w:rFonts w:cs="Times New Roman"/>
                <w:color w:val="000000"/>
                <w:sz w:val="20"/>
                <w:szCs w:val="20"/>
              </w:rPr>
              <w:t>type</w:t>
            </w:r>
          </w:p>
        </w:tc>
        <w:tc>
          <w:tcPr>
            <w:tcW w:w="0" w:type="auto"/>
          </w:tcPr>
          <w:p>
            <w:pPr>
              <w:spacing w:line="240" w:lineRule="auto"/>
              <w:ind w:left="225"/>
              <w:rPr>
                <w:rFonts w:cs="Times New Roman"/>
                <w:sz w:val="20"/>
                <w:szCs w:val="20"/>
              </w:rPr>
            </w:pPr>
            <w:r>
              <w:rPr>
                <w:rFonts w:cs="Times New Roman"/>
                <w:sz w:val="20"/>
                <w:szCs w:val="20"/>
              </w:rPr>
              <w:t>Leave blank</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0" w:type="auto"/>
            <w:vAlign w:val="center"/>
          </w:tcPr>
          <w:p>
            <w:pPr>
              <w:spacing w:line="240" w:lineRule="auto"/>
              <w:ind w:left="225"/>
              <w:jc w:val="left"/>
              <w:rPr>
                <w:rFonts w:cs="Times New Roman"/>
                <w:b/>
                <w:bCs/>
                <w:sz w:val="20"/>
                <w:szCs w:val="20"/>
              </w:rPr>
            </w:pPr>
            <w:r>
              <w:rPr>
                <w:rFonts w:cs="Times New Roman"/>
                <w:color w:val="000000"/>
                <w:sz w:val="20"/>
                <w:szCs w:val="20"/>
              </w:rPr>
              <w:t>date</w:t>
            </w:r>
          </w:p>
        </w:tc>
        <w:tc>
          <w:tcPr>
            <w:tcW w:w="0" w:type="auto"/>
          </w:tcPr>
          <w:p>
            <w:pPr>
              <w:spacing w:line="240" w:lineRule="auto"/>
              <w:ind w:left="225"/>
              <w:rPr>
                <w:rFonts w:cs="Times New Roman"/>
                <w:sz w:val="20"/>
                <w:szCs w:val="20"/>
              </w:rPr>
            </w:pPr>
            <w:r>
              <w:rPr>
                <w:rFonts w:cs="Times New Roman"/>
                <w:sz w:val="20"/>
                <w:szCs w:val="20"/>
              </w:rPr>
              <w:t>Meteorological modeling year (used to identify the 20% best and worst</w:t>
            </w:r>
          </w:p>
          <w:p>
            <w:pPr>
              <w:spacing w:line="240" w:lineRule="auto"/>
              <w:ind w:left="225"/>
              <w:rPr>
                <w:rFonts w:cs="Times New Roman"/>
                <w:sz w:val="20"/>
                <w:szCs w:val="20"/>
              </w:rPr>
            </w:pPr>
            <w:r>
              <w:rPr>
                <w:rFonts w:cs="Times New Roman"/>
                <w:sz w:val="20"/>
                <w:szCs w:val="20"/>
              </w:rPr>
              <w:t xml:space="preserve">days from the ambient data)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0" w:type="auto"/>
            <w:vAlign w:val="center"/>
          </w:tcPr>
          <w:p>
            <w:pPr>
              <w:spacing w:line="240" w:lineRule="auto"/>
              <w:ind w:left="225"/>
              <w:jc w:val="left"/>
              <w:rPr>
                <w:rFonts w:cs="Times New Roman"/>
                <w:b/>
                <w:bCs/>
                <w:sz w:val="20"/>
                <w:szCs w:val="20"/>
              </w:rPr>
            </w:pPr>
            <w:r>
              <w:rPr>
                <w:rFonts w:cs="Times New Roman"/>
                <w:color w:val="000000"/>
                <w:sz w:val="20"/>
                <w:szCs w:val="20"/>
              </w:rPr>
              <w:t>monitor_gridcell</w:t>
            </w:r>
          </w:p>
        </w:tc>
        <w:tc>
          <w:tcPr>
            <w:tcW w:w="0" w:type="auto"/>
          </w:tcPr>
          <w:p>
            <w:pPr>
              <w:spacing w:line="240" w:lineRule="auto"/>
              <w:ind w:left="225"/>
              <w:rPr>
                <w:rFonts w:cs="Times New Roman"/>
                <w:sz w:val="20"/>
                <w:szCs w:val="20"/>
              </w:rPr>
            </w:pPr>
            <w:r>
              <w:rPr>
                <w:rFonts w:cs="Times New Roman"/>
                <w:sz w:val="20"/>
                <w:szCs w:val="20"/>
              </w:rPr>
              <w:t>Identifier for grid cell closest to monitor. (This variable only appears if you specified the Use model grid cell at monitor option.)</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0" w:type="auto"/>
            <w:shd w:val="clear" w:color="auto" w:fill="D8D8D8" w:themeFill="background1" w:themeFillShade="D9"/>
            <w:vAlign w:val="center"/>
          </w:tcPr>
          <w:p>
            <w:pPr>
              <w:spacing w:line="240" w:lineRule="auto"/>
              <w:ind w:left="225"/>
              <w:jc w:val="left"/>
              <w:rPr>
                <w:rFonts w:cs="Times New Roman"/>
                <w:color w:val="000000"/>
                <w:sz w:val="20"/>
                <w:szCs w:val="20"/>
              </w:rPr>
            </w:pPr>
            <w:r>
              <w:rPr>
                <w:rFonts w:cs="Times New Roman"/>
                <w:color w:val="000000"/>
                <w:sz w:val="20"/>
                <w:szCs w:val="20"/>
              </w:rPr>
              <w:t>class_i_gridcell</w:t>
            </w:r>
          </w:p>
        </w:tc>
        <w:tc>
          <w:tcPr>
            <w:tcW w:w="0" w:type="auto"/>
            <w:shd w:val="clear" w:color="auto" w:fill="D8D8D8" w:themeFill="background1" w:themeFillShade="D9"/>
          </w:tcPr>
          <w:p>
            <w:pPr>
              <w:spacing w:line="240" w:lineRule="auto"/>
              <w:ind w:left="225"/>
              <w:rPr>
                <w:rFonts w:cs="Times New Roman"/>
                <w:sz w:val="20"/>
                <w:szCs w:val="20"/>
              </w:rPr>
            </w:pPr>
            <w:r>
              <w:rPr>
                <w:rFonts w:cs="Times New Roman"/>
                <w:sz w:val="20"/>
                <w:szCs w:val="20"/>
              </w:rPr>
              <w:t>Identifier for grid cell closest to Class 1 area. (This variable only appears if you specified the Use model grid cell at Class 1 area centroid option.)</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Align w:val="center"/>
          </w:tcPr>
          <w:p>
            <w:pPr>
              <w:spacing w:line="240" w:lineRule="auto"/>
              <w:ind w:left="225"/>
              <w:jc w:val="left"/>
              <w:rPr>
                <w:rFonts w:cs="Times New Roman"/>
                <w:b/>
                <w:bCs/>
                <w:sz w:val="20"/>
                <w:szCs w:val="20"/>
              </w:rPr>
            </w:pPr>
            <w:r>
              <w:rPr>
                <w:rFonts w:cs="Times New Roman"/>
                <w:color w:val="000000"/>
                <w:sz w:val="20"/>
                <w:szCs w:val="20"/>
              </w:rPr>
              <w:t>gridcell_lat</w:t>
            </w:r>
          </w:p>
        </w:tc>
        <w:tc>
          <w:tcPr>
            <w:tcW w:w="0" w:type="auto"/>
          </w:tcPr>
          <w:p>
            <w:pPr>
              <w:spacing w:line="240" w:lineRule="auto"/>
              <w:ind w:left="225"/>
              <w:rPr>
                <w:rFonts w:cs="Times New Roman"/>
                <w:sz w:val="20"/>
                <w:szCs w:val="20"/>
              </w:rPr>
            </w:pPr>
            <w:r>
              <w:rPr>
                <w:rFonts w:cs="Times New Roman"/>
                <w:sz w:val="20"/>
                <w:szCs w:val="20"/>
              </w:rPr>
              <w:t>Centroid latitude in decimal degrees of grid cell used in calculation. Values in the northern hemisphere are positive, and those in the southern hemisphere are negative.</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0" w:type="auto"/>
            <w:vAlign w:val="center"/>
          </w:tcPr>
          <w:p>
            <w:pPr>
              <w:spacing w:line="240" w:lineRule="auto"/>
              <w:ind w:left="225"/>
              <w:jc w:val="left"/>
              <w:rPr>
                <w:rFonts w:cs="Times New Roman"/>
                <w:b/>
                <w:bCs/>
                <w:sz w:val="20"/>
                <w:szCs w:val="20"/>
              </w:rPr>
            </w:pPr>
            <w:r>
              <w:rPr>
                <w:rFonts w:cs="Times New Roman"/>
                <w:color w:val="000000"/>
                <w:sz w:val="20"/>
                <w:szCs w:val="20"/>
              </w:rPr>
              <w:t>gridcell_long</w:t>
            </w:r>
          </w:p>
        </w:tc>
        <w:tc>
          <w:tcPr>
            <w:tcW w:w="0" w:type="auto"/>
          </w:tcPr>
          <w:p>
            <w:pPr>
              <w:spacing w:line="240" w:lineRule="auto"/>
              <w:ind w:left="225"/>
              <w:rPr>
                <w:rFonts w:cs="Times New Roman"/>
                <w:sz w:val="20"/>
                <w:szCs w:val="20"/>
              </w:rPr>
            </w:pPr>
            <w:r>
              <w:rPr>
                <w:rFonts w:cs="Times New Roman"/>
                <w:sz w:val="20"/>
                <w:szCs w:val="20"/>
              </w:rPr>
              <w:t>Centroid longitude in decimal degrees of grid cell used in calculation. Values in the eastern hemisphere are positive, and those in the western hemisphere (e.g., United States) are negative.</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0" w:type="auto"/>
            <w:vAlign w:val="center"/>
          </w:tcPr>
          <w:p>
            <w:pPr>
              <w:spacing w:line="240" w:lineRule="auto"/>
              <w:ind w:left="225"/>
              <w:jc w:val="left"/>
              <w:rPr>
                <w:rFonts w:cs="Times New Roman"/>
                <w:b/>
                <w:bCs/>
                <w:sz w:val="20"/>
                <w:szCs w:val="20"/>
              </w:rPr>
            </w:pPr>
            <w:r>
              <w:rPr>
                <w:rFonts w:cs="Times New Roman"/>
                <w:color w:val="000000"/>
                <w:sz w:val="20"/>
                <w:szCs w:val="20"/>
              </w:rPr>
              <w:t>monitor_lat</w:t>
            </w:r>
          </w:p>
        </w:tc>
        <w:tc>
          <w:tcPr>
            <w:tcW w:w="0" w:type="auto"/>
          </w:tcPr>
          <w:p>
            <w:pPr>
              <w:spacing w:line="240" w:lineRule="auto"/>
              <w:ind w:left="225"/>
              <w:rPr>
                <w:rFonts w:cs="Times New Roman"/>
                <w:sz w:val="20"/>
                <w:szCs w:val="20"/>
              </w:rPr>
            </w:pPr>
            <w:r>
              <w:rPr>
                <w:rFonts w:cs="Times New Roman"/>
                <w:sz w:val="20"/>
                <w:szCs w:val="20"/>
              </w:rPr>
              <w:t>Monitor latitude. (This variable only appears if you specified the Use model grid cell at monitor option.)</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center"/>
          </w:tcPr>
          <w:p>
            <w:pPr>
              <w:spacing w:line="240" w:lineRule="auto"/>
              <w:ind w:left="225"/>
              <w:jc w:val="left"/>
              <w:rPr>
                <w:rFonts w:cs="Times New Roman"/>
                <w:b/>
                <w:bCs/>
                <w:sz w:val="20"/>
                <w:szCs w:val="20"/>
              </w:rPr>
            </w:pPr>
            <w:r>
              <w:rPr>
                <w:rFonts w:cs="Times New Roman"/>
                <w:color w:val="000000"/>
                <w:sz w:val="20"/>
                <w:szCs w:val="20"/>
              </w:rPr>
              <w:t>monitor_long</w:t>
            </w:r>
          </w:p>
        </w:tc>
        <w:tc>
          <w:tcPr>
            <w:tcW w:w="0" w:type="auto"/>
          </w:tcPr>
          <w:p>
            <w:pPr>
              <w:spacing w:line="240" w:lineRule="auto"/>
              <w:ind w:left="225"/>
              <w:rPr>
                <w:rFonts w:cs="Times New Roman"/>
                <w:sz w:val="20"/>
                <w:szCs w:val="20"/>
              </w:rPr>
            </w:pPr>
            <w:r>
              <w:rPr>
                <w:rFonts w:cs="Times New Roman"/>
                <w:sz w:val="20"/>
                <w:szCs w:val="20"/>
              </w:rPr>
              <w:t>Monitor longitude. (This variable only appears if you specified the Use model grid cell at monitor option.)</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shd w:val="clear" w:color="auto" w:fill="D8D8D8" w:themeFill="background1" w:themeFillShade="D9"/>
            <w:vAlign w:val="center"/>
          </w:tcPr>
          <w:p>
            <w:pPr>
              <w:spacing w:line="240" w:lineRule="auto"/>
              <w:ind w:left="225"/>
              <w:jc w:val="left"/>
              <w:rPr>
                <w:rFonts w:cs="Times New Roman"/>
                <w:color w:val="000000"/>
                <w:sz w:val="20"/>
                <w:szCs w:val="20"/>
              </w:rPr>
            </w:pPr>
            <w:r>
              <w:rPr>
                <w:rFonts w:cs="Times New Roman"/>
                <w:kern w:val="0"/>
                <w:sz w:val="20"/>
                <w:szCs w:val="20"/>
              </w:rPr>
              <w:t>class_i_lat</w:t>
            </w:r>
          </w:p>
        </w:tc>
        <w:tc>
          <w:tcPr>
            <w:tcW w:w="0" w:type="auto"/>
            <w:shd w:val="clear" w:color="auto" w:fill="D8D8D8" w:themeFill="background1" w:themeFillShade="D9"/>
          </w:tcPr>
          <w:p>
            <w:pPr>
              <w:widowControl/>
              <w:autoSpaceDE w:val="0"/>
              <w:autoSpaceDN w:val="0"/>
              <w:adjustRightInd w:val="0"/>
              <w:spacing w:line="240" w:lineRule="auto"/>
              <w:jc w:val="left"/>
              <w:rPr>
                <w:rFonts w:cs="Times New Roman"/>
                <w:sz w:val="20"/>
                <w:szCs w:val="20"/>
              </w:rPr>
            </w:pPr>
            <w:r>
              <w:rPr>
                <w:rFonts w:cs="Times New Roman"/>
                <w:kern w:val="0"/>
                <w:sz w:val="20"/>
                <w:szCs w:val="20"/>
              </w:rPr>
              <w:t xml:space="preserve">Class 1 area centroid latitude. (This variable only appears if you specified the </w:t>
            </w:r>
            <w:r>
              <w:rPr>
                <w:rFonts w:cs="Times New Roman"/>
                <w:b/>
                <w:bCs/>
                <w:kern w:val="0"/>
                <w:sz w:val="20"/>
                <w:szCs w:val="20"/>
              </w:rPr>
              <w:t xml:space="preserve">Use model grid cell at Class 1 area centroid </w:t>
            </w:r>
            <w:r>
              <w:rPr>
                <w:rFonts w:cs="Times New Roman"/>
                <w:kern w:val="0"/>
                <w:sz w:val="20"/>
                <w:szCs w:val="20"/>
              </w:rPr>
              <w:t>option.)</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shd w:val="clear" w:color="auto" w:fill="D8D8D8" w:themeFill="background1" w:themeFillShade="D9"/>
            <w:vAlign w:val="center"/>
          </w:tcPr>
          <w:p>
            <w:pPr>
              <w:spacing w:line="240" w:lineRule="auto"/>
              <w:ind w:left="225"/>
              <w:jc w:val="left"/>
              <w:rPr>
                <w:rFonts w:cs="Times New Roman"/>
                <w:color w:val="000000"/>
                <w:sz w:val="20"/>
                <w:szCs w:val="20"/>
              </w:rPr>
            </w:pPr>
            <w:r>
              <w:rPr>
                <w:rFonts w:cs="Times New Roman"/>
                <w:kern w:val="0"/>
                <w:sz w:val="20"/>
                <w:szCs w:val="20"/>
              </w:rPr>
              <w:t>class_i_long</w:t>
            </w:r>
          </w:p>
        </w:tc>
        <w:tc>
          <w:tcPr>
            <w:tcW w:w="0" w:type="auto"/>
            <w:shd w:val="clear" w:color="auto" w:fill="D8D8D8" w:themeFill="background1" w:themeFillShade="D9"/>
          </w:tcPr>
          <w:p>
            <w:pPr>
              <w:widowControl/>
              <w:autoSpaceDE w:val="0"/>
              <w:autoSpaceDN w:val="0"/>
              <w:adjustRightInd w:val="0"/>
              <w:spacing w:line="240" w:lineRule="auto"/>
              <w:jc w:val="left"/>
              <w:rPr>
                <w:rFonts w:cs="Times New Roman"/>
                <w:kern w:val="0"/>
                <w:sz w:val="20"/>
                <w:szCs w:val="20"/>
              </w:rPr>
            </w:pPr>
            <w:r>
              <w:rPr>
                <w:rFonts w:cs="Times New Roman"/>
                <w:kern w:val="0"/>
                <w:sz w:val="20"/>
                <w:szCs w:val="20"/>
              </w:rPr>
              <w:t>Class 1 area centroid longitude. (This variable only appears if you</w:t>
            </w:r>
          </w:p>
          <w:p>
            <w:pPr>
              <w:spacing w:line="240" w:lineRule="auto"/>
              <w:rPr>
                <w:rFonts w:cs="Times New Roman"/>
                <w:sz w:val="20"/>
                <w:szCs w:val="20"/>
              </w:rPr>
            </w:pPr>
            <w:r>
              <w:rPr>
                <w:rFonts w:cs="Times New Roman"/>
                <w:kern w:val="0"/>
                <w:sz w:val="20"/>
                <w:szCs w:val="20"/>
              </w:rPr>
              <w:t xml:space="preserve">specified the </w:t>
            </w:r>
            <w:r>
              <w:rPr>
                <w:rFonts w:cs="Times New Roman"/>
                <w:b/>
                <w:bCs/>
                <w:kern w:val="0"/>
                <w:sz w:val="20"/>
                <w:szCs w:val="20"/>
              </w:rPr>
              <w:t xml:space="preserve">Use model grid cell at Class 1 area centroid </w:t>
            </w:r>
            <w:r>
              <w:rPr>
                <w:rFonts w:cs="Times New Roman"/>
                <w:kern w:val="0"/>
                <w:sz w:val="20"/>
                <w:szCs w:val="20"/>
              </w:rPr>
              <w:t>option.)</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center"/>
          </w:tcPr>
          <w:p>
            <w:pPr>
              <w:spacing w:line="240" w:lineRule="auto"/>
              <w:ind w:left="225"/>
              <w:jc w:val="left"/>
              <w:rPr>
                <w:rFonts w:cs="Times New Roman"/>
                <w:color w:val="000000"/>
                <w:sz w:val="20"/>
                <w:szCs w:val="20"/>
              </w:rPr>
            </w:pPr>
            <w:r>
              <w:rPr>
                <w:rFonts w:cs="Times New Roman"/>
                <w:color w:val="000000"/>
                <w:sz w:val="20"/>
                <w:szCs w:val="20"/>
              </w:rPr>
              <w:t>dv_best_b</w:t>
            </w:r>
          </w:p>
        </w:tc>
        <w:tc>
          <w:tcPr>
            <w:tcW w:w="0" w:type="auto"/>
          </w:tcPr>
          <w:p>
            <w:pPr>
              <w:spacing w:line="240" w:lineRule="auto"/>
              <w:ind w:left="225"/>
              <w:rPr>
                <w:rFonts w:cs="Times New Roman"/>
                <w:sz w:val="20"/>
                <w:szCs w:val="20"/>
              </w:rPr>
            </w:pPr>
            <w:r>
              <w:rPr>
                <w:rFonts w:cs="Times New Roman"/>
                <w:sz w:val="20"/>
                <w:szCs w:val="20"/>
              </w:rPr>
              <w:t>Base-year best visibility [up to 5-year average] (in deciviews)</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center"/>
          </w:tcPr>
          <w:p>
            <w:pPr>
              <w:spacing w:line="240" w:lineRule="auto"/>
              <w:ind w:left="225"/>
              <w:jc w:val="left"/>
              <w:rPr>
                <w:rFonts w:cs="Times New Roman"/>
                <w:color w:val="000000"/>
                <w:sz w:val="20"/>
                <w:szCs w:val="20"/>
              </w:rPr>
            </w:pPr>
            <w:r>
              <w:rPr>
                <w:rFonts w:cs="Times New Roman"/>
                <w:color w:val="000000"/>
                <w:sz w:val="20"/>
                <w:szCs w:val="20"/>
              </w:rPr>
              <w:t>dv_best_f</w:t>
            </w:r>
          </w:p>
        </w:tc>
        <w:tc>
          <w:tcPr>
            <w:tcW w:w="0" w:type="auto"/>
          </w:tcPr>
          <w:p>
            <w:pPr>
              <w:spacing w:line="240" w:lineRule="auto"/>
              <w:ind w:left="225"/>
              <w:rPr>
                <w:rFonts w:cs="Times New Roman"/>
                <w:sz w:val="20"/>
                <w:szCs w:val="20"/>
              </w:rPr>
            </w:pPr>
            <w:r>
              <w:rPr>
                <w:rFonts w:cs="Times New Roman"/>
                <w:sz w:val="20"/>
                <w:szCs w:val="20"/>
              </w:rPr>
              <w:t>Forecasted (future-year) best visibility [up to 5-year average](in deciviews)</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dv_worst_b</w:t>
            </w:r>
          </w:p>
        </w:tc>
        <w:tc>
          <w:tcPr>
            <w:tcW w:w="0" w:type="auto"/>
          </w:tcPr>
          <w:p>
            <w:pPr>
              <w:spacing w:line="240" w:lineRule="auto"/>
              <w:ind w:left="225"/>
              <w:rPr>
                <w:rFonts w:cs="Times New Roman"/>
                <w:sz w:val="20"/>
                <w:szCs w:val="20"/>
              </w:rPr>
            </w:pPr>
            <w:r>
              <w:rPr>
                <w:rFonts w:cs="Times New Roman"/>
                <w:sz w:val="20"/>
                <w:szCs w:val="20"/>
              </w:rPr>
              <w:t>Base-year worst visibility [up to 5-year average] (in deciviews)</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dv_worst_f</w:t>
            </w:r>
          </w:p>
        </w:tc>
        <w:tc>
          <w:tcPr>
            <w:tcW w:w="0" w:type="auto"/>
          </w:tcPr>
          <w:p>
            <w:pPr>
              <w:spacing w:line="240" w:lineRule="auto"/>
              <w:ind w:left="225"/>
              <w:rPr>
                <w:rFonts w:cs="Times New Roman"/>
                <w:sz w:val="20"/>
                <w:szCs w:val="20"/>
              </w:rPr>
            </w:pPr>
            <w:r>
              <w:rPr>
                <w:rFonts w:cs="Times New Roman"/>
                <w:sz w:val="20"/>
                <w:szCs w:val="20"/>
              </w:rPr>
              <w:t>Forecasted (future-year) worst visibility [up to 5-year average] (in deciviews)</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amm_so4_g10_b</w:t>
            </w:r>
          </w:p>
        </w:tc>
        <w:tc>
          <w:tcPr>
            <w:tcW w:w="0" w:type="auto"/>
          </w:tcPr>
          <w:p>
            <w:pPr>
              <w:spacing w:line="240" w:lineRule="auto"/>
              <w:ind w:left="225"/>
              <w:rPr>
                <w:rFonts w:cs="Times New Roman"/>
                <w:sz w:val="20"/>
                <w:szCs w:val="20"/>
              </w:rPr>
            </w:pPr>
            <w:r>
              <w:rPr>
                <w:rFonts w:cs="Times New Roman"/>
                <w:sz w:val="20"/>
                <w:szCs w:val="20"/>
              </w:rPr>
              <w:t xml:space="preserve">Base-year total ammonium sulfate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s_amm_so4_g10_b</w:t>
            </w:r>
          </w:p>
        </w:tc>
        <w:tc>
          <w:tcPr>
            <w:tcW w:w="0" w:type="auto"/>
          </w:tcPr>
          <w:p>
            <w:pPr>
              <w:spacing w:line="240" w:lineRule="auto"/>
              <w:ind w:left="225"/>
              <w:rPr>
                <w:rFonts w:cs="Times New Roman"/>
                <w:sz w:val="20"/>
                <w:szCs w:val="20"/>
              </w:rPr>
            </w:pPr>
            <w:r>
              <w:rPr>
                <w:rFonts w:cs="Times New Roman"/>
                <w:sz w:val="20"/>
                <w:szCs w:val="20"/>
              </w:rPr>
              <w:t xml:space="preserve">Base-year small ammonium sulfate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l_amm_so4_g10_b</w:t>
            </w:r>
          </w:p>
        </w:tc>
        <w:tc>
          <w:tcPr>
            <w:tcW w:w="0" w:type="auto"/>
          </w:tcPr>
          <w:p>
            <w:pPr>
              <w:spacing w:line="240" w:lineRule="auto"/>
              <w:ind w:left="225"/>
              <w:rPr>
                <w:rFonts w:cs="Times New Roman"/>
                <w:sz w:val="20"/>
                <w:szCs w:val="20"/>
              </w:rPr>
            </w:pPr>
            <w:r>
              <w:rPr>
                <w:rFonts w:cs="Times New Roman"/>
                <w:sz w:val="20"/>
                <w:szCs w:val="20"/>
              </w:rPr>
              <w:t xml:space="preserve">Base-year large ammonium sulfate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amm_no3_g10_b</w:t>
            </w:r>
          </w:p>
        </w:tc>
        <w:tc>
          <w:tcPr>
            <w:tcW w:w="0" w:type="auto"/>
          </w:tcPr>
          <w:p>
            <w:pPr>
              <w:spacing w:line="240" w:lineRule="auto"/>
              <w:ind w:left="225"/>
              <w:rPr>
                <w:rFonts w:cs="Times New Roman"/>
                <w:sz w:val="20"/>
                <w:szCs w:val="20"/>
              </w:rPr>
            </w:pPr>
            <w:r>
              <w:rPr>
                <w:rFonts w:cs="Times New Roman"/>
                <w:sz w:val="20"/>
                <w:szCs w:val="20"/>
              </w:rPr>
              <w:t xml:space="preserve">Base-year total ammonium nitrate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s_amm_no3_g10_b</w:t>
            </w:r>
          </w:p>
        </w:tc>
        <w:tc>
          <w:tcPr>
            <w:tcW w:w="0" w:type="auto"/>
          </w:tcPr>
          <w:p>
            <w:pPr>
              <w:spacing w:line="240" w:lineRule="auto"/>
              <w:ind w:left="225"/>
              <w:rPr>
                <w:rFonts w:cs="Times New Roman"/>
                <w:sz w:val="20"/>
                <w:szCs w:val="20"/>
              </w:rPr>
            </w:pPr>
            <w:r>
              <w:rPr>
                <w:rFonts w:cs="Times New Roman"/>
                <w:sz w:val="20"/>
                <w:szCs w:val="20"/>
              </w:rPr>
              <w:t xml:space="preserve">Base-year small ammonium nitrate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l_amm_no3_g10_b</w:t>
            </w:r>
          </w:p>
        </w:tc>
        <w:tc>
          <w:tcPr>
            <w:tcW w:w="0" w:type="auto"/>
          </w:tcPr>
          <w:p>
            <w:pPr>
              <w:spacing w:line="240" w:lineRule="auto"/>
              <w:ind w:left="225"/>
              <w:rPr>
                <w:rFonts w:cs="Times New Roman"/>
                <w:sz w:val="20"/>
                <w:szCs w:val="20"/>
              </w:rPr>
            </w:pPr>
            <w:r>
              <w:rPr>
                <w:rFonts w:cs="Times New Roman"/>
                <w:sz w:val="20"/>
                <w:szCs w:val="20"/>
              </w:rPr>
              <w:t xml:space="preserve">Base-year large ammonium nitrate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omc_g10_b</w:t>
            </w:r>
          </w:p>
        </w:tc>
        <w:tc>
          <w:tcPr>
            <w:tcW w:w="0" w:type="auto"/>
          </w:tcPr>
          <w:p>
            <w:pPr>
              <w:spacing w:line="240" w:lineRule="auto"/>
              <w:ind w:left="225"/>
              <w:rPr>
                <w:rFonts w:cs="Times New Roman"/>
                <w:sz w:val="20"/>
                <w:szCs w:val="20"/>
              </w:rPr>
            </w:pPr>
            <w:r>
              <w:rPr>
                <w:rFonts w:cs="Times New Roman"/>
                <w:sz w:val="20"/>
                <w:szCs w:val="20"/>
              </w:rPr>
              <w:t xml:space="preserve">Base-year total organic mass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s_omc_g10_b</w:t>
            </w:r>
          </w:p>
        </w:tc>
        <w:tc>
          <w:tcPr>
            <w:tcW w:w="0" w:type="auto"/>
          </w:tcPr>
          <w:p>
            <w:pPr>
              <w:spacing w:line="240" w:lineRule="auto"/>
              <w:ind w:left="225"/>
              <w:rPr>
                <w:rFonts w:cs="Times New Roman"/>
                <w:sz w:val="20"/>
                <w:szCs w:val="20"/>
              </w:rPr>
            </w:pPr>
            <w:r>
              <w:rPr>
                <w:rFonts w:cs="Times New Roman"/>
                <w:sz w:val="20"/>
                <w:szCs w:val="20"/>
              </w:rPr>
              <w:t xml:space="preserve">Base-year small organic mass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l_omc_g10_b</w:t>
            </w:r>
          </w:p>
        </w:tc>
        <w:tc>
          <w:tcPr>
            <w:tcW w:w="0" w:type="auto"/>
          </w:tcPr>
          <w:p>
            <w:pPr>
              <w:spacing w:line="240" w:lineRule="auto"/>
              <w:ind w:left="225"/>
              <w:rPr>
                <w:rFonts w:cs="Times New Roman"/>
                <w:sz w:val="20"/>
                <w:szCs w:val="20"/>
              </w:rPr>
            </w:pPr>
            <w:r>
              <w:rPr>
                <w:rFonts w:cs="Times New Roman"/>
                <w:sz w:val="20"/>
                <w:szCs w:val="20"/>
              </w:rPr>
              <w:t xml:space="preserve">Base-year large organic mass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ec_g10_b</w:t>
            </w:r>
          </w:p>
        </w:tc>
        <w:tc>
          <w:tcPr>
            <w:tcW w:w="0" w:type="auto"/>
          </w:tcPr>
          <w:p>
            <w:pPr>
              <w:spacing w:line="240" w:lineRule="auto"/>
              <w:ind w:left="225"/>
              <w:rPr>
                <w:rFonts w:cs="Times New Roman"/>
                <w:sz w:val="20"/>
                <w:szCs w:val="20"/>
              </w:rPr>
            </w:pPr>
            <w:r>
              <w:rPr>
                <w:rFonts w:cs="Times New Roman"/>
                <w:sz w:val="20"/>
                <w:szCs w:val="20"/>
              </w:rPr>
              <w:t xml:space="preserve">Base-year elemental carbon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crustal_g10_b</w:t>
            </w:r>
          </w:p>
        </w:tc>
        <w:tc>
          <w:tcPr>
            <w:tcW w:w="0" w:type="auto"/>
          </w:tcPr>
          <w:p>
            <w:pPr>
              <w:spacing w:line="240" w:lineRule="auto"/>
              <w:ind w:left="225"/>
              <w:rPr>
                <w:rFonts w:cs="Times New Roman"/>
                <w:sz w:val="20"/>
                <w:szCs w:val="20"/>
              </w:rPr>
            </w:pPr>
            <w:r>
              <w:rPr>
                <w:rFonts w:cs="Times New Roman"/>
                <w:sz w:val="20"/>
                <w:szCs w:val="20"/>
              </w:rPr>
              <w:t xml:space="preserve">Base-year crustal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cm_g10_b</w:t>
            </w:r>
          </w:p>
        </w:tc>
        <w:tc>
          <w:tcPr>
            <w:tcW w:w="0" w:type="auto"/>
          </w:tcPr>
          <w:p>
            <w:pPr>
              <w:spacing w:line="240" w:lineRule="auto"/>
              <w:ind w:left="225"/>
              <w:rPr>
                <w:rFonts w:cs="Times New Roman"/>
                <w:sz w:val="20"/>
                <w:szCs w:val="20"/>
              </w:rPr>
            </w:pPr>
            <w:r>
              <w:rPr>
                <w:rFonts w:cs="Times New Roman"/>
                <w:sz w:val="20"/>
                <w:szCs w:val="20"/>
              </w:rPr>
              <w:t>Base-year coarse mass (PM</w:t>
            </w:r>
            <w:r>
              <w:rPr>
                <w:rFonts w:cs="Times New Roman"/>
                <w:sz w:val="20"/>
                <w:szCs w:val="20"/>
                <w:vertAlign w:val="subscript"/>
              </w:rPr>
              <w:t>10</w:t>
            </w:r>
            <w:r>
              <w:rPr>
                <w:rFonts w:cs="Times New Roman"/>
                <w:sz w:val="20"/>
                <w:szCs w:val="20"/>
              </w:rPr>
              <w:t xml:space="preserve"> minus PM</w:t>
            </w:r>
            <w:r>
              <w:rPr>
                <w:rFonts w:cs="Times New Roman"/>
                <w:sz w:val="20"/>
                <w:szCs w:val="20"/>
                <w:vertAlign w:val="subscript"/>
              </w:rPr>
              <w:t>2.5</w:t>
            </w:r>
            <w:r>
              <w:rPr>
                <w:rFonts w:cs="Times New Roman"/>
                <w:sz w:val="20"/>
                <w:szCs w:val="20"/>
              </w:rPr>
              <w:t xml:space="preserve">)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sea_salt_g10_b</w:t>
            </w:r>
          </w:p>
        </w:tc>
        <w:tc>
          <w:tcPr>
            <w:tcW w:w="0" w:type="auto"/>
          </w:tcPr>
          <w:p>
            <w:pPr>
              <w:spacing w:line="240" w:lineRule="auto"/>
              <w:ind w:left="225"/>
              <w:rPr>
                <w:rFonts w:cs="Times New Roman"/>
                <w:sz w:val="20"/>
                <w:szCs w:val="20"/>
              </w:rPr>
            </w:pPr>
            <w:r>
              <w:rPr>
                <w:rFonts w:cs="Times New Roman"/>
                <w:sz w:val="20"/>
                <w:szCs w:val="20"/>
              </w:rPr>
              <w:t xml:space="preserve">Base-year sea salt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amm_so4_g90_b</w:t>
            </w:r>
          </w:p>
        </w:tc>
        <w:tc>
          <w:tcPr>
            <w:tcW w:w="0" w:type="auto"/>
          </w:tcPr>
          <w:p>
            <w:pPr>
              <w:spacing w:line="240" w:lineRule="auto"/>
              <w:ind w:left="225"/>
              <w:rPr>
                <w:rFonts w:cs="Times New Roman"/>
                <w:sz w:val="20"/>
                <w:szCs w:val="20"/>
              </w:rPr>
            </w:pPr>
            <w:r>
              <w:rPr>
                <w:rFonts w:cs="Times New Roman"/>
                <w:sz w:val="20"/>
                <w:szCs w:val="20"/>
              </w:rPr>
              <w:t xml:space="preserve">Base-year total ammonium sulfate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s_amm_so4_g90_b</w:t>
            </w:r>
          </w:p>
        </w:tc>
        <w:tc>
          <w:tcPr>
            <w:tcW w:w="0" w:type="auto"/>
          </w:tcPr>
          <w:p>
            <w:pPr>
              <w:spacing w:line="240" w:lineRule="auto"/>
              <w:ind w:left="225"/>
              <w:rPr>
                <w:rFonts w:cs="Times New Roman"/>
                <w:sz w:val="20"/>
                <w:szCs w:val="20"/>
              </w:rPr>
            </w:pPr>
            <w:r>
              <w:rPr>
                <w:rFonts w:cs="Times New Roman"/>
                <w:sz w:val="20"/>
                <w:szCs w:val="20"/>
              </w:rPr>
              <w:t xml:space="preserve">Base-year small ammonium sulfate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l_amm_so4_g90_b</w:t>
            </w:r>
          </w:p>
        </w:tc>
        <w:tc>
          <w:tcPr>
            <w:tcW w:w="0" w:type="auto"/>
          </w:tcPr>
          <w:p>
            <w:pPr>
              <w:spacing w:line="240" w:lineRule="auto"/>
              <w:ind w:left="225"/>
              <w:rPr>
                <w:rFonts w:cs="Times New Roman"/>
                <w:sz w:val="20"/>
                <w:szCs w:val="20"/>
              </w:rPr>
            </w:pPr>
            <w:r>
              <w:rPr>
                <w:rFonts w:cs="Times New Roman"/>
                <w:sz w:val="20"/>
                <w:szCs w:val="20"/>
              </w:rPr>
              <w:t xml:space="preserve">Base-year large ammonium sulfate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amm_no3_g90_b</w:t>
            </w:r>
          </w:p>
        </w:tc>
        <w:tc>
          <w:tcPr>
            <w:tcW w:w="0" w:type="auto"/>
          </w:tcPr>
          <w:p>
            <w:pPr>
              <w:spacing w:line="240" w:lineRule="auto"/>
              <w:ind w:left="225"/>
              <w:rPr>
                <w:rFonts w:cs="Times New Roman"/>
                <w:sz w:val="20"/>
                <w:szCs w:val="20"/>
              </w:rPr>
            </w:pPr>
            <w:r>
              <w:rPr>
                <w:rFonts w:cs="Times New Roman"/>
                <w:sz w:val="20"/>
                <w:szCs w:val="20"/>
              </w:rPr>
              <w:t xml:space="preserve">Base-year total ammonium nitrate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s_amm_no3_g90_b</w:t>
            </w:r>
          </w:p>
        </w:tc>
        <w:tc>
          <w:tcPr>
            <w:tcW w:w="0" w:type="auto"/>
          </w:tcPr>
          <w:p>
            <w:pPr>
              <w:spacing w:line="240" w:lineRule="auto"/>
              <w:ind w:left="225"/>
              <w:rPr>
                <w:rFonts w:cs="Times New Roman"/>
                <w:sz w:val="20"/>
                <w:szCs w:val="20"/>
              </w:rPr>
            </w:pPr>
            <w:r>
              <w:rPr>
                <w:rFonts w:cs="Times New Roman"/>
                <w:sz w:val="20"/>
                <w:szCs w:val="20"/>
              </w:rPr>
              <w:t xml:space="preserve">Base-year small ammonium nitrate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l_amm_no3_g90_b</w:t>
            </w:r>
          </w:p>
        </w:tc>
        <w:tc>
          <w:tcPr>
            <w:tcW w:w="0" w:type="auto"/>
          </w:tcPr>
          <w:p>
            <w:pPr>
              <w:spacing w:line="240" w:lineRule="auto"/>
              <w:ind w:left="225"/>
              <w:rPr>
                <w:rFonts w:cs="Times New Roman"/>
                <w:sz w:val="20"/>
                <w:szCs w:val="20"/>
              </w:rPr>
            </w:pPr>
            <w:r>
              <w:rPr>
                <w:rFonts w:cs="Times New Roman"/>
                <w:sz w:val="20"/>
                <w:szCs w:val="20"/>
              </w:rPr>
              <w:t xml:space="preserve">Base-year large ammonium nitrate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omc_g90_b</w:t>
            </w:r>
          </w:p>
        </w:tc>
        <w:tc>
          <w:tcPr>
            <w:tcW w:w="0" w:type="auto"/>
          </w:tcPr>
          <w:p>
            <w:pPr>
              <w:spacing w:line="240" w:lineRule="auto"/>
              <w:ind w:left="225"/>
              <w:rPr>
                <w:rFonts w:cs="Times New Roman"/>
                <w:sz w:val="20"/>
                <w:szCs w:val="20"/>
              </w:rPr>
            </w:pPr>
            <w:r>
              <w:rPr>
                <w:rFonts w:cs="Times New Roman"/>
                <w:sz w:val="20"/>
                <w:szCs w:val="20"/>
              </w:rPr>
              <w:t xml:space="preserve">Base-year total organic mass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s_omc_g90_b</w:t>
            </w:r>
          </w:p>
        </w:tc>
        <w:tc>
          <w:tcPr>
            <w:tcW w:w="0" w:type="auto"/>
          </w:tcPr>
          <w:p>
            <w:pPr>
              <w:spacing w:line="240" w:lineRule="auto"/>
              <w:ind w:left="225"/>
              <w:rPr>
                <w:rFonts w:cs="Times New Roman"/>
                <w:sz w:val="20"/>
                <w:szCs w:val="20"/>
              </w:rPr>
            </w:pPr>
            <w:r>
              <w:rPr>
                <w:rFonts w:cs="Times New Roman"/>
                <w:sz w:val="20"/>
                <w:szCs w:val="20"/>
              </w:rPr>
              <w:t xml:space="preserve">Base-year small organic mass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l_omc_g90_b</w:t>
            </w:r>
          </w:p>
        </w:tc>
        <w:tc>
          <w:tcPr>
            <w:tcW w:w="0" w:type="auto"/>
          </w:tcPr>
          <w:p>
            <w:pPr>
              <w:spacing w:line="240" w:lineRule="auto"/>
              <w:ind w:left="225"/>
              <w:rPr>
                <w:rFonts w:cs="Times New Roman"/>
                <w:sz w:val="20"/>
                <w:szCs w:val="20"/>
              </w:rPr>
            </w:pPr>
            <w:r>
              <w:rPr>
                <w:rFonts w:cs="Times New Roman"/>
                <w:sz w:val="20"/>
                <w:szCs w:val="20"/>
              </w:rPr>
              <w:t xml:space="preserve">Base-year large organic mass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ec_g90_b</w:t>
            </w:r>
          </w:p>
        </w:tc>
        <w:tc>
          <w:tcPr>
            <w:tcW w:w="0" w:type="auto"/>
          </w:tcPr>
          <w:p>
            <w:pPr>
              <w:spacing w:line="240" w:lineRule="auto"/>
              <w:ind w:left="225"/>
              <w:rPr>
                <w:rFonts w:cs="Times New Roman"/>
                <w:sz w:val="20"/>
                <w:szCs w:val="20"/>
              </w:rPr>
            </w:pPr>
            <w:r>
              <w:rPr>
                <w:rFonts w:cs="Times New Roman"/>
                <w:sz w:val="20"/>
                <w:szCs w:val="20"/>
              </w:rPr>
              <w:t xml:space="preserve">Base-year elemental carbon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crustal_g90_b</w:t>
            </w:r>
          </w:p>
        </w:tc>
        <w:tc>
          <w:tcPr>
            <w:tcW w:w="0" w:type="auto"/>
          </w:tcPr>
          <w:p>
            <w:pPr>
              <w:spacing w:line="240" w:lineRule="auto"/>
              <w:ind w:left="225"/>
              <w:rPr>
                <w:rFonts w:cs="Times New Roman"/>
                <w:sz w:val="20"/>
                <w:szCs w:val="20"/>
              </w:rPr>
            </w:pPr>
            <w:r>
              <w:rPr>
                <w:rFonts w:cs="Times New Roman"/>
                <w:sz w:val="20"/>
                <w:szCs w:val="20"/>
              </w:rPr>
              <w:t xml:space="preserve">Base-year crustal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cm_g90_b</w:t>
            </w:r>
          </w:p>
        </w:tc>
        <w:tc>
          <w:tcPr>
            <w:tcW w:w="0" w:type="auto"/>
          </w:tcPr>
          <w:p>
            <w:pPr>
              <w:spacing w:line="240" w:lineRule="auto"/>
              <w:ind w:left="225"/>
              <w:rPr>
                <w:rFonts w:cs="Times New Roman"/>
                <w:sz w:val="20"/>
                <w:szCs w:val="20"/>
              </w:rPr>
            </w:pPr>
            <w:r>
              <w:rPr>
                <w:rFonts w:cs="Times New Roman"/>
                <w:sz w:val="20"/>
                <w:szCs w:val="20"/>
              </w:rPr>
              <w:t>Base-year coarse mass (PM</w:t>
            </w:r>
            <w:r>
              <w:rPr>
                <w:rFonts w:cs="Times New Roman"/>
                <w:sz w:val="20"/>
                <w:szCs w:val="20"/>
                <w:vertAlign w:val="subscript"/>
              </w:rPr>
              <w:t>10</w:t>
            </w:r>
            <w:r>
              <w:rPr>
                <w:rFonts w:cs="Times New Roman"/>
                <w:sz w:val="20"/>
                <w:szCs w:val="20"/>
              </w:rPr>
              <w:t xml:space="preserve"> minus PM</w:t>
            </w:r>
            <w:r>
              <w:rPr>
                <w:rFonts w:cs="Times New Roman"/>
                <w:sz w:val="20"/>
                <w:szCs w:val="20"/>
                <w:vertAlign w:val="subscript"/>
              </w:rPr>
              <w:t>2.5</w:t>
            </w:r>
            <w:r>
              <w:rPr>
                <w:rFonts w:cs="Times New Roman"/>
                <w:sz w:val="20"/>
                <w:szCs w:val="20"/>
              </w:rPr>
              <w:t xml:space="preserve">)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sea_salt_g90_b</w:t>
            </w:r>
          </w:p>
        </w:tc>
        <w:tc>
          <w:tcPr>
            <w:tcW w:w="0" w:type="auto"/>
          </w:tcPr>
          <w:p>
            <w:pPr>
              <w:spacing w:line="240" w:lineRule="auto"/>
              <w:ind w:left="225"/>
              <w:rPr>
                <w:rFonts w:cs="Times New Roman"/>
                <w:sz w:val="20"/>
                <w:szCs w:val="20"/>
              </w:rPr>
            </w:pPr>
            <w:r>
              <w:rPr>
                <w:rFonts w:cs="Times New Roman"/>
                <w:sz w:val="20"/>
                <w:szCs w:val="20"/>
              </w:rPr>
              <w:t xml:space="preserve">Base-year sea salt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ss_Rayleigh</w:t>
            </w:r>
          </w:p>
        </w:tc>
        <w:tc>
          <w:tcPr>
            <w:tcW w:w="0" w:type="auto"/>
          </w:tcPr>
          <w:p>
            <w:pPr>
              <w:spacing w:line="240" w:lineRule="auto"/>
              <w:ind w:left="225"/>
              <w:rPr>
                <w:rFonts w:cs="Times New Roman"/>
                <w:sz w:val="20"/>
                <w:szCs w:val="20"/>
              </w:rPr>
            </w:pPr>
            <w:r>
              <w:rPr>
                <w:rFonts w:cs="Times New Roman"/>
                <w:sz w:val="20"/>
                <w:szCs w:val="20"/>
              </w:rPr>
              <w:t>Site-specific Rayleigh scattering (Mm-1)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E_amm_so4_g10_b</w:t>
            </w:r>
          </w:p>
        </w:tc>
        <w:tc>
          <w:tcPr>
            <w:tcW w:w="0" w:type="auto"/>
          </w:tcPr>
          <w:p>
            <w:pPr>
              <w:spacing w:line="240" w:lineRule="auto"/>
              <w:ind w:left="225"/>
              <w:rPr>
                <w:rFonts w:cs="Times New Roman"/>
                <w:sz w:val="20"/>
                <w:szCs w:val="20"/>
              </w:rPr>
            </w:pPr>
            <w:r>
              <w:rPr>
                <w:rFonts w:cs="Times New Roman"/>
                <w:sz w:val="20"/>
                <w:szCs w:val="20"/>
              </w:rPr>
              <w:t xml:space="preserve">Base-year ammonium sulfate extinction (Mm-1)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E_amm_no3_g10_b</w:t>
            </w:r>
          </w:p>
        </w:tc>
        <w:tc>
          <w:tcPr>
            <w:tcW w:w="0" w:type="auto"/>
          </w:tcPr>
          <w:p>
            <w:pPr>
              <w:spacing w:line="240" w:lineRule="auto"/>
              <w:ind w:left="225"/>
              <w:rPr>
                <w:rFonts w:cs="Times New Roman"/>
                <w:sz w:val="20"/>
                <w:szCs w:val="20"/>
              </w:rPr>
            </w:pPr>
            <w:r>
              <w:rPr>
                <w:rFonts w:cs="Times New Roman"/>
                <w:sz w:val="20"/>
                <w:szCs w:val="20"/>
              </w:rPr>
              <w:t xml:space="preserve">Base-year ammonium nitrate extinction (Mm-1)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E_omc_g10_b</w:t>
            </w:r>
          </w:p>
        </w:tc>
        <w:tc>
          <w:tcPr>
            <w:tcW w:w="0" w:type="auto"/>
          </w:tcPr>
          <w:p>
            <w:pPr>
              <w:spacing w:line="240" w:lineRule="auto"/>
              <w:ind w:left="225"/>
              <w:rPr>
                <w:rFonts w:cs="Times New Roman"/>
                <w:sz w:val="20"/>
                <w:szCs w:val="20"/>
              </w:rPr>
            </w:pPr>
            <w:r>
              <w:rPr>
                <w:rFonts w:cs="Times New Roman"/>
                <w:sz w:val="20"/>
                <w:szCs w:val="20"/>
              </w:rPr>
              <w:t xml:space="preserve">Base-year organic mass extinction (Mm-1)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E_ec_g10_b</w:t>
            </w:r>
          </w:p>
        </w:tc>
        <w:tc>
          <w:tcPr>
            <w:tcW w:w="0" w:type="auto"/>
          </w:tcPr>
          <w:p>
            <w:pPr>
              <w:spacing w:line="240" w:lineRule="auto"/>
              <w:ind w:left="225"/>
              <w:rPr>
                <w:rFonts w:cs="Times New Roman"/>
                <w:sz w:val="20"/>
                <w:szCs w:val="20"/>
              </w:rPr>
            </w:pPr>
            <w:r>
              <w:rPr>
                <w:rFonts w:cs="Times New Roman"/>
                <w:sz w:val="20"/>
                <w:szCs w:val="20"/>
              </w:rPr>
              <w:t xml:space="preserve">Base-year elemental carbon extinction (Mm-1)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E_crustal_g10_b</w:t>
            </w:r>
          </w:p>
        </w:tc>
        <w:tc>
          <w:tcPr>
            <w:tcW w:w="0" w:type="auto"/>
          </w:tcPr>
          <w:p>
            <w:pPr>
              <w:spacing w:line="240" w:lineRule="auto"/>
              <w:ind w:left="225"/>
              <w:rPr>
                <w:rFonts w:cs="Times New Roman"/>
                <w:sz w:val="20"/>
                <w:szCs w:val="20"/>
              </w:rPr>
            </w:pPr>
            <w:r>
              <w:rPr>
                <w:rFonts w:cs="Times New Roman"/>
                <w:sz w:val="20"/>
                <w:szCs w:val="20"/>
              </w:rPr>
              <w:t xml:space="preserve">Base-year crustal extinction (Mm-1)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E_cm_g10_b</w:t>
            </w:r>
          </w:p>
        </w:tc>
        <w:tc>
          <w:tcPr>
            <w:tcW w:w="0" w:type="auto"/>
          </w:tcPr>
          <w:p>
            <w:pPr>
              <w:spacing w:line="240" w:lineRule="auto"/>
              <w:ind w:left="225"/>
              <w:rPr>
                <w:rFonts w:cs="Times New Roman"/>
                <w:sz w:val="20"/>
                <w:szCs w:val="20"/>
              </w:rPr>
            </w:pPr>
            <w:r>
              <w:rPr>
                <w:rFonts w:cs="Times New Roman"/>
                <w:sz w:val="20"/>
                <w:szCs w:val="20"/>
              </w:rPr>
              <w:t xml:space="preserve">Base-year coarse mass extinction (Mm-1)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E_sea_salt_g10_b</w:t>
            </w:r>
          </w:p>
        </w:tc>
        <w:tc>
          <w:tcPr>
            <w:tcW w:w="0" w:type="auto"/>
          </w:tcPr>
          <w:p>
            <w:pPr>
              <w:spacing w:line="240" w:lineRule="auto"/>
              <w:ind w:left="225"/>
              <w:rPr>
                <w:rFonts w:cs="Times New Roman"/>
                <w:sz w:val="20"/>
                <w:szCs w:val="20"/>
              </w:rPr>
            </w:pPr>
            <w:r>
              <w:rPr>
                <w:rFonts w:cs="Times New Roman"/>
                <w:sz w:val="20"/>
                <w:szCs w:val="20"/>
              </w:rPr>
              <w:t xml:space="preserve">Base-year sea salt extinction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tbext_g10_b</w:t>
            </w:r>
          </w:p>
        </w:tc>
        <w:tc>
          <w:tcPr>
            <w:tcW w:w="0" w:type="auto"/>
          </w:tcPr>
          <w:p>
            <w:pPr>
              <w:spacing w:line="240" w:lineRule="auto"/>
              <w:ind w:left="225"/>
              <w:rPr>
                <w:rFonts w:cs="Times New Roman"/>
                <w:sz w:val="20"/>
                <w:szCs w:val="20"/>
              </w:rPr>
            </w:pPr>
            <w:r>
              <w:rPr>
                <w:rFonts w:cs="Times New Roman"/>
                <w:sz w:val="20"/>
                <w:szCs w:val="20"/>
              </w:rPr>
              <w:t xml:space="preserve">Base-year total bext (includes site specific Rayleigh scattering)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E_amm_so4_g90_b</w:t>
            </w:r>
          </w:p>
        </w:tc>
        <w:tc>
          <w:tcPr>
            <w:tcW w:w="0" w:type="auto"/>
          </w:tcPr>
          <w:p>
            <w:pPr>
              <w:spacing w:line="240" w:lineRule="auto"/>
              <w:ind w:left="225"/>
              <w:rPr>
                <w:rFonts w:cs="Times New Roman"/>
                <w:sz w:val="20"/>
                <w:szCs w:val="20"/>
              </w:rPr>
            </w:pPr>
            <w:r>
              <w:rPr>
                <w:rFonts w:cs="Times New Roman"/>
                <w:sz w:val="20"/>
                <w:szCs w:val="20"/>
              </w:rPr>
              <w:t xml:space="preserve">Base-year ammonium sulfate extinction (Mm-1)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E_amm_no3_g90_b</w:t>
            </w:r>
          </w:p>
        </w:tc>
        <w:tc>
          <w:tcPr>
            <w:tcW w:w="0" w:type="auto"/>
          </w:tcPr>
          <w:p>
            <w:pPr>
              <w:spacing w:line="240" w:lineRule="auto"/>
              <w:ind w:left="225"/>
              <w:rPr>
                <w:rFonts w:cs="Times New Roman"/>
                <w:sz w:val="20"/>
                <w:szCs w:val="20"/>
              </w:rPr>
            </w:pPr>
            <w:r>
              <w:rPr>
                <w:rFonts w:cs="Times New Roman"/>
                <w:sz w:val="20"/>
                <w:szCs w:val="20"/>
              </w:rPr>
              <w:t xml:space="preserve">Base-year ammonium nitrate extinction (Mm-1)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E_omc_g90_b</w:t>
            </w:r>
          </w:p>
        </w:tc>
        <w:tc>
          <w:tcPr>
            <w:tcW w:w="0" w:type="auto"/>
          </w:tcPr>
          <w:p>
            <w:pPr>
              <w:spacing w:line="240" w:lineRule="auto"/>
              <w:ind w:left="225"/>
              <w:rPr>
                <w:rFonts w:cs="Times New Roman"/>
                <w:sz w:val="20"/>
                <w:szCs w:val="20"/>
              </w:rPr>
            </w:pPr>
            <w:r>
              <w:rPr>
                <w:rFonts w:cs="Times New Roman"/>
                <w:sz w:val="20"/>
                <w:szCs w:val="20"/>
              </w:rPr>
              <w:t xml:space="preserve">Base-year organic mass extinction (Mm-1)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E_ec_g90_b</w:t>
            </w:r>
          </w:p>
        </w:tc>
        <w:tc>
          <w:tcPr>
            <w:tcW w:w="0" w:type="auto"/>
          </w:tcPr>
          <w:p>
            <w:pPr>
              <w:spacing w:line="240" w:lineRule="auto"/>
              <w:ind w:left="225"/>
              <w:rPr>
                <w:rFonts w:cs="Times New Roman"/>
                <w:sz w:val="20"/>
                <w:szCs w:val="20"/>
              </w:rPr>
            </w:pPr>
            <w:r>
              <w:rPr>
                <w:rFonts w:cs="Times New Roman"/>
                <w:sz w:val="20"/>
                <w:szCs w:val="20"/>
              </w:rPr>
              <w:t xml:space="preserve">Base-year elemental carbon extinction (Mm-1)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E_crustal_g90_b</w:t>
            </w:r>
          </w:p>
        </w:tc>
        <w:tc>
          <w:tcPr>
            <w:tcW w:w="0" w:type="auto"/>
          </w:tcPr>
          <w:p>
            <w:pPr>
              <w:spacing w:line="240" w:lineRule="auto"/>
              <w:ind w:left="225"/>
              <w:rPr>
                <w:rFonts w:cs="Times New Roman"/>
                <w:sz w:val="20"/>
                <w:szCs w:val="20"/>
              </w:rPr>
            </w:pPr>
            <w:r>
              <w:rPr>
                <w:rFonts w:cs="Times New Roman"/>
                <w:sz w:val="20"/>
                <w:szCs w:val="20"/>
              </w:rPr>
              <w:t xml:space="preserve">Base-year crustal extinction (Mm-1)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E_cm_g90_b</w:t>
            </w:r>
          </w:p>
        </w:tc>
        <w:tc>
          <w:tcPr>
            <w:tcW w:w="0" w:type="auto"/>
          </w:tcPr>
          <w:p>
            <w:pPr>
              <w:spacing w:line="240" w:lineRule="auto"/>
              <w:ind w:left="225"/>
              <w:rPr>
                <w:rFonts w:cs="Times New Roman"/>
                <w:sz w:val="20"/>
                <w:szCs w:val="20"/>
              </w:rPr>
            </w:pPr>
            <w:r>
              <w:rPr>
                <w:rFonts w:cs="Times New Roman"/>
                <w:sz w:val="20"/>
                <w:szCs w:val="20"/>
              </w:rPr>
              <w:t xml:space="preserve">Base-year coarse mass extinction (Mm-1)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E_sea_salt_g90_b</w:t>
            </w:r>
          </w:p>
        </w:tc>
        <w:tc>
          <w:tcPr>
            <w:tcW w:w="0" w:type="auto"/>
          </w:tcPr>
          <w:p>
            <w:pPr>
              <w:spacing w:line="240" w:lineRule="auto"/>
              <w:ind w:left="225"/>
              <w:rPr>
                <w:rFonts w:cs="Times New Roman"/>
                <w:sz w:val="20"/>
                <w:szCs w:val="20"/>
              </w:rPr>
            </w:pPr>
            <w:r>
              <w:rPr>
                <w:rFonts w:cs="Times New Roman"/>
                <w:sz w:val="20"/>
                <w:szCs w:val="20"/>
              </w:rPr>
              <w:t xml:space="preserve">Base-year sea salt extinction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tbext_g90_b</w:t>
            </w:r>
          </w:p>
        </w:tc>
        <w:tc>
          <w:tcPr>
            <w:tcW w:w="0" w:type="auto"/>
          </w:tcPr>
          <w:p>
            <w:pPr>
              <w:spacing w:line="240" w:lineRule="auto"/>
              <w:ind w:left="225"/>
              <w:rPr>
                <w:rFonts w:cs="Times New Roman"/>
                <w:sz w:val="20"/>
                <w:szCs w:val="20"/>
              </w:rPr>
            </w:pPr>
            <w:r>
              <w:rPr>
                <w:rFonts w:cs="Times New Roman"/>
                <w:sz w:val="20"/>
                <w:szCs w:val="20"/>
              </w:rPr>
              <w:t xml:space="preserve">Base-year total bext (includes site specific Rayleigh scattering)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amm_so4_g10_f</w:t>
            </w:r>
          </w:p>
        </w:tc>
        <w:tc>
          <w:tcPr>
            <w:tcW w:w="0" w:type="auto"/>
          </w:tcPr>
          <w:p>
            <w:pPr>
              <w:spacing w:line="240" w:lineRule="auto"/>
              <w:ind w:left="225"/>
              <w:rPr>
                <w:rFonts w:cs="Times New Roman"/>
                <w:sz w:val="20"/>
                <w:szCs w:val="20"/>
              </w:rPr>
            </w:pPr>
            <w:r>
              <w:rPr>
                <w:rFonts w:cs="Times New Roman"/>
                <w:sz w:val="20"/>
                <w:szCs w:val="20"/>
              </w:rPr>
              <w:t xml:space="preserve">Forecasted (future-year) total ammonium sulfate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s_amm_so4_g10_f</w:t>
            </w:r>
          </w:p>
        </w:tc>
        <w:tc>
          <w:tcPr>
            <w:tcW w:w="0" w:type="auto"/>
          </w:tcPr>
          <w:p>
            <w:pPr>
              <w:spacing w:line="240" w:lineRule="auto"/>
              <w:ind w:left="225"/>
              <w:rPr>
                <w:rFonts w:cs="Times New Roman"/>
                <w:sz w:val="20"/>
                <w:szCs w:val="20"/>
              </w:rPr>
            </w:pPr>
            <w:r>
              <w:rPr>
                <w:rFonts w:cs="Times New Roman"/>
                <w:sz w:val="20"/>
                <w:szCs w:val="20"/>
              </w:rPr>
              <w:t xml:space="preserve">Forecasted (future-year) small ammonium sulfate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l_amm_so4_g10_f</w:t>
            </w:r>
          </w:p>
        </w:tc>
        <w:tc>
          <w:tcPr>
            <w:tcW w:w="0" w:type="auto"/>
          </w:tcPr>
          <w:p>
            <w:pPr>
              <w:spacing w:line="240" w:lineRule="auto"/>
              <w:ind w:left="225"/>
              <w:rPr>
                <w:rFonts w:cs="Times New Roman"/>
                <w:sz w:val="20"/>
                <w:szCs w:val="20"/>
              </w:rPr>
            </w:pPr>
            <w:r>
              <w:rPr>
                <w:rFonts w:cs="Times New Roman"/>
                <w:sz w:val="20"/>
                <w:szCs w:val="20"/>
              </w:rPr>
              <w:t xml:space="preserve">Forecasted (future-year) large ammonium sulfate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amm_no3_g10_f</w:t>
            </w:r>
          </w:p>
        </w:tc>
        <w:tc>
          <w:tcPr>
            <w:tcW w:w="0" w:type="auto"/>
          </w:tcPr>
          <w:p>
            <w:pPr>
              <w:spacing w:line="240" w:lineRule="auto"/>
              <w:ind w:left="225"/>
              <w:rPr>
                <w:rFonts w:cs="Times New Roman"/>
                <w:sz w:val="20"/>
                <w:szCs w:val="20"/>
              </w:rPr>
            </w:pPr>
            <w:r>
              <w:rPr>
                <w:rFonts w:cs="Times New Roman"/>
                <w:sz w:val="20"/>
                <w:szCs w:val="20"/>
              </w:rPr>
              <w:t xml:space="preserve">Forecasted (future-year) total ammonium nitrate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s_amm_no3_g10_f</w:t>
            </w:r>
          </w:p>
        </w:tc>
        <w:tc>
          <w:tcPr>
            <w:tcW w:w="0" w:type="auto"/>
          </w:tcPr>
          <w:p>
            <w:pPr>
              <w:spacing w:line="240" w:lineRule="auto"/>
              <w:ind w:left="225"/>
              <w:rPr>
                <w:rFonts w:cs="Times New Roman"/>
                <w:sz w:val="20"/>
                <w:szCs w:val="20"/>
              </w:rPr>
            </w:pPr>
            <w:r>
              <w:rPr>
                <w:rFonts w:cs="Times New Roman"/>
                <w:sz w:val="20"/>
                <w:szCs w:val="20"/>
              </w:rPr>
              <w:t xml:space="preserve">Forecasted (future-year) small ammonium nitrate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l_amm_no3_g10_f</w:t>
            </w:r>
          </w:p>
        </w:tc>
        <w:tc>
          <w:tcPr>
            <w:tcW w:w="0" w:type="auto"/>
          </w:tcPr>
          <w:p>
            <w:pPr>
              <w:spacing w:line="240" w:lineRule="auto"/>
              <w:ind w:left="225"/>
              <w:rPr>
                <w:rFonts w:cs="Times New Roman"/>
                <w:sz w:val="20"/>
                <w:szCs w:val="20"/>
              </w:rPr>
            </w:pPr>
            <w:r>
              <w:rPr>
                <w:rFonts w:cs="Times New Roman"/>
                <w:sz w:val="20"/>
                <w:szCs w:val="20"/>
              </w:rPr>
              <w:t xml:space="preserve">Forecasted (future-year) large ammonium nitrate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omc_g10_f</w:t>
            </w:r>
          </w:p>
        </w:tc>
        <w:tc>
          <w:tcPr>
            <w:tcW w:w="0" w:type="auto"/>
          </w:tcPr>
          <w:p>
            <w:pPr>
              <w:spacing w:line="240" w:lineRule="auto"/>
              <w:ind w:left="225"/>
              <w:rPr>
                <w:rFonts w:cs="Times New Roman"/>
                <w:sz w:val="20"/>
                <w:szCs w:val="20"/>
              </w:rPr>
            </w:pPr>
            <w:r>
              <w:rPr>
                <w:rFonts w:cs="Times New Roman"/>
                <w:sz w:val="20"/>
                <w:szCs w:val="20"/>
              </w:rPr>
              <w:t xml:space="preserve">Forecasted (future-year) total organic mass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s_omc_g10_f</w:t>
            </w:r>
          </w:p>
        </w:tc>
        <w:tc>
          <w:tcPr>
            <w:tcW w:w="0" w:type="auto"/>
          </w:tcPr>
          <w:p>
            <w:pPr>
              <w:spacing w:line="240" w:lineRule="auto"/>
              <w:ind w:left="225"/>
              <w:rPr>
                <w:rFonts w:cs="Times New Roman"/>
                <w:sz w:val="20"/>
                <w:szCs w:val="20"/>
              </w:rPr>
            </w:pPr>
            <w:r>
              <w:rPr>
                <w:rFonts w:cs="Times New Roman"/>
                <w:sz w:val="20"/>
                <w:szCs w:val="20"/>
              </w:rPr>
              <w:t xml:space="preserve">Forecasted (future-year) small organic mass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l_omc_g10_f</w:t>
            </w:r>
          </w:p>
        </w:tc>
        <w:tc>
          <w:tcPr>
            <w:tcW w:w="0" w:type="auto"/>
          </w:tcPr>
          <w:p>
            <w:pPr>
              <w:spacing w:line="240" w:lineRule="auto"/>
              <w:ind w:left="225"/>
              <w:rPr>
                <w:rFonts w:cs="Times New Roman"/>
                <w:sz w:val="20"/>
                <w:szCs w:val="20"/>
              </w:rPr>
            </w:pPr>
            <w:r>
              <w:rPr>
                <w:rFonts w:cs="Times New Roman"/>
                <w:sz w:val="20"/>
                <w:szCs w:val="20"/>
              </w:rPr>
              <w:t xml:space="preserve">Forecasted (future-year) large organic mass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ec_g10_f</w:t>
            </w:r>
          </w:p>
        </w:tc>
        <w:tc>
          <w:tcPr>
            <w:tcW w:w="0" w:type="auto"/>
          </w:tcPr>
          <w:p>
            <w:pPr>
              <w:spacing w:line="240" w:lineRule="auto"/>
              <w:ind w:left="225"/>
              <w:rPr>
                <w:rFonts w:cs="Times New Roman"/>
                <w:sz w:val="20"/>
                <w:szCs w:val="20"/>
              </w:rPr>
            </w:pPr>
            <w:r>
              <w:rPr>
                <w:rFonts w:cs="Times New Roman"/>
                <w:sz w:val="20"/>
                <w:szCs w:val="20"/>
              </w:rPr>
              <w:t xml:space="preserve">Forecasted (future-year) elemental carbon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crustal_g10_f</w:t>
            </w:r>
          </w:p>
        </w:tc>
        <w:tc>
          <w:tcPr>
            <w:tcW w:w="0" w:type="auto"/>
          </w:tcPr>
          <w:p>
            <w:pPr>
              <w:spacing w:line="240" w:lineRule="auto"/>
              <w:ind w:left="225"/>
              <w:rPr>
                <w:rFonts w:cs="Times New Roman"/>
                <w:sz w:val="20"/>
                <w:szCs w:val="20"/>
              </w:rPr>
            </w:pPr>
            <w:r>
              <w:rPr>
                <w:rFonts w:cs="Times New Roman"/>
                <w:sz w:val="20"/>
                <w:szCs w:val="20"/>
              </w:rPr>
              <w:t xml:space="preserve">Forecasted (future-year) crustal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cm_g10_f</w:t>
            </w:r>
          </w:p>
        </w:tc>
        <w:tc>
          <w:tcPr>
            <w:tcW w:w="0" w:type="auto"/>
          </w:tcPr>
          <w:p>
            <w:pPr>
              <w:spacing w:line="240" w:lineRule="auto"/>
              <w:ind w:left="225"/>
              <w:rPr>
                <w:rFonts w:cs="Times New Roman"/>
                <w:sz w:val="20"/>
                <w:szCs w:val="20"/>
              </w:rPr>
            </w:pPr>
            <w:r>
              <w:rPr>
                <w:rFonts w:cs="Times New Roman"/>
                <w:sz w:val="20"/>
                <w:szCs w:val="20"/>
              </w:rPr>
              <w:t>Forecasted (future-year) coarse mass (PM</w:t>
            </w:r>
            <w:r>
              <w:rPr>
                <w:rFonts w:cs="Times New Roman"/>
                <w:sz w:val="20"/>
                <w:szCs w:val="20"/>
                <w:vertAlign w:val="subscript"/>
              </w:rPr>
              <w:t>10</w:t>
            </w:r>
            <w:r>
              <w:rPr>
                <w:rFonts w:cs="Times New Roman"/>
                <w:sz w:val="20"/>
                <w:szCs w:val="20"/>
              </w:rPr>
              <w:t xml:space="preserve"> minus PM</w:t>
            </w:r>
            <w:r>
              <w:rPr>
                <w:rFonts w:cs="Times New Roman"/>
                <w:sz w:val="20"/>
                <w:szCs w:val="20"/>
                <w:vertAlign w:val="subscript"/>
              </w:rPr>
              <w:t>2.5</w:t>
            </w:r>
            <w:r>
              <w:rPr>
                <w:rFonts w:cs="Times New Roman"/>
                <w:sz w:val="20"/>
                <w:szCs w:val="20"/>
              </w:rPr>
              <w:t xml:space="preserve">)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sea_salt_g10_f</w:t>
            </w:r>
          </w:p>
        </w:tc>
        <w:tc>
          <w:tcPr>
            <w:tcW w:w="0" w:type="auto"/>
          </w:tcPr>
          <w:p>
            <w:pPr>
              <w:spacing w:line="240" w:lineRule="auto"/>
              <w:ind w:left="225"/>
              <w:rPr>
                <w:rFonts w:cs="Times New Roman"/>
                <w:sz w:val="20"/>
                <w:szCs w:val="20"/>
              </w:rPr>
            </w:pPr>
            <w:r>
              <w:rPr>
                <w:rFonts w:cs="Times New Roman"/>
                <w:sz w:val="20"/>
                <w:szCs w:val="20"/>
              </w:rPr>
              <w:t xml:space="preserve">Forecasted (future-year) sea salt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amm_so4_g90_f</w:t>
            </w:r>
          </w:p>
        </w:tc>
        <w:tc>
          <w:tcPr>
            <w:tcW w:w="0" w:type="auto"/>
          </w:tcPr>
          <w:p>
            <w:pPr>
              <w:spacing w:line="240" w:lineRule="auto"/>
              <w:ind w:left="225"/>
              <w:rPr>
                <w:rFonts w:cs="Times New Roman"/>
                <w:sz w:val="20"/>
                <w:szCs w:val="20"/>
              </w:rPr>
            </w:pPr>
            <w:r>
              <w:rPr>
                <w:rFonts w:cs="Times New Roman"/>
                <w:sz w:val="20"/>
                <w:szCs w:val="20"/>
              </w:rPr>
              <w:t xml:space="preserve">Forecasted (future-year) total ammonium sulfate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s_amm_so4_g90_f</w:t>
            </w:r>
          </w:p>
        </w:tc>
        <w:tc>
          <w:tcPr>
            <w:tcW w:w="0" w:type="auto"/>
          </w:tcPr>
          <w:p>
            <w:pPr>
              <w:spacing w:line="240" w:lineRule="auto"/>
              <w:ind w:left="225"/>
              <w:rPr>
                <w:rFonts w:cs="Times New Roman"/>
                <w:sz w:val="20"/>
                <w:szCs w:val="20"/>
              </w:rPr>
            </w:pPr>
            <w:r>
              <w:rPr>
                <w:rFonts w:cs="Times New Roman"/>
                <w:sz w:val="20"/>
                <w:szCs w:val="20"/>
              </w:rPr>
              <w:t xml:space="preserve">Forecasted (future-year) small ammonium sulfate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l_amm_so4_g90_f</w:t>
            </w:r>
          </w:p>
        </w:tc>
        <w:tc>
          <w:tcPr>
            <w:tcW w:w="0" w:type="auto"/>
          </w:tcPr>
          <w:p>
            <w:pPr>
              <w:spacing w:line="240" w:lineRule="auto"/>
              <w:ind w:left="225"/>
              <w:rPr>
                <w:rFonts w:cs="Times New Roman"/>
                <w:sz w:val="20"/>
                <w:szCs w:val="20"/>
              </w:rPr>
            </w:pPr>
            <w:r>
              <w:rPr>
                <w:rFonts w:cs="Times New Roman"/>
                <w:sz w:val="20"/>
                <w:szCs w:val="20"/>
              </w:rPr>
              <w:t xml:space="preserve">Forecasted (future-year) large ammonium sulfate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amm_no3_g90_f</w:t>
            </w:r>
          </w:p>
        </w:tc>
        <w:tc>
          <w:tcPr>
            <w:tcW w:w="0" w:type="auto"/>
          </w:tcPr>
          <w:p>
            <w:pPr>
              <w:spacing w:line="240" w:lineRule="auto"/>
              <w:ind w:left="225"/>
              <w:rPr>
                <w:rFonts w:cs="Times New Roman"/>
                <w:sz w:val="20"/>
                <w:szCs w:val="20"/>
              </w:rPr>
            </w:pPr>
            <w:r>
              <w:rPr>
                <w:rFonts w:cs="Times New Roman"/>
                <w:sz w:val="20"/>
                <w:szCs w:val="20"/>
              </w:rPr>
              <w:t xml:space="preserve">Forecasted (future-year) total ammonium nitrate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s_amm_no3_g90_f</w:t>
            </w:r>
          </w:p>
        </w:tc>
        <w:tc>
          <w:tcPr>
            <w:tcW w:w="0" w:type="auto"/>
          </w:tcPr>
          <w:p>
            <w:pPr>
              <w:spacing w:line="240" w:lineRule="auto"/>
              <w:ind w:left="225"/>
              <w:rPr>
                <w:rFonts w:cs="Times New Roman"/>
                <w:sz w:val="20"/>
                <w:szCs w:val="20"/>
              </w:rPr>
            </w:pPr>
            <w:r>
              <w:rPr>
                <w:rFonts w:cs="Times New Roman"/>
                <w:sz w:val="20"/>
                <w:szCs w:val="20"/>
              </w:rPr>
              <w:t xml:space="preserve">Forecasted (future-year) small ammonium nitrate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l_amm_no3_g90_f</w:t>
            </w:r>
          </w:p>
        </w:tc>
        <w:tc>
          <w:tcPr>
            <w:tcW w:w="0" w:type="auto"/>
          </w:tcPr>
          <w:p>
            <w:pPr>
              <w:spacing w:line="240" w:lineRule="auto"/>
              <w:ind w:left="225"/>
              <w:rPr>
                <w:rFonts w:cs="Times New Roman"/>
                <w:sz w:val="20"/>
                <w:szCs w:val="20"/>
              </w:rPr>
            </w:pPr>
            <w:r>
              <w:rPr>
                <w:rFonts w:cs="Times New Roman"/>
                <w:sz w:val="20"/>
                <w:szCs w:val="20"/>
              </w:rPr>
              <w:t xml:space="preserve">Forecasted (future-year) large ammonium nitrate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omc_g90_f</w:t>
            </w:r>
          </w:p>
        </w:tc>
        <w:tc>
          <w:tcPr>
            <w:tcW w:w="0" w:type="auto"/>
          </w:tcPr>
          <w:p>
            <w:pPr>
              <w:spacing w:line="240" w:lineRule="auto"/>
              <w:ind w:left="225"/>
              <w:rPr>
                <w:rFonts w:cs="Times New Roman"/>
                <w:sz w:val="20"/>
                <w:szCs w:val="20"/>
              </w:rPr>
            </w:pPr>
            <w:r>
              <w:rPr>
                <w:rFonts w:cs="Times New Roman"/>
                <w:sz w:val="20"/>
                <w:szCs w:val="20"/>
              </w:rPr>
              <w:t xml:space="preserve">Forecasted (future-year) total organic mass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s_omc_g90_f</w:t>
            </w:r>
          </w:p>
        </w:tc>
        <w:tc>
          <w:tcPr>
            <w:tcW w:w="0" w:type="auto"/>
          </w:tcPr>
          <w:p>
            <w:pPr>
              <w:spacing w:line="240" w:lineRule="auto"/>
              <w:ind w:left="225"/>
              <w:rPr>
                <w:rFonts w:cs="Times New Roman"/>
                <w:sz w:val="20"/>
                <w:szCs w:val="20"/>
              </w:rPr>
            </w:pPr>
            <w:r>
              <w:rPr>
                <w:rFonts w:cs="Times New Roman"/>
                <w:sz w:val="20"/>
                <w:szCs w:val="20"/>
              </w:rPr>
              <w:t xml:space="preserve">Forecasted (future-year) small organic mass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l_omc_g90_f</w:t>
            </w:r>
          </w:p>
        </w:tc>
        <w:tc>
          <w:tcPr>
            <w:tcW w:w="0" w:type="auto"/>
          </w:tcPr>
          <w:p>
            <w:pPr>
              <w:spacing w:line="240" w:lineRule="auto"/>
              <w:ind w:left="225"/>
              <w:rPr>
                <w:rFonts w:cs="Times New Roman"/>
                <w:sz w:val="20"/>
                <w:szCs w:val="20"/>
              </w:rPr>
            </w:pPr>
            <w:r>
              <w:rPr>
                <w:rFonts w:cs="Times New Roman"/>
                <w:sz w:val="20"/>
                <w:szCs w:val="20"/>
              </w:rPr>
              <w:t xml:space="preserve">Forecasted (future-year) large organic mass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ec_g90_f</w:t>
            </w:r>
          </w:p>
        </w:tc>
        <w:tc>
          <w:tcPr>
            <w:tcW w:w="0" w:type="auto"/>
          </w:tcPr>
          <w:p>
            <w:pPr>
              <w:spacing w:line="240" w:lineRule="auto"/>
              <w:ind w:left="225"/>
              <w:rPr>
                <w:rFonts w:cs="Times New Roman"/>
                <w:sz w:val="20"/>
                <w:szCs w:val="20"/>
              </w:rPr>
            </w:pPr>
            <w:r>
              <w:rPr>
                <w:rFonts w:cs="Times New Roman"/>
                <w:sz w:val="20"/>
                <w:szCs w:val="20"/>
              </w:rPr>
              <w:t xml:space="preserve">Forecasted (future-year) elemental carbon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crustal_g90_f</w:t>
            </w:r>
          </w:p>
        </w:tc>
        <w:tc>
          <w:tcPr>
            <w:tcW w:w="0" w:type="auto"/>
          </w:tcPr>
          <w:p>
            <w:pPr>
              <w:spacing w:line="240" w:lineRule="auto"/>
              <w:ind w:left="225"/>
              <w:rPr>
                <w:rFonts w:cs="Times New Roman"/>
                <w:sz w:val="20"/>
                <w:szCs w:val="20"/>
              </w:rPr>
            </w:pPr>
            <w:r>
              <w:rPr>
                <w:rFonts w:cs="Times New Roman"/>
                <w:sz w:val="20"/>
                <w:szCs w:val="20"/>
              </w:rPr>
              <w:t xml:space="preserve">Forecasted (future-year) crustal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cm_g90_f</w:t>
            </w:r>
          </w:p>
        </w:tc>
        <w:tc>
          <w:tcPr>
            <w:tcW w:w="0" w:type="auto"/>
          </w:tcPr>
          <w:p>
            <w:pPr>
              <w:spacing w:line="240" w:lineRule="auto"/>
              <w:ind w:left="225"/>
              <w:rPr>
                <w:rFonts w:cs="Times New Roman"/>
                <w:sz w:val="20"/>
                <w:szCs w:val="20"/>
              </w:rPr>
            </w:pPr>
            <w:r>
              <w:rPr>
                <w:rFonts w:cs="Times New Roman"/>
                <w:sz w:val="20"/>
                <w:szCs w:val="20"/>
              </w:rPr>
              <w:t>Forecasted (future-year) coarse mass (PM</w:t>
            </w:r>
            <w:r>
              <w:rPr>
                <w:rFonts w:cs="Times New Roman"/>
                <w:sz w:val="20"/>
                <w:szCs w:val="20"/>
                <w:vertAlign w:val="subscript"/>
              </w:rPr>
              <w:t>10</w:t>
            </w:r>
            <w:r>
              <w:rPr>
                <w:rFonts w:cs="Times New Roman"/>
                <w:sz w:val="20"/>
                <w:szCs w:val="20"/>
              </w:rPr>
              <w:t xml:space="preserve"> minus PM</w:t>
            </w:r>
            <w:r>
              <w:rPr>
                <w:rFonts w:cs="Times New Roman"/>
                <w:sz w:val="20"/>
                <w:szCs w:val="20"/>
                <w:vertAlign w:val="subscript"/>
              </w:rPr>
              <w:t>2.5</w:t>
            </w:r>
            <w:r>
              <w:rPr>
                <w:rFonts w:cs="Times New Roman"/>
                <w:sz w:val="20"/>
                <w:szCs w:val="20"/>
              </w:rPr>
              <w:t xml:space="preserve">)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sea_salt_g90_f</w:t>
            </w:r>
          </w:p>
        </w:tc>
        <w:tc>
          <w:tcPr>
            <w:tcW w:w="0" w:type="auto"/>
          </w:tcPr>
          <w:p>
            <w:pPr>
              <w:spacing w:line="240" w:lineRule="auto"/>
              <w:ind w:left="225"/>
              <w:rPr>
                <w:rFonts w:cs="Times New Roman"/>
                <w:sz w:val="20"/>
                <w:szCs w:val="20"/>
              </w:rPr>
            </w:pPr>
            <w:r>
              <w:rPr>
                <w:rFonts w:cs="Times New Roman"/>
                <w:sz w:val="20"/>
                <w:szCs w:val="20"/>
              </w:rPr>
              <w:t xml:space="preserve">Forecasted (future-year) sea salt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E_amm_so4_g10_f</w:t>
            </w:r>
          </w:p>
        </w:tc>
        <w:tc>
          <w:tcPr>
            <w:tcW w:w="0" w:type="auto"/>
          </w:tcPr>
          <w:p>
            <w:pPr>
              <w:spacing w:line="240" w:lineRule="auto"/>
              <w:ind w:left="225"/>
              <w:rPr>
                <w:rFonts w:cs="Times New Roman"/>
                <w:sz w:val="20"/>
                <w:szCs w:val="20"/>
              </w:rPr>
            </w:pPr>
            <w:r>
              <w:rPr>
                <w:rFonts w:cs="Times New Roman"/>
                <w:sz w:val="20"/>
                <w:szCs w:val="20"/>
              </w:rPr>
              <w:t xml:space="preserve">Forecasted (future-year) ammonium sulfate extinction (Mm-1)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E_amm_no3_g10_f</w:t>
            </w:r>
          </w:p>
        </w:tc>
        <w:tc>
          <w:tcPr>
            <w:tcW w:w="0" w:type="auto"/>
          </w:tcPr>
          <w:p>
            <w:pPr>
              <w:spacing w:line="240" w:lineRule="auto"/>
              <w:ind w:left="225"/>
              <w:rPr>
                <w:rFonts w:cs="Times New Roman"/>
                <w:sz w:val="20"/>
                <w:szCs w:val="20"/>
              </w:rPr>
            </w:pPr>
            <w:r>
              <w:rPr>
                <w:rFonts w:cs="Times New Roman"/>
                <w:sz w:val="20"/>
                <w:szCs w:val="20"/>
              </w:rPr>
              <w:t xml:space="preserve">Forecasted (future-year) ammonium nitrate extinction (Mm-1)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E_omc_g10_f</w:t>
            </w:r>
          </w:p>
        </w:tc>
        <w:tc>
          <w:tcPr>
            <w:tcW w:w="0" w:type="auto"/>
          </w:tcPr>
          <w:p>
            <w:pPr>
              <w:spacing w:line="240" w:lineRule="auto"/>
              <w:ind w:left="225"/>
              <w:rPr>
                <w:rFonts w:cs="Times New Roman"/>
                <w:sz w:val="20"/>
                <w:szCs w:val="20"/>
              </w:rPr>
            </w:pPr>
            <w:r>
              <w:rPr>
                <w:rFonts w:cs="Times New Roman"/>
                <w:sz w:val="20"/>
                <w:szCs w:val="20"/>
              </w:rPr>
              <w:t xml:space="preserve">Forecasted (future-year) organic mass extinction (Mm-1)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E_ec_g10_f</w:t>
            </w:r>
          </w:p>
        </w:tc>
        <w:tc>
          <w:tcPr>
            <w:tcW w:w="0" w:type="auto"/>
          </w:tcPr>
          <w:p>
            <w:pPr>
              <w:spacing w:line="240" w:lineRule="auto"/>
              <w:ind w:left="225"/>
              <w:rPr>
                <w:rFonts w:cs="Times New Roman"/>
                <w:sz w:val="20"/>
                <w:szCs w:val="20"/>
              </w:rPr>
            </w:pPr>
            <w:r>
              <w:rPr>
                <w:rFonts w:cs="Times New Roman"/>
                <w:sz w:val="20"/>
                <w:szCs w:val="20"/>
              </w:rPr>
              <w:t xml:space="preserve">Forecasted (future-year) elemental carbon extinction (Mm-1)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E_crustal_g10_f</w:t>
            </w:r>
          </w:p>
        </w:tc>
        <w:tc>
          <w:tcPr>
            <w:tcW w:w="0" w:type="auto"/>
          </w:tcPr>
          <w:p>
            <w:pPr>
              <w:spacing w:line="240" w:lineRule="auto"/>
              <w:ind w:left="225"/>
              <w:rPr>
                <w:rFonts w:cs="Times New Roman"/>
                <w:sz w:val="20"/>
                <w:szCs w:val="20"/>
              </w:rPr>
            </w:pPr>
            <w:r>
              <w:rPr>
                <w:rFonts w:cs="Times New Roman"/>
                <w:sz w:val="20"/>
                <w:szCs w:val="20"/>
              </w:rPr>
              <w:t xml:space="preserve">Forecasted (future-year) crustal extinction (Mm-1)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E_cm_g10_f</w:t>
            </w:r>
          </w:p>
        </w:tc>
        <w:tc>
          <w:tcPr>
            <w:tcW w:w="0" w:type="auto"/>
          </w:tcPr>
          <w:p>
            <w:pPr>
              <w:spacing w:line="240" w:lineRule="auto"/>
              <w:ind w:left="225"/>
              <w:rPr>
                <w:rFonts w:cs="Times New Roman"/>
                <w:sz w:val="20"/>
                <w:szCs w:val="20"/>
              </w:rPr>
            </w:pPr>
            <w:r>
              <w:rPr>
                <w:rFonts w:cs="Times New Roman"/>
                <w:sz w:val="20"/>
                <w:szCs w:val="20"/>
              </w:rPr>
              <w:t xml:space="preserve">Forecasted (future-year) coarse mass extinction (Mm-1)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E_sea_salt_g10_f</w:t>
            </w:r>
          </w:p>
        </w:tc>
        <w:tc>
          <w:tcPr>
            <w:tcW w:w="0" w:type="auto"/>
          </w:tcPr>
          <w:p>
            <w:pPr>
              <w:spacing w:line="240" w:lineRule="auto"/>
              <w:ind w:left="225"/>
              <w:rPr>
                <w:rFonts w:cs="Times New Roman"/>
                <w:sz w:val="20"/>
                <w:szCs w:val="20"/>
              </w:rPr>
            </w:pPr>
            <w:r>
              <w:rPr>
                <w:rFonts w:cs="Times New Roman"/>
                <w:sz w:val="20"/>
                <w:szCs w:val="20"/>
              </w:rPr>
              <w:t xml:space="preserve">Forecasted (future-year) sea salt extinction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tbext_g10_f</w:t>
            </w:r>
          </w:p>
        </w:tc>
        <w:tc>
          <w:tcPr>
            <w:tcW w:w="0" w:type="auto"/>
          </w:tcPr>
          <w:p>
            <w:pPr>
              <w:spacing w:line="240" w:lineRule="auto"/>
              <w:ind w:left="225"/>
              <w:rPr>
                <w:rFonts w:cs="Times New Roman"/>
                <w:sz w:val="20"/>
                <w:szCs w:val="20"/>
              </w:rPr>
            </w:pPr>
            <w:r>
              <w:rPr>
                <w:rFonts w:cs="Times New Roman"/>
                <w:sz w:val="20"/>
                <w:szCs w:val="20"/>
              </w:rPr>
              <w:t xml:space="preserve">Forecasted (future-year) total bext (includes site specific Rayleigh scattering) for 20% best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E_amm_so4_g90_f</w:t>
            </w:r>
          </w:p>
        </w:tc>
        <w:tc>
          <w:tcPr>
            <w:tcW w:w="0" w:type="auto"/>
          </w:tcPr>
          <w:p>
            <w:pPr>
              <w:spacing w:line="240" w:lineRule="auto"/>
              <w:ind w:left="225"/>
              <w:rPr>
                <w:rFonts w:cs="Times New Roman"/>
                <w:sz w:val="20"/>
                <w:szCs w:val="20"/>
              </w:rPr>
            </w:pPr>
            <w:r>
              <w:rPr>
                <w:rFonts w:cs="Times New Roman"/>
                <w:sz w:val="20"/>
                <w:szCs w:val="20"/>
              </w:rPr>
              <w:t xml:space="preserve">Forecasted (future-year) ammonium sulfate extinction (Mm-1)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E_amm_no3_g90_f</w:t>
            </w:r>
          </w:p>
        </w:tc>
        <w:tc>
          <w:tcPr>
            <w:tcW w:w="0" w:type="auto"/>
          </w:tcPr>
          <w:p>
            <w:pPr>
              <w:spacing w:line="240" w:lineRule="auto"/>
              <w:ind w:left="225"/>
              <w:rPr>
                <w:rFonts w:cs="Times New Roman"/>
                <w:sz w:val="20"/>
                <w:szCs w:val="20"/>
              </w:rPr>
            </w:pPr>
            <w:r>
              <w:rPr>
                <w:rFonts w:cs="Times New Roman"/>
                <w:sz w:val="20"/>
                <w:szCs w:val="20"/>
              </w:rPr>
              <w:t xml:space="preserve">Forecasted (future-year) ammonium nitrate extinction (Mm-1)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E_omc_g90_f</w:t>
            </w:r>
          </w:p>
        </w:tc>
        <w:tc>
          <w:tcPr>
            <w:tcW w:w="0" w:type="auto"/>
          </w:tcPr>
          <w:p>
            <w:pPr>
              <w:spacing w:line="240" w:lineRule="auto"/>
              <w:ind w:left="225"/>
              <w:rPr>
                <w:rFonts w:cs="Times New Roman"/>
                <w:sz w:val="20"/>
                <w:szCs w:val="20"/>
              </w:rPr>
            </w:pPr>
            <w:r>
              <w:rPr>
                <w:rFonts w:cs="Times New Roman"/>
                <w:sz w:val="20"/>
                <w:szCs w:val="20"/>
              </w:rPr>
              <w:t xml:space="preserve">Forecasted (future-year) organic mass extinction (Mm-1)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E_ec_g90_f</w:t>
            </w:r>
          </w:p>
        </w:tc>
        <w:tc>
          <w:tcPr>
            <w:tcW w:w="0" w:type="auto"/>
          </w:tcPr>
          <w:p>
            <w:pPr>
              <w:spacing w:line="240" w:lineRule="auto"/>
              <w:ind w:left="225"/>
              <w:rPr>
                <w:rFonts w:cs="Times New Roman"/>
                <w:sz w:val="20"/>
                <w:szCs w:val="20"/>
              </w:rPr>
            </w:pPr>
            <w:r>
              <w:rPr>
                <w:rFonts w:cs="Times New Roman"/>
                <w:sz w:val="20"/>
                <w:szCs w:val="20"/>
              </w:rPr>
              <w:t xml:space="preserve">Forecasted (future-year) elemental carbon extinction (Mm-1)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E_crustal_g90_f</w:t>
            </w:r>
          </w:p>
        </w:tc>
        <w:tc>
          <w:tcPr>
            <w:tcW w:w="0" w:type="auto"/>
          </w:tcPr>
          <w:p>
            <w:pPr>
              <w:spacing w:line="240" w:lineRule="auto"/>
              <w:ind w:left="225"/>
              <w:rPr>
                <w:rFonts w:cs="Times New Roman"/>
                <w:sz w:val="20"/>
                <w:szCs w:val="20"/>
              </w:rPr>
            </w:pPr>
            <w:r>
              <w:rPr>
                <w:rFonts w:cs="Times New Roman"/>
                <w:sz w:val="20"/>
                <w:szCs w:val="20"/>
              </w:rPr>
              <w:t xml:space="preserve">Forecasted (future-year) crustal extinction (Mm-1)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E_cm_g90_f</w:t>
            </w:r>
          </w:p>
        </w:tc>
        <w:tc>
          <w:tcPr>
            <w:tcW w:w="0" w:type="auto"/>
          </w:tcPr>
          <w:p>
            <w:pPr>
              <w:spacing w:line="240" w:lineRule="auto"/>
              <w:ind w:left="225"/>
              <w:rPr>
                <w:rFonts w:cs="Times New Roman"/>
                <w:sz w:val="20"/>
                <w:szCs w:val="20"/>
              </w:rPr>
            </w:pPr>
            <w:r>
              <w:rPr>
                <w:rFonts w:cs="Times New Roman"/>
                <w:sz w:val="20"/>
                <w:szCs w:val="20"/>
              </w:rPr>
              <w:t xml:space="preserve">Forecasted (future-year) coarse mass extinction (Mm-1)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E_sea_salt_g90_f</w:t>
            </w:r>
          </w:p>
        </w:tc>
        <w:tc>
          <w:tcPr>
            <w:tcW w:w="0" w:type="auto"/>
          </w:tcPr>
          <w:p>
            <w:pPr>
              <w:spacing w:line="240" w:lineRule="auto"/>
              <w:ind w:left="225"/>
              <w:rPr>
                <w:rFonts w:cs="Times New Roman"/>
                <w:sz w:val="20"/>
                <w:szCs w:val="20"/>
              </w:rPr>
            </w:pPr>
            <w:r>
              <w:rPr>
                <w:rFonts w:cs="Times New Roman"/>
                <w:sz w:val="20"/>
                <w:szCs w:val="20"/>
              </w:rPr>
              <w:t xml:space="preserve">Forecasted (future-year) sea salt extinction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tbext_g90_f</w:t>
            </w:r>
          </w:p>
        </w:tc>
        <w:tc>
          <w:tcPr>
            <w:tcW w:w="0" w:type="auto"/>
          </w:tcPr>
          <w:p>
            <w:pPr>
              <w:spacing w:line="240" w:lineRule="auto"/>
              <w:ind w:left="225"/>
              <w:rPr>
                <w:rFonts w:cs="Times New Roman"/>
                <w:sz w:val="20"/>
                <w:szCs w:val="20"/>
              </w:rPr>
            </w:pPr>
            <w:r>
              <w:rPr>
                <w:rFonts w:cs="Times New Roman"/>
                <w:sz w:val="20"/>
                <w:szCs w:val="20"/>
              </w:rPr>
              <w:t xml:space="preserve">Forecasted (future-year) total bext (includes site specific Rayleigh scattering) for 20% worst days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rrf_g10_crustal</w:t>
            </w:r>
          </w:p>
        </w:tc>
        <w:tc>
          <w:tcPr>
            <w:tcW w:w="0" w:type="auto"/>
          </w:tcPr>
          <w:p>
            <w:pPr>
              <w:spacing w:line="240" w:lineRule="auto"/>
              <w:ind w:left="225"/>
              <w:rPr>
                <w:rFonts w:cs="Times New Roman"/>
                <w:sz w:val="20"/>
                <w:szCs w:val="20"/>
              </w:rPr>
            </w:pPr>
            <w:r>
              <w:rPr>
                <w:rFonts w:cs="Times New Roman"/>
                <w:sz w:val="20"/>
                <w:szCs w:val="20"/>
              </w:rPr>
              <w:t>Relative response factor (RRF) for crustal matter on the best visibility days</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rrf_g10_no3</w:t>
            </w:r>
          </w:p>
        </w:tc>
        <w:tc>
          <w:tcPr>
            <w:tcW w:w="0" w:type="auto"/>
          </w:tcPr>
          <w:p>
            <w:pPr>
              <w:spacing w:line="240" w:lineRule="auto"/>
              <w:ind w:left="225"/>
              <w:rPr>
                <w:rFonts w:cs="Times New Roman"/>
                <w:sz w:val="20"/>
                <w:szCs w:val="20"/>
              </w:rPr>
            </w:pPr>
            <w:r>
              <w:rPr>
                <w:rFonts w:cs="Times New Roman"/>
                <w:sz w:val="20"/>
                <w:szCs w:val="20"/>
              </w:rPr>
              <w:t>RRF for nitrate on the best visibility days</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rrf_g10_oc</w:t>
            </w:r>
          </w:p>
        </w:tc>
        <w:tc>
          <w:tcPr>
            <w:tcW w:w="0" w:type="auto"/>
          </w:tcPr>
          <w:p>
            <w:pPr>
              <w:spacing w:line="240" w:lineRule="auto"/>
              <w:ind w:left="225"/>
              <w:rPr>
                <w:rFonts w:cs="Times New Roman"/>
                <w:sz w:val="20"/>
                <w:szCs w:val="20"/>
              </w:rPr>
            </w:pPr>
            <w:r>
              <w:rPr>
                <w:rFonts w:cs="Times New Roman"/>
                <w:sz w:val="20"/>
                <w:szCs w:val="20"/>
              </w:rPr>
              <w:t>RRF for organic mass on the best visibility days</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rrf_g10_ec</w:t>
            </w:r>
          </w:p>
        </w:tc>
        <w:tc>
          <w:tcPr>
            <w:tcW w:w="0" w:type="auto"/>
          </w:tcPr>
          <w:p>
            <w:pPr>
              <w:spacing w:line="240" w:lineRule="auto"/>
              <w:ind w:left="225"/>
              <w:rPr>
                <w:rFonts w:cs="Times New Roman"/>
                <w:sz w:val="20"/>
                <w:szCs w:val="20"/>
              </w:rPr>
            </w:pPr>
            <w:r>
              <w:rPr>
                <w:rFonts w:cs="Times New Roman"/>
                <w:sz w:val="20"/>
                <w:szCs w:val="20"/>
              </w:rPr>
              <w:t>RRF for elemental carbon on the best visibility days</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rrf_g10_cm</w:t>
            </w:r>
          </w:p>
        </w:tc>
        <w:tc>
          <w:tcPr>
            <w:tcW w:w="0" w:type="auto"/>
          </w:tcPr>
          <w:p>
            <w:pPr>
              <w:spacing w:line="240" w:lineRule="auto"/>
              <w:ind w:left="225"/>
              <w:rPr>
                <w:rFonts w:cs="Times New Roman"/>
                <w:sz w:val="20"/>
                <w:szCs w:val="20"/>
              </w:rPr>
            </w:pPr>
            <w:r>
              <w:rPr>
                <w:rFonts w:cs="Times New Roman"/>
                <w:sz w:val="20"/>
                <w:szCs w:val="20"/>
              </w:rPr>
              <w:t>RRF for coarse matter (PM</w:t>
            </w:r>
            <w:r>
              <w:rPr>
                <w:rFonts w:cs="Times New Roman"/>
                <w:sz w:val="20"/>
                <w:szCs w:val="20"/>
                <w:vertAlign w:val="subscript"/>
              </w:rPr>
              <w:t>10</w:t>
            </w:r>
            <w:r>
              <w:rPr>
                <w:rFonts w:cs="Times New Roman"/>
                <w:sz w:val="20"/>
                <w:szCs w:val="20"/>
              </w:rPr>
              <w:t xml:space="preserve"> minus PM</w:t>
            </w:r>
            <w:r>
              <w:rPr>
                <w:rFonts w:cs="Times New Roman"/>
                <w:sz w:val="20"/>
                <w:szCs w:val="20"/>
                <w:vertAlign w:val="subscript"/>
              </w:rPr>
              <w:t>2.5</w:t>
            </w:r>
            <w:r>
              <w:rPr>
                <w:rFonts w:cs="Times New Roman"/>
                <w:sz w:val="20"/>
                <w:szCs w:val="20"/>
              </w:rPr>
              <w:t>) on the best visibility days</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rrf_g10_so4</w:t>
            </w:r>
          </w:p>
        </w:tc>
        <w:tc>
          <w:tcPr>
            <w:tcW w:w="0" w:type="auto"/>
          </w:tcPr>
          <w:p>
            <w:pPr>
              <w:spacing w:line="240" w:lineRule="auto"/>
              <w:ind w:left="225"/>
              <w:rPr>
                <w:rFonts w:cs="Times New Roman"/>
                <w:sz w:val="20"/>
                <w:szCs w:val="20"/>
              </w:rPr>
            </w:pPr>
            <w:r>
              <w:rPr>
                <w:rFonts w:cs="Times New Roman"/>
                <w:sz w:val="20"/>
                <w:szCs w:val="20"/>
              </w:rPr>
              <w:t>RRF for sulfate on the best visibility days</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rrf_g90_crustal</w:t>
            </w:r>
          </w:p>
        </w:tc>
        <w:tc>
          <w:tcPr>
            <w:tcW w:w="0" w:type="auto"/>
          </w:tcPr>
          <w:p>
            <w:pPr>
              <w:spacing w:line="240" w:lineRule="auto"/>
              <w:ind w:left="225"/>
              <w:rPr>
                <w:rFonts w:cs="Times New Roman"/>
                <w:sz w:val="20"/>
                <w:szCs w:val="20"/>
              </w:rPr>
            </w:pPr>
            <w:r>
              <w:rPr>
                <w:rFonts w:cs="Times New Roman"/>
                <w:sz w:val="20"/>
                <w:szCs w:val="20"/>
              </w:rPr>
              <w:t>RRF for crustal matter on the worst visibility days</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rrf_g90_no3</w:t>
            </w:r>
          </w:p>
        </w:tc>
        <w:tc>
          <w:tcPr>
            <w:tcW w:w="0" w:type="auto"/>
          </w:tcPr>
          <w:p>
            <w:pPr>
              <w:spacing w:line="240" w:lineRule="auto"/>
              <w:ind w:left="225"/>
              <w:rPr>
                <w:rFonts w:cs="Times New Roman"/>
                <w:sz w:val="20"/>
                <w:szCs w:val="20"/>
              </w:rPr>
            </w:pPr>
            <w:r>
              <w:rPr>
                <w:rFonts w:cs="Times New Roman"/>
                <w:sz w:val="20"/>
                <w:szCs w:val="20"/>
              </w:rPr>
              <w:t>RRF for nitrate on the worst visibility days</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rrf_g90_oc</w:t>
            </w:r>
          </w:p>
        </w:tc>
        <w:tc>
          <w:tcPr>
            <w:tcW w:w="0" w:type="auto"/>
          </w:tcPr>
          <w:p>
            <w:pPr>
              <w:spacing w:line="240" w:lineRule="auto"/>
              <w:ind w:left="225"/>
              <w:rPr>
                <w:rFonts w:cs="Times New Roman"/>
                <w:sz w:val="20"/>
                <w:szCs w:val="20"/>
              </w:rPr>
            </w:pPr>
            <w:r>
              <w:rPr>
                <w:rFonts w:cs="Times New Roman"/>
                <w:sz w:val="20"/>
                <w:szCs w:val="20"/>
              </w:rPr>
              <w:t>RRF for organic mass on the worst visibility days</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rrf_g90_ec</w:t>
            </w:r>
          </w:p>
        </w:tc>
        <w:tc>
          <w:tcPr>
            <w:tcW w:w="0" w:type="auto"/>
          </w:tcPr>
          <w:p>
            <w:pPr>
              <w:spacing w:line="240" w:lineRule="auto"/>
              <w:ind w:left="225"/>
              <w:rPr>
                <w:rFonts w:cs="Times New Roman"/>
                <w:sz w:val="20"/>
                <w:szCs w:val="20"/>
              </w:rPr>
            </w:pPr>
            <w:r>
              <w:rPr>
                <w:rFonts w:cs="Times New Roman"/>
                <w:sz w:val="20"/>
                <w:szCs w:val="20"/>
              </w:rPr>
              <w:t>RRF for elemental carbon on the worst visibility days</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rrf_g90_cm</w:t>
            </w:r>
          </w:p>
        </w:tc>
        <w:tc>
          <w:tcPr>
            <w:tcW w:w="0" w:type="auto"/>
          </w:tcPr>
          <w:p>
            <w:pPr>
              <w:spacing w:line="240" w:lineRule="auto"/>
              <w:ind w:left="225"/>
              <w:rPr>
                <w:rFonts w:cs="Times New Roman"/>
                <w:sz w:val="20"/>
                <w:szCs w:val="20"/>
              </w:rPr>
            </w:pPr>
            <w:r>
              <w:rPr>
                <w:rFonts w:cs="Times New Roman"/>
                <w:sz w:val="20"/>
                <w:szCs w:val="20"/>
              </w:rPr>
              <w:t>RRF for coarse matter (PM</w:t>
            </w:r>
            <w:r>
              <w:rPr>
                <w:rFonts w:cs="Times New Roman"/>
                <w:sz w:val="20"/>
                <w:szCs w:val="20"/>
                <w:vertAlign w:val="subscript"/>
              </w:rPr>
              <w:t>10</w:t>
            </w:r>
            <w:r>
              <w:rPr>
                <w:rFonts w:cs="Times New Roman"/>
                <w:sz w:val="20"/>
                <w:szCs w:val="20"/>
              </w:rPr>
              <w:t xml:space="preserve"> minus PM</w:t>
            </w:r>
            <w:r>
              <w:rPr>
                <w:rFonts w:cs="Times New Roman"/>
                <w:sz w:val="20"/>
                <w:szCs w:val="20"/>
                <w:vertAlign w:val="subscript"/>
              </w:rPr>
              <w:t>2.5</w:t>
            </w:r>
            <w:r>
              <w:rPr>
                <w:rFonts w:cs="Times New Roman"/>
                <w:sz w:val="20"/>
                <w:szCs w:val="20"/>
              </w:rPr>
              <w:t>) on the worst visibility days</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bottom"/>
          </w:tcPr>
          <w:p>
            <w:pPr>
              <w:spacing w:line="240" w:lineRule="auto"/>
              <w:ind w:left="225"/>
              <w:jc w:val="left"/>
              <w:rPr>
                <w:rFonts w:cs="Times New Roman"/>
                <w:color w:val="000000"/>
                <w:sz w:val="20"/>
                <w:szCs w:val="20"/>
              </w:rPr>
            </w:pPr>
            <w:r>
              <w:rPr>
                <w:rFonts w:cs="Times New Roman"/>
                <w:color w:val="000000"/>
                <w:sz w:val="20"/>
                <w:szCs w:val="20"/>
              </w:rPr>
              <w:t>rrf_g90_so4</w:t>
            </w:r>
          </w:p>
        </w:tc>
        <w:tc>
          <w:tcPr>
            <w:tcW w:w="0" w:type="auto"/>
          </w:tcPr>
          <w:p>
            <w:pPr>
              <w:spacing w:line="240" w:lineRule="auto"/>
              <w:ind w:left="225"/>
              <w:rPr>
                <w:rFonts w:cs="Times New Roman"/>
                <w:sz w:val="20"/>
                <w:szCs w:val="20"/>
              </w:rPr>
            </w:pPr>
            <w:r>
              <w:rPr>
                <w:rFonts w:cs="Times New Roman"/>
                <w:sz w:val="20"/>
                <w:szCs w:val="20"/>
              </w:rPr>
              <w:t>RRF for sulfate on the worst visibility days</w:t>
            </w:r>
          </w:p>
        </w:tc>
      </w:tr>
    </w:tbl>
    <w:p>
      <w:pPr>
        <w:rPr>
          <w:b/>
          <w:u w:val="single"/>
        </w:rPr>
      </w:pPr>
    </w:p>
    <w:p>
      <w:pPr>
        <w:pStyle w:val="5"/>
      </w:pPr>
      <w:r>
        <w:t>Forecasted Visibility - all design values.csv</w:t>
      </w:r>
    </w:p>
    <w:p>
      <w:pPr>
        <w:widowControl/>
        <w:autoSpaceDE w:val="0"/>
        <w:autoSpaceDN w:val="0"/>
        <w:adjustRightInd w:val="0"/>
        <w:jc w:val="left"/>
        <w:rPr>
          <w:rFonts w:cs="Times New Roman"/>
          <w:color w:val="000000"/>
          <w:kern w:val="0"/>
          <w:szCs w:val="24"/>
        </w:rPr>
      </w:pPr>
      <w:r>
        <w:rPr>
          <w:bCs/>
        </w:rPr>
        <w:t>This format of this file is same as the “Forecasted Visibility Data.csv”. The first row specifies the frequency of the data (e.g., Year). The second row presents comma-separated variable names. The third row begins the data values. The difference is that each row (from third row) in this file is the forecasted visibility data for a specified year instead of 5-year average in “Forecasted Visibility Data.csv”.</w:t>
      </w:r>
    </w:p>
    <w:p>
      <w:pPr>
        <w:pStyle w:val="5"/>
      </w:pPr>
      <w:r>
        <w:t>Class 1 Area and IMPROVE Monitor Identifiers and Locations.csv</w:t>
      </w:r>
    </w:p>
    <w:p>
      <w:pPr>
        <w:widowControl/>
        <w:autoSpaceDE w:val="0"/>
        <w:autoSpaceDN w:val="0"/>
        <w:adjustRightInd w:val="0"/>
        <w:jc w:val="left"/>
        <w:rPr>
          <w:rFonts w:cs="Times New Roman"/>
          <w:kern w:val="0"/>
          <w:szCs w:val="24"/>
        </w:rPr>
      </w:pPr>
      <w:r>
        <w:rPr>
          <w:rFonts w:cs="Times New Roman"/>
          <w:kern w:val="0"/>
          <w:szCs w:val="24"/>
        </w:rPr>
        <w:t>The table below describes the variables in the output file. Note that the output data</w:t>
      </w:r>
    </w:p>
    <w:p>
      <w:pPr>
        <w:widowControl/>
        <w:autoSpaceDE w:val="0"/>
        <w:autoSpaceDN w:val="0"/>
        <w:adjustRightInd w:val="0"/>
        <w:jc w:val="left"/>
        <w:rPr>
          <w:rFonts w:cs="Times New Roman"/>
          <w:kern w:val="0"/>
          <w:szCs w:val="24"/>
        </w:rPr>
      </w:pPr>
      <w:r>
        <w:rPr>
          <w:rFonts w:cs="Times New Roman"/>
          <w:kern w:val="0"/>
          <w:szCs w:val="24"/>
        </w:rPr>
        <w:t>includes a number of variables, so in the sample output below we have divided the</w:t>
      </w:r>
    </w:p>
    <w:p>
      <w:pPr>
        <w:widowControl/>
        <w:autoSpaceDE w:val="0"/>
        <w:autoSpaceDN w:val="0"/>
        <w:adjustRightInd w:val="0"/>
        <w:jc w:val="left"/>
        <w:rPr>
          <w:rFonts w:cs="Times New Roman"/>
          <w:kern w:val="0"/>
          <w:szCs w:val="24"/>
        </w:rPr>
      </w:pPr>
      <w:r>
        <w:rPr>
          <w:rFonts w:cs="Times New Roman"/>
          <w:kern w:val="0"/>
          <w:szCs w:val="24"/>
        </w:rPr>
        <w:t>variables into two blocks. In a file actually generated by SMAT-CE, these two blocks would be combined.</w:t>
      </w:r>
    </w:p>
    <w:p>
      <w:pPr>
        <w:pStyle w:val="12"/>
        <w:keepNext/>
        <w:rPr>
          <w:rFonts w:cs="Times New Roman"/>
          <w:kern w:val="0"/>
          <w:szCs w:val="24"/>
        </w:rPr>
      </w:pPr>
      <w:bookmarkStart w:id="480" w:name="_Toc20643"/>
      <w:bookmarkStart w:id="481" w:name="_Toc10569"/>
      <w:r>
        <w:rPr>
          <w:b w:val="0"/>
          <w:bCs/>
          <w:i/>
          <w:iCs/>
        </w:rPr>
        <w:t xml:space="preserve">Table </w:t>
      </w:r>
      <w:r>
        <w:rPr>
          <w:b w:val="0"/>
          <w:bCs/>
          <w:i/>
          <w:iCs/>
        </w:rPr>
        <w:fldChar w:fldCharType="begin"/>
      </w:r>
      <w:r>
        <w:rPr>
          <w:b w:val="0"/>
          <w:bCs/>
          <w:i/>
          <w:iCs/>
        </w:rPr>
        <w:instrText xml:space="preserve"> STYLEREF 1 \s </w:instrText>
      </w:r>
      <w:r>
        <w:rPr>
          <w:b w:val="0"/>
          <w:bCs/>
          <w:i/>
          <w:iCs/>
        </w:rPr>
        <w:fldChar w:fldCharType="separate"/>
      </w:r>
      <w:r>
        <w:rPr>
          <w:b w:val="0"/>
          <w:bCs/>
          <w:i/>
          <w:iCs/>
        </w:rPr>
        <w:t>9</w:t>
      </w:r>
      <w:r>
        <w:rPr>
          <w:b w:val="0"/>
          <w:bCs/>
          <w:i/>
          <w:iCs/>
        </w:rPr>
        <w:fldChar w:fldCharType="end"/>
      </w:r>
      <w:r>
        <w:rPr>
          <w:rFonts w:hint="eastAsia"/>
          <w:b w:val="0"/>
          <w:bCs/>
          <w:i/>
          <w:iCs/>
        </w:rPr>
        <w:t>-</w:t>
      </w:r>
      <w:r>
        <w:rPr>
          <w:b w:val="0"/>
          <w:bCs/>
          <w:i/>
          <w:iCs/>
        </w:rPr>
        <w:fldChar w:fldCharType="begin"/>
      </w:r>
      <w:r>
        <w:rPr>
          <w:b w:val="0"/>
          <w:bCs/>
          <w:i/>
          <w:iCs/>
        </w:rPr>
        <w:instrText xml:space="preserve"> SEQ Table \* ARABIC \s 1 </w:instrText>
      </w:r>
      <w:r>
        <w:rPr>
          <w:b w:val="0"/>
          <w:bCs/>
          <w:i/>
          <w:iCs/>
        </w:rPr>
        <w:fldChar w:fldCharType="separate"/>
      </w:r>
      <w:r>
        <w:rPr>
          <w:b w:val="0"/>
          <w:bCs/>
          <w:i/>
          <w:iCs/>
        </w:rPr>
        <w:t>2</w:t>
      </w:r>
      <w:r>
        <w:rPr>
          <w:b w:val="0"/>
          <w:bCs/>
          <w:i/>
          <w:iCs/>
        </w:rPr>
        <w:fldChar w:fldCharType="end"/>
      </w:r>
      <w:r>
        <w:rPr>
          <w:rFonts w:hint="eastAsia"/>
          <w:b w:val="0"/>
          <w:bCs/>
          <w:i/>
          <w:iCs/>
        </w:rPr>
        <w:t xml:space="preserve"> Variables and descriptions for Class 1 Area and IMPROVE Monitor Identifiers and Locations</w:t>
      </w:r>
      <w:bookmarkEnd w:id="480"/>
      <w:bookmarkEnd w:id="481"/>
    </w:p>
    <w:tbl>
      <w:tblPr>
        <w:tblStyle w:val="30"/>
        <w:tblW w:w="0" w:type="auto"/>
        <w:tblInd w:w="-23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31"/>
        <w:gridCol w:w="6595"/>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931" w:type="dxa"/>
          </w:tcPr>
          <w:p>
            <w:pPr>
              <w:ind w:left="225"/>
              <w:rPr>
                <w:b/>
                <w:bCs/>
              </w:rPr>
            </w:pPr>
            <w:r>
              <w:rPr>
                <w:b/>
                <w:bCs/>
              </w:rPr>
              <w:t>Var Name</w:t>
            </w:r>
          </w:p>
        </w:tc>
        <w:tc>
          <w:tcPr>
            <w:tcW w:w="6595" w:type="dxa"/>
          </w:tcPr>
          <w:p>
            <w:pPr>
              <w:ind w:left="225"/>
              <w:rPr>
                <w:b/>
                <w:bCs/>
              </w:rPr>
            </w:pPr>
            <w:r>
              <w:rPr>
                <w:b/>
                <w:bCs/>
              </w:rPr>
              <w:t>Description (variable type)</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931" w:type="dxa"/>
            <w:vAlign w:val="bottom"/>
          </w:tcPr>
          <w:p>
            <w:pPr>
              <w:ind w:left="225"/>
              <w:rPr>
                <w:rFonts w:cs="Times New Roman"/>
                <w:sz w:val="20"/>
                <w:szCs w:val="20"/>
              </w:rPr>
            </w:pPr>
            <w:r>
              <w:rPr>
                <w:rFonts w:cs="Times New Roman"/>
                <w:color w:val="000000"/>
                <w:sz w:val="20"/>
                <w:szCs w:val="20"/>
              </w:rPr>
              <w:t>_id</w:t>
            </w:r>
          </w:p>
        </w:tc>
        <w:tc>
          <w:tcPr>
            <w:tcW w:w="6595" w:type="dxa"/>
          </w:tcPr>
          <w:p>
            <w:pPr>
              <w:ind w:left="225"/>
              <w:rPr>
                <w:rFonts w:cs="Times New Roman"/>
                <w:sz w:val="20"/>
                <w:szCs w:val="20"/>
              </w:rPr>
            </w:pPr>
            <w:r>
              <w:rPr>
                <w:rFonts w:cs="Times New Roman"/>
                <w:sz w:val="20"/>
                <w:szCs w:val="20"/>
              </w:rPr>
              <w:t>Class I Area identification code (text)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931" w:type="dxa"/>
            <w:vAlign w:val="bottom"/>
          </w:tcPr>
          <w:p>
            <w:pPr>
              <w:ind w:left="225"/>
              <w:rPr>
                <w:rFonts w:cs="Times New Roman"/>
                <w:sz w:val="20"/>
                <w:szCs w:val="20"/>
              </w:rPr>
            </w:pPr>
            <w:r>
              <w:rPr>
                <w:rFonts w:cs="Times New Roman"/>
                <w:color w:val="000000"/>
                <w:sz w:val="20"/>
                <w:szCs w:val="20"/>
              </w:rPr>
              <w:t>_type</w:t>
            </w:r>
          </w:p>
        </w:tc>
        <w:tc>
          <w:tcPr>
            <w:tcW w:w="6595" w:type="dxa"/>
          </w:tcPr>
          <w:p>
            <w:pPr>
              <w:ind w:left="225"/>
              <w:rPr>
                <w:rFonts w:cs="Times New Roman"/>
                <w:sz w:val="20"/>
                <w:szCs w:val="20"/>
              </w:rPr>
            </w:pPr>
            <w:r>
              <w:rPr>
                <w:rFonts w:cs="Times New Roman"/>
                <w:sz w:val="20"/>
                <w:szCs w:val="20"/>
              </w:rPr>
              <w:t>Leave blank.</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31" w:type="dxa"/>
            <w:vAlign w:val="bottom"/>
          </w:tcPr>
          <w:p>
            <w:pPr>
              <w:ind w:left="225"/>
              <w:rPr>
                <w:rFonts w:cs="Times New Roman"/>
                <w:sz w:val="20"/>
                <w:szCs w:val="20"/>
              </w:rPr>
            </w:pPr>
            <w:r>
              <w:rPr>
                <w:rFonts w:cs="Times New Roman"/>
                <w:color w:val="000000"/>
                <w:sz w:val="20"/>
                <w:szCs w:val="20"/>
              </w:rPr>
              <w:t>_class_i_name</w:t>
            </w:r>
          </w:p>
        </w:tc>
        <w:tc>
          <w:tcPr>
            <w:tcW w:w="6595" w:type="dxa"/>
          </w:tcPr>
          <w:p>
            <w:pPr>
              <w:ind w:left="225"/>
              <w:rPr>
                <w:rFonts w:cs="Times New Roman"/>
                <w:sz w:val="20"/>
                <w:szCs w:val="20"/>
              </w:rPr>
            </w:pPr>
            <w:r>
              <w:rPr>
                <w:rFonts w:cs="Times New Roman"/>
                <w:sz w:val="20"/>
                <w:szCs w:val="20"/>
              </w:rPr>
              <w:t>Name of Class I Area (text)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31" w:type="dxa"/>
            <w:vAlign w:val="bottom"/>
          </w:tcPr>
          <w:p>
            <w:pPr>
              <w:ind w:left="225"/>
              <w:rPr>
                <w:rFonts w:cs="Times New Roman"/>
                <w:sz w:val="20"/>
                <w:szCs w:val="20"/>
              </w:rPr>
            </w:pPr>
            <w:r>
              <w:rPr>
                <w:rFonts w:cs="Times New Roman"/>
                <w:color w:val="000000"/>
                <w:sz w:val="20"/>
                <w:szCs w:val="20"/>
              </w:rPr>
              <w:t>_class_i_state</w:t>
            </w:r>
          </w:p>
        </w:tc>
        <w:tc>
          <w:tcPr>
            <w:tcW w:w="6595" w:type="dxa"/>
          </w:tcPr>
          <w:p>
            <w:pPr>
              <w:ind w:left="225"/>
              <w:rPr>
                <w:rFonts w:cs="Times New Roman"/>
                <w:sz w:val="20"/>
                <w:szCs w:val="20"/>
              </w:rPr>
            </w:pPr>
            <w:r>
              <w:rPr>
                <w:rFonts w:cs="Times New Roman"/>
                <w:sz w:val="20"/>
                <w:szCs w:val="20"/>
              </w:rPr>
              <w:t>State in which Class I Area is located (text)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931" w:type="dxa"/>
            <w:vAlign w:val="bottom"/>
          </w:tcPr>
          <w:p>
            <w:pPr>
              <w:ind w:left="225"/>
              <w:rPr>
                <w:rFonts w:cs="Times New Roman"/>
                <w:sz w:val="20"/>
                <w:szCs w:val="20"/>
              </w:rPr>
            </w:pPr>
            <w:r>
              <w:rPr>
                <w:rFonts w:cs="Times New Roman"/>
                <w:color w:val="000000"/>
                <w:sz w:val="20"/>
                <w:szCs w:val="20"/>
              </w:rPr>
              <w:t>class_i_lat</w:t>
            </w:r>
          </w:p>
        </w:tc>
        <w:tc>
          <w:tcPr>
            <w:tcW w:w="6595" w:type="dxa"/>
          </w:tcPr>
          <w:p>
            <w:pPr>
              <w:ind w:left="225"/>
              <w:rPr>
                <w:rFonts w:cs="Times New Roman"/>
                <w:sz w:val="20"/>
                <w:szCs w:val="20"/>
              </w:rPr>
            </w:pPr>
            <w:r>
              <w:rPr>
                <w:rFonts w:cs="Times New Roman"/>
                <w:sz w:val="20"/>
                <w:szCs w:val="20"/>
              </w:rPr>
              <w:t>Class I Area centroid latitude (numeric)</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31" w:type="dxa"/>
            <w:vAlign w:val="bottom"/>
          </w:tcPr>
          <w:p>
            <w:pPr>
              <w:ind w:left="225"/>
              <w:rPr>
                <w:rFonts w:cs="Times New Roman"/>
                <w:sz w:val="20"/>
                <w:szCs w:val="20"/>
              </w:rPr>
            </w:pPr>
            <w:r>
              <w:rPr>
                <w:rFonts w:cs="Times New Roman"/>
                <w:color w:val="000000"/>
                <w:sz w:val="20"/>
                <w:szCs w:val="20"/>
              </w:rPr>
              <w:t>class_i_long</w:t>
            </w:r>
          </w:p>
        </w:tc>
        <w:tc>
          <w:tcPr>
            <w:tcW w:w="6595" w:type="dxa"/>
          </w:tcPr>
          <w:p>
            <w:pPr>
              <w:ind w:left="225"/>
              <w:rPr>
                <w:rFonts w:cs="Times New Roman"/>
                <w:sz w:val="20"/>
                <w:szCs w:val="20"/>
              </w:rPr>
            </w:pPr>
            <w:r>
              <w:rPr>
                <w:rFonts w:cs="Times New Roman"/>
                <w:sz w:val="20"/>
                <w:szCs w:val="20"/>
              </w:rPr>
              <w:t>Class I Area centroid longitude (numeric)</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931" w:type="dxa"/>
            <w:vAlign w:val="bottom"/>
          </w:tcPr>
          <w:p>
            <w:pPr>
              <w:ind w:left="225"/>
              <w:rPr>
                <w:rFonts w:cs="Times New Roman"/>
                <w:sz w:val="20"/>
                <w:szCs w:val="20"/>
              </w:rPr>
            </w:pPr>
            <w:r>
              <w:rPr>
                <w:rFonts w:cs="Times New Roman"/>
                <w:color w:val="000000"/>
                <w:sz w:val="20"/>
                <w:szCs w:val="20"/>
              </w:rPr>
              <w:t>class_i_gridcell</w:t>
            </w:r>
          </w:p>
        </w:tc>
        <w:tc>
          <w:tcPr>
            <w:tcW w:w="6595" w:type="dxa"/>
          </w:tcPr>
          <w:p>
            <w:pPr>
              <w:ind w:left="225"/>
              <w:rPr>
                <w:rFonts w:cs="Times New Roman"/>
                <w:sz w:val="20"/>
                <w:szCs w:val="20"/>
              </w:rPr>
            </w:pPr>
            <w:r>
              <w:rPr>
                <w:rFonts w:cs="Times New Roman"/>
                <w:sz w:val="20"/>
                <w:szCs w:val="20"/>
              </w:rPr>
              <w:t>Identifier of grid cell closest to the Class 1 area centroid</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931" w:type="dxa"/>
            <w:vAlign w:val="bottom"/>
          </w:tcPr>
          <w:p>
            <w:pPr>
              <w:ind w:left="225"/>
              <w:rPr>
                <w:rFonts w:cs="Times New Roman"/>
                <w:sz w:val="20"/>
                <w:szCs w:val="20"/>
              </w:rPr>
            </w:pPr>
            <w:r>
              <w:rPr>
                <w:rFonts w:cs="Times New Roman"/>
                <w:color w:val="000000"/>
                <w:sz w:val="20"/>
                <w:szCs w:val="20"/>
              </w:rPr>
              <w:t>date</w:t>
            </w:r>
          </w:p>
        </w:tc>
        <w:tc>
          <w:tcPr>
            <w:tcW w:w="6595" w:type="dxa"/>
          </w:tcPr>
          <w:p>
            <w:pPr>
              <w:ind w:left="225"/>
              <w:rPr>
                <w:rFonts w:cs="Times New Roman"/>
                <w:sz w:val="20"/>
                <w:szCs w:val="20"/>
              </w:rPr>
            </w:pPr>
            <w:r>
              <w:rPr>
                <w:rFonts w:cs="Times New Roman"/>
                <w:sz w:val="20"/>
                <w:szCs w:val="20"/>
              </w:rPr>
              <w:t>Meteorological modeling year</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931" w:type="dxa"/>
            <w:vAlign w:val="bottom"/>
          </w:tcPr>
          <w:p>
            <w:pPr>
              <w:ind w:left="225"/>
              <w:rPr>
                <w:rFonts w:cs="Times New Roman"/>
                <w:sz w:val="20"/>
                <w:szCs w:val="20"/>
              </w:rPr>
            </w:pPr>
            <w:r>
              <w:rPr>
                <w:rFonts w:cs="Times New Roman"/>
                <w:color w:val="000000"/>
                <w:sz w:val="20"/>
                <w:szCs w:val="20"/>
              </w:rPr>
              <w:t>_monitor_id</w:t>
            </w:r>
          </w:p>
        </w:tc>
        <w:tc>
          <w:tcPr>
            <w:tcW w:w="6595" w:type="dxa"/>
          </w:tcPr>
          <w:p>
            <w:pPr>
              <w:ind w:left="225"/>
              <w:rPr>
                <w:rFonts w:cs="Times New Roman"/>
                <w:sz w:val="20"/>
                <w:szCs w:val="20"/>
              </w:rPr>
            </w:pPr>
            <w:r>
              <w:rPr>
                <w:rFonts w:cs="Times New Roman"/>
                <w:sz w:val="20"/>
                <w:szCs w:val="20"/>
              </w:rPr>
              <w:t>IMPROVE monitor identification code (text)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31" w:type="dxa"/>
            <w:vAlign w:val="bottom"/>
          </w:tcPr>
          <w:p>
            <w:pPr>
              <w:ind w:left="225"/>
              <w:rPr>
                <w:rFonts w:cs="Times New Roman"/>
                <w:sz w:val="20"/>
                <w:szCs w:val="20"/>
              </w:rPr>
            </w:pPr>
            <w:r>
              <w:rPr>
                <w:rFonts w:cs="Times New Roman"/>
                <w:color w:val="000000"/>
                <w:sz w:val="20"/>
                <w:szCs w:val="20"/>
              </w:rPr>
              <w:t>monitor_lat</w:t>
            </w:r>
          </w:p>
        </w:tc>
        <w:tc>
          <w:tcPr>
            <w:tcW w:w="6595" w:type="dxa"/>
          </w:tcPr>
          <w:p>
            <w:pPr>
              <w:ind w:left="225"/>
              <w:rPr>
                <w:rFonts w:cs="Times New Roman"/>
                <w:sz w:val="20"/>
                <w:szCs w:val="20"/>
              </w:rPr>
            </w:pPr>
            <w:r>
              <w:rPr>
                <w:rFonts w:cs="Times New Roman"/>
                <w:sz w:val="20"/>
                <w:szCs w:val="20"/>
              </w:rPr>
              <w:t>IMPROVE monitor latitude (numeric)</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1931" w:type="dxa"/>
            <w:vAlign w:val="bottom"/>
          </w:tcPr>
          <w:p>
            <w:pPr>
              <w:ind w:left="225"/>
              <w:rPr>
                <w:rFonts w:cs="Times New Roman"/>
                <w:sz w:val="20"/>
                <w:szCs w:val="20"/>
              </w:rPr>
            </w:pPr>
            <w:r>
              <w:rPr>
                <w:rFonts w:cs="Times New Roman"/>
                <w:color w:val="000000"/>
                <w:sz w:val="20"/>
                <w:szCs w:val="20"/>
              </w:rPr>
              <w:t>monitor_long</w:t>
            </w:r>
          </w:p>
        </w:tc>
        <w:tc>
          <w:tcPr>
            <w:tcW w:w="6595" w:type="dxa"/>
          </w:tcPr>
          <w:p>
            <w:pPr>
              <w:ind w:left="225"/>
              <w:rPr>
                <w:rFonts w:cs="Times New Roman"/>
                <w:sz w:val="20"/>
                <w:szCs w:val="20"/>
              </w:rPr>
            </w:pPr>
            <w:r>
              <w:rPr>
                <w:rFonts w:cs="Times New Roman"/>
                <w:sz w:val="20"/>
                <w:szCs w:val="20"/>
              </w:rPr>
              <w:t>IMPROVE monitor longitude (numeric)</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931" w:type="dxa"/>
            <w:vAlign w:val="bottom"/>
          </w:tcPr>
          <w:p>
            <w:pPr>
              <w:ind w:left="225"/>
              <w:rPr>
                <w:rFonts w:cs="Times New Roman"/>
                <w:sz w:val="20"/>
                <w:szCs w:val="20"/>
              </w:rPr>
            </w:pPr>
            <w:r>
              <w:rPr>
                <w:rFonts w:cs="Times New Roman"/>
                <w:color w:val="000000"/>
                <w:sz w:val="20"/>
                <w:szCs w:val="20"/>
              </w:rPr>
              <w:t>monitor_gridcell</w:t>
            </w:r>
          </w:p>
        </w:tc>
        <w:tc>
          <w:tcPr>
            <w:tcW w:w="6595" w:type="dxa"/>
          </w:tcPr>
          <w:p>
            <w:pPr>
              <w:ind w:left="225"/>
              <w:rPr>
                <w:rFonts w:cs="Times New Roman"/>
                <w:sz w:val="20"/>
                <w:szCs w:val="20"/>
              </w:rPr>
            </w:pPr>
            <w:r>
              <w:rPr>
                <w:rFonts w:cs="Times New Roman"/>
                <w:sz w:val="20"/>
                <w:szCs w:val="20"/>
              </w:rPr>
              <w:t>Identifier of grid cell closest to the monitor</w:t>
            </w:r>
          </w:p>
        </w:tc>
      </w:tr>
    </w:tbl>
    <w:p>
      <w:pPr>
        <w:pStyle w:val="5"/>
        <w:rPr>
          <w:b w:val="0"/>
        </w:rPr>
      </w:pPr>
      <w:r>
        <w:t>Used Model Reference Cells - Base/Future/Delta Data.csv</w:t>
      </w:r>
    </w:p>
    <w:p>
      <w:pPr>
        <w:widowControl/>
        <w:autoSpaceDE w:val="0"/>
        <w:autoSpaceDN w:val="0"/>
        <w:adjustRightInd w:val="0"/>
        <w:spacing w:line="240" w:lineRule="auto"/>
        <w:jc w:val="left"/>
        <w:rPr>
          <w:rFonts w:cs="Times New Roman"/>
          <w:kern w:val="0"/>
          <w:szCs w:val="24"/>
        </w:rPr>
      </w:pPr>
      <w:r>
        <w:rPr>
          <w:rFonts w:cs="Times New Roman"/>
          <w:kern w:val="0"/>
          <w:szCs w:val="24"/>
        </w:rPr>
        <w:t>The table below describes the variables in the output file.</w:t>
      </w:r>
    </w:p>
    <w:p>
      <w:pPr>
        <w:pStyle w:val="12"/>
        <w:keepNext/>
        <w:rPr>
          <w:rFonts w:cs="Times New Roman"/>
          <w:kern w:val="0"/>
          <w:szCs w:val="24"/>
        </w:rPr>
      </w:pPr>
      <w:bookmarkStart w:id="482" w:name="_Toc29253"/>
      <w:bookmarkStart w:id="483" w:name="_Toc12583"/>
      <w:r>
        <w:rPr>
          <w:b w:val="0"/>
          <w:bCs/>
          <w:i/>
          <w:iCs/>
        </w:rPr>
        <w:t xml:space="preserve">Table </w:t>
      </w:r>
      <w:r>
        <w:rPr>
          <w:b w:val="0"/>
          <w:bCs/>
          <w:i/>
          <w:iCs/>
        </w:rPr>
        <w:fldChar w:fldCharType="begin"/>
      </w:r>
      <w:r>
        <w:rPr>
          <w:b w:val="0"/>
          <w:bCs/>
          <w:i/>
          <w:iCs/>
        </w:rPr>
        <w:instrText xml:space="preserve"> STYLEREF 1 \s </w:instrText>
      </w:r>
      <w:r>
        <w:rPr>
          <w:b w:val="0"/>
          <w:bCs/>
          <w:i/>
          <w:iCs/>
        </w:rPr>
        <w:fldChar w:fldCharType="separate"/>
      </w:r>
      <w:r>
        <w:rPr>
          <w:b w:val="0"/>
          <w:bCs/>
          <w:i/>
          <w:iCs/>
        </w:rPr>
        <w:t>9</w:t>
      </w:r>
      <w:r>
        <w:rPr>
          <w:b w:val="0"/>
          <w:bCs/>
          <w:i/>
          <w:iCs/>
        </w:rPr>
        <w:fldChar w:fldCharType="end"/>
      </w:r>
      <w:r>
        <w:rPr>
          <w:rFonts w:hint="eastAsia"/>
          <w:b w:val="0"/>
          <w:bCs/>
          <w:i/>
          <w:iCs/>
        </w:rPr>
        <w:t>-</w:t>
      </w:r>
      <w:r>
        <w:rPr>
          <w:b w:val="0"/>
          <w:bCs/>
          <w:i/>
          <w:iCs/>
        </w:rPr>
        <w:fldChar w:fldCharType="begin"/>
      </w:r>
      <w:r>
        <w:rPr>
          <w:b w:val="0"/>
          <w:bCs/>
          <w:i/>
          <w:iCs/>
        </w:rPr>
        <w:instrText xml:space="preserve"> SEQ Table \* ARABIC \s 1 </w:instrText>
      </w:r>
      <w:r>
        <w:rPr>
          <w:b w:val="0"/>
          <w:bCs/>
          <w:i/>
          <w:iCs/>
        </w:rPr>
        <w:fldChar w:fldCharType="separate"/>
      </w:r>
      <w:r>
        <w:rPr>
          <w:b w:val="0"/>
          <w:bCs/>
          <w:i/>
          <w:iCs/>
        </w:rPr>
        <w:t>3</w:t>
      </w:r>
      <w:r>
        <w:rPr>
          <w:b w:val="0"/>
          <w:bCs/>
          <w:i/>
          <w:iCs/>
        </w:rPr>
        <w:fldChar w:fldCharType="end"/>
      </w:r>
      <w:r>
        <w:rPr>
          <w:rFonts w:hint="eastAsia"/>
          <w:b w:val="0"/>
          <w:bCs/>
          <w:i/>
          <w:iCs/>
        </w:rPr>
        <w:t xml:space="preserve"> Variables and descriptions for Base/Future/Delta Data</w:t>
      </w:r>
      <w:bookmarkEnd w:id="482"/>
      <w:bookmarkEnd w:id="483"/>
    </w:p>
    <w:tbl>
      <w:tblPr>
        <w:tblStyle w:val="30"/>
        <w:tblW w:w="0" w:type="auto"/>
        <w:tblInd w:w="-23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0"/>
        <w:gridCol w:w="6736"/>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790" w:type="dxa"/>
          </w:tcPr>
          <w:p>
            <w:pPr>
              <w:ind w:left="225"/>
              <w:rPr>
                <w:rFonts w:cs="Times New Roman"/>
                <w:b/>
                <w:bCs/>
                <w:sz w:val="20"/>
                <w:szCs w:val="20"/>
              </w:rPr>
            </w:pPr>
            <w:r>
              <w:rPr>
                <w:rFonts w:cs="Times New Roman"/>
                <w:b/>
                <w:bCs/>
                <w:sz w:val="20"/>
                <w:szCs w:val="20"/>
              </w:rPr>
              <w:t>Var Name</w:t>
            </w:r>
          </w:p>
        </w:tc>
        <w:tc>
          <w:tcPr>
            <w:tcW w:w="6736" w:type="dxa"/>
          </w:tcPr>
          <w:p>
            <w:pPr>
              <w:ind w:left="225"/>
              <w:rPr>
                <w:rFonts w:cs="Times New Roman"/>
                <w:b/>
                <w:bCs/>
                <w:sz w:val="20"/>
                <w:szCs w:val="20"/>
              </w:rPr>
            </w:pPr>
            <w:r>
              <w:rPr>
                <w:rFonts w:cs="Times New Roman"/>
                <w:b/>
                <w:bCs/>
                <w:sz w:val="20"/>
                <w:szCs w:val="20"/>
              </w:rPr>
              <w:t>Description</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790" w:type="dxa"/>
            <w:vAlign w:val="bottom"/>
          </w:tcPr>
          <w:p>
            <w:pPr>
              <w:ind w:left="225"/>
              <w:rPr>
                <w:rFonts w:cs="Times New Roman"/>
                <w:sz w:val="20"/>
                <w:szCs w:val="20"/>
              </w:rPr>
            </w:pPr>
            <w:r>
              <w:rPr>
                <w:rFonts w:cs="Times New Roman"/>
                <w:color w:val="000000"/>
                <w:sz w:val="20"/>
                <w:szCs w:val="20"/>
              </w:rPr>
              <w:t>_id</w:t>
            </w:r>
          </w:p>
        </w:tc>
        <w:tc>
          <w:tcPr>
            <w:tcW w:w="6736" w:type="dxa"/>
          </w:tcPr>
          <w:p>
            <w:pPr>
              <w:ind w:left="225"/>
              <w:rPr>
                <w:rFonts w:cs="Times New Roman"/>
                <w:sz w:val="20"/>
                <w:szCs w:val="20"/>
              </w:rPr>
            </w:pPr>
            <w:r>
              <w:rPr>
                <w:rFonts w:cs="Times New Roman"/>
                <w:sz w:val="20"/>
                <w:szCs w:val="20"/>
              </w:rPr>
              <w:t>The ID is a unique name for each monitor in a particular location. The default value is the column identifier multiplied by 1000 plus the row. (This is a character variable.)</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259" w:hRule="atLeast"/>
        </w:trPr>
        <w:tc>
          <w:tcPr>
            <w:tcW w:w="1790" w:type="dxa"/>
            <w:vAlign w:val="bottom"/>
          </w:tcPr>
          <w:p>
            <w:pPr>
              <w:ind w:left="225"/>
              <w:rPr>
                <w:rFonts w:cs="Times New Roman"/>
                <w:sz w:val="20"/>
                <w:szCs w:val="20"/>
              </w:rPr>
            </w:pPr>
            <w:r>
              <w:rPr>
                <w:rFonts w:cs="Times New Roman"/>
                <w:color w:val="000000"/>
                <w:sz w:val="20"/>
                <w:szCs w:val="20"/>
              </w:rPr>
              <w:t>_type</w:t>
            </w:r>
          </w:p>
        </w:tc>
        <w:tc>
          <w:tcPr>
            <w:tcW w:w="6736" w:type="dxa"/>
          </w:tcPr>
          <w:p>
            <w:pPr>
              <w:ind w:left="225"/>
              <w:rPr>
                <w:rFonts w:cs="Times New Roman"/>
                <w:sz w:val="20"/>
                <w:szCs w:val="20"/>
              </w:rPr>
            </w:pPr>
            <w:r>
              <w:rPr>
                <w:rFonts w:cs="Times New Roman"/>
                <w:sz w:val="20"/>
                <w:szCs w:val="20"/>
              </w:rPr>
              <w:t>Leave blank.</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790" w:type="dxa"/>
            <w:vAlign w:val="bottom"/>
          </w:tcPr>
          <w:p>
            <w:pPr>
              <w:ind w:left="225"/>
              <w:rPr>
                <w:rFonts w:cs="Times New Roman"/>
                <w:sz w:val="20"/>
                <w:szCs w:val="20"/>
              </w:rPr>
            </w:pPr>
            <w:r>
              <w:rPr>
                <w:rFonts w:cs="Times New Roman"/>
                <w:color w:val="000000"/>
                <w:sz w:val="20"/>
                <w:szCs w:val="20"/>
              </w:rPr>
              <w:t>gridcell_lat</w:t>
            </w:r>
          </w:p>
        </w:tc>
        <w:tc>
          <w:tcPr>
            <w:tcW w:w="6736" w:type="dxa"/>
          </w:tcPr>
          <w:p>
            <w:pPr>
              <w:ind w:left="225"/>
              <w:rPr>
                <w:rFonts w:cs="Times New Roman"/>
                <w:sz w:val="20"/>
                <w:szCs w:val="20"/>
              </w:rPr>
            </w:pPr>
            <w:r>
              <w:rPr>
                <w:rFonts w:cs="Times New Roman"/>
                <w:sz w:val="20"/>
                <w:szCs w:val="20"/>
              </w:rPr>
              <w:t>Latitude at the grid cell centroid in decimal degrees. Values in the northern hemisphere are positive, and those in the southern hemisphere are negative.</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441" w:hRule="atLeast"/>
        </w:trPr>
        <w:tc>
          <w:tcPr>
            <w:tcW w:w="1790" w:type="dxa"/>
            <w:vAlign w:val="bottom"/>
          </w:tcPr>
          <w:p>
            <w:pPr>
              <w:ind w:left="225"/>
              <w:rPr>
                <w:rFonts w:cs="Times New Roman"/>
                <w:sz w:val="20"/>
                <w:szCs w:val="20"/>
              </w:rPr>
            </w:pPr>
            <w:r>
              <w:rPr>
                <w:rFonts w:cs="Times New Roman"/>
                <w:color w:val="000000"/>
                <w:sz w:val="20"/>
                <w:szCs w:val="20"/>
              </w:rPr>
              <w:t>gridcell_long</w:t>
            </w:r>
          </w:p>
        </w:tc>
        <w:tc>
          <w:tcPr>
            <w:tcW w:w="6736" w:type="dxa"/>
          </w:tcPr>
          <w:p>
            <w:pPr>
              <w:ind w:left="225"/>
              <w:rPr>
                <w:rFonts w:cs="Times New Roman"/>
                <w:sz w:val="20"/>
                <w:szCs w:val="20"/>
              </w:rPr>
            </w:pPr>
            <w:r>
              <w:rPr>
                <w:rFonts w:cs="Times New Roman"/>
                <w:sz w:val="20"/>
                <w:szCs w:val="20"/>
              </w:rPr>
              <w:t>Longitude at the grid cell centroid in decimal degrees. Values in the eastern</w:t>
            </w:r>
          </w:p>
          <w:p>
            <w:pPr>
              <w:ind w:left="225"/>
              <w:rPr>
                <w:rFonts w:cs="Times New Roman"/>
                <w:sz w:val="20"/>
                <w:szCs w:val="20"/>
              </w:rPr>
            </w:pPr>
            <w:r>
              <w:rPr>
                <w:rFonts w:cs="Times New Roman"/>
                <w:sz w:val="20"/>
                <w:szCs w:val="20"/>
              </w:rPr>
              <w:t>hemisphere are positive, and those in the western hemisphere (e.g., United States) are negative.</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790" w:type="dxa"/>
            <w:vAlign w:val="bottom"/>
          </w:tcPr>
          <w:p>
            <w:pPr>
              <w:ind w:left="225"/>
              <w:rPr>
                <w:rFonts w:cs="Times New Roman"/>
                <w:sz w:val="20"/>
                <w:szCs w:val="20"/>
              </w:rPr>
            </w:pPr>
            <w:r>
              <w:rPr>
                <w:rFonts w:cs="Times New Roman"/>
                <w:color w:val="000000"/>
                <w:sz w:val="20"/>
                <w:szCs w:val="20"/>
              </w:rPr>
              <w:t>date</w:t>
            </w:r>
          </w:p>
        </w:tc>
        <w:tc>
          <w:tcPr>
            <w:tcW w:w="6736" w:type="dxa"/>
          </w:tcPr>
          <w:p>
            <w:pPr>
              <w:ind w:left="225"/>
              <w:rPr>
                <w:rFonts w:cs="Times New Roman"/>
                <w:sz w:val="20"/>
                <w:szCs w:val="20"/>
              </w:rPr>
            </w:pPr>
            <w:r>
              <w:rPr>
                <w:rFonts w:cs="Times New Roman"/>
                <w:sz w:val="20"/>
                <w:szCs w:val="20"/>
              </w:rPr>
              <w:t>Date of daily average model value with YYYYMMDD format (This is a numeric variable)</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288" w:hRule="atLeast"/>
        </w:trPr>
        <w:tc>
          <w:tcPr>
            <w:tcW w:w="1790" w:type="dxa"/>
            <w:vAlign w:val="bottom"/>
          </w:tcPr>
          <w:p>
            <w:pPr>
              <w:ind w:left="225"/>
              <w:rPr>
                <w:rFonts w:cs="Times New Roman"/>
                <w:sz w:val="20"/>
                <w:szCs w:val="20"/>
              </w:rPr>
            </w:pPr>
            <w:r>
              <w:rPr>
                <w:rFonts w:cs="Times New Roman"/>
                <w:color w:val="000000"/>
                <w:sz w:val="20"/>
                <w:szCs w:val="20"/>
              </w:rPr>
              <w:t>crustal</w:t>
            </w:r>
          </w:p>
        </w:tc>
        <w:tc>
          <w:tcPr>
            <w:tcW w:w="6736" w:type="dxa"/>
          </w:tcPr>
          <w:p>
            <w:pPr>
              <w:ind w:left="225"/>
              <w:rPr>
                <w:rFonts w:cs="Times New Roman"/>
                <w:sz w:val="20"/>
                <w:szCs w:val="20"/>
              </w:rPr>
            </w:pPr>
            <w:r>
              <w:rPr>
                <w:rFonts w:cs="Times New Roman"/>
                <w:sz w:val="20"/>
                <w:szCs w:val="20"/>
              </w:rPr>
              <w:t>Coarse PM (ug/m3)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790" w:type="dxa"/>
            <w:vAlign w:val="bottom"/>
          </w:tcPr>
          <w:p>
            <w:pPr>
              <w:ind w:left="225"/>
              <w:rPr>
                <w:rFonts w:cs="Times New Roman"/>
                <w:sz w:val="20"/>
                <w:szCs w:val="20"/>
              </w:rPr>
            </w:pPr>
            <w:r>
              <w:rPr>
                <w:rFonts w:cs="Times New Roman"/>
                <w:color w:val="000000"/>
                <w:sz w:val="20"/>
                <w:szCs w:val="20"/>
              </w:rPr>
              <w:t>so4</w:t>
            </w:r>
          </w:p>
        </w:tc>
        <w:tc>
          <w:tcPr>
            <w:tcW w:w="6736" w:type="dxa"/>
          </w:tcPr>
          <w:p>
            <w:pPr>
              <w:ind w:left="225"/>
              <w:rPr>
                <w:rFonts w:cs="Times New Roman"/>
                <w:sz w:val="20"/>
                <w:szCs w:val="20"/>
              </w:rPr>
            </w:pPr>
            <w:r>
              <w:rPr>
                <w:rFonts w:cs="Times New Roman"/>
                <w:sz w:val="20"/>
                <w:szCs w:val="20"/>
              </w:rPr>
              <w:t>Sulfate PM</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355" w:hRule="atLeast"/>
        </w:trPr>
        <w:tc>
          <w:tcPr>
            <w:tcW w:w="1790" w:type="dxa"/>
            <w:vAlign w:val="bottom"/>
          </w:tcPr>
          <w:p>
            <w:pPr>
              <w:ind w:left="225"/>
              <w:rPr>
                <w:rFonts w:cs="Times New Roman"/>
                <w:sz w:val="20"/>
                <w:szCs w:val="20"/>
              </w:rPr>
            </w:pPr>
            <w:r>
              <w:rPr>
                <w:rFonts w:cs="Times New Roman"/>
                <w:color w:val="000000"/>
                <w:sz w:val="20"/>
                <w:szCs w:val="20"/>
              </w:rPr>
              <w:t>ec</w:t>
            </w:r>
          </w:p>
        </w:tc>
        <w:tc>
          <w:tcPr>
            <w:tcW w:w="6736" w:type="dxa"/>
          </w:tcPr>
          <w:p>
            <w:pPr>
              <w:ind w:left="225"/>
              <w:rPr>
                <w:rFonts w:cs="Times New Roman"/>
                <w:sz w:val="20"/>
                <w:szCs w:val="20"/>
              </w:rPr>
            </w:pPr>
            <w:r>
              <w:rPr>
                <w:rFonts w:cs="Times New Roman"/>
                <w:sz w:val="20"/>
                <w:szCs w:val="20"/>
              </w:rPr>
              <w:t>Elemental Carbon</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790" w:type="dxa"/>
            <w:vAlign w:val="bottom"/>
          </w:tcPr>
          <w:p>
            <w:pPr>
              <w:ind w:left="225"/>
              <w:rPr>
                <w:rFonts w:cs="Times New Roman"/>
                <w:sz w:val="20"/>
                <w:szCs w:val="20"/>
              </w:rPr>
            </w:pPr>
            <w:r>
              <w:rPr>
                <w:rFonts w:cs="Times New Roman"/>
                <w:color w:val="000000"/>
                <w:sz w:val="20"/>
                <w:szCs w:val="20"/>
              </w:rPr>
              <w:t>no3</w:t>
            </w:r>
          </w:p>
        </w:tc>
        <w:tc>
          <w:tcPr>
            <w:tcW w:w="6736" w:type="dxa"/>
          </w:tcPr>
          <w:p>
            <w:pPr>
              <w:ind w:left="225"/>
              <w:rPr>
                <w:rFonts w:cs="Times New Roman"/>
                <w:sz w:val="20"/>
                <w:szCs w:val="20"/>
              </w:rPr>
            </w:pPr>
            <w:r>
              <w:rPr>
                <w:rFonts w:cs="Times New Roman"/>
                <w:sz w:val="20"/>
                <w:szCs w:val="20"/>
              </w:rPr>
              <w:t>Nitrate PM</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790" w:type="dxa"/>
            <w:vAlign w:val="bottom"/>
          </w:tcPr>
          <w:p>
            <w:pPr>
              <w:ind w:left="225"/>
              <w:rPr>
                <w:rFonts w:cs="Times New Roman"/>
                <w:sz w:val="20"/>
                <w:szCs w:val="20"/>
              </w:rPr>
            </w:pPr>
            <w:r>
              <w:rPr>
                <w:rFonts w:cs="Times New Roman"/>
                <w:color w:val="000000"/>
                <w:sz w:val="20"/>
                <w:szCs w:val="20"/>
              </w:rPr>
              <w:t>oc</w:t>
            </w:r>
          </w:p>
        </w:tc>
        <w:tc>
          <w:tcPr>
            <w:tcW w:w="6736" w:type="dxa"/>
          </w:tcPr>
          <w:p>
            <w:pPr>
              <w:ind w:left="225"/>
              <w:rPr>
                <w:rFonts w:cs="Times New Roman"/>
                <w:sz w:val="20"/>
                <w:szCs w:val="20"/>
              </w:rPr>
            </w:pPr>
            <w:r>
              <w:rPr>
                <w:rFonts w:cs="Times New Roman"/>
                <w:sz w:val="20"/>
                <w:szCs w:val="20"/>
              </w:rPr>
              <w:t>Organic carbon PM</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1790" w:type="dxa"/>
            <w:vAlign w:val="bottom"/>
          </w:tcPr>
          <w:p>
            <w:pPr>
              <w:ind w:left="225"/>
              <w:rPr>
                <w:rFonts w:cs="Times New Roman"/>
                <w:sz w:val="20"/>
                <w:szCs w:val="20"/>
              </w:rPr>
            </w:pPr>
            <w:r>
              <w:rPr>
                <w:rFonts w:cs="Times New Roman"/>
                <w:color w:val="000000"/>
                <w:sz w:val="20"/>
                <w:szCs w:val="20"/>
              </w:rPr>
              <w:t>cm</w:t>
            </w:r>
          </w:p>
        </w:tc>
        <w:tc>
          <w:tcPr>
            <w:tcW w:w="6736" w:type="dxa"/>
          </w:tcPr>
          <w:p>
            <w:pPr>
              <w:ind w:left="225"/>
              <w:rPr>
                <w:rFonts w:cs="Times New Roman"/>
                <w:sz w:val="20"/>
                <w:szCs w:val="20"/>
              </w:rPr>
            </w:pPr>
            <w:r>
              <w:rPr>
                <w:rFonts w:cs="Times New Roman"/>
                <w:sz w:val="20"/>
                <w:szCs w:val="20"/>
              </w:rPr>
              <w:t>Crustal PM</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790" w:type="dxa"/>
            <w:vAlign w:val="bottom"/>
          </w:tcPr>
          <w:p>
            <w:pPr>
              <w:rPr>
                <w:rFonts w:cs="Times New Roman"/>
                <w:sz w:val="20"/>
                <w:szCs w:val="20"/>
              </w:rPr>
            </w:pPr>
            <w:r>
              <w:rPr>
                <w:rFonts w:cs="Times New Roman"/>
                <w:color w:val="000000"/>
                <w:sz w:val="20"/>
                <w:szCs w:val="20"/>
              </w:rPr>
              <w:t>_visibility_rank</w:t>
            </w:r>
          </w:p>
        </w:tc>
        <w:tc>
          <w:tcPr>
            <w:tcW w:w="6736" w:type="dxa"/>
          </w:tcPr>
          <w:p>
            <w:pPr>
              <w:ind w:left="225"/>
              <w:rPr>
                <w:rFonts w:cs="Times New Roman"/>
                <w:sz w:val="20"/>
                <w:szCs w:val="20"/>
              </w:rPr>
            </w:pPr>
            <w:r>
              <w:rPr>
                <w:rFonts w:cs="Times New Roman"/>
                <w:sz w:val="20"/>
                <w:szCs w:val="20"/>
              </w:rPr>
              <w:t>worst = 20% worst days used in rrf calculation; best = 20% best days used in RRF calculation</w:t>
            </w:r>
          </w:p>
        </w:tc>
      </w:tr>
    </w:tbl>
    <w:p>
      <w:pPr>
        <w:pStyle w:val="4"/>
      </w:pPr>
      <w:r>
        <w:t>Run the Eastern U.S. Example</w:t>
      </w:r>
    </w:p>
    <w:p>
      <w:pPr>
        <w:rPr>
          <w:b/>
          <w:u w:val="single"/>
        </w:rPr>
      </w:pPr>
      <w:r>
        <w:t xml:space="preserve">Use the default settings for these options for the Eastern U.S. example project. Either click </w:t>
      </w:r>
      <w:r>
        <w:rPr>
          <w:lang w:eastAsia="en-US"/>
        </w:rPr>
        <w:t xml:space="preserve">Next </w:t>
      </w:r>
      <w:r>
        <w:t xml:space="preserve">or double-click the </w:t>
      </w:r>
      <w:r>
        <w:rPr>
          <w:b/>
          <w:bCs/>
        </w:rPr>
        <w:t>Data Input</w:t>
      </w:r>
      <w:r>
        <w:t xml:space="preserve"> button in the upper left-hand panel of the </w:t>
      </w:r>
      <w:r>
        <w:rPr>
          <w:b/>
        </w:rPr>
        <w:t>Visibility Analysis</w:t>
      </w:r>
      <w:r>
        <w:t xml:space="preserve"> window. The button next to </w:t>
      </w:r>
      <w:r>
        <w:rPr>
          <w:b/>
          <w:bCs/>
        </w:rPr>
        <w:t xml:space="preserve">Choose Desired Output </w:t>
      </w:r>
      <w:r>
        <w:t>will turn from yellow to green, indicating that this step is complete.</w:t>
      </w:r>
    </w:p>
    <w:p>
      <w:pPr>
        <w:pStyle w:val="3"/>
      </w:pPr>
      <w:bookmarkStart w:id="484" w:name="_Toc476654473"/>
      <w:bookmarkStart w:id="485" w:name="_Toc119010887"/>
      <w:bookmarkStart w:id="486" w:name="_Toc8105"/>
      <w:bookmarkStart w:id="487" w:name="_Toc476654851"/>
      <w:bookmarkStart w:id="488" w:name="_Toc476653950"/>
      <w:r>
        <w:t>Data Input</w:t>
      </w:r>
      <w:bookmarkEnd w:id="484"/>
      <w:bookmarkEnd w:id="485"/>
      <w:bookmarkEnd w:id="486"/>
      <w:bookmarkEnd w:id="487"/>
      <w:bookmarkEnd w:id="488"/>
    </w:p>
    <w:p>
      <w:pPr>
        <w:keepNext/>
        <w:jc w:val="center"/>
      </w:pPr>
      <w:r>
        <w:drawing>
          <wp:inline distT="0" distB="0" distL="0" distR="0">
            <wp:extent cx="5274310" cy="5182235"/>
            <wp:effectExtent l="0" t="0" r="254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8"/>
                    <a:stretch>
                      <a:fillRect/>
                    </a:stretch>
                  </pic:blipFill>
                  <pic:spPr>
                    <a:xfrm>
                      <a:off x="0" y="0"/>
                      <a:ext cx="5274310" cy="5182235"/>
                    </a:xfrm>
                    <a:prstGeom prst="rect">
                      <a:avLst/>
                    </a:prstGeom>
                  </pic:spPr>
                </pic:pic>
              </a:graphicData>
            </a:graphic>
          </wp:inline>
        </w:drawing>
      </w:r>
    </w:p>
    <w:p>
      <w:pPr>
        <w:pStyle w:val="12"/>
        <w:rPr>
          <w:b w:val="0"/>
          <w:bCs/>
          <w:i/>
          <w:iCs/>
        </w:rPr>
      </w:pPr>
      <w:bookmarkStart w:id="489" w:name="_Ref475533174"/>
      <w:bookmarkStart w:id="490" w:name="_Toc32462"/>
      <w:bookmarkStart w:id="491" w:name="_Toc4349"/>
      <w:bookmarkStart w:id="492" w:name="_Toc119010932"/>
      <w:bookmarkStart w:id="493" w:name="_Toc476654240"/>
      <w:bookmarkStart w:id="494" w:name="_Toc4723"/>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9</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4</w:t>
      </w:r>
      <w:r>
        <w:rPr>
          <w:b w:val="0"/>
          <w:bCs/>
          <w:i/>
          <w:iCs/>
        </w:rPr>
        <w:fldChar w:fldCharType="end"/>
      </w:r>
      <w:bookmarkEnd w:id="489"/>
      <w:bookmarkStart w:id="495" w:name="_Toc32211"/>
      <w:r>
        <w:rPr>
          <w:b w:val="0"/>
          <w:bCs/>
          <w:i/>
          <w:iCs/>
        </w:rPr>
        <w:t>. Data Input for Visibility Analysis</w:t>
      </w:r>
      <w:bookmarkEnd w:id="490"/>
      <w:bookmarkEnd w:id="491"/>
      <w:bookmarkEnd w:id="492"/>
      <w:bookmarkEnd w:id="493"/>
      <w:bookmarkEnd w:id="494"/>
      <w:bookmarkEnd w:id="495"/>
    </w:p>
    <w:p>
      <w:pPr>
        <w:autoSpaceDE w:val="0"/>
        <w:autoSpaceDN w:val="0"/>
        <w:adjustRightInd w:val="0"/>
      </w:pPr>
      <w:r>
        <w:t xml:space="preserve">The </w:t>
      </w:r>
      <w:r>
        <w:rPr>
          <w:b/>
        </w:rPr>
        <w:t>Data Input</w:t>
      </w:r>
      <w:r>
        <w:t xml:space="preserve"> window (</w:t>
      </w:r>
      <w:r>
        <w:fldChar w:fldCharType="begin"/>
      </w:r>
      <w:r>
        <w:instrText xml:space="preserve"> REF _Ref475533174 \h </w:instrText>
      </w:r>
      <w:r>
        <w:fldChar w:fldCharType="separate"/>
      </w:r>
      <w:r>
        <w:rPr>
          <w:bCs/>
          <w:i/>
          <w:iCs/>
        </w:rPr>
        <w:t xml:space="preserve">Figure </w:t>
      </w:r>
      <w:r>
        <w:rPr>
          <w:b/>
          <w:bCs/>
          <w:i/>
          <w:iCs/>
        </w:rPr>
        <w:t>9</w:t>
      </w:r>
      <w:r>
        <w:rPr>
          <w:bCs/>
          <w:i/>
          <w:iCs/>
        </w:rPr>
        <w:noBreakHyphen/>
      </w:r>
      <w:r>
        <w:rPr>
          <w:b/>
          <w:bCs/>
          <w:i/>
          <w:iCs/>
        </w:rPr>
        <w:t>4</w:t>
      </w:r>
      <w:r>
        <w:fldChar w:fldCharType="end"/>
      </w:r>
      <w:r>
        <w:t>) sets the monitor and model data files to use for the SMAT-CE visibility forecasts. It also includes a specification for how SMAT-CE will average the model data for the RRF calculation. The blue hyperlinked text in this window brings up the documentation for this configuration step. The settings in this step include:</w:t>
      </w:r>
    </w:p>
    <w:p>
      <w:pPr>
        <w:pStyle w:val="4"/>
      </w:pPr>
      <w:r>
        <w:t>Monitor Data</w:t>
      </w:r>
    </w:p>
    <w:p>
      <w:pPr>
        <w:rPr>
          <w:lang w:eastAsia="en-US"/>
        </w:rPr>
      </w:pPr>
      <w:r>
        <w:rPr>
          <w:lang w:eastAsia="en-US"/>
        </w:rPr>
        <w:t>Daily monitor data of speciated aerosol concentrations (ug/m</w:t>
      </w:r>
      <w:r>
        <w:rPr>
          <w:vertAlign w:val="superscript"/>
          <w:lang w:eastAsia="en-US"/>
        </w:rPr>
        <w:t>3</w:t>
      </w:r>
      <w:r>
        <w:rPr>
          <w:lang w:eastAsia="en-US"/>
        </w:rPr>
        <w:t>) and visibility (Mm</w:t>
      </w:r>
      <w:r>
        <w:rPr>
          <w:vertAlign w:val="superscript"/>
          <w:lang w:eastAsia="en-US"/>
        </w:rPr>
        <w:t>-1</w:t>
      </w:r>
      <w:r>
        <w:rPr>
          <w:lang w:eastAsia="en-US"/>
        </w:rPr>
        <w:t>) measures are available from the Federal Land Manager Environmental Database website</w:t>
      </w:r>
      <w:r>
        <w:rPr>
          <w:rStyle w:val="38"/>
          <w:lang w:eastAsia="en-US"/>
        </w:rPr>
        <w:footnoteReference w:id="1"/>
      </w:r>
      <w:r>
        <w:rPr>
          <w:lang w:eastAsia="en-US"/>
        </w:rPr>
        <w:t>. These monitor data are used to: (1) identify the B20 and W20 visibility days for a given year; and (2) calculate the 5-year baseline conditions.</w:t>
      </w:r>
    </w:p>
    <w:p>
      <w:pPr>
        <w:rPr>
          <w:lang w:eastAsia="en-US"/>
        </w:rPr>
      </w:pPr>
      <w:r>
        <w:rPr>
          <w:lang w:eastAsia="en-US"/>
        </w:rPr>
        <w:t>Note that one IMPROVE monitor is associated with each Class I site, and the calculated visibility for the IMPROVE site is assumed to representative of the Class I site. SMAT-CE comes with a default cross-walk that it uses for IMPROVE monitors and Class I Areas.</w:t>
      </w:r>
    </w:p>
    <w:p>
      <w:pPr>
        <w:rPr>
          <w:lang w:eastAsia="en-US"/>
        </w:rPr>
      </w:pPr>
      <w:r>
        <w:rPr>
          <w:lang w:eastAsia="en-US"/>
        </w:rPr>
        <w:t>SMAT-CE is distributed with monitored species concentrations (ug/m</w:t>
      </w:r>
      <w:r>
        <w:rPr>
          <w:vertAlign w:val="superscript"/>
          <w:lang w:eastAsia="en-US"/>
        </w:rPr>
        <w:t>3</w:t>
      </w:r>
      <w:r>
        <w:rPr>
          <w:lang w:eastAsia="en-US"/>
        </w:rPr>
        <w:t>) along with extinction (Mm</w:t>
      </w:r>
      <w:r>
        <w:rPr>
          <w:vertAlign w:val="superscript"/>
          <w:lang w:eastAsia="en-US"/>
        </w:rPr>
        <w:t>-1</w:t>
      </w:r>
      <w:r>
        <w:rPr>
          <w:lang w:eastAsia="en-US"/>
        </w:rPr>
        <w:t xml:space="preserve">) and deciview estimates for the period 2000 to 2012. SMAT-CE uses these data to project concentrations and extinctions for the observed species AMM_SO4, AMM_NO3, OMC, EC, CRUSTAL, and CM. The monitored data files include the variable GOOD_YEAR, which indicates whether a particular monitor should be used for a given year. A value of “1" means the monitor can be used, and a value of “0" means that the monitor should be dropped for the year. </w:t>
      </w:r>
    </w:p>
    <w:p>
      <w:pPr>
        <w:rPr>
          <w:lang w:eastAsia="en-US"/>
        </w:rPr>
      </w:pPr>
      <w:r>
        <w:t>The monitor data variable GROUP identifies the percentile for the overall visibility level for a particular</w:t>
      </w:r>
      <w:r>
        <w:rPr>
          <w:lang w:eastAsia="en-US"/>
        </w:rPr>
        <w:t xml:space="preserve"> </w:t>
      </w:r>
      <w:r>
        <w:t>day. A value of “90" means that the particular day is among the 20%worst days for</w:t>
      </w:r>
      <w:r>
        <w:rPr>
          <w:lang w:eastAsia="en-US"/>
        </w:rPr>
        <w:t xml:space="preserve"> </w:t>
      </w:r>
      <w:r>
        <w:t>the year. A value of “10" means that the particular day is among the 20%best days</w:t>
      </w:r>
      <w:r>
        <w:rPr>
          <w:lang w:eastAsia="en-US"/>
        </w:rPr>
        <w:t xml:space="preserve"> </w:t>
      </w:r>
      <w:r>
        <w:t>for that year. (Days with other GROUP values are not needed)</w:t>
      </w:r>
    </w:p>
    <w:p>
      <w:r>
        <w:t>There are a number of extra variables in the ambient data input file that are not directly used by SMAT-CE (such as extinction values). These additional data can be used to QA the SMAT-CE output or for additional data analysis.</w:t>
      </w:r>
    </w:p>
    <w:p>
      <w:r>
        <w:t>SMAT-CE can use two different types of IMPROVE monitor data:</w:t>
      </w:r>
    </w:p>
    <w:p>
      <w:pPr>
        <w:pStyle w:val="42"/>
        <w:numPr>
          <w:ilvl w:val="0"/>
          <w:numId w:val="35"/>
        </w:numPr>
        <w:ind w:firstLineChars="0"/>
      </w:pPr>
      <w:r>
        <w:rPr>
          <w:i/>
        </w:rPr>
        <w:t>IMPROVE Monitor Data – Old Algorithm</w:t>
      </w:r>
      <w:r>
        <w:t>. Monitor data needed for calculating extinction with the old IMPROVE algorithm. Section 11.2.1.1 of the MATS User’s Manual (Abt, 2014) includes a description of the file format.</w:t>
      </w:r>
    </w:p>
    <w:p>
      <w:pPr>
        <w:pStyle w:val="42"/>
        <w:numPr>
          <w:ilvl w:val="0"/>
          <w:numId w:val="36"/>
        </w:numPr>
        <w:ind w:firstLineChars="0"/>
      </w:pPr>
      <w:r>
        <w:rPr>
          <w:i/>
        </w:rPr>
        <w:t>IMPROVE Monitor Data – New Algorithm</w:t>
      </w:r>
      <w:r>
        <w:t>. The monitor data for the new IMPROVE algorithm includes a large number of variables. The table below has a complete listing of the variables. The variables in bold are required variables on the input file. The additional variables are provided for QA purposes and are optional. Note that sea salt mass is optional but is used in the visibility calculations if provided.</w:t>
      </w:r>
    </w:p>
    <w:p>
      <w:pPr>
        <w:pStyle w:val="12"/>
        <w:keepNext/>
      </w:pPr>
      <w:bookmarkStart w:id="496" w:name="_Toc22580"/>
      <w:bookmarkStart w:id="497" w:name="_Toc175"/>
      <w:r>
        <w:rPr>
          <w:b w:val="0"/>
          <w:bCs/>
          <w:i/>
          <w:iCs/>
        </w:rPr>
        <w:t xml:space="preserve">Table </w:t>
      </w:r>
      <w:r>
        <w:rPr>
          <w:b w:val="0"/>
          <w:bCs/>
          <w:i/>
          <w:iCs/>
        </w:rPr>
        <w:fldChar w:fldCharType="begin"/>
      </w:r>
      <w:r>
        <w:rPr>
          <w:b w:val="0"/>
          <w:bCs/>
          <w:i/>
          <w:iCs/>
        </w:rPr>
        <w:instrText xml:space="preserve"> STYLEREF 1 \s </w:instrText>
      </w:r>
      <w:r>
        <w:rPr>
          <w:b w:val="0"/>
          <w:bCs/>
          <w:i/>
          <w:iCs/>
        </w:rPr>
        <w:fldChar w:fldCharType="separate"/>
      </w:r>
      <w:r>
        <w:rPr>
          <w:b w:val="0"/>
          <w:bCs/>
          <w:i/>
          <w:iCs/>
        </w:rPr>
        <w:t>9</w:t>
      </w:r>
      <w:r>
        <w:rPr>
          <w:b w:val="0"/>
          <w:bCs/>
          <w:i/>
          <w:iCs/>
        </w:rPr>
        <w:fldChar w:fldCharType="end"/>
      </w:r>
      <w:r>
        <w:rPr>
          <w:rFonts w:hint="eastAsia"/>
          <w:b w:val="0"/>
          <w:bCs/>
          <w:i/>
          <w:iCs/>
        </w:rPr>
        <w:t>-</w:t>
      </w:r>
      <w:r>
        <w:rPr>
          <w:b w:val="0"/>
          <w:bCs/>
          <w:i/>
          <w:iCs/>
        </w:rPr>
        <w:fldChar w:fldCharType="begin"/>
      </w:r>
      <w:r>
        <w:rPr>
          <w:b w:val="0"/>
          <w:bCs/>
          <w:i/>
          <w:iCs/>
        </w:rPr>
        <w:instrText xml:space="preserve"> SEQ Table \* ARABIC \s 1 </w:instrText>
      </w:r>
      <w:r>
        <w:rPr>
          <w:b w:val="0"/>
          <w:bCs/>
          <w:i/>
          <w:iCs/>
        </w:rPr>
        <w:fldChar w:fldCharType="separate"/>
      </w:r>
      <w:r>
        <w:rPr>
          <w:b w:val="0"/>
          <w:bCs/>
          <w:i/>
          <w:iCs/>
        </w:rPr>
        <w:t>4</w:t>
      </w:r>
      <w:r>
        <w:rPr>
          <w:b w:val="0"/>
          <w:bCs/>
          <w:i/>
          <w:iCs/>
        </w:rPr>
        <w:fldChar w:fldCharType="end"/>
      </w:r>
      <w:r>
        <w:rPr>
          <w:rFonts w:hint="eastAsia"/>
          <w:b w:val="0"/>
          <w:bCs/>
          <w:i/>
          <w:iCs/>
        </w:rPr>
        <w:t xml:space="preserve"> Variables and descriptions for Monitor Data file</w:t>
      </w:r>
      <w:bookmarkEnd w:id="496"/>
      <w:bookmarkEnd w:id="497"/>
    </w:p>
    <w:tbl>
      <w:tblPr>
        <w:tblStyle w:val="30"/>
        <w:tblW w:w="0" w:type="auto"/>
        <w:tblInd w:w="-23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71"/>
        <w:gridCol w:w="6365"/>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2171" w:type="dxa"/>
          </w:tcPr>
          <w:p>
            <w:pPr>
              <w:spacing w:line="240" w:lineRule="auto"/>
              <w:ind w:left="225"/>
              <w:rPr>
                <w:rFonts w:cs="Times New Roman"/>
                <w:b/>
                <w:bCs/>
                <w:sz w:val="20"/>
                <w:szCs w:val="20"/>
              </w:rPr>
            </w:pPr>
            <w:r>
              <w:rPr>
                <w:rFonts w:cs="Times New Roman"/>
                <w:b/>
                <w:bCs/>
                <w:sz w:val="20"/>
                <w:szCs w:val="20"/>
              </w:rPr>
              <w:t>Var Name</w:t>
            </w:r>
          </w:p>
        </w:tc>
        <w:tc>
          <w:tcPr>
            <w:tcW w:w="6365" w:type="dxa"/>
          </w:tcPr>
          <w:p>
            <w:pPr>
              <w:spacing w:line="240" w:lineRule="auto"/>
              <w:ind w:left="225"/>
              <w:rPr>
                <w:rFonts w:cs="Times New Roman"/>
                <w:b/>
                <w:bCs/>
                <w:sz w:val="20"/>
                <w:szCs w:val="20"/>
              </w:rPr>
            </w:pPr>
            <w:r>
              <w:rPr>
                <w:rFonts w:cs="Times New Roman"/>
                <w:b/>
                <w:bCs/>
                <w:sz w:val="20"/>
                <w:szCs w:val="20"/>
              </w:rPr>
              <w:t>Description</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293" w:hRule="atLeast"/>
        </w:trPr>
        <w:tc>
          <w:tcPr>
            <w:tcW w:w="2171" w:type="dxa"/>
            <w:vAlign w:val="bottom"/>
          </w:tcPr>
          <w:p>
            <w:pPr>
              <w:spacing w:line="240" w:lineRule="auto"/>
              <w:ind w:left="225"/>
              <w:rPr>
                <w:rFonts w:cs="Times New Roman"/>
                <w:b/>
                <w:bCs/>
                <w:sz w:val="20"/>
                <w:szCs w:val="20"/>
              </w:rPr>
            </w:pPr>
            <w:r>
              <w:rPr>
                <w:rFonts w:cs="Times New Roman"/>
                <w:b/>
                <w:bCs/>
                <w:color w:val="000000"/>
                <w:sz w:val="20"/>
                <w:szCs w:val="20"/>
              </w:rPr>
              <w:t>_ID</w:t>
            </w:r>
          </w:p>
        </w:tc>
        <w:tc>
          <w:tcPr>
            <w:tcW w:w="6365" w:type="dxa"/>
          </w:tcPr>
          <w:p>
            <w:pPr>
              <w:spacing w:line="240" w:lineRule="auto"/>
              <w:ind w:left="225"/>
              <w:rPr>
                <w:rFonts w:cs="Times New Roman"/>
                <w:sz w:val="20"/>
                <w:szCs w:val="20"/>
              </w:rPr>
            </w:pPr>
            <w:r>
              <w:rPr>
                <w:rFonts w:cs="Times New Roman"/>
                <w:sz w:val="20"/>
                <w:szCs w:val="20"/>
              </w:rPr>
              <w:t>IMPROVE site code</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2171" w:type="dxa"/>
            <w:vAlign w:val="bottom"/>
          </w:tcPr>
          <w:p>
            <w:pPr>
              <w:spacing w:line="240" w:lineRule="auto"/>
              <w:ind w:left="225"/>
              <w:rPr>
                <w:rFonts w:cs="Times New Roman"/>
                <w:b/>
                <w:bCs/>
                <w:sz w:val="20"/>
                <w:szCs w:val="20"/>
              </w:rPr>
            </w:pPr>
            <w:r>
              <w:rPr>
                <w:rFonts w:cs="Times New Roman"/>
                <w:b/>
                <w:bCs/>
                <w:color w:val="000000"/>
                <w:sz w:val="20"/>
                <w:szCs w:val="20"/>
              </w:rPr>
              <w:t>_TYPE</w:t>
            </w:r>
          </w:p>
        </w:tc>
        <w:tc>
          <w:tcPr>
            <w:tcW w:w="6365" w:type="dxa"/>
          </w:tcPr>
          <w:p>
            <w:pPr>
              <w:spacing w:line="240" w:lineRule="auto"/>
              <w:ind w:left="225"/>
              <w:rPr>
                <w:rFonts w:cs="Times New Roman"/>
                <w:sz w:val="20"/>
                <w:szCs w:val="20"/>
              </w:rPr>
            </w:pPr>
            <w:r>
              <w:rPr>
                <w:rFonts w:cs="Times New Roman"/>
                <w:sz w:val="20"/>
                <w:szCs w:val="20"/>
              </w:rPr>
              <w:t>Leave blank.</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171" w:type="dxa"/>
            <w:vAlign w:val="bottom"/>
          </w:tcPr>
          <w:p>
            <w:pPr>
              <w:spacing w:line="240" w:lineRule="auto"/>
              <w:ind w:left="225"/>
              <w:rPr>
                <w:rFonts w:cs="Times New Roman"/>
                <w:b/>
                <w:bCs/>
                <w:sz w:val="20"/>
                <w:szCs w:val="20"/>
              </w:rPr>
            </w:pPr>
            <w:r>
              <w:rPr>
                <w:rFonts w:cs="Times New Roman"/>
                <w:b/>
                <w:bCs/>
                <w:color w:val="000000"/>
                <w:sz w:val="20"/>
                <w:szCs w:val="20"/>
              </w:rPr>
              <w:t>LAT</w:t>
            </w:r>
          </w:p>
        </w:tc>
        <w:tc>
          <w:tcPr>
            <w:tcW w:w="6365" w:type="dxa"/>
          </w:tcPr>
          <w:p>
            <w:pPr>
              <w:spacing w:line="240" w:lineRule="auto"/>
              <w:ind w:left="225"/>
              <w:rPr>
                <w:rFonts w:cs="Times New Roman"/>
                <w:sz w:val="20"/>
                <w:szCs w:val="20"/>
              </w:rPr>
            </w:pPr>
            <w:r>
              <w:rPr>
                <w:rFonts w:cs="Times New Roman"/>
                <w:sz w:val="20"/>
                <w:szCs w:val="20"/>
              </w:rPr>
              <w:t>Latitude in decimal degrees. Values in the northern hemisphere are positive,</w:t>
            </w:r>
          </w:p>
          <w:p>
            <w:pPr>
              <w:spacing w:line="240" w:lineRule="auto"/>
              <w:ind w:left="225"/>
              <w:rPr>
                <w:rFonts w:cs="Times New Roman"/>
                <w:sz w:val="20"/>
                <w:szCs w:val="20"/>
              </w:rPr>
            </w:pPr>
            <w:r>
              <w:rPr>
                <w:rFonts w:cs="Times New Roman"/>
                <w:sz w:val="20"/>
                <w:szCs w:val="20"/>
              </w:rPr>
              <w:t>and those in the southern hemisphere are negative.</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171" w:type="dxa"/>
            <w:vAlign w:val="bottom"/>
          </w:tcPr>
          <w:p>
            <w:pPr>
              <w:spacing w:line="240" w:lineRule="auto"/>
              <w:ind w:left="225"/>
              <w:rPr>
                <w:rFonts w:cs="Times New Roman"/>
                <w:b/>
                <w:bCs/>
                <w:sz w:val="20"/>
                <w:szCs w:val="20"/>
              </w:rPr>
            </w:pPr>
            <w:r>
              <w:rPr>
                <w:rFonts w:cs="Times New Roman"/>
                <w:b/>
                <w:bCs/>
                <w:color w:val="000000"/>
                <w:sz w:val="20"/>
                <w:szCs w:val="20"/>
              </w:rPr>
              <w:t>LONG</w:t>
            </w:r>
          </w:p>
        </w:tc>
        <w:tc>
          <w:tcPr>
            <w:tcW w:w="6365" w:type="dxa"/>
          </w:tcPr>
          <w:p>
            <w:pPr>
              <w:spacing w:line="240" w:lineRule="auto"/>
              <w:ind w:left="225"/>
              <w:rPr>
                <w:rFonts w:cs="Times New Roman"/>
                <w:sz w:val="20"/>
                <w:szCs w:val="20"/>
              </w:rPr>
            </w:pPr>
            <w:r>
              <w:rPr>
                <w:rFonts w:cs="Times New Roman"/>
                <w:sz w:val="20"/>
                <w:szCs w:val="20"/>
              </w:rPr>
              <w:t>Longitude in decimal degrees. Values in the eastern hemisphere are positive,</w:t>
            </w:r>
          </w:p>
          <w:p>
            <w:pPr>
              <w:spacing w:line="240" w:lineRule="auto"/>
              <w:ind w:left="225"/>
              <w:rPr>
                <w:rFonts w:cs="Times New Roman"/>
                <w:sz w:val="20"/>
                <w:szCs w:val="20"/>
              </w:rPr>
            </w:pPr>
            <w:r>
              <w:rPr>
                <w:rFonts w:cs="Times New Roman"/>
                <w:sz w:val="20"/>
                <w:szCs w:val="20"/>
              </w:rPr>
              <w:t>and those in the western hemisphere (e.g., United States) are negative.</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171" w:type="dxa"/>
            <w:vAlign w:val="bottom"/>
          </w:tcPr>
          <w:p>
            <w:pPr>
              <w:spacing w:line="240" w:lineRule="auto"/>
              <w:ind w:left="225"/>
              <w:rPr>
                <w:rFonts w:cs="Times New Roman"/>
                <w:b/>
                <w:bCs/>
                <w:sz w:val="20"/>
                <w:szCs w:val="20"/>
              </w:rPr>
            </w:pPr>
            <w:r>
              <w:rPr>
                <w:rFonts w:cs="Times New Roman"/>
                <w:b/>
                <w:bCs/>
                <w:color w:val="000000"/>
                <w:sz w:val="20"/>
                <w:szCs w:val="20"/>
              </w:rPr>
              <w:t>DATE</w:t>
            </w:r>
          </w:p>
        </w:tc>
        <w:tc>
          <w:tcPr>
            <w:tcW w:w="6365" w:type="dxa"/>
          </w:tcPr>
          <w:p>
            <w:pPr>
              <w:spacing w:line="240" w:lineRule="auto"/>
              <w:ind w:left="225"/>
              <w:rPr>
                <w:rFonts w:cs="Times New Roman"/>
                <w:sz w:val="20"/>
                <w:szCs w:val="20"/>
              </w:rPr>
            </w:pPr>
            <w:r>
              <w:rPr>
                <w:rFonts w:cs="Times New Roman"/>
                <w:sz w:val="20"/>
                <w:szCs w:val="20"/>
              </w:rPr>
              <w:t>Date of daily average ambient data with YYYYMMDD format (This is a</w:t>
            </w:r>
          </w:p>
          <w:p>
            <w:pPr>
              <w:spacing w:line="240" w:lineRule="auto"/>
              <w:ind w:left="225"/>
              <w:rPr>
                <w:rFonts w:cs="Times New Roman"/>
                <w:sz w:val="20"/>
                <w:szCs w:val="20"/>
              </w:rPr>
            </w:pPr>
            <w:r>
              <w:rPr>
                <w:rFonts w:cs="Times New Roman"/>
                <w:sz w:val="20"/>
                <w:szCs w:val="20"/>
              </w:rPr>
              <w:t>numeric variable)</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71" w:type="dxa"/>
            <w:vAlign w:val="bottom"/>
          </w:tcPr>
          <w:p>
            <w:pPr>
              <w:spacing w:line="240" w:lineRule="auto"/>
              <w:ind w:left="225"/>
              <w:rPr>
                <w:rFonts w:cs="Times New Roman"/>
                <w:b/>
                <w:bCs/>
                <w:sz w:val="20"/>
                <w:szCs w:val="20"/>
              </w:rPr>
            </w:pPr>
            <w:r>
              <w:rPr>
                <w:rFonts w:cs="Times New Roman"/>
                <w:b/>
                <w:bCs/>
                <w:color w:val="000000"/>
                <w:sz w:val="20"/>
                <w:szCs w:val="20"/>
              </w:rPr>
              <w:t>FRH</w:t>
            </w:r>
          </w:p>
        </w:tc>
        <w:tc>
          <w:tcPr>
            <w:tcW w:w="6365" w:type="dxa"/>
          </w:tcPr>
          <w:p>
            <w:pPr>
              <w:spacing w:line="240" w:lineRule="auto"/>
              <w:ind w:left="225"/>
              <w:rPr>
                <w:rFonts w:cs="Times New Roman"/>
                <w:sz w:val="20"/>
                <w:szCs w:val="20"/>
              </w:rPr>
            </w:pPr>
            <w:r>
              <w:rPr>
                <w:rFonts w:cs="Times New Roman"/>
                <w:sz w:val="20"/>
                <w:szCs w:val="20"/>
              </w:rPr>
              <w:t>Monthly climatological relative humidity adjustment factor</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121" w:hRule="atLeast"/>
        </w:trPr>
        <w:tc>
          <w:tcPr>
            <w:tcW w:w="2171" w:type="dxa"/>
            <w:vAlign w:val="bottom"/>
          </w:tcPr>
          <w:p>
            <w:pPr>
              <w:spacing w:line="240" w:lineRule="auto"/>
              <w:ind w:left="225"/>
              <w:rPr>
                <w:rFonts w:cs="Times New Roman"/>
                <w:b/>
                <w:bCs/>
                <w:sz w:val="20"/>
                <w:szCs w:val="20"/>
              </w:rPr>
            </w:pPr>
            <w:r>
              <w:rPr>
                <w:rFonts w:cs="Times New Roman"/>
                <w:b/>
                <w:bCs/>
                <w:color w:val="000000"/>
                <w:sz w:val="20"/>
                <w:szCs w:val="20"/>
              </w:rPr>
              <w:t>FSRH</w:t>
            </w:r>
          </w:p>
        </w:tc>
        <w:tc>
          <w:tcPr>
            <w:tcW w:w="6365" w:type="dxa"/>
          </w:tcPr>
          <w:p>
            <w:pPr>
              <w:spacing w:line="240" w:lineRule="auto"/>
              <w:ind w:left="225"/>
              <w:rPr>
                <w:rFonts w:cs="Times New Roman"/>
                <w:sz w:val="20"/>
                <w:szCs w:val="20"/>
              </w:rPr>
            </w:pPr>
            <w:r>
              <w:rPr>
                <w:rFonts w:cs="Times New Roman"/>
                <w:sz w:val="20"/>
                <w:szCs w:val="20"/>
              </w:rPr>
              <w:t>Monthly climatological relative humidity adjustment factor - small sulfate and</w:t>
            </w:r>
          </w:p>
          <w:p>
            <w:pPr>
              <w:spacing w:line="240" w:lineRule="auto"/>
              <w:ind w:left="225"/>
              <w:rPr>
                <w:rFonts w:cs="Times New Roman"/>
                <w:sz w:val="20"/>
                <w:szCs w:val="20"/>
              </w:rPr>
            </w:pPr>
            <w:r>
              <w:rPr>
                <w:rFonts w:cs="Times New Roman"/>
                <w:sz w:val="20"/>
                <w:szCs w:val="20"/>
              </w:rPr>
              <w:t>nitrate particles</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71" w:type="dxa"/>
            <w:vAlign w:val="bottom"/>
          </w:tcPr>
          <w:p>
            <w:pPr>
              <w:spacing w:line="240" w:lineRule="auto"/>
              <w:ind w:left="225"/>
              <w:rPr>
                <w:rFonts w:cs="Times New Roman"/>
                <w:b/>
                <w:bCs/>
                <w:sz w:val="20"/>
                <w:szCs w:val="20"/>
              </w:rPr>
            </w:pPr>
            <w:r>
              <w:rPr>
                <w:rFonts w:cs="Times New Roman"/>
                <w:b/>
                <w:bCs/>
                <w:color w:val="000000"/>
                <w:sz w:val="20"/>
                <w:szCs w:val="20"/>
              </w:rPr>
              <w:t>FLRH</w:t>
            </w:r>
          </w:p>
        </w:tc>
        <w:tc>
          <w:tcPr>
            <w:tcW w:w="6365" w:type="dxa"/>
          </w:tcPr>
          <w:p>
            <w:pPr>
              <w:spacing w:line="240" w:lineRule="auto"/>
              <w:ind w:left="225"/>
              <w:rPr>
                <w:rFonts w:cs="Times New Roman"/>
                <w:sz w:val="20"/>
                <w:szCs w:val="20"/>
              </w:rPr>
            </w:pPr>
            <w:r>
              <w:rPr>
                <w:rFonts w:cs="Times New Roman"/>
                <w:sz w:val="20"/>
                <w:szCs w:val="20"/>
              </w:rPr>
              <w:t>Monthly climatological relative humidity adjustment factor - large sulfate and</w:t>
            </w:r>
          </w:p>
          <w:p>
            <w:pPr>
              <w:spacing w:line="240" w:lineRule="auto"/>
              <w:ind w:left="225"/>
              <w:rPr>
                <w:rFonts w:cs="Times New Roman"/>
                <w:sz w:val="20"/>
                <w:szCs w:val="20"/>
              </w:rPr>
            </w:pPr>
            <w:r>
              <w:rPr>
                <w:rFonts w:cs="Times New Roman"/>
                <w:sz w:val="20"/>
                <w:szCs w:val="20"/>
              </w:rPr>
              <w:t>nitrate particles</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2171" w:type="dxa"/>
            <w:vAlign w:val="bottom"/>
          </w:tcPr>
          <w:p>
            <w:pPr>
              <w:spacing w:line="240" w:lineRule="auto"/>
              <w:ind w:left="225"/>
              <w:rPr>
                <w:rFonts w:cs="Times New Roman"/>
                <w:b/>
                <w:bCs/>
                <w:sz w:val="20"/>
                <w:szCs w:val="20"/>
              </w:rPr>
            </w:pPr>
            <w:r>
              <w:rPr>
                <w:rFonts w:cs="Times New Roman"/>
                <w:b/>
                <w:bCs/>
                <w:color w:val="000000"/>
                <w:sz w:val="20"/>
                <w:szCs w:val="20"/>
              </w:rPr>
              <w:t>FSSRH</w:t>
            </w:r>
          </w:p>
        </w:tc>
        <w:tc>
          <w:tcPr>
            <w:tcW w:w="6365" w:type="dxa"/>
          </w:tcPr>
          <w:p>
            <w:pPr>
              <w:spacing w:line="240" w:lineRule="auto"/>
              <w:ind w:left="225"/>
              <w:rPr>
                <w:rFonts w:cs="Times New Roman"/>
                <w:sz w:val="20"/>
                <w:szCs w:val="20"/>
              </w:rPr>
            </w:pPr>
            <w:r>
              <w:rPr>
                <w:rFonts w:cs="Times New Roman"/>
                <w:sz w:val="20"/>
                <w:szCs w:val="20"/>
              </w:rPr>
              <w:t>Monthly climatological relative humidity adjustment factor - sea salt</w:t>
            </w:r>
          </w:p>
          <w:p>
            <w:pPr>
              <w:spacing w:line="240" w:lineRule="auto"/>
              <w:ind w:left="225"/>
              <w:rPr>
                <w:rFonts w:cs="Times New Roman"/>
                <w:sz w:val="20"/>
                <w:szCs w:val="20"/>
              </w:rPr>
            </w:pPr>
            <w:r>
              <w:rPr>
                <w:rFonts w:cs="Times New Roman"/>
                <w:sz w:val="20"/>
                <w:szCs w:val="20"/>
              </w:rPr>
              <w:t>SS_RAYLEIGH Site-specific Rayleigh scattering (Mm-1)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1" w:type="dxa"/>
            <w:vAlign w:val="bottom"/>
          </w:tcPr>
          <w:p>
            <w:pPr>
              <w:spacing w:line="240" w:lineRule="auto"/>
              <w:ind w:left="225"/>
              <w:rPr>
                <w:rFonts w:cs="Times New Roman"/>
                <w:sz w:val="20"/>
                <w:szCs w:val="20"/>
              </w:rPr>
            </w:pPr>
            <w:r>
              <w:rPr>
                <w:rFonts w:cs="Times New Roman"/>
                <w:color w:val="000000"/>
                <w:sz w:val="20"/>
                <w:szCs w:val="20"/>
              </w:rPr>
              <w:t>PM25</w:t>
            </w:r>
          </w:p>
        </w:tc>
        <w:tc>
          <w:tcPr>
            <w:tcW w:w="6365" w:type="dxa"/>
          </w:tcPr>
          <w:p>
            <w:pPr>
              <w:spacing w:line="240" w:lineRule="auto"/>
              <w:ind w:left="225"/>
              <w:rPr>
                <w:rFonts w:cs="Times New Roman"/>
                <w:sz w:val="20"/>
                <w:szCs w:val="20"/>
              </w:rPr>
            </w:pPr>
            <w:r>
              <w:rPr>
                <w:rFonts w:cs="Times New Roman"/>
                <w:sz w:val="20"/>
                <w:szCs w:val="20"/>
              </w:rPr>
              <w:t>Measured PM</w:t>
            </w:r>
            <w:r>
              <w:rPr>
                <w:rFonts w:cs="Times New Roman"/>
                <w:sz w:val="20"/>
                <w:szCs w:val="20"/>
                <w:vertAlign w:val="subscript"/>
              </w:rPr>
              <w:t xml:space="preserve">2.5 </w:t>
            </w:r>
            <w:r>
              <w:rPr>
                <w:rFonts w:cs="Times New Roman"/>
                <w:sz w:val="20"/>
                <w:szCs w:val="20"/>
              </w:rPr>
              <w:t>mass (ug/m3)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2171" w:type="dxa"/>
            <w:vAlign w:val="bottom"/>
          </w:tcPr>
          <w:p>
            <w:pPr>
              <w:spacing w:line="240" w:lineRule="auto"/>
              <w:ind w:left="225"/>
              <w:rPr>
                <w:rFonts w:cs="Times New Roman"/>
                <w:sz w:val="20"/>
                <w:szCs w:val="20"/>
              </w:rPr>
            </w:pPr>
            <w:r>
              <w:rPr>
                <w:rFonts w:cs="Times New Roman"/>
                <w:color w:val="000000"/>
                <w:sz w:val="20"/>
                <w:szCs w:val="20"/>
              </w:rPr>
              <w:t>SEA_SALT</w:t>
            </w:r>
          </w:p>
        </w:tc>
        <w:tc>
          <w:tcPr>
            <w:tcW w:w="6365" w:type="dxa"/>
          </w:tcPr>
          <w:p>
            <w:pPr>
              <w:spacing w:line="240" w:lineRule="auto"/>
              <w:ind w:left="225"/>
              <w:rPr>
                <w:rFonts w:cs="Times New Roman"/>
                <w:sz w:val="20"/>
                <w:szCs w:val="20"/>
              </w:rPr>
            </w:pPr>
            <w:r>
              <w:rPr>
                <w:rFonts w:cs="Times New Roman"/>
                <w:sz w:val="20"/>
                <w:szCs w:val="20"/>
              </w:rPr>
              <w:t>Sea salt mass</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71" w:type="dxa"/>
            <w:vAlign w:val="bottom"/>
          </w:tcPr>
          <w:p>
            <w:pPr>
              <w:spacing w:line="240" w:lineRule="auto"/>
              <w:rPr>
                <w:rFonts w:cs="Times New Roman"/>
                <w:b/>
                <w:bCs/>
                <w:sz w:val="20"/>
                <w:szCs w:val="20"/>
              </w:rPr>
            </w:pPr>
            <w:r>
              <w:rPr>
                <w:rFonts w:cs="Times New Roman"/>
                <w:b/>
                <w:bCs/>
                <w:color w:val="000000"/>
                <w:sz w:val="20"/>
                <w:szCs w:val="20"/>
              </w:rPr>
              <w:t>CRUSTAL</w:t>
            </w:r>
          </w:p>
        </w:tc>
        <w:tc>
          <w:tcPr>
            <w:tcW w:w="6365" w:type="dxa"/>
          </w:tcPr>
          <w:p>
            <w:pPr>
              <w:spacing w:line="240" w:lineRule="auto"/>
              <w:ind w:left="225"/>
              <w:rPr>
                <w:rFonts w:cs="Times New Roman"/>
                <w:sz w:val="20"/>
                <w:szCs w:val="20"/>
              </w:rPr>
            </w:pPr>
            <w:r>
              <w:rPr>
                <w:rFonts w:cs="Times New Roman"/>
                <w:sz w:val="20"/>
                <w:szCs w:val="20"/>
              </w:rPr>
              <w:t>Crustal mass ( 2.2 × [Al] + 2.49 × [Si] + 1.63 × [Ca] + 2.42 × [Fe] + 1.94 × [Ti]) AMM_NO</w:t>
            </w:r>
            <w:r>
              <w:rPr>
                <w:rFonts w:cs="Times New Roman"/>
                <w:sz w:val="20"/>
                <w:szCs w:val="20"/>
                <w:vertAlign w:val="subscript"/>
              </w:rPr>
              <w:t xml:space="preserve">3 </w:t>
            </w:r>
            <w:r>
              <w:rPr>
                <w:rFonts w:cs="Times New Roman"/>
                <w:sz w:val="20"/>
                <w:szCs w:val="20"/>
              </w:rPr>
              <w:t>Ammonium nitrate mass (NO</w:t>
            </w:r>
            <w:r>
              <w:rPr>
                <w:rFonts w:cs="Times New Roman"/>
                <w:sz w:val="20"/>
                <w:szCs w:val="20"/>
                <w:vertAlign w:val="subscript"/>
              </w:rPr>
              <w:t>3</w:t>
            </w:r>
            <w:r>
              <w:rPr>
                <w:rFonts w:cs="Times New Roman"/>
                <w:sz w:val="20"/>
                <w:szCs w:val="20"/>
              </w:rPr>
              <w:t>*1.29)</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71" w:type="dxa"/>
            <w:vAlign w:val="bottom"/>
          </w:tcPr>
          <w:p>
            <w:pPr>
              <w:spacing w:line="240" w:lineRule="auto"/>
              <w:rPr>
                <w:rFonts w:cs="Times New Roman"/>
                <w:b/>
                <w:bCs/>
                <w:color w:val="000000"/>
                <w:sz w:val="20"/>
                <w:szCs w:val="20"/>
              </w:rPr>
            </w:pPr>
            <w:r>
              <w:rPr>
                <w:rFonts w:cs="Times New Roman"/>
                <w:b/>
                <w:bCs/>
                <w:color w:val="000000"/>
                <w:sz w:val="20"/>
                <w:szCs w:val="20"/>
              </w:rPr>
              <w:t xml:space="preserve"> AMM_NO3</w:t>
            </w:r>
          </w:p>
        </w:tc>
        <w:tc>
          <w:tcPr>
            <w:tcW w:w="6365" w:type="dxa"/>
          </w:tcPr>
          <w:p>
            <w:pPr>
              <w:spacing w:line="240" w:lineRule="auto"/>
              <w:ind w:left="225"/>
              <w:rPr>
                <w:rFonts w:cs="Times New Roman"/>
                <w:sz w:val="20"/>
                <w:szCs w:val="20"/>
              </w:rPr>
            </w:pPr>
            <w:r>
              <w:rPr>
                <w:rFonts w:cs="Times New Roman"/>
                <w:sz w:val="20"/>
                <w:szCs w:val="20"/>
              </w:rPr>
              <w:t>Ammonium nitrate mass (NO</w:t>
            </w:r>
            <w:r>
              <w:rPr>
                <w:rFonts w:cs="Times New Roman"/>
                <w:sz w:val="20"/>
                <w:szCs w:val="20"/>
                <w:vertAlign w:val="subscript"/>
              </w:rPr>
              <w:t>3</w:t>
            </w:r>
            <w:r>
              <w:rPr>
                <w:rFonts w:cs="Times New Roman"/>
                <w:sz w:val="20"/>
                <w:szCs w:val="20"/>
              </w:rPr>
              <w:t>*1.29)</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71" w:type="dxa"/>
            <w:vAlign w:val="bottom"/>
          </w:tcPr>
          <w:p>
            <w:pPr>
              <w:spacing w:line="240" w:lineRule="auto"/>
              <w:rPr>
                <w:rFonts w:cs="Times New Roman"/>
                <w:b/>
                <w:bCs/>
                <w:color w:val="000000"/>
                <w:sz w:val="20"/>
                <w:szCs w:val="20"/>
              </w:rPr>
            </w:pPr>
            <w:r>
              <w:rPr>
                <w:rFonts w:cs="Times New Roman"/>
                <w:b/>
                <w:bCs/>
                <w:color w:val="000000"/>
                <w:sz w:val="20"/>
                <w:szCs w:val="20"/>
              </w:rPr>
              <w:t xml:space="preserve"> OMC</w:t>
            </w:r>
          </w:p>
        </w:tc>
        <w:tc>
          <w:tcPr>
            <w:tcW w:w="6365" w:type="dxa"/>
          </w:tcPr>
          <w:p>
            <w:pPr>
              <w:spacing w:line="240" w:lineRule="auto"/>
              <w:ind w:left="225"/>
              <w:rPr>
                <w:rFonts w:cs="Times New Roman"/>
                <w:sz w:val="20"/>
                <w:szCs w:val="20"/>
              </w:rPr>
            </w:pPr>
            <w:r>
              <w:rPr>
                <w:rFonts w:cs="Times New Roman"/>
                <w:sz w:val="20"/>
                <w:szCs w:val="20"/>
              </w:rPr>
              <w:t>Organic carbon mass (OC*1.8)</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71" w:type="dxa"/>
            <w:vAlign w:val="bottom"/>
          </w:tcPr>
          <w:p>
            <w:pPr>
              <w:spacing w:line="240" w:lineRule="auto"/>
              <w:rPr>
                <w:rFonts w:cs="Times New Roman"/>
                <w:b/>
                <w:bCs/>
                <w:color w:val="000000"/>
                <w:sz w:val="20"/>
                <w:szCs w:val="20"/>
              </w:rPr>
            </w:pPr>
            <w:r>
              <w:rPr>
                <w:rFonts w:cs="Times New Roman"/>
                <w:b/>
                <w:bCs/>
                <w:color w:val="000000"/>
                <w:sz w:val="20"/>
                <w:szCs w:val="20"/>
              </w:rPr>
              <w:t xml:space="preserve"> EC</w:t>
            </w:r>
          </w:p>
        </w:tc>
        <w:tc>
          <w:tcPr>
            <w:tcW w:w="6365" w:type="dxa"/>
          </w:tcPr>
          <w:p>
            <w:pPr>
              <w:spacing w:line="240" w:lineRule="auto"/>
              <w:ind w:left="225"/>
              <w:rPr>
                <w:rFonts w:cs="Times New Roman"/>
                <w:sz w:val="20"/>
                <w:szCs w:val="20"/>
              </w:rPr>
            </w:pPr>
            <w:r>
              <w:rPr>
                <w:rFonts w:cs="Times New Roman"/>
                <w:sz w:val="20"/>
                <w:szCs w:val="20"/>
              </w:rPr>
              <w:t>Elemental carbon</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71" w:type="dxa"/>
            <w:vAlign w:val="bottom"/>
          </w:tcPr>
          <w:p>
            <w:pPr>
              <w:spacing w:line="240" w:lineRule="auto"/>
              <w:rPr>
                <w:rFonts w:cs="Times New Roman"/>
                <w:color w:val="000000"/>
                <w:sz w:val="20"/>
                <w:szCs w:val="20"/>
              </w:rPr>
            </w:pPr>
            <w:r>
              <w:rPr>
                <w:rFonts w:cs="Times New Roman"/>
                <w:color w:val="000000"/>
                <w:sz w:val="20"/>
                <w:szCs w:val="20"/>
              </w:rPr>
              <w:t xml:space="preserve"> PM10</w:t>
            </w:r>
          </w:p>
        </w:tc>
        <w:tc>
          <w:tcPr>
            <w:tcW w:w="6365" w:type="dxa"/>
          </w:tcPr>
          <w:p>
            <w:pPr>
              <w:spacing w:line="240" w:lineRule="auto"/>
              <w:ind w:left="225"/>
              <w:rPr>
                <w:rFonts w:cs="Times New Roman"/>
                <w:sz w:val="20"/>
                <w:szCs w:val="20"/>
              </w:rPr>
            </w:pPr>
            <w:r>
              <w:rPr>
                <w:rFonts w:cs="Times New Roman"/>
                <w:sz w:val="20"/>
                <w:szCs w:val="20"/>
              </w:rPr>
              <w:t>PM</w:t>
            </w:r>
            <w:r>
              <w:rPr>
                <w:rFonts w:cs="Times New Roman"/>
                <w:sz w:val="20"/>
                <w:szCs w:val="20"/>
                <w:vertAlign w:val="subscript"/>
              </w:rPr>
              <w:t>10</w:t>
            </w:r>
            <w:r>
              <w:rPr>
                <w:rFonts w:cs="Times New Roman"/>
                <w:sz w:val="20"/>
                <w:szCs w:val="20"/>
              </w:rPr>
              <w:t xml:space="preserve"> mass</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282" w:hRule="atLeast"/>
        </w:trPr>
        <w:tc>
          <w:tcPr>
            <w:tcW w:w="2171" w:type="dxa"/>
            <w:vAlign w:val="bottom"/>
          </w:tcPr>
          <w:p>
            <w:pPr>
              <w:spacing w:line="240" w:lineRule="auto"/>
              <w:rPr>
                <w:rFonts w:cs="Times New Roman"/>
                <w:b/>
                <w:bCs/>
                <w:color w:val="000000"/>
                <w:sz w:val="20"/>
                <w:szCs w:val="20"/>
              </w:rPr>
            </w:pPr>
            <w:r>
              <w:rPr>
                <w:rFonts w:cs="Times New Roman"/>
                <w:b/>
                <w:bCs/>
                <w:color w:val="000000"/>
                <w:sz w:val="20"/>
                <w:szCs w:val="20"/>
              </w:rPr>
              <w:t xml:space="preserve"> CM</w:t>
            </w:r>
          </w:p>
        </w:tc>
        <w:tc>
          <w:tcPr>
            <w:tcW w:w="6365" w:type="dxa"/>
          </w:tcPr>
          <w:p>
            <w:pPr>
              <w:spacing w:line="240" w:lineRule="auto"/>
              <w:ind w:left="225"/>
              <w:rPr>
                <w:rFonts w:cs="Times New Roman"/>
                <w:sz w:val="20"/>
                <w:szCs w:val="20"/>
              </w:rPr>
            </w:pPr>
            <w:r>
              <w:rPr>
                <w:rFonts w:cs="Times New Roman"/>
                <w:sz w:val="20"/>
                <w:szCs w:val="20"/>
              </w:rPr>
              <w:t>Coarse mass (PM</w:t>
            </w:r>
            <w:r>
              <w:rPr>
                <w:rFonts w:cs="Times New Roman"/>
                <w:sz w:val="20"/>
                <w:szCs w:val="20"/>
                <w:vertAlign w:val="subscript"/>
              </w:rPr>
              <w:t>10</w:t>
            </w:r>
            <w:r>
              <w:rPr>
                <w:rFonts w:cs="Times New Roman"/>
                <w:sz w:val="20"/>
                <w:szCs w:val="20"/>
              </w:rPr>
              <w:t xml:space="preserve"> minus PM</w:t>
            </w:r>
            <w:r>
              <w:rPr>
                <w:rFonts w:cs="Times New Roman"/>
                <w:sz w:val="20"/>
                <w:szCs w:val="20"/>
                <w:vertAlign w:val="subscript"/>
              </w:rPr>
              <w:t>2.5</w:t>
            </w:r>
            <w:r>
              <w:rPr>
                <w:rFonts w:cs="Times New Roman"/>
                <w:sz w:val="20"/>
                <w:szCs w:val="20"/>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71" w:type="dxa"/>
            <w:vAlign w:val="bottom"/>
          </w:tcPr>
          <w:p>
            <w:pPr>
              <w:spacing w:line="240" w:lineRule="auto"/>
              <w:rPr>
                <w:rFonts w:cs="Times New Roman"/>
                <w:b/>
                <w:bCs/>
                <w:color w:val="000000"/>
                <w:sz w:val="20"/>
                <w:szCs w:val="20"/>
              </w:rPr>
            </w:pPr>
            <w:r>
              <w:rPr>
                <w:rFonts w:cs="Times New Roman"/>
                <w:b/>
                <w:bCs/>
                <w:color w:val="000000"/>
                <w:sz w:val="20"/>
                <w:szCs w:val="20"/>
              </w:rPr>
              <w:t xml:space="preserve"> AMM_SO4</w:t>
            </w:r>
          </w:p>
        </w:tc>
        <w:tc>
          <w:tcPr>
            <w:tcW w:w="6365" w:type="dxa"/>
          </w:tcPr>
          <w:p>
            <w:pPr>
              <w:spacing w:line="240" w:lineRule="auto"/>
              <w:ind w:left="225"/>
              <w:rPr>
                <w:rFonts w:cs="Times New Roman"/>
                <w:sz w:val="20"/>
                <w:szCs w:val="20"/>
              </w:rPr>
            </w:pPr>
            <w:r>
              <w:rPr>
                <w:rFonts w:cs="Times New Roman"/>
                <w:sz w:val="20"/>
                <w:szCs w:val="20"/>
              </w:rPr>
              <w:t>Ammonium sulfate (S*4.125)</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282" w:hRule="atLeast"/>
        </w:trPr>
        <w:tc>
          <w:tcPr>
            <w:tcW w:w="2171" w:type="dxa"/>
            <w:vAlign w:val="bottom"/>
          </w:tcPr>
          <w:p>
            <w:pPr>
              <w:spacing w:line="240" w:lineRule="auto"/>
              <w:rPr>
                <w:rFonts w:cs="Times New Roman"/>
                <w:color w:val="000000"/>
                <w:sz w:val="20"/>
                <w:szCs w:val="20"/>
              </w:rPr>
            </w:pPr>
            <w:r>
              <w:rPr>
                <w:rFonts w:cs="Times New Roman"/>
                <w:color w:val="000000"/>
                <w:sz w:val="20"/>
                <w:szCs w:val="20"/>
              </w:rPr>
              <w:t xml:space="preserve"> LARGE_OMC</w:t>
            </w:r>
          </w:p>
        </w:tc>
        <w:tc>
          <w:tcPr>
            <w:tcW w:w="6365" w:type="dxa"/>
          </w:tcPr>
          <w:p>
            <w:pPr>
              <w:spacing w:line="240" w:lineRule="auto"/>
              <w:ind w:left="225"/>
              <w:rPr>
                <w:rFonts w:cs="Times New Roman"/>
                <w:sz w:val="20"/>
                <w:szCs w:val="20"/>
              </w:rPr>
            </w:pPr>
            <w:r>
              <w:rPr>
                <w:rFonts w:cs="Times New Roman"/>
                <w:sz w:val="20"/>
                <w:szCs w:val="20"/>
              </w:rPr>
              <w:t>Large organic mass</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71" w:type="dxa"/>
            <w:vAlign w:val="bottom"/>
          </w:tcPr>
          <w:p>
            <w:pPr>
              <w:spacing w:line="240" w:lineRule="auto"/>
              <w:rPr>
                <w:rFonts w:cs="Times New Roman"/>
                <w:color w:val="000000"/>
                <w:sz w:val="20"/>
                <w:szCs w:val="20"/>
              </w:rPr>
            </w:pPr>
            <w:r>
              <w:rPr>
                <w:rFonts w:cs="Times New Roman"/>
                <w:color w:val="000000"/>
                <w:sz w:val="20"/>
                <w:szCs w:val="20"/>
              </w:rPr>
              <w:t xml:space="preserve"> SMALL_OMC</w:t>
            </w:r>
          </w:p>
        </w:tc>
        <w:tc>
          <w:tcPr>
            <w:tcW w:w="6365" w:type="dxa"/>
          </w:tcPr>
          <w:p>
            <w:pPr>
              <w:spacing w:line="240" w:lineRule="auto"/>
              <w:ind w:left="225"/>
              <w:rPr>
                <w:rFonts w:cs="Times New Roman"/>
                <w:sz w:val="20"/>
                <w:szCs w:val="20"/>
              </w:rPr>
            </w:pPr>
            <w:r>
              <w:rPr>
                <w:rFonts w:cs="Times New Roman"/>
                <w:sz w:val="20"/>
                <w:szCs w:val="20"/>
              </w:rPr>
              <w:t>Small organic mass</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71" w:type="dxa"/>
            <w:vAlign w:val="bottom"/>
          </w:tcPr>
          <w:p>
            <w:pPr>
              <w:spacing w:line="240" w:lineRule="auto"/>
              <w:rPr>
                <w:rFonts w:cs="Times New Roman"/>
                <w:color w:val="000000"/>
                <w:sz w:val="20"/>
                <w:szCs w:val="20"/>
              </w:rPr>
            </w:pPr>
            <w:r>
              <w:rPr>
                <w:rFonts w:cs="Times New Roman"/>
                <w:color w:val="000000"/>
                <w:sz w:val="20"/>
                <w:szCs w:val="20"/>
              </w:rPr>
              <w:t xml:space="preserve"> LARGE_AMM_SO4</w:t>
            </w:r>
          </w:p>
        </w:tc>
        <w:tc>
          <w:tcPr>
            <w:tcW w:w="6365" w:type="dxa"/>
          </w:tcPr>
          <w:p>
            <w:pPr>
              <w:spacing w:line="240" w:lineRule="auto"/>
              <w:ind w:left="225"/>
              <w:rPr>
                <w:rFonts w:cs="Times New Roman"/>
                <w:sz w:val="20"/>
                <w:szCs w:val="20"/>
              </w:rPr>
            </w:pPr>
            <w:r>
              <w:rPr>
                <w:rFonts w:cs="Times New Roman"/>
                <w:sz w:val="20"/>
                <w:szCs w:val="20"/>
              </w:rPr>
              <w:t>Large ammonium sulfate</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282" w:hRule="atLeast"/>
        </w:trPr>
        <w:tc>
          <w:tcPr>
            <w:tcW w:w="2171" w:type="dxa"/>
            <w:vAlign w:val="bottom"/>
          </w:tcPr>
          <w:p>
            <w:pPr>
              <w:spacing w:line="240" w:lineRule="auto"/>
              <w:rPr>
                <w:rFonts w:cs="Times New Roman"/>
                <w:color w:val="000000"/>
                <w:sz w:val="20"/>
                <w:szCs w:val="20"/>
              </w:rPr>
            </w:pPr>
            <w:r>
              <w:rPr>
                <w:rFonts w:cs="Times New Roman"/>
                <w:color w:val="000000"/>
                <w:sz w:val="20"/>
                <w:szCs w:val="20"/>
              </w:rPr>
              <w:t xml:space="preserve"> SMALL_AMM_SO4</w:t>
            </w:r>
          </w:p>
        </w:tc>
        <w:tc>
          <w:tcPr>
            <w:tcW w:w="6365" w:type="dxa"/>
          </w:tcPr>
          <w:p>
            <w:pPr>
              <w:spacing w:line="240" w:lineRule="auto"/>
              <w:ind w:left="225"/>
              <w:rPr>
                <w:rFonts w:cs="Times New Roman"/>
                <w:sz w:val="20"/>
                <w:szCs w:val="20"/>
              </w:rPr>
            </w:pPr>
            <w:r>
              <w:rPr>
                <w:rFonts w:cs="Times New Roman"/>
                <w:sz w:val="20"/>
                <w:szCs w:val="20"/>
              </w:rPr>
              <w:t>Small ammonium sulfate</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282" w:hRule="atLeast"/>
        </w:trPr>
        <w:tc>
          <w:tcPr>
            <w:tcW w:w="2171" w:type="dxa"/>
            <w:vAlign w:val="bottom"/>
          </w:tcPr>
          <w:p>
            <w:pPr>
              <w:spacing w:line="240" w:lineRule="auto"/>
              <w:rPr>
                <w:rFonts w:cs="Times New Roman"/>
                <w:color w:val="000000"/>
                <w:sz w:val="20"/>
                <w:szCs w:val="20"/>
              </w:rPr>
            </w:pPr>
            <w:r>
              <w:rPr>
                <w:rFonts w:cs="Times New Roman"/>
                <w:color w:val="000000"/>
                <w:sz w:val="20"/>
                <w:szCs w:val="20"/>
              </w:rPr>
              <w:t xml:space="preserve"> LARGE_AMM_NO3</w:t>
            </w:r>
          </w:p>
        </w:tc>
        <w:tc>
          <w:tcPr>
            <w:tcW w:w="6365" w:type="dxa"/>
          </w:tcPr>
          <w:p>
            <w:pPr>
              <w:spacing w:line="240" w:lineRule="auto"/>
              <w:ind w:left="225"/>
              <w:rPr>
                <w:rFonts w:cs="Times New Roman"/>
                <w:sz w:val="20"/>
                <w:szCs w:val="20"/>
              </w:rPr>
            </w:pPr>
            <w:r>
              <w:rPr>
                <w:rFonts w:cs="Times New Roman"/>
                <w:sz w:val="20"/>
                <w:szCs w:val="20"/>
              </w:rPr>
              <w:t>Large ammonium nitrate</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282" w:hRule="atLeast"/>
        </w:trPr>
        <w:tc>
          <w:tcPr>
            <w:tcW w:w="2171" w:type="dxa"/>
            <w:vAlign w:val="bottom"/>
          </w:tcPr>
          <w:p>
            <w:pPr>
              <w:spacing w:line="240" w:lineRule="auto"/>
              <w:rPr>
                <w:rFonts w:cs="Times New Roman"/>
                <w:color w:val="000000"/>
                <w:sz w:val="20"/>
                <w:szCs w:val="20"/>
              </w:rPr>
            </w:pPr>
            <w:r>
              <w:rPr>
                <w:rFonts w:cs="Times New Roman"/>
                <w:color w:val="000000"/>
                <w:sz w:val="20"/>
                <w:szCs w:val="20"/>
              </w:rPr>
              <w:t xml:space="preserve"> SMALL_AMM_NO3</w:t>
            </w:r>
          </w:p>
        </w:tc>
        <w:tc>
          <w:tcPr>
            <w:tcW w:w="6365" w:type="dxa"/>
          </w:tcPr>
          <w:p>
            <w:pPr>
              <w:spacing w:line="240" w:lineRule="auto"/>
              <w:ind w:left="225"/>
              <w:rPr>
                <w:rFonts w:cs="Times New Roman"/>
                <w:sz w:val="20"/>
                <w:szCs w:val="20"/>
              </w:rPr>
            </w:pPr>
            <w:r>
              <w:rPr>
                <w:rFonts w:cs="Times New Roman"/>
                <w:sz w:val="20"/>
                <w:szCs w:val="20"/>
              </w:rPr>
              <w:t>Small ammonium nitrate</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71" w:type="dxa"/>
            <w:vAlign w:val="bottom"/>
          </w:tcPr>
          <w:p>
            <w:pPr>
              <w:spacing w:line="240" w:lineRule="auto"/>
              <w:rPr>
                <w:rFonts w:cs="Times New Roman"/>
                <w:color w:val="000000"/>
                <w:sz w:val="20"/>
                <w:szCs w:val="20"/>
              </w:rPr>
            </w:pPr>
            <w:r>
              <w:rPr>
                <w:rFonts w:cs="Times New Roman"/>
                <w:color w:val="000000"/>
                <w:sz w:val="20"/>
                <w:szCs w:val="20"/>
              </w:rPr>
              <w:t xml:space="preserve"> E_AMM_SO4</w:t>
            </w:r>
          </w:p>
        </w:tc>
        <w:tc>
          <w:tcPr>
            <w:tcW w:w="6365" w:type="dxa"/>
          </w:tcPr>
          <w:p>
            <w:pPr>
              <w:spacing w:line="240" w:lineRule="auto"/>
              <w:ind w:left="225"/>
              <w:rPr>
                <w:rFonts w:cs="Times New Roman"/>
                <w:sz w:val="20"/>
                <w:szCs w:val="20"/>
              </w:rPr>
            </w:pPr>
            <w:r>
              <w:rPr>
                <w:rFonts w:cs="Times New Roman"/>
                <w:sz w:val="20"/>
                <w:szCs w:val="20"/>
              </w:rPr>
              <w:t>Ammonium sulfate extinction (Mm-1)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282" w:hRule="atLeast"/>
        </w:trPr>
        <w:tc>
          <w:tcPr>
            <w:tcW w:w="2171" w:type="dxa"/>
            <w:vAlign w:val="bottom"/>
          </w:tcPr>
          <w:p>
            <w:pPr>
              <w:spacing w:line="240" w:lineRule="auto"/>
              <w:rPr>
                <w:rFonts w:cs="Times New Roman"/>
                <w:color w:val="000000"/>
                <w:sz w:val="20"/>
                <w:szCs w:val="20"/>
              </w:rPr>
            </w:pPr>
            <w:r>
              <w:rPr>
                <w:rFonts w:cs="Times New Roman"/>
                <w:color w:val="000000"/>
                <w:sz w:val="20"/>
                <w:szCs w:val="20"/>
              </w:rPr>
              <w:t xml:space="preserve"> E_AMM_NO3</w:t>
            </w:r>
          </w:p>
        </w:tc>
        <w:tc>
          <w:tcPr>
            <w:tcW w:w="6365" w:type="dxa"/>
          </w:tcPr>
          <w:p>
            <w:pPr>
              <w:spacing w:line="240" w:lineRule="auto"/>
              <w:ind w:left="225"/>
              <w:rPr>
                <w:rFonts w:cs="Times New Roman"/>
                <w:sz w:val="20"/>
                <w:szCs w:val="20"/>
              </w:rPr>
            </w:pPr>
            <w:r>
              <w:rPr>
                <w:rFonts w:cs="Times New Roman"/>
                <w:sz w:val="20"/>
                <w:szCs w:val="20"/>
              </w:rPr>
              <w:t>Ammonium nitrate extinction</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71" w:type="dxa"/>
            <w:vAlign w:val="bottom"/>
          </w:tcPr>
          <w:p>
            <w:pPr>
              <w:spacing w:line="240" w:lineRule="auto"/>
              <w:rPr>
                <w:rFonts w:cs="Times New Roman"/>
                <w:color w:val="000000"/>
                <w:sz w:val="20"/>
                <w:szCs w:val="20"/>
              </w:rPr>
            </w:pPr>
            <w:r>
              <w:rPr>
                <w:rFonts w:cs="Times New Roman"/>
                <w:color w:val="000000"/>
                <w:sz w:val="20"/>
                <w:szCs w:val="20"/>
              </w:rPr>
              <w:t xml:space="preserve"> E_OMC</w:t>
            </w:r>
          </w:p>
        </w:tc>
        <w:tc>
          <w:tcPr>
            <w:tcW w:w="6365" w:type="dxa"/>
          </w:tcPr>
          <w:p>
            <w:pPr>
              <w:spacing w:line="240" w:lineRule="auto"/>
              <w:ind w:left="225"/>
              <w:rPr>
                <w:rFonts w:cs="Times New Roman"/>
                <w:sz w:val="20"/>
                <w:szCs w:val="20"/>
              </w:rPr>
            </w:pPr>
            <w:r>
              <w:rPr>
                <w:rFonts w:cs="Times New Roman"/>
                <w:sz w:val="20"/>
                <w:szCs w:val="20"/>
              </w:rPr>
              <w:t>Organic mass extinction</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71" w:type="dxa"/>
            <w:vAlign w:val="bottom"/>
          </w:tcPr>
          <w:p>
            <w:pPr>
              <w:spacing w:line="240" w:lineRule="auto"/>
              <w:rPr>
                <w:rFonts w:cs="Times New Roman"/>
                <w:color w:val="000000"/>
                <w:sz w:val="20"/>
                <w:szCs w:val="20"/>
              </w:rPr>
            </w:pPr>
            <w:r>
              <w:rPr>
                <w:rFonts w:cs="Times New Roman"/>
                <w:color w:val="000000"/>
                <w:sz w:val="20"/>
                <w:szCs w:val="20"/>
              </w:rPr>
              <w:t xml:space="preserve"> E_EC</w:t>
            </w:r>
          </w:p>
        </w:tc>
        <w:tc>
          <w:tcPr>
            <w:tcW w:w="6365" w:type="dxa"/>
          </w:tcPr>
          <w:p>
            <w:pPr>
              <w:spacing w:line="240" w:lineRule="auto"/>
              <w:ind w:left="225"/>
              <w:rPr>
                <w:rFonts w:cs="Times New Roman"/>
                <w:sz w:val="20"/>
                <w:szCs w:val="20"/>
              </w:rPr>
            </w:pPr>
            <w:r>
              <w:rPr>
                <w:rFonts w:cs="Times New Roman"/>
                <w:sz w:val="20"/>
                <w:szCs w:val="20"/>
              </w:rPr>
              <w:t>Elemental carbon extinction</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282" w:hRule="atLeast"/>
        </w:trPr>
        <w:tc>
          <w:tcPr>
            <w:tcW w:w="2171" w:type="dxa"/>
            <w:vAlign w:val="bottom"/>
          </w:tcPr>
          <w:p>
            <w:pPr>
              <w:spacing w:line="240" w:lineRule="auto"/>
              <w:rPr>
                <w:rFonts w:cs="Times New Roman"/>
                <w:color w:val="000000"/>
                <w:sz w:val="20"/>
                <w:szCs w:val="20"/>
              </w:rPr>
            </w:pPr>
            <w:r>
              <w:rPr>
                <w:rFonts w:cs="Times New Roman"/>
                <w:color w:val="000000"/>
                <w:sz w:val="20"/>
                <w:szCs w:val="20"/>
              </w:rPr>
              <w:t xml:space="preserve"> E_CRUSTAL</w:t>
            </w:r>
          </w:p>
        </w:tc>
        <w:tc>
          <w:tcPr>
            <w:tcW w:w="6365" w:type="dxa"/>
          </w:tcPr>
          <w:p>
            <w:pPr>
              <w:spacing w:line="240" w:lineRule="auto"/>
              <w:ind w:left="225"/>
              <w:rPr>
                <w:rFonts w:cs="Times New Roman"/>
                <w:sz w:val="20"/>
                <w:szCs w:val="20"/>
              </w:rPr>
            </w:pPr>
            <w:r>
              <w:rPr>
                <w:rFonts w:cs="Times New Roman"/>
                <w:sz w:val="20"/>
                <w:szCs w:val="20"/>
              </w:rPr>
              <w:t>Crustal extinction</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282" w:hRule="atLeast"/>
        </w:trPr>
        <w:tc>
          <w:tcPr>
            <w:tcW w:w="2171" w:type="dxa"/>
            <w:vAlign w:val="bottom"/>
          </w:tcPr>
          <w:p>
            <w:pPr>
              <w:spacing w:line="240" w:lineRule="auto"/>
              <w:rPr>
                <w:rFonts w:cs="Times New Roman"/>
                <w:color w:val="000000"/>
                <w:sz w:val="20"/>
                <w:szCs w:val="20"/>
              </w:rPr>
            </w:pPr>
            <w:r>
              <w:rPr>
                <w:rFonts w:cs="Times New Roman"/>
                <w:color w:val="000000"/>
                <w:sz w:val="20"/>
                <w:szCs w:val="20"/>
              </w:rPr>
              <w:t xml:space="preserve"> E_CM</w:t>
            </w:r>
          </w:p>
        </w:tc>
        <w:tc>
          <w:tcPr>
            <w:tcW w:w="6365" w:type="dxa"/>
          </w:tcPr>
          <w:p>
            <w:pPr>
              <w:spacing w:line="240" w:lineRule="auto"/>
              <w:ind w:left="225"/>
              <w:rPr>
                <w:rFonts w:cs="Times New Roman"/>
                <w:sz w:val="20"/>
                <w:szCs w:val="20"/>
              </w:rPr>
            </w:pPr>
            <w:r>
              <w:rPr>
                <w:rFonts w:cs="Times New Roman"/>
                <w:sz w:val="20"/>
                <w:szCs w:val="20"/>
              </w:rPr>
              <w:t>Coarse mass (PM</w:t>
            </w:r>
            <w:r>
              <w:rPr>
                <w:rFonts w:cs="Times New Roman"/>
                <w:sz w:val="20"/>
                <w:szCs w:val="20"/>
                <w:vertAlign w:val="subscript"/>
              </w:rPr>
              <w:t xml:space="preserve">10 </w:t>
            </w:r>
            <w:r>
              <w:rPr>
                <w:rFonts w:cs="Times New Roman"/>
                <w:sz w:val="20"/>
                <w:szCs w:val="20"/>
              </w:rPr>
              <w:t>minus PM</w:t>
            </w:r>
            <w:r>
              <w:rPr>
                <w:rFonts w:cs="Times New Roman"/>
                <w:sz w:val="20"/>
                <w:szCs w:val="20"/>
                <w:vertAlign w:val="subscript"/>
              </w:rPr>
              <w:t>2.5</w:t>
            </w:r>
            <w:r>
              <w:rPr>
                <w:rFonts w:cs="Times New Roman"/>
                <w:sz w:val="20"/>
                <w:szCs w:val="20"/>
              </w:rPr>
              <w:t>) extinction</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71" w:type="dxa"/>
            <w:vAlign w:val="bottom"/>
          </w:tcPr>
          <w:p>
            <w:pPr>
              <w:spacing w:line="240" w:lineRule="auto"/>
              <w:rPr>
                <w:rFonts w:cs="Times New Roman"/>
                <w:color w:val="000000"/>
                <w:sz w:val="20"/>
                <w:szCs w:val="20"/>
              </w:rPr>
            </w:pPr>
            <w:r>
              <w:rPr>
                <w:rFonts w:cs="Times New Roman"/>
                <w:color w:val="000000"/>
                <w:sz w:val="20"/>
                <w:szCs w:val="20"/>
              </w:rPr>
              <w:t xml:space="preserve"> E_SEA_SALT</w:t>
            </w:r>
          </w:p>
        </w:tc>
        <w:tc>
          <w:tcPr>
            <w:tcW w:w="6365" w:type="dxa"/>
          </w:tcPr>
          <w:p>
            <w:pPr>
              <w:spacing w:line="240" w:lineRule="auto"/>
              <w:ind w:left="225"/>
              <w:rPr>
                <w:rFonts w:cs="Times New Roman"/>
                <w:sz w:val="20"/>
                <w:szCs w:val="20"/>
              </w:rPr>
            </w:pPr>
            <w:r>
              <w:rPr>
                <w:rFonts w:cs="Times New Roman"/>
                <w:sz w:val="20"/>
                <w:szCs w:val="20"/>
              </w:rPr>
              <w:t>Sea salt extinction</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71" w:type="dxa"/>
            <w:vAlign w:val="bottom"/>
          </w:tcPr>
          <w:p>
            <w:pPr>
              <w:spacing w:line="240" w:lineRule="auto"/>
              <w:rPr>
                <w:rFonts w:cs="Times New Roman"/>
                <w:color w:val="000000"/>
                <w:sz w:val="20"/>
                <w:szCs w:val="20"/>
              </w:rPr>
            </w:pPr>
            <w:r>
              <w:rPr>
                <w:rFonts w:cs="Times New Roman"/>
                <w:color w:val="000000"/>
                <w:sz w:val="20"/>
                <w:szCs w:val="20"/>
              </w:rPr>
              <w:t xml:space="preserve"> TBEXT</w:t>
            </w:r>
          </w:p>
        </w:tc>
        <w:tc>
          <w:tcPr>
            <w:tcW w:w="6365" w:type="dxa"/>
          </w:tcPr>
          <w:p>
            <w:pPr>
              <w:spacing w:line="240" w:lineRule="auto"/>
              <w:ind w:left="225"/>
              <w:rPr>
                <w:rFonts w:cs="Times New Roman"/>
                <w:sz w:val="20"/>
                <w:szCs w:val="20"/>
              </w:rPr>
            </w:pPr>
            <w:r>
              <w:rPr>
                <w:rFonts w:cs="Times New Roman"/>
                <w:sz w:val="20"/>
                <w:szCs w:val="20"/>
              </w:rPr>
              <w:t>Total bext (includes site specific Rayleigh scattering)</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71" w:type="dxa"/>
            <w:vAlign w:val="bottom"/>
          </w:tcPr>
          <w:p>
            <w:pPr>
              <w:spacing w:line="240" w:lineRule="auto"/>
              <w:rPr>
                <w:rFonts w:cs="Times New Roman"/>
                <w:color w:val="000000"/>
                <w:sz w:val="20"/>
                <w:szCs w:val="20"/>
              </w:rPr>
            </w:pPr>
            <w:r>
              <w:rPr>
                <w:rFonts w:cs="Times New Roman"/>
                <w:color w:val="000000"/>
                <w:sz w:val="20"/>
                <w:szCs w:val="20"/>
              </w:rPr>
              <w:t xml:space="preserve"> DV</w:t>
            </w:r>
          </w:p>
        </w:tc>
        <w:tc>
          <w:tcPr>
            <w:tcW w:w="6365" w:type="dxa"/>
          </w:tcPr>
          <w:p>
            <w:pPr>
              <w:spacing w:line="240" w:lineRule="auto"/>
              <w:ind w:left="225"/>
              <w:rPr>
                <w:rFonts w:cs="Times New Roman"/>
                <w:sz w:val="20"/>
                <w:szCs w:val="20"/>
              </w:rPr>
            </w:pPr>
            <w:r>
              <w:rPr>
                <w:rFonts w:cs="Times New Roman"/>
                <w:sz w:val="20"/>
                <w:szCs w:val="20"/>
              </w:rPr>
              <w:t>Deciviews (calculated from Total bext)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71" w:type="dxa"/>
            <w:vAlign w:val="bottom"/>
          </w:tcPr>
          <w:p>
            <w:pPr>
              <w:spacing w:line="240" w:lineRule="auto"/>
              <w:rPr>
                <w:rFonts w:cs="Times New Roman"/>
                <w:b/>
                <w:bCs/>
                <w:color w:val="000000"/>
                <w:sz w:val="20"/>
                <w:szCs w:val="20"/>
              </w:rPr>
            </w:pPr>
            <w:r>
              <w:rPr>
                <w:rFonts w:cs="Times New Roman"/>
                <w:b/>
                <w:bCs/>
                <w:color w:val="000000"/>
                <w:sz w:val="20"/>
                <w:szCs w:val="20"/>
              </w:rPr>
              <w:t xml:space="preserve"> GOOD_YEAR</w:t>
            </w:r>
          </w:p>
        </w:tc>
        <w:tc>
          <w:tcPr>
            <w:tcW w:w="6365" w:type="dxa"/>
          </w:tcPr>
          <w:p>
            <w:pPr>
              <w:spacing w:line="240" w:lineRule="auto"/>
              <w:ind w:left="225"/>
              <w:rPr>
                <w:rFonts w:cs="Times New Roman"/>
                <w:sz w:val="20"/>
                <w:szCs w:val="20"/>
              </w:rPr>
            </w:pPr>
            <w:r>
              <w:rPr>
                <w:rFonts w:cs="Times New Roman"/>
                <w:sz w:val="20"/>
                <w:szCs w:val="20"/>
              </w:rPr>
              <w:t>Denotes complete data for the year (1= all quarters &gt;75% completeness, 0=</w:t>
            </w:r>
          </w:p>
          <w:p>
            <w:pPr>
              <w:spacing w:line="240" w:lineRule="auto"/>
              <w:ind w:left="225"/>
              <w:rPr>
                <w:rFonts w:cs="Times New Roman"/>
                <w:sz w:val="20"/>
                <w:szCs w:val="20"/>
              </w:rPr>
            </w:pPr>
            <w:r>
              <w:rPr>
                <w:rFonts w:cs="Times New Roman"/>
                <w:sz w:val="20"/>
                <w:szCs w:val="20"/>
              </w:rPr>
              <w:t>incomplete)</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71" w:type="dxa"/>
            <w:vAlign w:val="bottom"/>
          </w:tcPr>
          <w:p>
            <w:pPr>
              <w:spacing w:line="240" w:lineRule="auto"/>
              <w:rPr>
                <w:rFonts w:cs="Times New Roman"/>
                <w:b/>
                <w:bCs/>
                <w:color w:val="000000"/>
                <w:sz w:val="20"/>
                <w:szCs w:val="20"/>
              </w:rPr>
            </w:pPr>
            <w:r>
              <w:rPr>
                <w:rFonts w:cs="Times New Roman"/>
                <w:b/>
                <w:bCs/>
                <w:color w:val="000000"/>
                <w:sz w:val="20"/>
                <w:szCs w:val="20"/>
              </w:rPr>
              <w:t xml:space="preserve"> GROUP</w:t>
            </w:r>
          </w:p>
        </w:tc>
        <w:tc>
          <w:tcPr>
            <w:tcW w:w="6365" w:type="dxa"/>
          </w:tcPr>
          <w:p>
            <w:pPr>
              <w:spacing w:line="240" w:lineRule="auto"/>
              <w:ind w:left="225"/>
              <w:rPr>
                <w:rFonts w:cs="Times New Roman"/>
                <w:sz w:val="20"/>
                <w:szCs w:val="20"/>
              </w:rPr>
            </w:pPr>
            <w:r>
              <w:rPr>
                <w:rFonts w:cs="Times New Roman"/>
                <w:sz w:val="20"/>
                <w:szCs w:val="20"/>
              </w:rPr>
              <w:t>90= 20% worst days and 10= 20% best days for each year (if good_year=1)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71" w:type="dxa"/>
            <w:vAlign w:val="bottom"/>
          </w:tcPr>
          <w:p>
            <w:pPr>
              <w:spacing w:line="240" w:lineRule="auto"/>
              <w:rPr>
                <w:rFonts w:cs="Times New Roman"/>
                <w:color w:val="000000"/>
                <w:sz w:val="20"/>
                <w:szCs w:val="20"/>
              </w:rPr>
            </w:pPr>
            <w:r>
              <w:rPr>
                <w:rFonts w:cs="Times New Roman"/>
                <w:color w:val="000000"/>
                <w:sz w:val="20"/>
                <w:szCs w:val="20"/>
              </w:rPr>
              <w:t xml:space="preserve"> POSSIBLE_NDAYS</w:t>
            </w:r>
          </w:p>
        </w:tc>
        <w:tc>
          <w:tcPr>
            <w:tcW w:w="6365" w:type="dxa"/>
          </w:tcPr>
          <w:p>
            <w:pPr>
              <w:spacing w:line="240" w:lineRule="auto"/>
              <w:ind w:left="225"/>
              <w:rPr>
                <w:rFonts w:cs="Times New Roman"/>
                <w:sz w:val="20"/>
                <w:szCs w:val="20"/>
              </w:rPr>
            </w:pPr>
            <w:r>
              <w:rPr>
                <w:rFonts w:cs="Times New Roman"/>
                <w:sz w:val="20"/>
                <w:szCs w:val="20"/>
              </w:rPr>
              <w:t>Possible samples in quarter</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71" w:type="dxa"/>
            <w:vAlign w:val="bottom"/>
          </w:tcPr>
          <w:p>
            <w:pPr>
              <w:spacing w:line="240" w:lineRule="auto"/>
              <w:rPr>
                <w:rFonts w:cs="Times New Roman"/>
                <w:color w:val="000000"/>
                <w:sz w:val="20"/>
                <w:szCs w:val="20"/>
              </w:rPr>
            </w:pPr>
            <w:r>
              <w:rPr>
                <w:rFonts w:cs="Times New Roman"/>
                <w:color w:val="000000"/>
                <w:sz w:val="20"/>
                <w:szCs w:val="20"/>
              </w:rPr>
              <w:t xml:space="preserve"> NDAYS</w:t>
            </w:r>
          </w:p>
        </w:tc>
        <w:tc>
          <w:tcPr>
            <w:tcW w:w="6365" w:type="dxa"/>
          </w:tcPr>
          <w:p>
            <w:pPr>
              <w:spacing w:line="240" w:lineRule="auto"/>
              <w:ind w:left="225"/>
              <w:rPr>
                <w:rFonts w:cs="Times New Roman"/>
                <w:sz w:val="20"/>
                <w:szCs w:val="20"/>
              </w:rPr>
            </w:pPr>
            <w:r>
              <w:rPr>
                <w:rFonts w:cs="Times New Roman"/>
                <w:sz w:val="20"/>
                <w:szCs w:val="20"/>
              </w:rPr>
              <w:t>Actual complete samples per quarter</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71" w:type="dxa"/>
            <w:vAlign w:val="bottom"/>
          </w:tcPr>
          <w:p>
            <w:pPr>
              <w:spacing w:line="240" w:lineRule="auto"/>
              <w:rPr>
                <w:rFonts w:cs="Times New Roman"/>
                <w:color w:val="000000"/>
                <w:sz w:val="20"/>
                <w:szCs w:val="20"/>
              </w:rPr>
            </w:pPr>
            <w:r>
              <w:rPr>
                <w:rFonts w:cs="Times New Roman"/>
                <w:color w:val="000000"/>
                <w:sz w:val="20"/>
                <w:szCs w:val="20"/>
              </w:rPr>
              <w:t>OMPLETE_QUARTER</w:t>
            </w:r>
          </w:p>
        </w:tc>
        <w:tc>
          <w:tcPr>
            <w:tcW w:w="6365" w:type="dxa"/>
          </w:tcPr>
          <w:p>
            <w:pPr>
              <w:spacing w:line="240" w:lineRule="auto"/>
              <w:ind w:left="225"/>
              <w:rPr>
                <w:rFonts w:cs="Times New Roman"/>
                <w:sz w:val="20"/>
                <w:szCs w:val="20"/>
              </w:rPr>
            </w:pPr>
            <w:r>
              <w:rPr>
                <w:rFonts w:cs="Times New Roman"/>
                <w:sz w:val="20"/>
                <w:szCs w:val="20"/>
              </w:rPr>
              <w:t>Quarter completeness (1= complete, 0= incomplete)</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282" w:hRule="atLeast"/>
        </w:trPr>
        <w:tc>
          <w:tcPr>
            <w:tcW w:w="2171" w:type="dxa"/>
            <w:vAlign w:val="bottom"/>
          </w:tcPr>
          <w:p>
            <w:pPr>
              <w:spacing w:line="240" w:lineRule="auto"/>
              <w:rPr>
                <w:rFonts w:cs="Times New Roman"/>
                <w:color w:val="000000"/>
                <w:sz w:val="20"/>
                <w:szCs w:val="20"/>
              </w:rPr>
            </w:pPr>
            <w:r>
              <w:rPr>
                <w:rFonts w:cs="Times New Roman"/>
                <w:color w:val="000000"/>
                <w:sz w:val="20"/>
                <w:szCs w:val="20"/>
              </w:rPr>
              <w:t xml:space="preserve"> SF</w:t>
            </w:r>
          </w:p>
        </w:tc>
        <w:tc>
          <w:tcPr>
            <w:tcW w:w="6365" w:type="dxa"/>
          </w:tcPr>
          <w:p>
            <w:pPr>
              <w:spacing w:line="240" w:lineRule="auto"/>
              <w:ind w:left="225"/>
              <w:rPr>
                <w:rFonts w:cs="Times New Roman"/>
                <w:sz w:val="20"/>
                <w:szCs w:val="20"/>
              </w:rPr>
            </w:pPr>
            <w:r>
              <w:rPr>
                <w:rFonts w:cs="Times New Roman"/>
                <w:sz w:val="20"/>
                <w:szCs w:val="20"/>
              </w:rPr>
              <w:t>Sulfur concentration (used to calculate ammonium sulfate)</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282" w:hRule="atLeast"/>
        </w:trPr>
        <w:tc>
          <w:tcPr>
            <w:tcW w:w="2171" w:type="dxa"/>
            <w:vAlign w:val="bottom"/>
          </w:tcPr>
          <w:p>
            <w:pPr>
              <w:spacing w:line="240" w:lineRule="auto"/>
              <w:rPr>
                <w:rFonts w:cs="Times New Roman"/>
                <w:color w:val="000000"/>
                <w:sz w:val="20"/>
                <w:szCs w:val="20"/>
              </w:rPr>
            </w:pPr>
            <w:r>
              <w:rPr>
                <w:rFonts w:cs="Times New Roman"/>
                <w:color w:val="000000"/>
                <w:sz w:val="20"/>
                <w:szCs w:val="20"/>
              </w:rPr>
              <w:t xml:space="preserve"> SO4F</w:t>
            </w:r>
          </w:p>
        </w:tc>
        <w:tc>
          <w:tcPr>
            <w:tcW w:w="6365" w:type="dxa"/>
          </w:tcPr>
          <w:p>
            <w:pPr>
              <w:spacing w:line="240" w:lineRule="auto"/>
              <w:ind w:left="225"/>
              <w:rPr>
                <w:rFonts w:cs="Times New Roman"/>
                <w:sz w:val="20"/>
                <w:szCs w:val="20"/>
              </w:rPr>
            </w:pPr>
            <w:r>
              <w:rPr>
                <w:rFonts w:cs="Times New Roman"/>
                <w:sz w:val="20"/>
                <w:szCs w:val="20"/>
              </w:rPr>
              <w:t>Sulfate concentration (may be used as a backup in case S is missing)</w:t>
            </w:r>
          </w:p>
        </w:tc>
      </w:tr>
    </w:tbl>
    <w:p>
      <w:pPr>
        <w:pStyle w:val="4"/>
      </w:pPr>
      <w:r>
        <w:t>Model Data</w:t>
      </w:r>
    </w:p>
    <w:p>
      <w:pPr>
        <w:rPr>
          <w:lang w:eastAsia="en-US"/>
        </w:rPr>
      </w:pPr>
      <w:r>
        <w:rPr>
          <w:lang w:eastAsia="en-US"/>
        </w:rPr>
        <w:t>Model data for the B20 and W20 visibility days are used to calculate RRFs, which provide an estimate of the relative change in visibility from the baseline conditions to a future year. The monitor data are used to identify the B20 and W20 days. SMAT-CE will match the best and worst measured days to the correct modeled days, by date. The model data input to SMAT-CE are PM species concentrations (ug/m</w:t>
      </w:r>
      <w:r>
        <w:rPr>
          <w:vertAlign w:val="superscript"/>
          <w:lang w:eastAsia="en-US"/>
        </w:rPr>
        <w:t>3</w:t>
      </w:r>
      <w:r>
        <w:rPr>
          <w:lang w:eastAsia="en-US"/>
        </w:rPr>
        <w:t xml:space="preserve">). </w:t>
      </w:r>
    </w:p>
    <w:p>
      <w:r>
        <w:rPr>
          <w:lang w:eastAsia="en-US"/>
        </w:rPr>
        <w:t>The following exhibits provide an example of the model data format and a description of the variables. Note that the first line of the data file gives the frequency of the data. In this case, daily data. The second line gives the variables names. The data begins on the third line. Each data line represents a daily observation.</w:t>
      </w:r>
      <w:r>
        <w:t xml:space="preserve"> </w:t>
      </w:r>
    </w:p>
    <w:p>
      <w:pPr>
        <w:keepNext/>
      </w:pPr>
      <w:r>
        <w:drawing>
          <wp:inline distT="0" distB="0" distL="0" distR="0">
            <wp:extent cx="5274310" cy="125857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9"/>
                    <a:stretch>
                      <a:fillRect/>
                    </a:stretch>
                  </pic:blipFill>
                  <pic:spPr>
                    <a:xfrm>
                      <a:off x="0" y="0"/>
                      <a:ext cx="5274310" cy="1258570"/>
                    </a:xfrm>
                    <a:prstGeom prst="rect">
                      <a:avLst/>
                    </a:prstGeom>
                  </pic:spPr>
                </pic:pic>
              </a:graphicData>
            </a:graphic>
          </wp:inline>
        </w:drawing>
      </w:r>
    </w:p>
    <w:p>
      <w:pPr>
        <w:pStyle w:val="12"/>
        <w:rPr>
          <w:rFonts w:cs="Times New Roman"/>
          <w:b w:val="0"/>
          <w:bCs/>
          <w:i/>
          <w:iCs/>
          <w:kern w:val="0"/>
          <w:szCs w:val="24"/>
        </w:rPr>
      </w:pPr>
      <w:bookmarkStart w:id="498" w:name="_Toc119010933"/>
      <w:bookmarkStart w:id="499" w:name="_Toc3334"/>
      <w:bookmarkStart w:id="500" w:name="_Toc20795"/>
      <w:bookmarkStart w:id="501" w:name="_Toc25745"/>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9</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5</w:t>
      </w:r>
      <w:r>
        <w:rPr>
          <w:b w:val="0"/>
          <w:bCs/>
          <w:i/>
          <w:iCs/>
        </w:rPr>
        <w:fldChar w:fldCharType="end"/>
      </w:r>
      <w:bookmarkStart w:id="502" w:name="_Toc12955"/>
      <w:r>
        <w:rPr>
          <w:b w:val="0"/>
          <w:bCs/>
          <w:i/>
          <w:iCs/>
        </w:rPr>
        <w:t xml:space="preserve"> </w:t>
      </w:r>
      <w:r>
        <w:rPr>
          <w:rFonts w:cs="Times New Roman"/>
          <w:b w:val="0"/>
          <w:bCs/>
          <w:i/>
          <w:iCs/>
          <w:kern w:val="0"/>
          <w:szCs w:val="24"/>
        </w:rPr>
        <w:t>Format for Daily PM Model Data</w:t>
      </w:r>
      <w:bookmarkEnd w:id="498"/>
      <w:bookmarkEnd w:id="499"/>
      <w:bookmarkEnd w:id="500"/>
      <w:bookmarkEnd w:id="501"/>
      <w:bookmarkEnd w:id="502"/>
    </w:p>
    <w:p/>
    <w:p/>
    <w:p>
      <w:pPr>
        <w:pStyle w:val="12"/>
        <w:keepNext/>
      </w:pPr>
      <w:bookmarkStart w:id="503" w:name="_Toc12677"/>
      <w:bookmarkStart w:id="504" w:name="_Toc22781"/>
      <w:r>
        <w:rPr>
          <w:b w:val="0"/>
          <w:bCs/>
          <w:i/>
          <w:iCs/>
        </w:rPr>
        <w:t xml:space="preserve">Table </w:t>
      </w:r>
      <w:r>
        <w:rPr>
          <w:b w:val="0"/>
          <w:bCs/>
          <w:i/>
          <w:iCs/>
        </w:rPr>
        <w:fldChar w:fldCharType="begin"/>
      </w:r>
      <w:r>
        <w:rPr>
          <w:b w:val="0"/>
          <w:bCs/>
          <w:i/>
          <w:iCs/>
        </w:rPr>
        <w:instrText xml:space="preserve"> STYLEREF 1 \s </w:instrText>
      </w:r>
      <w:r>
        <w:rPr>
          <w:b w:val="0"/>
          <w:bCs/>
          <w:i/>
          <w:iCs/>
        </w:rPr>
        <w:fldChar w:fldCharType="separate"/>
      </w:r>
      <w:r>
        <w:rPr>
          <w:b w:val="0"/>
          <w:bCs/>
          <w:i/>
          <w:iCs/>
        </w:rPr>
        <w:t>9</w:t>
      </w:r>
      <w:r>
        <w:rPr>
          <w:b w:val="0"/>
          <w:bCs/>
          <w:i/>
          <w:iCs/>
        </w:rPr>
        <w:fldChar w:fldCharType="end"/>
      </w:r>
      <w:r>
        <w:rPr>
          <w:rFonts w:hint="eastAsia"/>
          <w:b w:val="0"/>
          <w:bCs/>
          <w:i/>
          <w:iCs/>
        </w:rPr>
        <w:t>-</w:t>
      </w:r>
      <w:r>
        <w:rPr>
          <w:b w:val="0"/>
          <w:bCs/>
          <w:i/>
          <w:iCs/>
        </w:rPr>
        <w:fldChar w:fldCharType="begin"/>
      </w:r>
      <w:r>
        <w:rPr>
          <w:b w:val="0"/>
          <w:bCs/>
          <w:i/>
          <w:iCs/>
        </w:rPr>
        <w:instrText xml:space="preserve"> SEQ Table \* ARABIC \s 1 </w:instrText>
      </w:r>
      <w:r>
        <w:rPr>
          <w:b w:val="0"/>
          <w:bCs/>
          <w:i/>
          <w:iCs/>
        </w:rPr>
        <w:fldChar w:fldCharType="separate"/>
      </w:r>
      <w:r>
        <w:rPr>
          <w:b w:val="0"/>
          <w:bCs/>
          <w:i/>
          <w:iCs/>
        </w:rPr>
        <w:t>5</w:t>
      </w:r>
      <w:r>
        <w:rPr>
          <w:b w:val="0"/>
          <w:bCs/>
          <w:i/>
          <w:iCs/>
        </w:rPr>
        <w:fldChar w:fldCharType="end"/>
      </w:r>
      <w:r>
        <w:rPr>
          <w:rFonts w:hint="eastAsia"/>
          <w:b w:val="0"/>
          <w:bCs/>
          <w:i/>
          <w:iCs/>
        </w:rPr>
        <w:t xml:space="preserve"> Variables and descriptions for </w:t>
      </w:r>
      <w:r>
        <w:rPr>
          <w:rFonts w:cs="Times New Roman"/>
          <w:b w:val="0"/>
          <w:bCs/>
          <w:i/>
          <w:iCs/>
          <w:kern w:val="0"/>
          <w:szCs w:val="24"/>
        </w:rPr>
        <w:t>Daily PM Model Data</w:t>
      </w:r>
      <w:r>
        <w:rPr>
          <w:rFonts w:hint="eastAsia"/>
          <w:b w:val="0"/>
          <w:bCs/>
          <w:i/>
          <w:iCs/>
        </w:rPr>
        <w:t xml:space="preserve"> file</w:t>
      </w:r>
      <w:bookmarkEnd w:id="503"/>
      <w:bookmarkEnd w:id="504"/>
    </w:p>
    <w:tbl>
      <w:tblPr>
        <w:tblStyle w:val="30"/>
        <w:tblW w:w="0" w:type="auto"/>
        <w:tblInd w:w="-23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0"/>
        <w:gridCol w:w="6736"/>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790" w:type="dxa"/>
          </w:tcPr>
          <w:p>
            <w:pPr>
              <w:spacing w:line="240" w:lineRule="auto"/>
              <w:ind w:left="225"/>
              <w:rPr>
                <w:rFonts w:cs="Times New Roman"/>
                <w:b/>
                <w:bCs/>
                <w:sz w:val="20"/>
                <w:szCs w:val="20"/>
              </w:rPr>
            </w:pPr>
            <w:r>
              <w:rPr>
                <w:rFonts w:cs="Times New Roman"/>
                <w:b/>
                <w:bCs/>
                <w:sz w:val="20"/>
                <w:szCs w:val="20"/>
              </w:rPr>
              <w:t>Var Name</w:t>
            </w:r>
          </w:p>
        </w:tc>
        <w:tc>
          <w:tcPr>
            <w:tcW w:w="6736" w:type="dxa"/>
          </w:tcPr>
          <w:p>
            <w:pPr>
              <w:spacing w:line="240" w:lineRule="auto"/>
              <w:ind w:left="225"/>
              <w:rPr>
                <w:rFonts w:cs="Times New Roman"/>
                <w:b/>
                <w:bCs/>
                <w:sz w:val="20"/>
                <w:szCs w:val="20"/>
              </w:rPr>
            </w:pPr>
            <w:r>
              <w:rPr>
                <w:rFonts w:cs="Times New Roman"/>
                <w:b/>
                <w:bCs/>
                <w:sz w:val="20"/>
                <w:szCs w:val="20"/>
              </w:rPr>
              <w:t>Description</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790" w:type="dxa"/>
            <w:vAlign w:val="bottom"/>
          </w:tcPr>
          <w:p>
            <w:pPr>
              <w:spacing w:line="240" w:lineRule="auto"/>
              <w:ind w:left="225"/>
              <w:rPr>
                <w:rFonts w:cs="Times New Roman"/>
                <w:sz w:val="20"/>
                <w:szCs w:val="20"/>
              </w:rPr>
            </w:pPr>
            <w:r>
              <w:rPr>
                <w:rFonts w:cs="Times New Roman"/>
                <w:color w:val="000000"/>
                <w:sz w:val="20"/>
                <w:szCs w:val="20"/>
              </w:rPr>
              <w:t>_ID</w:t>
            </w:r>
          </w:p>
        </w:tc>
        <w:tc>
          <w:tcPr>
            <w:tcW w:w="6736" w:type="dxa"/>
          </w:tcPr>
          <w:p>
            <w:pPr>
              <w:spacing w:line="240" w:lineRule="auto"/>
              <w:ind w:left="225"/>
              <w:rPr>
                <w:rFonts w:cs="Times New Roman"/>
                <w:sz w:val="20"/>
                <w:szCs w:val="20"/>
              </w:rPr>
            </w:pPr>
            <w:r>
              <w:rPr>
                <w:rFonts w:cs="Times New Roman"/>
                <w:sz w:val="20"/>
                <w:szCs w:val="20"/>
              </w:rPr>
              <w:t>The ID is a unique number for each model grid cell in the air quality model domain. It is generally based on the column and row identifiers from the air quality modeling domain. The default convention is to calculate the ID by multiplying the column identifier by one thousand (1000) and adding the row identifier. (This is a character variable)</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790" w:type="dxa"/>
            <w:vAlign w:val="bottom"/>
          </w:tcPr>
          <w:p>
            <w:pPr>
              <w:spacing w:line="240" w:lineRule="auto"/>
              <w:ind w:left="225"/>
              <w:rPr>
                <w:rFonts w:cs="Times New Roman"/>
                <w:sz w:val="20"/>
                <w:szCs w:val="20"/>
              </w:rPr>
            </w:pPr>
            <w:r>
              <w:rPr>
                <w:rFonts w:cs="Times New Roman"/>
                <w:color w:val="000000"/>
                <w:sz w:val="20"/>
                <w:szCs w:val="20"/>
              </w:rPr>
              <w:t>_TYPE</w:t>
            </w:r>
          </w:p>
        </w:tc>
        <w:tc>
          <w:tcPr>
            <w:tcW w:w="6736" w:type="dxa"/>
          </w:tcPr>
          <w:p>
            <w:pPr>
              <w:spacing w:line="240" w:lineRule="auto"/>
              <w:ind w:left="225"/>
              <w:rPr>
                <w:rFonts w:cs="Times New Roman"/>
                <w:sz w:val="20"/>
                <w:szCs w:val="20"/>
              </w:rPr>
            </w:pPr>
            <w:r>
              <w:rPr>
                <w:rFonts w:cs="Times New Roman"/>
                <w:sz w:val="20"/>
                <w:szCs w:val="20"/>
              </w:rPr>
              <w:t>Leave blank.</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790" w:type="dxa"/>
            <w:vAlign w:val="bottom"/>
          </w:tcPr>
          <w:p>
            <w:pPr>
              <w:spacing w:line="240" w:lineRule="auto"/>
              <w:ind w:left="225"/>
              <w:rPr>
                <w:rFonts w:cs="Times New Roman"/>
                <w:sz w:val="20"/>
                <w:szCs w:val="20"/>
              </w:rPr>
            </w:pPr>
            <w:r>
              <w:rPr>
                <w:rFonts w:cs="Times New Roman"/>
                <w:color w:val="000000"/>
                <w:sz w:val="20"/>
                <w:szCs w:val="20"/>
              </w:rPr>
              <w:t>LAT</w:t>
            </w:r>
          </w:p>
        </w:tc>
        <w:tc>
          <w:tcPr>
            <w:tcW w:w="6736" w:type="dxa"/>
          </w:tcPr>
          <w:p>
            <w:pPr>
              <w:spacing w:line="240" w:lineRule="auto"/>
              <w:ind w:left="225"/>
              <w:rPr>
                <w:rFonts w:cs="Times New Roman"/>
                <w:sz w:val="20"/>
                <w:szCs w:val="20"/>
              </w:rPr>
            </w:pPr>
            <w:r>
              <w:rPr>
                <w:rFonts w:cs="Times New Roman"/>
                <w:sz w:val="20"/>
                <w:szCs w:val="20"/>
              </w:rPr>
              <w:t>Latitude at the grid cell centroid in decimal degrees. Values in the northern hemisphere are positive, and those in the southern hemisphere are negative.</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790" w:type="dxa"/>
            <w:vAlign w:val="bottom"/>
          </w:tcPr>
          <w:p>
            <w:pPr>
              <w:spacing w:line="240" w:lineRule="auto"/>
              <w:ind w:left="225"/>
              <w:rPr>
                <w:rFonts w:cs="Times New Roman"/>
                <w:sz w:val="20"/>
                <w:szCs w:val="20"/>
              </w:rPr>
            </w:pPr>
            <w:r>
              <w:rPr>
                <w:rFonts w:cs="Times New Roman"/>
                <w:color w:val="000000"/>
                <w:sz w:val="20"/>
                <w:szCs w:val="20"/>
              </w:rPr>
              <w:t>LONG</w:t>
            </w:r>
          </w:p>
        </w:tc>
        <w:tc>
          <w:tcPr>
            <w:tcW w:w="6736" w:type="dxa"/>
          </w:tcPr>
          <w:p>
            <w:pPr>
              <w:spacing w:line="240" w:lineRule="auto"/>
              <w:ind w:left="225"/>
              <w:rPr>
                <w:rFonts w:cs="Times New Roman"/>
                <w:sz w:val="20"/>
                <w:szCs w:val="20"/>
              </w:rPr>
            </w:pPr>
            <w:r>
              <w:rPr>
                <w:rFonts w:cs="Times New Roman"/>
                <w:sz w:val="20"/>
                <w:szCs w:val="20"/>
              </w:rPr>
              <w:t>Longitude at the grid cell centroid in decimal degrees. Values in the eastern</w:t>
            </w:r>
          </w:p>
          <w:p>
            <w:pPr>
              <w:spacing w:line="240" w:lineRule="auto"/>
              <w:ind w:left="225"/>
              <w:rPr>
                <w:rFonts w:cs="Times New Roman"/>
                <w:sz w:val="20"/>
                <w:szCs w:val="20"/>
              </w:rPr>
            </w:pPr>
            <w:r>
              <w:rPr>
                <w:rFonts w:cs="Times New Roman"/>
                <w:sz w:val="20"/>
                <w:szCs w:val="20"/>
              </w:rPr>
              <w:t>hemisphere are positive, and those in the western hemisphere (e.g., United States) are negative.</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790" w:type="dxa"/>
            <w:vAlign w:val="bottom"/>
          </w:tcPr>
          <w:p>
            <w:pPr>
              <w:spacing w:line="240" w:lineRule="auto"/>
              <w:ind w:left="225"/>
              <w:rPr>
                <w:rFonts w:cs="Times New Roman"/>
                <w:sz w:val="20"/>
                <w:szCs w:val="20"/>
              </w:rPr>
            </w:pPr>
            <w:r>
              <w:rPr>
                <w:rFonts w:cs="Times New Roman"/>
                <w:color w:val="000000"/>
                <w:sz w:val="20"/>
                <w:szCs w:val="20"/>
              </w:rPr>
              <w:t>DATE</w:t>
            </w:r>
          </w:p>
        </w:tc>
        <w:tc>
          <w:tcPr>
            <w:tcW w:w="6736" w:type="dxa"/>
          </w:tcPr>
          <w:p>
            <w:pPr>
              <w:spacing w:line="240" w:lineRule="auto"/>
              <w:ind w:left="225"/>
              <w:rPr>
                <w:rFonts w:cs="Times New Roman"/>
                <w:sz w:val="20"/>
                <w:szCs w:val="20"/>
              </w:rPr>
            </w:pPr>
            <w:r>
              <w:rPr>
                <w:rFonts w:cs="Times New Roman"/>
                <w:sz w:val="20"/>
                <w:szCs w:val="20"/>
              </w:rPr>
              <w:t>Date of daily average model value with YYYYMMDD format (This is a numeric variable)</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790" w:type="dxa"/>
            <w:vAlign w:val="bottom"/>
          </w:tcPr>
          <w:p>
            <w:pPr>
              <w:spacing w:line="240" w:lineRule="auto"/>
              <w:ind w:left="225"/>
              <w:rPr>
                <w:rFonts w:cs="Times New Roman"/>
                <w:sz w:val="20"/>
                <w:szCs w:val="20"/>
              </w:rPr>
            </w:pPr>
            <w:r>
              <w:rPr>
                <w:rFonts w:cs="Times New Roman"/>
                <w:color w:val="000000"/>
                <w:sz w:val="20"/>
                <w:szCs w:val="20"/>
              </w:rPr>
              <w:t>CRUSTAL</w:t>
            </w:r>
          </w:p>
        </w:tc>
        <w:tc>
          <w:tcPr>
            <w:tcW w:w="6736" w:type="dxa"/>
          </w:tcPr>
          <w:p>
            <w:pPr>
              <w:spacing w:line="240" w:lineRule="auto"/>
              <w:ind w:left="225"/>
              <w:rPr>
                <w:rFonts w:cs="Times New Roman"/>
                <w:sz w:val="20"/>
                <w:szCs w:val="20"/>
              </w:rPr>
            </w:pPr>
            <w:r>
              <w:rPr>
                <w:rFonts w:cs="Times New Roman"/>
                <w:sz w:val="20"/>
                <w:szCs w:val="20"/>
              </w:rPr>
              <w:t>Crustal PM</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790" w:type="dxa"/>
            <w:vAlign w:val="bottom"/>
          </w:tcPr>
          <w:p>
            <w:pPr>
              <w:spacing w:line="240" w:lineRule="auto"/>
              <w:ind w:left="225"/>
              <w:rPr>
                <w:rFonts w:cs="Times New Roman"/>
                <w:sz w:val="20"/>
                <w:szCs w:val="20"/>
              </w:rPr>
            </w:pPr>
            <w:r>
              <w:rPr>
                <w:rFonts w:cs="Times New Roman"/>
                <w:color w:val="000000"/>
                <w:sz w:val="20"/>
                <w:szCs w:val="20"/>
              </w:rPr>
              <w:t>NH</w:t>
            </w:r>
            <w:r>
              <w:rPr>
                <w:rFonts w:cs="Times New Roman"/>
                <w:color w:val="000000"/>
                <w:sz w:val="20"/>
                <w:szCs w:val="20"/>
                <w:vertAlign w:val="subscript"/>
              </w:rPr>
              <w:t>4</w:t>
            </w:r>
          </w:p>
        </w:tc>
        <w:tc>
          <w:tcPr>
            <w:tcW w:w="6736" w:type="dxa"/>
          </w:tcPr>
          <w:p>
            <w:pPr>
              <w:spacing w:line="240" w:lineRule="auto"/>
              <w:ind w:left="225"/>
              <w:rPr>
                <w:rFonts w:cs="Times New Roman"/>
                <w:sz w:val="20"/>
                <w:szCs w:val="20"/>
              </w:rPr>
            </w:pPr>
            <w:r>
              <w:rPr>
                <w:rFonts w:cs="Times New Roman"/>
                <w:sz w:val="20"/>
                <w:szCs w:val="20"/>
              </w:rPr>
              <w:t>Ammonium mass</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790" w:type="dxa"/>
            <w:vAlign w:val="bottom"/>
          </w:tcPr>
          <w:p>
            <w:pPr>
              <w:spacing w:line="240" w:lineRule="auto"/>
              <w:ind w:left="225"/>
              <w:rPr>
                <w:rFonts w:cs="Times New Roman"/>
                <w:sz w:val="20"/>
                <w:szCs w:val="20"/>
              </w:rPr>
            </w:pPr>
            <w:r>
              <w:rPr>
                <w:rFonts w:cs="Times New Roman"/>
                <w:color w:val="000000"/>
                <w:sz w:val="20"/>
                <w:szCs w:val="20"/>
              </w:rPr>
              <w:t>SO</w:t>
            </w:r>
            <w:r>
              <w:rPr>
                <w:rFonts w:cs="Times New Roman"/>
                <w:color w:val="000000"/>
                <w:sz w:val="20"/>
                <w:szCs w:val="20"/>
                <w:vertAlign w:val="subscript"/>
              </w:rPr>
              <w:t>4</w:t>
            </w:r>
          </w:p>
        </w:tc>
        <w:tc>
          <w:tcPr>
            <w:tcW w:w="6736" w:type="dxa"/>
          </w:tcPr>
          <w:p>
            <w:pPr>
              <w:spacing w:line="240" w:lineRule="auto"/>
              <w:ind w:left="225"/>
              <w:rPr>
                <w:rFonts w:cs="Times New Roman"/>
                <w:sz w:val="20"/>
                <w:szCs w:val="20"/>
              </w:rPr>
            </w:pPr>
            <w:r>
              <w:rPr>
                <w:rFonts w:cs="Times New Roman"/>
                <w:sz w:val="20"/>
                <w:szCs w:val="20"/>
              </w:rPr>
              <w:t>Sulfate PM</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790" w:type="dxa"/>
            <w:vAlign w:val="bottom"/>
          </w:tcPr>
          <w:p>
            <w:pPr>
              <w:spacing w:line="240" w:lineRule="auto"/>
              <w:ind w:left="225"/>
              <w:rPr>
                <w:rFonts w:cs="Times New Roman"/>
                <w:sz w:val="20"/>
                <w:szCs w:val="20"/>
              </w:rPr>
            </w:pPr>
            <w:r>
              <w:rPr>
                <w:rFonts w:cs="Times New Roman"/>
                <w:color w:val="000000"/>
                <w:sz w:val="20"/>
                <w:szCs w:val="20"/>
              </w:rPr>
              <w:t>EC</w:t>
            </w:r>
          </w:p>
        </w:tc>
        <w:tc>
          <w:tcPr>
            <w:tcW w:w="6736" w:type="dxa"/>
          </w:tcPr>
          <w:p>
            <w:pPr>
              <w:spacing w:line="240" w:lineRule="auto"/>
              <w:ind w:left="225"/>
              <w:rPr>
                <w:rFonts w:cs="Times New Roman"/>
                <w:sz w:val="20"/>
                <w:szCs w:val="20"/>
              </w:rPr>
            </w:pPr>
            <w:r>
              <w:rPr>
                <w:rFonts w:cs="Times New Roman"/>
                <w:sz w:val="20"/>
                <w:szCs w:val="20"/>
              </w:rPr>
              <w:t>Elemental Carbon</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790" w:type="dxa"/>
            <w:vAlign w:val="bottom"/>
          </w:tcPr>
          <w:p>
            <w:pPr>
              <w:spacing w:line="240" w:lineRule="auto"/>
              <w:ind w:left="225"/>
              <w:rPr>
                <w:rFonts w:cs="Times New Roman"/>
                <w:sz w:val="20"/>
                <w:szCs w:val="20"/>
              </w:rPr>
            </w:pPr>
            <w:r>
              <w:rPr>
                <w:rFonts w:cs="Times New Roman"/>
                <w:color w:val="000000"/>
                <w:sz w:val="20"/>
                <w:szCs w:val="20"/>
              </w:rPr>
              <w:t>NO</w:t>
            </w:r>
            <w:r>
              <w:rPr>
                <w:rFonts w:cs="Times New Roman"/>
                <w:color w:val="000000"/>
                <w:sz w:val="20"/>
                <w:szCs w:val="20"/>
                <w:vertAlign w:val="subscript"/>
              </w:rPr>
              <w:t>3</w:t>
            </w:r>
          </w:p>
        </w:tc>
        <w:tc>
          <w:tcPr>
            <w:tcW w:w="6736" w:type="dxa"/>
          </w:tcPr>
          <w:p>
            <w:pPr>
              <w:spacing w:line="240" w:lineRule="auto"/>
              <w:ind w:left="225"/>
              <w:rPr>
                <w:rFonts w:cs="Times New Roman"/>
                <w:sz w:val="20"/>
                <w:szCs w:val="20"/>
              </w:rPr>
            </w:pPr>
            <w:r>
              <w:rPr>
                <w:rFonts w:cs="Times New Roman"/>
                <w:sz w:val="20"/>
                <w:szCs w:val="20"/>
              </w:rPr>
              <w:t>Nitrate PM</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1790" w:type="dxa"/>
            <w:vAlign w:val="bottom"/>
          </w:tcPr>
          <w:p>
            <w:pPr>
              <w:spacing w:line="240" w:lineRule="auto"/>
              <w:ind w:left="225"/>
              <w:rPr>
                <w:rFonts w:cs="Times New Roman"/>
                <w:sz w:val="20"/>
                <w:szCs w:val="20"/>
              </w:rPr>
            </w:pPr>
            <w:r>
              <w:rPr>
                <w:rFonts w:cs="Times New Roman"/>
                <w:color w:val="000000"/>
                <w:sz w:val="20"/>
                <w:szCs w:val="20"/>
              </w:rPr>
              <w:t>OC</w:t>
            </w:r>
          </w:p>
        </w:tc>
        <w:tc>
          <w:tcPr>
            <w:tcW w:w="6736" w:type="dxa"/>
          </w:tcPr>
          <w:p>
            <w:pPr>
              <w:spacing w:line="240" w:lineRule="auto"/>
              <w:ind w:left="225"/>
              <w:rPr>
                <w:rFonts w:cs="Times New Roman"/>
                <w:sz w:val="20"/>
                <w:szCs w:val="20"/>
              </w:rPr>
            </w:pPr>
            <w:r>
              <w:rPr>
                <w:rFonts w:cs="Times New Roman"/>
                <w:sz w:val="20"/>
                <w:szCs w:val="20"/>
              </w:rPr>
              <w:t>Organic mass PM</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790" w:type="dxa"/>
            <w:vAlign w:val="bottom"/>
          </w:tcPr>
          <w:p>
            <w:pPr>
              <w:spacing w:line="240" w:lineRule="auto"/>
              <w:ind w:left="225"/>
              <w:rPr>
                <w:rFonts w:cs="Times New Roman"/>
                <w:color w:val="000000"/>
                <w:sz w:val="20"/>
                <w:szCs w:val="20"/>
              </w:rPr>
            </w:pPr>
            <w:r>
              <w:rPr>
                <w:rFonts w:cs="Times New Roman"/>
                <w:color w:val="000000"/>
                <w:sz w:val="20"/>
                <w:szCs w:val="20"/>
              </w:rPr>
              <w:t>PM</w:t>
            </w:r>
            <w:r>
              <w:rPr>
                <w:rFonts w:cs="Times New Roman"/>
                <w:color w:val="000000"/>
                <w:sz w:val="20"/>
                <w:szCs w:val="20"/>
                <w:vertAlign w:val="subscript"/>
              </w:rPr>
              <w:t>2.5</w:t>
            </w:r>
          </w:p>
        </w:tc>
        <w:tc>
          <w:tcPr>
            <w:tcW w:w="6736" w:type="dxa"/>
          </w:tcPr>
          <w:p>
            <w:pPr>
              <w:spacing w:line="240" w:lineRule="auto"/>
              <w:ind w:left="225"/>
              <w:rPr>
                <w:rFonts w:cs="Times New Roman"/>
                <w:sz w:val="20"/>
                <w:szCs w:val="20"/>
              </w:rPr>
            </w:pPr>
            <w:r>
              <w:rPr>
                <w:rFonts w:cs="Times New Roman"/>
                <w:sz w:val="20"/>
                <w:szCs w:val="20"/>
              </w:rPr>
              <w:t>PM</w:t>
            </w:r>
            <w:r>
              <w:rPr>
                <w:rFonts w:cs="Times New Roman"/>
                <w:sz w:val="20"/>
                <w:szCs w:val="20"/>
                <w:vertAlign w:val="subscript"/>
              </w:rPr>
              <w:t xml:space="preserve">2.5 </w:t>
            </w:r>
            <w:r>
              <w:rPr>
                <w:rFonts w:cs="Times New Roman"/>
                <w:sz w:val="20"/>
                <w:szCs w:val="20"/>
              </w:rPr>
              <w:t>mass</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790" w:type="dxa"/>
            <w:vAlign w:val="bottom"/>
          </w:tcPr>
          <w:p>
            <w:pPr>
              <w:spacing w:line="240" w:lineRule="auto"/>
              <w:ind w:left="225"/>
              <w:rPr>
                <w:rFonts w:cs="Times New Roman"/>
                <w:color w:val="000000"/>
                <w:sz w:val="20"/>
                <w:szCs w:val="20"/>
              </w:rPr>
            </w:pPr>
            <w:r>
              <w:rPr>
                <w:rFonts w:cs="Times New Roman"/>
                <w:color w:val="000000"/>
                <w:sz w:val="20"/>
                <w:szCs w:val="20"/>
              </w:rPr>
              <w:t>CM</w:t>
            </w:r>
          </w:p>
        </w:tc>
        <w:tc>
          <w:tcPr>
            <w:tcW w:w="6736" w:type="dxa"/>
          </w:tcPr>
          <w:p>
            <w:pPr>
              <w:spacing w:line="240" w:lineRule="auto"/>
              <w:ind w:left="225"/>
              <w:rPr>
                <w:rFonts w:cs="Times New Roman"/>
                <w:sz w:val="20"/>
                <w:szCs w:val="20"/>
              </w:rPr>
            </w:pPr>
            <w:r>
              <w:rPr>
                <w:rFonts w:cs="Times New Roman"/>
                <w:sz w:val="20"/>
                <w:szCs w:val="20"/>
              </w:rPr>
              <w:t>Coarse PM (ug/m3)</w:t>
            </w:r>
          </w:p>
        </w:tc>
      </w:tr>
    </w:tbl>
    <w:p>
      <w:pPr>
        <w:rPr>
          <w:lang w:eastAsia="en-US"/>
        </w:rPr>
      </w:pPr>
    </w:p>
    <w:p>
      <w:pPr>
        <w:rPr>
          <w:b/>
          <w:u w:val="single"/>
        </w:rPr>
      </w:pPr>
      <w:r>
        <w:rPr>
          <w:b/>
          <w:u w:val="single"/>
        </w:rPr>
        <w:t>Using Model Data</w:t>
      </w:r>
    </w:p>
    <w:p>
      <w:r>
        <w:t xml:space="preserve">For the </w:t>
      </w:r>
      <w:r>
        <w:rPr>
          <w:i/>
        </w:rPr>
        <w:t xml:space="preserve">Temporal adjustment at monitor </w:t>
      </w:r>
      <w:r>
        <w:t>setting select the matrix of model grid cells to use in the RRF calculation (1x1 matrix, 3x3 matrix, etc.). SMAT-CE will average the concentrations in the selected matrix to use for the RRF calculation.</w:t>
      </w:r>
    </w:p>
    <w:p>
      <w:r>
        <w:t>RRFs are then calculated for the species sulfate, nitrate, EC,</w:t>
      </w:r>
      <w:r>
        <w:rPr>
          <w:rFonts w:ascii="Helvetica" w:hAnsi="Helvetica"/>
          <w:kern w:val="0"/>
          <w:sz w:val="18"/>
          <w:szCs w:val="18"/>
          <w:lang w:eastAsia="en-US"/>
        </w:rPr>
        <w:t xml:space="preserve"> </w:t>
      </w:r>
      <w:r>
        <w:t>OMC, Crustal, and Coarse Matter (CM) by taking the ratio of the average of the B20 or W20 days in the future to the average corresponding B20 or W20</w:t>
      </w:r>
      <w:r>
        <w:rPr>
          <w:rFonts w:ascii="Helvetica" w:hAnsi="Helvetica"/>
          <w:kern w:val="0"/>
          <w:sz w:val="18"/>
          <w:szCs w:val="18"/>
          <w:lang w:eastAsia="en-US"/>
        </w:rPr>
        <w:t xml:space="preserve"> </w:t>
      </w:r>
      <w:r>
        <w:t>days in the baseline. For example, when calculating the sulfate RRF for the B20 days, SMAT-CE does the following calculation:</w:t>
      </w:r>
    </w:p>
    <w:p>
      <w:pPr>
        <w:rPr>
          <w:rFonts w:ascii="Helvetica" w:hAnsi="Helvetica"/>
          <w:kern w:val="0"/>
          <w:sz w:val="28"/>
          <w:szCs w:val="18"/>
          <w:lang w:eastAsia="en-US"/>
        </w:rPr>
      </w:pPr>
      <m:oMathPara>
        <m:oMath>
          <m:sSub>
            <m:sSubPr>
              <m:ctrlPr>
                <w:rPr>
                  <w:rFonts w:ascii="Cambria Math" w:hAnsi="Cambria Math"/>
                  <w:i/>
                  <w:kern w:val="0"/>
                  <w:sz w:val="28"/>
                  <w:szCs w:val="18"/>
                  <w:lang w:eastAsia="en-US"/>
                </w:rPr>
              </m:ctrlPr>
            </m:sSubPr>
            <m:e>
              <m:r>
                <m:rPr/>
                <w:rPr>
                  <w:rFonts w:ascii="Cambria Math" w:hAnsi="Cambria Math"/>
                  <w:kern w:val="0"/>
                  <w:sz w:val="28"/>
                  <w:szCs w:val="18"/>
                  <w:lang w:eastAsia="en-US"/>
                </w:rPr>
                <m:t>RRF</m:t>
              </m:r>
              <m:ctrlPr>
                <w:rPr>
                  <w:rFonts w:ascii="Cambria Math" w:hAnsi="Cambria Math"/>
                  <w:i/>
                  <w:kern w:val="0"/>
                  <w:sz w:val="28"/>
                  <w:szCs w:val="18"/>
                  <w:lang w:eastAsia="en-US"/>
                </w:rPr>
              </m:ctrlPr>
            </m:e>
            <m:sub>
              <m:r>
                <m:rPr/>
                <w:rPr>
                  <w:rFonts w:ascii="Cambria Math" w:hAnsi="Cambria Math"/>
                  <w:kern w:val="0"/>
                  <w:sz w:val="28"/>
                  <w:szCs w:val="18"/>
                  <w:lang w:eastAsia="en-US"/>
                </w:rPr>
                <m:t>Sulfate,j</m:t>
              </m:r>
              <m:ctrlPr>
                <w:rPr>
                  <w:rFonts w:ascii="Cambria Math" w:hAnsi="Cambria Math"/>
                  <w:i/>
                  <w:kern w:val="0"/>
                  <w:sz w:val="28"/>
                  <w:szCs w:val="18"/>
                  <w:lang w:eastAsia="en-US"/>
                </w:rPr>
              </m:ctrlPr>
            </m:sub>
          </m:sSub>
          <m:r>
            <m:rPr/>
            <w:rPr>
              <w:rFonts w:ascii="Cambria Math" w:hAnsi="Cambria Math"/>
              <w:kern w:val="0"/>
              <w:sz w:val="28"/>
              <w:szCs w:val="18"/>
              <w:lang w:eastAsia="en-US"/>
            </w:rPr>
            <m:t>=</m:t>
          </m:r>
          <m:f>
            <m:fPr>
              <m:ctrlPr>
                <w:rPr>
                  <w:rFonts w:ascii="Cambria Math" w:hAnsi="Cambria Math"/>
                  <w:i/>
                  <w:kern w:val="0"/>
                  <w:sz w:val="28"/>
                  <w:szCs w:val="18"/>
                  <w:lang w:eastAsia="en-US"/>
                </w:rPr>
              </m:ctrlPr>
            </m:fPr>
            <m:num>
              <m:f>
                <m:fPr>
                  <m:ctrlPr>
                    <w:rPr>
                      <w:rFonts w:ascii="Cambria Math" w:hAnsi="Cambria Math"/>
                      <w:i/>
                      <w:kern w:val="0"/>
                      <w:sz w:val="28"/>
                      <w:szCs w:val="18"/>
                      <w:lang w:eastAsia="en-US"/>
                    </w:rPr>
                  </m:ctrlPr>
                </m:fPr>
                <m:num>
                  <m:r>
                    <m:rPr/>
                    <w:rPr>
                      <w:rFonts w:ascii="Cambria Math" w:hAnsi="Cambria Math"/>
                      <w:kern w:val="0"/>
                      <w:sz w:val="28"/>
                      <w:szCs w:val="18"/>
                      <w:lang w:eastAsia="en-US"/>
                    </w:rPr>
                    <m:t>1</m:t>
                  </m:r>
                  <m:ctrlPr>
                    <w:rPr>
                      <w:rFonts w:ascii="Cambria Math" w:hAnsi="Cambria Math"/>
                      <w:i/>
                      <w:kern w:val="0"/>
                      <w:sz w:val="28"/>
                      <w:szCs w:val="18"/>
                      <w:lang w:eastAsia="en-US"/>
                    </w:rPr>
                  </m:ctrlPr>
                </m:num>
                <m:den>
                  <m:r>
                    <m:rPr/>
                    <w:rPr>
                      <w:rFonts w:ascii="Cambria Math" w:hAnsi="Cambria Math"/>
                      <w:kern w:val="0"/>
                      <w:sz w:val="28"/>
                      <w:szCs w:val="18"/>
                      <w:lang w:eastAsia="en-US"/>
                    </w:rPr>
                    <m:t>n</m:t>
                  </m:r>
                  <m:ctrlPr>
                    <w:rPr>
                      <w:rFonts w:ascii="Cambria Math" w:hAnsi="Cambria Math"/>
                      <w:i/>
                      <w:kern w:val="0"/>
                      <w:sz w:val="28"/>
                      <w:szCs w:val="18"/>
                      <w:lang w:eastAsia="en-US"/>
                    </w:rPr>
                  </m:ctrlPr>
                </m:den>
              </m:f>
              <m:nary>
                <m:naryPr>
                  <m:chr m:val="∑"/>
                  <m:limLoc m:val="undOvr"/>
                  <m:ctrlPr>
                    <w:rPr>
                      <w:rFonts w:ascii="Cambria Math" w:hAnsi="Cambria Math"/>
                      <w:i/>
                      <w:kern w:val="0"/>
                      <w:sz w:val="28"/>
                      <w:szCs w:val="18"/>
                      <w:lang w:eastAsia="en-US"/>
                    </w:rPr>
                  </m:ctrlPr>
                </m:naryPr>
                <m:sub>
                  <m:r>
                    <m:rPr/>
                    <w:rPr>
                      <w:rFonts w:ascii="Cambria Math" w:hAnsi="Cambria Math"/>
                      <w:kern w:val="0"/>
                      <w:sz w:val="28"/>
                      <w:szCs w:val="18"/>
                      <w:lang w:eastAsia="en-US"/>
                    </w:rPr>
                    <m:t>i=1</m:t>
                  </m:r>
                  <m:ctrlPr>
                    <w:rPr>
                      <w:rFonts w:ascii="Cambria Math" w:hAnsi="Cambria Math"/>
                      <w:i/>
                      <w:kern w:val="0"/>
                      <w:sz w:val="28"/>
                      <w:szCs w:val="18"/>
                      <w:lang w:eastAsia="en-US"/>
                    </w:rPr>
                  </m:ctrlPr>
                </m:sub>
                <m:sup>
                  <m:r>
                    <m:rPr/>
                    <w:rPr>
                      <w:rFonts w:ascii="Cambria Math" w:hAnsi="Cambria Math"/>
                      <w:kern w:val="0"/>
                      <w:sz w:val="28"/>
                      <w:szCs w:val="18"/>
                      <w:lang w:eastAsia="en-US"/>
                    </w:rPr>
                    <m:t>n</m:t>
                  </m:r>
                  <m:ctrlPr>
                    <w:rPr>
                      <w:rFonts w:ascii="Cambria Math" w:hAnsi="Cambria Math"/>
                      <w:i/>
                      <w:kern w:val="0"/>
                      <w:sz w:val="28"/>
                      <w:szCs w:val="18"/>
                      <w:lang w:eastAsia="en-US"/>
                    </w:rPr>
                  </m:ctrlPr>
                </m:sup>
                <m:e>
                  <m:sSub>
                    <m:sSubPr>
                      <m:ctrlPr>
                        <w:rPr>
                          <w:rFonts w:ascii="Cambria Math" w:hAnsi="Cambria Math"/>
                          <w:i/>
                          <w:kern w:val="0"/>
                          <w:sz w:val="28"/>
                          <w:szCs w:val="18"/>
                          <w:lang w:eastAsia="en-US"/>
                        </w:rPr>
                      </m:ctrlPr>
                    </m:sSubPr>
                    <m:e>
                      <m:r>
                        <m:rPr/>
                        <w:rPr>
                          <w:rFonts w:ascii="Cambria Math" w:hAnsi="Cambria Math"/>
                          <w:kern w:val="0"/>
                          <w:sz w:val="28"/>
                          <w:szCs w:val="18"/>
                          <w:lang w:eastAsia="en-US"/>
                        </w:rPr>
                        <m:t>Sulfate</m:t>
                      </m:r>
                      <m:ctrlPr>
                        <w:rPr>
                          <w:rFonts w:ascii="Cambria Math" w:hAnsi="Cambria Math"/>
                          <w:i/>
                          <w:kern w:val="0"/>
                          <w:sz w:val="28"/>
                          <w:szCs w:val="18"/>
                          <w:lang w:eastAsia="en-US"/>
                        </w:rPr>
                      </m:ctrlPr>
                    </m:e>
                    <m:sub>
                      <m:r>
                        <m:rPr/>
                        <w:rPr>
                          <w:rFonts w:ascii="Cambria Math" w:hAnsi="Cambria Math"/>
                          <w:kern w:val="0"/>
                          <w:sz w:val="28"/>
                          <w:szCs w:val="18"/>
                          <w:lang w:eastAsia="en-US"/>
                        </w:rPr>
                        <m:t>future, j,i</m:t>
                      </m:r>
                      <m:ctrlPr>
                        <w:rPr>
                          <w:rFonts w:ascii="Cambria Math" w:hAnsi="Cambria Math"/>
                          <w:i/>
                          <w:kern w:val="0"/>
                          <w:sz w:val="28"/>
                          <w:szCs w:val="18"/>
                          <w:lang w:eastAsia="en-US"/>
                        </w:rPr>
                      </m:ctrlPr>
                    </m:sub>
                  </m:sSub>
                  <m:ctrlPr>
                    <w:rPr>
                      <w:rFonts w:ascii="Cambria Math" w:hAnsi="Cambria Math"/>
                      <w:i/>
                      <w:kern w:val="0"/>
                      <w:sz w:val="28"/>
                      <w:szCs w:val="18"/>
                      <w:lang w:eastAsia="en-US"/>
                    </w:rPr>
                  </m:ctrlPr>
                </m:e>
              </m:nary>
              <m:ctrlPr>
                <w:rPr>
                  <w:rFonts w:ascii="Cambria Math" w:hAnsi="Cambria Math"/>
                  <w:i/>
                  <w:kern w:val="0"/>
                  <w:sz w:val="28"/>
                  <w:szCs w:val="18"/>
                  <w:lang w:eastAsia="en-US"/>
                </w:rPr>
              </m:ctrlPr>
            </m:num>
            <m:den>
              <m:f>
                <m:fPr>
                  <m:ctrlPr>
                    <w:rPr>
                      <w:rFonts w:ascii="Cambria Math" w:hAnsi="Cambria Math"/>
                      <w:i/>
                      <w:kern w:val="0"/>
                      <w:sz w:val="28"/>
                      <w:szCs w:val="18"/>
                      <w:lang w:eastAsia="en-US"/>
                    </w:rPr>
                  </m:ctrlPr>
                </m:fPr>
                <m:num>
                  <m:r>
                    <m:rPr/>
                    <w:rPr>
                      <w:rFonts w:ascii="Cambria Math" w:hAnsi="Cambria Math"/>
                      <w:kern w:val="0"/>
                      <w:sz w:val="28"/>
                      <w:szCs w:val="18"/>
                      <w:lang w:eastAsia="en-US"/>
                    </w:rPr>
                    <m:t>1</m:t>
                  </m:r>
                  <m:ctrlPr>
                    <w:rPr>
                      <w:rFonts w:ascii="Cambria Math" w:hAnsi="Cambria Math"/>
                      <w:i/>
                      <w:kern w:val="0"/>
                      <w:sz w:val="28"/>
                      <w:szCs w:val="18"/>
                      <w:lang w:eastAsia="en-US"/>
                    </w:rPr>
                  </m:ctrlPr>
                </m:num>
                <m:den>
                  <m:r>
                    <m:rPr/>
                    <w:rPr>
                      <w:rFonts w:ascii="Cambria Math" w:hAnsi="Cambria Math"/>
                      <w:kern w:val="0"/>
                      <w:sz w:val="28"/>
                      <w:szCs w:val="18"/>
                      <w:lang w:eastAsia="en-US"/>
                    </w:rPr>
                    <m:t>n</m:t>
                  </m:r>
                  <m:ctrlPr>
                    <w:rPr>
                      <w:rFonts w:ascii="Cambria Math" w:hAnsi="Cambria Math"/>
                      <w:i/>
                      <w:kern w:val="0"/>
                      <w:sz w:val="28"/>
                      <w:szCs w:val="18"/>
                      <w:lang w:eastAsia="en-US"/>
                    </w:rPr>
                  </m:ctrlPr>
                </m:den>
              </m:f>
              <m:nary>
                <m:naryPr>
                  <m:chr m:val="∑"/>
                  <m:limLoc m:val="undOvr"/>
                  <m:ctrlPr>
                    <w:rPr>
                      <w:rFonts w:ascii="Cambria Math" w:hAnsi="Cambria Math"/>
                      <w:i/>
                      <w:kern w:val="0"/>
                      <w:sz w:val="28"/>
                      <w:szCs w:val="18"/>
                      <w:lang w:eastAsia="en-US"/>
                    </w:rPr>
                  </m:ctrlPr>
                </m:naryPr>
                <m:sub>
                  <m:r>
                    <m:rPr/>
                    <w:rPr>
                      <w:rFonts w:ascii="Cambria Math" w:hAnsi="Cambria Math"/>
                      <w:kern w:val="0"/>
                      <w:sz w:val="28"/>
                      <w:szCs w:val="18"/>
                      <w:lang w:eastAsia="en-US"/>
                    </w:rPr>
                    <m:t>i=1</m:t>
                  </m:r>
                  <m:ctrlPr>
                    <w:rPr>
                      <w:rFonts w:ascii="Cambria Math" w:hAnsi="Cambria Math"/>
                      <w:i/>
                      <w:kern w:val="0"/>
                      <w:sz w:val="28"/>
                      <w:szCs w:val="18"/>
                      <w:lang w:eastAsia="en-US"/>
                    </w:rPr>
                  </m:ctrlPr>
                </m:sub>
                <m:sup>
                  <m:r>
                    <m:rPr/>
                    <w:rPr>
                      <w:rFonts w:ascii="Cambria Math" w:hAnsi="Cambria Math"/>
                      <w:kern w:val="0"/>
                      <w:sz w:val="28"/>
                      <w:szCs w:val="18"/>
                      <w:lang w:eastAsia="en-US"/>
                    </w:rPr>
                    <m:t>n</m:t>
                  </m:r>
                  <m:ctrlPr>
                    <w:rPr>
                      <w:rFonts w:ascii="Cambria Math" w:hAnsi="Cambria Math"/>
                      <w:i/>
                      <w:kern w:val="0"/>
                      <w:sz w:val="28"/>
                      <w:szCs w:val="18"/>
                      <w:lang w:eastAsia="en-US"/>
                    </w:rPr>
                  </m:ctrlPr>
                </m:sup>
                <m:e>
                  <m:sSub>
                    <m:sSubPr>
                      <m:ctrlPr>
                        <w:rPr>
                          <w:rFonts w:ascii="Cambria Math" w:hAnsi="Cambria Math"/>
                          <w:i/>
                          <w:kern w:val="0"/>
                          <w:sz w:val="28"/>
                          <w:szCs w:val="18"/>
                          <w:lang w:eastAsia="en-US"/>
                        </w:rPr>
                      </m:ctrlPr>
                    </m:sSubPr>
                    <m:e>
                      <m:r>
                        <m:rPr/>
                        <w:rPr>
                          <w:rFonts w:ascii="Cambria Math" w:hAnsi="Cambria Math"/>
                          <w:kern w:val="0"/>
                          <w:sz w:val="28"/>
                          <w:szCs w:val="18"/>
                          <w:lang w:eastAsia="en-US"/>
                        </w:rPr>
                        <m:t>Sulfate</m:t>
                      </m:r>
                      <m:ctrlPr>
                        <w:rPr>
                          <w:rFonts w:ascii="Cambria Math" w:hAnsi="Cambria Math"/>
                          <w:i/>
                          <w:kern w:val="0"/>
                          <w:sz w:val="28"/>
                          <w:szCs w:val="18"/>
                          <w:lang w:eastAsia="en-US"/>
                        </w:rPr>
                      </m:ctrlPr>
                    </m:e>
                    <m:sub>
                      <m:r>
                        <m:rPr/>
                        <w:rPr>
                          <w:rFonts w:ascii="Cambria Math" w:hAnsi="Cambria Math"/>
                          <w:kern w:val="0"/>
                          <w:sz w:val="28"/>
                          <w:szCs w:val="18"/>
                          <w:lang w:eastAsia="en-US"/>
                        </w:rPr>
                        <m:t>baseline, j,i</m:t>
                      </m:r>
                      <m:ctrlPr>
                        <w:rPr>
                          <w:rFonts w:ascii="Cambria Math" w:hAnsi="Cambria Math"/>
                          <w:i/>
                          <w:kern w:val="0"/>
                          <w:sz w:val="28"/>
                          <w:szCs w:val="18"/>
                          <w:lang w:eastAsia="en-US"/>
                        </w:rPr>
                      </m:ctrlPr>
                    </m:sub>
                  </m:sSub>
                  <m:ctrlPr>
                    <w:rPr>
                      <w:rFonts w:ascii="Cambria Math" w:hAnsi="Cambria Math"/>
                      <w:i/>
                      <w:kern w:val="0"/>
                      <w:sz w:val="28"/>
                      <w:szCs w:val="18"/>
                      <w:lang w:eastAsia="en-US"/>
                    </w:rPr>
                  </m:ctrlPr>
                </m:e>
              </m:nary>
              <m:ctrlPr>
                <w:rPr>
                  <w:rFonts w:ascii="Cambria Math" w:hAnsi="Cambria Math"/>
                  <w:i/>
                  <w:kern w:val="0"/>
                  <w:sz w:val="28"/>
                  <w:szCs w:val="18"/>
                  <w:lang w:eastAsia="en-US"/>
                </w:rPr>
              </m:ctrlPr>
            </m:den>
          </m:f>
        </m:oMath>
      </m:oMathPara>
    </w:p>
    <w:p>
      <w:r>
        <w:t>where,</w:t>
      </w:r>
    </w:p>
    <w:p>
      <w:r>
        <w:rPr>
          <w:i/>
        </w:rPr>
        <w:t>j</w:t>
      </w:r>
      <w:r>
        <w:t xml:space="preserve"> = Class I area</w:t>
      </w:r>
    </w:p>
    <w:p>
      <w:r>
        <w:rPr>
          <w:i/>
        </w:rPr>
        <w:t xml:space="preserve">i </w:t>
      </w:r>
      <w:r>
        <w:t>= day</w:t>
      </w:r>
    </w:p>
    <w:p>
      <w:r>
        <w:rPr>
          <w:i/>
        </w:rPr>
        <w:t>n</w:t>
      </w:r>
      <w:r>
        <w:t xml:space="preserve"> = number of B20 days</w:t>
      </w:r>
    </w:p>
    <w:p>
      <w:r>
        <w:rPr>
          <w:i/>
        </w:rPr>
        <w:t>Sulfate</w:t>
      </w:r>
      <w:r>
        <w:t xml:space="preserve"> = modeled sulfate concentration (ug/m</w:t>
      </w:r>
      <w:r>
        <w:rPr>
          <w:vertAlign w:val="superscript"/>
        </w:rPr>
        <w:t>3</w:t>
      </w:r>
      <w:r>
        <w:t>) on B20 days</w:t>
      </w:r>
    </w:p>
    <w:p>
      <w:pPr>
        <w:rPr>
          <w:lang w:eastAsia="en-US"/>
        </w:rPr>
      </w:pPr>
      <w:r>
        <w:rPr>
          <w:lang w:eastAsia="en-US"/>
        </w:rPr>
        <w:t xml:space="preserve">When identifying the model data for this calculation, SMAT-CE first selects the model values located at either the monitor or at the centroid of the Class I Area, based on the setting in the Choose Desired Output window. </w:t>
      </w:r>
    </w:p>
    <w:p>
      <w:pPr>
        <w:rPr>
          <w:lang w:eastAsia="en-US"/>
        </w:rPr>
      </w:pPr>
    </w:p>
    <w:p>
      <w:pPr>
        <w:pStyle w:val="4"/>
      </w:pPr>
      <w:r>
        <w:t>Advanced Option</w:t>
      </w:r>
    </w:p>
    <w:p>
      <w:pPr>
        <w:rPr>
          <w:b/>
        </w:rPr>
      </w:pPr>
      <w:r>
        <w:rPr>
          <w:b/>
        </w:rPr>
        <w:t>Create forecast I</w:t>
      </w:r>
      <w:r>
        <w:rPr>
          <w:rFonts w:hint="eastAsia"/>
          <w:b/>
        </w:rPr>
        <w:t>MPROVE</w:t>
      </w:r>
      <w:r>
        <w:rPr>
          <w:b/>
        </w:rPr>
        <w:t xml:space="preserve"> visibility file:</w:t>
      </w:r>
    </w:p>
    <w:p>
      <w:pPr>
        <w:rPr>
          <w:bCs/>
        </w:rPr>
      </w:pPr>
      <w:r>
        <w:rPr>
          <w:rFonts w:hint="eastAsia"/>
          <w:bCs/>
        </w:rPr>
        <w:t>This</w:t>
      </w:r>
      <w:r>
        <w:rPr>
          <w:bCs/>
        </w:rPr>
        <w:t xml:space="preserve"> option will create a forecast IMPROVE daily visibility file. </w:t>
      </w:r>
      <w:r>
        <w:rPr>
          <w:rFonts w:hint="eastAsia"/>
          <w:bCs/>
        </w:rPr>
        <w:t>The</w:t>
      </w:r>
      <w:r>
        <w:rPr>
          <w:bCs/>
        </w:rPr>
        <w:t xml:space="preserve"> name of this file is "Forecast IMPROVE Daily Data.csv" plus the Project Name (e.g., "Tutorial Visibility - Forecast IMPROVE Daily Data.csv "). This file can be used </w:t>
      </w:r>
      <w:r>
        <w:rPr>
          <w:rFonts w:cs="Times New Roman"/>
        </w:rPr>
        <w:t>as the new baseline monitor data and should be in the form of a simple text file (</w:t>
      </w:r>
      <w:r>
        <w:rPr>
          <w:rFonts w:cs="Times New Roman"/>
        </w:rPr>
        <w:fldChar w:fldCharType="begin"/>
      </w:r>
      <w:r>
        <w:rPr>
          <w:rFonts w:cs="Times New Roman"/>
        </w:rPr>
        <w:instrText xml:space="preserve"> REF _Ref112055452 \h </w:instrText>
      </w:r>
      <w:r>
        <w:rPr>
          <w:rFonts w:cs="Times New Roman"/>
        </w:rPr>
        <w:fldChar w:fldCharType="separate"/>
      </w:r>
      <w:r>
        <w:rPr>
          <w:i/>
          <w:iCs/>
          <w:sz w:val="22"/>
          <w:szCs w:val="20"/>
        </w:rPr>
        <w:t>Figure 9</w:t>
      </w:r>
      <w:r>
        <w:rPr>
          <w:i/>
          <w:iCs/>
          <w:sz w:val="22"/>
          <w:szCs w:val="20"/>
        </w:rPr>
        <w:noBreakHyphen/>
      </w:r>
      <w:r>
        <w:rPr>
          <w:i/>
          <w:iCs/>
          <w:sz w:val="22"/>
          <w:szCs w:val="20"/>
        </w:rPr>
        <w:t>6</w:t>
      </w:r>
      <w:r>
        <w:rPr>
          <w:rFonts w:cs="Times New Roman"/>
        </w:rPr>
        <w:fldChar w:fldCharType="end"/>
      </w:r>
      <w:r>
        <w:rPr>
          <w:rFonts w:cs="Times New Roman"/>
        </w:rPr>
        <w:t xml:space="preserve">). </w:t>
      </w:r>
      <w:r>
        <w:rPr>
          <w:bCs/>
        </w:rPr>
        <w:t xml:space="preserve">The first row specifies the frequency of the data (e.g., day). The second row presents comma-separated variable names. The third row begins the data values. Below is an example of the monitor data file format and descriptions of the variables in the file. The table below describes the variables in the output file. </w:t>
      </w:r>
    </w:p>
    <w:p>
      <w:pPr>
        <w:keepNext/>
      </w:pPr>
      <w:r>
        <w:drawing>
          <wp:inline distT="0" distB="0" distL="0" distR="0">
            <wp:extent cx="5274310" cy="173101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0"/>
                    <a:stretch>
                      <a:fillRect/>
                    </a:stretch>
                  </pic:blipFill>
                  <pic:spPr>
                    <a:xfrm>
                      <a:off x="0" y="0"/>
                      <a:ext cx="5274310" cy="1731010"/>
                    </a:xfrm>
                    <a:prstGeom prst="rect">
                      <a:avLst/>
                    </a:prstGeom>
                  </pic:spPr>
                </pic:pic>
              </a:graphicData>
            </a:graphic>
          </wp:inline>
        </w:drawing>
      </w:r>
    </w:p>
    <w:p>
      <w:pPr>
        <w:jc w:val="center"/>
        <w:rPr>
          <w:i/>
          <w:iCs/>
          <w:sz w:val="22"/>
          <w:szCs w:val="20"/>
        </w:rPr>
      </w:pPr>
      <w:bookmarkStart w:id="505" w:name="_Ref112055452"/>
      <w:bookmarkStart w:id="506" w:name="_Toc119010934"/>
      <w:r>
        <w:rPr>
          <w:i/>
          <w:iCs/>
          <w:sz w:val="22"/>
          <w:szCs w:val="20"/>
        </w:rPr>
        <w:t xml:space="preserve">Figure </w:t>
      </w:r>
      <w:r>
        <w:rPr>
          <w:i/>
          <w:iCs/>
          <w:sz w:val="22"/>
          <w:szCs w:val="20"/>
        </w:rPr>
        <w:fldChar w:fldCharType="begin"/>
      </w:r>
      <w:r>
        <w:rPr>
          <w:i/>
          <w:iCs/>
          <w:sz w:val="22"/>
          <w:szCs w:val="20"/>
        </w:rPr>
        <w:instrText xml:space="preserve"> STYLEREF 1 \s </w:instrText>
      </w:r>
      <w:r>
        <w:rPr>
          <w:i/>
          <w:iCs/>
          <w:sz w:val="22"/>
          <w:szCs w:val="20"/>
        </w:rPr>
        <w:fldChar w:fldCharType="separate"/>
      </w:r>
      <w:r>
        <w:rPr>
          <w:i/>
          <w:iCs/>
          <w:sz w:val="22"/>
          <w:szCs w:val="20"/>
        </w:rPr>
        <w:t>9</w:t>
      </w:r>
      <w:r>
        <w:rPr>
          <w:i/>
          <w:iCs/>
          <w:sz w:val="22"/>
          <w:szCs w:val="20"/>
        </w:rPr>
        <w:fldChar w:fldCharType="end"/>
      </w:r>
      <w:r>
        <w:rPr>
          <w:i/>
          <w:iCs/>
          <w:sz w:val="22"/>
          <w:szCs w:val="20"/>
        </w:rPr>
        <w:noBreakHyphen/>
      </w:r>
      <w:r>
        <w:rPr>
          <w:i/>
          <w:iCs/>
          <w:sz w:val="22"/>
          <w:szCs w:val="20"/>
        </w:rPr>
        <w:fldChar w:fldCharType="begin"/>
      </w:r>
      <w:r>
        <w:rPr>
          <w:i/>
          <w:iCs/>
          <w:sz w:val="22"/>
          <w:szCs w:val="20"/>
        </w:rPr>
        <w:instrText xml:space="preserve"> SEQ Figure \* ARABIC \s 1 </w:instrText>
      </w:r>
      <w:r>
        <w:rPr>
          <w:i/>
          <w:iCs/>
          <w:sz w:val="22"/>
          <w:szCs w:val="20"/>
        </w:rPr>
        <w:fldChar w:fldCharType="separate"/>
      </w:r>
      <w:r>
        <w:rPr>
          <w:i/>
          <w:iCs/>
          <w:sz w:val="22"/>
          <w:szCs w:val="20"/>
        </w:rPr>
        <w:t>6</w:t>
      </w:r>
      <w:r>
        <w:rPr>
          <w:i/>
          <w:iCs/>
          <w:sz w:val="22"/>
          <w:szCs w:val="20"/>
        </w:rPr>
        <w:fldChar w:fldCharType="end"/>
      </w:r>
      <w:bookmarkEnd w:id="505"/>
      <w:bookmarkStart w:id="507" w:name="_Toc13967"/>
      <w:r>
        <w:rPr>
          <w:i/>
          <w:iCs/>
          <w:sz w:val="22"/>
          <w:szCs w:val="20"/>
        </w:rPr>
        <w:t xml:space="preserve"> Example for forecast IMPROVE daily visibility file</w:t>
      </w:r>
      <w:bookmarkEnd w:id="506"/>
      <w:bookmarkEnd w:id="507"/>
    </w:p>
    <w:p>
      <w:pPr>
        <w:pStyle w:val="12"/>
        <w:keepNext/>
      </w:pPr>
      <w:bookmarkStart w:id="508" w:name="_Toc15256"/>
      <w:bookmarkStart w:id="509" w:name="_Toc8630"/>
      <w:r>
        <w:rPr>
          <w:b w:val="0"/>
          <w:bCs/>
          <w:i/>
          <w:iCs/>
        </w:rPr>
        <w:t xml:space="preserve">Table </w:t>
      </w:r>
      <w:r>
        <w:rPr>
          <w:b w:val="0"/>
          <w:bCs/>
          <w:i/>
          <w:iCs/>
        </w:rPr>
        <w:fldChar w:fldCharType="begin"/>
      </w:r>
      <w:r>
        <w:rPr>
          <w:b w:val="0"/>
          <w:bCs/>
          <w:i/>
          <w:iCs/>
        </w:rPr>
        <w:instrText xml:space="preserve"> STYLEREF 1 \s </w:instrText>
      </w:r>
      <w:r>
        <w:rPr>
          <w:b w:val="0"/>
          <w:bCs/>
          <w:i/>
          <w:iCs/>
        </w:rPr>
        <w:fldChar w:fldCharType="separate"/>
      </w:r>
      <w:r>
        <w:rPr>
          <w:b w:val="0"/>
          <w:bCs/>
          <w:i/>
          <w:iCs/>
        </w:rPr>
        <w:t>9</w:t>
      </w:r>
      <w:r>
        <w:rPr>
          <w:b w:val="0"/>
          <w:bCs/>
          <w:i/>
          <w:iCs/>
        </w:rPr>
        <w:fldChar w:fldCharType="end"/>
      </w:r>
      <w:r>
        <w:rPr>
          <w:rFonts w:hint="eastAsia"/>
          <w:b w:val="0"/>
          <w:bCs/>
          <w:i/>
          <w:iCs/>
        </w:rPr>
        <w:t>-</w:t>
      </w:r>
      <w:r>
        <w:rPr>
          <w:b w:val="0"/>
          <w:bCs/>
          <w:i/>
          <w:iCs/>
        </w:rPr>
        <w:fldChar w:fldCharType="begin"/>
      </w:r>
      <w:r>
        <w:rPr>
          <w:b w:val="0"/>
          <w:bCs/>
          <w:i/>
          <w:iCs/>
        </w:rPr>
        <w:instrText xml:space="preserve"> SEQ Table \* ARABIC \s 1 </w:instrText>
      </w:r>
      <w:r>
        <w:rPr>
          <w:b w:val="0"/>
          <w:bCs/>
          <w:i/>
          <w:iCs/>
        </w:rPr>
        <w:fldChar w:fldCharType="separate"/>
      </w:r>
      <w:r>
        <w:rPr>
          <w:b w:val="0"/>
          <w:bCs/>
          <w:i/>
          <w:iCs/>
        </w:rPr>
        <w:t>6</w:t>
      </w:r>
      <w:r>
        <w:rPr>
          <w:b w:val="0"/>
          <w:bCs/>
          <w:i/>
          <w:iCs/>
        </w:rPr>
        <w:fldChar w:fldCharType="end"/>
      </w:r>
      <w:r>
        <w:rPr>
          <w:rFonts w:hint="eastAsia"/>
          <w:b w:val="0"/>
          <w:bCs/>
          <w:i/>
          <w:iCs/>
        </w:rPr>
        <w:t xml:space="preserve"> Variables and descriptions for forecast IMPROVE daily visibility file</w:t>
      </w:r>
      <w:bookmarkEnd w:id="508"/>
      <w:bookmarkEnd w:id="509"/>
    </w:p>
    <w:tbl>
      <w:tblPr>
        <w:tblStyle w:val="30"/>
        <w:tblW w:w="0" w:type="auto"/>
        <w:tblInd w:w="-23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73"/>
        <w:gridCol w:w="6453"/>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2073" w:type="dxa"/>
          </w:tcPr>
          <w:p>
            <w:pPr>
              <w:ind w:left="225"/>
              <w:rPr>
                <w:b/>
                <w:bCs/>
              </w:rPr>
            </w:pPr>
            <w:r>
              <w:rPr>
                <w:b/>
                <w:bCs/>
              </w:rPr>
              <w:t>Var Name</w:t>
            </w:r>
          </w:p>
        </w:tc>
        <w:tc>
          <w:tcPr>
            <w:tcW w:w="6453" w:type="dxa"/>
          </w:tcPr>
          <w:p>
            <w:pPr>
              <w:ind w:left="225"/>
              <w:rPr>
                <w:b/>
                <w:bCs/>
              </w:rPr>
            </w:pPr>
            <w:r>
              <w:rPr>
                <w:b/>
                <w:bCs/>
              </w:rPr>
              <w:t>Description (variable type)</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73" w:type="dxa"/>
            <w:vAlign w:val="center"/>
          </w:tcPr>
          <w:p>
            <w:pPr>
              <w:ind w:left="225"/>
              <w:jc w:val="left"/>
              <w:rPr>
                <w:b/>
                <w:bCs/>
                <w:szCs w:val="24"/>
              </w:rPr>
            </w:pPr>
            <w:r>
              <w:rPr>
                <w:rFonts w:ascii="Calibri" w:hAnsi="Calibri" w:cs="Calibri"/>
                <w:color w:val="000000"/>
                <w:szCs w:val="24"/>
              </w:rPr>
              <w:t>site_id</w:t>
            </w:r>
          </w:p>
        </w:tc>
        <w:tc>
          <w:tcPr>
            <w:tcW w:w="6453" w:type="dxa"/>
          </w:tcPr>
          <w:p>
            <w:pPr>
              <w:ind w:left="225"/>
            </w:pPr>
            <w:r>
              <w:t>IMPROVE monitor identification code (text)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073" w:type="dxa"/>
            <w:vAlign w:val="center"/>
          </w:tcPr>
          <w:p>
            <w:pPr>
              <w:ind w:left="225"/>
              <w:jc w:val="left"/>
              <w:rPr>
                <w:b/>
                <w:bCs/>
                <w:szCs w:val="24"/>
              </w:rPr>
            </w:pPr>
            <w:r>
              <w:rPr>
                <w:rFonts w:ascii="Calibri" w:hAnsi="Calibri" w:cs="Calibri"/>
                <w:color w:val="000000"/>
                <w:szCs w:val="24"/>
              </w:rPr>
              <w:t>type</w:t>
            </w:r>
          </w:p>
        </w:tc>
        <w:tc>
          <w:tcPr>
            <w:tcW w:w="6453" w:type="dxa"/>
          </w:tcPr>
          <w:p>
            <w:pPr>
              <w:ind w:left="225"/>
            </w:pPr>
            <w:r>
              <w:t>Leave blank</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073" w:type="dxa"/>
            <w:vAlign w:val="center"/>
          </w:tcPr>
          <w:p>
            <w:pPr>
              <w:ind w:left="225"/>
              <w:jc w:val="left"/>
              <w:rPr>
                <w:b/>
                <w:bCs/>
                <w:szCs w:val="24"/>
              </w:rPr>
            </w:pPr>
            <w:r>
              <w:rPr>
                <w:rFonts w:ascii="Calibri" w:hAnsi="Calibri" w:cs="Calibri"/>
                <w:color w:val="000000"/>
                <w:szCs w:val="24"/>
              </w:rPr>
              <w:t>date</w:t>
            </w:r>
          </w:p>
        </w:tc>
        <w:tc>
          <w:tcPr>
            <w:tcW w:w="6453" w:type="dxa"/>
          </w:tcPr>
          <w:p>
            <w:pPr>
              <w:ind w:left="225"/>
            </w:pPr>
            <w:r>
              <w:t xml:space="preserve">Date of daily average ambient data with YYYYMMDD format (This is a numeric variable) </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073" w:type="dxa"/>
            <w:vAlign w:val="center"/>
          </w:tcPr>
          <w:p>
            <w:pPr>
              <w:ind w:left="225"/>
              <w:jc w:val="left"/>
              <w:rPr>
                <w:b/>
                <w:bCs/>
                <w:szCs w:val="24"/>
              </w:rPr>
            </w:pPr>
            <w:r>
              <w:rPr>
                <w:rFonts w:ascii="Calibri" w:hAnsi="Calibri" w:cs="Calibri"/>
                <w:color w:val="000000"/>
                <w:szCs w:val="24"/>
              </w:rPr>
              <w:t>monitor_gridcell</w:t>
            </w:r>
          </w:p>
        </w:tc>
        <w:tc>
          <w:tcPr>
            <w:tcW w:w="6453" w:type="dxa"/>
          </w:tcPr>
          <w:p>
            <w:pPr>
              <w:ind w:left="225"/>
            </w:pPr>
            <w:r>
              <w:t>Identifier for grid cell closest to monitor. (This variable only appears if you specified the Use model grid cell at monitor option.)</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073" w:type="dxa"/>
            <w:vAlign w:val="center"/>
          </w:tcPr>
          <w:p>
            <w:pPr>
              <w:ind w:left="225"/>
              <w:jc w:val="left"/>
              <w:rPr>
                <w:b/>
                <w:bCs/>
                <w:szCs w:val="24"/>
              </w:rPr>
            </w:pPr>
            <w:r>
              <w:rPr>
                <w:rFonts w:ascii="Calibri" w:hAnsi="Calibri" w:cs="Calibri"/>
                <w:color w:val="000000"/>
                <w:szCs w:val="24"/>
              </w:rPr>
              <w:t>gridcell_lat</w:t>
            </w:r>
          </w:p>
        </w:tc>
        <w:tc>
          <w:tcPr>
            <w:tcW w:w="6453" w:type="dxa"/>
          </w:tcPr>
          <w:p>
            <w:pPr>
              <w:ind w:left="225"/>
            </w:pPr>
            <w:r>
              <w:t>Centroid latitude in decimal degrees of grid cell used in calculation. Values in the northern hemisphere are positive, and those in the southern hemisphere are negative.</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073" w:type="dxa"/>
            <w:vAlign w:val="center"/>
          </w:tcPr>
          <w:p>
            <w:pPr>
              <w:ind w:left="225"/>
              <w:jc w:val="left"/>
              <w:rPr>
                <w:b/>
                <w:bCs/>
                <w:szCs w:val="24"/>
              </w:rPr>
            </w:pPr>
            <w:r>
              <w:rPr>
                <w:rFonts w:ascii="Calibri" w:hAnsi="Calibri" w:cs="Calibri"/>
                <w:color w:val="000000"/>
                <w:szCs w:val="24"/>
              </w:rPr>
              <w:t>gridcell_long</w:t>
            </w:r>
          </w:p>
        </w:tc>
        <w:tc>
          <w:tcPr>
            <w:tcW w:w="6453" w:type="dxa"/>
          </w:tcPr>
          <w:p>
            <w:pPr>
              <w:ind w:left="225"/>
            </w:pPr>
            <w:r>
              <w:t>Centroid longitude in decimal degrees of grid cell used in calculation. Values in the eastern hemisphere are positive, and those in the western hemisphere (e.g., United States) are negative.</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073" w:type="dxa"/>
            <w:vAlign w:val="center"/>
          </w:tcPr>
          <w:p>
            <w:pPr>
              <w:ind w:left="225"/>
              <w:jc w:val="left"/>
              <w:rPr>
                <w:b/>
                <w:bCs/>
                <w:szCs w:val="24"/>
              </w:rPr>
            </w:pPr>
            <w:r>
              <w:rPr>
                <w:rFonts w:ascii="Calibri" w:hAnsi="Calibri" w:cs="Calibri"/>
                <w:color w:val="000000"/>
                <w:szCs w:val="24"/>
              </w:rPr>
              <w:t>monitor_lat</w:t>
            </w:r>
          </w:p>
        </w:tc>
        <w:tc>
          <w:tcPr>
            <w:tcW w:w="6453" w:type="dxa"/>
          </w:tcPr>
          <w:p>
            <w:pPr>
              <w:ind w:left="225"/>
            </w:pPr>
            <w:r>
              <w:t>Monitor latitude. (This variable only appears if you specified the Use model grid cell at monitor option.)</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073" w:type="dxa"/>
            <w:vAlign w:val="center"/>
          </w:tcPr>
          <w:p>
            <w:pPr>
              <w:ind w:left="225"/>
              <w:jc w:val="left"/>
              <w:rPr>
                <w:b/>
                <w:bCs/>
                <w:szCs w:val="24"/>
              </w:rPr>
            </w:pPr>
            <w:r>
              <w:rPr>
                <w:rFonts w:ascii="Calibri" w:hAnsi="Calibri" w:cs="Calibri"/>
                <w:color w:val="000000"/>
                <w:szCs w:val="24"/>
              </w:rPr>
              <w:t>monitor_long</w:t>
            </w:r>
          </w:p>
        </w:tc>
        <w:tc>
          <w:tcPr>
            <w:tcW w:w="6453" w:type="dxa"/>
          </w:tcPr>
          <w:p>
            <w:pPr>
              <w:ind w:left="225"/>
            </w:pPr>
            <w:r>
              <w:t>Monitor longitude. (This variable only appears if you specified the Use model grid cell at monitor option.)</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073" w:type="dxa"/>
            <w:vAlign w:val="center"/>
          </w:tcPr>
          <w:p>
            <w:pPr>
              <w:ind w:left="225"/>
              <w:jc w:val="left"/>
              <w:rPr>
                <w:rFonts w:ascii="Calibri" w:hAnsi="Calibri" w:cs="Calibri"/>
                <w:color w:val="000000"/>
                <w:szCs w:val="24"/>
              </w:rPr>
            </w:pPr>
            <w:r>
              <w:rPr>
                <w:rFonts w:ascii="Calibri" w:hAnsi="Calibri" w:cs="Calibri"/>
                <w:color w:val="000000"/>
                <w:szCs w:val="24"/>
              </w:rPr>
              <w:t>Group</w:t>
            </w:r>
          </w:p>
        </w:tc>
        <w:tc>
          <w:tcPr>
            <w:tcW w:w="6453" w:type="dxa"/>
          </w:tcPr>
          <w:p>
            <w:pPr>
              <w:ind w:left="225"/>
            </w:pPr>
            <w:r>
              <w:t>90= 20% worst days and 10= 20% best days for each year (if good_year= 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073" w:type="dxa"/>
            <w:vAlign w:val="center"/>
          </w:tcPr>
          <w:p>
            <w:pPr>
              <w:ind w:left="225"/>
              <w:jc w:val="left"/>
              <w:rPr>
                <w:rFonts w:ascii="Calibri" w:hAnsi="Calibri" w:cs="Calibri"/>
                <w:color w:val="000000"/>
                <w:szCs w:val="24"/>
              </w:rPr>
            </w:pPr>
            <w:r>
              <w:rPr>
                <w:rFonts w:ascii="Calibri" w:hAnsi="Calibri" w:cs="Calibri"/>
                <w:color w:val="000000"/>
                <w:szCs w:val="24"/>
              </w:rPr>
              <w:t>Good_Year</w:t>
            </w:r>
          </w:p>
        </w:tc>
        <w:tc>
          <w:tcPr>
            <w:tcW w:w="6453" w:type="dxa"/>
          </w:tcPr>
          <w:p>
            <w:pPr>
              <w:ind w:left="225"/>
            </w:pPr>
            <w:r>
              <w:t>Denotes complete data for the year (1= all quarters &gt;75% completeness, 0= incomplete)</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073" w:type="dxa"/>
            <w:vAlign w:val="center"/>
          </w:tcPr>
          <w:p>
            <w:pPr>
              <w:ind w:left="225"/>
              <w:jc w:val="left"/>
              <w:rPr>
                <w:rFonts w:ascii="Calibri" w:hAnsi="Calibri" w:cs="Calibri"/>
                <w:color w:val="000000"/>
                <w:szCs w:val="24"/>
              </w:rPr>
            </w:pPr>
            <w:r>
              <w:rPr>
                <w:rFonts w:ascii="Calibri" w:hAnsi="Calibri" w:cs="Calibri"/>
                <w:color w:val="000000"/>
                <w:szCs w:val="24"/>
              </w:rPr>
              <w:t>ss_Rayleigh</w:t>
            </w:r>
          </w:p>
        </w:tc>
        <w:tc>
          <w:tcPr>
            <w:tcW w:w="6453" w:type="dxa"/>
          </w:tcPr>
          <w:p>
            <w:pPr>
              <w:ind w:left="225"/>
            </w:pPr>
            <w:r>
              <w:t>Site-specific Rayleigh scattering (Mm-1)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073" w:type="dxa"/>
            <w:vAlign w:val="center"/>
          </w:tcPr>
          <w:p>
            <w:pPr>
              <w:ind w:left="225"/>
              <w:jc w:val="left"/>
              <w:rPr>
                <w:rFonts w:ascii="Calibri" w:hAnsi="Calibri" w:cs="Calibri"/>
                <w:color w:val="000000"/>
                <w:szCs w:val="24"/>
              </w:rPr>
            </w:pPr>
            <w:r>
              <w:rPr>
                <w:rFonts w:ascii="Calibri" w:hAnsi="Calibri" w:cs="Calibri"/>
                <w:color w:val="000000"/>
                <w:szCs w:val="24"/>
              </w:rPr>
              <w:t>E_amm_so4_f</w:t>
            </w:r>
          </w:p>
        </w:tc>
        <w:tc>
          <w:tcPr>
            <w:tcW w:w="6453" w:type="dxa"/>
          </w:tcPr>
          <w:p>
            <w:pPr>
              <w:ind w:left="225"/>
            </w:pPr>
            <w:r>
              <w:t>Ammonium sulfate extinction (Mm-1)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073" w:type="dxa"/>
            <w:vAlign w:val="center"/>
          </w:tcPr>
          <w:p>
            <w:pPr>
              <w:ind w:left="225"/>
              <w:jc w:val="left"/>
              <w:rPr>
                <w:rFonts w:ascii="Calibri" w:hAnsi="Calibri" w:cs="Calibri"/>
                <w:color w:val="000000"/>
                <w:szCs w:val="24"/>
              </w:rPr>
            </w:pPr>
            <w:r>
              <w:rPr>
                <w:rFonts w:ascii="Calibri" w:hAnsi="Calibri" w:cs="Calibri"/>
                <w:color w:val="000000"/>
                <w:szCs w:val="24"/>
              </w:rPr>
              <w:t>E_amm_no3_f</w:t>
            </w:r>
          </w:p>
        </w:tc>
        <w:tc>
          <w:tcPr>
            <w:tcW w:w="6453" w:type="dxa"/>
          </w:tcPr>
          <w:p>
            <w:pPr>
              <w:ind w:left="225"/>
            </w:pPr>
            <w:r>
              <w:t>Ammonium nitrate extinction</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073" w:type="dxa"/>
            <w:vAlign w:val="center"/>
          </w:tcPr>
          <w:p>
            <w:pPr>
              <w:ind w:left="225"/>
              <w:jc w:val="left"/>
              <w:rPr>
                <w:rFonts w:ascii="Calibri" w:hAnsi="Calibri" w:cs="Calibri"/>
                <w:color w:val="000000"/>
                <w:szCs w:val="24"/>
              </w:rPr>
            </w:pPr>
            <w:r>
              <w:rPr>
                <w:rFonts w:ascii="Calibri" w:hAnsi="Calibri" w:cs="Calibri"/>
                <w:color w:val="000000"/>
                <w:szCs w:val="24"/>
              </w:rPr>
              <w:t>E_omc_f</w:t>
            </w:r>
          </w:p>
        </w:tc>
        <w:tc>
          <w:tcPr>
            <w:tcW w:w="6453" w:type="dxa"/>
          </w:tcPr>
          <w:p>
            <w:pPr>
              <w:ind w:left="225"/>
            </w:pPr>
            <w:r>
              <w:t>Organic mass extinction</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073" w:type="dxa"/>
            <w:vAlign w:val="center"/>
          </w:tcPr>
          <w:p>
            <w:pPr>
              <w:ind w:left="225"/>
              <w:jc w:val="left"/>
              <w:rPr>
                <w:rFonts w:ascii="Calibri" w:hAnsi="Calibri" w:cs="Calibri"/>
                <w:color w:val="000000"/>
                <w:szCs w:val="24"/>
              </w:rPr>
            </w:pPr>
            <w:r>
              <w:rPr>
                <w:rFonts w:ascii="Calibri" w:hAnsi="Calibri" w:cs="Calibri"/>
                <w:color w:val="000000"/>
                <w:szCs w:val="24"/>
              </w:rPr>
              <w:t>E_ec_f</w:t>
            </w:r>
          </w:p>
        </w:tc>
        <w:tc>
          <w:tcPr>
            <w:tcW w:w="6453" w:type="dxa"/>
          </w:tcPr>
          <w:p>
            <w:pPr>
              <w:ind w:left="225"/>
            </w:pPr>
            <w:r>
              <w:t>Elemental carbon extinction</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073" w:type="dxa"/>
            <w:vAlign w:val="center"/>
          </w:tcPr>
          <w:p>
            <w:pPr>
              <w:ind w:left="225"/>
              <w:jc w:val="left"/>
              <w:rPr>
                <w:rFonts w:ascii="Calibri" w:hAnsi="Calibri" w:cs="Calibri"/>
                <w:color w:val="000000"/>
                <w:szCs w:val="24"/>
              </w:rPr>
            </w:pPr>
            <w:r>
              <w:rPr>
                <w:rFonts w:ascii="Calibri" w:hAnsi="Calibri" w:cs="Calibri"/>
                <w:color w:val="000000"/>
                <w:szCs w:val="24"/>
              </w:rPr>
              <w:t>E_crustal_f</w:t>
            </w:r>
          </w:p>
        </w:tc>
        <w:tc>
          <w:tcPr>
            <w:tcW w:w="6453" w:type="dxa"/>
          </w:tcPr>
          <w:p>
            <w:pPr>
              <w:ind w:left="225"/>
            </w:pPr>
            <w:r>
              <w:t>Crustal extinction</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073" w:type="dxa"/>
            <w:vAlign w:val="center"/>
          </w:tcPr>
          <w:p>
            <w:pPr>
              <w:ind w:left="225"/>
              <w:jc w:val="left"/>
              <w:rPr>
                <w:rFonts w:ascii="Calibri" w:hAnsi="Calibri" w:cs="Calibri"/>
                <w:color w:val="000000"/>
                <w:szCs w:val="24"/>
              </w:rPr>
            </w:pPr>
            <w:r>
              <w:rPr>
                <w:rFonts w:ascii="Calibri" w:hAnsi="Calibri" w:cs="Calibri"/>
                <w:color w:val="000000"/>
                <w:szCs w:val="24"/>
              </w:rPr>
              <w:t>E_cm_f</w:t>
            </w:r>
          </w:p>
        </w:tc>
        <w:tc>
          <w:tcPr>
            <w:tcW w:w="6453" w:type="dxa"/>
          </w:tcPr>
          <w:p>
            <w:pPr>
              <w:ind w:left="225"/>
            </w:pPr>
            <w:r>
              <w:t>Coarse mass (PM</w:t>
            </w:r>
            <w:r>
              <w:rPr>
                <w:vertAlign w:val="subscript"/>
              </w:rPr>
              <w:t>10</w:t>
            </w:r>
            <w:r>
              <w:t xml:space="preserve"> minus PM</w:t>
            </w:r>
            <w:r>
              <w:rPr>
                <w:vertAlign w:val="subscript"/>
              </w:rPr>
              <w:t>2.5</w:t>
            </w:r>
            <w:r>
              <w:t>) extinction</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073" w:type="dxa"/>
            <w:vAlign w:val="center"/>
          </w:tcPr>
          <w:p>
            <w:pPr>
              <w:ind w:left="225"/>
              <w:jc w:val="left"/>
              <w:rPr>
                <w:rFonts w:ascii="Calibri" w:hAnsi="Calibri" w:cs="Calibri"/>
                <w:color w:val="000000"/>
                <w:szCs w:val="24"/>
              </w:rPr>
            </w:pPr>
            <w:r>
              <w:rPr>
                <w:rFonts w:ascii="Calibri" w:hAnsi="Calibri" w:cs="Calibri"/>
                <w:color w:val="000000"/>
                <w:szCs w:val="24"/>
              </w:rPr>
              <w:t>E_sea_salt_f</w:t>
            </w:r>
          </w:p>
        </w:tc>
        <w:tc>
          <w:tcPr>
            <w:tcW w:w="6453" w:type="dxa"/>
          </w:tcPr>
          <w:p>
            <w:pPr>
              <w:ind w:left="225"/>
            </w:pPr>
            <w:r>
              <w:t>Sea salt extinction</w:t>
            </w:r>
          </w:p>
        </w:tc>
      </w:tr>
    </w:tbl>
    <w:p>
      <w:pPr>
        <w:rPr>
          <w:b/>
          <w:u w:val="single"/>
        </w:rPr>
      </w:pPr>
    </w:p>
    <w:p>
      <w:pPr>
        <w:rPr>
          <w:b/>
        </w:rPr>
      </w:pPr>
      <w:r>
        <w:rPr>
          <w:b/>
        </w:rPr>
        <w:t>Forecast IMPROVE daily data file:</w:t>
      </w:r>
    </w:p>
    <w:p>
      <w:pPr>
        <w:rPr>
          <w:bCs/>
        </w:rPr>
      </w:pPr>
      <w:r>
        <w:rPr>
          <w:bCs/>
        </w:rPr>
        <w:t xml:space="preserve">This option can </w:t>
      </w:r>
      <w:r>
        <w:rPr>
          <w:rFonts w:cs="Times New Roman"/>
        </w:rPr>
        <w:t>use the forecast IMPROVE daily data file created from the “Create forecast IMPROVE visibility file” option as baseline monitor data to forecast the new visibility data.</w:t>
      </w:r>
    </w:p>
    <w:p>
      <w:pPr>
        <w:rPr>
          <w:b/>
        </w:rPr>
      </w:pPr>
      <w:r>
        <w:rPr>
          <w:b/>
        </w:rPr>
        <w:t>Monitor -Class I area linkage file:</w:t>
      </w:r>
    </w:p>
    <w:p>
      <w:r>
        <w:t>T</w:t>
      </w:r>
      <w:r>
        <w:rPr>
          <w:rFonts w:hint="eastAsia"/>
        </w:rPr>
        <w:t>his</w:t>
      </w:r>
      <w:r>
        <w:t xml:space="preserve"> file provides the linkage between IMPROVE monitors and Class I Areas. The format of the file and the variable descriptions are as follows:</w:t>
      </w:r>
    </w:p>
    <w:p>
      <w:pPr>
        <w:keepNext/>
      </w:pPr>
      <w:r>
        <w:drawing>
          <wp:inline distT="0" distB="0" distL="0" distR="0">
            <wp:extent cx="5274310" cy="3036570"/>
            <wp:effectExtent l="0" t="0" r="254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51"/>
                    <a:stretch>
                      <a:fillRect/>
                    </a:stretch>
                  </pic:blipFill>
                  <pic:spPr>
                    <a:xfrm>
                      <a:off x="0" y="0"/>
                      <a:ext cx="5274310" cy="3036570"/>
                    </a:xfrm>
                    <a:prstGeom prst="rect">
                      <a:avLst/>
                    </a:prstGeom>
                  </pic:spPr>
                </pic:pic>
              </a:graphicData>
            </a:graphic>
          </wp:inline>
        </w:drawing>
      </w:r>
    </w:p>
    <w:p>
      <w:pPr>
        <w:pStyle w:val="12"/>
        <w:rPr>
          <w:b w:val="0"/>
          <w:bCs/>
          <w:i/>
          <w:iCs/>
        </w:rPr>
      </w:pPr>
      <w:bookmarkStart w:id="510" w:name="_Toc119010935"/>
      <w:bookmarkStart w:id="511" w:name="_Toc763"/>
      <w:bookmarkStart w:id="512" w:name="_Toc13663"/>
      <w:bookmarkStart w:id="513" w:name="_Toc5073"/>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9</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7</w:t>
      </w:r>
      <w:r>
        <w:rPr>
          <w:b w:val="0"/>
          <w:bCs/>
          <w:i/>
          <w:iCs/>
        </w:rPr>
        <w:fldChar w:fldCharType="end"/>
      </w:r>
      <w:bookmarkStart w:id="514" w:name="_Toc21206"/>
      <w:r>
        <w:rPr>
          <w:b w:val="0"/>
          <w:bCs/>
          <w:i/>
          <w:iCs/>
        </w:rPr>
        <w:t>. Example for File Linking IMPROVE Monitors and Class I Areas</w:t>
      </w:r>
      <w:bookmarkEnd w:id="510"/>
      <w:bookmarkEnd w:id="511"/>
      <w:bookmarkEnd w:id="512"/>
      <w:bookmarkEnd w:id="513"/>
      <w:bookmarkEnd w:id="514"/>
    </w:p>
    <w:p>
      <w:pPr>
        <w:pStyle w:val="12"/>
        <w:keepNext/>
        <w:rPr>
          <w:bCs/>
          <w:sz w:val="22"/>
        </w:rPr>
      </w:pPr>
      <w:bookmarkStart w:id="515" w:name="_Toc23181"/>
      <w:bookmarkStart w:id="516" w:name="_Toc17402"/>
      <w:r>
        <w:rPr>
          <w:b w:val="0"/>
          <w:bCs/>
          <w:i/>
          <w:iCs/>
        </w:rPr>
        <w:t xml:space="preserve">Table </w:t>
      </w:r>
      <w:r>
        <w:rPr>
          <w:b w:val="0"/>
          <w:bCs/>
          <w:i/>
          <w:iCs/>
        </w:rPr>
        <w:fldChar w:fldCharType="begin"/>
      </w:r>
      <w:r>
        <w:rPr>
          <w:b w:val="0"/>
          <w:bCs/>
          <w:i/>
          <w:iCs/>
        </w:rPr>
        <w:instrText xml:space="preserve"> STYLEREF 1 \s </w:instrText>
      </w:r>
      <w:r>
        <w:rPr>
          <w:b w:val="0"/>
          <w:bCs/>
          <w:i/>
          <w:iCs/>
        </w:rPr>
        <w:fldChar w:fldCharType="separate"/>
      </w:r>
      <w:r>
        <w:rPr>
          <w:b w:val="0"/>
          <w:bCs/>
          <w:i/>
          <w:iCs/>
        </w:rPr>
        <w:t>9</w:t>
      </w:r>
      <w:r>
        <w:rPr>
          <w:b w:val="0"/>
          <w:bCs/>
          <w:i/>
          <w:iCs/>
        </w:rPr>
        <w:fldChar w:fldCharType="end"/>
      </w:r>
      <w:r>
        <w:rPr>
          <w:rFonts w:hint="eastAsia"/>
          <w:b w:val="0"/>
          <w:bCs/>
          <w:i/>
          <w:iCs/>
        </w:rPr>
        <w:t>-</w:t>
      </w:r>
      <w:r>
        <w:rPr>
          <w:b w:val="0"/>
          <w:bCs/>
          <w:i/>
          <w:iCs/>
        </w:rPr>
        <w:fldChar w:fldCharType="begin"/>
      </w:r>
      <w:r>
        <w:rPr>
          <w:b w:val="0"/>
          <w:bCs/>
          <w:i/>
          <w:iCs/>
        </w:rPr>
        <w:instrText xml:space="preserve"> SEQ Table \* ARABIC \s 1 </w:instrText>
      </w:r>
      <w:r>
        <w:rPr>
          <w:b w:val="0"/>
          <w:bCs/>
          <w:i/>
          <w:iCs/>
        </w:rPr>
        <w:fldChar w:fldCharType="separate"/>
      </w:r>
      <w:r>
        <w:rPr>
          <w:b w:val="0"/>
          <w:bCs/>
          <w:i/>
          <w:iCs/>
        </w:rPr>
        <w:t>7</w:t>
      </w:r>
      <w:r>
        <w:rPr>
          <w:b w:val="0"/>
          <w:bCs/>
          <w:i/>
          <w:iCs/>
        </w:rPr>
        <w:fldChar w:fldCharType="end"/>
      </w:r>
      <w:r>
        <w:rPr>
          <w:rFonts w:hint="eastAsia"/>
          <w:b w:val="0"/>
          <w:bCs/>
          <w:i/>
          <w:iCs/>
        </w:rPr>
        <w:t xml:space="preserve"> Variables and descriptions for File Linking IMPROVE Monitors and Class I Areas</w:t>
      </w:r>
      <w:bookmarkEnd w:id="515"/>
      <w:bookmarkEnd w:id="516"/>
    </w:p>
    <w:tbl>
      <w:tblPr>
        <w:tblStyle w:val="30"/>
        <w:tblW w:w="0" w:type="auto"/>
        <w:tblInd w:w="-23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87"/>
        <w:gridCol w:w="4839"/>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3687" w:type="dxa"/>
          </w:tcPr>
          <w:p>
            <w:pPr>
              <w:ind w:left="225"/>
              <w:rPr>
                <w:b/>
                <w:bCs/>
              </w:rPr>
            </w:pPr>
            <w:r>
              <w:rPr>
                <w:b/>
                <w:bCs/>
              </w:rPr>
              <w:t>Var Name</w:t>
            </w:r>
          </w:p>
        </w:tc>
        <w:tc>
          <w:tcPr>
            <w:tcW w:w="4839" w:type="dxa"/>
          </w:tcPr>
          <w:p>
            <w:pPr>
              <w:ind w:left="225"/>
              <w:rPr>
                <w:b/>
                <w:bCs/>
              </w:rPr>
            </w:pPr>
            <w:r>
              <w:rPr>
                <w:b/>
                <w:bCs/>
              </w:rPr>
              <w:t>Description (variable type)</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87" w:type="dxa"/>
          </w:tcPr>
          <w:p>
            <w:pPr>
              <w:ind w:left="225"/>
              <w:rPr>
                <w:sz w:val="22"/>
                <w:szCs w:val="20"/>
              </w:rPr>
            </w:pPr>
            <w:r>
              <w:rPr>
                <w:sz w:val="22"/>
                <w:szCs w:val="20"/>
              </w:rPr>
              <w:t>_MONITOR_ID</w:t>
            </w:r>
          </w:p>
        </w:tc>
        <w:tc>
          <w:tcPr>
            <w:tcW w:w="4839" w:type="dxa"/>
          </w:tcPr>
          <w:p>
            <w:pPr>
              <w:ind w:left="225"/>
            </w:pPr>
            <w:r>
              <w:t>IMPROVE monitor identification code (text)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687" w:type="dxa"/>
          </w:tcPr>
          <w:p>
            <w:pPr>
              <w:ind w:left="225"/>
              <w:rPr>
                <w:sz w:val="22"/>
                <w:szCs w:val="20"/>
              </w:rPr>
            </w:pPr>
            <w:r>
              <w:rPr>
                <w:sz w:val="22"/>
                <w:szCs w:val="20"/>
              </w:rPr>
              <w:t>MonLAT</w:t>
            </w:r>
          </w:p>
        </w:tc>
        <w:tc>
          <w:tcPr>
            <w:tcW w:w="4839" w:type="dxa"/>
          </w:tcPr>
          <w:p>
            <w:pPr>
              <w:ind w:left="225"/>
            </w:pPr>
            <w:r>
              <w:t>IMPROVE monitor latitude (numeric)</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3687" w:type="dxa"/>
          </w:tcPr>
          <w:p>
            <w:pPr>
              <w:ind w:left="225"/>
              <w:rPr>
                <w:sz w:val="22"/>
                <w:szCs w:val="20"/>
              </w:rPr>
            </w:pPr>
            <w:r>
              <w:rPr>
                <w:sz w:val="22"/>
                <w:szCs w:val="20"/>
              </w:rPr>
              <w:t>MonLONG</w:t>
            </w:r>
          </w:p>
        </w:tc>
        <w:tc>
          <w:tcPr>
            <w:tcW w:w="4839" w:type="dxa"/>
          </w:tcPr>
          <w:p>
            <w:pPr>
              <w:ind w:left="225"/>
            </w:pPr>
            <w:r>
              <w:t>IMPROVE monitor longitude (numeric)</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687" w:type="dxa"/>
          </w:tcPr>
          <w:p>
            <w:pPr>
              <w:ind w:left="225"/>
              <w:rPr>
                <w:sz w:val="22"/>
                <w:szCs w:val="20"/>
              </w:rPr>
            </w:pPr>
            <w:r>
              <w:rPr>
                <w:sz w:val="22"/>
                <w:szCs w:val="20"/>
              </w:rPr>
              <w:t>_CLASS_I_NAME</w:t>
            </w:r>
          </w:p>
        </w:tc>
        <w:tc>
          <w:tcPr>
            <w:tcW w:w="4839" w:type="dxa"/>
          </w:tcPr>
          <w:p>
            <w:pPr>
              <w:ind w:left="225"/>
            </w:pPr>
            <w:r>
              <w:t>Name of Class I Area (text)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87" w:type="dxa"/>
          </w:tcPr>
          <w:p>
            <w:pPr>
              <w:ind w:left="225"/>
              <w:rPr>
                <w:sz w:val="22"/>
                <w:szCs w:val="20"/>
              </w:rPr>
            </w:pPr>
            <w:r>
              <w:rPr>
                <w:sz w:val="22"/>
                <w:szCs w:val="20"/>
              </w:rPr>
              <w:t>_ID</w:t>
            </w:r>
          </w:p>
        </w:tc>
        <w:tc>
          <w:tcPr>
            <w:tcW w:w="4839" w:type="dxa"/>
          </w:tcPr>
          <w:p>
            <w:pPr>
              <w:ind w:left="225"/>
            </w:pPr>
            <w:r>
              <w:t>Class I Area identification code (text)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3687" w:type="dxa"/>
          </w:tcPr>
          <w:p>
            <w:pPr>
              <w:ind w:left="225"/>
              <w:rPr>
                <w:sz w:val="22"/>
                <w:szCs w:val="20"/>
              </w:rPr>
            </w:pPr>
            <w:r>
              <w:rPr>
                <w:sz w:val="22"/>
                <w:szCs w:val="20"/>
              </w:rPr>
              <w:t>_STATE_ID</w:t>
            </w:r>
          </w:p>
        </w:tc>
        <w:tc>
          <w:tcPr>
            <w:tcW w:w="4839" w:type="dxa"/>
          </w:tcPr>
          <w:p>
            <w:pPr>
              <w:ind w:left="225"/>
            </w:pPr>
            <w:r>
              <w:t>State in which Class I Area is located (text)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3687" w:type="dxa"/>
          </w:tcPr>
          <w:p>
            <w:pPr>
              <w:ind w:left="225"/>
              <w:rPr>
                <w:sz w:val="22"/>
                <w:szCs w:val="20"/>
              </w:rPr>
            </w:pPr>
            <w:r>
              <w:rPr>
                <w:sz w:val="22"/>
                <w:szCs w:val="20"/>
              </w:rPr>
              <w:t>LAT</w:t>
            </w:r>
          </w:p>
        </w:tc>
        <w:tc>
          <w:tcPr>
            <w:tcW w:w="4839" w:type="dxa"/>
          </w:tcPr>
          <w:p>
            <w:pPr>
              <w:ind w:left="225"/>
            </w:pPr>
            <w:r>
              <w:t>Class I Area centroid latitude (numeric)</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3687" w:type="dxa"/>
          </w:tcPr>
          <w:p>
            <w:pPr>
              <w:ind w:left="225"/>
              <w:rPr>
                <w:sz w:val="22"/>
                <w:szCs w:val="20"/>
              </w:rPr>
            </w:pPr>
            <w:r>
              <w:rPr>
                <w:sz w:val="22"/>
                <w:szCs w:val="20"/>
              </w:rPr>
              <w:t>LONG</w:t>
            </w:r>
          </w:p>
        </w:tc>
        <w:tc>
          <w:tcPr>
            <w:tcW w:w="4839" w:type="dxa"/>
          </w:tcPr>
          <w:p>
            <w:pPr>
              <w:ind w:left="225"/>
            </w:pPr>
            <w:r>
              <w:t>Class I Area centroid longitude (numeric)</w:t>
            </w:r>
          </w:p>
        </w:tc>
      </w:tr>
    </w:tbl>
    <w:p>
      <w:r>
        <w:t>Note: Character variables have names that begin with an underscore (i.e., "_"), and the</w:t>
      </w:r>
    </w:p>
    <w:p>
      <w:r>
        <w:t>character values used can be kept with or without quotes. (If a character variable has an</w:t>
      </w:r>
    </w:p>
    <w:p>
      <w:pPr>
        <w:rPr>
          <w:b/>
          <w:u w:val="single"/>
        </w:rPr>
      </w:pPr>
      <w:r>
        <w:t>embedded space, such as might occur with the name of a location, then use quotes.)</w:t>
      </w:r>
    </w:p>
    <w:p>
      <w:pPr>
        <w:pStyle w:val="4"/>
      </w:pPr>
      <w:r>
        <w:t>Run the Eastern U.S. Example</w:t>
      </w:r>
    </w:p>
    <w:p>
      <w:pPr>
        <w:rPr>
          <w:b/>
          <w:u w:val="single"/>
        </w:rPr>
      </w:pPr>
      <w:r>
        <w:t xml:space="preserve">Use the default settings for these options for the Eastern U.S. example project. Either click </w:t>
      </w:r>
      <w:r>
        <w:rPr>
          <w:lang w:eastAsia="en-US"/>
        </w:rPr>
        <w:t xml:space="preserve">Next </w:t>
      </w:r>
      <w:r>
        <w:t xml:space="preserve">or double-click the </w:t>
      </w:r>
      <w:r>
        <w:rPr>
          <w:b/>
          <w:bCs/>
        </w:rPr>
        <w:t>Filtering</w:t>
      </w:r>
      <w:r>
        <w:t xml:space="preserve"> button in the upper left-hand panel of the </w:t>
      </w:r>
      <w:r>
        <w:rPr>
          <w:b/>
        </w:rPr>
        <w:t>Visibility Analysis</w:t>
      </w:r>
      <w:r>
        <w:t xml:space="preserve"> window. The button next to </w:t>
      </w:r>
      <w:r>
        <w:rPr>
          <w:b/>
          <w:bCs/>
        </w:rPr>
        <w:t xml:space="preserve">Data Input </w:t>
      </w:r>
      <w:r>
        <w:t>will turn from yellow to green, indicating that this step is complete.</w:t>
      </w:r>
    </w:p>
    <w:p>
      <w:pPr>
        <w:pStyle w:val="3"/>
      </w:pPr>
      <w:bookmarkStart w:id="517" w:name="_Toc476654852"/>
      <w:bookmarkStart w:id="518" w:name="_Toc476653951"/>
      <w:bookmarkStart w:id="519" w:name="_Toc476654474"/>
      <w:bookmarkStart w:id="520" w:name="_Toc4674"/>
      <w:bookmarkStart w:id="521" w:name="_Toc119010888"/>
      <w:r>
        <w:rPr>
          <w:rFonts w:hint="eastAsia"/>
        </w:rPr>
        <w:t>Filtering</w:t>
      </w:r>
      <w:bookmarkEnd w:id="517"/>
      <w:bookmarkEnd w:id="518"/>
      <w:bookmarkEnd w:id="519"/>
      <w:bookmarkEnd w:id="520"/>
      <w:bookmarkEnd w:id="521"/>
    </w:p>
    <w:p>
      <w:pPr>
        <w:keepNext/>
      </w:pPr>
      <w:r>
        <w:drawing>
          <wp:inline distT="0" distB="0" distL="0" distR="0">
            <wp:extent cx="5274310" cy="367538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2"/>
                    <a:stretch>
                      <a:fillRect/>
                    </a:stretch>
                  </pic:blipFill>
                  <pic:spPr>
                    <a:xfrm>
                      <a:off x="0" y="0"/>
                      <a:ext cx="5274310" cy="3675380"/>
                    </a:xfrm>
                    <a:prstGeom prst="rect">
                      <a:avLst/>
                    </a:prstGeom>
                  </pic:spPr>
                </pic:pic>
              </a:graphicData>
            </a:graphic>
          </wp:inline>
        </w:drawing>
      </w:r>
    </w:p>
    <w:p>
      <w:pPr>
        <w:pStyle w:val="12"/>
        <w:rPr>
          <w:b w:val="0"/>
          <w:bCs/>
          <w:i/>
          <w:iCs/>
        </w:rPr>
      </w:pPr>
      <w:bookmarkStart w:id="522" w:name="_Ref475536748"/>
      <w:bookmarkStart w:id="523" w:name="_Toc14633"/>
      <w:bookmarkStart w:id="524" w:name="_Toc6282"/>
      <w:bookmarkStart w:id="525" w:name="_Toc119010936"/>
      <w:bookmarkStart w:id="526" w:name="_Toc476654241"/>
      <w:bookmarkStart w:id="527" w:name="_Toc6309"/>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9</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8</w:t>
      </w:r>
      <w:r>
        <w:rPr>
          <w:b w:val="0"/>
          <w:bCs/>
          <w:i/>
          <w:iCs/>
        </w:rPr>
        <w:fldChar w:fldCharType="end"/>
      </w:r>
      <w:bookmarkEnd w:id="522"/>
      <w:bookmarkStart w:id="528" w:name="_Toc23593"/>
      <w:r>
        <w:rPr>
          <w:b w:val="0"/>
          <w:bCs/>
          <w:i/>
          <w:iCs/>
        </w:rPr>
        <w:t>. Filtering for Visibility Analysis</w:t>
      </w:r>
      <w:bookmarkEnd w:id="523"/>
      <w:bookmarkEnd w:id="524"/>
      <w:bookmarkEnd w:id="525"/>
      <w:bookmarkEnd w:id="526"/>
      <w:bookmarkEnd w:id="527"/>
      <w:bookmarkEnd w:id="528"/>
    </w:p>
    <w:p>
      <w:pPr>
        <w:autoSpaceDE w:val="0"/>
        <w:autoSpaceDN w:val="0"/>
        <w:adjustRightInd w:val="0"/>
      </w:pPr>
      <w:r>
        <w:t xml:space="preserve">The </w:t>
      </w:r>
      <w:r>
        <w:rPr>
          <w:b/>
        </w:rPr>
        <w:t>Filtering</w:t>
      </w:r>
      <w:r>
        <w:t xml:space="preserve"> window (</w:t>
      </w:r>
      <w:r>
        <w:fldChar w:fldCharType="begin"/>
      </w:r>
      <w:r>
        <w:instrText xml:space="preserve"> REF _Ref475536748 \h </w:instrText>
      </w:r>
      <w:r>
        <w:fldChar w:fldCharType="separate"/>
      </w:r>
      <w:r>
        <w:rPr>
          <w:bCs/>
          <w:i/>
          <w:iCs/>
        </w:rPr>
        <w:t xml:space="preserve">Figure </w:t>
      </w:r>
      <w:r>
        <w:rPr>
          <w:b/>
          <w:bCs/>
          <w:i/>
          <w:iCs/>
        </w:rPr>
        <w:t>9</w:t>
      </w:r>
      <w:r>
        <w:rPr>
          <w:bCs/>
          <w:i/>
          <w:iCs/>
        </w:rPr>
        <w:noBreakHyphen/>
      </w:r>
      <w:r>
        <w:rPr>
          <w:b/>
          <w:bCs/>
          <w:i/>
          <w:iCs/>
        </w:rPr>
        <w:t>8</w:t>
      </w:r>
      <w:r>
        <w:fldChar w:fldCharType="end"/>
      </w:r>
      <w:r>
        <w:t>) sets the years of monitor and model data to use in the visibility forecasts. It also sets criteria for a monitor to be included in the analysis. The blue hyperlinked text in this window brings up the documentation for this configuration step. The settings in this step include:</w:t>
      </w:r>
    </w:p>
    <w:p>
      <w:pPr>
        <w:pStyle w:val="4"/>
      </w:pPr>
      <w:r>
        <w:t>Choose Visibility Data Years</w:t>
      </w:r>
    </w:p>
    <w:p>
      <w:pPr>
        <w:rPr>
          <w:b/>
          <w:lang w:eastAsia="en-US"/>
        </w:rPr>
      </w:pPr>
      <w:r>
        <w:rPr>
          <w:lang w:eastAsia="en-US"/>
        </w:rPr>
        <w:t xml:space="preserve">SMAT-CE presents as a series of drop-down menus the available years of monitor data that were loaded through the Data Input window. The </w:t>
      </w:r>
      <w:r>
        <w:rPr>
          <w:i/>
          <w:lang w:eastAsia="en-US"/>
        </w:rPr>
        <w:t>Start Monitor Year</w:t>
      </w:r>
      <w:r>
        <w:rPr>
          <w:lang w:eastAsia="en-US"/>
        </w:rPr>
        <w:t xml:space="preserve"> and </w:t>
      </w:r>
      <w:r>
        <w:rPr>
          <w:i/>
          <w:lang w:eastAsia="en-US"/>
        </w:rPr>
        <w:t>End Monitor Year</w:t>
      </w:r>
      <w:r>
        <w:rPr>
          <w:lang w:eastAsia="en-US"/>
        </w:rPr>
        <w:t xml:space="preserve"> drop-down menus set the range of years to use for the visibility calculations</w:t>
      </w:r>
      <w:r>
        <w:rPr>
          <w:b/>
          <w:lang w:eastAsia="en-US"/>
        </w:rPr>
        <w:t>.</w:t>
      </w:r>
    </w:p>
    <w:p>
      <w:pPr>
        <w:rPr>
          <w:lang w:eastAsia="en-US"/>
        </w:rPr>
      </w:pPr>
      <w:r>
        <w:rPr>
          <w:lang w:eastAsia="en-US"/>
        </w:rPr>
        <w:t xml:space="preserve">The </w:t>
      </w:r>
      <w:r>
        <w:rPr>
          <w:i/>
          <w:lang w:eastAsia="en-US"/>
        </w:rPr>
        <w:t>Base Model Year</w:t>
      </w:r>
      <w:r>
        <w:rPr>
          <w:lang w:eastAsia="en-US"/>
        </w:rPr>
        <w:t xml:space="preserve"> drop-down menu sets the year to use in determining the B20 and W20 monitor days. The Base Model Year should correspond to the year of the model data and must fall within the range specified by the Start Monitor Year and End Monitor Year. After setting the Base Model Year, SMAT-CE identifies and saves for each monitor the particular dates during this year that registered the best and worst visibility days. These dates are then used to identify the model values used in the calculation of RRFs for the temporal adjustment.</w:t>
      </w:r>
    </w:p>
    <w:p>
      <w:pPr>
        <w:pStyle w:val="4"/>
      </w:pPr>
      <w:r>
        <w:t>Valid Visibility Monitors</w:t>
      </w:r>
    </w:p>
    <w:p>
      <w:r>
        <w:t xml:space="preserve">The </w:t>
      </w:r>
      <w:r>
        <w:rPr>
          <w:i/>
        </w:rPr>
        <w:t>Minimum years required for a valid monitor</w:t>
      </w:r>
      <w:r>
        <w:t xml:space="preserve"> sets the minimum number of years of data that a monitor must have to be included in the visibility analysis. SMAT-CE excludes from the analysis any monitors with fewer than the minimum years set here. The SMAT-CE default value is three years.</w:t>
      </w:r>
    </w:p>
    <w:p>
      <w:pPr>
        <w:pStyle w:val="4"/>
      </w:pPr>
      <w:r>
        <w:t>Run the Eastern U.S. Example</w:t>
      </w:r>
    </w:p>
    <w:p>
      <w:r>
        <w:t xml:space="preserve">Use the default settings for the Filtering options for the Eastern U.S. example project. Either click </w:t>
      </w:r>
      <w:r>
        <w:rPr>
          <w:b/>
          <w:lang w:eastAsia="en-US"/>
        </w:rPr>
        <w:t>Next</w:t>
      </w:r>
      <w:r>
        <w:rPr>
          <w:lang w:eastAsia="en-US"/>
        </w:rPr>
        <w:t xml:space="preserve">, which will bring up a window prompting to “Save &amp; Run Project” or </w:t>
      </w:r>
      <w:r>
        <w:t xml:space="preserve">click the </w:t>
      </w:r>
      <w:r>
        <w:rPr>
          <w:b/>
        </w:rPr>
        <w:t>Save Project &amp; Run</w:t>
      </w:r>
      <w:r>
        <w:t xml:space="preserve"> button at the bottom of the SMAT-CE window.</w:t>
      </w:r>
    </w:p>
    <w:p>
      <w:r>
        <w:t>The Visibility</w:t>
      </w:r>
      <w:r>
        <w:rPr>
          <w:vertAlign w:val="subscript"/>
        </w:rPr>
        <w:t xml:space="preserve"> </w:t>
      </w:r>
      <w:r>
        <w:t xml:space="preserve">Analysis project may also be saved without running SMAT-CE by clicking the </w:t>
      </w:r>
      <w:r>
        <w:rPr>
          <w:b/>
          <w:bCs/>
        </w:rPr>
        <w:t>Save Project</w:t>
      </w:r>
      <w:r>
        <w:t xml:space="preserve"> button. A file explorer window will request a filename to which the project settings will be saved to a *.proj file. This file can be loaded later to restart the analysis.  </w:t>
      </w:r>
    </w:p>
    <w:p>
      <w:r>
        <w:t xml:space="preserve">For the Eastern U.S. example, select save and run for the Visibility Analysis project. A file explorer window will request a filename (*.proj) to which to save the project settings. While the Analysis is running, the icon next to </w:t>
      </w:r>
      <w:r>
        <w:rPr>
          <w:b/>
          <w:bCs/>
        </w:rPr>
        <w:t>Filtering</w:t>
      </w:r>
      <w:r>
        <w:t xml:space="preserve"> will turn to a running status and status messages will be displayed in the </w:t>
      </w:r>
      <w:r>
        <w:rPr>
          <w:b/>
        </w:rPr>
        <w:t>Log &amp; Msg</w:t>
      </w:r>
      <w:r>
        <w:t xml:space="preserve"> tab on the right panel of the SMAT-CE main window (</w:t>
      </w:r>
      <w:r>
        <w:fldChar w:fldCharType="begin"/>
      </w:r>
      <w:r>
        <w:instrText xml:space="preserve"> REF _Ref475544126 \h </w:instrText>
      </w:r>
      <w:r>
        <w:fldChar w:fldCharType="separate"/>
      </w:r>
      <w:r>
        <w:rPr>
          <w:bCs/>
          <w:i/>
          <w:iCs/>
        </w:rPr>
        <w:t xml:space="preserve">Figure </w:t>
      </w:r>
      <w:r>
        <w:rPr>
          <w:b/>
          <w:bCs/>
          <w:i/>
          <w:iCs/>
        </w:rPr>
        <w:t>9</w:t>
      </w:r>
      <w:r>
        <w:rPr>
          <w:bCs/>
          <w:i/>
          <w:iCs/>
        </w:rPr>
        <w:noBreakHyphen/>
      </w:r>
      <w:r>
        <w:rPr>
          <w:b/>
          <w:bCs/>
          <w:i/>
          <w:iCs/>
        </w:rPr>
        <w:t>9</w:t>
      </w:r>
      <w:r>
        <w:fldChar w:fldCharType="end"/>
      </w:r>
      <w:r>
        <w:t>).</w:t>
      </w:r>
    </w:p>
    <w:p/>
    <w:p>
      <w:pPr>
        <w:keepNext/>
        <w:autoSpaceDE w:val="0"/>
        <w:autoSpaceDN w:val="0"/>
        <w:adjustRightInd w:val="0"/>
        <w:jc w:val="center"/>
      </w:pPr>
      <w:r>
        <w:rPr>
          <w:rFonts w:cs="Times New Roman"/>
          <w:color w:val="000000"/>
          <w:sz w:val="22"/>
          <w:lang w:eastAsia="en-US"/>
        </w:rPr>
        <w:drawing>
          <wp:inline distT="0" distB="0" distL="0" distR="0">
            <wp:extent cx="5267325" cy="3667125"/>
            <wp:effectExtent l="0" t="0" r="9525" b="0"/>
            <wp:docPr id="244" name="图片 244" descr="C:\Users\Administrator\Desktop\help\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C:\Users\Administrator\Desktop\help\3.4.3-3.jpg"/>
                    <pic:cNvPicPr>
                      <a:picLocks noChangeAspect="1" noChangeArrowheads="1"/>
                    </pic:cNvPicPr>
                  </pic:nvPicPr>
                  <pic:blipFill>
                    <a:blip r:embed="rId53">
                      <a:extLst>
                        <a:ext uri="{28A0092B-C50C-407E-A947-70E740481C1C}">
                          <a14:useLocalDpi xmlns:a14="http://schemas.microsoft.com/office/drawing/2010/main" val="0"/>
                        </a:ext>
                      </a:extLst>
                    </a:blip>
                    <a:srcRect t="4315"/>
                    <a:stretch>
                      <a:fillRect/>
                    </a:stretch>
                  </pic:blipFill>
                  <pic:spPr>
                    <a:xfrm>
                      <a:off x="0" y="0"/>
                      <a:ext cx="5274310" cy="3671839"/>
                    </a:xfrm>
                    <a:prstGeom prst="rect">
                      <a:avLst/>
                    </a:prstGeom>
                    <a:noFill/>
                    <a:ln>
                      <a:noFill/>
                    </a:ln>
                  </pic:spPr>
                </pic:pic>
              </a:graphicData>
            </a:graphic>
          </wp:inline>
        </w:drawing>
      </w:r>
    </w:p>
    <w:p>
      <w:pPr>
        <w:pStyle w:val="12"/>
        <w:rPr>
          <w:b w:val="0"/>
          <w:bCs/>
          <w:i/>
          <w:iCs/>
        </w:rPr>
      </w:pPr>
      <w:bookmarkStart w:id="529" w:name="_Ref475544126"/>
      <w:bookmarkStart w:id="530" w:name="_Toc27564"/>
      <w:bookmarkStart w:id="531" w:name="_Toc476654242"/>
      <w:bookmarkStart w:id="532" w:name="_Toc11047"/>
      <w:bookmarkStart w:id="533" w:name="_Toc119010937"/>
      <w:bookmarkStart w:id="534" w:name="_Toc32034"/>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9</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9</w:t>
      </w:r>
      <w:r>
        <w:rPr>
          <w:b w:val="0"/>
          <w:bCs/>
          <w:i/>
          <w:iCs/>
        </w:rPr>
        <w:fldChar w:fldCharType="end"/>
      </w:r>
      <w:bookmarkEnd w:id="529"/>
      <w:bookmarkStart w:id="535" w:name="_Toc13613"/>
      <w:r>
        <w:rPr>
          <w:b w:val="0"/>
          <w:bCs/>
          <w:i/>
          <w:iCs/>
        </w:rPr>
        <w:t>. Visibility Analysis run status</w:t>
      </w:r>
      <w:bookmarkEnd w:id="530"/>
      <w:bookmarkEnd w:id="531"/>
      <w:bookmarkEnd w:id="532"/>
      <w:bookmarkEnd w:id="533"/>
      <w:bookmarkEnd w:id="534"/>
      <w:bookmarkEnd w:id="535"/>
    </w:p>
    <w:p>
      <w:pPr>
        <w:rPr>
          <w:szCs w:val="24"/>
        </w:rPr>
      </w:pPr>
      <w:r>
        <w:rPr>
          <w:szCs w:val="24"/>
        </w:rPr>
        <w:t>When the Visibility Analysis is completed</w:t>
      </w:r>
      <w:r>
        <w:rPr>
          <w:rStyle w:val="47"/>
          <w:rFonts w:cs="Times New Roman"/>
          <w:szCs w:val="24"/>
        </w:rPr>
        <w:t>, the Data Viewer will automatically display in</w:t>
      </w:r>
      <w:r>
        <w:rPr>
          <w:rStyle w:val="47"/>
          <w:rFonts w:hint="eastAsia" w:cs="Times New Roman"/>
          <w:szCs w:val="24"/>
        </w:rPr>
        <w:t xml:space="preserve"> </w:t>
      </w:r>
      <w:r>
        <w:rPr>
          <w:rStyle w:val="47"/>
          <w:rFonts w:cs="Times New Roman"/>
          <w:szCs w:val="24"/>
        </w:rPr>
        <w:t xml:space="preserve">the SMAT-CE </w:t>
      </w:r>
      <w:r>
        <w:rPr>
          <w:rStyle w:val="47"/>
          <w:rFonts w:hint="eastAsia" w:cs="Times New Roman"/>
          <w:szCs w:val="24"/>
        </w:rPr>
        <w:t xml:space="preserve">main </w:t>
      </w:r>
      <w:r>
        <w:rPr>
          <w:rStyle w:val="47"/>
          <w:rFonts w:cs="Times New Roman"/>
          <w:szCs w:val="24"/>
        </w:rPr>
        <w:t>window</w:t>
      </w:r>
      <w:r>
        <w:rPr>
          <w:rStyle w:val="47"/>
          <w:rFonts w:hint="eastAsia" w:cs="Times New Roman"/>
          <w:szCs w:val="24"/>
        </w:rPr>
        <w:t xml:space="preserve"> (</w:t>
      </w:r>
      <w:r>
        <w:rPr>
          <w:rStyle w:val="47"/>
          <w:rFonts w:cs="Times New Roman"/>
          <w:szCs w:val="24"/>
        </w:rPr>
        <w:fldChar w:fldCharType="begin"/>
      </w:r>
      <w:r>
        <w:rPr>
          <w:rStyle w:val="47"/>
          <w:rFonts w:cs="Times New Roman"/>
          <w:szCs w:val="24"/>
        </w:rPr>
        <w:instrText xml:space="preserve"> </w:instrText>
      </w:r>
      <w:r>
        <w:rPr>
          <w:rStyle w:val="47"/>
          <w:rFonts w:hint="eastAsia" w:cs="Times New Roman"/>
          <w:szCs w:val="24"/>
        </w:rPr>
        <w:instrText xml:space="preserve">REF _Ref475544211 \h</w:instrText>
      </w:r>
      <w:r>
        <w:rPr>
          <w:rStyle w:val="47"/>
          <w:rFonts w:cs="Times New Roman"/>
          <w:szCs w:val="24"/>
        </w:rPr>
        <w:instrText xml:space="preserve"> </w:instrText>
      </w:r>
      <w:r>
        <w:rPr>
          <w:rStyle w:val="47"/>
          <w:rFonts w:cs="Times New Roman"/>
          <w:szCs w:val="24"/>
        </w:rPr>
        <w:fldChar w:fldCharType="separate"/>
      </w:r>
      <w:r>
        <w:rPr>
          <w:bCs/>
          <w:i/>
          <w:iCs/>
        </w:rPr>
        <w:t xml:space="preserve">Figure </w:t>
      </w:r>
      <w:r>
        <w:rPr>
          <w:b/>
          <w:bCs/>
          <w:i/>
          <w:iCs/>
        </w:rPr>
        <w:t>9</w:t>
      </w:r>
      <w:r>
        <w:rPr>
          <w:bCs/>
          <w:i/>
          <w:iCs/>
        </w:rPr>
        <w:noBreakHyphen/>
      </w:r>
      <w:r>
        <w:rPr>
          <w:b/>
          <w:bCs/>
          <w:i/>
          <w:iCs/>
        </w:rPr>
        <w:t>10</w:t>
      </w:r>
      <w:r>
        <w:rPr>
          <w:rStyle w:val="47"/>
          <w:rFonts w:cs="Times New Roman"/>
          <w:szCs w:val="24"/>
        </w:rPr>
        <w:fldChar w:fldCharType="end"/>
      </w:r>
      <w:r>
        <w:rPr>
          <w:rStyle w:val="47"/>
          <w:rFonts w:hint="eastAsia" w:cs="Times New Roman"/>
          <w:szCs w:val="24"/>
        </w:rPr>
        <w:t>)</w:t>
      </w:r>
      <w:r>
        <w:rPr>
          <w:rStyle w:val="47"/>
          <w:rFonts w:cs="Times New Roman"/>
          <w:szCs w:val="24"/>
        </w:rPr>
        <w:t xml:space="preserve">. </w:t>
      </w:r>
      <w:r>
        <w:rPr>
          <w:szCs w:val="24"/>
        </w:rPr>
        <w:t>The Output Files section of the Data Viewer left panel will display a</w:t>
      </w:r>
      <w:r>
        <w:rPr>
          <w:rFonts w:hint="eastAsia"/>
          <w:szCs w:val="24"/>
        </w:rPr>
        <w:t xml:space="preserve">ll </w:t>
      </w:r>
      <w:r>
        <w:rPr>
          <w:szCs w:val="24"/>
        </w:rPr>
        <w:t>of</w:t>
      </w:r>
      <w:r>
        <w:rPr>
          <w:rFonts w:hint="eastAsia"/>
          <w:szCs w:val="24"/>
        </w:rPr>
        <w:t xml:space="preserve"> output files </w:t>
      </w:r>
      <w:r>
        <w:rPr>
          <w:szCs w:val="24"/>
        </w:rPr>
        <w:t>selected</w:t>
      </w:r>
      <w:r>
        <w:rPr>
          <w:rFonts w:hint="eastAsia"/>
          <w:szCs w:val="24"/>
        </w:rPr>
        <w:t xml:space="preserve"> in </w:t>
      </w:r>
      <w:r>
        <w:rPr>
          <w:szCs w:val="24"/>
        </w:rPr>
        <w:t xml:space="preserve">the </w:t>
      </w:r>
      <w:r>
        <w:rPr>
          <w:rFonts w:hint="eastAsia"/>
          <w:b/>
          <w:szCs w:val="24"/>
        </w:rPr>
        <w:t xml:space="preserve">Choose Desired Output </w:t>
      </w:r>
      <w:r>
        <w:rPr>
          <w:szCs w:val="24"/>
        </w:rPr>
        <w:t xml:space="preserve">Visibility Analysis window. </w:t>
      </w:r>
    </w:p>
    <w:p>
      <w:pPr>
        <w:rPr>
          <w:szCs w:val="24"/>
        </w:rPr>
      </w:pPr>
      <w:r>
        <w:t xml:space="preserve">The Data Viewer provides options to display the Visibility Analysis results as maps, bar charts, and tables. </w:t>
      </w:r>
      <w:r>
        <w:fldChar w:fldCharType="begin"/>
      </w:r>
      <w:r>
        <w:instrText xml:space="preserve"> HYPERLINK \l "_The_SMAT-CE_Data_6" </w:instrText>
      </w:r>
      <w:r>
        <w:fldChar w:fldCharType="separate"/>
      </w:r>
      <w:r>
        <w:rPr>
          <w:rStyle w:val="34"/>
          <w:szCs w:val="24"/>
        </w:rPr>
        <w:t>Chapter 10</w:t>
      </w:r>
      <w:r>
        <w:rPr>
          <w:rStyle w:val="36"/>
          <w:szCs w:val="24"/>
        </w:rPr>
        <w:fldChar w:fldCharType="end"/>
      </w:r>
      <w:r>
        <w:rPr>
          <w:szCs w:val="24"/>
        </w:rPr>
        <w:t xml:space="preserve"> describes how to load and analyze data using the SMAT-CE Data Viewer.</w:t>
      </w:r>
    </w:p>
    <w:p>
      <w:pPr>
        <w:keepNext/>
      </w:pPr>
      <w:r>
        <w:rPr>
          <w:rFonts w:cs="Times New Roman"/>
          <w:color w:val="000000"/>
          <w:sz w:val="22"/>
          <w:lang w:eastAsia="en-US"/>
        </w:rPr>
        <w:drawing>
          <wp:inline distT="0" distB="0" distL="0" distR="0">
            <wp:extent cx="5267325" cy="3647440"/>
            <wp:effectExtent l="0" t="0" r="0" b="0"/>
            <wp:docPr id="245" name="图片 245" descr="C:\Users\Administrator\Desktop\help\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descr="C:\Users\Administrator\Desktop\help\3.4.3-4.jpg"/>
                    <pic:cNvPicPr>
                      <a:picLocks noChangeAspect="1" noChangeArrowheads="1"/>
                    </pic:cNvPicPr>
                  </pic:nvPicPr>
                  <pic:blipFill>
                    <a:blip r:embed="rId54">
                      <a:extLst>
                        <a:ext uri="{28A0092B-C50C-407E-A947-70E740481C1C}">
                          <a14:useLocalDpi xmlns:a14="http://schemas.microsoft.com/office/drawing/2010/main" val="0"/>
                        </a:ext>
                      </a:extLst>
                    </a:blip>
                    <a:srcRect t="4822"/>
                    <a:stretch>
                      <a:fillRect/>
                    </a:stretch>
                  </pic:blipFill>
                  <pic:spPr>
                    <a:xfrm>
                      <a:off x="0" y="0"/>
                      <a:ext cx="5274310" cy="3652359"/>
                    </a:xfrm>
                    <a:prstGeom prst="rect">
                      <a:avLst/>
                    </a:prstGeom>
                    <a:noFill/>
                    <a:ln>
                      <a:noFill/>
                    </a:ln>
                  </pic:spPr>
                </pic:pic>
              </a:graphicData>
            </a:graphic>
          </wp:inline>
        </w:drawing>
      </w:r>
    </w:p>
    <w:p>
      <w:pPr>
        <w:pStyle w:val="12"/>
        <w:rPr>
          <w:b w:val="0"/>
          <w:bCs/>
          <w:i/>
          <w:iCs/>
        </w:rPr>
      </w:pPr>
      <w:bookmarkStart w:id="536" w:name="_Ref475544211"/>
      <w:bookmarkStart w:id="537" w:name="_Toc119010938"/>
      <w:bookmarkStart w:id="538" w:name="_Toc476654243"/>
      <w:bookmarkStart w:id="539" w:name="_Toc15919"/>
      <w:bookmarkStart w:id="540" w:name="_Toc29889"/>
      <w:bookmarkStart w:id="541" w:name="_Toc31669"/>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9</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10</w:t>
      </w:r>
      <w:r>
        <w:rPr>
          <w:b w:val="0"/>
          <w:bCs/>
          <w:i/>
          <w:iCs/>
        </w:rPr>
        <w:fldChar w:fldCharType="end"/>
      </w:r>
      <w:bookmarkEnd w:id="536"/>
      <w:bookmarkStart w:id="542" w:name="_Toc3239"/>
      <w:r>
        <w:rPr>
          <w:b w:val="0"/>
          <w:bCs/>
          <w:i/>
          <w:iCs/>
        </w:rPr>
        <w:t>. Visibility Analysis data viewer</w:t>
      </w:r>
      <w:bookmarkEnd w:id="537"/>
      <w:bookmarkEnd w:id="538"/>
      <w:bookmarkEnd w:id="539"/>
      <w:bookmarkEnd w:id="540"/>
      <w:bookmarkEnd w:id="541"/>
      <w:bookmarkEnd w:id="542"/>
    </w:p>
    <w:p>
      <w:pPr>
        <w:rPr>
          <w:szCs w:val="24"/>
        </w:rPr>
      </w:pPr>
      <w:r>
        <w:rPr>
          <w:szCs w:val="24"/>
        </w:rPr>
        <w:t xml:space="preserve">This concludes the chapter on the SMAT-CE Visibility Analysis. As described in this section, details of the calculations and settings used in this analysis are available </w:t>
      </w:r>
      <w:r>
        <w:t xml:space="preserve">in the U.S. EPA </w:t>
      </w:r>
      <w:r>
        <w:rPr>
          <w:szCs w:val="24"/>
        </w:rPr>
        <w:t>Draft Modeling Guidance for</w:t>
      </w:r>
      <w:r>
        <w:t xml:space="preserve"> </w:t>
      </w:r>
      <w:r>
        <w:rPr>
          <w:szCs w:val="24"/>
        </w:rPr>
        <w:t>Attainment of Air Quality Goals for Ozone, PM</w:t>
      </w:r>
      <w:r>
        <w:rPr>
          <w:szCs w:val="24"/>
          <w:vertAlign w:val="subscript"/>
        </w:rPr>
        <w:t>2.5</w:t>
      </w:r>
      <w:r>
        <w:rPr>
          <w:szCs w:val="24"/>
        </w:rPr>
        <w:t xml:space="preserve">, and Regional Haze (U.S. EPA, 2014) and in Chapter 11 of the MATS User’s Manual (Abt, 2014).  </w:t>
      </w:r>
    </w:p>
    <w:p>
      <w:pPr>
        <w:sectPr>
          <w:pgSz w:w="11906" w:h="16838"/>
          <w:pgMar w:top="1440" w:right="1800" w:bottom="1440" w:left="1800" w:header="851" w:footer="992" w:gutter="0"/>
          <w:cols w:space="425" w:num="1"/>
          <w:docGrid w:type="lines" w:linePitch="312" w:charSpace="0"/>
        </w:sectPr>
      </w:pPr>
    </w:p>
    <w:p>
      <w:pPr>
        <w:pStyle w:val="2"/>
      </w:pPr>
      <w:bookmarkStart w:id="543" w:name="_The_SMAT-CE_Data_4"/>
      <w:bookmarkEnd w:id="543"/>
      <w:bookmarkStart w:id="544" w:name="_Single_Source_Impact"/>
      <w:bookmarkEnd w:id="544"/>
      <w:bookmarkStart w:id="545" w:name="_The_SMAT-CE_Data_5"/>
      <w:bookmarkEnd w:id="545"/>
      <w:bookmarkStart w:id="546" w:name="_The_SMAT-CE_Data_1"/>
      <w:bookmarkEnd w:id="546"/>
      <w:bookmarkStart w:id="547" w:name="_The_SMAT-CE_Data_2"/>
      <w:bookmarkEnd w:id="547"/>
      <w:bookmarkStart w:id="548" w:name="_The_SMAT-CE_Data_6"/>
      <w:bookmarkEnd w:id="548"/>
      <w:bookmarkStart w:id="549" w:name="_The_SMAT-CE_Data_3"/>
      <w:bookmarkEnd w:id="549"/>
      <w:bookmarkStart w:id="550" w:name="_The_SMAT-CE_Data"/>
      <w:bookmarkEnd w:id="550"/>
      <w:bookmarkStart w:id="551" w:name="_Ref475545163"/>
      <w:bookmarkStart w:id="552" w:name="_Toc476654853"/>
      <w:bookmarkStart w:id="553" w:name="_Toc10417"/>
      <w:bookmarkStart w:id="554" w:name="_Toc119010889"/>
      <w:bookmarkStart w:id="555" w:name="_Ref470254875"/>
      <w:bookmarkStart w:id="556" w:name="_Toc476654475"/>
      <w:bookmarkStart w:id="557" w:name="_Toc474488611"/>
      <w:bookmarkStart w:id="558" w:name="_Toc476653952"/>
      <w:r>
        <w:t>The SMAT-CE Data Viewer</w:t>
      </w:r>
      <w:bookmarkEnd w:id="551"/>
      <w:bookmarkEnd w:id="552"/>
      <w:bookmarkEnd w:id="553"/>
      <w:bookmarkEnd w:id="554"/>
      <w:bookmarkEnd w:id="555"/>
      <w:bookmarkEnd w:id="556"/>
      <w:bookmarkEnd w:id="557"/>
      <w:bookmarkEnd w:id="558"/>
    </w:p>
    <w:p>
      <w:r>
        <w:t>The SMAT-CE Data Viewer displays the results from completed attainment test analyses. The results may be displayed as maps, tables, and charts; or they may be exported to text files for use in external data processing programs. This section describes how to use and configure the Data Viewer for the different analyses supported by SMAT-CE.</w:t>
      </w:r>
    </w:p>
    <w:p>
      <w:pPr>
        <w:pStyle w:val="3"/>
      </w:pPr>
      <w:bookmarkStart w:id="559" w:name="_Toc119010890"/>
      <w:bookmarkStart w:id="560" w:name="_Toc476654854"/>
      <w:bookmarkStart w:id="561" w:name="_Toc13411"/>
      <w:bookmarkStart w:id="562" w:name="_Toc476654476"/>
      <w:bookmarkStart w:id="563" w:name="_Toc476653953"/>
      <w:r>
        <w:t>Starting the Data Viewer</w:t>
      </w:r>
      <w:bookmarkEnd w:id="559"/>
      <w:bookmarkEnd w:id="560"/>
      <w:bookmarkEnd w:id="561"/>
      <w:bookmarkEnd w:id="562"/>
      <w:bookmarkEnd w:id="563"/>
    </w:p>
    <w:p>
      <w:r>
        <w:t>The SMAT-CE Data Viewer (</w:t>
      </w:r>
      <w:r>
        <w:fldChar w:fldCharType="begin"/>
      </w:r>
      <w:r>
        <w:instrText xml:space="preserve"> REF _Ref476564240 \h </w:instrText>
      </w:r>
      <w:r>
        <w:fldChar w:fldCharType="separate"/>
      </w:r>
      <w:r>
        <w:rPr>
          <w:bCs/>
          <w:i/>
          <w:iCs/>
        </w:rPr>
        <w:t xml:space="preserve">Figure </w:t>
      </w:r>
      <w:r>
        <w:rPr>
          <w:b/>
          <w:bCs/>
          <w:i/>
          <w:iCs/>
        </w:rPr>
        <w:t>10</w:t>
      </w:r>
      <w:r>
        <w:rPr>
          <w:bCs/>
          <w:i/>
          <w:iCs/>
        </w:rPr>
        <w:noBreakHyphen/>
      </w:r>
      <w:r>
        <w:rPr>
          <w:b/>
          <w:bCs/>
          <w:i/>
          <w:iCs/>
        </w:rPr>
        <w:t>1</w:t>
      </w:r>
      <w:r>
        <w:fldChar w:fldCharType="end"/>
      </w:r>
      <w:r>
        <w:t>) can be started in the following ways.</w:t>
      </w:r>
    </w:p>
    <w:p>
      <w:pPr>
        <w:pStyle w:val="42"/>
        <w:numPr>
          <w:ilvl w:val="0"/>
          <w:numId w:val="36"/>
        </w:numPr>
        <w:ind w:firstLineChars="0"/>
      </w:pPr>
      <w:r>
        <w:t xml:space="preserve">From the SMAT-CE Start Page, click on </w:t>
      </w:r>
      <w:r>
        <w:rPr>
          <w:b/>
        </w:rPr>
        <w:t>Data Viewer</w:t>
      </w:r>
      <w:r>
        <w:t xml:space="preserve"> in the Analyze/Visualize Data section of the window.</w:t>
      </w:r>
    </w:p>
    <w:p>
      <w:pPr>
        <w:pStyle w:val="42"/>
        <w:numPr>
          <w:ilvl w:val="0"/>
          <w:numId w:val="36"/>
        </w:numPr>
        <w:ind w:firstLineChars="0"/>
      </w:pPr>
      <w:r>
        <w:t xml:space="preserve">From any of the SMET-CE analysis windows, click on </w:t>
      </w:r>
      <w:r>
        <w:rPr>
          <w:b/>
        </w:rPr>
        <w:t>Data Viewer</w:t>
      </w:r>
      <w:r>
        <w:t xml:space="preserve"> in the menu bar along the top of the window.</w:t>
      </w:r>
    </w:p>
    <w:p>
      <w:pPr>
        <w:pStyle w:val="42"/>
        <w:numPr>
          <w:ilvl w:val="0"/>
          <w:numId w:val="36"/>
        </w:numPr>
        <w:ind w:firstLineChars="0"/>
      </w:pPr>
      <w:r>
        <w:t>When a SMAT-CE analysis finishes, the Data Viewer window displays automatically.</w:t>
      </w:r>
    </w:p>
    <w:p/>
    <w:p>
      <w:r>
        <w:rPr>
          <w:lang w:eastAsia="en-US"/>
        </w:rPr>
        <w:drawing>
          <wp:inline distT="0" distB="0" distL="0" distR="0">
            <wp:extent cx="5274310" cy="3726180"/>
            <wp:effectExtent l="0" t="0" r="889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5"/>
                    <a:srcRect t="2860"/>
                    <a:stretch>
                      <a:fillRect/>
                    </a:stretch>
                  </pic:blipFill>
                  <pic:spPr>
                    <a:xfrm>
                      <a:off x="0" y="0"/>
                      <a:ext cx="5274310" cy="3726180"/>
                    </a:xfrm>
                    <a:prstGeom prst="rect">
                      <a:avLst/>
                    </a:prstGeom>
                    <a:ln>
                      <a:noFill/>
                    </a:ln>
                  </pic:spPr>
                </pic:pic>
              </a:graphicData>
            </a:graphic>
          </wp:inline>
        </w:drawing>
      </w:r>
    </w:p>
    <w:p>
      <w:pPr>
        <w:pStyle w:val="12"/>
        <w:rPr>
          <w:b w:val="0"/>
          <w:bCs/>
          <w:i/>
          <w:iCs/>
        </w:rPr>
      </w:pPr>
      <w:bookmarkStart w:id="564" w:name="_Ref476564240"/>
      <w:bookmarkStart w:id="565" w:name="_Toc10521"/>
      <w:bookmarkStart w:id="566" w:name="_Toc26234"/>
      <w:bookmarkStart w:id="567" w:name="_Toc119010939"/>
      <w:bookmarkStart w:id="568" w:name="_Toc476654244"/>
      <w:bookmarkStart w:id="569" w:name="_Toc11646"/>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10</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1</w:t>
      </w:r>
      <w:r>
        <w:rPr>
          <w:b w:val="0"/>
          <w:bCs/>
          <w:i/>
          <w:iCs/>
        </w:rPr>
        <w:fldChar w:fldCharType="end"/>
      </w:r>
      <w:bookmarkEnd w:id="564"/>
      <w:bookmarkStart w:id="570" w:name="_Toc3063"/>
      <w:r>
        <w:rPr>
          <w:b w:val="0"/>
          <w:bCs/>
          <w:i/>
          <w:iCs/>
        </w:rPr>
        <w:t>. SMAT-CE Data Viewer</w:t>
      </w:r>
      <w:bookmarkEnd w:id="565"/>
      <w:bookmarkEnd w:id="566"/>
      <w:bookmarkEnd w:id="567"/>
      <w:bookmarkEnd w:id="568"/>
      <w:bookmarkEnd w:id="569"/>
      <w:bookmarkEnd w:id="570"/>
    </w:p>
    <w:p/>
    <w:p>
      <w:pPr>
        <w:pStyle w:val="3"/>
      </w:pPr>
      <w:bookmarkStart w:id="571" w:name="_Toc476654477"/>
      <w:bookmarkStart w:id="572" w:name="_Toc5950"/>
      <w:bookmarkStart w:id="573" w:name="_Toc476654855"/>
      <w:bookmarkStart w:id="574" w:name="_Toc476653954"/>
      <w:bookmarkStart w:id="575" w:name="_Toc119010891"/>
      <w:r>
        <w:t>Starting an Analysis Session</w:t>
      </w:r>
      <w:bookmarkEnd w:id="571"/>
      <w:bookmarkEnd w:id="572"/>
      <w:bookmarkEnd w:id="573"/>
      <w:bookmarkEnd w:id="574"/>
      <w:bookmarkEnd w:id="575"/>
    </w:p>
    <w:p>
      <w:r>
        <w:t xml:space="preserve">To load results from a saved project, click on the </w:t>
      </w:r>
      <w:r>
        <w:rPr>
          <w:b/>
          <w:bCs/>
        </w:rPr>
        <w:t>Load</w:t>
      </w:r>
      <w:r>
        <w:t xml:space="preserve"> button on the bottom left of the Data Viewer window and select a SMAT-CE project (*.proj) file to load. The Data Viewer will then display the following selections in the left-hand filename window pane (</w:t>
      </w:r>
      <w:r>
        <w:fldChar w:fldCharType="begin"/>
      </w:r>
      <w:r>
        <w:instrText xml:space="preserve"> REF _Ref476566281 \h </w:instrText>
      </w:r>
      <w:r>
        <w:fldChar w:fldCharType="separate"/>
      </w:r>
      <w:r>
        <w:rPr>
          <w:bCs/>
          <w:i/>
          <w:iCs/>
        </w:rPr>
        <w:t xml:space="preserve">Figure </w:t>
      </w:r>
      <w:r>
        <w:rPr>
          <w:b/>
          <w:bCs/>
          <w:i/>
          <w:iCs/>
        </w:rPr>
        <w:t>10</w:t>
      </w:r>
      <w:r>
        <w:rPr>
          <w:bCs/>
          <w:i/>
          <w:iCs/>
        </w:rPr>
        <w:noBreakHyphen/>
      </w:r>
      <w:r>
        <w:rPr>
          <w:b/>
          <w:bCs/>
          <w:i/>
          <w:iCs/>
        </w:rPr>
        <w:t>2</w:t>
      </w:r>
      <w:r>
        <w:fldChar w:fldCharType="end"/>
      </w:r>
      <w:r>
        <w:t>).</w:t>
      </w:r>
    </w:p>
    <w:p>
      <w:pPr>
        <w:keepNext/>
        <w:jc w:val="center"/>
      </w:pPr>
      <w:r>
        <w:rPr>
          <w:lang w:eastAsia="en-US"/>
        </w:rPr>
        <w:drawing>
          <wp:inline distT="0" distB="0" distL="0" distR="0">
            <wp:extent cx="5274310" cy="371856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6"/>
                    <a:srcRect t="3051"/>
                    <a:stretch>
                      <a:fillRect/>
                    </a:stretch>
                  </pic:blipFill>
                  <pic:spPr>
                    <a:xfrm>
                      <a:off x="0" y="0"/>
                      <a:ext cx="5274310" cy="3718992"/>
                    </a:xfrm>
                    <a:prstGeom prst="rect">
                      <a:avLst/>
                    </a:prstGeom>
                    <a:ln>
                      <a:noFill/>
                    </a:ln>
                  </pic:spPr>
                </pic:pic>
              </a:graphicData>
            </a:graphic>
          </wp:inline>
        </w:drawing>
      </w:r>
    </w:p>
    <w:p>
      <w:pPr>
        <w:pStyle w:val="12"/>
        <w:rPr>
          <w:rFonts w:cs="Times New Roman"/>
          <w:b w:val="0"/>
          <w:bCs/>
          <w:i/>
          <w:iCs/>
          <w:sz w:val="22"/>
        </w:rPr>
      </w:pPr>
      <w:bookmarkStart w:id="576" w:name="_Ref476566281"/>
      <w:bookmarkStart w:id="577" w:name="_Toc29390"/>
      <w:bookmarkStart w:id="578" w:name="_Toc119010940"/>
      <w:bookmarkStart w:id="579" w:name="_Toc476654245"/>
      <w:bookmarkStart w:id="580" w:name="_Toc2907"/>
      <w:bookmarkStart w:id="581" w:name="_Toc18681"/>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10</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2</w:t>
      </w:r>
      <w:r>
        <w:rPr>
          <w:b w:val="0"/>
          <w:bCs/>
          <w:i/>
          <w:iCs/>
        </w:rPr>
        <w:fldChar w:fldCharType="end"/>
      </w:r>
      <w:bookmarkEnd w:id="576"/>
      <w:bookmarkStart w:id="582" w:name="_Toc31954"/>
      <w:r>
        <w:rPr>
          <w:b w:val="0"/>
          <w:bCs/>
          <w:i/>
          <w:iCs/>
        </w:rPr>
        <w:t>. Data Viewer window with a completed project</w:t>
      </w:r>
      <w:bookmarkEnd w:id="577"/>
      <w:bookmarkEnd w:id="578"/>
      <w:bookmarkEnd w:id="579"/>
      <w:bookmarkEnd w:id="580"/>
      <w:bookmarkEnd w:id="581"/>
      <w:bookmarkEnd w:id="582"/>
    </w:p>
    <w:p>
      <w:r>
        <w:rPr>
          <w:b/>
        </w:rPr>
        <w:t>Project Name</w:t>
      </w:r>
      <w:r>
        <w:rPr>
          <w:b/>
          <w:bCs/>
        </w:rPr>
        <w:t>:</w:t>
      </w:r>
      <w:r>
        <w:t xml:space="preserve"> The name of the currently loaded project. Clicking on the project name will open the completed analysis window for the project. For example, if the loaded project is for an ozone attainment test, the Ozone Analysis window for that project will open upon clicking the project name in the Data Viewer filename menu. </w:t>
      </w:r>
    </w:p>
    <w:p>
      <w:r>
        <w:rPr>
          <w:b/>
        </w:rPr>
        <w:t>Output Files</w:t>
      </w:r>
      <w:r>
        <w:rPr>
          <w:b/>
          <w:bCs/>
        </w:rPr>
        <w:t>:</w:t>
      </w:r>
      <w:r>
        <w:t xml:space="preserve"> The list of the output files specified during configuration of the SMAT-CE analysis. The types of Output Files available depend on the type of analysis (PM, Ozone, or Visibility) and the output choices set in the Configuration File. Clicking on any of the output files will load the data into the Data Viewer graphical and tabular analysis modules. </w:t>
      </w:r>
    </w:p>
    <w:p>
      <w:r>
        <w:rPr>
          <w:b/>
        </w:rPr>
        <w:t>Log &amp; Msg:</w:t>
      </w:r>
      <w:r>
        <w:t xml:space="preserve"> The SMAT-CE logging information generated during the currently loaded project. Clicking on the Log &amp; Msg menu item displays the steps used to create the SMAT-CE results and the time that the run completed (</w:t>
      </w:r>
      <w:r>
        <w:fldChar w:fldCharType="begin"/>
      </w:r>
      <w:r>
        <w:instrText xml:space="preserve"> REF _Ref476573968 \h </w:instrText>
      </w:r>
      <w:r>
        <w:fldChar w:fldCharType="separate"/>
      </w:r>
      <w:r>
        <w:rPr>
          <w:bCs/>
          <w:i/>
          <w:iCs/>
        </w:rPr>
        <w:t xml:space="preserve">Figure </w:t>
      </w:r>
      <w:r>
        <w:rPr>
          <w:b/>
          <w:bCs/>
          <w:i/>
          <w:iCs/>
        </w:rPr>
        <w:t>10</w:t>
      </w:r>
      <w:r>
        <w:rPr>
          <w:bCs/>
          <w:i/>
          <w:iCs/>
        </w:rPr>
        <w:noBreakHyphen/>
      </w:r>
      <w:r>
        <w:rPr>
          <w:b/>
          <w:bCs/>
          <w:i/>
          <w:iCs/>
        </w:rPr>
        <w:t>3</w:t>
      </w:r>
      <w:r>
        <w:fldChar w:fldCharType="end"/>
      </w:r>
      <w:r>
        <w:t>).</w:t>
      </w:r>
    </w:p>
    <w:p>
      <w:pPr>
        <w:keepNext/>
      </w:pPr>
      <w:r>
        <w:rPr>
          <w:lang w:eastAsia="en-US"/>
        </w:rPr>
        <w:drawing>
          <wp:inline distT="0" distB="0" distL="0" distR="0">
            <wp:extent cx="5274310" cy="3703955"/>
            <wp:effectExtent l="0" t="0" r="8890" b="4445"/>
            <wp:docPr id="9"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22"/>
                    <pic:cNvPicPr>
                      <a:picLocks noChangeAspect="1"/>
                    </pic:cNvPicPr>
                  </pic:nvPicPr>
                  <pic:blipFill>
                    <a:blip r:embed="rId57"/>
                    <a:srcRect t="3432"/>
                    <a:stretch>
                      <a:fillRect/>
                    </a:stretch>
                  </pic:blipFill>
                  <pic:spPr>
                    <a:xfrm>
                      <a:off x="0" y="0"/>
                      <a:ext cx="5274310" cy="3703955"/>
                    </a:xfrm>
                    <a:prstGeom prst="rect">
                      <a:avLst/>
                    </a:prstGeom>
                    <a:ln>
                      <a:noFill/>
                    </a:ln>
                  </pic:spPr>
                </pic:pic>
              </a:graphicData>
            </a:graphic>
          </wp:inline>
        </w:drawing>
      </w:r>
    </w:p>
    <w:p>
      <w:pPr>
        <w:pStyle w:val="12"/>
        <w:rPr>
          <w:b w:val="0"/>
          <w:bCs/>
          <w:i/>
          <w:iCs/>
        </w:rPr>
      </w:pPr>
      <w:bookmarkStart w:id="583" w:name="_Ref476573968"/>
      <w:bookmarkStart w:id="584" w:name="_Toc476654246"/>
      <w:bookmarkStart w:id="585" w:name="_Toc119010941"/>
      <w:bookmarkStart w:id="586" w:name="_Toc28554"/>
      <w:bookmarkStart w:id="587" w:name="_Toc25812"/>
      <w:bookmarkStart w:id="588" w:name="_Toc543"/>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10</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3</w:t>
      </w:r>
      <w:r>
        <w:rPr>
          <w:b w:val="0"/>
          <w:bCs/>
          <w:i/>
          <w:iCs/>
        </w:rPr>
        <w:fldChar w:fldCharType="end"/>
      </w:r>
      <w:bookmarkEnd w:id="583"/>
      <w:bookmarkStart w:id="589" w:name="_Toc8731"/>
      <w:r>
        <w:rPr>
          <w:b w:val="0"/>
          <w:bCs/>
          <w:i/>
          <w:iCs/>
        </w:rPr>
        <w:t>. Log &amp; Msg display window</w:t>
      </w:r>
      <w:bookmarkEnd w:id="584"/>
      <w:bookmarkEnd w:id="585"/>
      <w:bookmarkEnd w:id="586"/>
      <w:bookmarkEnd w:id="587"/>
      <w:bookmarkEnd w:id="588"/>
      <w:bookmarkEnd w:id="589"/>
    </w:p>
    <w:p>
      <w:r>
        <w:rPr>
          <w:b/>
        </w:rPr>
        <w:t>Configuration &amp; Batch File</w:t>
      </w:r>
      <w:r>
        <w:rPr>
          <w:b/>
          <w:bCs/>
        </w:rPr>
        <w:t xml:space="preserve">: </w:t>
      </w:r>
      <w:r>
        <w:rPr>
          <w:bCs/>
        </w:rPr>
        <w:t>T</w:t>
      </w:r>
      <w:r>
        <w:t>he SMAT-CE batch script commands used to generate the results for the current project. Clicking on the Configuration &amp; Batch File menu item displays the configuration settings for the project (</w:t>
      </w:r>
      <w:r>
        <w:fldChar w:fldCharType="begin"/>
      </w:r>
      <w:r>
        <w:instrText xml:space="preserve"> REF _Ref476574210 \h </w:instrText>
      </w:r>
      <w:r>
        <w:fldChar w:fldCharType="separate"/>
      </w:r>
      <w:r>
        <w:rPr>
          <w:bCs/>
          <w:i/>
          <w:iCs/>
        </w:rPr>
        <w:t xml:space="preserve">Figure </w:t>
      </w:r>
      <w:r>
        <w:rPr>
          <w:b/>
          <w:bCs/>
          <w:i/>
          <w:iCs/>
        </w:rPr>
        <w:t>10</w:t>
      </w:r>
      <w:r>
        <w:rPr>
          <w:bCs/>
          <w:i/>
          <w:iCs/>
        </w:rPr>
        <w:noBreakHyphen/>
      </w:r>
      <w:r>
        <w:rPr>
          <w:b/>
          <w:bCs/>
          <w:i/>
          <w:iCs/>
        </w:rPr>
        <w:t>4</w:t>
      </w:r>
      <w:r>
        <w:fldChar w:fldCharType="end"/>
      </w:r>
      <w:r>
        <w:t xml:space="preserve">). </w:t>
      </w:r>
    </w:p>
    <w:p>
      <w:pPr>
        <w:keepNext/>
        <w:jc w:val="center"/>
      </w:pPr>
      <w:r>
        <w:rPr>
          <w:lang w:eastAsia="en-US"/>
        </w:rPr>
        <w:drawing>
          <wp:inline distT="0" distB="0" distL="0" distR="0">
            <wp:extent cx="5274310" cy="369316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274310" cy="3693160"/>
                    </a:xfrm>
                    <a:prstGeom prst="rect">
                      <a:avLst/>
                    </a:prstGeom>
                  </pic:spPr>
                </pic:pic>
              </a:graphicData>
            </a:graphic>
          </wp:inline>
        </w:drawing>
      </w:r>
    </w:p>
    <w:p>
      <w:pPr>
        <w:pStyle w:val="12"/>
        <w:rPr>
          <w:b w:val="0"/>
          <w:bCs/>
          <w:i/>
          <w:iCs/>
        </w:rPr>
      </w:pPr>
      <w:bookmarkStart w:id="590" w:name="_Ref476574210"/>
      <w:bookmarkStart w:id="591" w:name="_Toc29302"/>
      <w:bookmarkStart w:id="592" w:name="_Toc10418"/>
      <w:bookmarkStart w:id="593" w:name="_Toc23531"/>
      <w:bookmarkStart w:id="594" w:name="_Toc119010942"/>
      <w:bookmarkStart w:id="595" w:name="_Toc476654247"/>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10</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4</w:t>
      </w:r>
      <w:r>
        <w:rPr>
          <w:b w:val="0"/>
          <w:bCs/>
          <w:i/>
          <w:iCs/>
        </w:rPr>
        <w:fldChar w:fldCharType="end"/>
      </w:r>
      <w:bookmarkEnd w:id="590"/>
      <w:bookmarkStart w:id="596" w:name="_Toc32420"/>
      <w:r>
        <w:rPr>
          <w:b w:val="0"/>
          <w:bCs/>
          <w:i/>
          <w:iCs/>
        </w:rPr>
        <w:t>. Configuration &amp; Batch File display window.</w:t>
      </w:r>
      <w:bookmarkEnd w:id="591"/>
      <w:bookmarkEnd w:id="592"/>
      <w:bookmarkEnd w:id="593"/>
      <w:bookmarkEnd w:id="594"/>
      <w:bookmarkEnd w:id="595"/>
      <w:bookmarkEnd w:id="596"/>
    </w:p>
    <w:p>
      <w:pPr>
        <w:pStyle w:val="3"/>
      </w:pPr>
      <w:bookmarkStart w:id="597" w:name="_Toc119010892"/>
      <w:bookmarkStart w:id="598" w:name="_Toc476654478"/>
      <w:bookmarkStart w:id="599" w:name="_Toc17421"/>
      <w:bookmarkStart w:id="600" w:name="_Toc476653955"/>
      <w:bookmarkStart w:id="601" w:name="_Toc476654856"/>
      <w:r>
        <w:t>Creating Data Displays</w:t>
      </w:r>
      <w:bookmarkEnd w:id="597"/>
      <w:bookmarkEnd w:id="598"/>
      <w:bookmarkEnd w:id="599"/>
      <w:bookmarkEnd w:id="600"/>
      <w:bookmarkEnd w:id="601"/>
      <w:r>
        <w:t xml:space="preserve"> </w:t>
      </w:r>
    </w:p>
    <w:p>
      <w:pPr>
        <w:autoSpaceDE w:val="0"/>
        <w:autoSpaceDN w:val="0"/>
        <w:adjustRightInd w:val="0"/>
      </w:pPr>
      <w:r>
        <w:t>To examine the results from a completed SMAT-CE analysis, select one of the project Output Files in the left-hand pane of the Data Viewer window. Either double-click or right-click on one of the filenames to select for analysis. Different types of output files are displayed in the Data Viewer file list. The attainment test results will be named according to the form of the test: Annual PM</w:t>
      </w:r>
      <w:r>
        <w:rPr>
          <w:vertAlign w:val="subscript"/>
        </w:rPr>
        <w:t xml:space="preserve">2.5 </w:t>
      </w:r>
      <w:r>
        <w:t>Point, Daily PM</w:t>
      </w:r>
      <w:r>
        <w:rPr>
          <w:vertAlign w:val="subscript"/>
        </w:rPr>
        <w:t xml:space="preserve">2.5 </w:t>
      </w:r>
      <w:r>
        <w:t xml:space="preserve">Point, etc. The model data used in the attainment test will have file names that end in “Model Data”. The monitoring data used in the attainment test will have file names that end in “Monitors”. </w:t>
      </w:r>
    </w:p>
    <w:p>
      <w:pPr>
        <w:autoSpaceDE w:val="0"/>
        <w:autoSpaceDN w:val="0"/>
        <w:adjustRightInd w:val="0"/>
      </w:pPr>
      <w:r>
        <w:t>A right-click on a file name will display a pop-up menu with different analysis choices. For everything but model data, the menu will show: Add to GIS, View, and Extract (</w:t>
      </w:r>
      <w:r>
        <w:fldChar w:fldCharType="begin"/>
      </w:r>
      <w:r>
        <w:instrText xml:space="preserve"> REF _Ref476568624 \h </w:instrText>
      </w:r>
      <w:r>
        <w:fldChar w:fldCharType="separate"/>
      </w:r>
      <w:r>
        <w:rPr>
          <w:bCs/>
          <w:i/>
          <w:iCs/>
        </w:rPr>
        <w:t xml:space="preserve">Figure </w:t>
      </w:r>
      <w:r>
        <w:rPr>
          <w:b/>
          <w:bCs/>
          <w:i/>
          <w:iCs/>
        </w:rPr>
        <w:t>10</w:t>
      </w:r>
      <w:r>
        <w:rPr>
          <w:bCs/>
          <w:i/>
          <w:iCs/>
        </w:rPr>
        <w:noBreakHyphen/>
      </w:r>
      <w:r>
        <w:rPr>
          <w:b/>
          <w:bCs/>
          <w:i/>
          <w:iCs/>
        </w:rPr>
        <w:t>5</w:t>
      </w:r>
      <w:r>
        <w:fldChar w:fldCharType="end"/>
      </w:r>
      <w:r>
        <w:t>). For the model data results, the right-click pop-up menu will show: Add to Map, Add to GIS, View, and Extract. Double-clicking on any data file will display the file data on the SMAT-CE GIS map and data table viewer (</w:t>
      </w:r>
      <w:r>
        <w:fldChar w:fldCharType="begin"/>
      </w:r>
      <w:r>
        <w:instrText xml:space="preserve"> REF _Ref476568729 \h </w:instrText>
      </w:r>
      <w:r>
        <w:fldChar w:fldCharType="separate"/>
      </w:r>
      <w:r>
        <w:rPr>
          <w:bCs/>
          <w:i/>
          <w:iCs/>
        </w:rPr>
        <w:t xml:space="preserve">Figure </w:t>
      </w:r>
      <w:r>
        <w:rPr>
          <w:b/>
          <w:bCs/>
          <w:i/>
          <w:iCs/>
        </w:rPr>
        <w:t>10</w:t>
      </w:r>
      <w:r>
        <w:rPr>
          <w:bCs/>
          <w:i/>
          <w:iCs/>
        </w:rPr>
        <w:noBreakHyphen/>
      </w:r>
      <w:r>
        <w:rPr>
          <w:b/>
          <w:bCs/>
          <w:i/>
          <w:iCs/>
        </w:rPr>
        <w:t>6</w:t>
      </w:r>
      <w:r>
        <w:fldChar w:fldCharType="end"/>
      </w:r>
      <w:r>
        <w:t>).</w:t>
      </w:r>
    </w:p>
    <w:p>
      <w:pPr>
        <w:keepNext/>
        <w:jc w:val="center"/>
      </w:pPr>
      <w:r>
        <w:rPr>
          <w:lang w:eastAsia="en-US"/>
        </w:rPr>
        <w:drawing>
          <wp:inline distT="0" distB="0" distL="0" distR="0">
            <wp:extent cx="5274310" cy="3689350"/>
            <wp:effectExtent l="0" t="0" r="254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9"/>
                    <a:srcRect t="3814"/>
                    <a:stretch>
                      <a:fillRect/>
                    </a:stretch>
                  </pic:blipFill>
                  <pic:spPr>
                    <a:xfrm>
                      <a:off x="0" y="0"/>
                      <a:ext cx="5274310" cy="3689731"/>
                    </a:xfrm>
                    <a:prstGeom prst="rect">
                      <a:avLst/>
                    </a:prstGeom>
                    <a:ln>
                      <a:noFill/>
                    </a:ln>
                  </pic:spPr>
                </pic:pic>
              </a:graphicData>
            </a:graphic>
          </wp:inline>
        </w:drawing>
      </w:r>
    </w:p>
    <w:p>
      <w:pPr>
        <w:pStyle w:val="12"/>
        <w:rPr>
          <w:b w:val="0"/>
          <w:bCs/>
          <w:i/>
          <w:iCs/>
        </w:rPr>
      </w:pPr>
      <w:bookmarkStart w:id="602" w:name="_Ref476568624"/>
      <w:bookmarkStart w:id="603" w:name="_Toc5650"/>
      <w:bookmarkStart w:id="604" w:name="_Toc119010943"/>
      <w:bookmarkStart w:id="605" w:name="_Toc476654248"/>
      <w:bookmarkStart w:id="606" w:name="_Toc8979"/>
      <w:bookmarkStart w:id="607" w:name="_Toc10824"/>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10</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5</w:t>
      </w:r>
      <w:r>
        <w:rPr>
          <w:b w:val="0"/>
          <w:bCs/>
          <w:i/>
          <w:iCs/>
        </w:rPr>
        <w:fldChar w:fldCharType="end"/>
      </w:r>
      <w:bookmarkEnd w:id="602"/>
      <w:bookmarkStart w:id="608" w:name="_Toc15028"/>
      <w:r>
        <w:rPr>
          <w:b w:val="0"/>
          <w:bCs/>
          <w:i/>
          <w:iCs/>
        </w:rPr>
        <w:t>. Output files right-click menu</w:t>
      </w:r>
      <w:bookmarkEnd w:id="603"/>
      <w:bookmarkEnd w:id="604"/>
      <w:bookmarkEnd w:id="605"/>
      <w:bookmarkEnd w:id="606"/>
      <w:bookmarkEnd w:id="607"/>
      <w:bookmarkEnd w:id="608"/>
    </w:p>
    <w:p/>
    <w:p>
      <w:pPr>
        <w:keepNext/>
        <w:jc w:val="center"/>
      </w:pPr>
      <w:r>
        <w:rPr>
          <w:lang w:eastAsia="en-US"/>
        </w:rPr>
        <w:drawing>
          <wp:inline distT="0" distB="0" distL="0" distR="0">
            <wp:extent cx="5274310" cy="370395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0"/>
                    <a:srcRect t="3432"/>
                    <a:stretch>
                      <a:fillRect/>
                    </a:stretch>
                  </pic:blipFill>
                  <pic:spPr>
                    <a:xfrm>
                      <a:off x="0" y="0"/>
                      <a:ext cx="5274310" cy="3704361"/>
                    </a:xfrm>
                    <a:prstGeom prst="rect">
                      <a:avLst/>
                    </a:prstGeom>
                    <a:ln>
                      <a:noFill/>
                    </a:ln>
                  </pic:spPr>
                </pic:pic>
              </a:graphicData>
            </a:graphic>
          </wp:inline>
        </w:drawing>
      </w:r>
    </w:p>
    <w:p>
      <w:pPr>
        <w:pStyle w:val="12"/>
        <w:rPr>
          <w:b w:val="0"/>
          <w:bCs/>
          <w:i/>
          <w:iCs/>
        </w:rPr>
      </w:pPr>
      <w:bookmarkStart w:id="609" w:name="_Ref476568729"/>
      <w:bookmarkStart w:id="610" w:name="_Toc119010944"/>
      <w:bookmarkStart w:id="611" w:name="_Toc26258"/>
      <w:bookmarkStart w:id="612" w:name="_Toc19339"/>
      <w:bookmarkStart w:id="613" w:name="_Toc476654249"/>
      <w:bookmarkStart w:id="614" w:name="_Toc5058"/>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10</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6</w:t>
      </w:r>
      <w:r>
        <w:rPr>
          <w:b w:val="0"/>
          <w:bCs/>
          <w:i/>
          <w:iCs/>
        </w:rPr>
        <w:fldChar w:fldCharType="end"/>
      </w:r>
      <w:bookmarkEnd w:id="609"/>
      <w:bookmarkStart w:id="615" w:name="_Toc26302"/>
      <w:r>
        <w:rPr>
          <w:b w:val="0"/>
          <w:bCs/>
          <w:i/>
          <w:iCs/>
        </w:rPr>
        <w:t>. Output files GIS map view</w:t>
      </w:r>
      <w:bookmarkEnd w:id="610"/>
      <w:bookmarkEnd w:id="611"/>
      <w:bookmarkEnd w:id="612"/>
      <w:bookmarkEnd w:id="613"/>
      <w:bookmarkEnd w:id="614"/>
      <w:r>
        <w:rPr>
          <w:b w:val="0"/>
          <w:bCs/>
          <w:i/>
          <w:iCs/>
        </w:rPr>
        <w:t xml:space="preserve"> </w:t>
      </w:r>
      <w:bookmarkEnd w:id="615"/>
    </w:p>
    <w:p/>
    <w:p>
      <w:pPr>
        <w:autoSpaceDE w:val="0"/>
        <w:autoSpaceDN w:val="0"/>
        <w:adjustRightInd w:val="0"/>
      </w:pPr>
      <w:r>
        <w:t>The Data Viewer window right-hand analysis pane includes the following six tabs that display different analysis and configuration settings for the current SMAT-CE project:</w:t>
      </w:r>
    </w:p>
    <w:p>
      <w:pPr>
        <w:autoSpaceDE w:val="0"/>
        <w:autoSpaceDN w:val="0"/>
        <w:adjustRightInd w:val="0"/>
      </w:pPr>
      <w:r>
        <w:rPr>
          <w:b/>
        </w:rPr>
        <w:t>GIS:</w:t>
      </w:r>
      <w:r>
        <w:t xml:space="preserve"> Open-source geographic information system (GIS) graphical interface for displaying SMAT-CE point analysis results at monitor locations. Multiple data layers may be added to the map and different attributes within each layer can be plotting in the GIS tab. </w:t>
      </w:r>
    </w:p>
    <w:p>
      <w:pPr>
        <w:autoSpaceDE w:val="0"/>
        <w:autoSpaceDN w:val="0"/>
        <w:adjustRightInd w:val="0"/>
      </w:pPr>
      <w:r>
        <w:rPr>
          <w:b/>
        </w:rPr>
        <w:t>Map:</w:t>
      </w:r>
      <w:r>
        <w:t xml:space="preserve"> Spatial tile plots of model output data used for estimating relative response factors. </w:t>
      </w:r>
    </w:p>
    <w:p>
      <w:pPr>
        <w:autoSpaceDE w:val="0"/>
        <w:autoSpaceDN w:val="0"/>
        <w:adjustRightInd w:val="0"/>
      </w:pPr>
      <w:r>
        <w:rPr>
          <w:b/>
        </w:rPr>
        <w:t>Data:</w:t>
      </w:r>
      <w:r>
        <w:t xml:space="preserve"> Tabulated display of the SMAT-CE input and output data. </w:t>
      </w:r>
    </w:p>
    <w:p>
      <w:pPr>
        <w:autoSpaceDE w:val="0"/>
        <w:autoSpaceDN w:val="0"/>
        <w:adjustRightInd w:val="0"/>
      </w:pPr>
      <w:r>
        <w:rPr>
          <w:b/>
        </w:rPr>
        <w:t>Chart:</w:t>
      </w:r>
      <w:r>
        <w:t xml:space="preserve"> Bar chart display of the SMAT-CE input and output data.</w:t>
      </w:r>
    </w:p>
    <w:p>
      <w:pPr>
        <w:autoSpaceDE w:val="0"/>
        <w:autoSpaceDN w:val="0"/>
        <w:adjustRightInd w:val="0"/>
      </w:pPr>
      <w:r>
        <w:rPr>
          <w:b/>
        </w:rPr>
        <w:t>Log/Msg:</w:t>
      </w:r>
      <w:r>
        <w:t xml:space="preserve"> Logging information generated during the currently loaded project</w:t>
      </w:r>
    </w:p>
    <w:p>
      <w:pPr>
        <w:autoSpaceDE w:val="0"/>
        <w:autoSpaceDN w:val="0"/>
        <w:adjustRightInd w:val="0"/>
        <w:rPr>
          <w:b/>
          <w:u w:val="single"/>
        </w:rPr>
      </w:pPr>
      <w:r>
        <w:rPr>
          <w:b/>
        </w:rPr>
        <w:t>Config/Batch:</w:t>
      </w:r>
      <w:r>
        <w:t xml:space="preserve"> Batch script commands used to generate the results for the current project</w:t>
      </w:r>
    </w:p>
    <w:p>
      <w:pPr>
        <w:autoSpaceDE w:val="0"/>
        <w:autoSpaceDN w:val="0"/>
        <w:adjustRightInd w:val="0"/>
      </w:pPr>
      <w:r>
        <w:t xml:space="preserve">Details of how to display data in the analysis tabs and how to configure the plots in each tab are included in the following sections. </w:t>
      </w:r>
    </w:p>
    <w:p>
      <w:pPr>
        <w:pStyle w:val="3"/>
      </w:pPr>
      <w:bookmarkStart w:id="616" w:name="_Toc119010893"/>
      <w:bookmarkStart w:id="617" w:name="_Toc476653956"/>
      <w:bookmarkStart w:id="618" w:name="_Toc476654857"/>
      <w:bookmarkStart w:id="619" w:name="_Toc18415"/>
      <w:bookmarkStart w:id="620" w:name="_Toc476654479"/>
      <w:r>
        <w:t>GIS Window</w:t>
      </w:r>
      <w:bookmarkEnd w:id="616"/>
      <w:bookmarkEnd w:id="617"/>
      <w:bookmarkEnd w:id="618"/>
      <w:bookmarkEnd w:id="619"/>
      <w:bookmarkEnd w:id="620"/>
    </w:p>
    <w:p>
      <w:r>
        <w:t>The SMAT-CE GIS window displays the results of point analyses at monitor locations in the selected modeling domain. Example results available to view in the GIS window include base and future year design values, RRFs, and input monitor data.</w:t>
      </w:r>
    </w:p>
    <w:p>
      <w:r>
        <w:t xml:space="preserve">To plot results in the GIS window either right-click on an output file name in the Data Viewer file list and select </w:t>
      </w:r>
      <w:r>
        <w:rPr>
          <w:b/>
        </w:rPr>
        <w:t>Add to GIS (</w:t>
      </w:r>
      <w:r>
        <w:rPr>
          <w:b/>
        </w:rPr>
        <w:fldChar w:fldCharType="begin"/>
      </w:r>
      <w:r>
        <w:rPr>
          <w:b/>
        </w:rPr>
        <w:instrText xml:space="preserve"> REF _Ref476568624 \h </w:instrText>
      </w:r>
      <w:r>
        <w:rPr>
          <w:b/>
        </w:rPr>
        <w:fldChar w:fldCharType="separate"/>
      </w:r>
      <w:r>
        <w:rPr>
          <w:bCs/>
          <w:i/>
          <w:iCs/>
        </w:rPr>
        <w:t xml:space="preserve">Figure </w:t>
      </w:r>
      <w:r>
        <w:rPr>
          <w:b/>
          <w:bCs/>
          <w:i/>
          <w:iCs/>
        </w:rPr>
        <w:t>10</w:t>
      </w:r>
      <w:r>
        <w:rPr>
          <w:bCs/>
          <w:i/>
          <w:iCs/>
        </w:rPr>
        <w:noBreakHyphen/>
      </w:r>
      <w:r>
        <w:rPr>
          <w:b/>
          <w:bCs/>
          <w:i/>
          <w:iCs/>
        </w:rPr>
        <w:t>5</w:t>
      </w:r>
      <w:r>
        <w:rPr>
          <w:b/>
        </w:rPr>
        <w:fldChar w:fldCharType="end"/>
      </w:r>
      <w:r>
        <w:rPr>
          <w:b/>
        </w:rPr>
        <w:t>);</w:t>
      </w:r>
      <w:r>
        <w:t xml:space="preserve"> or click on the GIS tab of the Data Viewer right-hand panel and then double-click an output file on the file list. Alternatively, click on the </w:t>
      </w:r>
      <w:r>
        <w:rPr>
          <w:lang w:eastAsia="en-US"/>
        </w:rPr>
        <w:drawing>
          <wp:inline distT="0" distB="0" distL="0" distR="0">
            <wp:extent cx="247650" cy="223520"/>
            <wp:effectExtent l="0" t="0" r="6350" b="508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63802" cy="237653"/>
                    </a:xfrm>
                    <a:prstGeom prst="rect">
                      <a:avLst/>
                    </a:prstGeom>
                    <a:noFill/>
                    <a:ln>
                      <a:noFill/>
                    </a:ln>
                  </pic:spPr>
                </pic:pic>
              </a:graphicData>
            </a:graphic>
          </wp:inline>
        </w:drawing>
      </w:r>
      <w:r>
        <w:t xml:space="preserve"> on the GIS and Map Controls toolbar to load a saved data file into the GIS viewer. The GIS view will display the analysis results or input monitor data as a thematic map with a colored legend that uses a legend and color scale that are set according the minimum and maximum values of the loaded dataset (</w:t>
      </w:r>
      <w:r>
        <w:fldChar w:fldCharType="begin"/>
      </w:r>
      <w:r>
        <w:instrText xml:space="preserve"> REF _Ref476577381 \h </w:instrText>
      </w:r>
      <w:r>
        <w:fldChar w:fldCharType="separate"/>
      </w:r>
      <w:r>
        <w:rPr>
          <w:bCs/>
          <w:i/>
          <w:iCs/>
        </w:rPr>
        <w:t xml:space="preserve">Figure </w:t>
      </w:r>
      <w:r>
        <w:rPr>
          <w:b/>
          <w:bCs/>
          <w:i/>
          <w:iCs/>
        </w:rPr>
        <w:t>10</w:t>
      </w:r>
      <w:r>
        <w:rPr>
          <w:bCs/>
          <w:i/>
          <w:iCs/>
        </w:rPr>
        <w:noBreakHyphen/>
      </w:r>
      <w:r>
        <w:rPr>
          <w:b/>
          <w:bCs/>
          <w:i/>
          <w:iCs/>
        </w:rPr>
        <w:t>7</w:t>
      </w:r>
      <w:r>
        <w:fldChar w:fldCharType="end"/>
      </w:r>
      <w:r>
        <w:t xml:space="preserve">). </w:t>
      </w:r>
    </w:p>
    <w:p>
      <w:pPr>
        <w:keepNext/>
        <w:jc w:val="center"/>
      </w:pPr>
      <w:r>
        <w:rPr>
          <w:lang w:eastAsia="en-US"/>
        </w:rPr>
        <w:drawing>
          <wp:inline distT="0" distB="0" distL="0" distR="0">
            <wp:extent cx="5274310" cy="4586605"/>
            <wp:effectExtent l="0" t="0" r="889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5274310" cy="4586605"/>
                    </a:xfrm>
                    <a:prstGeom prst="rect">
                      <a:avLst/>
                    </a:prstGeom>
                  </pic:spPr>
                </pic:pic>
              </a:graphicData>
            </a:graphic>
          </wp:inline>
        </w:drawing>
      </w:r>
    </w:p>
    <w:p>
      <w:pPr>
        <w:pStyle w:val="12"/>
        <w:rPr>
          <w:b w:val="0"/>
          <w:bCs/>
          <w:i/>
          <w:iCs/>
        </w:rPr>
      </w:pPr>
      <w:bookmarkStart w:id="621" w:name="_Ref476577381"/>
      <w:bookmarkStart w:id="622" w:name="_Toc30914"/>
      <w:bookmarkStart w:id="623" w:name="_Toc27762"/>
      <w:bookmarkStart w:id="624" w:name="_Toc476654250"/>
      <w:bookmarkStart w:id="625" w:name="_Toc19809"/>
      <w:bookmarkStart w:id="626" w:name="_Toc119010945"/>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10</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7</w:t>
      </w:r>
      <w:r>
        <w:rPr>
          <w:b w:val="0"/>
          <w:bCs/>
          <w:i/>
          <w:iCs/>
        </w:rPr>
        <w:fldChar w:fldCharType="end"/>
      </w:r>
      <w:bookmarkEnd w:id="621"/>
      <w:bookmarkStart w:id="627" w:name="_Toc3327"/>
      <w:r>
        <w:rPr>
          <w:b w:val="0"/>
          <w:bCs/>
          <w:i/>
          <w:iCs/>
        </w:rPr>
        <w:t>. SMAT-CE GIS window</w:t>
      </w:r>
      <w:bookmarkEnd w:id="622"/>
      <w:bookmarkEnd w:id="623"/>
      <w:bookmarkEnd w:id="624"/>
      <w:bookmarkEnd w:id="625"/>
      <w:bookmarkEnd w:id="626"/>
      <w:bookmarkEnd w:id="627"/>
    </w:p>
    <w:p>
      <w:r>
        <w:t>The GIS map can be saved quickly by right-clicking anywhere in the map window and selecting one of the three options (</w:t>
      </w:r>
      <w:r>
        <w:fldChar w:fldCharType="begin"/>
      </w:r>
      <w:r>
        <w:instrText xml:space="preserve"> REF _Ref476580039 \h </w:instrText>
      </w:r>
      <w:r>
        <w:fldChar w:fldCharType="separate"/>
      </w:r>
      <w:r>
        <w:rPr>
          <w:bCs/>
          <w:i/>
          <w:iCs/>
        </w:rPr>
        <w:t xml:space="preserve">Figure </w:t>
      </w:r>
      <w:r>
        <w:rPr>
          <w:b/>
          <w:bCs/>
          <w:i/>
          <w:iCs/>
        </w:rPr>
        <w:t>10</w:t>
      </w:r>
      <w:r>
        <w:rPr>
          <w:bCs/>
          <w:i/>
          <w:iCs/>
        </w:rPr>
        <w:noBreakHyphen/>
      </w:r>
      <w:r>
        <w:rPr>
          <w:b/>
          <w:bCs/>
          <w:i/>
          <w:iCs/>
        </w:rPr>
        <w:t>8</w:t>
      </w:r>
      <w:r>
        <w:fldChar w:fldCharType="end"/>
      </w:r>
      <w:r>
        <w:t xml:space="preserve">). </w:t>
      </w:r>
    </w:p>
    <w:p>
      <w:pPr>
        <w:keepNext/>
      </w:pPr>
      <w:r>
        <w:rPr>
          <w:lang w:eastAsia="en-US"/>
        </w:rPr>
        <w:drawing>
          <wp:inline distT="0" distB="0" distL="0" distR="0">
            <wp:extent cx="5275580" cy="4280535"/>
            <wp:effectExtent l="0" t="0" r="7620" b="12065"/>
            <wp:docPr id="24" name="Picture 24" descr="/Users/zac/Desktop/Screen Shot 2017-03-06 at 4.10.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Users/zac/Desktop/Screen Shot 2017-03-06 at 4.10.59 PM.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275580" cy="4280535"/>
                    </a:xfrm>
                    <a:prstGeom prst="rect">
                      <a:avLst/>
                    </a:prstGeom>
                    <a:noFill/>
                    <a:ln>
                      <a:noFill/>
                    </a:ln>
                  </pic:spPr>
                </pic:pic>
              </a:graphicData>
            </a:graphic>
          </wp:inline>
        </w:drawing>
      </w:r>
    </w:p>
    <w:p>
      <w:pPr>
        <w:pStyle w:val="12"/>
        <w:rPr>
          <w:b w:val="0"/>
          <w:bCs/>
          <w:i/>
          <w:iCs/>
        </w:rPr>
      </w:pPr>
      <w:bookmarkStart w:id="628" w:name="_Ref476580039"/>
      <w:bookmarkStart w:id="629" w:name="_Toc476654251"/>
      <w:bookmarkStart w:id="630" w:name="_Toc119010946"/>
      <w:bookmarkStart w:id="631" w:name="_Toc2875"/>
      <w:bookmarkStart w:id="632" w:name="_Toc23530"/>
      <w:bookmarkStart w:id="633" w:name="_Toc27002"/>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10</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8</w:t>
      </w:r>
      <w:r>
        <w:rPr>
          <w:b w:val="0"/>
          <w:bCs/>
          <w:i/>
          <w:iCs/>
        </w:rPr>
        <w:fldChar w:fldCharType="end"/>
      </w:r>
      <w:bookmarkEnd w:id="628"/>
      <w:bookmarkStart w:id="634" w:name="_Toc20696"/>
      <w:r>
        <w:rPr>
          <w:b w:val="0"/>
          <w:bCs/>
          <w:i/>
          <w:iCs/>
        </w:rPr>
        <w:t>. GIS map right-click menu</w:t>
      </w:r>
      <w:bookmarkEnd w:id="629"/>
      <w:bookmarkEnd w:id="630"/>
      <w:bookmarkEnd w:id="631"/>
      <w:bookmarkEnd w:id="632"/>
      <w:bookmarkEnd w:id="633"/>
      <w:bookmarkEnd w:id="634"/>
    </w:p>
    <w:p>
      <w:r>
        <w:t>The configuration options available in the GIS window include:</w:t>
      </w:r>
    </w:p>
    <w:p>
      <w:r>
        <w:rPr>
          <w:b/>
        </w:rPr>
        <w:t>Zoom and Map Controls</w:t>
      </w:r>
      <w:r>
        <w:rPr>
          <w:b/>
          <w:bCs/>
        </w:rPr>
        <w:t>:</w:t>
      </w:r>
      <w:r>
        <w:t xml:space="preserve"> Shown in the red box in </w:t>
      </w:r>
      <w:r>
        <w:fldChar w:fldCharType="begin"/>
      </w:r>
      <w:r>
        <w:instrText xml:space="preserve"> REF _Ref476578993 \h </w:instrText>
      </w:r>
      <w:r>
        <w:fldChar w:fldCharType="separate"/>
      </w:r>
      <w:r>
        <w:rPr>
          <w:bCs/>
          <w:i/>
          <w:iCs/>
        </w:rPr>
        <w:t xml:space="preserve">Figure </w:t>
      </w:r>
      <w:r>
        <w:rPr>
          <w:b/>
          <w:bCs/>
          <w:i/>
          <w:iCs/>
        </w:rPr>
        <w:t>10</w:t>
      </w:r>
      <w:r>
        <w:rPr>
          <w:bCs/>
          <w:i/>
          <w:iCs/>
        </w:rPr>
        <w:noBreakHyphen/>
      </w:r>
      <w:r>
        <w:rPr>
          <w:b/>
          <w:bCs/>
          <w:i/>
          <w:iCs/>
        </w:rPr>
        <w:t>9</w:t>
      </w:r>
      <w:r>
        <w:fldChar w:fldCharType="end"/>
      </w:r>
      <w:r>
        <w:t xml:space="preserve">, these options control zooming in/out and panning the map display, probing monitor values, exporting the map image, saving a shapefile of the results, and adding external shapefile data to the GIS map. </w:t>
      </w:r>
    </w:p>
    <w:p>
      <w:pPr>
        <w:rPr>
          <w:b/>
        </w:rPr>
      </w:pPr>
      <w:r>
        <w:rPr>
          <w:b/>
        </w:rPr>
        <w:t>Layer Controls</w:t>
      </w:r>
      <w:r>
        <w:rPr>
          <w:b/>
          <w:bCs/>
        </w:rPr>
        <w:t>:</w:t>
      </w:r>
      <w:r>
        <w:rPr>
          <w:b/>
        </w:rPr>
        <w:t xml:space="preserve"> </w:t>
      </w:r>
      <w:r>
        <w:t xml:space="preserve">Shown in the yellow box in </w:t>
      </w:r>
      <w:r>
        <w:fldChar w:fldCharType="begin"/>
      </w:r>
      <w:r>
        <w:instrText xml:space="preserve"> REF _Ref476578993 \h </w:instrText>
      </w:r>
      <w:r>
        <w:fldChar w:fldCharType="separate"/>
      </w:r>
      <w:r>
        <w:rPr>
          <w:bCs/>
          <w:i/>
          <w:iCs/>
        </w:rPr>
        <w:t xml:space="preserve">Figure </w:t>
      </w:r>
      <w:r>
        <w:rPr>
          <w:b/>
          <w:bCs/>
          <w:i/>
          <w:iCs/>
        </w:rPr>
        <w:t>10</w:t>
      </w:r>
      <w:r>
        <w:rPr>
          <w:bCs/>
          <w:i/>
          <w:iCs/>
        </w:rPr>
        <w:noBreakHyphen/>
      </w:r>
      <w:r>
        <w:rPr>
          <w:b/>
          <w:bCs/>
          <w:i/>
          <w:iCs/>
        </w:rPr>
        <w:t>9</w:t>
      </w:r>
      <w:r>
        <w:fldChar w:fldCharType="end"/>
      </w:r>
      <w:r>
        <w:t xml:space="preserve">, these options control the SMAT-CE result layer attributes to display on the map, quick zooms to selected sub-regions (Zoom To), and boundary layer attributes to display on the map (Domain Selections). The Map Layers section of this area displays the different GIS layers shown on them. Right-clicking on any of the layers provides advanced configuration controls for the layer. </w:t>
      </w:r>
    </w:p>
    <w:p>
      <w:pPr>
        <w:rPr>
          <w:b/>
          <w:u w:val="single"/>
        </w:rPr>
      </w:pPr>
      <w:r>
        <w:rPr>
          <w:b/>
        </w:rPr>
        <w:t xml:space="preserve">Legend Controls: </w:t>
      </w:r>
      <w:r>
        <w:t xml:space="preserve">Shown in the blue box in </w:t>
      </w:r>
      <w:r>
        <w:fldChar w:fldCharType="begin"/>
      </w:r>
      <w:r>
        <w:instrText xml:space="preserve"> REF _Ref476578993 \h </w:instrText>
      </w:r>
      <w:r>
        <w:fldChar w:fldCharType="separate"/>
      </w:r>
      <w:r>
        <w:rPr>
          <w:bCs/>
          <w:i/>
          <w:iCs/>
        </w:rPr>
        <w:t xml:space="preserve">Figure </w:t>
      </w:r>
      <w:r>
        <w:rPr>
          <w:b/>
          <w:bCs/>
          <w:i/>
          <w:iCs/>
        </w:rPr>
        <w:t>10</w:t>
      </w:r>
      <w:r>
        <w:rPr>
          <w:bCs/>
          <w:i/>
          <w:iCs/>
        </w:rPr>
        <w:noBreakHyphen/>
      </w:r>
      <w:r>
        <w:rPr>
          <w:b/>
          <w:bCs/>
          <w:i/>
          <w:iCs/>
        </w:rPr>
        <w:t>9</w:t>
      </w:r>
      <w:r>
        <w:fldChar w:fldCharType="end"/>
      </w:r>
      <w:r>
        <w:t xml:space="preserve">, this option provides a quick adjustment of the GIS map legend levels. Double-click the color bar to display the legend controls. The legend controls set the minimum and maximum values of the legend and the individual colors on the scale. More detailed customization of the map display legend is available by double-clicking a map layer in the Layer Controls section of the GIS window.  </w:t>
      </w:r>
    </w:p>
    <w:p>
      <w:pPr>
        <w:keepNext/>
        <w:jc w:val="center"/>
      </w:pPr>
      <w:r>
        <w:rPr>
          <w:lang w:eastAsia="en-US"/>
        </w:rPr>
        <w:drawing>
          <wp:inline distT="0" distB="0" distL="0" distR="0">
            <wp:extent cx="5274310" cy="439547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5274310" cy="4395470"/>
                    </a:xfrm>
                    <a:prstGeom prst="rect">
                      <a:avLst/>
                    </a:prstGeom>
                  </pic:spPr>
                </pic:pic>
              </a:graphicData>
            </a:graphic>
          </wp:inline>
        </w:drawing>
      </w:r>
    </w:p>
    <w:p>
      <w:pPr>
        <w:pStyle w:val="12"/>
        <w:rPr>
          <w:b w:val="0"/>
          <w:bCs/>
          <w:i/>
          <w:iCs/>
        </w:rPr>
      </w:pPr>
      <w:bookmarkStart w:id="635" w:name="_Ref476578993"/>
      <w:bookmarkStart w:id="636" w:name="_Toc15296"/>
      <w:bookmarkStart w:id="637" w:name="_Toc476654252"/>
      <w:bookmarkStart w:id="638" w:name="_Toc13904"/>
      <w:bookmarkStart w:id="639" w:name="_Toc119010947"/>
      <w:bookmarkStart w:id="640" w:name="_Toc14077"/>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10</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9</w:t>
      </w:r>
      <w:r>
        <w:rPr>
          <w:b w:val="0"/>
          <w:bCs/>
          <w:i/>
          <w:iCs/>
        </w:rPr>
        <w:fldChar w:fldCharType="end"/>
      </w:r>
      <w:bookmarkEnd w:id="635"/>
      <w:bookmarkStart w:id="641" w:name="_Toc4634"/>
      <w:r>
        <w:rPr>
          <w:b w:val="0"/>
          <w:bCs/>
          <w:i/>
          <w:iCs/>
        </w:rPr>
        <w:t>. GIS window with highlighted map controls</w:t>
      </w:r>
      <w:bookmarkEnd w:id="636"/>
      <w:bookmarkEnd w:id="637"/>
      <w:bookmarkEnd w:id="638"/>
      <w:bookmarkEnd w:id="639"/>
      <w:bookmarkEnd w:id="640"/>
      <w:bookmarkEnd w:id="641"/>
    </w:p>
    <w:p>
      <w:pPr>
        <w:pStyle w:val="3"/>
      </w:pPr>
      <w:bookmarkStart w:id="642" w:name="_Toc476654480"/>
      <w:bookmarkStart w:id="643" w:name="_Toc119010894"/>
      <w:bookmarkStart w:id="644" w:name="_Toc476653957"/>
      <w:bookmarkStart w:id="645" w:name="_Toc15881"/>
      <w:bookmarkStart w:id="646" w:name="_Toc476654858"/>
      <w:r>
        <w:t>Map Window</w:t>
      </w:r>
      <w:bookmarkEnd w:id="642"/>
      <w:bookmarkEnd w:id="643"/>
      <w:bookmarkEnd w:id="644"/>
      <w:bookmarkEnd w:id="645"/>
      <w:bookmarkEnd w:id="646"/>
    </w:p>
    <w:p>
      <w:r>
        <w:t>The SMAT-CE Map window displays the results of model results at monitor locations in the modeling domain. Example results available to view in the Map window include base and future year model result used in the calculation of RRFs.</w:t>
      </w:r>
    </w:p>
    <w:p>
      <w:r>
        <w:t xml:space="preserve">To plot results in the Map window either right-click on a </w:t>
      </w:r>
      <w:r>
        <w:rPr>
          <w:i/>
        </w:rPr>
        <w:t>model data</w:t>
      </w:r>
      <w:r>
        <w:t xml:space="preserve"> output file name in the Data Viewer file list and select </w:t>
      </w:r>
      <w:r>
        <w:rPr>
          <w:b/>
        </w:rPr>
        <w:t>Add to Map (</w:t>
      </w:r>
      <w:r>
        <w:rPr>
          <w:b/>
        </w:rPr>
        <w:fldChar w:fldCharType="begin"/>
      </w:r>
      <w:r>
        <w:rPr>
          <w:b/>
        </w:rPr>
        <w:instrText xml:space="preserve"> REF _Ref476568624 \h </w:instrText>
      </w:r>
      <w:r>
        <w:rPr>
          <w:b/>
        </w:rPr>
        <w:fldChar w:fldCharType="separate"/>
      </w:r>
      <w:r>
        <w:rPr>
          <w:bCs/>
          <w:i/>
          <w:iCs/>
        </w:rPr>
        <w:t xml:space="preserve">Figure </w:t>
      </w:r>
      <w:r>
        <w:rPr>
          <w:b/>
          <w:bCs/>
          <w:i/>
          <w:iCs/>
        </w:rPr>
        <w:t>10</w:t>
      </w:r>
      <w:r>
        <w:rPr>
          <w:bCs/>
          <w:i/>
          <w:iCs/>
        </w:rPr>
        <w:noBreakHyphen/>
      </w:r>
      <w:r>
        <w:rPr>
          <w:b/>
          <w:bCs/>
          <w:i/>
          <w:iCs/>
        </w:rPr>
        <w:t>5</w:t>
      </w:r>
      <w:r>
        <w:rPr>
          <w:b/>
        </w:rPr>
        <w:fldChar w:fldCharType="end"/>
      </w:r>
      <w:r>
        <w:rPr>
          <w:b/>
        </w:rPr>
        <w:t>);</w:t>
      </w:r>
      <w:r>
        <w:t xml:space="preserve"> or click on the Map tab of the Data Viewer right-hand panel and then double-click a </w:t>
      </w:r>
      <w:r>
        <w:rPr>
          <w:i/>
        </w:rPr>
        <w:t>model data</w:t>
      </w:r>
      <w:r>
        <w:t xml:space="preserve"> output file on the file list. Note that if there is no option to view the data on the map (i.e., only Add to GIS is displayed) then the selected data are not compatible with the Map view. The Map view will display the analysis results as a tile plot map with a colored legend that uses a legend and color scale that are set according the minimum and maximum values of the loaded dataset (</w:t>
      </w:r>
      <w:r>
        <w:fldChar w:fldCharType="begin"/>
      </w:r>
      <w:r>
        <w:instrText xml:space="preserve"> REF _Ref476580408 \h </w:instrText>
      </w:r>
      <w:r>
        <w:fldChar w:fldCharType="separate"/>
      </w:r>
      <w:r>
        <w:rPr>
          <w:bCs/>
          <w:i/>
          <w:iCs/>
        </w:rPr>
        <w:t xml:space="preserve">Figure </w:t>
      </w:r>
      <w:r>
        <w:rPr>
          <w:b/>
          <w:bCs/>
          <w:i/>
          <w:iCs/>
        </w:rPr>
        <w:t>10</w:t>
      </w:r>
      <w:r>
        <w:rPr>
          <w:bCs/>
          <w:i/>
          <w:iCs/>
        </w:rPr>
        <w:noBreakHyphen/>
      </w:r>
      <w:r>
        <w:rPr>
          <w:b/>
          <w:bCs/>
          <w:i/>
          <w:iCs/>
        </w:rPr>
        <w:t>10</w:t>
      </w:r>
      <w:r>
        <w:fldChar w:fldCharType="end"/>
      </w:r>
      <w:r>
        <w:t>).</w:t>
      </w:r>
    </w:p>
    <w:p>
      <w:pPr>
        <w:keepNext/>
      </w:pPr>
      <w:r>
        <w:rPr>
          <w:lang w:eastAsia="en-US"/>
        </w:rPr>
        <w:drawing>
          <wp:inline distT="0" distB="0" distL="0" distR="0">
            <wp:extent cx="5274310" cy="3711575"/>
            <wp:effectExtent l="0" t="0" r="8890"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pic:cNvPicPr>
                  </pic:nvPicPr>
                  <pic:blipFill>
                    <a:blip r:embed="rId65"/>
                    <a:srcRect t="3241"/>
                    <a:stretch>
                      <a:fillRect/>
                    </a:stretch>
                  </pic:blipFill>
                  <pic:spPr>
                    <a:xfrm>
                      <a:off x="0" y="0"/>
                      <a:ext cx="5274310" cy="3711575"/>
                    </a:xfrm>
                    <a:prstGeom prst="rect">
                      <a:avLst/>
                    </a:prstGeom>
                    <a:ln>
                      <a:noFill/>
                    </a:ln>
                  </pic:spPr>
                </pic:pic>
              </a:graphicData>
            </a:graphic>
          </wp:inline>
        </w:drawing>
      </w:r>
    </w:p>
    <w:p>
      <w:pPr>
        <w:pStyle w:val="12"/>
        <w:rPr>
          <w:b w:val="0"/>
          <w:bCs/>
          <w:i/>
          <w:iCs/>
        </w:rPr>
      </w:pPr>
      <w:bookmarkStart w:id="647" w:name="_Ref476580408"/>
      <w:bookmarkStart w:id="648" w:name="_Toc11588"/>
      <w:bookmarkStart w:id="649" w:name="_Toc119010948"/>
      <w:bookmarkStart w:id="650" w:name="_Toc476654253"/>
      <w:bookmarkStart w:id="651" w:name="_Toc29786"/>
      <w:bookmarkStart w:id="652" w:name="_Toc2387"/>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10</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10</w:t>
      </w:r>
      <w:r>
        <w:rPr>
          <w:b w:val="0"/>
          <w:bCs/>
          <w:i/>
          <w:iCs/>
        </w:rPr>
        <w:fldChar w:fldCharType="end"/>
      </w:r>
      <w:bookmarkEnd w:id="647"/>
      <w:bookmarkStart w:id="653" w:name="_Toc31655"/>
      <w:r>
        <w:rPr>
          <w:b w:val="0"/>
          <w:bCs/>
          <w:i/>
          <w:iCs/>
        </w:rPr>
        <w:t>. SMAT-CE map window</w:t>
      </w:r>
      <w:bookmarkEnd w:id="648"/>
      <w:bookmarkEnd w:id="649"/>
      <w:bookmarkEnd w:id="650"/>
      <w:bookmarkEnd w:id="651"/>
      <w:bookmarkEnd w:id="652"/>
      <w:bookmarkEnd w:id="653"/>
    </w:p>
    <w:p>
      <w:r>
        <w:t>The Map display can be saved quickly by right-clicking anywhere in the map and selecting one of the three options (</w:t>
      </w:r>
      <w:r>
        <w:fldChar w:fldCharType="begin"/>
      </w:r>
      <w:r>
        <w:instrText xml:space="preserve"> REF _Ref476580893 \h </w:instrText>
      </w:r>
      <w:r>
        <w:fldChar w:fldCharType="separate"/>
      </w:r>
      <w:r>
        <w:rPr>
          <w:bCs/>
          <w:i/>
          <w:iCs/>
        </w:rPr>
        <w:t xml:space="preserve">Figure </w:t>
      </w:r>
      <w:r>
        <w:rPr>
          <w:b/>
          <w:bCs/>
          <w:i/>
          <w:iCs/>
        </w:rPr>
        <w:t>10</w:t>
      </w:r>
      <w:r>
        <w:rPr>
          <w:bCs/>
          <w:i/>
          <w:iCs/>
        </w:rPr>
        <w:noBreakHyphen/>
      </w:r>
      <w:r>
        <w:rPr>
          <w:b/>
          <w:bCs/>
          <w:i/>
          <w:iCs/>
        </w:rPr>
        <w:t>11</w:t>
      </w:r>
      <w:r>
        <w:fldChar w:fldCharType="end"/>
      </w:r>
      <w:r>
        <w:t xml:space="preserve">). </w:t>
      </w:r>
    </w:p>
    <w:p>
      <w:pPr>
        <w:keepNext/>
        <w:jc w:val="center"/>
      </w:pPr>
      <w:r>
        <w:rPr>
          <w:lang w:eastAsia="en-US"/>
        </w:rPr>
        <w:drawing>
          <wp:inline distT="0" distB="0" distL="0" distR="0">
            <wp:extent cx="4721860" cy="3851275"/>
            <wp:effectExtent l="0" t="0" r="254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4726679" cy="3854867"/>
                    </a:xfrm>
                    <a:prstGeom prst="rect">
                      <a:avLst/>
                    </a:prstGeom>
                  </pic:spPr>
                </pic:pic>
              </a:graphicData>
            </a:graphic>
          </wp:inline>
        </w:drawing>
      </w:r>
    </w:p>
    <w:p>
      <w:pPr>
        <w:pStyle w:val="12"/>
        <w:rPr>
          <w:b w:val="0"/>
          <w:bCs/>
          <w:i/>
          <w:iCs/>
        </w:rPr>
      </w:pPr>
      <w:bookmarkStart w:id="654" w:name="_Ref476580893"/>
      <w:bookmarkStart w:id="655" w:name="_Toc29896"/>
      <w:bookmarkStart w:id="656" w:name="_Toc119010949"/>
      <w:bookmarkStart w:id="657" w:name="_Toc4716"/>
      <w:bookmarkStart w:id="658" w:name="_Toc476654254"/>
      <w:bookmarkStart w:id="659" w:name="_Toc21521"/>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10</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11</w:t>
      </w:r>
      <w:r>
        <w:rPr>
          <w:b w:val="0"/>
          <w:bCs/>
          <w:i/>
          <w:iCs/>
        </w:rPr>
        <w:fldChar w:fldCharType="end"/>
      </w:r>
      <w:bookmarkEnd w:id="654"/>
      <w:bookmarkStart w:id="660" w:name="_Toc24588"/>
      <w:r>
        <w:rPr>
          <w:b w:val="0"/>
          <w:bCs/>
          <w:i/>
          <w:iCs/>
        </w:rPr>
        <w:t>. Map window with right click menu</w:t>
      </w:r>
      <w:bookmarkEnd w:id="655"/>
      <w:bookmarkEnd w:id="656"/>
      <w:bookmarkEnd w:id="657"/>
      <w:bookmarkEnd w:id="658"/>
      <w:bookmarkEnd w:id="659"/>
      <w:bookmarkEnd w:id="660"/>
    </w:p>
    <w:p>
      <w:r>
        <w:t xml:space="preserve">The configuration options available in the GIS window include: </w:t>
      </w:r>
    </w:p>
    <w:p>
      <w:r>
        <w:rPr>
          <w:b/>
        </w:rPr>
        <w:t>Zoom and Map Controls</w:t>
      </w:r>
      <w:r>
        <w:rPr>
          <w:b/>
          <w:bCs/>
        </w:rPr>
        <w:t>:</w:t>
      </w:r>
      <w:r>
        <w:t xml:space="preserve"> Shown in the red box in </w:t>
      </w:r>
      <w:r>
        <w:fldChar w:fldCharType="begin"/>
      </w:r>
      <w:r>
        <w:instrText xml:space="preserve"> REF _Ref476581251 \h </w:instrText>
      </w:r>
      <w:r>
        <w:fldChar w:fldCharType="separate"/>
      </w:r>
      <w:r>
        <w:rPr>
          <w:bCs/>
          <w:i/>
          <w:iCs/>
        </w:rPr>
        <w:t xml:space="preserve">Figure </w:t>
      </w:r>
      <w:r>
        <w:rPr>
          <w:b/>
          <w:bCs/>
          <w:i/>
          <w:iCs/>
        </w:rPr>
        <w:t>10</w:t>
      </w:r>
      <w:r>
        <w:rPr>
          <w:bCs/>
          <w:i/>
          <w:iCs/>
        </w:rPr>
        <w:noBreakHyphen/>
      </w:r>
      <w:r>
        <w:rPr>
          <w:b/>
          <w:bCs/>
          <w:i/>
          <w:iCs/>
        </w:rPr>
        <w:t>12</w:t>
      </w:r>
      <w:r>
        <w:fldChar w:fldCharType="end"/>
      </w:r>
      <w:r>
        <w:t xml:space="preserve">, these options control zooming in/out, adding county lines, exporting the map image, and overlaying monitor data on the map image. </w:t>
      </w:r>
    </w:p>
    <w:p>
      <w:pPr>
        <w:rPr>
          <w:b/>
          <w:u w:val="single"/>
        </w:rPr>
      </w:pPr>
      <w:r>
        <w:rPr>
          <w:b/>
        </w:rPr>
        <w:t xml:space="preserve">Legend Controls: </w:t>
      </w:r>
      <w:r>
        <w:t xml:space="preserve">Shown in the blue box in </w:t>
      </w:r>
      <w:r>
        <w:fldChar w:fldCharType="begin"/>
      </w:r>
      <w:r>
        <w:instrText xml:space="preserve"> REF _Ref476581251 \h </w:instrText>
      </w:r>
      <w:r>
        <w:fldChar w:fldCharType="separate"/>
      </w:r>
      <w:r>
        <w:rPr>
          <w:bCs/>
          <w:i/>
          <w:iCs/>
        </w:rPr>
        <w:t xml:space="preserve">Figure </w:t>
      </w:r>
      <w:r>
        <w:rPr>
          <w:b/>
          <w:bCs/>
          <w:i/>
          <w:iCs/>
        </w:rPr>
        <w:t>10</w:t>
      </w:r>
      <w:r>
        <w:rPr>
          <w:bCs/>
          <w:i/>
          <w:iCs/>
        </w:rPr>
        <w:noBreakHyphen/>
      </w:r>
      <w:r>
        <w:rPr>
          <w:b/>
          <w:bCs/>
          <w:i/>
          <w:iCs/>
        </w:rPr>
        <w:t>12</w:t>
      </w:r>
      <w:r>
        <w:fldChar w:fldCharType="end"/>
      </w:r>
      <w:r>
        <w:t>, this option adjusts the map legend levels. Double-click the color bar to display the legend controls. The legend controls set the minimum and maximum values of the legend and the individual colors on the scale.</w:t>
      </w:r>
    </w:p>
    <w:p>
      <w:pPr>
        <w:keepNext/>
        <w:jc w:val="center"/>
      </w:pPr>
      <w:r>
        <w:rPr>
          <w:lang w:eastAsia="en-US"/>
        </w:rPr>
        <w:drawing>
          <wp:inline distT="0" distB="0" distL="0" distR="0">
            <wp:extent cx="5274310" cy="4505960"/>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274310" cy="4505960"/>
                    </a:xfrm>
                    <a:prstGeom prst="rect">
                      <a:avLst/>
                    </a:prstGeom>
                  </pic:spPr>
                </pic:pic>
              </a:graphicData>
            </a:graphic>
          </wp:inline>
        </w:drawing>
      </w:r>
    </w:p>
    <w:p>
      <w:pPr>
        <w:pStyle w:val="12"/>
        <w:rPr>
          <w:b w:val="0"/>
          <w:bCs/>
          <w:i/>
          <w:iCs/>
        </w:rPr>
      </w:pPr>
      <w:bookmarkStart w:id="661" w:name="_Ref476581251"/>
      <w:bookmarkStart w:id="662" w:name="_Toc2892"/>
      <w:bookmarkStart w:id="663" w:name="_Toc10570"/>
      <w:bookmarkStart w:id="664" w:name="_Toc11527"/>
      <w:bookmarkStart w:id="665" w:name="_Toc119010950"/>
      <w:bookmarkStart w:id="666" w:name="_Toc476654255"/>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10</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12</w:t>
      </w:r>
      <w:r>
        <w:rPr>
          <w:b w:val="0"/>
          <w:bCs/>
          <w:i/>
          <w:iCs/>
        </w:rPr>
        <w:fldChar w:fldCharType="end"/>
      </w:r>
      <w:bookmarkEnd w:id="661"/>
      <w:bookmarkStart w:id="667" w:name="_Toc7172"/>
      <w:r>
        <w:rPr>
          <w:b w:val="0"/>
          <w:bCs/>
          <w:i/>
          <w:iCs/>
        </w:rPr>
        <w:t>. Map window with highlighted map controls</w:t>
      </w:r>
      <w:bookmarkEnd w:id="662"/>
      <w:bookmarkEnd w:id="663"/>
      <w:bookmarkEnd w:id="664"/>
      <w:bookmarkEnd w:id="665"/>
      <w:bookmarkEnd w:id="666"/>
      <w:bookmarkEnd w:id="667"/>
    </w:p>
    <w:p>
      <w:pPr>
        <w:pStyle w:val="3"/>
      </w:pPr>
      <w:bookmarkStart w:id="668" w:name="_Toc476654481"/>
      <w:bookmarkStart w:id="669" w:name="_Toc119010895"/>
      <w:bookmarkStart w:id="670" w:name="_Toc476654859"/>
      <w:bookmarkStart w:id="671" w:name="_Toc476653958"/>
      <w:bookmarkStart w:id="672" w:name="_Toc13422"/>
      <w:r>
        <w:t>Data Table Display</w:t>
      </w:r>
      <w:bookmarkEnd w:id="668"/>
      <w:bookmarkEnd w:id="669"/>
      <w:bookmarkEnd w:id="670"/>
      <w:bookmarkEnd w:id="671"/>
      <w:bookmarkEnd w:id="672"/>
    </w:p>
    <w:p>
      <w:r>
        <w:t xml:space="preserve">The SMAT-CE Data Table window displays the SMAT-CE input and output data in a tabulated format. </w:t>
      </w:r>
    </w:p>
    <w:p>
      <w:r>
        <w:t xml:space="preserve">To plot results in the Data Table window either right-click on a file name in the Data Viewer file list and select </w:t>
      </w:r>
      <w:r>
        <w:rPr>
          <w:b/>
        </w:rPr>
        <w:t xml:space="preserve">View </w:t>
      </w:r>
      <w:r>
        <w:rPr>
          <w:bCs/>
        </w:rPr>
        <w:t>(</w:t>
      </w:r>
      <w:r>
        <w:rPr>
          <w:bCs/>
        </w:rPr>
        <w:fldChar w:fldCharType="begin"/>
      </w:r>
      <w:r>
        <w:rPr>
          <w:bCs/>
        </w:rPr>
        <w:instrText xml:space="preserve"> REF _Ref476568624 \h  \* MERGEFORMAT </w:instrText>
      </w:r>
      <w:r>
        <w:rPr>
          <w:bCs/>
        </w:rPr>
        <w:fldChar w:fldCharType="separate"/>
      </w:r>
      <w:r>
        <w:rPr>
          <w:bCs/>
        </w:rPr>
        <w:t>Figure 10</w:t>
      </w:r>
      <w:r>
        <w:rPr>
          <w:bCs/>
        </w:rPr>
        <w:noBreakHyphen/>
      </w:r>
      <w:r>
        <w:rPr>
          <w:bCs/>
        </w:rPr>
        <w:t>5</w:t>
      </w:r>
      <w:r>
        <w:rPr>
          <w:bCs/>
        </w:rPr>
        <w:fldChar w:fldCharType="end"/>
      </w:r>
      <w:r>
        <w:rPr>
          <w:bCs/>
        </w:rPr>
        <w:t xml:space="preserve">); </w:t>
      </w:r>
      <w:r>
        <w:t>or click on the Data tab of the Data Viewer right-hand panel and then double-click a file on the file list. The Data view will display the analysis results as a table on the right-hand panel of the Data Viewer window (</w:t>
      </w:r>
      <w:r>
        <w:fldChar w:fldCharType="begin"/>
      </w:r>
      <w:r>
        <w:instrText xml:space="preserve"> REF _Ref476582441 \h </w:instrText>
      </w:r>
      <w:r>
        <w:fldChar w:fldCharType="separate"/>
      </w:r>
      <w:r>
        <w:rPr>
          <w:bCs/>
          <w:i/>
          <w:iCs/>
        </w:rPr>
        <w:t xml:space="preserve">Figure </w:t>
      </w:r>
      <w:r>
        <w:rPr>
          <w:b/>
          <w:bCs/>
          <w:i/>
          <w:iCs/>
        </w:rPr>
        <w:t>10</w:t>
      </w:r>
      <w:r>
        <w:rPr>
          <w:bCs/>
          <w:i/>
          <w:iCs/>
        </w:rPr>
        <w:noBreakHyphen/>
      </w:r>
      <w:r>
        <w:rPr>
          <w:b/>
          <w:bCs/>
          <w:i/>
          <w:iCs/>
        </w:rPr>
        <w:t>13</w:t>
      </w:r>
      <w:r>
        <w:fldChar w:fldCharType="end"/>
      </w:r>
      <w:r>
        <w:t>).</w:t>
      </w:r>
    </w:p>
    <w:p>
      <w:pPr>
        <w:keepNext/>
      </w:pPr>
      <w:r>
        <w:rPr>
          <w:lang w:eastAsia="en-US"/>
        </w:rPr>
        <w:drawing>
          <wp:inline distT="0" distB="0" distL="0" distR="0">
            <wp:extent cx="5274310" cy="3689350"/>
            <wp:effectExtent l="0" t="0" r="8890" b="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pic:cNvPicPr>
                      <a:picLocks noChangeAspect="1"/>
                    </pic:cNvPicPr>
                  </pic:nvPicPr>
                  <pic:blipFill>
                    <a:blip r:embed="rId68"/>
                    <a:srcRect t="3814"/>
                    <a:stretch>
                      <a:fillRect/>
                    </a:stretch>
                  </pic:blipFill>
                  <pic:spPr>
                    <a:xfrm>
                      <a:off x="0" y="0"/>
                      <a:ext cx="5274310" cy="3689350"/>
                    </a:xfrm>
                    <a:prstGeom prst="rect">
                      <a:avLst/>
                    </a:prstGeom>
                    <a:ln>
                      <a:noFill/>
                    </a:ln>
                  </pic:spPr>
                </pic:pic>
              </a:graphicData>
            </a:graphic>
          </wp:inline>
        </w:drawing>
      </w:r>
    </w:p>
    <w:p>
      <w:pPr>
        <w:pStyle w:val="12"/>
        <w:rPr>
          <w:b w:val="0"/>
          <w:bCs/>
          <w:i/>
          <w:iCs/>
        </w:rPr>
      </w:pPr>
      <w:bookmarkStart w:id="673" w:name="_Ref476582441"/>
      <w:bookmarkStart w:id="674" w:name="_Toc27142"/>
      <w:bookmarkStart w:id="675" w:name="_Toc22891"/>
      <w:bookmarkStart w:id="676" w:name="_Toc22836"/>
      <w:bookmarkStart w:id="677" w:name="_Toc476654256"/>
      <w:bookmarkStart w:id="678" w:name="_Toc119010951"/>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10</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13</w:t>
      </w:r>
      <w:r>
        <w:rPr>
          <w:b w:val="0"/>
          <w:bCs/>
          <w:i/>
          <w:iCs/>
        </w:rPr>
        <w:fldChar w:fldCharType="end"/>
      </w:r>
      <w:bookmarkEnd w:id="673"/>
      <w:bookmarkStart w:id="679" w:name="_Toc13830"/>
      <w:r>
        <w:rPr>
          <w:b w:val="0"/>
          <w:bCs/>
          <w:i/>
          <w:iCs/>
        </w:rPr>
        <w:t>. SMAT-CE Data table window</w:t>
      </w:r>
      <w:bookmarkEnd w:id="674"/>
      <w:bookmarkEnd w:id="675"/>
      <w:bookmarkEnd w:id="676"/>
      <w:bookmarkEnd w:id="677"/>
      <w:bookmarkEnd w:id="678"/>
      <w:bookmarkEnd w:id="679"/>
    </w:p>
    <w:p>
      <w:r>
        <w:t xml:space="preserve">The configuration and viewing options available in the Data window include: </w:t>
      </w:r>
    </w:p>
    <w:p>
      <w:r>
        <w:rPr>
          <w:b/>
        </w:rPr>
        <w:t>Variable Filtering:</w:t>
      </w:r>
      <w:r>
        <w:t xml:space="preserve"> Shown in the red box in </w:t>
      </w:r>
      <w:r>
        <w:fldChar w:fldCharType="begin"/>
      </w:r>
      <w:r>
        <w:instrText xml:space="preserve"> REF _Ref476583148 \h </w:instrText>
      </w:r>
      <w:r>
        <w:fldChar w:fldCharType="separate"/>
      </w:r>
      <w:r>
        <w:rPr>
          <w:bCs/>
          <w:i/>
          <w:iCs/>
        </w:rPr>
        <w:t xml:space="preserve">Figure </w:t>
      </w:r>
      <w:r>
        <w:rPr>
          <w:b/>
          <w:bCs/>
          <w:i/>
          <w:iCs/>
        </w:rPr>
        <w:t>10</w:t>
      </w:r>
      <w:r>
        <w:rPr>
          <w:bCs/>
          <w:i/>
          <w:iCs/>
        </w:rPr>
        <w:noBreakHyphen/>
      </w:r>
      <w:r>
        <w:rPr>
          <w:b/>
          <w:bCs/>
          <w:i/>
          <w:iCs/>
        </w:rPr>
        <w:t>14</w:t>
      </w:r>
      <w:r>
        <w:fldChar w:fldCharType="end"/>
      </w:r>
      <w:r>
        <w:t xml:space="preserve">, the list shows the variables in the data table. Checking the boxes next to the variables and clicking “Apply” will filter out rows in the table where the values of the selected variable(s) are null (-9). </w:t>
      </w:r>
    </w:p>
    <w:p>
      <w:r>
        <w:rPr>
          <w:b/>
        </w:rPr>
        <w:t>Data Table:</w:t>
      </w:r>
      <w:r>
        <w:t xml:space="preserve"> Shown in the yellow box in </w:t>
      </w:r>
      <w:r>
        <w:fldChar w:fldCharType="begin"/>
      </w:r>
      <w:r>
        <w:instrText xml:space="preserve"> REF _Ref476583148 \h </w:instrText>
      </w:r>
      <w:r>
        <w:fldChar w:fldCharType="separate"/>
      </w:r>
      <w:r>
        <w:rPr>
          <w:bCs/>
          <w:i/>
          <w:iCs/>
        </w:rPr>
        <w:t xml:space="preserve">Figure </w:t>
      </w:r>
      <w:r>
        <w:rPr>
          <w:b/>
          <w:bCs/>
          <w:i/>
          <w:iCs/>
        </w:rPr>
        <w:t>10</w:t>
      </w:r>
      <w:r>
        <w:rPr>
          <w:bCs/>
          <w:i/>
          <w:iCs/>
        </w:rPr>
        <w:noBreakHyphen/>
      </w:r>
      <w:r>
        <w:rPr>
          <w:b/>
          <w:bCs/>
          <w:i/>
          <w:iCs/>
        </w:rPr>
        <w:t>14</w:t>
      </w:r>
      <w:r>
        <w:fldChar w:fldCharType="end"/>
      </w:r>
      <w:r>
        <w:t xml:space="preserve">, the data table shows the tabulated results from the selected SMAT-CE data file. The table can be sorted by any of the columns by left clicking on the column header. </w:t>
      </w:r>
    </w:p>
    <w:p>
      <w:pPr>
        <w:rPr>
          <w:b/>
          <w:u w:val="single"/>
        </w:rPr>
      </w:pPr>
      <w:r>
        <w:rPr>
          <w:b/>
        </w:rPr>
        <w:t>Data Precision and Export:</w:t>
      </w:r>
      <w:r>
        <w:t xml:space="preserve"> Shown in the blue box in </w:t>
      </w:r>
      <w:r>
        <w:fldChar w:fldCharType="begin"/>
      </w:r>
      <w:r>
        <w:instrText xml:space="preserve"> REF _Ref476583148 \h </w:instrText>
      </w:r>
      <w:r>
        <w:fldChar w:fldCharType="separate"/>
      </w:r>
      <w:r>
        <w:rPr>
          <w:bCs/>
          <w:i/>
          <w:iCs/>
        </w:rPr>
        <w:t xml:space="preserve">Figure </w:t>
      </w:r>
      <w:r>
        <w:rPr>
          <w:b/>
          <w:bCs/>
          <w:i/>
          <w:iCs/>
        </w:rPr>
        <w:t>10</w:t>
      </w:r>
      <w:r>
        <w:rPr>
          <w:bCs/>
          <w:i/>
          <w:iCs/>
        </w:rPr>
        <w:noBreakHyphen/>
      </w:r>
      <w:r>
        <w:rPr>
          <w:b/>
          <w:bCs/>
          <w:i/>
          <w:iCs/>
        </w:rPr>
        <w:t>14</w:t>
      </w:r>
      <w:r>
        <w:fldChar w:fldCharType="end"/>
      </w:r>
      <w:r>
        <w:t xml:space="preserve">, this section of the data window sets the precision of the values in the table, exports the data to a CSV file, and removes the filtering selections. </w:t>
      </w:r>
    </w:p>
    <w:p>
      <w:pPr>
        <w:keepNext/>
        <w:jc w:val="center"/>
      </w:pPr>
    </w:p>
    <w:p>
      <w:pPr>
        <w:keepNext/>
        <w:jc w:val="center"/>
      </w:pPr>
      <w:r>
        <w:rPr>
          <w:lang w:eastAsia="en-US"/>
        </w:rPr>
        <w:drawing>
          <wp:inline distT="0" distB="0" distL="0" distR="0">
            <wp:extent cx="5274310" cy="4556125"/>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5274310" cy="4556125"/>
                    </a:xfrm>
                    <a:prstGeom prst="rect">
                      <a:avLst/>
                    </a:prstGeom>
                  </pic:spPr>
                </pic:pic>
              </a:graphicData>
            </a:graphic>
          </wp:inline>
        </w:drawing>
      </w:r>
    </w:p>
    <w:p>
      <w:pPr>
        <w:pStyle w:val="12"/>
        <w:rPr>
          <w:b w:val="0"/>
          <w:bCs/>
          <w:i/>
          <w:iCs/>
        </w:rPr>
      </w:pPr>
      <w:bookmarkStart w:id="680" w:name="_Ref476583148"/>
      <w:bookmarkStart w:id="681" w:name="_Toc119010952"/>
      <w:bookmarkStart w:id="682" w:name="_Toc2788"/>
      <w:bookmarkStart w:id="683" w:name="_Toc27132"/>
      <w:bookmarkStart w:id="684" w:name="_Toc4178"/>
      <w:bookmarkStart w:id="685" w:name="_Toc476654257"/>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10</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14</w:t>
      </w:r>
      <w:r>
        <w:rPr>
          <w:b w:val="0"/>
          <w:bCs/>
          <w:i/>
          <w:iCs/>
        </w:rPr>
        <w:fldChar w:fldCharType="end"/>
      </w:r>
      <w:bookmarkEnd w:id="680"/>
      <w:bookmarkStart w:id="686" w:name="_Toc27466"/>
      <w:r>
        <w:rPr>
          <w:b w:val="0"/>
          <w:bCs/>
          <w:i/>
          <w:iCs/>
        </w:rPr>
        <w:t>. Data window with highlighted configuration options</w:t>
      </w:r>
      <w:bookmarkEnd w:id="681"/>
      <w:bookmarkEnd w:id="682"/>
      <w:bookmarkEnd w:id="683"/>
      <w:bookmarkEnd w:id="684"/>
      <w:bookmarkEnd w:id="685"/>
      <w:bookmarkEnd w:id="686"/>
    </w:p>
    <w:p>
      <w:pPr>
        <w:pStyle w:val="3"/>
      </w:pPr>
      <w:bookmarkStart w:id="687" w:name="_Toc119010896"/>
      <w:bookmarkStart w:id="688" w:name="_Toc476654482"/>
      <w:bookmarkStart w:id="689" w:name="_Toc27987"/>
      <w:bookmarkStart w:id="690" w:name="_Toc476653959"/>
      <w:bookmarkStart w:id="691" w:name="_Toc476654860"/>
      <w:r>
        <w:t>Chart Display</w:t>
      </w:r>
      <w:bookmarkEnd w:id="687"/>
      <w:bookmarkEnd w:id="688"/>
      <w:bookmarkEnd w:id="689"/>
      <w:bookmarkEnd w:id="690"/>
      <w:bookmarkEnd w:id="691"/>
    </w:p>
    <w:p>
      <w:r>
        <w:t>The SMAT-CE Chart window displays the SMAT-CE input and output data as bar charts. This type of display is useful for comparing data values, such as design values or observations, between monitors.</w:t>
      </w:r>
    </w:p>
    <w:p>
      <w:r>
        <w:t>To plot results in the Chart window or click on the Chart tab of the Data Viewer right-hand panel and then double-click a file on the file list on the left-hand panel. The Chart view will display the analysis results as bars on the right-hand panel of the Data Viewer window (</w:t>
      </w:r>
      <w:r>
        <w:fldChar w:fldCharType="begin"/>
      </w:r>
      <w:r>
        <w:instrText xml:space="preserve"> REF _Ref476645184 \h </w:instrText>
      </w:r>
      <w:r>
        <w:fldChar w:fldCharType="separate"/>
      </w:r>
      <w:r>
        <w:rPr>
          <w:bCs/>
          <w:i/>
          <w:iCs/>
        </w:rPr>
        <w:t xml:space="preserve">Figure </w:t>
      </w:r>
      <w:r>
        <w:rPr>
          <w:b/>
          <w:bCs/>
          <w:i/>
          <w:iCs/>
        </w:rPr>
        <w:t>10</w:t>
      </w:r>
      <w:r>
        <w:rPr>
          <w:bCs/>
          <w:i/>
          <w:iCs/>
        </w:rPr>
        <w:noBreakHyphen/>
      </w:r>
      <w:r>
        <w:rPr>
          <w:b/>
          <w:bCs/>
          <w:i/>
          <w:iCs/>
        </w:rPr>
        <w:t>15</w:t>
      </w:r>
      <w:r>
        <w:fldChar w:fldCharType="end"/>
      </w:r>
      <w:r>
        <w:t>).</w:t>
      </w:r>
    </w:p>
    <w:p>
      <w:pPr>
        <w:keepNext/>
        <w:autoSpaceDE w:val="0"/>
        <w:autoSpaceDN w:val="0"/>
        <w:adjustRightInd w:val="0"/>
      </w:pPr>
      <w:r>
        <w:rPr>
          <w:lang w:eastAsia="en-US"/>
        </w:rPr>
        <w:drawing>
          <wp:inline distT="0" distB="0" distL="0" distR="0">
            <wp:extent cx="5274310" cy="3696970"/>
            <wp:effectExtent l="0" t="0" r="8890" b="1143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pic:cNvPicPr>
                      <a:picLocks noChangeAspect="1"/>
                    </pic:cNvPicPr>
                  </pic:nvPicPr>
                  <pic:blipFill>
                    <a:blip r:embed="rId70"/>
                    <a:srcRect t="3623"/>
                    <a:stretch>
                      <a:fillRect/>
                    </a:stretch>
                  </pic:blipFill>
                  <pic:spPr>
                    <a:xfrm>
                      <a:off x="0" y="0"/>
                      <a:ext cx="5274310" cy="3696970"/>
                    </a:xfrm>
                    <a:prstGeom prst="rect">
                      <a:avLst/>
                    </a:prstGeom>
                    <a:ln>
                      <a:noFill/>
                    </a:ln>
                  </pic:spPr>
                </pic:pic>
              </a:graphicData>
            </a:graphic>
          </wp:inline>
        </w:drawing>
      </w:r>
    </w:p>
    <w:p>
      <w:pPr>
        <w:pStyle w:val="12"/>
        <w:rPr>
          <w:b w:val="0"/>
          <w:bCs/>
          <w:i/>
          <w:iCs/>
        </w:rPr>
      </w:pPr>
      <w:bookmarkStart w:id="692" w:name="_Ref476645184"/>
      <w:bookmarkStart w:id="693" w:name="_Toc476654258"/>
      <w:bookmarkStart w:id="694" w:name="_Toc119010953"/>
      <w:bookmarkStart w:id="695" w:name="_Toc254"/>
      <w:bookmarkStart w:id="696" w:name="_Toc25942"/>
      <w:bookmarkStart w:id="697" w:name="_Toc19676"/>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10</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15</w:t>
      </w:r>
      <w:r>
        <w:rPr>
          <w:b w:val="0"/>
          <w:bCs/>
          <w:i/>
          <w:iCs/>
        </w:rPr>
        <w:fldChar w:fldCharType="end"/>
      </w:r>
      <w:bookmarkEnd w:id="692"/>
      <w:bookmarkStart w:id="698" w:name="_Toc7657"/>
      <w:r>
        <w:rPr>
          <w:b w:val="0"/>
          <w:bCs/>
          <w:i/>
          <w:iCs/>
        </w:rPr>
        <w:t>. SMAT-CE chart window</w:t>
      </w:r>
      <w:bookmarkEnd w:id="693"/>
      <w:bookmarkEnd w:id="694"/>
      <w:bookmarkEnd w:id="695"/>
      <w:bookmarkEnd w:id="696"/>
      <w:bookmarkEnd w:id="697"/>
      <w:bookmarkEnd w:id="698"/>
    </w:p>
    <w:p>
      <w:r>
        <w:t xml:space="preserve">The configuration and viewing options available in the Chart window include: </w:t>
      </w:r>
    </w:p>
    <w:p>
      <w:r>
        <w:rPr>
          <w:b/>
        </w:rPr>
        <w:t>Type and Filter Selection:</w:t>
      </w:r>
      <w:r>
        <w:t xml:space="preserve"> Shown in the red box in </w:t>
      </w:r>
      <w:r>
        <w:fldChar w:fldCharType="begin"/>
      </w:r>
      <w:r>
        <w:instrText xml:space="preserve"> REF _Ref476645530 \h </w:instrText>
      </w:r>
      <w:r>
        <w:fldChar w:fldCharType="separate"/>
      </w:r>
      <w:r>
        <w:rPr>
          <w:bCs/>
          <w:i/>
          <w:iCs/>
        </w:rPr>
        <w:t xml:space="preserve">Figure </w:t>
      </w:r>
      <w:r>
        <w:rPr>
          <w:b/>
          <w:bCs/>
          <w:i/>
          <w:iCs/>
        </w:rPr>
        <w:t>10</w:t>
      </w:r>
      <w:r>
        <w:rPr>
          <w:bCs/>
          <w:i/>
          <w:iCs/>
        </w:rPr>
        <w:noBreakHyphen/>
      </w:r>
      <w:r>
        <w:rPr>
          <w:b/>
          <w:bCs/>
          <w:i/>
          <w:iCs/>
        </w:rPr>
        <w:t>16</w:t>
      </w:r>
      <w:r>
        <w:fldChar w:fldCharType="end"/>
      </w:r>
      <w:r>
        <w:t xml:space="preserve">, two drop boxes include data variables and regions to include in the chart. Selecting from the </w:t>
      </w:r>
      <w:r>
        <w:rPr>
          <w:b/>
        </w:rPr>
        <w:t>Type</w:t>
      </w:r>
      <w:r>
        <w:t xml:space="preserve"> menu will both display the selected variable in the Chart and filter the Data Detail list by the selected variable. Selecting from the </w:t>
      </w:r>
      <w:r>
        <w:rPr>
          <w:b/>
        </w:rPr>
        <w:t>Filter</w:t>
      </w:r>
      <w:r>
        <w:t xml:space="preserve"> menu will display the selected region in the Chart and filter the Data Detail list by the selected region. One or both of the variables may be selected to filter the chart data. Note that the Filter (region) selection is not available for model data. </w:t>
      </w:r>
    </w:p>
    <w:p>
      <w:r>
        <w:rPr>
          <w:b/>
        </w:rPr>
        <w:t>Data Detail:</w:t>
      </w:r>
      <w:r>
        <w:t xml:space="preserve"> Shown in the yellow box in </w:t>
      </w:r>
      <w:r>
        <w:fldChar w:fldCharType="begin"/>
      </w:r>
      <w:r>
        <w:instrText xml:space="preserve"> REF _Ref476645530 \h </w:instrText>
      </w:r>
      <w:r>
        <w:fldChar w:fldCharType="separate"/>
      </w:r>
      <w:r>
        <w:rPr>
          <w:bCs/>
          <w:i/>
          <w:iCs/>
        </w:rPr>
        <w:t xml:space="preserve">Figure </w:t>
      </w:r>
      <w:r>
        <w:rPr>
          <w:b/>
          <w:bCs/>
          <w:i/>
          <w:iCs/>
        </w:rPr>
        <w:t>10</w:t>
      </w:r>
      <w:r>
        <w:rPr>
          <w:bCs/>
          <w:i/>
          <w:iCs/>
        </w:rPr>
        <w:noBreakHyphen/>
      </w:r>
      <w:r>
        <w:rPr>
          <w:b/>
          <w:bCs/>
          <w:i/>
          <w:iCs/>
        </w:rPr>
        <w:t>16</w:t>
      </w:r>
      <w:r>
        <w:fldChar w:fldCharType="end"/>
      </w:r>
      <w:r>
        <w:t>, the Data Detail shows the tabulated results from the selected SMAT-CE data file. The table can be sorted by any of the columns by left clicking on the column header. The check boxes in the first column may be used to select individual data rows to include in the Chart. After checking the rows to be plotted, use the “Apply” button to plot the selected rows in the Chart. The “Select All” box can be used to select/unselect all of the rows with one click. Use the Type menu (described above) to select the variable (column) to include in the Chart.</w:t>
      </w:r>
    </w:p>
    <w:p>
      <w:r>
        <w:rPr>
          <w:b/>
        </w:rPr>
        <w:t>Chart:</w:t>
      </w:r>
      <w:r>
        <w:t xml:space="preserve"> Shown in the blue box in </w:t>
      </w:r>
      <w:r>
        <w:fldChar w:fldCharType="begin"/>
      </w:r>
      <w:r>
        <w:instrText xml:space="preserve"> REF _Ref476645530 \h </w:instrText>
      </w:r>
      <w:r>
        <w:fldChar w:fldCharType="separate"/>
      </w:r>
      <w:r>
        <w:rPr>
          <w:bCs/>
          <w:i/>
          <w:iCs/>
        </w:rPr>
        <w:t xml:space="preserve">Figure </w:t>
      </w:r>
      <w:r>
        <w:rPr>
          <w:b/>
          <w:bCs/>
          <w:i/>
          <w:iCs/>
        </w:rPr>
        <w:t>10</w:t>
      </w:r>
      <w:r>
        <w:rPr>
          <w:bCs/>
          <w:i/>
          <w:iCs/>
        </w:rPr>
        <w:noBreakHyphen/>
      </w:r>
      <w:r>
        <w:rPr>
          <w:b/>
          <w:bCs/>
          <w:i/>
          <w:iCs/>
        </w:rPr>
        <w:t>16</w:t>
      </w:r>
      <w:r>
        <w:fldChar w:fldCharType="end"/>
      </w:r>
      <w:r>
        <w:t xml:space="preserve">, this section of the Chart window displays the bar chart and includes options to configure the chart. The “Setting” button displays a window for configuring the chart title and axes, including axis titles and min/max ranges. Right-clicking on the chart will display a selection box with options to </w:t>
      </w:r>
      <w:r>
        <w:rPr>
          <w:b/>
        </w:rPr>
        <w:t>Copy</w:t>
      </w:r>
      <w:r>
        <w:t xml:space="preserve"> the chart to the clipboard, export (</w:t>
      </w:r>
      <w:r>
        <w:rPr>
          <w:b/>
        </w:rPr>
        <w:t>Save Image As</w:t>
      </w:r>
      <w:r>
        <w:t xml:space="preserve">) an image of the chart, </w:t>
      </w:r>
      <w:r>
        <w:rPr>
          <w:b/>
        </w:rPr>
        <w:t>Print</w:t>
      </w:r>
      <w:r>
        <w:t xml:space="preserve"> the chart, and zoom out (</w:t>
      </w:r>
      <w:r>
        <w:rPr>
          <w:b/>
        </w:rPr>
        <w:t>Un-Zoom</w:t>
      </w:r>
      <w:r>
        <w:t xml:space="preserve">) from the chart. The </w:t>
      </w:r>
      <w:r>
        <w:rPr>
          <w:b/>
        </w:rPr>
        <w:t>Show Point Values</w:t>
      </w:r>
      <w:r>
        <w:t xml:space="preserve"> right-click option enables the values of a bar to be displayed when the mouse hovers over the bar. The </w:t>
      </w:r>
      <w:r>
        <w:rPr>
          <w:b/>
        </w:rPr>
        <w:t>Change Title and Legend</w:t>
      </w:r>
      <w:r>
        <w:t xml:space="preserve"> right-click option enables customization of the variable names, title, and axes. </w:t>
      </w:r>
    </w:p>
    <w:p>
      <w:r>
        <w:t xml:space="preserve">Zoom into sections of the chart by left clicking and dragging a box over the chart region to highlight. Use the right-click menu to un-zoom. </w:t>
      </w:r>
    </w:p>
    <w:p>
      <w:pPr>
        <w:rPr>
          <w:b/>
          <w:u w:val="single"/>
        </w:rPr>
      </w:pPr>
    </w:p>
    <w:p>
      <w:pPr>
        <w:keepNext/>
        <w:jc w:val="center"/>
      </w:pPr>
      <w:r>
        <mc:AlternateContent>
          <mc:Choice Requires="wps">
            <w:drawing>
              <wp:anchor distT="0" distB="0" distL="114300" distR="114300" simplePos="0" relativeHeight="251662336" behindDoc="0" locked="0" layoutInCell="1" allowOverlap="1">
                <wp:simplePos x="0" y="0"/>
                <wp:positionH relativeFrom="column">
                  <wp:posOffset>1651635</wp:posOffset>
                </wp:positionH>
                <wp:positionV relativeFrom="paragraph">
                  <wp:posOffset>341630</wp:posOffset>
                </wp:positionV>
                <wp:extent cx="3536315" cy="4164330"/>
                <wp:effectExtent l="0" t="0" r="19685" b="27305"/>
                <wp:wrapNone/>
                <wp:docPr id="26" name="Rectangle 26"/>
                <wp:cNvGraphicFramePr/>
                <a:graphic xmlns:a="http://schemas.openxmlformats.org/drawingml/2006/main">
                  <a:graphicData uri="http://schemas.microsoft.com/office/word/2010/wordprocessingShape">
                    <wps:wsp>
                      <wps:cNvSpPr/>
                      <wps:spPr>
                        <a:xfrm>
                          <a:off x="0" y="0"/>
                          <a:ext cx="3536434" cy="4164316"/>
                        </a:xfrm>
                        <a:prstGeom prst="rect">
                          <a:avLst/>
                        </a:prstGeom>
                        <a:solidFill>
                          <a:srgbClr val="00B0F0">
                            <a:alpha val="10000"/>
                          </a:srgb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6" o:spid="_x0000_s1026" o:spt="1" style="position:absolute;left:0pt;margin-left:130.05pt;margin-top:26.9pt;height:327.9pt;width:278.45pt;z-index:251662336;v-text-anchor:middle;mso-width-relative:page;mso-height-relative:page;" fillcolor="#00B0F0" filled="t" stroked="t" coordsize="21600,21600" o:gfxdata="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rfrk42gAAAAoBAAAPAAAAAAAAAAEAIAAAACIAAABkcnMvZG93bnJldi54bWxQ&#10;SwECFAAUAAAACACHTuJAKRRV7mcCAAAEBQAADgAAAAAAAAABACAAAAApAQAAZHJzL2Uyb0RvYy54&#10;bWxQSwUGAAAAAAYABgBZAQAAAgYAAAAA&#10;">
                <v:fill on="t" opacity="6553f" focussize="0,0"/>
                <v:stroke weight="2pt" color="#00B0F0 [3204]" joinstyle="round"/>
                <v:imagedata o:title=""/>
                <o:lock v:ext="edit" aspectratio="f"/>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52705</wp:posOffset>
                </wp:positionH>
                <wp:positionV relativeFrom="paragraph">
                  <wp:posOffset>944245</wp:posOffset>
                </wp:positionV>
                <wp:extent cx="1598930" cy="3561715"/>
                <wp:effectExtent l="0" t="0" r="27305" b="20320"/>
                <wp:wrapNone/>
                <wp:docPr id="27" name="Rectangle 27"/>
                <wp:cNvGraphicFramePr/>
                <a:graphic xmlns:a="http://schemas.openxmlformats.org/drawingml/2006/main">
                  <a:graphicData uri="http://schemas.microsoft.com/office/word/2010/wordprocessingShape">
                    <wps:wsp>
                      <wps:cNvSpPr/>
                      <wps:spPr>
                        <a:xfrm>
                          <a:off x="0" y="0"/>
                          <a:ext cx="1598881" cy="3561415"/>
                        </a:xfrm>
                        <a:prstGeom prst="rect">
                          <a:avLst/>
                        </a:prstGeom>
                        <a:solidFill>
                          <a:srgbClr val="FFC000">
                            <a:alpha val="10000"/>
                          </a:srgb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7" o:spid="_x0000_s1026" o:spt="1" style="position:absolute;left:0pt;margin-left:4.15pt;margin-top:74.35pt;height:280.45pt;width:125.9pt;z-index:251661312;v-text-anchor:middle;mso-width-relative:page;mso-height-relative:page;" fillcolor="#FFC000" filled="t" stroked="t" coordsize="21600,21600" o:gfxdata="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nByDfZAAAACQEAAA8AAAAAAAAAAQAgAAAAIgAAAGRycy9kb3ducmV2Lnht&#10;bFBLAQIUABQAAAAIAIdO4kAC++WZagIAAAQFAAAOAAAAAAAAAAEAIAAAACgBAABkcnMvZTJvRG9j&#10;LnhtbFBLBQYAAAAABgAGAFkBAAAEBgAAAAA=&#10;">
                <v:fill on="t" opacity="6553f" focussize="0,0"/>
                <v:stroke weight="2pt" color="#FFC000 [3204]" joinstyle="round"/>
                <v:imagedata o:title=""/>
                <o:lock v:ext="edit" aspectratio="f"/>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52705</wp:posOffset>
                </wp:positionH>
                <wp:positionV relativeFrom="paragraph">
                  <wp:posOffset>341630</wp:posOffset>
                </wp:positionV>
                <wp:extent cx="1598930" cy="594360"/>
                <wp:effectExtent l="0" t="0" r="27305" b="15240"/>
                <wp:wrapNone/>
                <wp:docPr id="30" name="Rectangle 30"/>
                <wp:cNvGraphicFramePr/>
                <a:graphic xmlns:a="http://schemas.openxmlformats.org/drawingml/2006/main">
                  <a:graphicData uri="http://schemas.microsoft.com/office/word/2010/wordprocessingShape">
                    <wps:wsp>
                      <wps:cNvSpPr/>
                      <wps:spPr>
                        <a:xfrm>
                          <a:off x="0" y="0"/>
                          <a:ext cx="1598881" cy="594360"/>
                        </a:xfrm>
                        <a:prstGeom prst="rect">
                          <a:avLst/>
                        </a:prstGeom>
                        <a:solidFill>
                          <a:schemeClr val="accent2">
                            <a:alpha val="1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0" o:spid="_x0000_s1026" o:spt="1" style="position:absolute;left:0pt;margin-left:4.15pt;margin-top:26.9pt;height:46.8pt;width:125.9pt;z-index:251660288;v-text-anchor:middle;mso-width-relative:page;mso-height-relative:page;" fillcolor="#C0504D [3205]" filled="t" stroked="t" coordsize="21600,21600" o:gfxdata="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Gig1AAAAAgBAAAPAAAAAAAAAAEAIAAAACIAAABkcnMvZG93bnJldi54bWxQSwECFAAU&#10;AAAACACHTuJApW+r+WcCAAADBQAADgAAAAAAAAABACAAAAAjAQAAZHJzL2Uyb0RvYy54bWxQSwUG&#10;AAAAAAYABgBZAQAA/AUAAAAA&#10;">
                <v:fill on="t" opacity="6553f" focussize="0,0"/>
                <v:stroke weight="2pt" color="#C0504D [3205]" joinstyle="round"/>
                <v:imagedata o:title=""/>
                <o:lock v:ext="edit" aspectratio="f"/>
              </v:rect>
            </w:pict>
          </mc:Fallback>
        </mc:AlternateContent>
      </w:r>
      <w:r>
        <w:rPr>
          <w:lang w:eastAsia="en-US"/>
        </w:rPr>
        <w:drawing>
          <wp:inline distT="0" distB="0" distL="0" distR="0">
            <wp:extent cx="5274310" cy="4554220"/>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5274310" cy="4554220"/>
                    </a:xfrm>
                    <a:prstGeom prst="rect">
                      <a:avLst/>
                    </a:prstGeom>
                  </pic:spPr>
                </pic:pic>
              </a:graphicData>
            </a:graphic>
          </wp:inline>
        </w:drawing>
      </w:r>
    </w:p>
    <w:p>
      <w:pPr>
        <w:pStyle w:val="12"/>
        <w:rPr>
          <w:b w:val="0"/>
          <w:bCs/>
          <w:i/>
          <w:iCs/>
        </w:rPr>
      </w:pPr>
      <w:bookmarkStart w:id="699" w:name="_Ref476645530"/>
      <w:bookmarkStart w:id="700" w:name="_Toc12114"/>
      <w:bookmarkStart w:id="701" w:name="_Toc20197"/>
      <w:bookmarkStart w:id="702" w:name="_Toc476654259"/>
      <w:bookmarkStart w:id="703" w:name="_Toc5730"/>
      <w:bookmarkStart w:id="704" w:name="_Toc119010954"/>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10</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16</w:t>
      </w:r>
      <w:r>
        <w:rPr>
          <w:b w:val="0"/>
          <w:bCs/>
          <w:i/>
          <w:iCs/>
        </w:rPr>
        <w:fldChar w:fldCharType="end"/>
      </w:r>
      <w:bookmarkEnd w:id="699"/>
      <w:bookmarkStart w:id="705" w:name="_Toc29952"/>
      <w:r>
        <w:rPr>
          <w:b w:val="0"/>
          <w:bCs/>
          <w:i/>
          <w:iCs/>
        </w:rPr>
        <w:t>. Chart window with highlighted configuration options</w:t>
      </w:r>
      <w:bookmarkEnd w:id="700"/>
      <w:bookmarkEnd w:id="701"/>
      <w:bookmarkEnd w:id="702"/>
      <w:bookmarkEnd w:id="703"/>
      <w:bookmarkEnd w:id="704"/>
      <w:bookmarkEnd w:id="705"/>
    </w:p>
    <w:p>
      <w:pPr>
        <w:pStyle w:val="3"/>
      </w:pPr>
      <w:bookmarkStart w:id="706" w:name="_The_SMAT-CE_Configuration"/>
      <w:bookmarkEnd w:id="706"/>
      <w:bookmarkStart w:id="707" w:name="_Toc15320"/>
      <w:bookmarkStart w:id="708" w:name="_Toc119010897"/>
      <w:bookmarkStart w:id="709" w:name="_Toc476654483"/>
      <w:bookmarkStart w:id="710" w:name="_Toc476653960"/>
      <w:bookmarkStart w:id="711" w:name="_Toc476654861"/>
      <w:r>
        <w:t>The SMAT-CE Configuration File</w:t>
      </w:r>
      <w:bookmarkEnd w:id="707"/>
      <w:bookmarkEnd w:id="708"/>
      <w:bookmarkEnd w:id="709"/>
      <w:bookmarkEnd w:id="710"/>
      <w:bookmarkEnd w:id="711"/>
    </w:p>
    <w:p>
      <w:r>
        <w:t xml:space="preserve">Windows batch scripts can be used to run several SMAT-CE analyses in sequence. The batch script can string together a list of SMAT-CE Configuration Files to define the settings for each analysis. The SMAT-CE Configuration File stores the configuration options for a completed SMAT Analysis. A Configuration File can be used to duplicate (re-run) a previously completed analysis or in a batch script to run in sequence with other analyses. The SMAT-CE Configuration Files (*.cfg) files are saved in the \My SMAT-CE Files\Result\CFG directory. </w:t>
      </w:r>
    </w:p>
    <w:p>
      <w:r>
        <w:t xml:space="preserve">An existing Configuration File can also be edited to generate a new set of results, without having to explicitly set each of the choices made in the previous Configuration.  Stored Configuration Files can be used to run SMAT-CE in batch mode, for example to run several attainment test analyses using a single batch script.  </w:t>
      </w:r>
    </w:p>
    <w:p>
      <w:pPr>
        <w:autoSpaceDE w:val="0"/>
        <w:autoSpaceDN w:val="0"/>
        <w:adjustRightInd w:val="0"/>
        <w:rPr>
          <w:rFonts w:cs="Times New Roman"/>
          <w:color w:val="000000"/>
          <w:kern w:val="0"/>
          <w:sz w:val="22"/>
        </w:rPr>
      </w:pPr>
      <w:r>
        <w:t>To view a Configuration file from the Data Viewer, either double-click/right-click on the Configuration &amp; Batch File name in the left-hand window pane (</w:t>
      </w:r>
      <w:r>
        <w:fldChar w:fldCharType="begin"/>
      </w:r>
      <w:r>
        <w:instrText xml:space="preserve"> REF _Ref476647668 \h </w:instrText>
      </w:r>
      <w:r>
        <w:fldChar w:fldCharType="separate"/>
      </w:r>
      <w:r>
        <w:rPr>
          <w:bCs/>
          <w:i/>
          <w:iCs/>
        </w:rPr>
        <w:t xml:space="preserve">Figure </w:t>
      </w:r>
      <w:r>
        <w:rPr>
          <w:b/>
          <w:bCs/>
          <w:i/>
          <w:iCs/>
        </w:rPr>
        <w:t>10</w:t>
      </w:r>
      <w:r>
        <w:rPr>
          <w:bCs/>
          <w:i/>
          <w:iCs/>
        </w:rPr>
        <w:noBreakHyphen/>
      </w:r>
      <w:r>
        <w:rPr>
          <w:b/>
          <w:bCs/>
          <w:i/>
          <w:iCs/>
        </w:rPr>
        <w:t>17</w:t>
      </w:r>
      <w:r>
        <w:fldChar w:fldCharType="end"/>
      </w:r>
      <w:r>
        <w:t>) or left-click on the Config/Batch tab in the right-hand window pane</w:t>
      </w:r>
      <w:r>
        <w:rPr>
          <w:rFonts w:cs="Times New Roman"/>
          <w:color w:val="000000"/>
          <w:kern w:val="0"/>
          <w:sz w:val="22"/>
        </w:rPr>
        <w:t xml:space="preserve">. </w:t>
      </w:r>
    </w:p>
    <w:p>
      <w:pPr>
        <w:autoSpaceDE w:val="0"/>
        <w:autoSpaceDN w:val="0"/>
        <w:adjustRightInd w:val="0"/>
        <w:rPr>
          <w:rFonts w:cs="Times New Roman"/>
          <w:color w:val="000000"/>
          <w:kern w:val="0"/>
          <w:sz w:val="22"/>
        </w:rPr>
      </w:pPr>
    </w:p>
    <w:p>
      <w:pPr>
        <w:keepNext/>
        <w:jc w:val="center"/>
      </w:pPr>
      <w:r>
        <w:rPr>
          <w:lang w:eastAsia="en-US"/>
        </w:rPr>
        <w:drawing>
          <wp:inline distT="0" distB="0" distL="0" distR="0">
            <wp:extent cx="5274310" cy="3711575"/>
            <wp:effectExtent l="0" t="0" r="2540" b="317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2"/>
                    <a:srcRect t="3241"/>
                    <a:stretch>
                      <a:fillRect/>
                    </a:stretch>
                  </pic:blipFill>
                  <pic:spPr>
                    <a:xfrm>
                      <a:off x="0" y="0"/>
                      <a:ext cx="5274310" cy="3711677"/>
                    </a:xfrm>
                    <a:prstGeom prst="rect">
                      <a:avLst/>
                    </a:prstGeom>
                    <a:ln>
                      <a:noFill/>
                    </a:ln>
                  </pic:spPr>
                </pic:pic>
              </a:graphicData>
            </a:graphic>
          </wp:inline>
        </w:drawing>
      </w:r>
    </w:p>
    <w:p>
      <w:pPr>
        <w:pStyle w:val="12"/>
        <w:rPr>
          <w:b w:val="0"/>
          <w:bCs/>
          <w:i/>
          <w:iCs/>
        </w:rPr>
      </w:pPr>
      <w:bookmarkStart w:id="712" w:name="_Ref476647668"/>
      <w:bookmarkStart w:id="713" w:name="_Toc5043"/>
      <w:bookmarkStart w:id="714" w:name="_Toc476654260"/>
      <w:bookmarkStart w:id="715" w:name="_Toc8061"/>
      <w:bookmarkStart w:id="716" w:name="_Toc21523"/>
      <w:bookmarkStart w:id="717" w:name="_Toc119010955"/>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10</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17</w:t>
      </w:r>
      <w:r>
        <w:rPr>
          <w:b w:val="0"/>
          <w:bCs/>
          <w:i/>
          <w:iCs/>
        </w:rPr>
        <w:fldChar w:fldCharType="end"/>
      </w:r>
      <w:bookmarkEnd w:id="712"/>
      <w:bookmarkStart w:id="718" w:name="_Toc18183"/>
      <w:r>
        <w:rPr>
          <w:b w:val="0"/>
          <w:bCs/>
          <w:i/>
          <w:iCs/>
        </w:rPr>
        <w:t>. Viewing a SMAT-CE configuration file</w:t>
      </w:r>
      <w:bookmarkEnd w:id="713"/>
      <w:bookmarkEnd w:id="714"/>
      <w:bookmarkEnd w:id="715"/>
      <w:bookmarkEnd w:id="716"/>
      <w:bookmarkEnd w:id="717"/>
      <w:bookmarkEnd w:id="718"/>
    </w:p>
    <w:p>
      <w:r>
        <w:t>The Configuration file contents will be displayed in the Config/Batch window (</w:t>
      </w:r>
      <w:r>
        <w:fldChar w:fldCharType="begin"/>
      </w:r>
      <w:r>
        <w:instrText xml:space="preserve"> REF _Ref476651941 \h </w:instrText>
      </w:r>
      <w:r>
        <w:fldChar w:fldCharType="separate"/>
      </w:r>
      <w:r>
        <w:rPr>
          <w:bCs/>
          <w:i/>
          <w:iCs/>
        </w:rPr>
        <w:t xml:space="preserve">Figure </w:t>
      </w:r>
      <w:r>
        <w:rPr>
          <w:b/>
          <w:bCs/>
          <w:i/>
          <w:iCs/>
        </w:rPr>
        <w:t>10</w:t>
      </w:r>
      <w:r>
        <w:rPr>
          <w:bCs/>
          <w:i/>
          <w:iCs/>
        </w:rPr>
        <w:noBreakHyphen/>
      </w:r>
      <w:r>
        <w:rPr>
          <w:b/>
          <w:bCs/>
          <w:i/>
          <w:iCs/>
        </w:rPr>
        <w:t>18</w:t>
      </w:r>
      <w:r>
        <w:fldChar w:fldCharType="end"/>
      </w:r>
      <w:r>
        <w:t xml:space="preserve">). Clicking the </w:t>
      </w:r>
      <w:r>
        <w:rPr>
          <w:b/>
          <w:bCs/>
        </w:rPr>
        <w:t>Edit</w:t>
      </w:r>
      <w:r>
        <w:t xml:space="preserve"> button in the lower-right corner of this window enables editing of the configuration file contents. Click three times on the configuration line to make some changes to the file. After editing the Configuration File, click the </w:t>
      </w:r>
      <w:r>
        <w:rPr>
          <w:b/>
          <w:bCs/>
        </w:rPr>
        <w:t>Export</w:t>
      </w:r>
      <w:r>
        <w:t xml:space="preserve"> button to save it as a new configuration file. The *.cfg file can also be edited outside of SMAT-CE using a text editor.</w:t>
      </w:r>
    </w:p>
    <w:p>
      <w:r>
        <w:fldChar w:fldCharType="begin"/>
      </w:r>
      <w:r>
        <w:instrText xml:space="preserve"> HYPERLINK \l "_Running_SMET-CE_in_1" </w:instrText>
      </w:r>
      <w:r>
        <w:fldChar w:fldCharType="separate"/>
      </w:r>
      <w:r>
        <w:rPr>
          <w:rStyle w:val="36"/>
        </w:rPr>
        <w:t>Section 5.3</w:t>
      </w:r>
      <w:r>
        <w:rPr>
          <w:rStyle w:val="36"/>
        </w:rPr>
        <w:fldChar w:fldCharType="end"/>
      </w:r>
      <w:r>
        <w:t xml:space="preserve"> describes how to use Configuration Files in a batch script to run several SMAT-CE analyses in sequence. </w:t>
      </w:r>
    </w:p>
    <w:p>
      <w:pPr>
        <w:keepNext/>
        <w:jc w:val="center"/>
      </w:pPr>
      <w:r>
        <w:rPr>
          <w:lang w:eastAsia="en-US"/>
        </w:rPr>
        <w:drawing>
          <wp:inline distT="0" distB="0" distL="0" distR="0">
            <wp:extent cx="5274310" cy="3703955"/>
            <wp:effectExtent l="0" t="0" r="2540" b="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pic:cNvPicPr>
                      <a:picLocks noChangeAspect="1"/>
                    </pic:cNvPicPr>
                  </pic:nvPicPr>
                  <pic:blipFill>
                    <a:blip r:embed="rId73"/>
                    <a:srcRect t="3432"/>
                    <a:stretch>
                      <a:fillRect/>
                    </a:stretch>
                  </pic:blipFill>
                  <pic:spPr>
                    <a:xfrm>
                      <a:off x="0" y="0"/>
                      <a:ext cx="5274310" cy="3704362"/>
                    </a:xfrm>
                    <a:prstGeom prst="rect">
                      <a:avLst/>
                    </a:prstGeom>
                    <a:ln>
                      <a:noFill/>
                    </a:ln>
                  </pic:spPr>
                </pic:pic>
              </a:graphicData>
            </a:graphic>
          </wp:inline>
        </w:drawing>
      </w:r>
    </w:p>
    <w:p>
      <w:pPr>
        <w:pStyle w:val="12"/>
        <w:rPr>
          <w:b w:val="0"/>
          <w:bCs/>
          <w:i/>
          <w:iCs/>
        </w:rPr>
      </w:pPr>
      <w:bookmarkStart w:id="719" w:name="_Ref476651941"/>
      <w:bookmarkStart w:id="720" w:name="_Toc14887"/>
      <w:bookmarkStart w:id="721" w:name="_Toc1854"/>
      <w:bookmarkStart w:id="722" w:name="_Toc476654261"/>
      <w:bookmarkStart w:id="723" w:name="_Toc24058"/>
      <w:bookmarkStart w:id="724" w:name="_Toc119010956"/>
      <w:r>
        <w:rPr>
          <w:b w:val="0"/>
          <w:bCs/>
          <w:i/>
          <w:iCs/>
        </w:rPr>
        <w:t xml:space="preserve">Figure </w:t>
      </w:r>
      <w:r>
        <w:rPr>
          <w:b w:val="0"/>
          <w:bCs/>
          <w:i/>
          <w:iCs/>
        </w:rPr>
        <w:fldChar w:fldCharType="begin"/>
      </w:r>
      <w:r>
        <w:rPr>
          <w:b w:val="0"/>
          <w:bCs/>
          <w:i/>
          <w:iCs/>
        </w:rPr>
        <w:instrText xml:space="preserve"> STYLEREF 1 \s </w:instrText>
      </w:r>
      <w:r>
        <w:rPr>
          <w:b w:val="0"/>
          <w:bCs/>
          <w:i/>
          <w:iCs/>
        </w:rPr>
        <w:fldChar w:fldCharType="separate"/>
      </w:r>
      <w:r>
        <w:rPr>
          <w:b w:val="0"/>
          <w:bCs/>
          <w:i/>
          <w:iCs/>
        </w:rPr>
        <w:t>10</w:t>
      </w:r>
      <w:r>
        <w:rPr>
          <w:b w:val="0"/>
          <w:bCs/>
          <w:i/>
          <w:iCs/>
        </w:rPr>
        <w:fldChar w:fldCharType="end"/>
      </w:r>
      <w:r>
        <w:rPr>
          <w:b w:val="0"/>
          <w:bCs/>
          <w:i/>
          <w:iCs/>
        </w:rPr>
        <w:noBreakHyphen/>
      </w:r>
      <w:r>
        <w:rPr>
          <w:b w:val="0"/>
          <w:bCs/>
          <w:i/>
          <w:iCs/>
        </w:rPr>
        <w:fldChar w:fldCharType="begin"/>
      </w:r>
      <w:r>
        <w:rPr>
          <w:b w:val="0"/>
          <w:bCs/>
          <w:i/>
          <w:iCs/>
        </w:rPr>
        <w:instrText xml:space="preserve"> SEQ Figure \* ARABIC \s 1 </w:instrText>
      </w:r>
      <w:r>
        <w:rPr>
          <w:b w:val="0"/>
          <w:bCs/>
          <w:i/>
          <w:iCs/>
        </w:rPr>
        <w:fldChar w:fldCharType="separate"/>
      </w:r>
      <w:r>
        <w:rPr>
          <w:b w:val="0"/>
          <w:bCs/>
          <w:i/>
          <w:iCs/>
        </w:rPr>
        <w:t>18</w:t>
      </w:r>
      <w:r>
        <w:rPr>
          <w:b w:val="0"/>
          <w:bCs/>
          <w:i/>
          <w:iCs/>
        </w:rPr>
        <w:fldChar w:fldCharType="end"/>
      </w:r>
      <w:bookmarkEnd w:id="719"/>
      <w:bookmarkStart w:id="725" w:name="_Toc26552"/>
      <w:r>
        <w:rPr>
          <w:b w:val="0"/>
          <w:bCs/>
          <w:i/>
          <w:iCs/>
        </w:rPr>
        <w:t>. SMAT-CE Configuration File view</w:t>
      </w:r>
      <w:bookmarkEnd w:id="720"/>
      <w:bookmarkEnd w:id="721"/>
      <w:bookmarkEnd w:id="722"/>
      <w:bookmarkEnd w:id="723"/>
      <w:bookmarkEnd w:id="724"/>
      <w:bookmarkEnd w:id="725"/>
    </w:p>
    <w:p>
      <w:pPr>
        <w:autoSpaceDE w:val="0"/>
        <w:autoSpaceDN w:val="0"/>
        <w:adjustRightInd w:val="0"/>
        <w:jc w:val="center"/>
        <w:rPr>
          <w:rFonts w:ascii="Cambria" w:hAnsi="Cambria" w:cs="Cambria"/>
          <w:color w:val="000000"/>
          <w:kern w:val="0"/>
          <w:sz w:val="20"/>
          <w:szCs w:val="20"/>
        </w:rPr>
      </w:pPr>
    </w:p>
    <w:p>
      <w:pPr>
        <w:pStyle w:val="3"/>
      </w:pPr>
      <w:bookmarkStart w:id="726" w:name="_Toc15458"/>
      <w:bookmarkStart w:id="727" w:name="_Toc476654484"/>
      <w:bookmarkStart w:id="728" w:name="_Toc476653961"/>
      <w:bookmarkStart w:id="729" w:name="_Toc119010898"/>
      <w:bookmarkStart w:id="730" w:name="_Toc476654862"/>
      <w:r>
        <w:t>Exporting Data from SMAT-CE</w:t>
      </w:r>
      <w:bookmarkEnd w:id="726"/>
      <w:bookmarkEnd w:id="727"/>
      <w:bookmarkEnd w:id="728"/>
      <w:bookmarkEnd w:id="729"/>
      <w:bookmarkEnd w:id="730"/>
    </w:p>
    <w:p>
      <w:r>
        <w:t>Output data from the SMAT-CE analyses can be exported to text files. Data export is most relevant to the Output Files (as opposed to the Configuration &amp; Batch/Log &amp; Msg Files), which can be viewed and manipulated in external data analysis programs such as Excel. SMAT-CE generates .CSV files that import cleanly into spreadsheets and database programs.</w:t>
      </w:r>
    </w:p>
    <w:p>
      <w:r>
        <w:t xml:space="preserve">The easiest way to export data from SMAT-CE is in the analysis windows. By checking the box "Automatically Extract All Selected Output Files" on the initial window of a SMAT-CE analysis (the same window where the Project Name is set), SMAT-CE will automatically output the result to .CSV files. Alternatively, the Data Viewer includes options to export the SMAT-CE results. </w:t>
      </w:r>
    </w:p>
    <w:p>
      <w:r>
        <w:t xml:space="preserve">The </w:t>
      </w:r>
      <w:r>
        <w:rPr>
          <w:b/>
          <w:bCs/>
        </w:rPr>
        <w:t>Extract All</w:t>
      </w:r>
      <w:r>
        <w:t xml:space="preserve"> button at the bottom of the left-hand window pane in the Data Viewer will initiate an export of the SMAT-CE results. A pop-up window will display for setting a root output filename and directory path.</w:t>
      </w:r>
    </w:p>
    <w:p>
      <w:r>
        <w:t xml:space="preserve">To export an individual file, right click on the filename, and choose the </w:t>
      </w:r>
      <w:r>
        <w:rPr>
          <w:i/>
          <w:iCs/>
        </w:rPr>
        <w:t>Extract</w:t>
      </w:r>
      <w:r>
        <w:rPr>
          <w:b/>
          <w:bCs/>
        </w:rPr>
        <w:t xml:space="preserve"> </w:t>
      </w:r>
      <w:r>
        <w:t xml:space="preserve">option, or click the </w:t>
      </w:r>
      <w:r>
        <w:rPr>
          <w:b/>
          <w:bCs/>
        </w:rPr>
        <w:t>Extract Selected</w:t>
      </w:r>
      <w:r>
        <w:t xml:space="preserve"> button on the bottom left panel of the main window. A pop-up window will display for setting the output filename and directory path.</w:t>
      </w:r>
    </w:p>
    <w:p>
      <w:pPr>
        <w:rPr>
          <w:rFonts w:cs="Times New Roman"/>
          <w:color w:val="000000"/>
          <w:kern w:val="0"/>
          <w:sz w:val="22"/>
          <w:szCs w:val="24"/>
        </w:rPr>
        <w:sectPr>
          <w:pgSz w:w="11906" w:h="16838"/>
          <w:pgMar w:top="1440" w:right="1800" w:bottom="1440" w:left="1800" w:header="851" w:footer="992" w:gutter="0"/>
          <w:cols w:space="425" w:num="1"/>
          <w:docGrid w:type="lines" w:linePitch="312" w:charSpace="0"/>
        </w:sectPr>
      </w:pPr>
    </w:p>
    <w:p>
      <w:pPr>
        <w:pStyle w:val="2"/>
      </w:pPr>
      <w:bookmarkStart w:id="731" w:name="_Getting_Help"/>
      <w:bookmarkEnd w:id="731"/>
      <w:bookmarkStart w:id="732" w:name="_Getting_Help_1"/>
      <w:bookmarkEnd w:id="732"/>
      <w:bookmarkStart w:id="733" w:name="_Toc476654863"/>
      <w:bookmarkStart w:id="734" w:name="_Toc119010899"/>
      <w:bookmarkStart w:id="735" w:name="_Toc12133"/>
      <w:bookmarkStart w:id="736" w:name="_Toc476653962"/>
      <w:bookmarkStart w:id="737" w:name="_Toc474488614"/>
      <w:bookmarkStart w:id="738" w:name="_Toc476654485"/>
      <w:r>
        <w:t>Getting Help</w:t>
      </w:r>
      <w:bookmarkEnd w:id="733"/>
      <w:bookmarkEnd w:id="734"/>
      <w:bookmarkEnd w:id="735"/>
      <w:bookmarkEnd w:id="736"/>
      <w:bookmarkEnd w:id="737"/>
      <w:bookmarkEnd w:id="738"/>
    </w:p>
    <w:p>
      <w:pPr>
        <w:sectPr>
          <w:pgSz w:w="11906" w:h="16838"/>
          <w:pgMar w:top="1440" w:right="1800" w:bottom="1440" w:left="1800" w:header="851" w:footer="992" w:gutter="0"/>
          <w:cols w:space="425" w:num="1"/>
          <w:docGrid w:type="lines" w:linePitch="312" w:charSpace="0"/>
        </w:sectPr>
      </w:pPr>
      <w:r>
        <w:t xml:space="preserve">Support for SMAT-CE is available from the </w:t>
      </w:r>
      <w:r>
        <w:fldChar w:fldCharType="begin"/>
      </w:r>
      <w:r>
        <w:instrText xml:space="preserve"> HYPERLINK "http://www.cmascenter.org/" </w:instrText>
      </w:r>
      <w:r>
        <w:fldChar w:fldCharType="separate"/>
      </w:r>
      <w:r>
        <w:rPr>
          <w:rStyle w:val="34"/>
        </w:rPr>
        <w:t>CMA</w:t>
      </w:r>
      <w:bookmarkStart w:id="744" w:name="_GoBack"/>
      <w:bookmarkEnd w:id="744"/>
      <w:r>
        <w:rPr>
          <w:rStyle w:val="34"/>
        </w:rPr>
        <w:t>S Center</w:t>
      </w:r>
      <w:r>
        <w:rPr>
          <w:rStyle w:val="36"/>
        </w:rPr>
        <w:fldChar w:fldCharType="end"/>
      </w:r>
    </w:p>
    <w:p/>
    <w:p>
      <w:pPr>
        <w:pStyle w:val="2"/>
      </w:pPr>
      <w:bookmarkStart w:id="739" w:name="_Toc3490"/>
      <w:bookmarkStart w:id="740" w:name="_Toc476654864"/>
      <w:bookmarkStart w:id="741" w:name="_Toc119010900"/>
      <w:bookmarkStart w:id="742" w:name="_Toc476653963"/>
      <w:bookmarkStart w:id="743" w:name="_Toc476654486"/>
      <w:r>
        <w:t>References</w:t>
      </w:r>
      <w:bookmarkEnd w:id="739"/>
      <w:bookmarkEnd w:id="740"/>
      <w:bookmarkEnd w:id="741"/>
      <w:bookmarkEnd w:id="742"/>
      <w:bookmarkEnd w:id="743"/>
    </w:p>
    <w:p>
      <w:pPr>
        <w:ind w:left="418" w:hanging="418"/>
      </w:pPr>
      <w:r>
        <w:t>Abt, Associates, Inc. 2014. “Modeled Attainment Test Software: User’s Manual”. Prepared for Office of Air Quality Planning and Standards, U.S. EPA. Research Triangle Park, NC.</w:t>
      </w:r>
    </w:p>
    <w:p>
      <w:pPr>
        <w:ind w:left="418" w:hanging="418"/>
      </w:pPr>
      <w:r>
        <w:t>U.S. EPA. 2014. “Memorandum: Draft Modeling Guidance for Demonstrating Attainment of Air Quality Goals for Ozone, PM</w:t>
      </w:r>
      <w:r>
        <w:rPr>
          <w:vertAlign w:val="subscript"/>
        </w:rPr>
        <w:t>2.5</w:t>
      </w:r>
      <w:r>
        <w:t>, and Regional Haze”. From Richard Wayland, Division Director – Air Quality Assessment Division, U.S. EPA. Research Triangle Park, NC.</w:t>
      </w:r>
    </w:p>
    <w:p>
      <w:pPr>
        <w:ind w:left="418" w:hanging="418"/>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auto"/>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i/>
        <w:iCs/>
      </w:rPr>
    </w:pPr>
    <w:r>
      <w:rPr>
        <w:i/>
        <w:iCs/>
      </w:rPr>
      <w:t xml:space="preserve">UNC Institute for the Environment </w:t>
    </w:r>
    <w:r>
      <w:rPr>
        <w:i/>
        <w:iCs/>
      </w:rPr>
      <w:tab/>
    </w:r>
    <w:sdt>
      <w:sdtPr>
        <w:rPr>
          <w:i/>
          <w:iCs/>
        </w:rPr>
        <w:id w:val="-131716548"/>
      </w:sdtPr>
      <w:sdtEndPr>
        <w:rPr>
          <w:i/>
          <w:iCs/>
        </w:rPr>
      </w:sdtEndPr>
      <w:sdtContent>
        <w:r>
          <w:rPr>
            <w:i/>
            <w:iCs/>
          </w:rPr>
          <w:fldChar w:fldCharType="begin"/>
        </w:r>
        <w:r>
          <w:rPr>
            <w:i/>
            <w:iCs/>
          </w:rPr>
          <w:instrText xml:space="preserve">PAGE   \* MERGEFORMAT</w:instrText>
        </w:r>
        <w:r>
          <w:rPr>
            <w:i/>
            <w:iCs/>
          </w:rPr>
          <w:fldChar w:fldCharType="separate"/>
        </w:r>
        <w:r>
          <w:rPr>
            <w:i/>
            <w:iCs/>
          </w:rPr>
          <w:t>i</w:t>
        </w:r>
        <w:r>
          <w:rPr>
            <w:i/>
            <w:iCs/>
          </w:rPr>
          <w:fldChar w:fldCharType="end"/>
        </w:r>
        <w:r>
          <w:rPr>
            <w:i/>
            <w:iCs/>
          </w:rPr>
          <w:tab/>
        </w:r>
        <w:r>
          <w:rPr>
            <w:i/>
            <w:iCs/>
          </w:rPr>
          <w:t>October 31, 2022</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33"/>
      </w:rPr>
      <w:id w:val="953683943"/>
    </w:sdtPr>
    <w:sdtEndPr>
      <w:rPr>
        <w:rStyle w:val="33"/>
      </w:rPr>
    </w:sdtEndPr>
    <w:sdtContent>
      <w:p>
        <w:pPr>
          <w:pStyle w:val="18"/>
          <w:framePr w:wrap="auto" w:vAnchor="text" w:hAnchor="margin" w:xAlign="center" w:y="1"/>
          <w:rPr>
            <w:rStyle w:val="33"/>
          </w:rPr>
        </w:pPr>
        <w:r>
          <w:rPr>
            <w:rStyle w:val="33"/>
          </w:rPr>
          <w:fldChar w:fldCharType="begin"/>
        </w:r>
        <w:r>
          <w:rPr>
            <w:rStyle w:val="33"/>
          </w:rPr>
          <w:instrText xml:space="preserve"> PAGE </w:instrText>
        </w:r>
        <w:r>
          <w:rPr>
            <w:rStyle w:val="33"/>
          </w:rPr>
          <w:fldChar w:fldCharType="end"/>
        </w:r>
      </w:p>
    </w:sdtContent>
  </w:sdt>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uto" w:vAnchor="text" w:hAnchor="margin" w:xAlign="center" w:y="1"/>
      <w:rPr>
        <w:rStyle w:val="33"/>
        <w:i/>
        <w:iCs/>
      </w:rPr>
    </w:pPr>
    <w:r>
      <w:rPr>
        <w:rStyle w:val="33"/>
        <w:i/>
        <w:iCs/>
      </w:rPr>
      <w:fldChar w:fldCharType="begin"/>
    </w:r>
    <w:r>
      <w:rPr>
        <w:rStyle w:val="33"/>
        <w:i/>
        <w:iCs/>
      </w:rPr>
      <w:instrText xml:space="preserve">PAGE  </w:instrText>
    </w:r>
    <w:r>
      <w:rPr>
        <w:rStyle w:val="33"/>
        <w:i/>
        <w:iCs/>
      </w:rPr>
      <w:fldChar w:fldCharType="separate"/>
    </w:r>
    <w:r>
      <w:rPr>
        <w:rStyle w:val="33"/>
        <w:i/>
        <w:iCs/>
      </w:rPr>
      <w:t>i</w:t>
    </w:r>
    <w:r>
      <w:rPr>
        <w:rStyle w:val="33"/>
        <w:i/>
        <w:iCs/>
      </w:rPr>
      <w:fldChar w:fldCharType="end"/>
    </w:r>
  </w:p>
  <w:p>
    <w:pPr>
      <w:pStyle w:val="18"/>
      <w:rPr>
        <w:i/>
        <w:iCs/>
      </w:rPr>
    </w:pPr>
    <w:r>
      <w:rPr>
        <w:i/>
        <w:iCs/>
      </w:rPr>
      <w:t>UNC Institute for the Environment</w:t>
    </w:r>
    <w:r>
      <w:rPr>
        <w:i/>
        <w:iCs/>
      </w:rPr>
      <w:tab/>
    </w:r>
    <w:r>
      <w:rPr>
        <w:i/>
        <w:iCs/>
      </w:rPr>
      <w:tab/>
    </w:r>
    <w:r>
      <w:rPr>
        <w:rFonts w:hint="eastAsia"/>
        <w:i/>
        <w:iCs/>
      </w:rPr>
      <w:t>December</w:t>
    </w:r>
    <w:r>
      <w:rPr>
        <w:i/>
        <w:iCs/>
      </w:rPr>
      <w:t xml:space="preserve"> 31, 2022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uto" w:vAnchor="text" w:hAnchor="margin" w:xAlign="center" w:y="1"/>
      <w:rPr>
        <w:rStyle w:val="33"/>
      </w:rPr>
    </w:pPr>
    <w:r>
      <w:rPr>
        <w:rStyle w:val="33"/>
      </w:rPr>
      <w:fldChar w:fldCharType="begin"/>
    </w:r>
    <w:r>
      <w:rPr>
        <w:rStyle w:val="33"/>
      </w:rPr>
      <w:instrText xml:space="preserve">PAGE  </w:instrText>
    </w:r>
    <w:r>
      <w:rPr>
        <w:rStyle w:val="33"/>
      </w:rPr>
      <w:fldChar w:fldCharType="separate"/>
    </w:r>
    <w:r>
      <w:rPr>
        <w:rStyle w:val="33"/>
      </w:rPr>
      <w:t>44</w:t>
    </w:r>
    <w:r>
      <w:rPr>
        <w:rStyle w:val="33"/>
      </w:rPr>
      <w:fldChar w:fldCharType="end"/>
    </w:r>
  </w:p>
  <w:p>
    <w:pPr>
      <w:pStyle w:val="18"/>
      <w:rPr>
        <w:i/>
        <w:iCs/>
      </w:rPr>
    </w:pPr>
    <w:r>
      <w:rPr>
        <w:i/>
        <w:iCs/>
      </w:rPr>
      <w:t>UNC Institute for the Environment</w:t>
    </w:r>
    <w:r>
      <w:rPr>
        <w:i/>
        <w:iCs/>
      </w:rPr>
      <w:tab/>
    </w:r>
    <w:r>
      <w:rPr>
        <w:i/>
        <w:iCs/>
      </w:rPr>
      <w:tab/>
    </w:r>
    <w:r>
      <w:rPr>
        <w:i/>
        <w:iCs/>
      </w:rPr>
      <w:t>October 31,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2"/>
      </w:pPr>
      <w:r>
        <w:rPr>
          <w:rStyle w:val="38"/>
        </w:rPr>
        <w:footnoteRef/>
      </w:r>
      <w:r>
        <w:t xml:space="preserve"> https://www.epa.gov/visibility</w:t>
      </w:r>
    </w:p>
  </w:footnote>
  <w:footnote w:id="1">
    <w:p>
      <w:pPr>
        <w:pStyle w:val="22"/>
      </w:pPr>
      <w:r>
        <w:rPr>
          <w:rStyle w:val="38"/>
        </w:rPr>
        <w:footnoteRef/>
      </w:r>
      <w:r>
        <w:t xml:space="preserve"> </w:t>
      </w:r>
      <w:r>
        <w:rPr>
          <w:lang w:eastAsia="en-US"/>
        </w:rPr>
        <w:t>http://views.cira.colostate.edu/fed/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b/>
        <w:sz w:val="28"/>
        <w:szCs w:val="32"/>
      </w:rPr>
      <w:drawing>
        <wp:anchor distT="0" distB="0" distL="114300" distR="114300" simplePos="0" relativeHeight="251659264" behindDoc="0" locked="0" layoutInCell="1" allowOverlap="1">
          <wp:simplePos x="0" y="0"/>
          <wp:positionH relativeFrom="margin">
            <wp:align>left</wp:align>
          </wp:positionH>
          <wp:positionV relativeFrom="paragraph">
            <wp:posOffset>-114935</wp:posOffset>
          </wp:positionV>
          <wp:extent cx="2276475" cy="324485"/>
          <wp:effectExtent l="0" t="0" r="9525" b="0"/>
          <wp:wrapSquare wrapText="bothSides"/>
          <wp:docPr id="3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6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6475" cy="324485"/>
                  </a:xfrm>
                  <a:prstGeom prst="rect">
                    <a:avLst/>
                  </a:prstGeom>
                </pic:spPr>
              </pic:pic>
            </a:graphicData>
          </a:graphic>
        </wp:anchor>
      </w:drawing>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4" w:space="0"/>
      </w:pBdr>
      <w:jc w:val="left"/>
      <w:rPr>
        <w:i/>
        <w:iCs/>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4" w:space="1"/>
      </w:pBdr>
      <w:jc w:val="left"/>
      <w:rPr>
        <w:i/>
        <w:iCs/>
        <w:sz w:val="22"/>
        <w:szCs w:val="22"/>
      </w:rPr>
    </w:pPr>
    <w:r>
      <w:rPr>
        <w:i/>
        <w:iCs/>
        <w:sz w:val="22"/>
        <w:szCs w:val="22"/>
      </w:rPr>
      <w:t>User’s Manual for SMAT-CE 2.1</w:t>
    </w:r>
    <w:r>
      <w:rPr>
        <w:i/>
        <w:iCs/>
        <w:sz w:val="22"/>
        <w:szCs w:val="22"/>
      </w:rPr>
      <w:tab/>
    </w:r>
    <w:r>
      <w:rPr>
        <w:i/>
        <w:iCs/>
        <w:sz w:val="22"/>
        <w:szCs w:val="22"/>
      </w:rPr>
      <w:tab/>
    </w:r>
    <w:r>
      <w:rPr>
        <w:i/>
        <w:iCs/>
        <w:sz w:val="22"/>
        <w:szCs w:val="22"/>
      </w:rPr>
      <w:t>EPA Task Order: 68HERH21F0334</w:t>
    </w:r>
  </w:p>
  <w:p>
    <w:pPr>
      <w:pStyle w:val="19"/>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4" w:space="1"/>
      </w:pBdr>
      <w:jc w:val="left"/>
      <w:rPr>
        <w:i/>
        <w:iCs/>
        <w:sz w:val="22"/>
        <w:szCs w:val="22"/>
      </w:rPr>
    </w:pPr>
    <w:r>
      <w:rPr>
        <w:i/>
        <w:iCs/>
        <w:sz w:val="22"/>
        <w:szCs w:val="22"/>
      </w:rPr>
      <w:t>User’s Manual for SMAT-CE 2.1</w:t>
    </w:r>
    <w:r>
      <w:rPr>
        <w:i/>
        <w:iCs/>
        <w:sz w:val="22"/>
        <w:szCs w:val="22"/>
      </w:rPr>
      <w:tab/>
    </w:r>
    <w:r>
      <w:rPr>
        <w:i/>
        <w:iCs/>
        <w:sz w:val="22"/>
        <w:szCs w:val="22"/>
      </w:rPr>
      <w:tab/>
    </w:r>
    <w:r>
      <w:rPr>
        <w:i/>
        <w:iCs/>
        <w:sz w:val="22"/>
        <w:szCs w:val="22"/>
      </w:rPr>
      <w:t>EPA Task Order: 68HERH21F0334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F2541B"/>
    <w:multiLevelType w:val="multilevel"/>
    <w:tmpl w:val="01F2541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D565820"/>
    <w:multiLevelType w:val="multilevel"/>
    <w:tmpl w:val="0D56582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F7D52B1"/>
    <w:multiLevelType w:val="multilevel"/>
    <w:tmpl w:val="0F7D52B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1521355D"/>
    <w:multiLevelType w:val="multilevel"/>
    <w:tmpl w:val="1521355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1595389D"/>
    <w:multiLevelType w:val="multilevel"/>
    <w:tmpl w:val="1595389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178B6A88"/>
    <w:multiLevelType w:val="multilevel"/>
    <w:tmpl w:val="178B6A8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18BC2B4E"/>
    <w:multiLevelType w:val="multilevel"/>
    <w:tmpl w:val="18BC2B4E"/>
    <w:lvl w:ilvl="0" w:tentative="0">
      <w:start w:val="1"/>
      <w:numFmt w:val="bullet"/>
      <w:lvlText w:val="o"/>
      <w:lvlJc w:val="left"/>
      <w:pPr>
        <w:ind w:left="1440" w:hanging="360"/>
      </w:pPr>
      <w:rPr>
        <w:rFonts w:hint="default" w:ascii="Courier New" w:hAnsi="Courier New" w:cs="Courier New"/>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7">
    <w:nsid w:val="1E527140"/>
    <w:multiLevelType w:val="multilevel"/>
    <w:tmpl w:val="1E52714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25377822"/>
    <w:multiLevelType w:val="multilevel"/>
    <w:tmpl w:val="2537782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26D14C08"/>
    <w:multiLevelType w:val="multilevel"/>
    <w:tmpl w:val="26D14C0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27923522"/>
    <w:multiLevelType w:val="multilevel"/>
    <w:tmpl w:val="2792352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2C91635E"/>
    <w:multiLevelType w:val="multilevel"/>
    <w:tmpl w:val="2C91635E"/>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12">
    <w:nsid w:val="2D3922A0"/>
    <w:multiLevelType w:val="multilevel"/>
    <w:tmpl w:val="2D3922A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354F55ED"/>
    <w:multiLevelType w:val="multilevel"/>
    <w:tmpl w:val="354F55E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367D0750"/>
    <w:multiLevelType w:val="multilevel"/>
    <w:tmpl w:val="367D0750"/>
    <w:lvl w:ilvl="0" w:tentative="0">
      <w:start w:val="1"/>
      <w:numFmt w:val="bullet"/>
      <w:lvlText w:val="o"/>
      <w:lvlJc w:val="left"/>
      <w:pPr>
        <w:ind w:left="1440" w:hanging="360"/>
      </w:pPr>
      <w:rPr>
        <w:rFonts w:hint="default" w:ascii="Courier New" w:hAnsi="Courier New" w:cs="Courier New"/>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5">
    <w:nsid w:val="37F31550"/>
    <w:multiLevelType w:val="multilevel"/>
    <w:tmpl w:val="37F3155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38903133"/>
    <w:multiLevelType w:val="multilevel"/>
    <w:tmpl w:val="38903133"/>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17">
    <w:nsid w:val="3B0B624E"/>
    <w:multiLevelType w:val="multilevel"/>
    <w:tmpl w:val="3B0B624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3B2E0AD8"/>
    <w:multiLevelType w:val="multilevel"/>
    <w:tmpl w:val="3B2E0AD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3C9278B1"/>
    <w:multiLevelType w:val="multilevel"/>
    <w:tmpl w:val="3C9278B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3E92292A"/>
    <w:multiLevelType w:val="multilevel"/>
    <w:tmpl w:val="3E92292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41505FC3"/>
    <w:multiLevelType w:val="multilevel"/>
    <w:tmpl w:val="41505FC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477C32B5"/>
    <w:multiLevelType w:val="multilevel"/>
    <w:tmpl w:val="477C32B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4DAB671C"/>
    <w:multiLevelType w:val="multilevel"/>
    <w:tmpl w:val="4DAB671C"/>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24">
    <w:nsid w:val="4DDF185E"/>
    <w:multiLevelType w:val="multilevel"/>
    <w:tmpl w:val="4DDF185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533A0CE0"/>
    <w:multiLevelType w:val="multilevel"/>
    <w:tmpl w:val="533A0CE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5CF14F5E"/>
    <w:multiLevelType w:val="multilevel"/>
    <w:tmpl w:val="5CF14F5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62291AF7"/>
    <w:multiLevelType w:val="multilevel"/>
    <w:tmpl w:val="62291AF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6C501ACF"/>
    <w:multiLevelType w:val="multilevel"/>
    <w:tmpl w:val="6C501AC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6D0A738D"/>
    <w:multiLevelType w:val="multilevel"/>
    <w:tmpl w:val="6D0A738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6E2561B4"/>
    <w:multiLevelType w:val="multilevel"/>
    <w:tmpl w:val="6E2561B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6E4358B3"/>
    <w:multiLevelType w:val="multilevel"/>
    <w:tmpl w:val="6E4358B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6EDD6912"/>
    <w:multiLevelType w:val="multilevel"/>
    <w:tmpl w:val="6EDD691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7AD45FF7"/>
    <w:multiLevelType w:val="multilevel"/>
    <w:tmpl w:val="7AD45FF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7E9024FC"/>
    <w:multiLevelType w:val="multilevel"/>
    <w:tmpl w:val="7E9024F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7FAB0728"/>
    <w:multiLevelType w:val="multilevel"/>
    <w:tmpl w:val="7FAB0728"/>
    <w:lvl w:ilvl="0" w:tentative="0">
      <w:start w:val="1"/>
      <w:numFmt w:val="bullet"/>
      <w:lvlText w:val="o"/>
      <w:lvlJc w:val="left"/>
      <w:pPr>
        <w:ind w:left="1200" w:hanging="360"/>
      </w:pPr>
      <w:rPr>
        <w:rFonts w:hint="default" w:ascii="Courier New" w:hAnsi="Courier New" w:cs="Courier New"/>
      </w:rPr>
    </w:lvl>
    <w:lvl w:ilvl="1" w:tentative="0">
      <w:start w:val="1"/>
      <w:numFmt w:val="bullet"/>
      <w:lvlText w:val="o"/>
      <w:lvlJc w:val="left"/>
      <w:pPr>
        <w:ind w:left="1920" w:hanging="360"/>
      </w:pPr>
      <w:rPr>
        <w:rFonts w:hint="default" w:ascii="Courier New" w:hAnsi="Courier New" w:cs="Courier New"/>
      </w:rPr>
    </w:lvl>
    <w:lvl w:ilvl="2" w:tentative="0">
      <w:start w:val="1"/>
      <w:numFmt w:val="bullet"/>
      <w:lvlText w:val=""/>
      <w:lvlJc w:val="left"/>
      <w:pPr>
        <w:ind w:left="2640" w:hanging="360"/>
      </w:pPr>
      <w:rPr>
        <w:rFonts w:hint="default" w:ascii="Wingdings" w:hAnsi="Wingdings"/>
      </w:rPr>
    </w:lvl>
    <w:lvl w:ilvl="3" w:tentative="0">
      <w:start w:val="1"/>
      <w:numFmt w:val="bullet"/>
      <w:lvlText w:val=""/>
      <w:lvlJc w:val="left"/>
      <w:pPr>
        <w:ind w:left="3360" w:hanging="360"/>
      </w:pPr>
      <w:rPr>
        <w:rFonts w:hint="default" w:ascii="Symbol" w:hAnsi="Symbol"/>
      </w:rPr>
    </w:lvl>
    <w:lvl w:ilvl="4" w:tentative="0">
      <w:start w:val="1"/>
      <w:numFmt w:val="bullet"/>
      <w:lvlText w:val="o"/>
      <w:lvlJc w:val="left"/>
      <w:pPr>
        <w:ind w:left="4080" w:hanging="360"/>
      </w:pPr>
      <w:rPr>
        <w:rFonts w:hint="default" w:ascii="Courier New" w:hAnsi="Courier New" w:cs="Courier New"/>
      </w:rPr>
    </w:lvl>
    <w:lvl w:ilvl="5" w:tentative="0">
      <w:start w:val="1"/>
      <w:numFmt w:val="bullet"/>
      <w:lvlText w:val=""/>
      <w:lvlJc w:val="left"/>
      <w:pPr>
        <w:ind w:left="4800" w:hanging="360"/>
      </w:pPr>
      <w:rPr>
        <w:rFonts w:hint="default" w:ascii="Wingdings" w:hAnsi="Wingdings"/>
      </w:rPr>
    </w:lvl>
    <w:lvl w:ilvl="6" w:tentative="0">
      <w:start w:val="1"/>
      <w:numFmt w:val="bullet"/>
      <w:lvlText w:val=""/>
      <w:lvlJc w:val="left"/>
      <w:pPr>
        <w:ind w:left="5520" w:hanging="360"/>
      </w:pPr>
      <w:rPr>
        <w:rFonts w:hint="default" w:ascii="Symbol" w:hAnsi="Symbol"/>
      </w:rPr>
    </w:lvl>
    <w:lvl w:ilvl="7" w:tentative="0">
      <w:start w:val="1"/>
      <w:numFmt w:val="bullet"/>
      <w:lvlText w:val="o"/>
      <w:lvlJc w:val="left"/>
      <w:pPr>
        <w:ind w:left="6240" w:hanging="360"/>
      </w:pPr>
      <w:rPr>
        <w:rFonts w:hint="default" w:ascii="Courier New" w:hAnsi="Courier New" w:cs="Courier New"/>
      </w:rPr>
    </w:lvl>
    <w:lvl w:ilvl="8" w:tentative="0">
      <w:start w:val="1"/>
      <w:numFmt w:val="bullet"/>
      <w:lvlText w:val=""/>
      <w:lvlJc w:val="left"/>
      <w:pPr>
        <w:ind w:left="6960" w:hanging="360"/>
      </w:pPr>
      <w:rPr>
        <w:rFonts w:hint="default" w:ascii="Wingdings" w:hAnsi="Wingdings"/>
      </w:rPr>
    </w:lvl>
  </w:abstractNum>
  <w:num w:numId="1">
    <w:abstractNumId w:val="16"/>
  </w:num>
  <w:num w:numId="2">
    <w:abstractNumId w:val="26"/>
  </w:num>
  <w:num w:numId="3">
    <w:abstractNumId w:val="18"/>
  </w:num>
  <w:num w:numId="4">
    <w:abstractNumId w:val="4"/>
  </w:num>
  <w:num w:numId="5">
    <w:abstractNumId w:val="27"/>
  </w:num>
  <w:num w:numId="6">
    <w:abstractNumId w:val="14"/>
  </w:num>
  <w:num w:numId="7">
    <w:abstractNumId w:val="6"/>
  </w:num>
  <w:num w:numId="8">
    <w:abstractNumId w:val="35"/>
  </w:num>
  <w:num w:numId="9">
    <w:abstractNumId w:val="0"/>
  </w:num>
  <w:num w:numId="10">
    <w:abstractNumId w:val="30"/>
  </w:num>
  <w:num w:numId="11">
    <w:abstractNumId w:val="31"/>
  </w:num>
  <w:num w:numId="12">
    <w:abstractNumId w:val="28"/>
  </w:num>
  <w:num w:numId="13">
    <w:abstractNumId w:val="19"/>
  </w:num>
  <w:num w:numId="14">
    <w:abstractNumId w:val="13"/>
  </w:num>
  <w:num w:numId="15">
    <w:abstractNumId w:val="33"/>
  </w:num>
  <w:num w:numId="16">
    <w:abstractNumId w:val="10"/>
  </w:num>
  <w:num w:numId="17">
    <w:abstractNumId w:val="34"/>
  </w:num>
  <w:num w:numId="18">
    <w:abstractNumId w:val="22"/>
  </w:num>
  <w:num w:numId="19">
    <w:abstractNumId w:val="32"/>
  </w:num>
  <w:num w:numId="20">
    <w:abstractNumId w:val="21"/>
  </w:num>
  <w:num w:numId="21">
    <w:abstractNumId w:val="20"/>
  </w:num>
  <w:num w:numId="22">
    <w:abstractNumId w:val="24"/>
  </w:num>
  <w:num w:numId="23">
    <w:abstractNumId w:val="15"/>
  </w:num>
  <w:num w:numId="24">
    <w:abstractNumId w:val="1"/>
  </w:num>
  <w:num w:numId="25">
    <w:abstractNumId w:val="9"/>
  </w:num>
  <w:num w:numId="26">
    <w:abstractNumId w:val="3"/>
  </w:num>
  <w:num w:numId="27">
    <w:abstractNumId w:val="29"/>
  </w:num>
  <w:num w:numId="28">
    <w:abstractNumId w:val="8"/>
  </w:num>
  <w:num w:numId="29">
    <w:abstractNumId w:val="11"/>
  </w:num>
  <w:num w:numId="30">
    <w:abstractNumId w:val="17"/>
  </w:num>
  <w:num w:numId="31">
    <w:abstractNumId w:val="25"/>
  </w:num>
  <w:num w:numId="32">
    <w:abstractNumId w:val="23"/>
  </w:num>
  <w:num w:numId="33">
    <w:abstractNumId w:val="2"/>
  </w:num>
  <w:num w:numId="34">
    <w:abstractNumId w:val="12"/>
  </w:num>
  <w:num w:numId="35">
    <w:abstractNumId w:val="7"/>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footnotePr>
    <w:footnote w:id="4"/>
    <w:footnote w:id="5"/>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M2MzExNjU3NzQ0NTRR0lEKTi0uzszPAykwqgUAxhqz6ywAAAA="/>
    <w:docVar w:name="commondata" w:val="eyJoZGlkIjoiNWUyMTQzNDYyY2Y3NWJlNmU2ZjY3YzQ0MWZiMDMxNWMifQ=="/>
  </w:docVars>
  <w:rsids>
    <w:rsidRoot w:val="006A621F"/>
    <w:rsid w:val="00001D8D"/>
    <w:rsid w:val="00004912"/>
    <w:rsid w:val="00006D7C"/>
    <w:rsid w:val="0000735C"/>
    <w:rsid w:val="00007EB9"/>
    <w:rsid w:val="0001164F"/>
    <w:rsid w:val="0001195B"/>
    <w:rsid w:val="00011B5F"/>
    <w:rsid w:val="000126ED"/>
    <w:rsid w:val="00012EFF"/>
    <w:rsid w:val="00015DAC"/>
    <w:rsid w:val="00015EA7"/>
    <w:rsid w:val="00016AD6"/>
    <w:rsid w:val="00017EDA"/>
    <w:rsid w:val="000204E3"/>
    <w:rsid w:val="00020B5D"/>
    <w:rsid w:val="00020C87"/>
    <w:rsid w:val="000217F2"/>
    <w:rsid w:val="000279EC"/>
    <w:rsid w:val="00030186"/>
    <w:rsid w:val="0003072C"/>
    <w:rsid w:val="00030CFF"/>
    <w:rsid w:val="000313E7"/>
    <w:rsid w:val="00031AD0"/>
    <w:rsid w:val="0003255A"/>
    <w:rsid w:val="00035488"/>
    <w:rsid w:val="00036455"/>
    <w:rsid w:val="000371B5"/>
    <w:rsid w:val="0003761D"/>
    <w:rsid w:val="000416F8"/>
    <w:rsid w:val="00041F24"/>
    <w:rsid w:val="00042798"/>
    <w:rsid w:val="00042AF1"/>
    <w:rsid w:val="000470AC"/>
    <w:rsid w:val="000477B7"/>
    <w:rsid w:val="00047E3C"/>
    <w:rsid w:val="000516AA"/>
    <w:rsid w:val="00053212"/>
    <w:rsid w:val="000551FC"/>
    <w:rsid w:val="00056A1F"/>
    <w:rsid w:val="00056D9D"/>
    <w:rsid w:val="000571AD"/>
    <w:rsid w:val="0006108B"/>
    <w:rsid w:val="0006112A"/>
    <w:rsid w:val="000629F4"/>
    <w:rsid w:val="00065419"/>
    <w:rsid w:val="000678ED"/>
    <w:rsid w:val="0007006F"/>
    <w:rsid w:val="00070C00"/>
    <w:rsid w:val="00070DBC"/>
    <w:rsid w:val="0007167E"/>
    <w:rsid w:val="0007198D"/>
    <w:rsid w:val="00074364"/>
    <w:rsid w:val="00075A9F"/>
    <w:rsid w:val="00075C31"/>
    <w:rsid w:val="00075DED"/>
    <w:rsid w:val="00080129"/>
    <w:rsid w:val="000805ED"/>
    <w:rsid w:val="000818C5"/>
    <w:rsid w:val="00082AED"/>
    <w:rsid w:val="0008398C"/>
    <w:rsid w:val="00083EC0"/>
    <w:rsid w:val="00084811"/>
    <w:rsid w:val="00084CCC"/>
    <w:rsid w:val="00086E71"/>
    <w:rsid w:val="00086F8E"/>
    <w:rsid w:val="00090BA9"/>
    <w:rsid w:val="0009372A"/>
    <w:rsid w:val="00096CCF"/>
    <w:rsid w:val="00097592"/>
    <w:rsid w:val="000A1568"/>
    <w:rsid w:val="000A15F2"/>
    <w:rsid w:val="000A1D64"/>
    <w:rsid w:val="000A1E3D"/>
    <w:rsid w:val="000A2F99"/>
    <w:rsid w:val="000A4708"/>
    <w:rsid w:val="000A74B1"/>
    <w:rsid w:val="000B20AB"/>
    <w:rsid w:val="000B3905"/>
    <w:rsid w:val="000B4A81"/>
    <w:rsid w:val="000B5FB9"/>
    <w:rsid w:val="000B7401"/>
    <w:rsid w:val="000B7B6D"/>
    <w:rsid w:val="000C43D5"/>
    <w:rsid w:val="000C50E5"/>
    <w:rsid w:val="000C5FBC"/>
    <w:rsid w:val="000D00E2"/>
    <w:rsid w:val="000D140F"/>
    <w:rsid w:val="000D26A1"/>
    <w:rsid w:val="000D2827"/>
    <w:rsid w:val="000D46CB"/>
    <w:rsid w:val="000D6483"/>
    <w:rsid w:val="000D6925"/>
    <w:rsid w:val="000E0B14"/>
    <w:rsid w:val="000E161D"/>
    <w:rsid w:val="000E1F94"/>
    <w:rsid w:val="000E250C"/>
    <w:rsid w:val="000E3ED8"/>
    <w:rsid w:val="000E4C94"/>
    <w:rsid w:val="000E51F6"/>
    <w:rsid w:val="000E54E6"/>
    <w:rsid w:val="000E5801"/>
    <w:rsid w:val="000E6E57"/>
    <w:rsid w:val="000E74DE"/>
    <w:rsid w:val="000E74F6"/>
    <w:rsid w:val="000F2E70"/>
    <w:rsid w:val="000F39B3"/>
    <w:rsid w:val="000F49B0"/>
    <w:rsid w:val="000F4A56"/>
    <w:rsid w:val="000F4DCA"/>
    <w:rsid w:val="000F5A5A"/>
    <w:rsid w:val="000F6283"/>
    <w:rsid w:val="000F67A2"/>
    <w:rsid w:val="000F6C70"/>
    <w:rsid w:val="000F6F84"/>
    <w:rsid w:val="0010060D"/>
    <w:rsid w:val="00101643"/>
    <w:rsid w:val="0010330D"/>
    <w:rsid w:val="00103949"/>
    <w:rsid w:val="00103A80"/>
    <w:rsid w:val="00104B9C"/>
    <w:rsid w:val="0010542F"/>
    <w:rsid w:val="00105F08"/>
    <w:rsid w:val="001100A2"/>
    <w:rsid w:val="00110A23"/>
    <w:rsid w:val="00111EDF"/>
    <w:rsid w:val="00115D23"/>
    <w:rsid w:val="001166B6"/>
    <w:rsid w:val="00117368"/>
    <w:rsid w:val="00120F2C"/>
    <w:rsid w:val="0012213C"/>
    <w:rsid w:val="00122E1B"/>
    <w:rsid w:val="001233C9"/>
    <w:rsid w:val="001235C7"/>
    <w:rsid w:val="00124071"/>
    <w:rsid w:val="00127B13"/>
    <w:rsid w:val="00127DBB"/>
    <w:rsid w:val="0013531F"/>
    <w:rsid w:val="00136668"/>
    <w:rsid w:val="0013766C"/>
    <w:rsid w:val="0014039B"/>
    <w:rsid w:val="001406A4"/>
    <w:rsid w:val="0014132D"/>
    <w:rsid w:val="001439AD"/>
    <w:rsid w:val="00144A5C"/>
    <w:rsid w:val="00144C19"/>
    <w:rsid w:val="0015026C"/>
    <w:rsid w:val="00153B13"/>
    <w:rsid w:val="00153F99"/>
    <w:rsid w:val="00162C37"/>
    <w:rsid w:val="001634CB"/>
    <w:rsid w:val="0016443B"/>
    <w:rsid w:val="0016486B"/>
    <w:rsid w:val="00165D32"/>
    <w:rsid w:val="001663B9"/>
    <w:rsid w:val="00170401"/>
    <w:rsid w:val="0017264C"/>
    <w:rsid w:val="00172A14"/>
    <w:rsid w:val="00172EF0"/>
    <w:rsid w:val="00174C78"/>
    <w:rsid w:val="00176E14"/>
    <w:rsid w:val="001775B9"/>
    <w:rsid w:val="0017767E"/>
    <w:rsid w:val="00180186"/>
    <w:rsid w:val="001836D4"/>
    <w:rsid w:val="0018555E"/>
    <w:rsid w:val="0018678E"/>
    <w:rsid w:val="001871AF"/>
    <w:rsid w:val="00187C21"/>
    <w:rsid w:val="001903C9"/>
    <w:rsid w:val="00190AC1"/>
    <w:rsid w:val="001912E4"/>
    <w:rsid w:val="001915DC"/>
    <w:rsid w:val="001957DB"/>
    <w:rsid w:val="00195C41"/>
    <w:rsid w:val="00196138"/>
    <w:rsid w:val="00197226"/>
    <w:rsid w:val="001A2255"/>
    <w:rsid w:val="001A3D89"/>
    <w:rsid w:val="001A4CE3"/>
    <w:rsid w:val="001A7F62"/>
    <w:rsid w:val="001B1DE1"/>
    <w:rsid w:val="001B2B9C"/>
    <w:rsid w:val="001B5108"/>
    <w:rsid w:val="001C01DF"/>
    <w:rsid w:val="001C061D"/>
    <w:rsid w:val="001C2206"/>
    <w:rsid w:val="001D2CA1"/>
    <w:rsid w:val="001D3F46"/>
    <w:rsid w:val="001D40BD"/>
    <w:rsid w:val="001D41FE"/>
    <w:rsid w:val="001E04D3"/>
    <w:rsid w:val="001E0CF7"/>
    <w:rsid w:val="001E2E29"/>
    <w:rsid w:val="001E2F1B"/>
    <w:rsid w:val="001E3174"/>
    <w:rsid w:val="001E3A7A"/>
    <w:rsid w:val="001E4855"/>
    <w:rsid w:val="001E7DBC"/>
    <w:rsid w:val="001F0574"/>
    <w:rsid w:val="001F1124"/>
    <w:rsid w:val="001F115A"/>
    <w:rsid w:val="001F3AE7"/>
    <w:rsid w:val="001F45D5"/>
    <w:rsid w:val="001F528D"/>
    <w:rsid w:val="001F5C01"/>
    <w:rsid w:val="001F5F59"/>
    <w:rsid w:val="001F6BFD"/>
    <w:rsid w:val="00202BD4"/>
    <w:rsid w:val="00203189"/>
    <w:rsid w:val="002033D7"/>
    <w:rsid w:val="0020609C"/>
    <w:rsid w:val="00207154"/>
    <w:rsid w:val="0020767E"/>
    <w:rsid w:val="002078F4"/>
    <w:rsid w:val="00207EAA"/>
    <w:rsid w:val="002103DE"/>
    <w:rsid w:val="002129D6"/>
    <w:rsid w:val="002134ED"/>
    <w:rsid w:val="00215732"/>
    <w:rsid w:val="002172DE"/>
    <w:rsid w:val="002179FF"/>
    <w:rsid w:val="00221B30"/>
    <w:rsid w:val="0022380B"/>
    <w:rsid w:val="00223A1E"/>
    <w:rsid w:val="00223E1C"/>
    <w:rsid w:val="002244AE"/>
    <w:rsid w:val="00225455"/>
    <w:rsid w:val="002255DE"/>
    <w:rsid w:val="00225CF5"/>
    <w:rsid w:val="00227F22"/>
    <w:rsid w:val="00230461"/>
    <w:rsid w:val="00232B78"/>
    <w:rsid w:val="00233C3E"/>
    <w:rsid w:val="0023451E"/>
    <w:rsid w:val="00234536"/>
    <w:rsid w:val="0023494C"/>
    <w:rsid w:val="002361F4"/>
    <w:rsid w:val="00236B2E"/>
    <w:rsid w:val="00237F60"/>
    <w:rsid w:val="00240386"/>
    <w:rsid w:val="0024059C"/>
    <w:rsid w:val="002407D3"/>
    <w:rsid w:val="00241212"/>
    <w:rsid w:val="00242AEC"/>
    <w:rsid w:val="00247158"/>
    <w:rsid w:val="00247A57"/>
    <w:rsid w:val="00250185"/>
    <w:rsid w:val="00252D3B"/>
    <w:rsid w:val="00253E84"/>
    <w:rsid w:val="00254F5D"/>
    <w:rsid w:val="002556DF"/>
    <w:rsid w:val="002616CF"/>
    <w:rsid w:val="00261B1F"/>
    <w:rsid w:val="002633A9"/>
    <w:rsid w:val="002637A0"/>
    <w:rsid w:val="00263BE9"/>
    <w:rsid w:val="00267113"/>
    <w:rsid w:val="00270680"/>
    <w:rsid w:val="00271E40"/>
    <w:rsid w:val="0027360A"/>
    <w:rsid w:val="00273982"/>
    <w:rsid w:val="0027553B"/>
    <w:rsid w:val="00275F8D"/>
    <w:rsid w:val="002803E1"/>
    <w:rsid w:val="002853E2"/>
    <w:rsid w:val="002859E1"/>
    <w:rsid w:val="00285BB2"/>
    <w:rsid w:val="00286094"/>
    <w:rsid w:val="00287AEB"/>
    <w:rsid w:val="00290281"/>
    <w:rsid w:val="0029085C"/>
    <w:rsid w:val="002913D6"/>
    <w:rsid w:val="00292CFB"/>
    <w:rsid w:val="00293919"/>
    <w:rsid w:val="00297443"/>
    <w:rsid w:val="002A1D8B"/>
    <w:rsid w:val="002A301B"/>
    <w:rsid w:val="002A50F2"/>
    <w:rsid w:val="002A7A9C"/>
    <w:rsid w:val="002B0338"/>
    <w:rsid w:val="002B14DD"/>
    <w:rsid w:val="002B243B"/>
    <w:rsid w:val="002B2F17"/>
    <w:rsid w:val="002B36C6"/>
    <w:rsid w:val="002B67E9"/>
    <w:rsid w:val="002B6DD7"/>
    <w:rsid w:val="002C0798"/>
    <w:rsid w:val="002C126F"/>
    <w:rsid w:val="002C18E0"/>
    <w:rsid w:val="002C1B64"/>
    <w:rsid w:val="002C1BC5"/>
    <w:rsid w:val="002C2700"/>
    <w:rsid w:val="002C4D2E"/>
    <w:rsid w:val="002C5951"/>
    <w:rsid w:val="002C63E6"/>
    <w:rsid w:val="002C7C93"/>
    <w:rsid w:val="002D0882"/>
    <w:rsid w:val="002D1214"/>
    <w:rsid w:val="002D12FC"/>
    <w:rsid w:val="002D1491"/>
    <w:rsid w:val="002D28F2"/>
    <w:rsid w:val="002D31A8"/>
    <w:rsid w:val="002D3751"/>
    <w:rsid w:val="002D37C6"/>
    <w:rsid w:val="002D4B1E"/>
    <w:rsid w:val="002D4DD4"/>
    <w:rsid w:val="002D5107"/>
    <w:rsid w:val="002D660D"/>
    <w:rsid w:val="002D6804"/>
    <w:rsid w:val="002D7076"/>
    <w:rsid w:val="002D73DC"/>
    <w:rsid w:val="002E16CD"/>
    <w:rsid w:val="002E1AAF"/>
    <w:rsid w:val="002E5516"/>
    <w:rsid w:val="002E7A59"/>
    <w:rsid w:val="002F15EE"/>
    <w:rsid w:val="002F18D3"/>
    <w:rsid w:val="002F1C24"/>
    <w:rsid w:val="002F3423"/>
    <w:rsid w:val="002F4049"/>
    <w:rsid w:val="002F5242"/>
    <w:rsid w:val="002F57F6"/>
    <w:rsid w:val="002F5BC0"/>
    <w:rsid w:val="002F65FA"/>
    <w:rsid w:val="002F7248"/>
    <w:rsid w:val="002F7C2F"/>
    <w:rsid w:val="00300E60"/>
    <w:rsid w:val="00301588"/>
    <w:rsid w:val="003024E5"/>
    <w:rsid w:val="003028E1"/>
    <w:rsid w:val="003032B7"/>
    <w:rsid w:val="00306E5B"/>
    <w:rsid w:val="00307359"/>
    <w:rsid w:val="0030736A"/>
    <w:rsid w:val="0031005B"/>
    <w:rsid w:val="00311955"/>
    <w:rsid w:val="003120F2"/>
    <w:rsid w:val="00312B33"/>
    <w:rsid w:val="0031610E"/>
    <w:rsid w:val="0031646A"/>
    <w:rsid w:val="00322AB7"/>
    <w:rsid w:val="00322F2C"/>
    <w:rsid w:val="003245B9"/>
    <w:rsid w:val="00325243"/>
    <w:rsid w:val="003278F2"/>
    <w:rsid w:val="00327EF6"/>
    <w:rsid w:val="00332BD3"/>
    <w:rsid w:val="003410B6"/>
    <w:rsid w:val="003429FB"/>
    <w:rsid w:val="00342B52"/>
    <w:rsid w:val="00344268"/>
    <w:rsid w:val="003464E1"/>
    <w:rsid w:val="0034700D"/>
    <w:rsid w:val="003475B8"/>
    <w:rsid w:val="003478D4"/>
    <w:rsid w:val="00347D94"/>
    <w:rsid w:val="003505DB"/>
    <w:rsid w:val="00350F09"/>
    <w:rsid w:val="00351A7F"/>
    <w:rsid w:val="00352766"/>
    <w:rsid w:val="00361369"/>
    <w:rsid w:val="0036151B"/>
    <w:rsid w:val="003615C6"/>
    <w:rsid w:val="00361BB3"/>
    <w:rsid w:val="00361E31"/>
    <w:rsid w:val="0036226F"/>
    <w:rsid w:val="0036347B"/>
    <w:rsid w:val="00363826"/>
    <w:rsid w:val="003651AB"/>
    <w:rsid w:val="00365DF5"/>
    <w:rsid w:val="0037130F"/>
    <w:rsid w:val="003715E7"/>
    <w:rsid w:val="00371F90"/>
    <w:rsid w:val="00374531"/>
    <w:rsid w:val="00376944"/>
    <w:rsid w:val="00377726"/>
    <w:rsid w:val="00377E03"/>
    <w:rsid w:val="003805F1"/>
    <w:rsid w:val="00380F24"/>
    <w:rsid w:val="00381CE6"/>
    <w:rsid w:val="003825D9"/>
    <w:rsid w:val="00382EC3"/>
    <w:rsid w:val="00382FF4"/>
    <w:rsid w:val="00383EB7"/>
    <w:rsid w:val="00385744"/>
    <w:rsid w:val="00385D9F"/>
    <w:rsid w:val="00385FB4"/>
    <w:rsid w:val="003861F8"/>
    <w:rsid w:val="00391CA0"/>
    <w:rsid w:val="003944CB"/>
    <w:rsid w:val="00394B17"/>
    <w:rsid w:val="00395803"/>
    <w:rsid w:val="003965D0"/>
    <w:rsid w:val="00397389"/>
    <w:rsid w:val="00397FBF"/>
    <w:rsid w:val="003A142C"/>
    <w:rsid w:val="003A1BA8"/>
    <w:rsid w:val="003A3178"/>
    <w:rsid w:val="003A38AD"/>
    <w:rsid w:val="003A4B00"/>
    <w:rsid w:val="003A525A"/>
    <w:rsid w:val="003A54F5"/>
    <w:rsid w:val="003A684A"/>
    <w:rsid w:val="003A71A8"/>
    <w:rsid w:val="003A789D"/>
    <w:rsid w:val="003B0683"/>
    <w:rsid w:val="003B2140"/>
    <w:rsid w:val="003B4141"/>
    <w:rsid w:val="003B4CA9"/>
    <w:rsid w:val="003C07D1"/>
    <w:rsid w:val="003C0C18"/>
    <w:rsid w:val="003C1EFC"/>
    <w:rsid w:val="003C2076"/>
    <w:rsid w:val="003C2356"/>
    <w:rsid w:val="003C25D4"/>
    <w:rsid w:val="003C34B6"/>
    <w:rsid w:val="003C3C1B"/>
    <w:rsid w:val="003C69CF"/>
    <w:rsid w:val="003C7D5C"/>
    <w:rsid w:val="003D0039"/>
    <w:rsid w:val="003D037F"/>
    <w:rsid w:val="003D1B25"/>
    <w:rsid w:val="003D23EE"/>
    <w:rsid w:val="003D255C"/>
    <w:rsid w:val="003D2E4B"/>
    <w:rsid w:val="003D34EC"/>
    <w:rsid w:val="003D448B"/>
    <w:rsid w:val="003D5253"/>
    <w:rsid w:val="003D5460"/>
    <w:rsid w:val="003D5599"/>
    <w:rsid w:val="003D7D31"/>
    <w:rsid w:val="003E2558"/>
    <w:rsid w:val="003E478A"/>
    <w:rsid w:val="003E48E7"/>
    <w:rsid w:val="003F0FFC"/>
    <w:rsid w:val="003F1DBF"/>
    <w:rsid w:val="003F28CE"/>
    <w:rsid w:val="003F2939"/>
    <w:rsid w:val="003F4556"/>
    <w:rsid w:val="003F465B"/>
    <w:rsid w:val="003F574E"/>
    <w:rsid w:val="003F76CA"/>
    <w:rsid w:val="0040219C"/>
    <w:rsid w:val="0040222B"/>
    <w:rsid w:val="004050D5"/>
    <w:rsid w:val="00407B8D"/>
    <w:rsid w:val="00407DF0"/>
    <w:rsid w:val="0041103B"/>
    <w:rsid w:val="004125CC"/>
    <w:rsid w:val="0041405D"/>
    <w:rsid w:val="00414840"/>
    <w:rsid w:val="004152C0"/>
    <w:rsid w:val="0041668D"/>
    <w:rsid w:val="00417B55"/>
    <w:rsid w:val="00420ABB"/>
    <w:rsid w:val="00421453"/>
    <w:rsid w:val="0042337E"/>
    <w:rsid w:val="00426F7E"/>
    <w:rsid w:val="004318F6"/>
    <w:rsid w:val="00431BD1"/>
    <w:rsid w:val="00431C97"/>
    <w:rsid w:val="004361A5"/>
    <w:rsid w:val="00436730"/>
    <w:rsid w:val="00436F8C"/>
    <w:rsid w:val="00437B09"/>
    <w:rsid w:val="00441816"/>
    <w:rsid w:val="004418F3"/>
    <w:rsid w:val="00442247"/>
    <w:rsid w:val="004438C2"/>
    <w:rsid w:val="00445627"/>
    <w:rsid w:val="00445DAE"/>
    <w:rsid w:val="00445FE7"/>
    <w:rsid w:val="0044637B"/>
    <w:rsid w:val="0044707B"/>
    <w:rsid w:val="004506BB"/>
    <w:rsid w:val="00450C37"/>
    <w:rsid w:val="004514A3"/>
    <w:rsid w:val="00451B91"/>
    <w:rsid w:val="00455B42"/>
    <w:rsid w:val="0045681D"/>
    <w:rsid w:val="00456E61"/>
    <w:rsid w:val="004571CB"/>
    <w:rsid w:val="004575CC"/>
    <w:rsid w:val="00457D48"/>
    <w:rsid w:val="00460DC4"/>
    <w:rsid w:val="00461DEE"/>
    <w:rsid w:val="0046419E"/>
    <w:rsid w:val="00464253"/>
    <w:rsid w:val="0046787E"/>
    <w:rsid w:val="004702C3"/>
    <w:rsid w:val="00470556"/>
    <w:rsid w:val="0047131A"/>
    <w:rsid w:val="004716F0"/>
    <w:rsid w:val="004773DB"/>
    <w:rsid w:val="00480F97"/>
    <w:rsid w:val="00481686"/>
    <w:rsid w:val="00481CE4"/>
    <w:rsid w:val="004829EB"/>
    <w:rsid w:val="00485773"/>
    <w:rsid w:val="0049013B"/>
    <w:rsid w:val="004907C2"/>
    <w:rsid w:val="00491975"/>
    <w:rsid w:val="004923B9"/>
    <w:rsid w:val="00492D5F"/>
    <w:rsid w:val="004932A6"/>
    <w:rsid w:val="004948CB"/>
    <w:rsid w:val="00494A3B"/>
    <w:rsid w:val="004A04F4"/>
    <w:rsid w:val="004A07C0"/>
    <w:rsid w:val="004A155E"/>
    <w:rsid w:val="004A1CE3"/>
    <w:rsid w:val="004A2297"/>
    <w:rsid w:val="004A38DB"/>
    <w:rsid w:val="004A3CA5"/>
    <w:rsid w:val="004A60C1"/>
    <w:rsid w:val="004A6189"/>
    <w:rsid w:val="004A62DD"/>
    <w:rsid w:val="004A633F"/>
    <w:rsid w:val="004A666F"/>
    <w:rsid w:val="004A732C"/>
    <w:rsid w:val="004B04FC"/>
    <w:rsid w:val="004B1830"/>
    <w:rsid w:val="004B24B6"/>
    <w:rsid w:val="004B357A"/>
    <w:rsid w:val="004B361C"/>
    <w:rsid w:val="004B38A9"/>
    <w:rsid w:val="004B38BE"/>
    <w:rsid w:val="004B3979"/>
    <w:rsid w:val="004B40EF"/>
    <w:rsid w:val="004B45E7"/>
    <w:rsid w:val="004B53D1"/>
    <w:rsid w:val="004B6207"/>
    <w:rsid w:val="004B623A"/>
    <w:rsid w:val="004B651A"/>
    <w:rsid w:val="004C0737"/>
    <w:rsid w:val="004C1EC5"/>
    <w:rsid w:val="004C217B"/>
    <w:rsid w:val="004C21DB"/>
    <w:rsid w:val="004C3EE5"/>
    <w:rsid w:val="004C591F"/>
    <w:rsid w:val="004C7BAF"/>
    <w:rsid w:val="004D0643"/>
    <w:rsid w:val="004D1CFA"/>
    <w:rsid w:val="004D1DF0"/>
    <w:rsid w:val="004D20DD"/>
    <w:rsid w:val="004D4490"/>
    <w:rsid w:val="004D6153"/>
    <w:rsid w:val="004D65BC"/>
    <w:rsid w:val="004D6B43"/>
    <w:rsid w:val="004D6E52"/>
    <w:rsid w:val="004E1D4A"/>
    <w:rsid w:val="004E2042"/>
    <w:rsid w:val="004E2278"/>
    <w:rsid w:val="004E29F7"/>
    <w:rsid w:val="004E30E1"/>
    <w:rsid w:val="004E754A"/>
    <w:rsid w:val="004F0511"/>
    <w:rsid w:val="004F15A4"/>
    <w:rsid w:val="004F1C57"/>
    <w:rsid w:val="004F48CA"/>
    <w:rsid w:val="004F5551"/>
    <w:rsid w:val="005004A9"/>
    <w:rsid w:val="00501199"/>
    <w:rsid w:val="005020DD"/>
    <w:rsid w:val="005029AC"/>
    <w:rsid w:val="0050351D"/>
    <w:rsid w:val="0050362A"/>
    <w:rsid w:val="005055D7"/>
    <w:rsid w:val="005076D9"/>
    <w:rsid w:val="005122F0"/>
    <w:rsid w:val="005125F2"/>
    <w:rsid w:val="00513A27"/>
    <w:rsid w:val="00517223"/>
    <w:rsid w:val="00517C6F"/>
    <w:rsid w:val="00521B1D"/>
    <w:rsid w:val="00522595"/>
    <w:rsid w:val="005229FC"/>
    <w:rsid w:val="00522E65"/>
    <w:rsid w:val="00523420"/>
    <w:rsid w:val="0052384E"/>
    <w:rsid w:val="00526947"/>
    <w:rsid w:val="00526993"/>
    <w:rsid w:val="00527865"/>
    <w:rsid w:val="00530151"/>
    <w:rsid w:val="0053282D"/>
    <w:rsid w:val="00533206"/>
    <w:rsid w:val="00533433"/>
    <w:rsid w:val="005343C0"/>
    <w:rsid w:val="00534E7F"/>
    <w:rsid w:val="00535A70"/>
    <w:rsid w:val="005409ED"/>
    <w:rsid w:val="00542F64"/>
    <w:rsid w:val="0054400A"/>
    <w:rsid w:val="005455B7"/>
    <w:rsid w:val="00545EFD"/>
    <w:rsid w:val="00551097"/>
    <w:rsid w:val="0055179A"/>
    <w:rsid w:val="00551812"/>
    <w:rsid w:val="00551972"/>
    <w:rsid w:val="00551D7C"/>
    <w:rsid w:val="0055265B"/>
    <w:rsid w:val="005539CD"/>
    <w:rsid w:val="00555691"/>
    <w:rsid w:val="00555E76"/>
    <w:rsid w:val="00556083"/>
    <w:rsid w:val="00556A84"/>
    <w:rsid w:val="005571F3"/>
    <w:rsid w:val="005608E8"/>
    <w:rsid w:val="00561C11"/>
    <w:rsid w:val="005628DF"/>
    <w:rsid w:val="00564FCD"/>
    <w:rsid w:val="00565D0E"/>
    <w:rsid w:val="00567107"/>
    <w:rsid w:val="0057135A"/>
    <w:rsid w:val="005720DA"/>
    <w:rsid w:val="00572E64"/>
    <w:rsid w:val="00574BF4"/>
    <w:rsid w:val="00574D36"/>
    <w:rsid w:val="00576830"/>
    <w:rsid w:val="00576973"/>
    <w:rsid w:val="00576BE8"/>
    <w:rsid w:val="00576D40"/>
    <w:rsid w:val="00577399"/>
    <w:rsid w:val="0057796E"/>
    <w:rsid w:val="00577B69"/>
    <w:rsid w:val="005801AB"/>
    <w:rsid w:val="00580D20"/>
    <w:rsid w:val="00582789"/>
    <w:rsid w:val="00583ED8"/>
    <w:rsid w:val="005856B0"/>
    <w:rsid w:val="005857C3"/>
    <w:rsid w:val="00587D6C"/>
    <w:rsid w:val="005909FD"/>
    <w:rsid w:val="00591C36"/>
    <w:rsid w:val="00592DE4"/>
    <w:rsid w:val="005953AB"/>
    <w:rsid w:val="00595D11"/>
    <w:rsid w:val="005964C5"/>
    <w:rsid w:val="005A097B"/>
    <w:rsid w:val="005A0BAE"/>
    <w:rsid w:val="005A3CD9"/>
    <w:rsid w:val="005A4D1D"/>
    <w:rsid w:val="005B08B6"/>
    <w:rsid w:val="005B0FE4"/>
    <w:rsid w:val="005B1AB4"/>
    <w:rsid w:val="005B2646"/>
    <w:rsid w:val="005B3357"/>
    <w:rsid w:val="005B3F44"/>
    <w:rsid w:val="005B4295"/>
    <w:rsid w:val="005B4F78"/>
    <w:rsid w:val="005B688B"/>
    <w:rsid w:val="005B6F4B"/>
    <w:rsid w:val="005B7479"/>
    <w:rsid w:val="005B7F4A"/>
    <w:rsid w:val="005C05AD"/>
    <w:rsid w:val="005C0B43"/>
    <w:rsid w:val="005C44A6"/>
    <w:rsid w:val="005C6593"/>
    <w:rsid w:val="005C67CB"/>
    <w:rsid w:val="005C7025"/>
    <w:rsid w:val="005D061E"/>
    <w:rsid w:val="005D0AA0"/>
    <w:rsid w:val="005D1A4F"/>
    <w:rsid w:val="005D1B8D"/>
    <w:rsid w:val="005D47DA"/>
    <w:rsid w:val="005D59E3"/>
    <w:rsid w:val="005D660C"/>
    <w:rsid w:val="005E191C"/>
    <w:rsid w:val="005E2F04"/>
    <w:rsid w:val="005E3CA9"/>
    <w:rsid w:val="005E71A9"/>
    <w:rsid w:val="005F1F2D"/>
    <w:rsid w:val="005F41F4"/>
    <w:rsid w:val="005F5264"/>
    <w:rsid w:val="005F627A"/>
    <w:rsid w:val="00600E7E"/>
    <w:rsid w:val="006023B7"/>
    <w:rsid w:val="0060334A"/>
    <w:rsid w:val="00604CCB"/>
    <w:rsid w:val="00605895"/>
    <w:rsid w:val="006058A9"/>
    <w:rsid w:val="00605C9F"/>
    <w:rsid w:val="00605E78"/>
    <w:rsid w:val="0060657A"/>
    <w:rsid w:val="006072C3"/>
    <w:rsid w:val="00611DF2"/>
    <w:rsid w:val="00612252"/>
    <w:rsid w:val="00615AD8"/>
    <w:rsid w:val="00616411"/>
    <w:rsid w:val="00616AF3"/>
    <w:rsid w:val="00616EEE"/>
    <w:rsid w:val="00616F07"/>
    <w:rsid w:val="00616F80"/>
    <w:rsid w:val="00616FE2"/>
    <w:rsid w:val="006174C0"/>
    <w:rsid w:val="006178BC"/>
    <w:rsid w:val="00620ED1"/>
    <w:rsid w:val="0062490E"/>
    <w:rsid w:val="00625CD9"/>
    <w:rsid w:val="00627B95"/>
    <w:rsid w:val="006305DB"/>
    <w:rsid w:val="006323A1"/>
    <w:rsid w:val="00632D15"/>
    <w:rsid w:val="00634A37"/>
    <w:rsid w:val="00634F37"/>
    <w:rsid w:val="00635D23"/>
    <w:rsid w:val="00635D93"/>
    <w:rsid w:val="00640E66"/>
    <w:rsid w:val="00641A1F"/>
    <w:rsid w:val="00641CBD"/>
    <w:rsid w:val="0064334B"/>
    <w:rsid w:val="00644277"/>
    <w:rsid w:val="0064430F"/>
    <w:rsid w:val="00644AF4"/>
    <w:rsid w:val="0064579E"/>
    <w:rsid w:val="00645CB5"/>
    <w:rsid w:val="006469E8"/>
    <w:rsid w:val="006504AF"/>
    <w:rsid w:val="00651C8D"/>
    <w:rsid w:val="00652395"/>
    <w:rsid w:val="006551D5"/>
    <w:rsid w:val="00655B6F"/>
    <w:rsid w:val="00656538"/>
    <w:rsid w:val="00656D48"/>
    <w:rsid w:val="00660153"/>
    <w:rsid w:val="0066053A"/>
    <w:rsid w:val="00661A98"/>
    <w:rsid w:val="00661D49"/>
    <w:rsid w:val="006644F0"/>
    <w:rsid w:val="0066655C"/>
    <w:rsid w:val="006672C5"/>
    <w:rsid w:val="006673C7"/>
    <w:rsid w:val="006675E4"/>
    <w:rsid w:val="0067119B"/>
    <w:rsid w:val="00671938"/>
    <w:rsid w:val="00671D77"/>
    <w:rsid w:val="00674C4A"/>
    <w:rsid w:val="00674E27"/>
    <w:rsid w:val="00675E19"/>
    <w:rsid w:val="0068264D"/>
    <w:rsid w:val="0068332D"/>
    <w:rsid w:val="00683DFF"/>
    <w:rsid w:val="00683F35"/>
    <w:rsid w:val="00685A4A"/>
    <w:rsid w:val="00685C95"/>
    <w:rsid w:val="006864E3"/>
    <w:rsid w:val="00687C98"/>
    <w:rsid w:val="00690E5F"/>
    <w:rsid w:val="006918AA"/>
    <w:rsid w:val="00691F8E"/>
    <w:rsid w:val="00693C4D"/>
    <w:rsid w:val="0069564B"/>
    <w:rsid w:val="00695D9B"/>
    <w:rsid w:val="00696017"/>
    <w:rsid w:val="006A25B8"/>
    <w:rsid w:val="006A36BC"/>
    <w:rsid w:val="006A51B6"/>
    <w:rsid w:val="006A621F"/>
    <w:rsid w:val="006B23D6"/>
    <w:rsid w:val="006B2ED7"/>
    <w:rsid w:val="006B4135"/>
    <w:rsid w:val="006B74BD"/>
    <w:rsid w:val="006C1B67"/>
    <w:rsid w:val="006C2B50"/>
    <w:rsid w:val="006C2DA3"/>
    <w:rsid w:val="006C44B0"/>
    <w:rsid w:val="006C4AD6"/>
    <w:rsid w:val="006C4C29"/>
    <w:rsid w:val="006C5355"/>
    <w:rsid w:val="006C5A01"/>
    <w:rsid w:val="006C6086"/>
    <w:rsid w:val="006D0EFF"/>
    <w:rsid w:val="006D0F0B"/>
    <w:rsid w:val="006D0F5E"/>
    <w:rsid w:val="006D25C4"/>
    <w:rsid w:val="006D398D"/>
    <w:rsid w:val="006D56C4"/>
    <w:rsid w:val="006E1724"/>
    <w:rsid w:val="006E1856"/>
    <w:rsid w:val="006E2560"/>
    <w:rsid w:val="006E58FE"/>
    <w:rsid w:val="006E7A49"/>
    <w:rsid w:val="006F0A20"/>
    <w:rsid w:val="006F0F43"/>
    <w:rsid w:val="006F202E"/>
    <w:rsid w:val="006F2E64"/>
    <w:rsid w:val="006F4567"/>
    <w:rsid w:val="006F4754"/>
    <w:rsid w:val="006F489B"/>
    <w:rsid w:val="006F7038"/>
    <w:rsid w:val="0070010A"/>
    <w:rsid w:val="007018FE"/>
    <w:rsid w:val="0070385E"/>
    <w:rsid w:val="0070588E"/>
    <w:rsid w:val="007059ED"/>
    <w:rsid w:val="0070792E"/>
    <w:rsid w:val="00707A14"/>
    <w:rsid w:val="0071158C"/>
    <w:rsid w:val="007125BD"/>
    <w:rsid w:val="0071288A"/>
    <w:rsid w:val="007149DE"/>
    <w:rsid w:val="00714FB4"/>
    <w:rsid w:val="00716868"/>
    <w:rsid w:val="00717098"/>
    <w:rsid w:val="007204C5"/>
    <w:rsid w:val="00720A88"/>
    <w:rsid w:val="00721A2D"/>
    <w:rsid w:val="00722E0D"/>
    <w:rsid w:val="00723FF6"/>
    <w:rsid w:val="00723FF9"/>
    <w:rsid w:val="00727047"/>
    <w:rsid w:val="00727BFF"/>
    <w:rsid w:val="0073290B"/>
    <w:rsid w:val="00733DB6"/>
    <w:rsid w:val="00734C26"/>
    <w:rsid w:val="007359AA"/>
    <w:rsid w:val="00737492"/>
    <w:rsid w:val="00740389"/>
    <w:rsid w:val="007423EA"/>
    <w:rsid w:val="00743FE8"/>
    <w:rsid w:val="007501F1"/>
    <w:rsid w:val="007503D2"/>
    <w:rsid w:val="00750C7D"/>
    <w:rsid w:val="007520C1"/>
    <w:rsid w:val="00752343"/>
    <w:rsid w:val="00753A8E"/>
    <w:rsid w:val="007569A3"/>
    <w:rsid w:val="00756FB2"/>
    <w:rsid w:val="00761D36"/>
    <w:rsid w:val="00761F54"/>
    <w:rsid w:val="007624EA"/>
    <w:rsid w:val="00762F1A"/>
    <w:rsid w:val="0076341E"/>
    <w:rsid w:val="00763E63"/>
    <w:rsid w:val="00764005"/>
    <w:rsid w:val="00765BA5"/>
    <w:rsid w:val="00766FF7"/>
    <w:rsid w:val="00767C4C"/>
    <w:rsid w:val="00770E0F"/>
    <w:rsid w:val="00773C03"/>
    <w:rsid w:val="00773F2E"/>
    <w:rsid w:val="00775613"/>
    <w:rsid w:val="00776158"/>
    <w:rsid w:val="0077738D"/>
    <w:rsid w:val="00780737"/>
    <w:rsid w:val="00782A4A"/>
    <w:rsid w:val="00783FD3"/>
    <w:rsid w:val="00785335"/>
    <w:rsid w:val="00787213"/>
    <w:rsid w:val="00790B26"/>
    <w:rsid w:val="007919DD"/>
    <w:rsid w:val="00792107"/>
    <w:rsid w:val="00793150"/>
    <w:rsid w:val="00793C2D"/>
    <w:rsid w:val="00794294"/>
    <w:rsid w:val="007944D5"/>
    <w:rsid w:val="0079459C"/>
    <w:rsid w:val="007946DD"/>
    <w:rsid w:val="00795F9A"/>
    <w:rsid w:val="00796099"/>
    <w:rsid w:val="007979AF"/>
    <w:rsid w:val="007A0E30"/>
    <w:rsid w:val="007A0FDE"/>
    <w:rsid w:val="007A16C9"/>
    <w:rsid w:val="007A1ADC"/>
    <w:rsid w:val="007A2A3D"/>
    <w:rsid w:val="007A3DD8"/>
    <w:rsid w:val="007A507F"/>
    <w:rsid w:val="007B05F7"/>
    <w:rsid w:val="007B07DC"/>
    <w:rsid w:val="007B1424"/>
    <w:rsid w:val="007B3DDD"/>
    <w:rsid w:val="007B4E6E"/>
    <w:rsid w:val="007B593B"/>
    <w:rsid w:val="007B7672"/>
    <w:rsid w:val="007C0579"/>
    <w:rsid w:val="007C32D9"/>
    <w:rsid w:val="007C3AAC"/>
    <w:rsid w:val="007C564C"/>
    <w:rsid w:val="007C5992"/>
    <w:rsid w:val="007C6A7D"/>
    <w:rsid w:val="007C7FDA"/>
    <w:rsid w:val="007D0544"/>
    <w:rsid w:val="007D394B"/>
    <w:rsid w:val="007D408D"/>
    <w:rsid w:val="007D4DA3"/>
    <w:rsid w:val="007D5053"/>
    <w:rsid w:val="007D6B9A"/>
    <w:rsid w:val="007E1B4E"/>
    <w:rsid w:val="007E337E"/>
    <w:rsid w:val="007E381B"/>
    <w:rsid w:val="007E41F5"/>
    <w:rsid w:val="007E681E"/>
    <w:rsid w:val="007E7664"/>
    <w:rsid w:val="007F0CDC"/>
    <w:rsid w:val="007F2C43"/>
    <w:rsid w:val="007F3555"/>
    <w:rsid w:val="007F4E8E"/>
    <w:rsid w:val="007F538A"/>
    <w:rsid w:val="007F6A8A"/>
    <w:rsid w:val="007F7665"/>
    <w:rsid w:val="007F7EFE"/>
    <w:rsid w:val="00802950"/>
    <w:rsid w:val="008042F3"/>
    <w:rsid w:val="00804340"/>
    <w:rsid w:val="00805CAF"/>
    <w:rsid w:val="00807CF9"/>
    <w:rsid w:val="00807E15"/>
    <w:rsid w:val="00810C02"/>
    <w:rsid w:val="00811CAD"/>
    <w:rsid w:val="00812738"/>
    <w:rsid w:val="00812748"/>
    <w:rsid w:val="00813038"/>
    <w:rsid w:val="0081310B"/>
    <w:rsid w:val="00813381"/>
    <w:rsid w:val="00813BC0"/>
    <w:rsid w:val="008165AF"/>
    <w:rsid w:val="0081680F"/>
    <w:rsid w:val="00817837"/>
    <w:rsid w:val="00820A6E"/>
    <w:rsid w:val="00821864"/>
    <w:rsid w:val="00821ACA"/>
    <w:rsid w:val="00821C9C"/>
    <w:rsid w:val="0082349E"/>
    <w:rsid w:val="00824668"/>
    <w:rsid w:val="008247F3"/>
    <w:rsid w:val="00824E83"/>
    <w:rsid w:val="00830A9F"/>
    <w:rsid w:val="00830B7A"/>
    <w:rsid w:val="00830F5E"/>
    <w:rsid w:val="0083140A"/>
    <w:rsid w:val="008336F6"/>
    <w:rsid w:val="0084043B"/>
    <w:rsid w:val="00842921"/>
    <w:rsid w:val="00842B05"/>
    <w:rsid w:val="0084501B"/>
    <w:rsid w:val="0084624E"/>
    <w:rsid w:val="00846B94"/>
    <w:rsid w:val="00850CE5"/>
    <w:rsid w:val="00851A9E"/>
    <w:rsid w:val="0085313C"/>
    <w:rsid w:val="00855174"/>
    <w:rsid w:val="0085555C"/>
    <w:rsid w:val="00856763"/>
    <w:rsid w:val="00856A1B"/>
    <w:rsid w:val="00857FD5"/>
    <w:rsid w:val="008631A7"/>
    <w:rsid w:val="008631B5"/>
    <w:rsid w:val="00866007"/>
    <w:rsid w:val="008669CD"/>
    <w:rsid w:val="0086774B"/>
    <w:rsid w:val="008718CD"/>
    <w:rsid w:val="00871FC5"/>
    <w:rsid w:val="00876679"/>
    <w:rsid w:val="0088041A"/>
    <w:rsid w:val="008813AB"/>
    <w:rsid w:val="0088322C"/>
    <w:rsid w:val="00883DC6"/>
    <w:rsid w:val="0088411C"/>
    <w:rsid w:val="00892372"/>
    <w:rsid w:val="00892AB0"/>
    <w:rsid w:val="00894170"/>
    <w:rsid w:val="0089537B"/>
    <w:rsid w:val="00896134"/>
    <w:rsid w:val="008A1156"/>
    <w:rsid w:val="008A2509"/>
    <w:rsid w:val="008A2F30"/>
    <w:rsid w:val="008A41F5"/>
    <w:rsid w:val="008A4376"/>
    <w:rsid w:val="008A5574"/>
    <w:rsid w:val="008A5EAF"/>
    <w:rsid w:val="008A6B91"/>
    <w:rsid w:val="008B0BFB"/>
    <w:rsid w:val="008B250A"/>
    <w:rsid w:val="008B46EC"/>
    <w:rsid w:val="008B63CF"/>
    <w:rsid w:val="008B6F4C"/>
    <w:rsid w:val="008C09C4"/>
    <w:rsid w:val="008C0BC8"/>
    <w:rsid w:val="008C0F42"/>
    <w:rsid w:val="008C2F37"/>
    <w:rsid w:val="008C4819"/>
    <w:rsid w:val="008C6697"/>
    <w:rsid w:val="008D0650"/>
    <w:rsid w:val="008D0680"/>
    <w:rsid w:val="008D07CB"/>
    <w:rsid w:val="008D1111"/>
    <w:rsid w:val="008D2331"/>
    <w:rsid w:val="008D2A21"/>
    <w:rsid w:val="008D3F3A"/>
    <w:rsid w:val="008E0802"/>
    <w:rsid w:val="008E0889"/>
    <w:rsid w:val="008E0BD3"/>
    <w:rsid w:val="008E34BE"/>
    <w:rsid w:val="008E3C74"/>
    <w:rsid w:val="008E440F"/>
    <w:rsid w:val="008E4BDF"/>
    <w:rsid w:val="008E4E63"/>
    <w:rsid w:val="008E57DC"/>
    <w:rsid w:val="008E78C7"/>
    <w:rsid w:val="008F6EB7"/>
    <w:rsid w:val="008F705E"/>
    <w:rsid w:val="00900352"/>
    <w:rsid w:val="009020A3"/>
    <w:rsid w:val="00902560"/>
    <w:rsid w:val="00905340"/>
    <w:rsid w:val="00905527"/>
    <w:rsid w:val="009060CA"/>
    <w:rsid w:val="009063A9"/>
    <w:rsid w:val="0090672E"/>
    <w:rsid w:val="00907F81"/>
    <w:rsid w:val="009112C6"/>
    <w:rsid w:val="009147C1"/>
    <w:rsid w:val="00914967"/>
    <w:rsid w:val="00916514"/>
    <w:rsid w:val="00920DC2"/>
    <w:rsid w:val="0092212C"/>
    <w:rsid w:val="009223CA"/>
    <w:rsid w:val="00922C8B"/>
    <w:rsid w:val="009230D4"/>
    <w:rsid w:val="00923405"/>
    <w:rsid w:val="009240F4"/>
    <w:rsid w:val="0092480F"/>
    <w:rsid w:val="00924BD0"/>
    <w:rsid w:val="00925228"/>
    <w:rsid w:val="00925D7E"/>
    <w:rsid w:val="00926B01"/>
    <w:rsid w:val="00927084"/>
    <w:rsid w:val="00927C48"/>
    <w:rsid w:val="009302FD"/>
    <w:rsid w:val="00930EA2"/>
    <w:rsid w:val="009334AF"/>
    <w:rsid w:val="0093488B"/>
    <w:rsid w:val="009348D4"/>
    <w:rsid w:val="00934991"/>
    <w:rsid w:val="00934AAA"/>
    <w:rsid w:val="00934B5A"/>
    <w:rsid w:val="00935943"/>
    <w:rsid w:val="009363BB"/>
    <w:rsid w:val="009369D6"/>
    <w:rsid w:val="00937E54"/>
    <w:rsid w:val="00937F00"/>
    <w:rsid w:val="00940004"/>
    <w:rsid w:val="00945763"/>
    <w:rsid w:val="0094597E"/>
    <w:rsid w:val="00945E4D"/>
    <w:rsid w:val="00946A28"/>
    <w:rsid w:val="009470EA"/>
    <w:rsid w:val="00947416"/>
    <w:rsid w:val="00950242"/>
    <w:rsid w:val="00950FCA"/>
    <w:rsid w:val="00951049"/>
    <w:rsid w:val="009527CD"/>
    <w:rsid w:val="00957190"/>
    <w:rsid w:val="009604D1"/>
    <w:rsid w:val="009610F5"/>
    <w:rsid w:val="00961459"/>
    <w:rsid w:val="009632DD"/>
    <w:rsid w:val="00963319"/>
    <w:rsid w:val="0096372F"/>
    <w:rsid w:val="00964A74"/>
    <w:rsid w:val="00965DF2"/>
    <w:rsid w:val="0096630F"/>
    <w:rsid w:val="00966A2A"/>
    <w:rsid w:val="00966DBC"/>
    <w:rsid w:val="0097479D"/>
    <w:rsid w:val="009756BF"/>
    <w:rsid w:val="009757C2"/>
    <w:rsid w:val="00976DA3"/>
    <w:rsid w:val="00976F69"/>
    <w:rsid w:val="00980BE4"/>
    <w:rsid w:val="009812D3"/>
    <w:rsid w:val="009833EE"/>
    <w:rsid w:val="009839A5"/>
    <w:rsid w:val="009857B4"/>
    <w:rsid w:val="00986754"/>
    <w:rsid w:val="009875E8"/>
    <w:rsid w:val="00993039"/>
    <w:rsid w:val="00994A68"/>
    <w:rsid w:val="009967DB"/>
    <w:rsid w:val="00997B93"/>
    <w:rsid w:val="009A02E7"/>
    <w:rsid w:val="009A109D"/>
    <w:rsid w:val="009A1ADB"/>
    <w:rsid w:val="009A28B1"/>
    <w:rsid w:val="009A29C6"/>
    <w:rsid w:val="009A4C9B"/>
    <w:rsid w:val="009A68D4"/>
    <w:rsid w:val="009A7671"/>
    <w:rsid w:val="009B1416"/>
    <w:rsid w:val="009B2575"/>
    <w:rsid w:val="009B37CE"/>
    <w:rsid w:val="009B4A68"/>
    <w:rsid w:val="009B70BB"/>
    <w:rsid w:val="009B7C51"/>
    <w:rsid w:val="009C1473"/>
    <w:rsid w:val="009C18FA"/>
    <w:rsid w:val="009C19D9"/>
    <w:rsid w:val="009C4910"/>
    <w:rsid w:val="009C5B45"/>
    <w:rsid w:val="009C6299"/>
    <w:rsid w:val="009C764D"/>
    <w:rsid w:val="009D18DA"/>
    <w:rsid w:val="009D33A1"/>
    <w:rsid w:val="009D3D66"/>
    <w:rsid w:val="009D3E08"/>
    <w:rsid w:val="009D7E9F"/>
    <w:rsid w:val="009E0E73"/>
    <w:rsid w:val="009E1E22"/>
    <w:rsid w:val="009E2B35"/>
    <w:rsid w:val="009E2FE0"/>
    <w:rsid w:val="009E3E31"/>
    <w:rsid w:val="009E405C"/>
    <w:rsid w:val="009E6E10"/>
    <w:rsid w:val="009F0357"/>
    <w:rsid w:val="009F0C88"/>
    <w:rsid w:val="009F15BD"/>
    <w:rsid w:val="009F211D"/>
    <w:rsid w:val="009F29EA"/>
    <w:rsid w:val="009F4249"/>
    <w:rsid w:val="009F4FA4"/>
    <w:rsid w:val="009F524E"/>
    <w:rsid w:val="009F6171"/>
    <w:rsid w:val="009F6620"/>
    <w:rsid w:val="00A053D0"/>
    <w:rsid w:val="00A05BBC"/>
    <w:rsid w:val="00A06CF7"/>
    <w:rsid w:val="00A07861"/>
    <w:rsid w:val="00A07E06"/>
    <w:rsid w:val="00A10264"/>
    <w:rsid w:val="00A108C7"/>
    <w:rsid w:val="00A13086"/>
    <w:rsid w:val="00A13EB8"/>
    <w:rsid w:val="00A14467"/>
    <w:rsid w:val="00A15383"/>
    <w:rsid w:val="00A171A9"/>
    <w:rsid w:val="00A17BBA"/>
    <w:rsid w:val="00A20512"/>
    <w:rsid w:val="00A220F1"/>
    <w:rsid w:val="00A222CF"/>
    <w:rsid w:val="00A24A78"/>
    <w:rsid w:val="00A254A3"/>
    <w:rsid w:val="00A25BA4"/>
    <w:rsid w:val="00A273F6"/>
    <w:rsid w:val="00A30CA2"/>
    <w:rsid w:val="00A3170D"/>
    <w:rsid w:val="00A32837"/>
    <w:rsid w:val="00A330D8"/>
    <w:rsid w:val="00A33296"/>
    <w:rsid w:val="00A37758"/>
    <w:rsid w:val="00A403E2"/>
    <w:rsid w:val="00A40549"/>
    <w:rsid w:val="00A421D4"/>
    <w:rsid w:val="00A43DE5"/>
    <w:rsid w:val="00A444FF"/>
    <w:rsid w:val="00A4590E"/>
    <w:rsid w:val="00A4696A"/>
    <w:rsid w:val="00A47D2E"/>
    <w:rsid w:val="00A502C2"/>
    <w:rsid w:val="00A53047"/>
    <w:rsid w:val="00A53BC7"/>
    <w:rsid w:val="00A53DBA"/>
    <w:rsid w:val="00A5510E"/>
    <w:rsid w:val="00A5531A"/>
    <w:rsid w:val="00A564CE"/>
    <w:rsid w:val="00A57485"/>
    <w:rsid w:val="00A61DC3"/>
    <w:rsid w:val="00A61DD1"/>
    <w:rsid w:val="00A62773"/>
    <w:rsid w:val="00A632B4"/>
    <w:rsid w:val="00A63CE0"/>
    <w:rsid w:val="00A655EC"/>
    <w:rsid w:val="00A66D7D"/>
    <w:rsid w:val="00A67AE6"/>
    <w:rsid w:val="00A67ECE"/>
    <w:rsid w:val="00A67EF1"/>
    <w:rsid w:val="00A70840"/>
    <w:rsid w:val="00A7260D"/>
    <w:rsid w:val="00A72C74"/>
    <w:rsid w:val="00A73050"/>
    <w:rsid w:val="00A7327F"/>
    <w:rsid w:val="00A7362C"/>
    <w:rsid w:val="00A73EDD"/>
    <w:rsid w:val="00A7524D"/>
    <w:rsid w:val="00A76EEB"/>
    <w:rsid w:val="00A81673"/>
    <w:rsid w:val="00A8170C"/>
    <w:rsid w:val="00A825DD"/>
    <w:rsid w:val="00A8574D"/>
    <w:rsid w:val="00A85B40"/>
    <w:rsid w:val="00A86A99"/>
    <w:rsid w:val="00A879A6"/>
    <w:rsid w:val="00A87F51"/>
    <w:rsid w:val="00A908A4"/>
    <w:rsid w:val="00A92C53"/>
    <w:rsid w:val="00A9559B"/>
    <w:rsid w:val="00A9645D"/>
    <w:rsid w:val="00A97689"/>
    <w:rsid w:val="00A977E8"/>
    <w:rsid w:val="00AA108B"/>
    <w:rsid w:val="00AA19E4"/>
    <w:rsid w:val="00AA1AFF"/>
    <w:rsid w:val="00AA2E6B"/>
    <w:rsid w:val="00AA34F3"/>
    <w:rsid w:val="00AA44EE"/>
    <w:rsid w:val="00AB05DE"/>
    <w:rsid w:val="00AB0DF8"/>
    <w:rsid w:val="00AB250F"/>
    <w:rsid w:val="00AB395E"/>
    <w:rsid w:val="00AB51E7"/>
    <w:rsid w:val="00AC046A"/>
    <w:rsid w:val="00AC3D4F"/>
    <w:rsid w:val="00AC757D"/>
    <w:rsid w:val="00AC7DE8"/>
    <w:rsid w:val="00AD0F8D"/>
    <w:rsid w:val="00AD15BD"/>
    <w:rsid w:val="00AD1811"/>
    <w:rsid w:val="00AD1881"/>
    <w:rsid w:val="00AD254A"/>
    <w:rsid w:val="00AD28EB"/>
    <w:rsid w:val="00AD3AAC"/>
    <w:rsid w:val="00AD7035"/>
    <w:rsid w:val="00AE12FF"/>
    <w:rsid w:val="00AE1B74"/>
    <w:rsid w:val="00AE1D14"/>
    <w:rsid w:val="00AE23B6"/>
    <w:rsid w:val="00AE3772"/>
    <w:rsid w:val="00AE3ED4"/>
    <w:rsid w:val="00AE3EDC"/>
    <w:rsid w:val="00AE45A0"/>
    <w:rsid w:val="00AE46B3"/>
    <w:rsid w:val="00AE5479"/>
    <w:rsid w:val="00AE70A8"/>
    <w:rsid w:val="00AF2B6F"/>
    <w:rsid w:val="00AF3866"/>
    <w:rsid w:val="00AF4076"/>
    <w:rsid w:val="00AF57E4"/>
    <w:rsid w:val="00B0024A"/>
    <w:rsid w:val="00B00455"/>
    <w:rsid w:val="00B02149"/>
    <w:rsid w:val="00B0317B"/>
    <w:rsid w:val="00B066A4"/>
    <w:rsid w:val="00B07884"/>
    <w:rsid w:val="00B07DA7"/>
    <w:rsid w:val="00B1156A"/>
    <w:rsid w:val="00B120D1"/>
    <w:rsid w:val="00B12776"/>
    <w:rsid w:val="00B141AE"/>
    <w:rsid w:val="00B1427D"/>
    <w:rsid w:val="00B14850"/>
    <w:rsid w:val="00B14852"/>
    <w:rsid w:val="00B14B5D"/>
    <w:rsid w:val="00B16D9B"/>
    <w:rsid w:val="00B20FDC"/>
    <w:rsid w:val="00B21381"/>
    <w:rsid w:val="00B23DFD"/>
    <w:rsid w:val="00B24272"/>
    <w:rsid w:val="00B24842"/>
    <w:rsid w:val="00B25053"/>
    <w:rsid w:val="00B26296"/>
    <w:rsid w:val="00B2690F"/>
    <w:rsid w:val="00B3011A"/>
    <w:rsid w:val="00B3059B"/>
    <w:rsid w:val="00B33384"/>
    <w:rsid w:val="00B34917"/>
    <w:rsid w:val="00B358E7"/>
    <w:rsid w:val="00B35EE8"/>
    <w:rsid w:val="00B37556"/>
    <w:rsid w:val="00B376EF"/>
    <w:rsid w:val="00B404F5"/>
    <w:rsid w:val="00B40560"/>
    <w:rsid w:val="00B4385B"/>
    <w:rsid w:val="00B43986"/>
    <w:rsid w:val="00B478FE"/>
    <w:rsid w:val="00B5079C"/>
    <w:rsid w:val="00B50A44"/>
    <w:rsid w:val="00B52B71"/>
    <w:rsid w:val="00B5318A"/>
    <w:rsid w:val="00B54CBC"/>
    <w:rsid w:val="00B55BA4"/>
    <w:rsid w:val="00B57A89"/>
    <w:rsid w:val="00B607F2"/>
    <w:rsid w:val="00B61AA5"/>
    <w:rsid w:val="00B623F4"/>
    <w:rsid w:val="00B63E3B"/>
    <w:rsid w:val="00B65F08"/>
    <w:rsid w:val="00B65F55"/>
    <w:rsid w:val="00B6649E"/>
    <w:rsid w:val="00B675C9"/>
    <w:rsid w:val="00B6774B"/>
    <w:rsid w:val="00B71D17"/>
    <w:rsid w:val="00B730E0"/>
    <w:rsid w:val="00B731E9"/>
    <w:rsid w:val="00B7446B"/>
    <w:rsid w:val="00B754CD"/>
    <w:rsid w:val="00B755D5"/>
    <w:rsid w:val="00B75D84"/>
    <w:rsid w:val="00B76226"/>
    <w:rsid w:val="00B76C6C"/>
    <w:rsid w:val="00B8063D"/>
    <w:rsid w:val="00B809AA"/>
    <w:rsid w:val="00B81529"/>
    <w:rsid w:val="00B821A3"/>
    <w:rsid w:val="00B832E3"/>
    <w:rsid w:val="00B83D88"/>
    <w:rsid w:val="00B83E2C"/>
    <w:rsid w:val="00B9189E"/>
    <w:rsid w:val="00B91B53"/>
    <w:rsid w:val="00B969A1"/>
    <w:rsid w:val="00B96D80"/>
    <w:rsid w:val="00B96EDF"/>
    <w:rsid w:val="00B970E5"/>
    <w:rsid w:val="00BA01D2"/>
    <w:rsid w:val="00BA3192"/>
    <w:rsid w:val="00BA4530"/>
    <w:rsid w:val="00BA4A8E"/>
    <w:rsid w:val="00BA5A9D"/>
    <w:rsid w:val="00BA7AA6"/>
    <w:rsid w:val="00BB00F0"/>
    <w:rsid w:val="00BB28B5"/>
    <w:rsid w:val="00BB37C8"/>
    <w:rsid w:val="00BB6321"/>
    <w:rsid w:val="00BB6694"/>
    <w:rsid w:val="00BB7965"/>
    <w:rsid w:val="00BB7CEA"/>
    <w:rsid w:val="00BC182F"/>
    <w:rsid w:val="00BC18F8"/>
    <w:rsid w:val="00BC36A2"/>
    <w:rsid w:val="00BC46D4"/>
    <w:rsid w:val="00BC4866"/>
    <w:rsid w:val="00BC58FF"/>
    <w:rsid w:val="00BC6B23"/>
    <w:rsid w:val="00BC6DB0"/>
    <w:rsid w:val="00BD18B6"/>
    <w:rsid w:val="00BD2A6C"/>
    <w:rsid w:val="00BD2F86"/>
    <w:rsid w:val="00BD5AA8"/>
    <w:rsid w:val="00BD5E3B"/>
    <w:rsid w:val="00BE0590"/>
    <w:rsid w:val="00BE2F51"/>
    <w:rsid w:val="00BE3F1F"/>
    <w:rsid w:val="00BE7E5C"/>
    <w:rsid w:val="00BF11F2"/>
    <w:rsid w:val="00BF23B5"/>
    <w:rsid w:val="00BF2D57"/>
    <w:rsid w:val="00BF42E7"/>
    <w:rsid w:val="00C05158"/>
    <w:rsid w:val="00C05521"/>
    <w:rsid w:val="00C05E89"/>
    <w:rsid w:val="00C077B7"/>
    <w:rsid w:val="00C078A7"/>
    <w:rsid w:val="00C07970"/>
    <w:rsid w:val="00C07FF1"/>
    <w:rsid w:val="00C108B2"/>
    <w:rsid w:val="00C10D35"/>
    <w:rsid w:val="00C11607"/>
    <w:rsid w:val="00C12F5F"/>
    <w:rsid w:val="00C13640"/>
    <w:rsid w:val="00C13718"/>
    <w:rsid w:val="00C14182"/>
    <w:rsid w:val="00C146F0"/>
    <w:rsid w:val="00C152DD"/>
    <w:rsid w:val="00C15761"/>
    <w:rsid w:val="00C16CBF"/>
    <w:rsid w:val="00C17A05"/>
    <w:rsid w:val="00C25BED"/>
    <w:rsid w:val="00C268EE"/>
    <w:rsid w:val="00C26DF3"/>
    <w:rsid w:val="00C26EAE"/>
    <w:rsid w:val="00C26FB8"/>
    <w:rsid w:val="00C32DC8"/>
    <w:rsid w:val="00C3356C"/>
    <w:rsid w:val="00C355A6"/>
    <w:rsid w:val="00C37244"/>
    <w:rsid w:val="00C40155"/>
    <w:rsid w:val="00C4133D"/>
    <w:rsid w:val="00C414A7"/>
    <w:rsid w:val="00C43F9E"/>
    <w:rsid w:val="00C44147"/>
    <w:rsid w:val="00C446F5"/>
    <w:rsid w:val="00C44D75"/>
    <w:rsid w:val="00C45FF0"/>
    <w:rsid w:val="00C46F76"/>
    <w:rsid w:val="00C4706D"/>
    <w:rsid w:val="00C470A0"/>
    <w:rsid w:val="00C51E92"/>
    <w:rsid w:val="00C52769"/>
    <w:rsid w:val="00C52CCB"/>
    <w:rsid w:val="00C54646"/>
    <w:rsid w:val="00C55601"/>
    <w:rsid w:val="00C55992"/>
    <w:rsid w:val="00C55FDB"/>
    <w:rsid w:val="00C568C7"/>
    <w:rsid w:val="00C570E6"/>
    <w:rsid w:val="00C606B0"/>
    <w:rsid w:val="00C60D72"/>
    <w:rsid w:val="00C61377"/>
    <w:rsid w:val="00C6475A"/>
    <w:rsid w:val="00C64A8D"/>
    <w:rsid w:val="00C66CEA"/>
    <w:rsid w:val="00C66FAF"/>
    <w:rsid w:val="00C67FE7"/>
    <w:rsid w:val="00C70114"/>
    <w:rsid w:val="00C7054C"/>
    <w:rsid w:val="00C71AEB"/>
    <w:rsid w:val="00C73D19"/>
    <w:rsid w:val="00C77B54"/>
    <w:rsid w:val="00C80CB9"/>
    <w:rsid w:val="00C81CDF"/>
    <w:rsid w:val="00C8299B"/>
    <w:rsid w:val="00C8323F"/>
    <w:rsid w:val="00C83972"/>
    <w:rsid w:val="00C8407D"/>
    <w:rsid w:val="00C8441E"/>
    <w:rsid w:val="00C85E23"/>
    <w:rsid w:val="00C90F6B"/>
    <w:rsid w:val="00C939B9"/>
    <w:rsid w:val="00C945D0"/>
    <w:rsid w:val="00C94AF3"/>
    <w:rsid w:val="00C955E6"/>
    <w:rsid w:val="00C966A6"/>
    <w:rsid w:val="00CA3218"/>
    <w:rsid w:val="00CA349C"/>
    <w:rsid w:val="00CA3AE5"/>
    <w:rsid w:val="00CA4718"/>
    <w:rsid w:val="00CA5EEE"/>
    <w:rsid w:val="00CA690D"/>
    <w:rsid w:val="00CA69BE"/>
    <w:rsid w:val="00CB0AF8"/>
    <w:rsid w:val="00CB0B06"/>
    <w:rsid w:val="00CB30AB"/>
    <w:rsid w:val="00CB3B52"/>
    <w:rsid w:val="00CB4621"/>
    <w:rsid w:val="00CB5861"/>
    <w:rsid w:val="00CB78C6"/>
    <w:rsid w:val="00CC0CAD"/>
    <w:rsid w:val="00CC59BE"/>
    <w:rsid w:val="00CC5F7B"/>
    <w:rsid w:val="00CC6C6C"/>
    <w:rsid w:val="00CC7CE6"/>
    <w:rsid w:val="00CD1571"/>
    <w:rsid w:val="00CD24F9"/>
    <w:rsid w:val="00CD6A79"/>
    <w:rsid w:val="00CE07F0"/>
    <w:rsid w:val="00CE0C50"/>
    <w:rsid w:val="00CE1F55"/>
    <w:rsid w:val="00CE3ED1"/>
    <w:rsid w:val="00CE418F"/>
    <w:rsid w:val="00CE5E9E"/>
    <w:rsid w:val="00CE6F78"/>
    <w:rsid w:val="00CF052F"/>
    <w:rsid w:val="00CF19ED"/>
    <w:rsid w:val="00CF2B83"/>
    <w:rsid w:val="00CF348B"/>
    <w:rsid w:val="00CF3D51"/>
    <w:rsid w:val="00CF4887"/>
    <w:rsid w:val="00CF5A9C"/>
    <w:rsid w:val="00CF6020"/>
    <w:rsid w:val="00CF6254"/>
    <w:rsid w:val="00CF77EC"/>
    <w:rsid w:val="00D00382"/>
    <w:rsid w:val="00D01897"/>
    <w:rsid w:val="00D0197C"/>
    <w:rsid w:val="00D03524"/>
    <w:rsid w:val="00D068E1"/>
    <w:rsid w:val="00D071E4"/>
    <w:rsid w:val="00D119A5"/>
    <w:rsid w:val="00D13E2C"/>
    <w:rsid w:val="00D13E88"/>
    <w:rsid w:val="00D1432B"/>
    <w:rsid w:val="00D1786B"/>
    <w:rsid w:val="00D223E7"/>
    <w:rsid w:val="00D23E55"/>
    <w:rsid w:val="00D24244"/>
    <w:rsid w:val="00D24E76"/>
    <w:rsid w:val="00D2590B"/>
    <w:rsid w:val="00D27B7B"/>
    <w:rsid w:val="00D27D7F"/>
    <w:rsid w:val="00D30780"/>
    <w:rsid w:val="00D32467"/>
    <w:rsid w:val="00D326F6"/>
    <w:rsid w:val="00D32DFE"/>
    <w:rsid w:val="00D33CB4"/>
    <w:rsid w:val="00D340B5"/>
    <w:rsid w:val="00D36668"/>
    <w:rsid w:val="00D37A10"/>
    <w:rsid w:val="00D40805"/>
    <w:rsid w:val="00D41ACF"/>
    <w:rsid w:val="00D444DB"/>
    <w:rsid w:val="00D44771"/>
    <w:rsid w:val="00D44832"/>
    <w:rsid w:val="00D44C56"/>
    <w:rsid w:val="00D50EB7"/>
    <w:rsid w:val="00D539B2"/>
    <w:rsid w:val="00D55BE0"/>
    <w:rsid w:val="00D604B5"/>
    <w:rsid w:val="00D6053A"/>
    <w:rsid w:val="00D62B3D"/>
    <w:rsid w:val="00D64001"/>
    <w:rsid w:val="00D6493A"/>
    <w:rsid w:val="00D662D7"/>
    <w:rsid w:val="00D6632E"/>
    <w:rsid w:val="00D7128A"/>
    <w:rsid w:val="00D7327A"/>
    <w:rsid w:val="00D736F2"/>
    <w:rsid w:val="00D745FA"/>
    <w:rsid w:val="00D752E2"/>
    <w:rsid w:val="00D752FE"/>
    <w:rsid w:val="00D76143"/>
    <w:rsid w:val="00D76C84"/>
    <w:rsid w:val="00D76E5B"/>
    <w:rsid w:val="00D77902"/>
    <w:rsid w:val="00D8311F"/>
    <w:rsid w:val="00D83156"/>
    <w:rsid w:val="00D84ECA"/>
    <w:rsid w:val="00D8660C"/>
    <w:rsid w:val="00D86EBC"/>
    <w:rsid w:val="00D86F45"/>
    <w:rsid w:val="00D8726B"/>
    <w:rsid w:val="00D875BA"/>
    <w:rsid w:val="00D903AC"/>
    <w:rsid w:val="00D925A2"/>
    <w:rsid w:val="00D92EBA"/>
    <w:rsid w:val="00D94845"/>
    <w:rsid w:val="00D94A45"/>
    <w:rsid w:val="00D955C8"/>
    <w:rsid w:val="00D95B6D"/>
    <w:rsid w:val="00D95BD3"/>
    <w:rsid w:val="00D9698C"/>
    <w:rsid w:val="00D97545"/>
    <w:rsid w:val="00D979F2"/>
    <w:rsid w:val="00DA02A0"/>
    <w:rsid w:val="00DA09BE"/>
    <w:rsid w:val="00DA40FA"/>
    <w:rsid w:val="00DA474A"/>
    <w:rsid w:val="00DA4D26"/>
    <w:rsid w:val="00DA504C"/>
    <w:rsid w:val="00DA5415"/>
    <w:rsid w:val="00DA58C5"/>
    <w:rsid w:val="00DB170A"/>
    <w:rsid w:val="00DB2052"/>
    <w:rsid w:val="00DB2A50"/>
    <w:rsid w:val="00DB2DD7"/>
    <w:rsid w:val="00DB36C9"/>
    <w:rsid w:val="00DB3BE4"/>
    <w:rsid w:val="00DB660A"/>
    <w:rsid w:val="00DC07E2"/>
    <w:rsid w:val="00DC1376"/>
    <w:rsid w:val="00DC187E"/>
    <w:rsid w:val="00DC2262"/>
    <w:rsid w:val="00DC56AA"/>
    <w:rsid w:val="00DC5F58"/>
    <w:rsid w:val="00DC6AE4"/>
    <w:rsid w:val="00DC6CB5"/>
    <w:rsid w:val="00DC6D0F"/>
    <w:rsid w:val="00DC77E5"/>
    <w:rsid w:val="00DC7E07"/>
    <w:rsid w:val="00DD0064"/>
    <w:rsid w:val="00DD0D24"/>
    <w:rsid w:val="00DD1596"/>
    <w:rsid w:val="00DD15FC"/>
    <w:rsid w:val="00DD212C"/>
    <w:rsid w:val="00DD2252"/>
    <w:rsid w:val="00DD37A9"/>
    <w:rsid w:val="00DD4511"/>
    <w:rsid w:val="00DD50F5"/>
    <w:rsid w:val="00DD51C7"/>
    <w:rsid w:val="00DD5692"/>
    <w:rsid w:val="00DD6606"/>
    <w:rsid w:val="00DD70B7"/>
    <w:rsid w:val="00DD78EA"/>
    <w:rsid w:val="00DE07AD"/>
    <w:rsid w:val="00DE17F3"/>
    <w:rsid w:val="00DE1C93"/>
    <w:rsid w:val="00DE2826"/>
    <w:rsid w:val="00DE48F0"/>
    <w:rsid w:val="00DE5048"/>
    <w:rsid w:val="00DE7B1E"/>
    <w:rsid w:val="00DF0088"/>
    <w:rsid w:val="00DF08E5"/>
    <w:rsid w:val="00DF31DF"/>
    <w:rsid w:val="00DF399B"/>
    <w:rsid w:val="00DF471C"/>
    <w:rsid w:val="00DF4EF2"/>
    <w:rsid w:val="00DF681D"/>
    <w:rsid w:val="00E009DD"/>
    <w:rsid w:val="00E03379"/>
    <w:rsid w:val="00E06733"/>
    <w:rsid w:val="00E10616"/>
    <w:rsid w:val="00E10D1C"/>
    <w:rsid w:val="00E10E78"/>
    <w:rsid w:val="00E1111B"/>
    <w:rsid w:val="00E131DE"/>
    <w:rsid w:val="00E132E4"/>
    <w:rsid w:val="00E143EE"/>
    <w:rsid w:val="00E14AC6"/>
    <w:rsid w:val="00E14D4E"/>
    <w:rsid w:val="00E15223"/>
    <w:rsid w:val="00E15E12"/>
    <w:rsid w:val="00E1616F"/>
    <w:rsid w:val="00E16294"/>
    <w:rsid w:val="00E20BA2"/>
    <w:rsid w:val="00E21710"/>
    <w:rsid w:val="00E21F3D"/>
    <w:rsid w:val="00E2231F"/>
    <w:rsid w:val="00E2268C"/>
    <w:rsid w:val="00E27D8B"/>
    <w:rsid w:val="00E27F5C"/>
    <w:rsid w:val="00E31615"/>
    <w:rsid w:val="00E3512F"/>
    <w:rsid w:val="00E369E7"/>
    <w:rsid w:val="00E36D7A"/>
    <w:rsid w:val="00E377A4"/>
    <w:rsid w:val="00E43EFA"/>
    <w:rsid w:val="00E443D1"/>
    <w:rsid w:val="00E45941"/>
    <w:rsid w:val="00E46348"/>
    <w:rsid w:val="00E4750F"/>
    <w:rsid w:val="00E475C1"/>
    <w:rsid w:val="00E47B98"/>
    <w:rsid w:val="00E50462"/>
    <w:rsid w:val="00E5061B"/>
    <w:rsid w:val="00E51795"/>
    <w:rsid w:val="00E51983"/>
    <w:rsid w:val="00E54A5A"/>
    <w:rsid w:val="00E560D6"/>
    <w:rsid w:val="00E57A63"/>
    <w:rsid w:val="00E60CF3"/>
    <w:rsid w:val="00E615FA"/>
    <w:rsid w:val="00E624E0"/>
    <w:rsid w:val="00E62E0D"/>
    <w:rsid w:val="00E638E8"/>
    <w:rsid w:val="00E645ED"/>
    <w:rsid w:val="00E648CF"/>
    <w:rsid w:val="00E66554"/>
    <w:rsid w:val="00E665F8"/>
    <w:rsid w:val="00E67B7D"/>
    <w:rsid w:val="00E67CF4"/>
    <w:rsid w:val="00E73384"/>
    <w:rsid w:val="00E736AF"/>
    <w:rsid w:val="00E743B4"/>
    <w:rsid w:val="00E74EAC"/>
    <w:rsid w:val="00E75E86"/>
    <w:rsid w:val="00E76CFD"/>
    <w:rsid w:val="00E77F2D"/>
    <w:rsid w:val="00E829B6"/>
    <w:rsid w:val="00E83CBE"/>
    <w:rsid w:val="00E85AFF"/>
    <w:rsid w:val="00E8755B"/>
    <w:rsid w:val="00E9134C"/>
    <w:rsid w:val="00E93671"/>
    <w:rsid w:val="00E94C5D"/>
    <w:rsid w:val="00E96E2D"/>
    <w:rsid w:val="00E97601"/>
    <w:rsid w:val="00E978D2"/>
    <w:rsid w:val="00E97CB6"/>
    <w:rsid w:val="00EA0A56"/>
    <w:rsid w:val="00EA1005"/>
    <w:rsid w:val="00EA176D"/>
    <w:rsid w:val="00EA2D4B"/>
    <w:rsid w:val="00EA37BD"/>
    <w:rsid w:val="00EA3F28"/>
    <w:rsid w:val="00EA4FF3"/>
    <w:rsid w:val="00EA505B"/>
    <w:rsid w:val="00EA68EF"/>
    <w:rsid w:val="00EB0E39"/>
    <w:rsid w:val="00EB3DEA"/>
    <w:rsid w:val="00EB4291"/>
    <w:rsid w:val="00EB4BB7"/>
    <w:rsid w:val="00EB599B"/>
    <w:rsid w:val="00EB61A1"/>
    <w:rsid w:val="00EB6612"/>
    <w:rsid w:val="00EC0C28"/>
    <w:rsid w:val="00EC0FBA"/>
    <w:rsid w:val="00EC2C96"/>
    <w:rsid w:val="00EC2D3F"/>
    <w:rsid w:val="00EC5F95"/>
    <w:rsid w:val="00EC6EB9"/>
    <w:rsid w:val="00EC77F9"/>
    <w:rsid w:val="00ED0012"/>
    <w:rsid w:val="00ED0081"/>
    <w:rsid w:val="00ED016A"/>
    <w:rsid w:val="00ED1F26"/>
    <w:rsid w:val="00ED45C1"/>
    <w:rsid w:val="00ED4DDA"/>
    <w:rsid w:val="00ED4EB4"/>
    <w:rsid w:val="00ED6467"/>
    <w:rsid w:val="00ED7B0B"/>
    <w:rsid w:val="00EE1DBB"/>
    <w:rsid w:val="00EE2436"/>
    <w:rsid w:val="00EE24B8"/>
    <w:rsid w:val="00EE2DAC"/>
    <w:rsid w:val="00EE6641"/>
    <w:rsid w:val="00EE6A73"/>
    <w:rsid w:val="00EF050F"/>
    <w:rsid w:val="00EF111E"/>
    <w:rsid w:val="00EF217E"/>
    <w:rsid w:val="00EF2EB6"/>
    <w:rsid w:val="00EF2EFD"/>
    <w:rsid w:val="00EF3A35"/>
    <w:rsid w:val="00EF4305"/>
    <w:rsid w:val="00EF46D1"/>
    <w:rsid w:val="00EF5798"/>
    <w:rsid w:val="00EF58EE"/>
    <w:rsid w:val="00EF5B1B"/>
    <w:rsid w:val="00EF6996"/>
    <w:rsid w:val="00EF758B"/>
    <w:rsid w:val="00F006AC"/>
    <w:rsid w:val="00F00852"/>
    <w:rsid w:val="00F00AB6"/>
    <w:rsid w:val="00F013A9"/>
    <w:rsid w:val="00F0291B"/>
    <w:rsid w:val="00F05BC9"/>
    <w:rsid w:val="00F066B9"/>
    <w:rsid w:val="00F0673A"/>
    <w:rsid w:val="00F07663"/>
    <w:rsid w:val="00F07F6F"/>
    <w:rsid w:val="00F10D3C"/>
    <w:rsid w:val="00F122E4"/>
    <w:rsid w:val="00F1277E"/>
    <w:rsid w:val="00F12D73"/>
    <w:rsid w:val="00F1428C"/>
    <w:rsid w:val="00F1589C"/>
    <w:rsid w:val="00F15FE6"/>
    <w:rsid w:val="00F16BB1"/>
    <w:rsid w:val="00F16E64"/>
    <w:rsid w:val="00F23935"/>
    <w:rsid w:val="00F24C4C"/>
    <w:rsid w:val="00F25493"/>
    <w:rsid w:val="00F25E05"/>
    <w:rsid w:val="00F2740A"/>
    <w:rsid w:val="00F34F72"/>
    <w:rsid w:val="00F3619E"/>
    <w:rsid w:val="00F36E60"/>
    <w:rsid w:val="00F37B57"/>
    <w:rsid w:val="00F40051"/>
    <w:rsid w:val="00F400BF"/>
    <w:rsid w:val="00F40FF8"/>
    <w:rsid w:val="00F421EC"/>
    <w:rsid w:val="00F43A86"/>
    <w:rsid w:val="00F43E98"/>
    <w:rsid w:val="00F4614C"/>
    <w:rsid w:val="00F47F27"/>
    <w:rsid w:val="00F500CC"/>
    <w:rsid w:val="00F5217B"/>
    <w:rsid w:val="00F5241E"/>
    <w:rsid w:val="00F535B9"/>
    <w:rsid w:val="00F53D06"/>
    <w:rsid w:val="00F577A9"/>
    <w:rsid w:val="00F60626"/>
    <w:rsid w:val="00F614A0"/>
    <w:rsid w:val="00F61505"/>
    <w:rsid w:val="00F6248F"/>
    <w:rsid w:val="00F62B21"/>
    <w:rsid w:val="00F62C53"/>
    <w:rsid w:val="00F65033"/>
    <w:rsid w:val="00F65884"/>
    <w:rsid w:val="00F664D2"/>
    <w:rsid w:val="00F67475"/>
    <w:rsid w:val="00F678FC"/>
    <w:rsid w:val="00F67CD7"/>
    <w:rsid w:val="00F67F2A"/>
    <w:rsid w:val="00F70E5D"/>
    <w:rsid w:val="00F73085"/>
    <w:rsid w:val="00F74E09"/>
    <w:rsid w:val="00F76325"/>
    <w:rsid w:val="00F76679"/>
    <w:rsid w:val="00F80166"/>
    <w:rsid w:val="00F812F4"/>
    <w:rsid w:val="00F84921"/>
    <w:rsid w:val="00F84969"/>
    <w:rsid w:val="00F85267"/>
    <w:rsid w:val="00F85278"/>
    <w:rsid w:val="00F85D23"/>
    <w:rsid w:val="00F87190"/>
    <w:rsid w:val="00F87967"/>
    <w:rsid w:val="00F90EFD"/>
    <w:rsid w:val="00F920BE"/>
    <w:rsid w:val="00F92C56"/>
    <w:rsid w:val="00F95D2A"/>
    <w:rsid w:val="00F9711D"/>
    <w:rsid w:val="00F979D7"/>
    <w:rsid w:val="00F97A75"/>
    <w:rsid w:val="00FA1F44"/>
    <w:rsid w:val="00FA25C9"/>
    <w:rsid w:val="00FA3074"/>
    <w:rsid w:val="00FA3C8E"/>
    <w:rsid w:val="00FA7CD8"/>
    <w:rsid w:val="00FB0516"/>
    <w:rsid w:val="00FB4BAA"/>
    <w:rsid w:val="00FB4C6D"/>
    <w:rsid w:val="00FB622A"/>
    <w:rsid w:val="00FB68B0"/>
    <w:rsid w:val="00FB7D26"/>
    <w:rsid w:val="00FC238D"/>
    <w:rsid w:val="00FC4580"/>
    <w:rsid w:val="00FC47C7"/>
    <w:rsid w:val="00FC561E"/>
    <w:rsid w:val="00FC7149"/>
    <w:rsid w:val="00FC797B"/>
    <w:rsid w:val="00FD0A35"/>
    <w:rsid w:val="00FD2277"/>
    <w:rsid w:val="00FD5656"/>
    <w:rsid w:val="00FD7F0D"/>
    <w:rsid w:val="00FE174F"/>
    <w:rsid w:val="00FE255B"/>
    <w:rsid w:val="00FE5F8A"/>
    <w:rsid w:val="00FE7BEB"/>
    <w:rsid w:val="00FF0443"/>
    <w:rsid w:val="00FF0B22"/>
    <w:rsid w:val="00FF1592"/>
    <w:rsid w:val="00FF376D"/>
    <w:rsid w:val="00FF5989"/>
    <w:rsid w:val="0EDA638D"/>
    <w:rsid w:val="2A6962F9"/>
    <w:rsid w:val="2CC32E75"/>
    <w:rsid w:val="3FD878D4"/>
    <w:rsid w:val="437677EF"/>
    <w:rsid w:val="4A717B75"/>
    <w:rsid w:val="54310AE9"/>
    <w:rsid w:val="5BB717C3"/>
    <w:rsid w:val="72060370"/>
    <w:rsid w:val="731F1FC4"/>
    <w:rsid w:val="7B26452A"/>
    <w:rsid w:val="7DF33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semiHidden="0" w:name="footnote reference"/>
    <w:lsdException w:qFormat="1"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Theme="minorEastAsia" w:cstheme="minorBidi"/>
      <w:kern w:val="2"/>
      <w:sz w:val="24"/>
      <w:szCs w:val="22"/>
      <w:lang w:val="en-US" w:eastAsia="zh-CN" w:bidi="ar-SA"/>
    </w:rPr>
  </w:style>
  <w:style w:type="paragraph" w:styleId="2">
    <w:name w:val="heading 1"/>
    <w:basedOn w:val="1"/>
    <w:next w:val="1"/>
    <w:link w:val="41"/>
    <w:qFormat/>
    <w:uiPriority w:val="9"/>
    <w:pPr>
      <w:keepNext/>
      <w:keepLines/>
      <w:numPr>
        <w:ilvl w:val="0"/>
        <w:numId w:val="1"/>
      </w:numPr>
      <w:outlineLvl w:val="0"/>
    </w:pPr>
    <w:rPr>
      <w:b/>
      <w:bCs/>
      <w:kern w:val="44"/>
      <w:sz w:val="32"/>
      <w:szCs w:val="44"/>
    </w:rPr>
  </w:style>
  <w:style w:type="paragraph" w:styleId="3">
    <w:name w:val="heading 2"/>
    <w:basedOn w:val="1"/>
    <w:next w:val="1"/>
    <w:link w:val="43"/>
    <w:unhideWhenUsed/>
    <w:qFormat/>
    <w:uiPriority w:val="9"/>
    <w:pPr>
      <w:keepNext/>
      <w:keepLines/>
      <w:numPr>
        <w:ilvl w:val="1"/>
        <w:numId w:val="1"/>
      </w:numPr>
      <w:outlineLvl w:val="1"/>
    </w:pPr>
    <w:rPr>
      <w:rFonts w:eastAsiaTheme="majorEastAsia" w:cstheme="majorBidi"/>
      <w:b/>
      <w:bCs/>
      <w:sz w:val="28"/>
      <w:szCs w:val="32"/>
    </w:rPr>
  </w:style>
  <w:style w:type="paragraph" w:styleId="4">
    <w:name w:val="heading 3"/>
    <w:basedOn w:val="1"/>
    <w:next w:val="1"/>
    <w:link w:val="45"/>
    <w:unhideWhenUsed/>
    <w:qFormat/>
    <w:uiPriority w:val="9"/>
    <w:pPr>
      <w:keepNext/>
      <w:keepLines/>
      <w:numPr>
        <w:ilvl w:val="2"/>
        <w:numId w:val="1"/>
      </w:numPr>
      <w:outlineLvl w:val="2"/>
    </w:pPr>
    <w:rPr>
      <w:b/>
      <w:bCs/>
      <w:szCs w:val="32"/>
    </w:rPr>
  </w:style>
  <w:style w:type="paragraph" w:styleId="5">
    <w:name w:val="heading 4"/>
    <w:basedOn w:val="1"/>
    <w:next w:val="1"/>
    <w:link w:val="46"/>
    <w:unhideWhenUsed/>
    <w:qFormat/>
    <w:uiPriority w:val="9"/>
    <w:pPr>
      <w:keepNext/>
      <w:keepLines/>
      <w:numPr>
        <w:ilvl w:val="3"/>
        <w:numId w:val="1"/>
      </w:numPr>
      <w:spacing w:line="376" w:lineRule="auto"/>
      <w:outlineLvl w:val="3"/>
    </w:pPr>
    <w:rPr>
      <w:rFonts w:eastAsiaTheme="majorEastAsia" w:cstheme="majorBidi"/>
      <w:b/>
      <w:bCs/>
      <w:szCs w:val="28"/>
    </w:rPr>
  </w:style>
  <w:style w:type="paragraph" w:styleId="6">
    <w:name w:val="heading 5"/>
    <w:basedOn w:val="1"/>
    <w:next w:val="1"/>
    <w:link w:val="66"/>
    <w:semiHidden/>
    <w:unhideWhenUsed/>
    <w:qFormat/>
    <w:uiPriority w:val="9"/>
    <w:pPr>
      <w:keepNext/>
      <w:keepLines/>
      <w:numPr>
        <w:ilvl w:val="4"/>
        <w:numId w:val="1"/>
      </w:numPr>
      <w:spacing w:before="40"/>
      <w:outlineLvl w:val="4"/>
    </w:pPr>
    <w:rPr>
      <w:rFonts w:asciiTheme="majorHAnsi" w:hAnsiTheme="majorHAnsi" w:eastAsiaTheme="majorEastAsia" w:cstheme="majorBidi"/>
      <w:color w:val="376092" w:themeColor="accent1" w:themeShade="BF"/>
    </w:rPr>
  </w:style>
  <w:style w:type="paragraph" w:styleId="7">
    <w:name w:val="heading 6"/>
    <w:basedOn w:val="1"/>
    <w:next w:val="1"/>
    <w:link w:val="67"/>
    <w:semiHidden/>
    <w:unhideWhenUsed/>
    <w:qFormat/>
    <w:uiPriority w:val="9"/>
    <w:pPr>
      <w:keepNext/>
      <w:keepLines/>
      <w:numPr>
        <w:ilvl w:val="5"/>
        <w:numId w:val="1"/>
      </w:numPr>
      <w:spacing w:before="40"/>
      <w:outlineLvl w:val="5"/>
    </w:pPr>
    <w:rPr>
      <w:rFonts w:asciiTheme="majorHAnsi" w:hAnsiTheme="majorHAnsi" w:eastAsiaTheme="majorEastAsia" w:cstheme="majorBidi"/>
      <w:color w:val="254061" w:themeColor="accent1" w:themeShade="80"/>
    </w:rPr>
  </w:style>
  <w:style w:type="paragraph" w:styleId="8">
    <w:name w:val="heading 7"/>
    <w:basedOn w:val="1"/>
    <w:next w:val="1"/>
    <w:link w:val="68"/>
    <w:semiHidden/>
    <w:unhideWhenUsed/>
    <w:qFormat/>
    <w:uiPriority w:val="9"/>
    <w:pPr>
      <w:keepNext/>
      <w:keepLines/>
      <w:numPr>
        <w:ilvl w:val="6"/>
        <w:numId w:val="1"/>
      </w:numPr>
      <w:spacing w:before="40"/>
      <w:outlineLvl w:val="6"/>
    </w:pPr>
    <w:rPr>
      <w:rFonts w:asciiTheme="majorHAnsi" w:hAnsiTheme="majorHAnsi" w:eastAsiaTheme="majorEastAsia" w:cstheme="majorBidi"/>
      <w:i/>
      <w:iCs/>
      <w:color w:val="254061" w:themeColor="accent1" w:themeShade="80"/>
    </w:rPr>
  </w:style>
  <w:style w:type="paragraph" w:styleId="9">
    <w:name w:val="heading 8"/>
    <w:basedOn w:val="1"/>
    <w:next w:val="1"/>
    <w:link w:val="69"/>
    <w:semiHidden/>
    <w:unhideWhenUsed/>
    <w:qFormat/>
    <w:uiPriority w:val="9"/>
    <w:pPr>
      <w:keepNext/>
      <w:keepLines/>
      <w:numPr>
        <w:ilvl w:val="7"/>
        <w:numId w:val="1"/>
      </w:numPr>
      <w:spacing w:before="4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0">
    <w:name w:val="heading 9"/>
    <w:basedOn w:val="1"/>
    <w:next w:val="1"/>
    <w:link w:val="70"/>
    <w:semiHidden/>
    <w:unhideWhenUsed/>
    <w:qFormat/>
    <w:uiPriority w:val="9"/>
    <w:pPr>
      <w:keepNext/>
      <w:keepLines/>
      <w:numPr>
        <w:ilvl w:val="8"/>
        <w:numId w:val="1"/>
      </w:numPr>
      <w:spacing w:before="4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440"/>
      <w:jc w:val="left"/>
    </w:pPr>
    <w:rPr>
      <w:rFonts w:asciiTheme="minorHAnsi" w:hAnsiTheme="minorHAnsi"/>
      <w:sz w:val="20"/>
      <w:szCs w:val="20"/>
    </w:rPr>
  </w:style>
  <w:style w:type="paragraph" w:styleId="12">
    <w:name w:val="caption"/>
    <w:basedOn w:val="1"/>
    <w:next w:val="1"/>
    <w:unhideWhenUsed/>
    <w:qFormat/>
    <w:uiPriority w:val="35"/>
    <w:pPr>
      <w:jc w:val="center"/>
    </w:pPr>
    <w:rPr>
      <w:rFonts w:eastAsia="黑体" w:cstheme="majorBidi"/>
      <w:b/>
      <w:szCs w:val="20"/>
    </w:rPr>
  </w:style>
  <w:style w:type="paragraph" w:styleId="13">
    <w:name w:val="annotation text"/>
    <w:basedOn w:val="1"/>
    <w:link w:val="50"/>
    <w:unhideWhenUsed/>
    <w:qFormat/>
    <w:uiPriority w:val="99"/>
    <w:pPr>
      <w:jc w:val="left"/>
    </w:pPr>
  </w:style>
  <w:style w:type="paragraph" w:styleId="14">
    <w:name w:val="toc 5"/>
    <w:basedOn w:val="1"/>
    <w:next w:val="1"/>
    <w:unhideWhenUsed/>
    <w:qFormat/>
    <w:uiPriority w:val="39"/>
    <w:pPr>
      <w:ind w:left="960"/>
      <w:jc w:val="left"/>
    </w:pPr>
    <w:rPr>
      <w:rFonts w:asciiTheme="minorHAnsi" w:hAnsiTheme="minorHAnsi"/>
      <w:sz w:val="20"/>
      <w:szCs w:val="20"/>
    </w:rPr>
  </w:style>
  <w:style w:type="paragraph" w:styleId="15">
    <w:name w:val="toc 3"/>
    <w:basedOn w:val="1"/>
    <w:next w:val="1"/>
    <w:unhideWhenUsed/>
    <w:qFormat/>
    <w:uiPriority w:val="39"/>
    <w:pPr>
      <w:ind w:left="480"/>
      <w:jc w:val="left"/>
    </w:pPr>
    <w:rPr>
      <w:sz w:val="22"/>
    </w:rPr>
  </w:style>
  <w:style w:type="paragraph" w:styleId="16">
    <w:name w:val="toc 8"/>
    <w:basedOn w:val="1"/>
    <w:next w:val="1"/>
    <w:unhideWhenUsed/>
    <w:qFormat/>
    <w:uiPriority w:val="39"/>
    <w:pPr>
      <w:ind w:left="1680"/>
      <w:jc w:val="left"/>
    </w:pPr>
    <w:rPr>
      <w:rFonts w:asciiTheme="minorHAnsi" w:hAnsiTheme="minorHAnsi"/>
      <w:sz w:val="20"/>
      <w:szCs w:val="20"/>
    </w:rPr>
  </w:style>
  <w:style w:type="paragraph" w:styleId="17">
    <w:name w:val="Balloon Text"/>
    <w:basedOn w:val="1"/>
    <w:link w:val="44"/>
    <w:semiHidden/>
    <w:unhideWhenUsed/>
    <w:qFormat/>
    <w:uiPriority w:val="99"/>
    <w:rPr>
      <w:sz w:val="18"/>
      <w:szCs w:val="18"/>
    </w:rPr>
  </w:style>
  <w:style w:type="paragraph" w:styleId="18">
    <w:name w:val="footer"/>
    <w:basedOn w:val="1"/>
    <w:link w:val="40"/>
    <w:unhideWhenUsed/>
    <w:qFormat/>
    <w:uiPriority w:val="99"/>
    <w:pPr>
      <w:tabs>
        <w:tab w:val="center" w:pos="4153"/>
        <w:tab w:val="right" w:pos="8306"/>
      </w:tabs>
      <w:snapToGrid w:val="0"/>
      <w:jc w:val="left"/>
    </w:pPr>
    <w:rPr>
      <w:sz w:val="18"/>
      <w:szCs w:val="18"/>
    </w:rPr>
  </w:style>
  <w:style w:type="paragraph" w:styleId="19">
    <w:name w:val="header"/>
    <w:basedOn w:val="1"/>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jc w:val="left"/>
    </w:pPr>
    <w:rPr>
      <w:b/>
      <w:bCs/>
      <w:szCs w:val="24"/>
    </w:rPr>
  </w:style>
  <w:style w:type="paragraph" w:styleId="21">
    <w:name w:val="toc 4"/>
    <w:basedOn w:val="1"/>
    <w:next w:val="1"/>
    <w:unhideWhenUsed/>
    <w:qFormat/>
    <w:uiPriority w:val="39"/>
    <w:pPr>
      <w:ind w:left="720"/>
      <w:jc w:val="left"/>
    </w:pPr>
    <w:rPr>
      <w:rFonts w:asciiTheme="minorHAnsi" w:hAnsiTheme="minorHAnsi"/>
      <w:sz w:val="20"/>
      <w:szCs w:val="20"/>
    </w:rPr>
  </w:style>
  <w:style w:type="paragraph" w:styleId="22">
    <w:name w:val="footnote text"/>
    <w:basedOn w:val="1"/>
    <w:link w:val="53"/>
    <w:unhideWhenUsed/>
    <w:qFormat/>
    <w:uiPriority w:val="99"/>
    <w:rPr>
      <w:szCs w:val="24"/>
    </w:rPr>
  </w:style>
  <w:style w:type="paragraph" w:styleId="23">
    <w:name w:val="toc 6"/>
    <w:basedOn w:val="1"/>
    <w:next w:val="1"/>
    <w:unhideWhenUsed/>
    <w:qFormat/>
    <w:uiPriority w:val="39"/>
    <w:pPr>
      <w:ind w:left="1200"/>
      <w:jc w:val="left"/>
    </w:pPr>
    <w:rPr>
      <w:rFonts w:asciiTheme="minorHAnsi" w:hAnsiTheme="minorHAnsi"/>
      <w:sz w:val="20"/>
      <w:szCs w:val="20"/>
    </w:rPr>
  </w:style>
  <w:style w:type="paragraph" w:styleId="24">
    <w:name w:val="table of figures"/>
    <w:basedOn w:val="1"/>
    <w:next w:val="1"/>
    <w:unhideWhenUsed/>
    <w:qFormat/>
    <w:uiPriority w:val="99"/>
    <w:pPr>
      <w:ind w:left="480" w:hanging="480"/>
    </w:pPr>
  </w:style>
  <w:style w:type="paragraph" w:styleId="25">
    <w:name w:val="toc 2"/>
    <w:basedOn w:val="1"/>
    <w:next w:val="1"/>
    <w:unhideWhenUsed/>
    <w:qFormat/>
    <w:uiPriority w:val="39"/>
    <w:pPr>
      <w:ind w:left="240"/>
      <w:jc w:val="left"/>
    </w:pPr>
    <w:rPr>
      <w:b/>
      <w:bCs/>
      <w:sz w:val="22"/>
    </w:rPr>
  </w:style>
  <w:style w:type="paragraph" w:styleId="26">
    <w:name w:val="toc 9"/>
    <w:basedOn w:val="1"/>
    <w:next w:val="1"/>
    <w:unhideWhenUsed/>
    <w:qFormat/>
    <w:uiPriority w:val="39"/>
    <w:pPr>
      <w:ind w:left="1920"/>
      <w:jc w:val="left"/>
    </w:pPr>
    <w:rPr>
      <w:rFonts w:asciiTheme="minorHAnsi" w:hAnsiTheme="minorHAnsi"/>
      <w:sz w:val="20"/>
      <w:szCs w:val="20"/>
    </w:rPr>
  </w:style>
  <w:style w:type="paragraph" w:styleId="27">
    <w:name w:val="Normal (Web)"/>
    <w:basedOn w:val="1"/>
    <w:unhideWhenUsed/>
    <w:qFormat/>
    <w:uiPriority w:val="99"/>
    <w:pPr>
      <w:widowControl/>
      <w:spacing w:before="100" w:beforeAutospacing="1" w:after="100" w:afterAutospacing="1"/>
      <w:jc w:val="left"/>
    </w:pPr>
    <w:rPr>
      <w:rFonts w:cs="Times New Roman"/>
      <w:kern w:val="0"/>
      <w:szCs w:val="24"/>
      <w:lang w:eastAsia="en-US"/>
    </w:rPr>
  </w:style>
  <w:style w:type="paragraph" w:styleId="28">
    <w:name w:val="Title"/>
    <w:basedOn w:val="1"/>
    <w:next w:val="1"/>
    <w:link w:val="52"/>
    <w:qFormat/>
    <w:uiPriority w:val="10"/>
    <w:pPr>
      <w:contextualSpacing/>
    </w:pPr>
    <w:rPr>
      <w:rFonts w:asciiTheme="majorHAnsi" w:hAnsiTheme="majorHAnsi" w:eastAsiaTheme="majorEastAsia" w:cstheme="majorBidi"/>
      <w:spacing w:val="-10"/>
      <w:kern w:val="28"/>
      <w:sz w:val="56"/>
      <w:szCs w:val="56"/>
    </w:rPr>
  </w:style>
  <w:style w:type="paragraph" w:styleId="29">
    <w:name w:val="annotation subject"/>
    <w:basedOn w:val="13"/>
    <w:next w:val="13"/>
    <w:link w:val="51"/>
    <w:semiHidden/>
    <w:unhideWhenUsed/>
    <w:qFormat/>
    <w:uiPriority w:val="99"/>
    <w:rPr>
      <w:b/>
      <w:bCs/>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basedOn w:val="32"/>
    <w:unhideWhenUsed/>
    <w:qFormat/>
    <w:uiPriority w:val="99"/>
  </w:style>
  <w:style w:type="character" w:styleId="34">
    <w:name w:val="FollowedHyperlink"/>
    <w:basedOn w:val="32"/>
    <w:semiHidden/>
    <w:unhideWhenUsed/>
    <w:qFormat/>
    <w:uiPriority w:val="99"/>
    <w:rPr>
      <w:color w:val="800080" w:themeColor="followedHyperlink"/>
      <w:u w:val="single"/>
      <w14:textFill>
        <w14:solidFill>
          <w14:schemeClr w14:val="folHlink"/>
        </w14:solidFill>
      </w14:textFill>
    </w:rPr>
  </w:style>
  <w:style w:type="character" w:styleId="35">
    <w:name w:val="Emphasis"/>
    <w:basedOn w:val="32"/>
    <w:qFormat/>
    <w:uiPriority w:val="20"/>
    <w:rPr>
      <w:i/>
      <w:iCs/>
    </w:rPr>
  </w:style>
  <w:style w:type="character" w:styleId="36">
    <w:name w:val="Hyperlink"/>
    <w:basedOn w:val="32"/>
    <w:unhideWhenUsed/>
    <w:qFormat/>
    <w:uiPriority w:val="99"/>
    <w:rPr>
      <w:color w:val="0000FF"/>
      <w:u w:val="single"/>
    </w:rPr>
  </w:style>
  <w:style w:type="character" w:styleId="37">
    <w:name w:val="annotation reference"/>
    <w:basedOn w:val="32"/>
    <w:semiHidden/>
    <w:unhideWhenUsed/>
    <w:qFormat/>
    <w:uiPriority w:val="99"/>
    <w:rPr>
      <w:sz w:val="21"/>
      <w:szCs w:val="21"/>
    </w:rPr>
  </w:style>
  <w:style w:type="character" w:styleId="38">
    <w:name w:val="footnote reference"/>
    <w:basedOn w:val="32"/>
    <w:unhideWhenUsed/>
    <w:qFormat/>
    <w:uiPriority w:val="99"/>
    <w:rPr>
      <w:vertAlign w:val="superscript"/>
    </w:rPr>
  </w:style>
  <w:style w:type="character" w:customStyle="1" w:styleId="39">
    <w:name w:val="页眉 字符"/>
    <w:basedOn w:val="32"/>
    <w:link w:val="19"/>
    <w:qFormat/>
    <w:uiPriority w:val="99"/>
    <w:rPr>
      <w:sz w:val="18"/>
      <w:szCs w:val="18"/>
    </w:rPr>
  </w:style>
  <w:style w:type="character" w:customStyle="1" w:styleId="40">
    <w:name w:val="页脚 字符"/>
    <w:basedOn w:val="32"/>
    <w:link w:val="18"/>
    <w:qFormat/>
    <w:uiPriority w:val="99"/>
    <w:rPr>
      <w:sz w:val="18"/>
      <w:szCs w:val="18"/>
    </w:rPr>
  </w:style>
  <w:style w:type="character" w:customStyle="1" w:styleId="41">
    <w:name w:val="标题 1 字符"/>
    <w:basedOn w:val="32"/>
    <w:link w:val="2"/>
    <w:qFormat/>
    <w:uiPriority w:val="9"/>
    <w:rPr>
      <w:rFonts w:ascii="Times New Roman" w:hAnsi="Times New Roman"/>
      <w:b/>
      <w:bCs/>
      <w:kern w:val="44"/>
      <w:sz w:val="32"/>
      <w:szCs w:val="44"/>
    </w:rPr>
  </w:style>
  <w:style w:type="paragraph" w:styleId="42">
    <w:name w:val="List Paragraph"/>
    <w:basedOn w:val="1"/>
    <w:qFormat/>
    <w:uiPriority w:val="34"/>
    <w:pPr>
      <w:ind w:firstLine="200" w:firstLineChars="200"/>
    </w:pPr>
  </w:style>
  <w:style w:type="character" w:customStyle="1" w:styleId="43">
    <w:name w:val="标题 2 字符"/>
    <w:basedOn w:val="32"/>
    <w:link w:val="3"/>
    <w:qFormat/>
    <w:uiPriority w:val="9"/>
    <w:rPr>
      <w:rFonts w:ascii="Times New Roman" w:hAnsi="Times New Roman" w:eastAsiaTheme="majorEastAsia" w:cstheme="majorBidi"/>
      <w:b/>
      <w:bCs/>
      <w:sz w:val="28"/>
      <w:szCs w:val="32"/>
    </w:rPr>
  </w:style>
  <w:style w:type="character" w:customStyle="1" w:styleId="44">
    <w:name w:val="批注框文本 字符"/>
    <w:basedOn w:val="32"/>
    <w:link w:val="17"/>
    <w:semiHidden/>
    <w:qFormat/>
    <w:uiPriority w:val="99"/>
    <w:rPr>
      <w:sz w:val="18"/>
      <w:szCs w:val="18"/>
    </w:rPr>
  </w:style>
  <w:style w:type="character" w:customStyle="1" w:styleId="45">
    <w:name w:val="标题 3 字符"/>
    <w:basedOn w:val="32"/>
    <w:link w:val="4"/>
    <w:qFormat/>
    <w:uiPriority w:val="9"/>
    <w:rPr>
      <w:rFonts w:ascii="Times New Roman" w:hAnsi="Times New Roman"/>
      <w:b/>
      <w:bCs/>
      <w:sz w:val="24"/>
      <w:szCs w:val="32"/>
    </w:rPr>
  </w:style>
  <w:style w:type="character" w:customStyle="1" w:styleId="46">
    <w:name w:val="标题 4 字符"/>
    <w:basedOn w:val="32"/>
    <w:link w:val="5"/>
    <w:qFormat/>
    <w:uiPriority w:val="9"/>
    <w:rPr>
      <w:rFonts w:ascii="Times New Roman" w:hAnsi="Times New Roman" w:eastAsiaTheme="majorEastAsia" w:cstheme="majorBidi"/>
      <w:b/>
      <w:bCs/>
      <w:sz w:val="24"/>
      <w:szCs w:val="28"/>
    </w:rPr>
  </w:style>
  <w:style w:type="character" w:customStyle="1" w:styleId="47">
    <w:name w:val="f_airbody"/>
    <w:basedOn w:val="32"/>
    <w:qFormat/>
    <w:uiPriority w:val="0"/>
  </w:style>
  <w:style w:type="paragraph" w:customStyle="1" w:styleId="48">
    <w:name w:val="p_airbody"/>
    <w:basedOn w:val="1"/>
    <w:qFormat/>
    <w:uiPriority w:val="0"/>
    <w:pPr>
      <w:widowControl/>
      <w:spacing w:before="100" w:beforeAutospacing="1" w:after="100" w:afterAutospacing="1"/>
      <w:jc w:val="left"/>
    </w:pPr>
    <w:rPr>
      <w:rFonts w:ascii="宋体" w:hAnsi="宋体" w:eastAsia="宋体" w:cs="宋体"/>
      <w:kern w:val="0"/>
      <w:szCs w:val="24"/>
    </w:rPr>
  </w:style>
  <w:style w:type="character" w:customStyle="1" w:styleId="49">
    <w:name w:val="title2"/>
    <w:basedOn w:val="32"/>
    <w:qFormat/>
    <w:uiPriority w:val="0"/>
  </w:style>
  <w:style w:type="character" w:customStyle="1" w:styleId="50">
    <w:name w:val="批注文字 字符"/>
    <w:basedOn w:val="32"/>
    <w:link w:val="13"/>
    <w:qFormat/>
    <w:uiPriority w:val="99"/>
  </w:style>
  <w:style w:type="character" w:customStyle="1" w:styleId="51">
    <w:name w:val="批注主题 字符"/>
    <w:basedOn w:val="50"/>
    <w:link w:val="29"/>
    <w:semiHidden/>
    <w:qFormat/>
    <w:uiPriority w:val="99"/>
    <w:rPr>
      <w:b/>
      <w:bCs/>
    </w:rPr>
  </w:style>
  <w:style w:type="character" w:customStyle="1" w:styleId="52">
    <w:name w:val="标题 字符"/>
    <w:basedOn w:val="32"/>
    <w:link w:val="28"/>
    <w:qFormat/>
    <w:uiPriority w:val="10"/>
    <w:rPr>
      <w:rFonts w:asciiTheme="majorHAnsi" w:hAnsiTheme="majorHAnsi" w:eastAsiaTheme="majorEastAsia" w:cstheme="majorBidi"/>
      <w:spacing w:val="-10"/>
      <w:kern w:val="28"/>
      <w:sz w:val="56"/>
      <w:szCs w:val="56"/>
    </w:rPr>
  </w:style>
  <w:style w:type="character" w:customStyle="1" w:styleId="53">
    <w:name w:val="脚注文本 字符"/>
    <w:basedOn w:val="32"/>
    <w:link w:val="22"/>
    <w:qFormat/>
    <w:uiPriority w:val="99"/>
    <w:rPr>
      <w:rFonts w:ascii="Times New Roman" w:hAnsi="Times New Roman"/>
      <w:sz w:val="24"/>
      <w:szCs w:val="24"/>
    </w:rPr>
  </w:style>
  <w:style w:type="paragraph" w:customStyle="1" w:styleId="54">
    <w:name w:val="p1"/>
    <w:basedOn w:val="1"/>
    <w:qFormat/>
    <w:uiPriority w:val="0"/>
    <w:pPr>
      <w:widowControl/>
      <w:jc w:val="left"/>
    </w:pPr>
    <w:rPr>
      <w:rFonts w:ascii="Helvetica" w:hAnsi="Helvetica" w:cs="Times New Roman"/>
      <w:kern w:val="0"/>
      <w:sz w:val="18"/>
      <w:szCs w:val="18"/>
      <w:lang w:eastAsia="en-US"/>
    </w:rPr>
  </w:style>
  <w:style w:type="paragraph" w:customStyle="1" w:styleId="55">
    <w:name w:val="p2"/>
    <w:basedOn w:val="1"/>
    <w:qFormat/>
    <w:uiPriority w:val="0"/>
    <w:pPr>
      <w:widowControl/>
      <w:jc w:val="left"/>
    </w:pPr>
    <w:rPr>
      <w:rFonts w:ascii="Helvetica" w:hAnsi="Helvetica" w:cs="Times New Roman"/>
      <w:kern w:val="0"/>
      <w:sz w:val="15"/>
      <w:szCs w:val="15"/>
      <w:lang w:eastAsia="en-US"/>
    </w:rPr>
  </w:style>
  <w:style w:type="paragraph" w:customStyle="1" w:styleId="56">
    <w:name w:val="p3"/>
    <w:basedOn w:val="1"/>
    <w:qFormat/>
    <w:uiPriority w:val="0"/>
    <w:pPr>
      <w:widowControl/>
      <w:jc w:val="left"/>
    </w:pPr>
    <w:rPr>
      <w:rFonts w:ascii="Helvetica" w:hAnsi="Helvetica" w:cs="Times New Roman"/>
      <w:kern w:val="0"/>
      <w:sz w:val="12"/>
      <w:szCs w:val="12"/>
      <w:lang w:eastAsia="en-US"/>
    </w:rPr>
  </w:style>
  <w:style w:type="paragraph" w:customStyle="1" w:styleId="57">
    <w:name w:val="p4"/>
    <w:basedOn w:val="1"/>
    <w:qFormat/>
    <w:uiPriority w:val="0"/>
    <w:pPr>
      <w:widowControl/>
      <w:jc w:val="left"/>
    </w:pPr>
    <w:rPr>
      <w:rFonts w:ascii="Helvetica" w:hAnsi="Helvetica" w:cs="Times New Roman"/>
      <w:kern w:val="0"/>
      <w:sz w:val="14"/>
      <w:szCs w:val="14"/>
      <w:lang w:eastAsia="en-US"/>
    </w:rPr>
  </w:style>
  <w:style w:type="character" w:customStyle="1" w:styleId="58">
    <w:name w:val="s1"/>
    <w:basedOn w:val="32"/>
    <w:qFormat/>
    <w:uiPriority w:val="0"/>
    <w:rPr>
      <w:color w:val="0433FF"/>
    </w:rPr>
  </w:style>
  <w:style w:type="character" w:customStyle="1" w:styleId="59">
    <w:name w:val="s2"/>
    <w:basedOn w:val="32"/>
    <w:qFormat/>
    <w:uiPriority w:val="0"/>
    <w:rPr>
      <w:color w:val="000000"/>
    </w:rPr>
  </w:style>
  <w:style w:type="character" w:customStyle="1" w:styleId="60">
    <w:name w:val="s3"/>
    <w:basedOn w:val="32"/>
    <w:qFormat/>
    <w:uiPriority w:val="0"/>
    <w:rPr>
      <w:color w:val="0433FF"/>
    </w:rPr>
  </w:style>
  <w:style w:type="character" w:customStyle="1" w:styleId="61">
    <w:name w:val="s4"/>
    <w:basedOn w:val="32"/>
    <w:qFormat/>
    <w:uiPriority w:val="0"/>
    <w:rPr>
      <w:rFonts w:hint="default" w:ascii="Helvetica" w:hAnsi="Helvetica"/>
      <w:color w:val="000000"/>
      <w:sz w:val="12"/>
      <w:szCs w:val="12"/>
    </w:rPr>
  </w:style>
  <w:style w:type="character" w:styleId="62">
    <w:name w:val="Placeholder Text"/>
    <w:basedOn w:val="32"/>
    <w:semiHidden/>
    <w:qFormat/>
    <w:uiPriority w:val="99"/>
    <w:rPr>
      <w:color w:val="808080"/>
    </w:rPr>
  </w:style>
  <w:style w:type="paragraph" w:styleId="63">
    <w:name w:val="No Spacing"/>
    <w:qFormat/>
    <w:uiPriority w:val="1"/>
    <w:pPr>
      <w:widowControl w:val="0"/>
      <w:jc w:val="both"/>
    </w:pPr>
    <w:rPr>
      <w:rFonts w:ascii="Times New Roman" w:hAnsi="Times New Roman" w:eastAsiaTheme="minorEastAsia" w:cstheme="minorBidi"/>
      <w:kern w:val="2"/>
      <w:sz w:val="24"/>
      <w:szCs w:val="22"/>
      <w:lang w:val="en-US" w:eastAsia="zh-CN" w:bidi="ar-SA"/>
    </w:rPr>
  </w:style>
  <w:style w:type="paragraph" w:customStyle="1" w:styleId="64">
    <w:name w:val="TOC 标题1"/>
    <w:basedOn w:val="2"/>
    <w:next w:val="1"/>
    <w:unhideWhenUsed/>
    <w:qFormat/>
    <w:uiPriority w:val="39"/>
    <w:pPr>
      <w:widowControl/>
      <w:numPr>
        <w:numId w:val="0"/>
      </w:numPr>
      <w:spacing w:before="480" w:line="276" w:lineRule="auto"/>
      <w:jc w:val="left"/>
      <w:outlineLvl w:val="9"/>
    </w:pPr>
    <w:rPr>
      <w:rFonts w:asciiTheme="majorHAnsi" w:hAnsiTheme="majorHAnsi" w:eastAsiaTheme="majorEastAsia" w:cstheme="majorBidi"/>
      <w:color w:val="376092" w:themeColor="accent1" w:themeShade="BF"/>
      <w:kern w:val="0"/>
      <w:sz w:val="28"/>
      <w:szCs w:val="28"/>
      <w:lang w:eastAsia="en-US"/>
    </w:rPr>
  </w:style>
  <w:style w:type="paragraph" w:customStyle="1" w:styleId="65">
    <w:name w:val="修订1"/>
    <w:hidden/>
    <w:semiHidden/>
    <w:qFormat/>
    <w:uiPriority w:val="99"/>
    <w:rPr>
      <w:rFonts w:ascii="Times New Roman" w:hAnsi="Times New Roman" w:eastAsiaTheme="minorEastAsia" w:cstheme="minorBidi"/>
      <w:kern w:val="2"/>
      <w:sz w:val="24"/>
      <w:szCs w:val="22"/>
      <w:lang w:val="en-US" w:eastAsia="zh-CN" w:bidi="ar-SA"/>
    </w:rPr>
  </w:style>
  <w:style w:type="character" w:customStyle="1" w:styleId="66">
    <w:name w:val="标题 5 字符"/>
    <w:basedOn w:val="32"/>
    <w:link w:val="6"/>
    <w:semiHidden/>
    <w:qFormat/>
    <w:uiPriority w:val="9"/>
    <w:rPr>
      <w:rFonts w:asciiTheme="majorHAnsi" w:hAnsiTheme="majorHAnsi" w:eastAsiaTheme="majorEastAsia" w:cstheme="majorBidi"/>
      <w:color w:val="376092" w:themeColor="accent1" w:themeShade="BF"/>
      <w:sz w:val="24"/>
    </w:rPr>
  </w:style>
  <w:style w:type="character" w:customStyle="1" w:styleId="67">
    <w:name w:val="标题 6 字符"/>
    <w:basedOn w:val="32"/>
    <w:link w:val="7"/>
    <w:semiHidden/>
    <w:qFormat/>
    <w:uiPriority w:val="9"/>
    <w:rPr>
      <w:rFonts w:asciiTheme="majorHAnsi" w:hAnsiTheme="majorHAnsi" w:eastAsiaTheme="majorEastAsia" w:cstheme="majorBidi"/>
      <w:color w:val="254061" w:themeColor="accent1" w:themeShade="80"/>
      <w:sz w:val="24"/>
    </w:rPr>
  </w:style>
  <w:style w:type="character" w:customStyle="1" w:styleId="68">
    <w:name w:val="标题 7 字符"/>
    <w:basedOn w:val="32"/>
    <w:link w:val="8"/>
    <w:semiHidden/>
    <w:qFormat/>
    <w:uiPriority w:val="9"/>
    <w:rPr>
      <w:rFonts w:asciiTheme="majorHAnsi" w:hAnsiTheme="majorHAnsi" w:eastAsiaTheme="majorEastAsia" w:cstheme="majorBidi"/>
      <w:i/>
      <w:iCs/>
      <w:color w:val="254061" w:themeColor="accent1" w:themeShade="80"/>
      <w:sz w:val="24"/>
    </w:rPr>
  </w:style>
  <w:style w:type="character" w:customStyle="1" w:styleId="69">
    <w:name w:val="标题 8 字符"/>
    <w:basedOn w:val="32"/>
    <w:link w:val="9"/>
    <w:semiHidden/>
    <w:qFormat/>
    <w:uiPriority w:val="9"/>
    <w:rPr>
      <w:rFonts w:asciiTheme="majorHAnsi" w:hAnsiTheme="majorHAnsi" w:eastAsiaTheme="majorEastAsia" w:cstheme="majorBidi"/>
      <w:color w:val="262626" w:themeColor="text1" w:themeTint="D9"/>
      <w:szCs w:val="21"/>
      <w14:textFill>
        <w14:solidFill>
          <w14:schemeClr w14:val="tx1">
            <w14:lumMod w14:val="85000"/>
            <w14:lumOff w14:val="15000"/>
          </w14:schemeClr>
        </w14:solidFill>
      </w14:textFill>
    </w:rPr>
  </w:style>
  <w:style w:type="character" w:customStyle="1" w:styleId="70">
    <w:name w:val="标题 9 字符"/>
    <w:basedOn w:val="32"/>
    <w:link w:val="10"/>
    <w:semiHidden/>
    <w:qFormat/>
    <w:uiPriority w:val="9"/>
    <w:rPr>
      <w:rFonts w:asciiTheme="majorHAnsi" w:hAnsiTheme="majorHAnsi" w:eastAsiaTheme="majorEastAsia" w:cstheme="majorBidi"/>
      <w:i/>
      <w:iCs/>
      <w:color w:val="262626" w:themeColor="text1" w:themeTint="D9"/>
      <w:szCs w:val="21"/>
      <w14:textFill>
        <w14:solidFill>
          <w14:schemeClr w14:val="tx1">
            <w14:lumMod w14:val="85000"/>
            <w14:lumOff w14:val="15000"/>
          </w14:schemeClr>
        </w14:solidFill>
      </w14:textFill>
    </w:rPr>
  </w:style>
  <w:style w:type="character" w:customStyle="1" w:styleId="71">
    <w:name w:val="未处理的提及1"/>
    <w:basedOn w:val="32"/>
    <w:qFormat/>
    <w:uiPriority w:val="99"/>
    <w:rPr>
      <w:color w:val="605E5C"/>
      <w:shd w:val="clear" w:color="auto" w:fill="E1DFDD"/>
    </w:rPr>
  </w:style>
  <w:style w:type="paragraph" w:customStyle="1" w:styleId="72">
    <w:name w:val="Revision"/>
    <w:hidden/>
    <w:semiHidden/>
    <w:qFormat/>
    <w:uiPriority w:val="99"/>
    <w:rPr>
      <w:rFonts w:ascii="Times New Roman" w:hAnsi="Times New Roman" w:eastAsiaTheme="minorEastAsia" w:cstheme="minorBidi"/>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0" Type="http://schemas.openxmlformats.org/officeDocument/2006/relationships/fontTable" Target="fontTable.xml"/><Relationship Id="rId8" Type="http://schemas.openxmlformats.org/officeDocument/2006/relationships/footer" Target="footer2.xml"/><Relationship Id="rId79" Type="http://schemas.openxmlformats.org/officeDocument/2006/relationships/customXml" Target="../customXml/item5.xml"/><Relationship Id="rId78" Type="http://schemas.openxmlformats.org/officeDocument/2006/relationships/customXml" Target="../customXml/item4.xml"/><Relationship Id="rId77" Type="http://schemas.openxmlformats.org/officeDocument/2006/relationships/customXml" Target="../customXml/item3.xml"/><Relationship Id="rId76" Type="http://schemas.openxmlformats.org/officeDocument/2006/relationships/customXml" Target="../customXml/item2.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footer" Target="footer1.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header" Target="head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jpeg"/><Relationship Id="rId53" Type="http://schemas.openxmlformats.org/officeDocument/2006/relationships/image" Target="media/image41.jpe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jpeg"/><Relationship Id="rId44" Type="http://schemas.openxmlformats.org/officeDocument/2006/relationships/image" Target="media/image32.png"/><Relationship Id="rId43" Type="http://schemas.openxmlformats.org/officeDocument/2006/relationships/image" Target="media/image31.jpe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jpe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jpe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png"/><Relationship Id="rId30" Type="http://schemas.openxmlformats.org/officeDocument/2006/relationships/image" Target="media/image18.jpe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jpe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jpeg"/><Relationship Id="rId23" Type="http://schemas.openxmlformats.org/officeDocument/2006/relationships/image" Target="media/image11.pn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2961B9C0BAE4944B872F422FE495CB6" ma:contentTypeVersion="13" ma:contentTypeDescription="Create a new document." ma:contentTypeScope="" ma:versionID="03577c0596065c0eaf269c2b387b3836">
  <xsd:schema xmlns:xsd="http://www.w3.org/2001/XMLSchema" xmlns:xs="http://www.w3.org/2001/XMLSchema" xmlns:p="http://schemas.microsoft.com/office/2006/metadata/properties" xmlns:ns2="5eb56300-0ed2-405a-9b8c-e800ef279349" xmlns:ns3="0f2c4289-518d-43cd-8b7a-220086d39f76" targetNamespace="http://schemas.microsoft.com/office/2006/metadata/properties" ma:root="true" ma:fieldsID="b6a421aa4ee4e3b71938bbd3eb0af653" ns2:_="" ns3:_="">
    <xsd:import namespace="5eb56300-0ed2-405a-9b8c-e800ef279349"/>
    <xsd:import namespace="0f2c4289-518d-43cd-8b7a-220086d39f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b56300-0ed2-405a-9b8c-e800ef2793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3fdc6da-32ca-4a2b-983e-32d6a4a8ae6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2c4289-518d-43cd-8b7a-220086d39f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14a461d-e599-45c5-b0cf-60a778ebca56}" ma:internalName="TaxCatchAll" ma:showField="CatchAllData" ma:web="0f2c4289-518d-43cd-8b7a-220086d39f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0f2c4289-518d-43cd-8b7a-220086d39f76" xsi:nil="true"/>
    <lcf76f155ced4ddcb4097134ff3c332f xmlns="5eb56300-0ed2-405a-9b8c-e800ef27934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C98F13-1CEE-4663-9816-54F30131C99D}">
  <ds:schemaRefs/>
</ds:datastoreItem>
</file>

<file path=customXml/itemProps3.xml><?xml version="1.0" encoding="utf-8"?>
<ds:datastoreItem xmlns:ds="http://schemas.openxmlformats.org/officeDocument/2006/customXml" ds:itemID="{5E9C0EDD-7202-4F4A-B639-044E51D864C8}">
  <ds:schemaRefs/>
</ds:datastoreItem>
</file>

<file path=customXml/itemProps4.xml><?xml version="1.0" encoding="utf-8"?>
<ds:datastoreItem xmlns:ds="http://schemas.openxmlformats.org/officeDocument/2006/customXml" ds:itemID="{EB08C8F0-5168-4C8A-9D42-4A661E1310A4}"/>
</file>

<file path=customXml/itemProps5.xml><?xml version="1.0" encoding="utf-8"?>
<ds:datastoreItem xmlns:ds="http://schemas.openxmlformats.org/officeDocument/2006/customXml" ds:itemID="{F87283B7-0F85-4434-B330-17876C68A177}">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142</Pages>
  <Words>31547</Words>
  <Characters>162675</Characters>
  <Lines>1453</Lines>
  <Paragraphs>409</Paragraphs>
  <TotalTime>98</TotalTime>
  <ScaleCrop>false</ScaleCrop>
  <LinksUpToDate>false</LinksUpToDate>
  <CharactersWithSpaces>192975</CharactersWithSpaces>
  <Application>WPS Office_11.1.0.13607_F1E327BC-269C-435d-A152-05C5408002CA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SMAT-CE User's Guide</dc:title>
  <dc:creator>U.S. EPA, UNC, and SCUT</dc:creator>
  <cp:lastModifiedBy>hyy</cp:lastModifiedBy>
  <cp:revision>215</cp:revision>
  <cp:lastPrinted>2022-09-01T02:02:00Z</cp:lastPrinted>
  <dcterms:created xsi:type="dcterms:W3CDTF">2017-03-07T18:58:00Z</dcterms:created>
  <dcterms:modified xsi:type="dcterms:W3CDTF">2022-12-29T11:38:36Z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0x01010012961B9C0BAE4944B872F422FE495CB6</vt:lpwstr>
  </property>
  <property fmtid="{D5CDD505-2E9C-101B-9397-08002B2CF9AE}" pid="3" name="MediaServiceImageTags">
    <vt:lpwstr/>
  </property>
  <property fmtid="{D5CDD505-2E9C-101B-9397-08002B2CF9AE}" pid="4" name="KSOProductBuildVer">
    <vt:lpwstr>2052-11.1.0.13607</vt:lpwstr>
  </property>
  <property fmtid="{D5CDD505-2E9C-101B-9397-08002B2CF9AE}" pid="5" name="ICV">
    <vt:lpwstr>273915169A3045DA9C3F894ABF190E2F</vt:lpwstr>
  </property>
</Properties>
</file>