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0724" w14:textId="2CB23404" w:rsidR="00D26A2D" w:rsidRPr="00D26A2D" w:rsidRDefault="00D26A2D" w:rsidP="00E93F4C">
      <w:pPr>
        <w:jc w:val="center"/>
        <w:rPr>
          <w:b/>
          <w:bCs/>
          <w:sz w:val="24"/>
          <w:szCs w:val="24"/>
        </w:rPr>
      </w:pPr>
      <w:r w:rsidRPr="00D26A2D">
        <w:rPr>
          <w:b/>
          <w:bCs/>
        </w:rPr>
        <w:t xml:space="preserve">NEXUS Tool Development </w:t>
      </w:r>
      <w:r w:rsidRPr="00D26A2D">
        <w:rPr>
          <w:b/>
          <w:bCs/>
          <w:sz w:val="24"/>
          <w:szCs w:val="24"/>
        </w:rPr>
        <w:t>Project</w:t>
      </w:r>
      <w:r w:rsidR="00E93F4C" w:rsidRPr="00D26A2D">
        <w:rPr>
          <w:b/>
          <w:bCs/>
          <w:sz w:val="24"/>
          <w:szCs w:val="24"/>
        </w:rPr>
        <w:t xml:space="preserve"> Summary – </w:t>
      </w:r>
    </w:p>
    <w:p w14:paraId="3345FDC2" w14:textId="4B8248E8" w:rsidR="00E93F4C" w:rsidRPr="00D26A2D" w:rsidRDefault="00E93F4C" w:rsidP="00D26A2D">
      <w:pPr>
        <w:jc w:val="right"/>
        <w:rPr>
          <w:i/>
          <w:iCs/>
          <w:sz w:val="24"/>
          <w:szCs w:val="24"/>
        </w:rPr>
      </w:pPr>
      <w:r w:rsidRPr="00D26A2D">
        <w:rPr>
          <w:i/>
          <w:iCs/>
          <w:sz w:val="24"/>
          <w:szCs w:val="24"/>
        </w:rPr>
        <w:t xml:space="preserve">Carey Jang – </w:t>
      </w:r>
      <w:r w:rsidR="00D26A2D">
        <w:rPr>
          <w:i/>
          <w:iCs/>
          <w:sz w:val="24"/>
          <w:szCs w:val="24"/>
        </w:rPr>
        <w:t>March 09,</w:t>
      </w:r>
      <w:r w:rsidRPr="00D26A2D">
        <w:rPr>
          <w:i/>
          <w:iCs/>
          <w:sz w:val="24"/>
          <w:szCs w:val="24"/>
        </w:rPr>
        <w:t xml:space="preserve"> 2023</w:t>
      </w:r>
    </w:p>
    <w:p w14:paraId="1F24D9AA" w14:textId="7CCF9774" w:rsidR="00E93F4C" w:rsidRPr="004E5DFC" w:rsidRDefault="00E93F4C" w:rsidP="00E93F4C">
      <w:r>
        <w:rPr>
          <w:b/>
          <w:bCs/>
          <w:u w:val="single"/>
        </w:rPr>
        <w:t xml:space="preserve">NEXUS and </w:t>
      </w:r>
      <w:r w:rsidRPr="004E5DFC">
        <w:rPr>
          <w:b/>
          <w:bCs/>
          <w:u w:val="single"/>
        </w:rPr>
        <w:t>Multi-Pollutant</w:t>
      </w:r>
      <w:r>
        <w:rPr>
          <w:b/>
          <w:bCs/>
          <w:u w:val="single"/>
        </w:rPr>
        <w:t xml:space="preserve"> (MP) team</w:t>
      </w:r>
      <w:r w:rsidR="007C1FA7">
        <w:rPr>
          <w:b/>
          <w:bCs/>
          <w:u w:val="single"/>
        </w:rPr>
        <w:t xml:space="preserve"> </w:t>
      </w:r>
    </w:p>
    <w:p w14:paraId="1C255B59" w14:textId="6C3782C5" w:rsidR="00E93F4C" w:rsidRPr="005C1675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5C1675">
        <w:rPr>
          <w:b/>
          <w:bCs/>
        </w:rPr>
        <w:t xml:space="preserve">MP Team – </w:t>
      </w:r>
    </w:p>
    <w:p w14:paraId="63BF0E98" w14:textId="06ED3A67" w:rsidR="00E93F4C" w:rsidRPr="005C1675" w:rsidRDefault="00E93F4C" w:rsidP="00E93F4C">
      <w:pPr>
        <w:pStyle w:val="ListParagraph"/>
      </w:pPr>
      <w:r w:rsidRPr="005C1675">
        <w:t xml:space="preserve"> (</w:t>
      </w:r>
      <w:r w:rsidRPr="005C1675">
        <w:rPr>
          <w:u w:val="single"/>
        </w:rPr>
        <w:t>Note</w:t>
      </w:r>
      <w:r w:rsidRPr="005C1675">
        <w:t xml:space="preserve">: see Beth Landis’s “handoff summary </w:t>
      </w:r>
      <w:r w:rsidR="005C1675" w:rsidRPr="005C1675">
        <w:t xml:space="preserve">and transition folders </w:t>
      </w:r>
      <w:r w:rsidRPr="005C1675">
        <w:t>given below)</w:t>
      </w:r>
    </w:p>
    <w:p w14:paraId="788CDB4D" w14:textId="63F35154" w:rsidR="00E93F4C" w:rsidRDefault="00E93F4C" w:rsidP="00E93F4C">
      <w:pPr>
        <w:pStyle w:val="ListParagraph"/>
        <w:numPr>
          <w:ilvl w:val="1"/>
          <w:numId w:val="1"/>
        </w:numPr>
      </w:pPr>
      <w:r w:rsidRPr="005C1675">
        <w:t>Overall Lead – Carrie Wheeler (HEID/CIMG)</w:t>
      </w:r>
    </w:p>
    <w:p w14:paraId="0883E8F9" w14:textId="46BC7E51" w:rsidR="0080551A" w:rsidRPr="005C1675" w:rsidRDefault="0080551A" w:rsidP="00E93F4C">
      <w:pPr>
        <w:pStyle w:val="ListParagraph"/>
        <w:numPr>
          <w:ilvl w:val="1"/>
          <w:numId w:val="1"/>
        </w:numPr>
      </w:pPr>
      <w:r>
        <w:t>NEXUS technical development lead – Carey Jang</w:t>
      </w:r>
      <w:r w:rsidR="00871C2A">
        <w:t xml:space="preserve"> &amp; </w:t>
      </w:r>
      <w:proofErr w:type="spellStart"/>
      <w:r>
        <w:t>Jiaoyan</w:t>
      </w:r>
      <w:proofErr w:type="spellEnd"/>
      <w:r>
        <w:t xml:space="preserve"> (Joey) Huang (AQAD/AQMG)</w:t>
      </w:r>
    </w:p>
    <w:p w14:paraId="1E3CB1BB" w14:textId="63C38DD6" w:rsidR="00E93F4C" w:rsidRDefault="00E93F4C" w:rsidP="0080551A">
      <w:pPr>
        <w:pStyle w:val="ListParagraph"/>
        <w:numPr>
          <w:ilvl w:val="1"/>
          <w:numId w:val="1"/>
        </w:numPr>
      </w:pPr>
      <w:r w:rsidRPr="005C1675">
        <w:t xml:space="preserve">NEXUS technical </w:t>
      </w:r>
      <w:r w:rsidR="0080551A">
        <w:t>coordinator</w:t>
      </w:r>
      <w:r w:rsidRPr="005C1675">
        <w:t xml:space="preserve"> at HEDI/CIMG: Kayla </w:t>
      </w:r>
      <w:r w:rsidR="005C1675" w:rsidRPr="005C1675">
        <w:t>McCauley</w:t>
      </w:r>
      <w:r w:rsidR="0080551A">
        <w:t xml:space="preserve"> </w:t>
      </w:r>
      <w:r w:rsidR="0080551A" w:rsidRPr="005C1675">
        <w:t>(HEID/CIMG)</w:t>
      </w:r>
    </w:p>
    <w:p w14:paraId="780F8B3A" w14:textId="77777777" w:rsidR="00E93F4C" w:rsidRPr="001B33DC" w:rsidRDefault="00E93F4C" w:rsidP="00E93F4C">
      <w:pPr>
        <w:pStyle w:val="ListParagraph"/>
        <w:ind w:left="1440"/>
        <w:rPr>
          <w:b/>
          <w:bCs/>
        </w:rPr>
      </w:pPr>
    </w:p>
    <w:p w14:paraId="06B9A847" w14:textId="12FCB917" w:rsidR="00E93F4C" w:rsidRPr="00FE3F09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– </w:t>
      </w:r>
    </w:p>
    <w:p w14:paraId="13E90BF9" w14:textId="3AD891C2" w:rsidR="005C1675" w:rsidRPr="005C1675" w:rsidRDefault="005C1675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Carey’s transition </w:t>
      </w:r>
      <w:r w:rsidR="002D4B34">
        <w:t xml:space="preserve">folder &amp; </w:t>
      </w:r>
      <w:r>
        <w:t>files</w:t>
      </w:r>
      <w:r w:rsidR="002D4B34">
        <w:t xml:space="preserve"> (ctrl-click to access)</w:t>
      </w:r>
      <w:r>
        <w:t xml:space="preserve">:  </w:t>
      </w:r>
      <w:hyperlink r:id="rId5" w:history="1">
        <w:r w:rsidR="002D4B34" w:rsidRPr="002D4B34">
          <w:rPr>
            <w:color w:val="0000FF"/>
            <w:u w:val="single"/>
          </w:rPr>
          <w:t>Transition</w:t>
        </w:r>
      </w:hyperlink>
    </w:p>
    <w:p w14:paraId="25DB72BC" w14:textId="62AC1806" w:rsidR="00E055AB" w:rsidRPr="00E055AB" w:rsidRDefault="00E055AB" w:rsidP="005C16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Latest NEXUS package (setup, data, UG, Quick Tutorial, </w:t>
      </w:r>
      <w:proofErr w:type="spellStart"/>
      <w:r>
        <w:rPr>
          <w:sz w:val="24"/>
          <w:szCs w:val="24"/>
        </w:rPr>
        <w:t>ec.</w:t>
      </w:r>
      <w:proofErr w:type="spellEnd"/>
      <w:r>
        <w:rPr>
          <w:sz w:val="24"/>
          <w:szCs w:val="24"/>
        </w:rPr>
        <w:t xml:space="preserve">): </w:t>
      </w:r>
      <w:hyperlink r:id="rId6" w:history="1">
        <w:r w:rsidRPr="00E055AB">
          <w:rPr>
            <w:rStyle w:val="Hyperlink"/>
            <w:sz w:val="24"/>
            <w:szCs w:val="24"/>
          </w:rPr>
          <w:t>NEXUS 3.6</w:t>
        </w:r>
      </w:hyperlink>
    </w:p>
    <w:p w14:paraId="5FABF876" w14:textId="389421A4" w:rsidR="0003080E" w:rsidRPr="007C5AB5" w:rsidRDefault="0003080E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>Important Document</w:t>
      </w:r>
      <w:r w:rsidR="002D4B34">
        <w:t>s:</w:t>
      </w:r>
    </w:p>
    <w:p w14:paraId="6F7DCD06" w14:textId="77777777" w:rsidR="007141AE" w:rsidRDefault="007141AE" w:rsidP="007141AE">
      <w:pPr>
        <w:pStyle w:val="ListParagraph"/>
        <w:numPr>
          <w:ilvl w:val="2"/>
          <w:numId w:val="1"/>
        </w:numPr>
      </w:pPr>
      <w:r>
        <w:t>NEXUS overview doc: \NEXUS\Important Doc\</w:t>
      </w:r>
      <w:r w:rsidRPr="007141AE">
        <w:t>NEXUS Overview Feb 2023.docx</w:t>
      </w:r>
    </w:p>
    <w:p w14:paraId="73185B15" w14:textId="2ABE79B2" w:rsidR="00F439EA" w:rsidRPr="002E20F2" w:rsidRDefault="00F439EA" w:rsidP="00F439EA">
      <w:pPr>
        <w:pStyle w:val="ListParagraph"/>
        <w:numPr>
          <w:ilvl w:val="2"/>
          <w:numId w:val="1"/>
        </w:numPr>
      </w:pPr>
      <w:r w:rsidRPr="007C5AB5">
        <w:t>NEXUS Data inputs, sources, plans, and points of contact</w:t>
      </w:r>
      <w:r w:rsidR="00E055AB">
        <w:t>:</w:t>
      </w:r>
      <w:r>
        <w:t xml:space="preserve"> see </w:t>
      </w:r>
      <w:r w:rsidRPr="002E20F2">
        <w:rPr>
          <w:b/>
          <w:bCs/>
          <w:u w:val="single"/>
        </w:rPr>
        <w:t>Table 1</w:t>
      </w:r>
      <w:r>
        <w:rPr>
          <w:b/>
          <w:bCs/>
          <w:u w:val="single"/>
        </w:rPr>
        <w:t xml:space="preserve"> </w:t>
      </w:r>
    </w:p>
    <w:p w14:paraId="7FC32459" w14:textId="76160E0E" w:rsidR="002E20F2" w:rsidRDefault="002E20F2" w:rsidP="002E20F2">
      <w:pPr>
        <w:pStyle w:val="ListParagraph"/>
        <w:numPr>
          <w:ilvl w:val="2"/>
          <w:numId w:val="1"/>
        </w:numPr>
      </w:pPr>
      <w:r>
        <w:t>NEXUS briefing PPT &amp; doc</w:t>
      </w:r>
      <w:r w:rsidR="00E055AB">
        <w:t>:</w:t>
      </w:r>
      <w:r>
        <w:t xml:space="preserve"> \NEXUS\Briefing PPT &amp; Doc\*</w:t>
      </w:r>
    </w:p>
    <w:p w14:paraId="5BD9EA01" w14:textId="34072986" w:rsidR="007141AE" w:rsidRPr="005C1675" w:rsidRDefault="007141AE" w:rsidP="007141AE">
      <w:pPr>
        <w:pStyle w:val="ListParagraph"/>
        <w:numPr>
          <w:ilvl w:val="2"/>
          <w:numId w:val="1"/>
        </w:numPr>
      </w:pPr>
      <w:r w:rsidRPr="005C1675">
        <w:t xml:space="preserve">Beth Landis’s </w:t>
      </w:r>
      <w:r>
        <w:t xml:space="preserve">(previous MP team lead) </w:t>
      </w:r>
      <w:r w:rsidRPr="005C1675">
        <w:t>“handoff summary and transition folders</w:t>
      </w:r>
      <w:r>
        <w:t xml:space="preserve"> &amp; files”: \NEXUS\Important Doc\</w:t>
      </w:r>
      <w:r w:rsidRPr="007141AE">
        <w:t xml:space="preserve">Handoff </w:t>
      </w:r>
      <w:proofErr w:type="spellStart"/>
      <w:r w:rsidRPr="007141AE">
        <w:t>Summary_Landis_January</w:t>
      </w:r>
      <w:proofErr w:type="spellEnd"/>
      <w:r w:rsidRPr="007141AE">
        <w:t xml:space="preserve"> 2023.docx</w:t>
      </w:r>
    </w:p>
    <w:p w14:paraId="13503FD3" w14:textId="62405BAE" w:rsidR="00F439EA" w:rsidRDefault="00212F51" w:rsidP="002E20F2">
      <w:pPr>
        <w:pStyle w:val="ListParagraph"/>
        <w:numPr>
          <w:ilvl w:val="2"/>
          <w:numId w:val="1"/>
        </w:numPr>
      </w:pPr>
      <w:r>
        <w:t>MP team meeting notes and docs: \NEXUS\MP team\*</w:t>
      </w:r>
    </w:p>
    <w:p w14:paraId="5A0A11C7" w14:textId="1BFE9D71" w:rsidR="00923CB6" w:rsidRPr="007C5AB5" w:rsidRDefault="00923CB6" w:rsidP="002E20F2">
      <w:pPr>
        <w:pStyle w:val="ListParagraph"/>
        <w:numPr>
          <w:ilvl w:val="2"/>
          <w:numId w:val="1"/>
        </w:numPr>
      </w:pPr>
      <w:r>
        <w:t xml:space="preserve">NEXUS improvements/upgrades list example PPT: </w:t>
      </w:r>
      <w:r w:rsidRPr="00923CB6">
        <w:t>\NEXUS\</w:t>
      </w:r>
      <w:proofErr w:type="spellStart"/>
      <w:r w:rsidRPr="00923CB6">
        <w:t>Improvement_request_example_PPT</w:t>
      </w:r>
      <w:proofErr w:type="spellEnd"/>
      <w:r>
        <w:t>\*</w:t>
      </w:r>
    </w:p>
    <w:p w14:paraId="24D6E900" w14:textId="77777777" w:rsidR="001A2B4B" w:rsidRPr="001A2B4B" w:rsidRDefault="00E93F4C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Web Development – </w:t>
      </w:r>
    </w:p>
    <w:p w14:paraId="442DF0DD" w14:textId="080D7A4B" w:rsidR="00E055AB" w:rsidRDefault="00E055AB" w:rsidP="00E055AB">
      <w:pPr>
        <w:pStyle w:val="ListParagraph"/>
        <w:numPr>
          <w:ilvl w:val="2"/>
          <w:numId w:val="1"/>
        </w:numPr>
      </w:pPr>
      <w:r>
        <w:t>Web-based NEXUS prototype, documents &amp; files: \NEXUS\Web-based NEXUS\*</w:t>
      </w:r>
    </w:p>
    <w:p w14:paraId="13A71A4E" w14:textId="77777777" w:rsidR="008B4C48" w:rsidRPr="008B4C48" w:rsidRDefault="001A2B4B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 xml:space="preserve">OAR/OAQPS IT team: </w:t>
      </w:r>
      <w:r w:rsidR="00E93F4C">
        <w:t xml:space="preserve">coordinating </w:t>
      </w:r>
      <w:r w:rsidR="008B4C48">
        <w:t>w/</w:t>
      </w:r>
      <w:r w:rsidR="00E93F4C">
        <w:t xml:space="preserve"> Ketan Patel, Vincente (Paul) Cusumano, Larry </w:t>
      </w:r>
      <w:r w:rsidR="0003080E">
        <w:t xml:space="preserve">Dollison </w:t>
      </w:r>
    </w:p>
    <w:p w14:paraId="729A93B1" w14:textId="34605EC7" w:rsidR="00583D6A" w:rsidRPr="00583D6A" w:rsidRDefault="0003080E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UNC team</w:t>
      </w:r>
      <w:r w:rsidR="008B4C48">
        <w:t xml:space="preserve">: </w:t>
      </w:r>
      <w:r>
        <w:t xml:space="preserve"> </w:t>
      </w:r>
      <w:proofErr w:type="spellStart"/>
      <w:r w:rsidR="008B4C48" w:rsidRPr="008B4C48">
        <w:t>Sarav</w:t>
      </w:r>
      <w:proofErr w:type="spellEnd"/>
      <w:r w:rsidR="008B4C48" w:rsidRPr="008B4C48">
        <w:t xml:space="preserve"> Arunachalam </w:t>
      </w:r>
      <w:hyperlink r:id="rId7" w:history="1">
        <w:r w:rsidR="008B4C48" w:rsidRPr="005E1A69">
          <w:rPr>
            <w:rStyle w:val="Hyperlink"/>
          </w:rPr>
          <w:t>&lt;sarav@email.unc.edu</w:t>
        </w:r>
      </w:hyperlink>
      <w:r w:rsidR="008B4C48">
        <w:t xml:space="preserve"> </w:t>
      </w:r>
      <w:r>
        <w:t xml:space="preserve">&amp; </w:t>
      </w:r>
      <w:r w:rsidR="008B4C48" w:rsidRPr="008B4C48">
        <w:t xml:space="preserve">Catherine </w:t>
      </w:r>
      <w:proofErr w:type="spellStart"/>
      <w:r w:rsidR="008B4C48" w:rsidRPr="008B4C48">
        <w:t>Seppanen</w:t>
      </w:r>
      <w:proofErr w:type="spellEnd"/>
      <w:r w:rsidR="008B4C48" w:rsidRPr="008B4C48">
        <w:t xml:space="preserve"> &lt;cseppan@email.unc.edu&gt;</w:t>
      </w:r>
      <w:r>
        <w:t>) and SCUT team</w:t>
      </w:r>
      <w:r w:rsidR="008B4C48">
        <w:t>:</w:t>
      </w:r>
      <w:r>
        <w:t xml:space="preserve"> </w:t>
      </w:r>
      <w:r w:rsidR="008B4C48">
        <w:t>Yun (</w:t>
      </w:r>
      <w:r>
        <w:t>Dustin</w:t>
      </w:r>
      <w:r w:rsidR="008B4C48">
        <w:t>)</w:t>
      </w:r>
      <w:r>
        <w:t xml:space="preserve"> Zhu </w:t>
      </w:r>
      <w:r w:rsidR="008B4C48">
        <w:t>&lt;</w:t>
      </w:r>
      <w:hyperlink r:id="rId8" w:history="1">
        <w:r w:rsidR="008B4C48" w:rsidRPr="005E1A69">
          <w:rPr>
            <w:rStyle w:val="Hyperlink"/>
            <w:rFonts w:ascii="Calibri" w:hAnsi="Calibri" w:cs="Calibri"/>
          </w:rPr>
          <w:t>zhuyun@scut.edu.cn</w:t>
        </w:r>
      </w:hyperlink>
      <w:r w:rsidR="008B4C48">
        <w:rPr>
          <w:rFonts w:ascii="Calibri" w:hAnsi="Calibri" w:cs="Calibri"/>
        </w:rPr>
        <w:t xml:space="preserve">&gt; </w:t>
      </w:r>
      <w:r>
        <w:t xml:space="preserve">and </w:t>
      </w:r>
      <w:proofErr w:type="spellStart"/>
      <w:r w:rsidR="008B4C48">
        <w:t>Shicheng</w:t>
      </w:r>
      <w:proofErr w:type="spellEnd"/>
      <w:r w:rsidR="008B4C48">
        <w:t xml:space="preserve"> (</w:t>
      </w:r>
      <w:r>
        <w:t>Devin</w:t>
      </w:r>
      <w:r w:rsidR="008B4C48">
        <w:t>)</w:t>
      </w:r>
      <w:r>
        <w:t xml:space="preserve"> Long</w:t>
      </w:r>
      <w:r w:rsidR="008B4C48">
        <w:t xml:space="preserve"> &lt;</w:t>
      </w:r>
      <w:r w:rsidR="008B4C48" w:rsidRPr="008B4C48">
        <w:t>long.sc@mail.scut.edu.cn</w:t>
      </w:r>
      <w:r w:rsidR="008B4C48">
        <w:t>&gt;</w:t>
      </w:r>
    </w:p>
    <w:p w14:paraId="371F9FD7" w14:textId="6538C033" w:rsidR="00A47F1E" w:rsidRDefault="00A47F1E" w:rsidP="00871C2A">
      <w:pPr>
        <w:jc w:val="center"/>
        <w:rPr>
          <w:b/>
          <w:bCs/>
          <w:u w:val="single"/>
        </w:rPr>
      </w:pPr>
    </w:p>
    <w:p w14:paraId="201E7951" w14:textId="736AEA0D" w:rsidR="00A47F1E" w:rsidRDefault="00A47F1E" w:rsidP="00871C2A">
      <w:pPr>
        <w:jc w:val="center"/>
        <w:rPr>
          <w:b/>
          <w:bCs/>
          <w:sz w:val="24"/>
          <w:szCs w:val="24"/>
        </w:rPr>
      </w:pPr>
      <w:r w:rsidRPr="00871C2A">
        <w:rPr>
          <w:b/>
          <w:bCs/>
          <w:sz w:val="24"/>
          <w:szCs w:val="24"/>
        </w:rPr>
        <w:t>Table 1: NEXUS Data inputs, sources, plans, and points of contact</w:t>
      </w:r>
    </w:p>
    <w:p w14:paraId="4891D8A0" w14:textId="77777777" w:rsidR="004E4982" w:rsidRPr="004E4982" w:rsidRDefault="004E4982" w:rsidP="004E4982">
      <w:pPr>
        <w:pStyle w:val="ListParagraph"/>
        <w:tabs>
          <w:tab w:val="left" w:pos="2094"/>
        </w:tabs>
        <w:jc w:val="right"/>
        <w:rPr>
          <w:rFonts w:ascii="Arial" w:hAnsi="Arial" w:cs="Arial"/>
          <w:i/>
          <w:iCs/>
        </w:rPr>
      </w:pPr>
      <w:r w:rsidRPr="004E4982">
        <w:rPr>
          <w:rFonts w:ascii="Arial" w:hAnsi="Arial" w:cs="Arial"/>
          <w:i/>
          <w:iCs/>
          <w:color w:val="4472C4" w:themeColor="accent1"/>
          <w:u w:val="single"/>
        </w:rPr>
        <w:t>Note</w:t>
      </w:r>
      <w:r w:rsidRPr="004E4982">
        <w:rPr>
          <w:rFonts w:ascii="Arial" w:hAnsi="Arial" w:cs="Arial"/>
          <w:i/>
          <w:iCs/>
        </w:rPr>
        <w:t>: “</w:t>
      </w:r>
      <w:proofErr w:type="spellStart"/>
      <w:r w:rsidRPr="004E4982">
        <w:rPr>
          <w:rFonts w:ascii="Arial" w:hAnsi="Arial" w:cs="Arial"/>
          <w:i/>
          <w:iCs/>
        </w:rPr>
        <w:t>ctrl+click</w:t>
      </w:r>
      <w:proofErr w:type="spellEnd"/>
      <w:r w:rsidRPr="004E4982">
        <w:rPr>
          <w:rFonts w:ascii="Arial" w:hAnsi="Arial" w:cs="Arial"/>
          <w:i/>
          <w:iCs/>
        </w:rPr>
        <w:t>” to access data sources and/or websites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295"/>
        <w:gridCol w:w="1490"/>
        <w:gridCol w:w="1351"/>
        <w:gridCol w:w="1417"/>
        <w:gridCol w:w="1703"/>
        <w:gridCol w:w="1379"/>
      </w:tblGrid>
      <w:tr w:rsidR="004E4982" w:rsidRPr="00876996" w14:paraId="1345BF77" w14:textId="77777777" w:rsidTr="00421740">
        <w:trPr>
          <w:tblHeader/>
        </w:trPr>
        <w:tc>
          <w:tcPr>
            <w:tcW w:w="1440" w:type="dxa"/>
            <w:vAlign w:val="center"/>
          </w:tcPr>
          <w:p w14:paraId="4C20DA4A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1315443"/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45" w:type="dxa"/>
            <w:vAlign w:val="center"/>
          </w:tcPr>
          <w:p w14:paraId="236315C3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351" w:type="dxa"/>
            <w:vAlign w:val="center"/>
          </w:tcPr>
          <w:p w14:paraId="2B469B41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Level of Data</w:t>
            </w:r>
          </w:p>
        </w:tc>
        <w:tc>
          <w:tcPr>
            <w:tcW w:w="1417" w:type="dxa"/>
            <w:vAlign w:val="center"/>
          </w:tcPr>
          <w:p w14:paraId="4EBED60B" w14:textId="59C3755A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Vintage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NEXUS</w:t>
            </w:r>
          </w:p>
        </w:tc>
        <w:tc>
          <w:tcPr>
            <w:tcW w:w="1703" w:type="dxa"/>
            <w:vAlign w:val="center"/>
          </w:tcPr>
          <w:p w14:paraId="0A263E23" w14:textId="77777777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Plans for Update/Inclusion</w:t>
            </w:r>
          </w:p>
        </w:tc>
        <w:tc>
          <w:tcPr>
            <w:tcW w:w="1379" w:type="dxa"/>
          </w:tcPr>
          <w:p w14:paraId="782A8BE5" w14:textId="29A8E7E2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Point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Contract</w:t>
            </w:r>
          </w:p>
        </w:tc>
      </w:tr>
      <w:tr w:rsidR="004E4982" w:rsidRPr="00876996" w14:paraId="10B7883A" w14:textId="77777777" w:rsidTr="00421740">
        <w:tc>
          <w:tcPr>
            <w:tcW w:w="1440" w:type="dxa"/>
          </w:tcPr>
          <w:p w14:paraId="75CEE1AA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emissions and source data</w:t>
            </w:r>
          </w:p>
        </w:tc>
        <w:tc>
          <w:tcPr>
            <w:tcW w:w="1345" w:type="dxa"/>
          </w:tcPr>
          <w:p w14:paraId="1CB421C2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51" w:type="dxa"/>
          </w:tcPr>
          <w:p w14:paraId="457FD1A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17" w:type="dxa"/>
          </w:tcPr>
          <w:p w14:paraId="539A42F7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03" w:type="dxa"/>
          </w:tcPr>
          <w:p w14:paraId="6007D50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379" w:type="dxa"/>
          </w:tcPr>
          <w:p w14:paraId="2784121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71DEC261" w14:textId="77777777" w:rsidTr="00421740">
        <w:tc>
          <w:tcPr>
            <w:tcW w:w="1440" w:type="dxa"/>
          </w:tcPr>
          <w:p w14:paraId="6BF1DA8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emissions and source data</w:t>
            </w:r>
          </w:p>
        </w:tc>
        <w:tc>
          <w:tcPr>
            <w:tcW w:w="1345" w:type="dxa"/>
          </w:tcPr>
          <w:p w14:paraId="385A7059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51" w:type="dxa"/>
          </w:tcPr>
          <w:p w14:paraId="0094DC6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17" w:type="dxa"/>
          </w:tcPr>
          <w:p w14:paraId="69D9101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03" w:type="dxa"/>
          </w:tcPr>
          <w:p w14:paraId="474C5CE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379" w:type="dxa"/>
          </w:tcPr>
          <w:p w14:paraId="57945D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6EDCF5E5" w14:textId="77777777" w:rsidTr="00421740">
        <w:tc>
          <w:tcPr>
            <w:tcW w:w="1440" w:type="dxa"/>
          </w:tcPr>
          <w:p w14:paraId="09D405B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modeled concentration data</w:t>
            </w:r>
          </w:p>
        </w:tc>
        <w:tc>
          <w:tcPr>
            <w:tcW w:w="1345" w:type="dxa"/>
          </w:tcPr>
          <w:p w14:paraId="25EB13EB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Fused air quality surfaces</w:t>
              </w:r>
            </w:hyperlink>
          </w:p>
        </w:tc>
        <w:tc>
          <w:tcPr>
            <w:tcW w:w="1351" w:type="dxa"/>
          </w:tcPr>
          <w:p w14:paraId="4667F630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1D5C64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7C93223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379" w:type="dxa"/>
          </w:tcPr>
          <w:p w14:paraId="3394CF2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04404EEC" w14:textId="77777777" w:rsidTr="00421740">
        <w:tc>
          <w:tcPr>
            <w:tcW w:w="1440" w:type="dxa"/>
          </w:tcPr>
          <w:p w14:paraId="2DD2386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modeled concentration data</w:t>
            </w:r>
          </w:p>
        </w:tc>
        <w:tc>
          <w:tcPr>
            <w:tcW w:w="1345" w:type="dxa"/>
          </w:tcPr>
          <w:p w14:paraId="74CA4B3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Hybrid </w:t>
            </w:r>
            <w:hyperlink r:id="rId12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CMAQ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/</w:t>
            </w:r>
            <w:hyperlink r:id="rId13" w:anchor="aermod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AERMOD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 xml:space="preserve"> output for toxics</w:t>
            </w:r>
          </w:p>
        </w:tc>
        <w:tc>
          <w:tcPr>
            <w:tcW w:w="1351" w:type="dxa"/>
          </w:tcPr>
          <w:p w14:paraId="0FB5471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3876095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235208D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379" w:type="dxa"/>
          </w:tcPr>
          <w:p w14:paraId="1D2A8BC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15A1F859" w14:textId="77777777" w:rsidTr="00421740">
        <w:tc>
          <w:tcPr>
            <w:tcW w:w="1440" w:type="dxa"/>
          </w:tcPr>
          <w:p w14:paraId="322065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risk data</w:t>
            </w:r>
          </w:p>
        </w:tc>
        <w:tc>
          <w:tcPr>
            <w:tcW w:w="1345" w:type="dxa"/>
          </w:tcPr>
          <w:p w14:paraId="1FD3D7EA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proofErr w:type="spellStart"/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BenMAP</w:t>
              </w:r>
              <w:proofErr w:type="spellEnd"/>
            </w:hyperlink>
          </w:p>
        </w:tc>
        <w:tc>
          <w:tcPr>
            <w:tcW w:w="1351" w:type="dxa"/>
          </w:tcPr>
          <w:p w14:paraId="1D0EDF56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5E9AA9FA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6E77BD7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379" w:type="dxa"/>
          </w:tcPr>
          <w:p w14:paraId="02ABD89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RBG/Neal </w:t>
            </w:r>
            <w:proofErr w:type="spellStart"/>
            <w:r w:rsidRPr="004E4982">
              <w:rPr>
                <w:rFonts w:ascii="Arial" w:hAnsi="Arial" w:cs="Arial"/>
                <w:sz w:val="18"/>
                <w:szCs w:val="18"/>
              </w:rPr>
              <w:t>Fann</w:t>
            </w:r>
            <w:proofErr w:type="spellEnd"/>
            <w:r w:rsidRPr="004E4982">
              <w:rPr>
                <w:rFonts w:ascii="Arial" w:hAnsi="Arial" w:cs="Arial"/>
                <w:sz w:val="18"/>
                <w:szCs w:val="18"/>
              </w:rPr>
              <w:t xml:space="preserve"> &amp; Jennifer Sellers</w:t>
            </w:r>
          </w:p>
        </w:tc>
      </w:tr>
      <w:tr w:rsidR="004E4982" w:rsidRPr="00876996" w14:paraId="4F023603" w14:textId="77777777" w:rsidTr="00421740">
        <w:tc>
          <w:tcPr>
            <w:tcW w:w="1440" w:type="dxa"/>
          </w:tcPr>
          <w:p w14:paraId="01C124B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risk data</w:t>
            </w:r>
          </w:p>
        </w:tc>
        <w:tc>
          <w:tcPr>
            <w:tcW w:w="1345" w:type="dxa"/>
          </w:tcPr>
          <w:p w14:paraId="69AB05D4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proofErr w:type="spellStart"/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AirToxScreen</w:t>
              </w:r>
              <w:proofErr w:type="spellEnd"/>
            </w:hyperlink>
          </w:p>
        </w:tc>
        <w:tc>
          <w:tcPr>
            <w:tcW w:w="1351" w:type="dxa"/>
          </w:tcPr>
          <w:p w14:paraId="610B85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120AE7F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03" w:type="dxa"/>
          </w:tcPr>
          <w:p w14:paraId="4772A7A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379" w:type="dxa"/>
          </w:tcPr>
          <w:p w14:paraId="1495B9B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ATAT/Matt Woody</w:t>
            </w:r>
          </w:p>
        </w:tc>
      </w:tr>
      <w:tr w:rsidR="004E4982" w:rsidRPr="00876996" w14:paraId="2C91A722" w14:textId="77777777" w:rsidTr="00421740">
        <w:tc>
          <w:tcPr>
            <w:tcW w:w="1440" w:type="dxa"/>
          </w:tcPr>
          <w:p w14:paraId="22DEE217" w14:textId="339F078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Advance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345" w:type="dxa"/>
          </w:tcPr>
          <w:p w14:paraId="5B944D64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OAQPS/AQPD</w:t>
              </w:r>
            </w:hyperlink>
          </w:p>
        </w:tc>
        <w:tc>
          <w:tcPr>
            <w:tcW w:w="1351" w:type="dxa"/>
          </w:tcPr>
          <w:p w14:paraId="6369E8A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710ECA5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03" w:type="dxa"/>
          </w:tcPr>
          <w:p w14:paraId="5F74977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6E3647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SLPG/Mia South</w:t>
            </w:r>
          </w:p>
        </w:tc>
      </w:tr>
      <w:tr w:rsidR="004E4982" w:rsidRPr="00876996" w14:paraId="3342FE9F" w14:textId="77777777" w:rsidTr="00421740">
        <w:tc>
          <w:tcPr>
            <w:tcW w:w="1440" w:type="dxa"/>
          </w:tcPr>
          <w:p w14:paraId="6AC599E4" w14:textId="3A8700BD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Nonattainment Areas and Design Values</w:t>
            </w:r>
            <w:r w:rsidR="004E4982">
              <w:rPr>
                <w:rFonts w:ascii="Arial" w:hAnsi="Arial" w:cs="Arial"/>
                <w:sz w:val="18"/>
                <w:szCs w:val="18"/>
              </w:rPr>
              <w:t xml:space="preserve"> (DV)</w:t>
            </w:r>
          </w:p>
        </w:tc>
        <w:tc>
          <w:tcPr>
            <w:tcW w:w="1345" w:type="dxa"/>
          </w:tcPr>
          <w:p w14:paraId="39ADB82A" w14:textId="77777777" w:rsidR="00A47F1E" w:rsidRPr="004E4982" w:rsidRDefault="00A56BE1" w:rsidP="00117736">
            <w:pPr>
              <w:tabs>
                <w:tab w:val="left" w:pos="209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7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Greenbook</w:t>
              </w:r>
            </w:hyperlink>
          </w:p>
          <w:p w14:paraId="587EF24E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Trends</w:t>
              </w:r>
            </w:hyperlink>
          </w:p>
        </w:tc>
        <w:tc>
          <w:tcPr>
            <w:tcW w:w="1351" w:type="dxa"/>
          </w:tcPr>
          <w:p w14:paraId="19228C6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5D702A3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2012-2020</w:t>
            </w:r>
          </w:p>
        </w:tc>
        <w:tc>
          <w:tcPr>
            <w:tcW w:w="1703" w:type="dxa"/>
          </w:tcPr>
          <w:p w14:paraId="331197E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379" w:type="dxa"/>
          </w:tcPr>
          <w:p w14:paraId="44FCD9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AQAG/David Mintz</w:t>
            </w:r>
          </w:p>
        </w:tc>
      </w:tr>
      <w:tr w:rsidR="004E4982" w:rsidRPr="00876996" w14:paraId="69AA7E54" w14:textId="77777777" w:rsidTr="00421740">
        <w:tc>
          <w:tcPr>
            <w:tcW w:w="1440" w:type="dxa"/>
          </w:tcPr>
          <w:p w14:paraId="2C2EF972" w14:textId="1DEB5AB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Tribal </w:t>
            </w:r>
            <w:r w:rsidR="004E4982">
              <w:rPr>
                <w:rFonts w:ascii="Arial" w:hAnsi="Arial" w:cs="Arial"/>
                <w:sz w:val="18"/>
                <w:szCs w:val="18"/>
              </w:rPr>
              <w:t>b</w:t>
            </w:r>
            <w:r w:rsidRPr="004E4982">
              <w:rPr>
                <w:rFonts w:ascii="Arial" w:hAnsi="Arial" w:cs="Arial"/>
                <w:sz w:val="18"/>
                <w:szCs w:val="18"/>
              </w:rPr>
              <w:t>oundaries</w:t>
            </w:r>
          </w:p>
        </w:tc>
        <w:tc>
          <w:tcPr>
            <w:tcW w:w="1345" w:type="dxa"/>
          </w:tcPr>
          <w:p w14:paraId="21246288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Public Website</w:t>
              </w:r>
            </w:hyperlink>
          </w:p>
        </w:tc>
        <w:tc>
          <w:tcPr>
            <w:tcW w:w="1351" w:type="dxa"/>
          </w:tcPr>
          <w:p w14:paraId="0BE4C64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6296BD6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03" w:type="dxa"/>
          </w:tcPr>
          <w:p w14:paraId="4BEDC43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14:paraId="7B8CF54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33D69B4F" w14:textId="77777777" w:rsidTr="00421740">
        <w:tc>
          <w:tcPr>
            <w:tcW w:w="1440" w:type="dxa"/>
          </w:tcPr>
          <w:p w14:paraId="4CBD5F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Socio-economic &amp; demographic data</w:t>
            </w:r>
          </w:p>
        </w:tc>
        <w:tc>
          <w:tcPr>
            <w:tcW w:w="1345" w:type="dxa"/>
          </w:tcPr>
          <w:p w14:paraId="17F6CC61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EJSCREEN</w:t>
              </w:r>
            </w:hyperlink>
          </w:p>
        </w:tc>
        <w:tc>
          <w:tcPr>
            <w:tcW w:w="1351" w:type="dxa"/>
          </w:tcPr>
          <w:p w14:paraId="720B6DD7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17" w:type="dxa"/>
          </w:tcPr>
          <w:p w14:paraId="3B81D1A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703" w:type="dxa"/>
          </w:tcPr>
          <w:p w14:paraId="7E55F4B9" w14:textId="707826E2" w:rsidR="00A47F1E" w:rsidRPr="004D1983" w:rsidRDefault="004D1983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983">
              <w:rPr>
                <w:rFonts w:ascii="Arial" w:hAnsi="Arial" w:cs="Arial"/>
                <w:sz w:val="18"/>
                <w:szCs w:val="18"/>
              </w:rPr>
              <w:t xml:space="preserve">Update to latest </w:t>
            </w:r>
            <w:proofErr w:type="spellStart"/>
            <w:r w:rsidRPr="004D1983">
              <w:rPr>
                <w:rFonts w:ascii="Arial" w:hAnsi="Arial" w:cs="Arial"/>
                <w:sz w:val="18"/>
                <w:szCs w:val="18"/>
              </w:rPr>
              <w:t>EJScreen</w:t>
            </w:r>
            <w:proofErr w:type="spellEnd"/>
            <w:r w:rsidRPr="004D1983">
              <w:rPr>
                <w:rFonts w:ascii="Arial" w:hAnsi="Arial" w:cs="Arial"/>
                <w:sz w:val="18"/>
                <w:szCs w:val="18"/>
              </w:rPr>
              <w:t xml:space="preserve"> when available (currently v. 2.1)</w:t>
            </w:r>
          </w:p>
        </w:tc>
        <w:tc>
          <w:tcPr>
            <w:tcW w:w="1379" w:type="dxa"/>
          </w:tcPr>
          <w:p w14:paraId="429A485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CTPG/James Payne</w:t>
            </w:r>
          </w:p>
        </w:tc>
      </w:tr>
      <w:tr w:rsidR="004E4982" w:rsidRPr="00876996" w14:paraId="1898381E" w14:textId="77777777" w:rsidTr="00421740">
        <w:tc>
          <w:tcPr>
            <w:tcW w:w="1440" w:type="dxa"/>
          </w:tcPr>
          <w:p w14:paraId="4B10EDC8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monitoring data (DVs)</w:t>
            </w:r>
          </w:p>
        </w:tc>
        <w:tc>
          <w:tcPr>
            <w:tcW w:w="1345" w:type="dxa"/>
          </w:tcPr>
          <w:p w14:paraId="637EE174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OAQPS/AQAD</w:t>
              </w:r>
            </w:hyperlink>
          </w:p>
        </w:tc>
        <w:tc>
          <w:tcPr>
            <w:tcW w:w="1351" w:type="dxa"/>
          </w:tcPr>
          <w:p w14:paraId="159C0A2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17" w:type="dxa"/>
          </w:tcPr>
          <w:p w14:paraId="1E3DC93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2002-2020</w:t>
            </w:r>
          </w:p>
        </w:tc>
        <w:tc>
          <w:tcPr>
            <w:tcW w:w="1703" w:type="dxa"/>
          </w:tcPr>
          <w:p w14:paraId="435E11E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379" w:type="dxa"/>
          </w:tcPr>
          <w:p w14:paraId="0AE1EEF1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AQAG/Ben Wells &amp; Brett Gantt</w:t>
            </w:r>
          </w:p>
        </w:tc>
      </w:tr>
      <w:tr w:rsidR="004E4982" w:rsidRPr="00876996" w14:paraId="28F60E7D" w14:textId="77777777" w:rsidTr="00421740">
        <w:tc>
          <w:tcPr>
            <w:tcW w:w="1440" w:type="dxa"/>
          </w:tcPr>
          <w:p w14:paraId="22ADA2F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monitoring data (22 HAPs)</w:t>
            </w:r>
          </w:p>
        </w:tc>
        <w:tc>
          <w:tcPr>
            <w:tcW w:w="1345" w:type="dxa"/>
          </w:tcPr>
          <w:p w14:paraId="7A512C20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Toxics Data Archive</w:t>
              </w:r>
            </w:hyperlink>
          </w:p>
        </w:tc>
        <w:tc>
          <w:tcPr>
            <w:tcW w:w="1351" w:type="dxa"/>
          </w:tcPr>
          <w:p w14:paraId="1716BE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17" w:type="dxa"/>
          </w:tcPr>
          <w:p w14:paraId="5E92B20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2003-2020</w:t>
            </w:r>
          </w:p>
        </w:tc>
        <w:tc>
          <w:tcPr>
            <w:tcW w:w="1703" w:type="dxa"/>
          </w:tcPr>
          <w:p w14:paraId="3CC5B7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379" w:type="dxa"/>
          </w:tcPr>
          <w:p w14:paraId="082FB31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AQAG/Jeanette Reyes</w:t>
            </w:r>
          </w:p>
        </w:tc>
      </w:tr>
      <w:tr w:rsidR="004E4982" w:rsidRPr="00876996" w14:paraId="6A2F3245" w14:textId="77777777" w:rsidTr="00421740">
        <w:tc>
          <w:tcPr>
            <w:tcW w:w="1440" w:type="dxa"/>
          </w:tcPr>
          <w:p w14:paraId="02968D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GHG emissions</w:t>
            </w:r>
          </w:p>
        </w:tc>
        <w:tc>
          <w:tcPr>
            <w:tcW w:w="1345" w:type="dxa"/>
          </w:tcPr>
          <w:p w14:paraId="64BC7B64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  <w:r w:rsidR="00A47F1E" w:rsidRPr="004E4982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hyperlink r:id="rId24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GHG Inventory</w:t>
              </w:r>
            </w:hyperlink>
          </w:p>
        </w:tc>
        <w:tc>
          <w:tcPr>
            <w:tcW w:w="1351" w:type="dxa"/>
          </w:tcPr>
          <w:p w14:paraId="2DD6A1A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17" w:type="dxa"/>
          </w:tcPr>
          <w:p w14:paraId="1E03FA2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703" w:type="dxa"/>
          </w:tcPr>
          <w:p w14:paraId="19A08163" w14:textId="3BDF0D0A" w:rsidR="00A47F1E" w:rsidRPr="00A56BE1" w:rsidRDefault="00A56BE1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E1">
              <w:rPr>
                <w:rFonts w:ascii="Arial" w:hAnsi="Arial" w:cs="Arial"/>
                <w:sz w:val="18"/>
                <w:szCs w:val="18"/>
              </w:rPr>
              <w:t xml:space="preserve">NEI 2020 </w:t>
            </w:r>
            <w:r w:rsidR="00A47F1E" w:rsidRPr="00A56BE1">
              <w:rPr>
                <w:rFonts w:ascii="Arial" w:hAnsi="Arial" w:cs="Arial"/>
                <w:sz w:val="18"/>
                <w:szCs w:val="18"/>
              </w:rPr>
              <w:t>In discussion to harmonize with GHGRP data</w:t>
            </w:r>
          </w:p>
        </w:tc>
        <w:tc>
          <w:tcPr>
            <w:tcW w:w="1379" w:type="dxa"/>
          </w:tcPr>
          <w:p w14:paraId="3D9076E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EIAG/Karl Seltzer</w:t>
            </w:r>
          </w:p>
        </w:tc>
      </w:tr>
      <w:tr w:rsidR="004E4982" w:rsidRPr="00876996" w14:paraId="386BE4E2" w14:textId="77777777" w:rsidTr="00421740">
        <w:tc>
          <w:tcPr>
            <w:tcW w:w="1440" w:type="dxa"/>
          </w:tcPr>
          <w:p w14:paraId="2FA8688B" w14:textId="4F288236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Class I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345" w:type="dxa"/>
          </w:tcPr>
          <w:p w14:paraId="6ABF706A" w14:textId="77777777" w:rsidR="00A47F1E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Class 1 Federal Areas Website</w:t>
              </w:r>
            </w:hyperlink>
          </w:p>
        </w:tc>
        <w:tc>
          <w:tcPr>
            <w:tcW w:w="1351" w:type="dxa"/>
          </w:tcPr>
          <w:p w14:paraId="4D487D2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17" w:type="dxa"/>
          </w:tcPr>
          <w:p w14:paraId="70F5470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03" w:type="dxa"/>
          </w:tcPr>
          <w:p w14:paraId="0CB2FB4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95E0ED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5F7ABAA6" w14:textId="77777777" w:rsidTr="00421740">
        <w:tc>
          <w:tcPr>
            <w:tcW w:w="1440" w:type="dxa"/>
          </w:tcPr>
          <w:p w14:paraId="14E6A622" w14:textId="25DBEDE1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CEJST disadvantaged community areas</w:t>
            </w:r>
          </w:p>
        </w:tc>
        <w:tc>
          <w:tcPr>
            <w:tcW w:w="1345" w:type="dxa"/>
          </w:tcPr>
          <w:p w14:paraId="6F80103C" w14:textId="727D7D66" w:rsidR="004E4982" w:rsidRPr="004E4982" w:rsidRDefault="00A56BE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CEJST data</w:t>
              </w:r>
            </w:hyperlink>
          </w:p>
        </w:tc>
        <w:tc>
          <w:tcPr>
            <w:tcW w:w="1351" w:type="dxa"/>
          </w:tcPr>
          <w:p w14:paraId="1EFBBC3E" w14:textId="0F92A1E5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Census tract level</w:t>
            </w:r>
          </w:p>
        </w:tc>
        <w:tc>
          <w:tcPr>
            <w:tcW w:w="1417" w:type="dxa"/>
          </w:tcPr>
          <w:p w14:paraId="3A716679" w14:textId="61CCF574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03" w:type="dxa"/>
          </w:tcPr>
          <w:p w14:paraId="2B750288" w14:textId="77777777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48107BC" w14:textId="77777777" w:rsid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OAP/CAMD/</w:t>
            </w:r>
          </w:p>
          <w:p w14:paraId="42EED553" w14:textId="1512A96A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Erich Eschmann </w:t>
            </w:r>
          </w:p>
        </w:tc>
      </w:tr>
      <w:tr w:rsidR="00B65AE5" w:rsidRPr="00876996" w14:paraId="72165BA0" w14:textId="77777777" w:rsidTr="00421740">
        <w:tc>
          <w:tcPr>
            <w:tcW w:w="1440" w:type="dxa"/>
          </w:tcPr>
          <w:p w14:paraId="68A2B446" w14:textId="3A890318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tool </w:t>
            </w:r>
            <w:r w:rsidRPr="004E4982">
              <w:rPr>
                <w:rFonts w:ascii="Arial" w:hAnsi="Arial" w:cs="Arial"/>
                <w:sz w:val="18"/>
                <w:szCs w:val="18"/>
              </w:rPr>
              <w:t>development &amp;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982">
              <w:rPr>
                <w:rFonts w:ascii="Arial" w:hAnsi="Arial" w:cs="Arial"/>
                <w:sz w:val="18"/>
                <w:szCs w:val="18"/>
              </w:rPr>
              <w:t>deployment</w:t>
            </w:r>
          </w:p>
        </w:tc>
        <w:tc>
          <w:tcPr>
            <w:tcW w:w="1345" w:type="dxa"/>
          </w:tcPr>
          <w:p w14:paraId="44EAD0EC" w14:textId="67682C52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“</w:t>
            </w:r>
            <w:hyperlink r:id="rId27" w:history="1">
              <w:r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cloud.gov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351" w:type="dxa"/>
          </w:tcPr>
          <w:p w14:paraId="7F5DD25C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5C1173" w14:textId="7777777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2794312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prototype </w:t>
            </w:r>
          </w:p>
          <w:p w14:paraId="210ED7FE" w14:textId="3A146638" w:rsidR="00B65AE5" w:rsidRPr="004E4982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(Sep</w:t>
            </w:r>
            <w:r w:rsidR="00C86A6B">
              <w:rPr>
                <w:rFonts w:ascii="Arial" w:hAnsi="Arial" w:cs="Arial"/>
                <w:sz w:val="18"/>
                <w:szCs w:val="18"/>
              </w:rPr>
              <w:t>.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2023) &amp; </w:t>
            </w:r>
          </w:p>
          <w:p w14:paraId="601656B2" w14:textId="5180E591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beta version for public release (Dec. 2023)</w:t>
            </w:r>
          </w:p>
        </w:tc>
        <w:tc>
          <w:tcPr>
            <w:tcW w:w="1379" w:type="dxa"/>
          </w:tcPr>
          <w:p w14:paraId="5408D669" w14:textId="58F3D1A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OAR/OAQPS IT team: Vicente Cusumano (Paul) &amp; Ketan Patel </w:t>
            </w:r>
          </w:p>
        </w:tc>
      </w:tr>
      <w:bookmarkEnd w:id="0"/>
    </w:tbl>
    <w:p w14:paraId="0D9BF330" w14:textId="77777777" w:rsidR="00A47F1E" w:rsidRPr="00876996" w:rsidRDefault="00A47F1E" w:rsidP="00A47F1E">
      <w:pPr>
        <w:pStyle w:val="NoSpacing"/>
        <w:jc w:val="center"/>
        <w:rPr>
          <w:rFonts w:ascii="Arial" w:hAnsi="Arial" w:cs="Arial"/>
          <w:b/>
          <w:color w:val="2E74B5" w:themeColor="accent5" w:themeShade="BF"/>
          <w:sz w:val="20"/>
          <w:szCs w:val="20"/>
        </w:rPr>
      </w:pPr>
    </w:p>
    <w:p w14:paraId="07115F8B" w14:textId="77777777" w:rsidR="00A47F1E" w:rsidRDefault="00A47F1E" w:rsidP="00A47F1E">
      <w:pPr>
        <w:pStyle w:val="ListParagraph"/>
        <w:tabs>
          <w:tab w:val="left" w:pos="2094"/>
        </w:tabs>
        <w:rPr>
          <w:rFonts w:ascii="Arial" w:hAnsi="Arial" w:cs="Arial"/>
        </w:rPr>
      </w:pPr>
    </w:p>
    <w:p w14:paraId="408AFCBC" w14:textId="77777777" w:rsidR="00A47F1E" w:rsidRPr="00876996" w:rsidRDefault="00A47F1E" w:rsidP="00A47F1E">
      <w:pPr>
        <w:tabs>
          <w:tab w:val="left" w:pos="2094"/>
        </w:tabs>
        <w:rPr>
          <w:rFonts w:ascii="Arial" w:hAnsi="Arial" w:cs="Arial"/>
        </w:rPr>
      </w:pPr>
    </w:p>
    <w:p w14:paraId="4D325CC9" w14:textId="77777777" w:rsidR="00A47F1E" w:rsidRDefault="00A47F1E" w:rsidP="00583D6A">
      <w:pPr>
        <w:rPr>
          <w:b/>
          <w:bCs/>
          <w:u w:val="single"/>
        </w:rPr>
      </w:pPr>
    </w:p>
    <w:p w14:paraId="6A1C92CD" w14:textId="77777777" w:rsidR="00A47F1E" w:rsidRDefault="00A47F1E" w:rsidP="00583D6A">
      <w:pPr>
        <w:rPr>
          <w:b/>
          <w:bCs/>
          <w:u w:val="single"/>
        </w:rPr>
      </w:pPr>
    </w:p>
    <w:p w14:paraId="7F183DD2" w14:textId="5343C655" w:rsidR="00583D6A" w:rsidRPr="004E5DFC" w:rsidRDefault="00583D6A" w:rsidP="00583D6A">
      <w:r>
        <w:rPr>
          <w:b/>
          <w:bCs/>
          <w:u w:val="single"/>
        </w:rPr>
        <w:t>FAST-CE</w:t>
      </w:r>
    </w:p>
    <w:p w14:paraId="60088F0F" w14:textId="38F76510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39E390C8" w14:textId="41EBA57D" w:rsidR="00583D6A" w:rsidRPr="004E5DFC" w:rsidRDefault="00583D6A" w:rsidP="00583D6A">
      <w:r>
        <w:rPr>
          <w:b/>
          <w:bCs/>
          <w:u w:val="single"/>
        </w:rPr>
        <w:t>RSM &amp; RSM-VAT</w:t>
      </w:r>
    </w:p>
    <w:p w14:paraId="6A36214B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39A835E1" w14:textId="5945A8D7" w:rsidR="00583D6A" w:rsidRPr="004E5DFC" w:rsidRDefault="00583D6A" w:rsidP="00583D6A">
      <w:r>
        <w:rPr>
          <w:b/>
          <w:bCs/>
          <w:u w:val="single"/>
        </w:rPr>
        <w:t>SMAT-CE</w:t>
      </w:r>
    </w:p>
    <w:p w14:paraId="0527C758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62171CD6" w14:textId="294EBD18" w:rsidR="00583D6A" w:rsidRPr="004E5DFC" w:rsidRDefault="00583D6A" w:rsidP="00583D6A">
      <w:r>
        <w:rPr>
          <w:b/>
          <w:bCs/>
          <w:u w:val="single"/>
        </w:rPr>
        <w:t>Model-VAT</w:t>
      </w:r>
    </w:p>
    <w:p w14:paraId="2BBA1B7B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4CB8FF76" w14:textId="2B823193" w:rsidR="00583D6A" w:rsidRPr="004E5DFC" w:rsidRDefault="00583D6A" w:rsidP="00583D6A">
      <w:r>
        <w:rPr>
          <w:b/>
          <w:bCs/>
          <w:u w:val="single"/>
        </w:rPr>
        <w:t>Data Fusion Tool (DFT)</w:t>
      </w:r>
    </w:p>
    <w:p w14:paraId="702D1F1E" w14:textId="77777777" w:rsidR="00583D6A" w:rsidRPr="005C1675" w:rsidRDefault="00583D6A" w:rsidP="00583D6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Directory</w:t>
      </w:r>
      <w:r w:rsidRPr="005C1675">
        <w:rPr>
          <w:b/>
          <w:bCs/>
        </w:rPr>
        <w:t xml:space="preserve"> – </w:t>
      </w:r>
    </w:p>
    <w:p w14:paraId="34561591" w14:textId="61180C3E" w:rsidR="00E93F4C" w:rsidRPr="00583D6A" w:rsidRDefault="00E93F4C" w:rsidP="00583D6A">
      <w:pPr>
        <w:rPr>
          <w:b/>
          <w:bCs/>
          <w:sz w:val="24"/>
          <w:szCs w:val="24"/>
        </w:rPr>
      </w:pPr>
      <w:r w:rsidRPr="00583D6A">
        <w:rPr>
          <w:b/>
          <w:bCs/>
          <w:sz w:val="24"/>
          <w:szCs w:val="24"/>
        </w:rPr>
        <w:br w:type="page"/>
      </w:r>
    </w:p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lastRenderedPageBreak/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28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29"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31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29"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Additional subfolder </w:t>
      </w:r>
      <w:hyperlink r:id="rId32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29"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of NEXUS briefing/demo 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A56BE1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33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</w:t>
      </w:r>
      <w:proofErr w:type="gramStart"/>
      <w:r w:rsidR="0049665E">
        <w:t>lead</w:t>
      </w:r>
      <w:proofErr w:type="gramEnd"/>
      <w:r w:rsidR="0049665E">
        <w:t xml:space="preserve">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34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35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36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A56BE1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37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38" w:history="1">
        <w:r w:rsidR="00FE3F09" w:rsidRPr="00BF1194">
          <w:rPr>
            <w:rStyle w:val="Hyperlink"/>
          </w:rPr>
          <w:t>NEXUS Web Development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proofErr w:type="spellStart"/>
      <w:r>
        <w:t>BenMAP</w:t>
      </w:r>
      <w:proofErr w:type="spellEnd"/>
      <w:r>
        <w:t xml:space="preserve">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 xml:space="preserve">(primary contact Neal </w:t>
      </w:r>
      <w:proofErr w:type="spellStart"/>
      <w:r w:rsidR="00146B37">
        <w:t>Fann</w:t>
      </w:r>
      <w:proofErr w:type="spellEnd"/>
      <w:r w:rsidR="00146B37">
        <w:t>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39" w:history="1">
        <w:r w:rsidR="00FE3F09" w:rsidRPr="007B6444">
          <w:rPr>
            <w:rStyle w:val="Hyperlink"/>
          </w:rPr>
          <w:t xml:space="preserve">NEXUS </w:t>
        </w:r>
        <w:proofErr w:type="spellStart"/>
        <w:r w:rsidR="00FE3F09" w:rsidRPr="007B6444">
          <w:rPr>
            <w:rStyle w:val="Hyperlink"/>
          </w:rPr>
          <w:t>BenMAP</w:t>
        </w:r>
        <w:proofErr w:type="spellEnd"/>
        <w:r w:rsidR="00FE3F09" w:rsidRPr="007B6444">
          <w:rPr>
            <w:rStyle w:val="Hyperlink"/>
          </w:rPr>
          <w:t xml:space="preserve">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40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proofErr w:type="spellStart"/>
      <w:r w:rsidR="003527DE">
        <w:t>Martinich</w:t>
      </w:r>
      <w:proofErr w:type="spellEnd"/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41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42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lastRenderedPageBreak/>
        <w:t>Regional Packets</w:t>
      </w:r>
      <w:r w:rsidR="00C64D85">
        <w:t xml:space="preserve"> – R1 </w:t>
      </w:r>
      <w:r w:rsidR="000B4C52">
        <w:t xml:space="preserve">Air Division Director (Lynne </w:t>
      </w:r>
      <w:proofErr w:type="spellStart"/>
      <w:r w:rsidR="000B4C52">
        <w:t>Hamjian</w:t>
      </w:r>
      <w:proofErr w:type="spellEnd"/>
      <w:r w:rsidR="000B4C52">
        <w:t xml:space="preserve">) </w:t>
      </w:r>
      <w:r w:rsidR="00C64D85">
        <w:t xml:space="preserve">expressed interest </w:t>
      </w:r>
      <w:r w:rsidR="00961C76">
        <w:t>(see “</w:t>
      </w:r>
      <w:hyperlink r:id="rId43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44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45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46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t xml:space="preserve">A bug was found in the 2017 </w:t>
      </w:r>
      <w:proofErr w:type="spellStart"/>
      <w:r>
        <w:t>BenMAP</w:t>
      </w:r>
      <w:proofErr w:type="spellEnd"/>
      <w:r>
        <w:t xml:space="preserve">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47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48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2EF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080E"/>
    <w:rsid w:val="0003577C"/>
    <w:rsid w:val="000609BA"/>
    <w:rsid w:val="000653F2"/>
    <w:rsid w:val="00080E51"/>
    <w:rsid w:val="00083E20"/>
    <w:rsid w:val="00094384"/>
    <w:rsid w:val="000B4C52"/>
    <w:rsid w:val="000B70E9"/>
    <w:rsid w:val="000C0709"/>
    <w:rsid w:val="000D49B8"/>
    <w:rsid w:val="000E0D6C"/>
    <w:rsid w:val="000E7665"/>
    <w:rsid w:val="00123915"/>
    <w:rsid w:val="00124E3B"/>
    <w:rsid w:val="00130C51"/>
    <w:rsid w:val="001457A6"/>
    <w:rsid w:val="00146294"/>
    <w:rsid w:val="00146B37"/>
    <w:rsid w:val="00147674"/>
    <w:rsid w:val="00162340"/>
    <w:rsid w:val="0018561A"/>
    <w:rsid w:val="001909A1"/>
    <w:rsid w:val="001941E0"/>
    <w:rsid w:val="001A2B4B"/>
    <w:rsid w:val="001B33DC"/>
    <w:rsid w:val="001C163D"/>
    <w:rsid w:val="001D6EF0"/>
    <w:rsid w:val="002112D2"/>
    <w:rsid w:val="00212F51"/>
    <w:rsid w:val="002331C7"/>
    <w:rsid w:val="00251B64"/>
    <w:rsid w:val="00252711"/>
    <w:rsid w:val="00271876"/>
    <w:rsid w:val="0028544F"/>
    <w:rsid w:val="00291EF6"/>
    <w:rsid w:val="002A33A2"/>
    <w:rsid w:val="002B6CF7"/>
    <w:rsid w:val="002C428B"/>
    <w:rsid w:val="002C7A83"/>
    <w:rsid w:val="002D4B34"/>
    <w:rsid w:val="002E20F2"/>
    <w:rsid w:val="003220DD"/>
    <w:rsid w:val="00335A7B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1740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66AC"/>
    <w:rsid w:val="004C797B"/>
    <w:rsid w:val="004D1983"/>
    <w:rsid w:val="004E4982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83D6A"/>
    <w:rsid w:val="005C1675"/>
    <w:rsid w:val="005C4533"/>
    <w:rsid w:val="00621012"/>
    <w:rsid w:val="006323C8"/>
    <w:rsid w:val="0064299B"/>
    <w:rsid w:val="00660329"/>
    <w:rsid w:val="006746D4"/>
    <w:rsid w:val="006826A5"/>
    <w:rsid w:val="00695A32"/>
    <w:rsid w:val="006B10D0"/>
    <w:rsid w:val="006C52F9"/>
    <w:rsid w:val="006E2EC1"/>
    <w:rsid w:val="007141AE"/>
    <w:rsid w:val="00724FE4"/>
    <w:rsid w:val="00751363"/>
    <w:rsid w:val="00753416"/>
    <w:rsid w:val="00792FB1"/>
    <w:rsid w:val="007A327B"/>
    <w:rsid w:val="007B6444"/>
    <w:rsid w:val="007C1FA7"/>
    <w:rsid w:val="007C3250"/>
    <w:rsid w:val="007C5AB5"/>
    <w:rsid w:val="007E3272"/>
    <w:rsid w:val="00802F32"/>
    <w:rsid w:val="008034C8"/>
    <w:rsid w:val="0080551A"/>
    <w:rsid w:val="008135A0"/>
    <w:rsid w:val="0081544B"/>
    <w:rsid w:val="00856665"/>
    <w:rsid w:val="00857B46"/>
    <w:rsid w:val="00871C2A"/>
    <w:rsid w:val="00895AE4"/>
    <w:rsid w:val="00896884"/>
    <w:rsid w:val="008B4C48"/>
    <w:rsid w:val="008C3850"/>
    <w:rsid w:val="008D5A1C"/>
    <w:rsid w:val="008F70BE"/>
    <w:rsid w:val="00905600"/>
    <w:rsid w:val="00912734"/>
    <w:rsid w:val="00915782"/>
    <w:rsid w:val="00923CB6"/>
    <w:rsid w:val="00924EF3"/>
    <w:rsid w:val="0093775D"/>
    <w:rsid w:val="00960909"/>
    <w:rsid w:val="00961C76"/>
    <w:rsid w:val="00993417"/>
    <w:rsid w:val="009C5066"/>
    <w:rsid w:val="009C6B4F"/>
    <w:rsid w:val="009F6FA8"/>
    <w:rsid w:val="00A01BE1"/>
    <w:rsid w:val="00A01C23"/>
    <w:rsid w:val="00A05F22"/>
    <w:rsid w:val="00A22B30"/>
    <w:rsid w:val="00A25486"/>
    <w:rsid w:val="00A47F1E"/>
    <w:rsid w:val="00A56BE1"/>
    <w:rsid w:val="00AA73DB"/>
    <w:rsid w:val="00AA7998"/>
    <w:rsid w:val="00AB5807"/>
    <w:rsid w:val="00AB67DF"/>
    <w:rsid w:val="00AC5E9C"/>
    <w:rsid w:val="00AD3CE3"/>
    <w:rsid w:val="00B13486"/>
    <w:rsid w:val="00B22AB3"/>
    <w:rsid w:val="00B40BDD"/>
    <w:rsid w:val="00B474B0"/>
    <w:rsid w:val="00B53812"/>
    <w:rsid w:val="00B65AE5"/>
    <w:rsid w:val="00B66B22"/>
    <w:rsid w:val="00B77A0C"/>
    <w:rsid w:val="00B808ED"/>
    <w:rsid w:val="00BA4FA6"/>
    <w:rsid w:val="00BB63A6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749B0"/>
    <w:rsid w:val="00C8001A"/>
    <w:rsid w:val="00C81474"/>
    <w:rsid w:val="00C86515"/>
    <w:rsid w:val="00C86A6B"/>
    <w:rsid w:val="00CA1598"/>
    <w:rsid w:val="00CB3886"/>
    <w:rsid w:val="00CD330F"/>
    <w:rsid w:val="00CE6775"/>
    <w:rsid w:val="00CE7DAF"/>
    <w:rsid w:val="00CF42D3"/>
    <w:rsid w:val="00CF6054"/>
    <w:rsid w:val="00D03922"/>
    <w:rsid w:val="00D26A2D"/>
    <w:rsid w:val="00D31C4A"/>
    <w:rsid w:val="00D42B68"/>
    <w:rsid w:val="00D653D0"/>
    <w:rsid w:val="00D667B4"/>
    <w:rsid w:val="00D7310A"/>
    <w:rsid w:val="00D76ADE"/>
    <w:rsid w:val="00D82C6D"/>
    <w:rsid w:val="00D90D8B"/>
    <w:rsid w:val="00DA5C77"/>
    <w:rsid w:val="00DB0BA3"/>
    <w:rsid w:val="00DB4F41"/>
    <w:rsid w:val="00DC30FB"/>
    <w:rsid w:val="00DC581A"/>
    <w:rsid w:val="00DD305D"/>
    <w:rsid w:val="00DF66ED"/>
    <w:rsid w:val="00E055AB"/>
    <w:rsid w:val="00E41552"/>
    <w:rsid w:val="00E522B2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439EA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.gov/scram/air-quality-dispersion-modeling-preferred-and-recommended-models" TargetMode="External"/><Relationship Id="rId18" Type="http://schemas.openxmlformats.org/officeDocument/2006/relationships/hyperlink" Target="https://www.epa.gov/air-trends/air-quality-design-values" TargetMode="External"/><Relationship Id="rId26" Type="http://schemas.openxmlformats.org/officeDocument/2006/relationships/hyperlink" Target="https://gaftp.epa.gov/Air/aqmg/cjang/NEXUS/Data_Input/CEJST_data/" TargetMode="External"/><Relationship Id="rId39" Type="http://schemas.openxmlformats.org/officeDocument/2006/relationships/hyperlink" Target="https://usepa-my.sharepoint.com/:u:/g/personal/landis_elizabeth_epa_gov/EU2af-4kEVNLp4YZ70mAslcBqGIQcOSM_bsHr2z2XahkyQ?e=W35Rfw" TargetMode="External"/><Relationship Id="rId21" Type="http://schemas.openxmlformats.org/officeDocument/2006/relationships/hyperlink" Target="https://gispub.epa.gov/arcgis/rest/services/OAR_OAQPS" TargetMode="External"/><Relationship Id="rId34" Type="http://schemas.openxmlformats.org/officeDocument/2006/relationships/hyperlink" Target="https://usepa-my.sharepoint.com/:u:/g/personal/landis_elizabeth_epa_gov/ESwlOR0mp1ZDk255WRqij6IB3OtrF0vDIBJFPcl2D5wkHA?e=mg5yaK" TargetMode="External"/><Relationship Id="rId42" Type="http://schemas.openxmlformats.org/officeDocument/2006/relationships/hyperlink" Target="https://usepa-my.sharepoint.com/:u:/g/personal/landis_elizabeth_epa_gov/EXUASZyGe2BGqEn5BFCAbd4BZecqABvMj6FzlEIxQD636Q?e=y7Vkku" TargetMode="External"/><Relationship Id="rId47" Type="http://schemas.openxmlformats.org/officeDocument/2006/relationships/hyperlink" Target="https://usepa-my.sharepoint.com/:u:/g/personal/landis_elizabeth_epa_gov/EXVpZkQAmWtMoROkrdH0RI8BfIVKkDgtmOiMLfNJ-9Afyw?e=eZFFhD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%3csarav@email.unc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ftp.epa.gov/Air/aqmg/cjang/NEXUS/Data_Input/Advance_area/" TargetMode="External"/><Relationship Id="rId29" Type="http://schemas.openxmlformats.org/officeDocument/2006/relationships/image" Target="media/image1.png"/><Relationship Id="rId11" Type="http://schemas.openxmlformats.org/officeDocument/2006/relationships/hyperlink" Target="https://www.epa.gov/hesc/rsig-related-downloadable-data-files" TargetMode="External"/><Relationship Id="rId24" Type="http://schemas.openxmlformats.org/officeDocument/2006/relationships/hyperlink" Target="https://www.epa.gov/ghgemissions/inventory-us-greenhouse-gas-emissions-and-sinks" TargetMode="External"/><Relationship Id="rId32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37" Type="http://schemas.openxmlformats.org/officeDocument/2006/relationships/hyperlink" Target="https://usepa-my.sharepoint.com/:p:/g/personal/landis_elizabeth_epa_gov/EYGaFHubXplPpQ9ntsWPzEkB-OMJX3aHBIpg5u_9pPTnXQ?e=SAfqmo" TargetMode="External"/><Relationship Id="rId40" Type="http://schemas.openxmlformats.org/officeDocument/2006/relationships/hyperlink" Target="https://usepa-my.sharepoint.com/:u:/g/personal/landis_elizabeth_epa_gov/EaL2E53zBbhPgGiheDhKf_8B0sjzPp2yENuw-xET7YyOzA?e=46jaMX" TargetMode="External"/><Relationship Id="rId45" Type="http://schemas.openxmlformats.org/officeDocument/2006/relationships/hyperlink" Target="https://usepa-my.sharepoint.com/:u:/g/personal/landis_elizabeth_epa_gov/EaFOGPRVIN1NtDEf3QLoG9AB4EAwvmX8X12WQVpzTS0kbw?e=mCkeSi" TargetMode="External"/><Relationship Id="rId5" Type="http://schemas.openxmlformats.org/officeDocument/2006/relationships/hyperlink" Target="https://usepa-my.sharepoint.com/:f:/r/personal/jang_carey_epa_gov/Documents/Shared%20with%20EPA%20Employees%20Only/Transition?csf=1&amp;web=1&amp;e=cs2swG" TargetMode="External"/><Relationship Id="rId15" Type="http://schemas.openxmlformats.org/officeDocument/2006/relationships/hyperlink" Target="https://www.epa.gov/AirToxScreen" TargetMode="External"/><Relationship Id="rId23" Type="http://schemas.openxmlformats.org/officeDocument/2006/relationships/hyperlink" Target="https://www.epa.gov/air-emissions-inventories/national-emissions-inventory-nei" TargetMode="External"/><Relationship Id="rId28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36" Type="http://schemas.openxmlformats.org/officeDocument/2006/relationships/hyperlink" Target="mailto:Andrew.Snider@ec.gc.c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epa.gov/air-emissions-inventories/national-emissions-inventory-nei" TargetMode="External"/><Relationship Id="rId19" Type="http://schemas.openxmlformats.org/officeDocument/2006/relationships/hyperlink" Target="https://edg.epa.gov/data/Public/OEI/OIAA/Tribes/EPAtribes.zip" TargetMode="External"/><Relationship Id="rId31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4" Type="http://schemas.openxmlformats.org/officeDocument/2006/relationships/hyperlink" Target="https://usepa-my.sharepoint.com/:u:/g/personal/landis_elizabeth_epa_gov/Edb46fHF01BOkY8MvzBiyHkB86a5HnqJFIwUtgBMbtqaTQ?e=v3RU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air-emissions-inventories/national-emissions-inventory-nei" TargetMode="External"/><Relationship Id="rId14" Type="http://schemas.openxmlformats.org/officeDocument/2006/relationships/hyperlink" Target="https://www.epa.gov/benmap" TargetMode="External"/><Relationship Id="rId22" Type="http://schemas.openxmlformats.org/officeDocument/2006/relationships/hyperlink" Target="https://www.epa.gov/amtic/amtic-air-toxics-data-ambient-monitoring-archive" TargetMode="External"/><Relationship Id="rId27" Type="http://schemas.openxmlformats.org/officeDocument/2006/relationships/hyperlink" Target="https://cloud.gov/" TargetMode="External"/><Relationship Id="rId30" Type="http://schemas.openxmlformats.org/officeDocument/2006/relationships/image" Target="cid:image002.png@01D94A8A.BA4A3CF0" TargetMode="External"/><Relationship Id="rId35" Type="http://schemas.openxmlformats.org/officeDocument/2006/relationships/hyperlink" Target="https://usepa-my.sharepoint.com/:u:/g/personal/landis_elizabeth_epa_gov/ETw8sMTORfdKu55EKxLeqzcBRVItmMjDbKFRdMg80gDwoA?e=w7LCfm" TargetMode="External"/><Relationship Id="rId43" Type="http://schemas.openxmlformats.org/officeDocument/2006/relationships/hyperlink" Target="https://usepa-my.sharepoint.com/:u:/g/personal/landis_elizabeth_epa_gov/EWlbCndG_rNFmnYRz448KKUB1sMc1CYv3fPtzsY8EEDm6w?e=f15hUo" TargetMode="External"/><Relationship Id="rId48" Type="http://schemas.openxmlformats.org/officeDocument/2006/relationships/hyperlink" Target="mailto:%20Davidson.Olivia@epa.gov" TargetMode="External"/><Relationship Id="rId8" Type="http://schemas.openxmlformats.org/officeDocument/2006/relationships/hyperlink" Target="mailto:zhuyun@scut.edu.c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pa.gov/cmaq" TargetMode="External"/><Relationship Id="rId17" Type="http://schemas.openxmlformats.org/officeDocument/2006/relationships/hyperlink" Target="https://www.epa.gov/green-book" TargetMode="External"/><Relationship Id="rId25" Type="http://schemas.openxmlformats.org/officeDocument/2006/relationships/hyperlink" Target="https://edg.epa.gov/data/public/OAR/OAQPS/Class1/Class1Areas.zip" TargetMode="External"/><Relationship Id="rId33" Type="http://schemas.openxmlformats.org/officeDocument/2006/relationships/hyperlink" Target="https://usepa-my.sharepoint.com/:f:/g/personal/landis_elizabeth_epa_gov/EvF6jNFGXNlAkP9cq9Cz_SMB2r9q7Tz5azld3R_DItUDFw?e=LbrzvM" TargetMode="External"/><Relationship Id="rId38" Type="http://schemas.openxmlformats.org/officeDocument/2006/relationships/hyperlink" Target="https://usepa-my.sharepoint.com/:u:/g/personal/landis_elizabeth_epa_gov/EZ5n0z7K785Ijnk3vzoGS3IBnOnjteI4yhzkfk6h5tfaPg?e=EwMwz5" TargetMode="External"/><Relationship Id="rId46" Type="http://schemas.openxmlformats.org/officeDocument/2006/relationships/hyperlink" Target="https://usepa-my.sharepoint.com/:u:/g/personal/landis_elizabeth_epa_gov/EbNfmEUsoPJMrZltDQP3NQoBwVqP8WF9oqa5oayV2zR15g?e=wLdTvX" TargetMode="External"/><Relationship Id="rId20" Type="http://schemas.openxmlformats.org/officeDocument/2006/relationships/hyperlink" Target="https://www.epa.gov/ejscreen" TargetMode="External"/><Relationship Id="rId41" Type="http://schemas.openxmlformats.org/officeDocument/2006/relationships/hyperlink" Target="https://www.epa.gov/climate-indicato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ftp.epa.gov/Air/aqmg/cjang/EPA/Carey/NEXUS/NEXUS%203.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9</cp:revision>
  <dcterms:created xsi:type="dcterms:W3CDTF">2023-03-09T20:51:00Z</dcterms:created>
  <dcterms:modified xsi:type="dcterms:W3CDTF">2023-03-10T16:12:00Z</dcterms:modified>
</cp:coreProperties>
</file>