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172C15" w14:textId="77777777" w:rsidR="00FA4DEB" w:rsidRDefault="00FA4DEB" w:rsidP="00FA4DEB">
      <w:pPr>
        <w:rPr>
          <w:b/>
          <w:sz w:val="28"/>
        </w:rPr>
      </w:pPr>
      <w:r>
        <w:rPr>
          <w:b/>
          <w:sz w:val="28"/>
        </w:rPr>
        <w:t>MEMORANDUM</w:t>
      </w:r>
    </w:p>
    <w:p w14:paraId="37032222" w14:textId="77777777" w:rsidR="00FA4DEB" w:rsidRDefault="00FA4DEB" w:rsidP="00FA4DEB"/>
    <w:p w14:paraId="0E41399D" w14:textId="6CA082A1" w:rsidR="00FA4DEB" w:rsidRDefault="00FA4DEB" w:rsidP="00FA4DEB">
      <w:r>
        <w:rPr>
          <w:b/>
        </w:rPr>
        <w:t>Subject:</w:t>
      </w:r>
      <w:r>
        <w:tab/>
      </w:r>
      <w:r>
        <w:t>Michigan</w:t>
      </w:r>
      <w:r>
        <w:t xml:space="preserve"> Comments on the US EPA 2016v2 Emissions Modeling Platform</w:t>
      </w:r>
    </w:p>
    <w:p w14:paraId="774BE58B" w14:textId="3C0D7DD1" w:rsidR="00FA4DEB" w:rsidRDefault="00FA4DEB" w:rsidP="00FA4DEB">
      <w:r>
        <w:rPr>
          <w:b/>
        </w:rPr>
        <w:t>To:</w:t>
      </w:r>
      <w:r>
        <w:tab/>
      </w:r>
      <w:r>
        <w:tab/>
      </w:r>
      <w:r w:rsidR="00E269D0">
        <w:t xml:space="preserve">US </w:t>
      </w:r>
      <w:r>
        <w:t>EPA’s Emissions Modeling Group</w:t>
      </w:r>
    </w:p>
    <w:p w14:paraId="35B1F777" w14:textId="4B033249" w:rsidR="00FA4DEB" w:rsidRDefault="00FA4DEB" w:rsidP="00FA4DEB">
      <w:r>
        <w:rPr>
          <w:b/>
        </w:rPr>
        <w:t>Cc:</w:t>
      </w:r>
      <w:r>
        <w:tab/>
      </w:r>
      <w:r>
        <w:tab/>
      </w:r>
      <w:r>
        <w:t xml:space="preserve">Allison </w:t>
      </w:r>
      <w:proofErr w:type="spellStart"/>
      <w:r>
        <w:t>Eyth</w:t>
      </w:r>
      <w:proofErr w:type="spellEnd"/>
      <w:r>
        <w:t xml:space="preserve"> (</w:t>
      </w:r>
      <w:r w:rsidR="00E269D0">
        <w:t xml:space="preserve">US </w:t>
      </w:r>
      <w:r>
        <w:t>EPA) and Mark Janssen (LADCO)</w:t>
      </w:r>
    </w:p>
    <w:p w14:paraId="076F4E5A" w14:textId="5FA2DBCC" w:rsidR="00FA4DEB" w:rsidRDefault="00FA4DEB" w:rsidP="00FA4DEB">
      <w:r w:rsidRPr="003A5485">
        <w:rPr>
          <w:b/>
        </w:rPr>
        <w:t>From:</w:t>
      </w:r>
      <w:r w:rsidRPr="003A5485">
        <w:rPr>
          <w:b/>
        </w:rPr>
        <w:tab/>
      </w:r>
      <w:r w:rsidRPr="003A5485">
        <w:tab/>
      </w:r>
      <w:r w:rsidRPr="003A5485">
        <w:t>Catherine Asselin</w:t>
      </w:r>
      <w:r w:rsidRPr="003A5485">
        <w:t xml:space="preserve">, </w:t>
      </w:r>
      <w:r w:rsidRPr="003A5485">
        <w:t>Michigan’s Air Emissions, Reporting and Assessment Unit Manager</w:t>
      </w:r>
    </w:p>
    <w:p w14:paraId="541D7610" w14:textId="54CA138E" w:rsidR="00FA4DEB" w:rsidRDefault="00FA4DEB" w:rsidP="00FA4DEB">
      <w:pPr>
        <w:ind w:left="1440" w:hanging="1440"/>
      </w:pPr>
      <w:r>
        <w:rPr>
          <w:b/>
        </w:rPr>
        <w:t>Attachments:</w:t>
      </w:r>
      <w:r>
        <w:tab/>
        <w:t>Stationary Source non-EGU Point Controls Spreadsheet</w:t>
      </w:r>
      <w:r w:rsidR="00793981">
        <w:t>,</w:t>
      </w:r>
      <w:r w:rsidR="00793981" w:rsidRPr="00793981">
        <w:t xml:space="preserve"> </w:t>
      </w:r>
      <w:r w:rsidR="00793981">
        <w:t>2016v2 EMP Projections Comments</w:t>
      </w:r>
    </w:p>
    <w:p w14:paraId="09471377" w14:textId="761D5E52" w:rsidR="00FA4DEB" w:rsidRDefault="00FA4DEB" w:rsidP="00FA4DEB">
      <w:r>
        <w:rPr>
          <w:b/>
        </w:rPr>
        <w:t>Date:</w:t>
      </w:r>
      <w:r>
        <w:rPr>
          <w:b/>
        </w:rPr>
        <w:tab/>
      </w:r>
      <w:r>
        <w:tab/>
        <w:t xml:space="preserve">December </w:t>
      </w:r>
      <w:r>
        <w:t>17</w:t>
      </w:r>
      <w:r>
        <w:t>, 2021</w:t>
      </w:r>
    </w:p>
    <w:p w14:paraId="06C272EF" w14:textId="77777777" w:rsidR="00FA4DEB" w:rsidRDefault="00FA4DEB" w:rsidP="00FA4D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14:paraId="6CBFDEDD" w14:textId="7C373B09" w:rsidR="00FA4DEB" w:rsidRDefault="00FA4DEB" w:rsidP="00FA4DEB">
      <w:r>
        <w:t xml:space="preserve">This memo outlines issues found by </w:t>
      </w:r>
      <w:r>
        <w:t>Michigan</w:t>
      </w:r>
      <w:r>
        <w:t xml:space="preserve"> during our review of the US EPA 2016 version 2 emissions modeling platform (2016v2 EMP).</w:t>
      </w:r>
    </w:p>
    <w:p w14:paraId="17D5AC4A" w14:textId="77777777" w:rsidR="00FA4DEB" w:rsidRDefault="00FA4DEB" w:rsidP="00FA4DEB"/>
    <w:p w14:paraId="7B3F4ADA" w14:textId="31949792" w:rsidR="00FA4DEB" w:rsidRDefault="00FA4DEB" w:rsidP="00FA4DEB">
      <w:r>
        <w:t xml:space="preserve">We have worked with </w:t>
      </w:r>
      <w:r w:rsidR="00E269D0">
        <w:t>the Lake Michigan Air Directors Consortium (</w:t>
      </w:r>
      <w:r>
        <w:t>LADCO</w:t>
      </w:r>
      <w:r w:rsidR="00E269D0">
        <w:t>)</w:t>
      </w:r>
      <w:r>
        <w:t xml:space="preserve"> to identify technical issues with the 2016v2 EMP and </w:t>
      </w:r>
      <w:r>
        <w:t xml:space="preserve">have received </w:t>
      </w:r>
      <w:r>
        <w:t xml:space="preserve">support </w:t>
      </w:r>
      <w:r>
        <w:t xml:space="preserve">in our efforts to provide </w:t>
      </w:r>
      <w:r>
        <w:t xml:space="preserve">comments to </w:t>
      </w:r>
      <w:r w:rsidR="00986C10">
        <w:t xml:space="preserve">the </w:t>
      </w:r>
      <w:r>
        <w:t xml:space="preserve">US EPA </w:t>
      </w:r>
      <w:r>
        <w:t xml:space="preserve">regarding </w:t>
      </w:r>
      <w:r>
        <w:t>the platform.</w:t>
      </w:r>
    </w:p>
    <w:p w14:paraId="46278156" w14:textId="77777777" w:rsidR="00FA4DEB" w:rsidRDefault="00FA4DEB" w:rsidP="00FA4DEB"/>
    <w:p w14:paraId="749988B2" w14:textId="61A34869" w:rsidR="00FA4DEB" w:rsidRDefault="00FA4DEB" w:rsidP="00FA4DEB">
      <w:r>
        <w:t>Michigan</w:t>
      </w:r>
      <w:r>
        <w:t xml:space="preserve"> identified </w:t>
      </w:r>
      <w:r>
        <w:t>three</w:t>
      </w:r>
      <w:r>
        <w:t xml:space="preserve"> areas for improvement in the 2016v2 EMP: </w:t>
      </w:r>
    </w:p>
    <w:p w14:paraId="411E074E" w14:textId="77777777" w:rsidR="00FA4DEB" w:rsidRDefault="00FA4DEB" w:rsidP="00FA4DEB"/>
    <w:p w14:paraId="380B11E1" w14:textId="77777777" w:rsidR="00FA4DEB" w:rsidRDefault="00FA4DEB" w:rsidP="00FA4DEB">
      <w:pPr>
        <w:pStyle w:val="ListParagraph"/>
        <w:numPr>
          <w:ilvl w:val="0"/>
          <w:numId w:val="1"/>
        </w:numPr>
      </w:pPr>
      <w:r>
        <w:t>Non-electricity generation stationary (non-EGU) point source emissions controls</w:t>
      </w:r>
    </w:p>
    <w:p w14:paraId="1BB9B6B6" w14:textId="77777777" w:rsidR="00FA4DEB" w:rsidRDefault="00FA4DEB" w:rsidP="00FA4DEB">
      <w:pPr>
        <w:pStyle w:val="ListParagraph"/>
        <w:numPr>
          <w:ilvl w:val="0"/>
          <w:numId w:val="1"/>
        </w:numPr>
      </w:pPr>
      <w:r>
        <w:t>Future year emissions projections for various point and non-point inventory sectors</w:t>
      </w:r>
    </w:p>
    <w:p w14:paraId="3EA33304" w14:textId="77777777" w:rsidR="00FA4DEB" w:rsidRDefault="00FA4DEB" w:rsidP="00FA4DEB">
      <w:pPr>
        <w:pStyle w:val="ListParagraph"/>
        <w:numPr>
          <w:ilvl w:val="0"/>
          <w:numId w:val="1"/>
        </w:numPr>
      </w:pPr>
      <w:r>
        <w:t>Stationary point EGU growth rate differences between the ERTAC vs IPM models</w:t>
      </w:r>
    </w:p>
    <w:p w14:paraId="2760AF34" w14:textId="77777777" w:rsidR="00FA4DEB" w:rsidRDefault="00FA4DEB" w:rsidP="00FA4DEB">
      <w:pPr>
        <w:pStyle w:val="ListParagraph"/>
      </w:pPr>
    </w:p>
    <w:p w14:paraId="432E1BC8" w14:textId="6622E34F" w:rsidR="00FA4DEB" w:rsidRDefault="00FA4DEB" w:rsidP="00FA4DEB">
      <w:r>
        <w:t xml:space="preserve">The comments provided by </w:t>
      </w:r>
      <w:r>
        <w:t>Michigan</w:t>
      </w:r>
      <w:r>
        <w:t xml:space="preserve"> in this memo </w:t>
      </w:r>
      <w:r>
        <w:t>are specific to our stat</w:t>
      </w:r>
      <w:r w:rsidR="00165CF9">
        <w:t xml:space="preserve">e and do not </w:t>
      </w:r>
      <w:r>
        <w:t xml:space="preserve">address </w:t>
      </w:r>
      <w:r w:rsidR="00F101BD">
        <w:t xml:space="preserve">comments </w:t>
      </w:r>
      <w:r w:rsidR="00165CF9">
        <w:t xml:space="preserve">for other </w:t>
      </w:r>
      <w:r>
        <w:t>LADCO states</w:t>
      </w:r>
      <w:r w:rsidR="00680319">
        <w:t>.</w:t>
      </w:r>
    </w:p>
    <w:p w14:paraId="5AECA2D8" w14:textId="77777777" w:rsidR="00FA4DEB" w:rsidRDefault="00FA4DEB" w:rsidP="00FA4DEB"/>
    <w:p w14:paraId="4330147B" w14:textId="7B3CA3FA" w:rsidR="00FA4DEB" w:rsidRDefault="00FA4DEB" w:rsidP="00FA4DEB">
      <w:pPr>
        <w:rPr>
          <w:b/>
          <w:szCs w:val="28"/>
          <w:u w:val="single"/>
        </w:rPr>
      </w:pPr>
      <w:bookmarkStart w:id="0" w:name="_Hlk90624316"/>
      <w:r>
        <w:rPr>
          <w:b/>
          <w:szCs w:val="28"/>
          <w:u w:val="single"/>
        </w:rPr>
        <w:t>Non</w:t>
      </w:r>
      <w:r w:rsidR="00D9302D">
        <w:rPr>
          <w:b/>
          <w:szCs w:val="28"/>
          <w:u w:val="single"/>
        </w:rPr>
        <w:t>-</w:t>
      </w:r>
      <w:r>
        <w:rPr>
          <w:b/>
          <w:szCs w:val="28"/>
          <w:u w:val="single"/>
        </w:rPr>
        <w:t>EGU Point Source Emissions Controls</w:t>
      </w:r>
    </w:p>
    <w:p w14:paraId="268E8E9F" w14:textId="77777777" w:rsidR="00FA4DEB" w:rsidRDefault="00FA4DEB" w:rsidP="00FA4DEB">
      <w:pPr>
        <w:rPr>
          <w:b/>
          <w:sz w:val="28"/>
          <w:szCs w:val="28"/>
          <w:u w:val="single"/>
        </w:rPr>
      </w:pPr>
    </w:p>
    <w:p w14:paraId="46023EBB" w14:textId="606BA255" w:rsidR="00FA4DEB" w:rsidRDefault="00FA4DEB" w:rsidP="00FA4DEB">
      <w:r>
        <w:t xml:space="preserve">LADCO worked with </w:t>
      </w:r>
      <w:r w:rsidR="0049731A">
        <w:t>their</w:t>
      </w:r>
      <w:r>
        <w:t xml:space="preserve"> member states to identify the highest-emitting sources and applicable control technology information for non-EGU stationary point sources in the region. </w:t>
      </w:r>
      <w:r w:rsidR="0049731A">
        <w:t>They</w:t>
      </w:r>
      <w:r>
        <w:t xml:space="preserve"> generated a spreadsheet with the highest-emitting non</w:t>
      </w:r>
      <w:r w:rsidR="00D9302D">
        <w:t>-</w:t>
      </w:r>
      <w:r>
        <w:t>EGU sources in 2016 for each LADCO state. The spreadsheet includes columns for state input on emissions control information for each of the sources. The LADCO Emissions Workgroup has worked over the past few months to identify base year emissions controls and potential emissions controls for non-EGU point sources in the region.</w:t>
      </w:r>
    </w:p>
    <w:p w14:paraId="5F2D6506" w14:textId="77777777" w:rsidR="00FA4DEB" w:rsidRDefault="00FA4DEB" w:rsidP="00FA4DEB"/>
    <w:p w14:paraId="6B896FE4" w14:textId="539A4B33" w:rsidR="00FA4DEB" w:rsidRDefault="00FA4DEB" w:rsidP="00FA4DEB">
      <w:r>
        <w:t xml:space="preserve">On October 25, 2021 LADCO provided a non-EGU point emissions control-data collection template to the LADCO Emissions Workgroup. Subsequently, on November 3, 2021 LADCO sent a request to the </w:t>
      </w:r>
      <w:r w:rsidR="0049731A">
        <w:t xml:space="preserve">LADCO </w:t>
      </w:r>
      <w:r>
        <w:t>T</w:t>
      </w:r>
      <w:r w:rsidR="003A5485">
        <w:t xml:space="preserve">echnical </w:t>
      </w:r>
      <w:r>
        <w:t>O</w:t>
      </w:r>
      <w:r w:rsidR="003A5485">
        <w:t xml:space="preserve">versight </w:t>
      </w:r>
      <w:r>
        <w:t>C</w:t>
      </w:r>
      <w:r w:rsidR="003A5485">
        <w:t>ommittee</w:t>
      </w:r>
      <w:r>
        <w:t xml:space="preserve"> for information needed to identify base and future year emissions controls for non-EGU point sources. Given that </w:t>
      </w:r>
      <w:r w:rsidR="00986C10">
        <w:t xml:space="preserve">the </w:t>
      </w:r>
      <w:r>
        <w:t xml:space="preserve">US EPA has indicated that non-EGU point sources will be included in the remedy for the states’ obligations under the 2015 Ozone NAAQS Transport Rule, LADCO recommended that </w:t>
      </w:r>
      <w:r w:rsidR="0049731A">
        <w:t>their</w:t>
      </w:r>
      <w:r>
        <w:t xml:space="preserve"> member states review the control information </w:t>
      </w:r>
      <w:r>
        <w:lastRenderedPageBreak/>
        <w:t xml:space="preserve">for this sector and provide information to </w:t>
      </w:r>
      <w:r w:rsidR="00986C10">
        <w:t xml:space="preserve">the </w:t>
      </w:r>
      <w:r>
        <w:t>US EPA on actual, existing controls at the largest sources in the region.</w:t>
      </w:r>
    </w:p>
    <w:p w14:paraId="5C3FBA09" w14:textId="13D0CFD4" w:rsidR="0049731A" w:rsidRDefault="0049731A" w:rsidP="00FA4DEB"/>
    <w:p w14:paraId="4CC1A25A" w14:textId="4CCB1950" w:rsidR="0049731A" w:rsidRDefault="0049731A" w:rsidP="00FA4DEB">
      <w:r>
        <w:t>Michigan filtered the spreadsheet to only include Michigan sources and reviewed the control technology for the sources.  The spreadsheet was included with this memo</w:t>
      </w:r>
      <w:r w:rsidR="000546A5">
        <w:t xml:space="preserve"> (</w:t>
      </w:r>
      <w:proofErr w:type="spellStart"/>
      <w:r w:rsidR="0020708D">
        <w:t>nonegu</w:t>
      </w:r>
      <w:proofErr w:type="spellEnd"/>
      <w:r w:rsidR="0020708D">
        <w:t xml:space="preserve"> spreadsheet)</w:t>
      </w:r>
      <w:r>
        <w:t xml:space="preserve">.  It includes notes about what control technologies are present for the listed emission units at the sources, and control efficiencies </w:t>
      </w:r>
      <w:r w:rsidR="00AF3629">
        <w:t>that</w:t>
      </w:r>
      <w:r>
        <w:t xml:space="preserve"> could be determined during the limited time for research.</w:t>
      </w:r>
      <w:r w:rsidR="0020708D">
        <w:t xml:space="preserve">  Note that the control efficiencies are only for NOx, though many of these emission units control for other pollutants.  NOx control efficiencies can be difficult to determine as it is often quantified as a final output rather than a reduction.  </w:t>
      </w:r>
      <w:r w:rsidR="00F53544">
        <w:t>Therefore, s</w:t>
      </w:r>
      <w:r w:rsidR="0020708D">
        <w:t xml:space="preserve">ome values are based upon </w:t>
      </w:r>
      <w:r w:rsidR="00C62238">
        <w:t>best estimates</w:t>
      </w:r>
      <w:r w:rsidR="00AF3629">
        <w:t xml:space="preserve"> rather than site-specific information.</w:t>
      </w:r>
    </w:p>
    <w:p w14:paraId="135DDF16" w14:textId="77777777" w:rsidR="0049731A" w:rsidRDefault="0049731A" w:rsidP="00FA4DEB"/>
    <w:p w14:paraId="1296806E" w14:textId="26D69721" w:rsidR="00FA4DEB" w:rsidRDefault="0049731A" w:rsidP="00FA4DEB">
      <w:r>
        <w:t>Additionally, it was determined that one of the sources o</w:t>
      </w:r>
      <w:r w:rsidR="008214B5">
        <w:t>n</w:t>
      </w:r>
      <w:r>
        <w:t xml:space="preserve"> the list only had one line listed</w:t>
      </w:r>
      <w:r w:rsidR="008214B5">
        <w:t xml:space="preserve"> when there are two lines at the source</w:t>
      </w:r>
      <w:r>
        <w:t>.  This source</w:t>
      </w:r>
      <w:r w:rsidR="008214B5">
        <w:t xml:space="preserve"> is Guardian Industries, LLC (</w:t>
      </w:r>
      <w:proofErr w:type="spellStart"/>
      <w:r w:rsidR="008214B5">
        <w:t>facility_id</w:t>
      </w:r>
      <w:proofErr w:type="spellEnd"/>
      <w:r w:rsidR="008214B5">
        <w:t xml:space="preserve"> of 7888111).  The second emission unit is almost identical to the first, has been there for a considerable time, and emits at a similar rate as the line already included in the spreadsheet.  Therefore, Michigan duplicated the </w:t>
      </w:r>
      <w:r w:rsidR="00D9302D">
        <w:t>entry</w:t>
      </w:r>
      <w:r w:rsidR="008214B5">
        <w:t xml:space="preserve">, adding it to the spreadsheet in red text.  Please know that we changed the </w:t>
      </w:r>
      <w:proofErr w:type="spellStart"/>
      <w:r w:rsidR="008214B5">
        <w:t>agy_unit_id</w:t>
      </w:r>
      <w:proofErr w:type="spellEnd"/>
      <w:r w:rsidR="008214B5">
        <w:t xml:space="preserve">, but did not have the </w:t>
      </w:r>
      <w:r w:rsidR="000546A5">
        <w:t xml:space="preserve">new </w:t>
      </w:r>
      <w:proofErr w:type="spellStart"/>
      <w:r w:rsidR="008214B5">
        <w:t>unit_id</w:t>
      </w:r>
      <w:proofErr w:type="spellEnd"/>
      <w:r w:rsidR="000546A5">
        <w:t>.  Please contact Michigan if you have any questions about the additional emission unit.</w:t>
      </w:r>
    </w:p>
    <w:bookmarkEnd w:id="0"/>
    <w:p w14:paraId="4E443828" w14:textId="77777777" w:rsidR="0049731A" w:rsidRDefault="0049731A" w:rsidP="00FA4DEB"/>
    <w:p w14:paraId="32C9C684" w14:textId="77777777" w:rsidR="00FA4DEB" w:rsidRDefault="00FA4DEB" w:rsidP="00FA4DEB">
      <w:pPr>
        <w:rPr>
          <w:b/>
          <w:szCs w:val="28"/>
          <w:u w:val="single"/>
        </w:rPr>
      </w:pPr>
      <w:r>
        <w:rPr>
          <w:b/>
          <w:szCs w:val="28"/>
          <w:u w:val="single"/>
        </w:rPr>
        <w:t>Future Year Emissions Projections for Various Sources</w:t>
      </w:r>
    </w:p>
    <w:p w14:paraId="01D18588" w14:textId="74451918" w:rsidR="00FA4DEB" w:rsidRDefault="00FA4DEB" w:rsidP="00FA4DEB">
      <w:pPr>
        <w:rPr>
          <w:b/>
          <w:sz w:val="28"/>
          <w:szCs w:val="28"/>
          <w:u w:val="single"/>
        </w:rPr>
      </w:pPr>
    </w:p>
    <w:p w14:paraId="52F69847" w14:textId="193F2762" w:rsidR="0069584D" w:rsidRDefault="00FA4DEB" w:rsidP="00FA4DEB">
      <w:r>
        <w:t>LADCO used</w:t>
      </w:r>
      <w:r w:rsidR="00986C10">
        <w:t xml:space="preserve"> the</w:t>
      </w:r>
      <w:r>
        <w:t xml:space="preserve"> US EPA-generated emissions projection reports and identified a list of SCCs that </w:t>
      </w:r>
      <w:r w:rsidR="0069584D">
        <w:t>they</w:t>
      </w:r>
      <w:r>
        <w:t xml:space="preserve"> believe have incorrect future year projection rates</w:t>
      </w:r>
      <w:r w:rsidR="0069584D">
        <w:t>;</w:t>
      </w:r>
      <w:r>
        <w:t xml:space="preserve"> </w:t>
      </w:r>
      <w:r w:rsidR="0069584D">
        <w:t>t</w:t>
      </w:r>
      <w:r>
        <w:t xml:space="preserve">he 2016v2 EMP projection rates are not consistent either with real-world emissions trends or regional emissions projection information. </w:t>
      </w:r>
      <w:r w:rsidR="0069584D">
        <w:t>Michigan has reviewed the list and found that four of the projection rates were for Michigan.</w:t>
      </w:r>
    </w:p>
    <w:p w14:paraId="364DA73E" w14:textId="77777777" w:rsidR="00FA4DEB" w:rsidRDefault="00FA4DEB" w:rsidP="00FA4DEB"/>
    <w:p w14:paraId="5C15CDCA" w14:textId="6EA0D505" w:rsidR="00FA4DEB" w:rsidRDefault="00FA4DEB" w:rsidP="00FA4DEB">
      <w:r>
        <w:t>The attached spreadsheet (LADCO_EPA2016v2_Projections_Comments) includes the list of the SCCs with alternative projection information and LADCO comments on the sources of the alternative information.</w:t>
      </w:r>
    </w:p>
    <w:p w14:paraId="2B190F7D" w14:textId="7B73ECD2" w:rsidR="00D06F20" w:rsidRDefault="00D06F20" w:rsidP="00FA4DEB"/>
    <w:p w14:paraId="29514042" w14:textId="1F06A531" w:rsidR="00D06F20" w:rsidRDefault="00D06F20" w:rsidP="00FA4DEB">
      <w:r>
        <w:t xml:space="preserve">Michigan is requesting that </w:t>
      </w:r>
      <w:r w:rsidR="00986C10">
        <w:t xml:space="preserve">the </w:t>
      </w:r>
      <w:r>
        <w:t>US EPA replace</w:t>
      </w:r>
      <w:r w:rsidR="0031450B">
        <w:t xml:space="preserve"> the 2016v2 EMP projections for th</w:t>
      </w:r>
      <w:r w:rsidR="00986C10">
        <w:t>os</w:t>
      </w:r>
      <w:r w:rsidR="0031450B">
        <w:t>e included in the spreadsheet for Michigan: 2275020000, 2282005022, 2260001020, and 20200252.</w:t>
      </w:r>
      <w:r w:rsidR="00986C10">
        <w:t xml:space="preserve">  As commented on in the spreadsheet, the updated projections reflect information showing a fairly steady-state value for three of the activities and one which research suggests will have an increase, but smaller than the </w:t>
      </w:r>
      <w:r w:rsidR="00A8594E">
        <w:t xml:space="preserve">projection the </w:t>
      </w:r>
      <w:r w:rsidR="00986C10">
        <w:t>US EPA originally proposed.</w:t>
      </w:r>
    </w:p>
    <w:p w14:paraId="4B84972C" w14:textId="54E6A016" w:rsidR="00FA4DEB" w:rsidRDefault="00FA4DEB" w:rsidP="00FA4DEB"/>
    <w:p w14:paraId="38A85631" w14:textId="77777777" w:rsidR="00FA4DEB" w:rsidRDefault="00FA4DEB" w:rsidP="00FA4DEB">
      <w:pPr>
        <w:rPr>
          <w:b/>
          <w:szCs w:val="28"/>
          <w:u w:val="single"/>
        </w:rPr>
      </w:pPr>
      <w:r>
        <w:rPr>
          <w:b/>
          <w:szCs w:val="28"/>
          <w:u w:val="single"/>
        </w:rPr>
        <w:t>EGU Point Source Emissions Projections</w:t>
      </w:r>
    </w:p>
    <w:p w14:paraId="2CFF5C29" w14:textId="77777777" w:rsidR="00FA4DEB" w:rsidRDefault="00FA4DEB" w:rsidP="00FA4DEB"/>
    <w:p w14:paraId="6B5D952F" w14:textId="55D8D321" w:rsidR="00A92EE9" w:rsidRDefault="00FA4DEB" w:rsidP="00FA4DEB">
      <w:r>
        <w:t xml:space="preserve">LADCO recognizes that </w:t>
      </w:r>
      <w:r w:rsidR="00986C10">
        <w:t xml:space="preserve">the </w:t>
      </w:r>
      <w:r>
        <w:t xml:space="preserve">US EPA uses the Integrated Planning Model (IPM) to estimate future year EGU emissions, and that the IPM projection methodology differs from the Eastern Research Technical Advisory Committee (ERTAC) EGU model that is endorsed by the MJOs and the majority of the states in the eastern half of the country. </w:t>
      </w:r>
      <w:r w:rsidR="00A92EE9">
        <w:t xml:space="preserve"> Michigan works with LADCO on </w:t>
      </w:r>
      <w:r w:rsidR="00A92EE9">
        <w:lastRenderedPageBreak/>
        <w:t>Michigan-specific inputs to ERTAC and Michigan would like the US EPA to replace IPM projections with ERTAC EGU projections for sources in Michigan, if not the entire LADCO region.</w:t>
      </w:r>
    </w:p>
    <w:p w14:paraId="08094DA6" w14:textId="77777777" w:rsidR="006F43FF" w:rsidRDefault="006F43FF" w:rsidP="00FA4DEB"/>
    <w:p w14:paraId="210D1516" w14:textId="2B672D7D" w:rsidR="00FA4DEB" w:rsidRDefault="00FA4DEB" w:rsidP="00FA4DEB">
      <w:r>
        <w:t xml:space="preserve">LADCO has identified persistent issues with the IPM projection methods for sources in our region. In particular, </w:t>
      </w:r>
      <w:r w:rsidR="00283958">
        <w:t>they</w:t>
      </w:r>
      <w:r>
        <w:t xml:space="preserve"> are concerned that IPM shuts down units that member states are not prepared to include in their SIPs as having permanent and enforceable controls. The table below includes </w:t>
      </w:r>
      <w:r w:rsidR="00341F92">
        <w:t>a</w:t>
      </w:r>
      <w:r>
        <w:t xml:space="preserve"> unit in the 2016v2 EMP that </w:t>
      </w:r>
      <w:r w:rsidR="00341F92">
        <w:t>is</w:t>
      </w:r>
      <w:r>
        <w:t xml:space="preserve"> shut down by IPM in 2023, and </w:t>
      </w:r>
      <w:r w:rsidR="00341F92">
        <w:t>is</w:t>
      </w:r>
      <w:r>
        <w:t xml:space="preserve"> not planned for shut down by ERTAC.</w:t>
      </w:r>
    </w:p>
    <w:p w14:paraId="0DEEB3A7" w14:textId="77777777" w:rsidR="00FA4DEB" w:rsidRDefault="00FA4DEB" w:rsidP="00FA4DEB"/>
    <w:tbl>
      <w:tblPr>
        <w:tblStyle w:val="TableGrid"/>
        <w:tblW w:w="0" w:type="auto"/>
        <w:tblInd w:w="0" w:type="dxa"/>
        <w:tblLook w:val="04A0" w:firstRow="1" w:lastRow="0" w:firstColumn="1" w:lastColumn="0" w:noHBand="0" w:noVBand="1"/>
      </w:tblPr>
      <w:tblGrid>
        <w:gridCol w:w="722"/>
        <w:gridCol w:w="2700"/>
        <w:gridCol w:w="3597"/>
      </w:tblGrid>
      <w:tr w:rsidR="00FA4DEB" w14:paraId="2E8CF721" w14:textId="77777777" w:rsidTr="0094149E">
        <w:tc>
          <w:tcPr>
            <w:tcW w:w="722" w:type="dxa"/>
            <w:tcBorders>
              <w:top w:val="single" w:sz="4" w:space="0" w:color="auto"/>
              <w:left w:val="single" w:sz="4" w:space="0" w:color="auto"/>
              <w:bottom w:val="single" w:sz="4" w:space="0" w:color="auto"/>
              <w:right w:val="single" w:sz="4" w:space="0" w:color="auto"/>
            </w:tcBorders>
            <w:hideMark/>
          </w:tcPr>
          <w:p w14:paraId="196ECC29" w14:textId="77777777" w:rsidR="00FA4DEB" w:rsidRDefault="00FA4DEB">
            <w:r>
              <w:t>State</w:t>
            </w:r>
          </w:p>
        </w:tc>
        <w:tc>
          <w:tcPr>
            <w:tcW w:w="2700" w:type="dxa"/>
            <w:tcBorders>
              <w:top w:val="single" w:sz="4" w:space="0" w:color="auto"/>
              <w:left w:val="single" w:sz="4" w:space="0" w:color="auto"/>
              <w:bottom w:val="single" w:sz="4" w:space="0" w:color="auto"/>
              <w:right w:val="single" w:sz="4" w:space="0" w:color="auto"/>
            </w:tcBorders>
            <w:hideMark/>
          </w:tcPr>
          <w:p w14:paraId="4A9B071A" w14:textId="77777777" w:rsidR="00FA4DEB" w:rsidRDefault="00FA4DEB">
            <w:r>
              <w:t>Plant Name</w:t>
            </w:r>
          </w:p>
        </w:tc>
        <w:tc>
          <w:tcPr>
            <w:tcW w:w="3597" w:type="dxa"/>
            <w:tcBorders>
              <w:top w:val="single" w:sz="4" w:space="0" w:color="auto"/>
              <w:left w:val="single" w:sz="4" w:space="0" w:color="auto"/>
              <w:bottom w:val="single" w:sz="4" w:space="0" w:color="auto"/>
              <w:right w:val="single" w:sz="4" w:space="0" w:color="auto"/>
            </w:tcBorders>
            <w:hideMark/>
          </w:tcPr>
          <w:p w14:paraId="386C51DA" w14:textId="77777777" w:rsidR="00FA4DEB" w:rsidRDefault="00FA4DEB">
            <w:r>
              <w:t>ORIS ID</w:t>
            </w:r>
          </w:p>
        </w:tc>
      </w:tr>
      <w:tr w:rsidR="00FA4DEB" w14:paraId="7B4BA302" w14:textId="77777777" w:rsidTr="0094149E">
        <w:tc>
          <w:tcPr>
            <w:tcW w:w="722" w:type="dxa"/>
            <w:tcBorders>
              <w:top w:val="single" w:sz="4" w:space="0" w:color="auto"/>
              <w:left w:val="single" w:sz="4" w:space="0" w:color="auto"/>
              <w:bottom w:val="single" w:sz="4" w:space="0" w:color="auto"/>
              <w:right w:val="single" w:sz="4" w:space="0" w:color="auto"/>
            </w:tcBorders>
            <w:hideMark/>
          </w:tcPr>
          <w:p w14:paraId="723689B0" w14:textId="77777777" w:rsidR="00FA4DEB" w:rsidRDefault="00FA4DEB">
            <w:r>
              <w:t>MI</w:t>
            </w:r>
          </w:p>
        </w:tc>
        <w:tc>
          <w:tcPr>
            <w:tcW w:w="2700" w:type="dxa"/>
            <w:tcBorders>
              <w:top w:val="single" w:sz="4" w:space="0" w:color="auto"/>
              <w:left w:val="single" w:sz="4" w:space="0" w:color="auto"/>
              <w:bottom w:val="single" w:sz="4" w:space="0" w:color="auto"/>
              <w:right w:val="single" w:sz="4" w:space="0" w:color="auto"/>
            </w:tcBorders>
            <w:hideMark/>
          </w:tcPr>
          <w:p w14:paraId="314D29F0" w14:textId="77777777" w:rsidR="00FA4DEB" w:rsidRDefault="00FA4DEB">
            <w:r>
              <w:t>TES Filler City</w:t>
            </w:r>
          </w:p>
        </w:tc>
        <w:tc>
          <w:tcPr>
            <w:tcW w:w="3597" w:type="dxa"/>
            <w:tcBorders>
              <w:top w:val="single" w:sz="4" w:space="0" w:color="auto"/>
              <w:left w:val="single" w:sz="4" w:space="0" w:color="auto"/>
              <w:bottom w:val="single" w:sz="4" w:space="0" w:color="auto"/>
              <w:right w:val="single" w:sz="4" w:space="0" w:color="auto"/>
            </w:tcBorders>
            <w:hideMark/>
          </w:tcPr>
          <w:p w14:paraId="784E9F8C" w14:textId="77777777" w:rsidR="00FA4DEB" w:rsidRDefault="00FA4DEB">
            <w:r>
              <w:t>50835</w:t>
            </w:r>
          </w:p>
        </w:tc>
      </w:tr>
    </w:tbl>
    <w:p w14:paraId="59484F88" w14:textId="77777777" w:rsidR="00FA4DEB" w:rsidRDefault="00FA4DEB" w:rsidP="00FA4DEB"/>
    <w:p w14:paraId="1ACED979" w14:textId="1DA2C503" w:rsidR="00FA4DEB" w:rsidRDefault="00FA4DEB" w:rsidP="00FA4DEB">
      <w:r>
        <w:t xml:space="preserve">For the previous Cross State Air Pollution Rule (CSAPR) analyses, </w:t>
      </w:r>
      <w:r w:rsidR="00986C10">
        <w:t xml:space="preserve">the </w:t>
      </w:r>
      <w:r>
        <w:t xml:space="preserve">US EPA projected EGU emissions using an “engineering analysis” method. LADCO recognizes that the US EPA engineering analysis projection methods more closely align with the ERTAC EGU methods. However, LADCO identified for some EGUs in the region problems with the engineering analysis projections used by </w:t>
      </w:r>
      <w:r w:rsidR="00986C10">
        <w:t xml:space="preserve">the </w:t>
      </w:r>
      <w:r>
        <w:t>US EPA for the revised 2008 Ozone Standard CSAPR rule published on March 15, 2021.</w:t>
      </w:r>
    </w:p>
    <w:p w14:paraId="0C79C363" w14:textId="77777777" w:rsidR="00FA4DEB" w:rsidRDefault="00FA4DEB" w:rsidP="00FA4DEB"/>
    <w:p w14:paraId="36496AEE" w14:textId="179DE358" w:rsidR="00FA4DEB" w:rsidRDefault="00FA4DEB" w:rsidP="00FA4DEB">
      <w:r>
        <w:t xml:space="preserve">The table below shows the projected emissions for some of the problematic EGU units identified by LADCO. The green column shows the 2023 ozone season emissions projected by the US EPA engineering analysis. These are the total ozone season emissions for these units allocated under the revised CSAPR rule.  The first blue column shows the 2023 ozone season emissions for each unit estimated by ERTAC. The second blue column (OS NOx EPA Compliance….) shows the result of including additional EPA-prescribed CSAPR compliant emissions reductions on top of the ERTAC projections. The additional reductions come from using the lowest achieved rate for each unit for the 2016 base year. The yellow column highlights the differences between the revised CSAPR allocations and the CSAPR-compliant ERTAC EGU projections. Negative values in the yellow column indicate lower future year allocations from the ERTAC EGU model; positive values indicate higher future year allocations. For example, this analysis shows that </w:t>
      </w:r>
      <w:r w:rsidR="00621D42">
        <w:t xml:space="preserve">Belle River </w:t>
      </w:r>
      <w:r>
        <w:t xml:space="preserve">Unit </w:t>
      </w:r>
      <w:r w:rsidR="00621D42">
        <w:t>2</w:t>
      </w:r>
      <w:r>
        <w:t xml:space="preserve"> would require an additional NOx emissions reduction of </w:t>
      </w:r>
      <w:r w:rsidR="00621D42">
        <w:t xml:space="preserve">829 </w:t>
      </w:r>
      <w:r>
        <w:t>tons per ozone season beyond what ERTAC projected to be compliant with the transport rule.</w:t>
      </w:r>
    </w:p>
    <w:p w14:paraId="39980E9E" w14:textId="77777777" w:rsidR="00FA4DEB" w:rsidRDefault="00FA4DEB" w:rsidP="00FA4DEB"/>
    <w:p w14:paraId="19759B4B" w14:textId="33188D55" w:rsidR="00FA4DEB" w:rsidRDefault="00FA4DEB" w:rsidP="00FA4DEB">
      <w:r>
        <w:t xml:space="preserve">LADCO is concerned that </w:t>
      </w:r>
      <w:r w:rsidR="00621D42">
        <w:t>their</w:t>
      </w:r>
      <w:r>
        <w:t xml:space="preserve"> member states will be challenged to comply with the transport rule for those units with large positive differences between the EPA engineering analysis and </w:t>
      </w:r>
      <w:r>
        <w:lastRenderedPageBreak/>
        <w:t xml:space="preserve">the ERTAC allocations. This analysis highlights the potential problems of using the EPA engineering analysis for transport rule compliance. LADCO feels that calculating transport rule compliance with ERTAC better captures the emissions and control potential for sources in </w:t>
      </w:r>
      <w:r w:rsidR="00621D42">
        <w:t>our</w:t>
      </w:r>
      <w:r>
        <w:t xml:space="preserve"> region. </w:t>
      </w:r>
    </w:p>
    <w:p w14:paraId="4FD34232" w14:textId="77777777" w:rsidR="00FA4DEB" w:rsidRDefault="00FA4DEB" w:rsidP="00FA4DEB"/>
    <w:tbl>
      <w:tblPr>
        <w:tblW w:w="89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2"/>
        <w:gridCol w:w="644"/>
        <w:gridCol w:w="1507"/>
        <w:gridCol w:w="736"/>
        <w:gridCol w:w="1334"/>
        <w:gridCol w:w="1334"/>
        <w:gridCol w:w="1334"/>
        <w:gridCol w:w="1334"/>
      </w:tblGrid>
      <w:tr w:rsidR="00FA4DEB" w14:paraId="644C2601" w14:textId="77777777" w:rsidTr="006F43FF">
        <w:trPr>
          <w:trHeight w:val="1538"/>
          <w:jc w:val="center"/>
        </w:trPr>
        <w:tc>
          <w:tcPr>
            <w:tcW w:w="702" w:type="dxa"/>
            <w:tcBorders>
              <w:top w:val="single" w:sz="4" w:space="0" w:color="auto"/>
              <w:left w:val="single" w:sz="4" w:space="0" w:color="auto"/>
              <w:bottom w:val="single" w:sz="4" w:space="0" w:color="auto"/>
              <w:right w:val="single" w:sz="4" w:space="0" w:color="auto"/>
            </w:tcBorders>
            <w:shd w:val="clear" w:color="auto" w:fill="C0C0C0"/>
            <w:hideMark/>
          </w:tcPr>
          <w:p w14:paraId="769F499C" w14:textId="77777777" w:rsidR="00FA4DEB" w:rsidRDefault="00FA4DEB">
            <w:pPr>
              <w:jc w:val="center"/>
              <w:rPr>
                <w:rFonts w:ascii="Calibri" w:eastAsia="Times New Roman" w:hAnsi="Calibri" w:cs="Calibri"/>
                <w:b/>
                <w:bCs/>
                <w:color w:val="000000"/>
              </w:rPr>
            </w:pPr>
            <w:r>
              <w:rPr>
                <w:rFonts w:ascii="Calibri" w:eastAsia="Times New Roman" w:hAnsi="Calibri" w:cs="Calibri"/>
                <w:b/>
                <w:bCs/>
                <w:color w:val="000000"/>
              </w:rPr>
              <w:t>ORIS</w:t>
            </w:r>
          </w:p>
        </w:tc>
        <w:tc>
          <w:tcPr>
            <w:tcW w:w="644" w:type="dxa"/>
            <w:tcBorders>
              <w:top w:val="single" w:sz="4" w:space="0" w:color="auto"/>
              <w:left w:val="single" w:sz="4" w:space="0" w:color="auto"/>
              <w:bottom w:val="single" w:sz="4" w:space="0" w:color="auto"/>
              <w:right w:val="single" w:sz="4" w:space="0" w:color="auto"/>
            </w:tcBorders>
            <w:shd w:val="clear" w:color="auto" w:fill="C0C0C0"/>
            <w:hideMark/>
          </w:tcPr>
          <w:p w14:paraId="57D7D085" w14:textId="77777777" w:rsidR="00FA4DEB" w:rsidRDefault="00FA4DEB">
            <w:pPr>
              <w:jc w:val="center"/>
              <w:rPr>
                <w:rFonts w:ascii="Calibri" w:eastAsia="Times New Roman" w:hAnsi="Calibri" w:cs="Calibri"/>
                <w:b/>
                <w:bCs/>
                <w:color w:val="000000"/>
              </w:rPr>
            </w:pPr>
            <w:r>
              <w:rPr>
                <w:rFonts w:ascii="Calibri" w:eastAsia="Times New Roman" w:hAnsi="Calibri" w:cs="Calibri"/>
                <w:b/>
                <w:bCs/>
                <w:color w:val="000000"/>
              </w:rPr>
              <w:t>Unit ID</w:t>
            </w:r>
          </w:p>
        </w:tc>
        <w:tc>
          <w:tcPr>
            <w:tcW w:w="1507" w:type="dxa"/>
            <w:tcBorders>
              <w:top w:val="single" w:sz="4" w:space="0" w:color="auto"/>
              <w:left w:val="single" w:sz="4" w:space="0" w:color="auto"/>
              <w:bottom w:val="single" w:sz="4" w:space="0" w:color="auto"/>
              <w:right w:val="single" w:sz="4" w:space="0" w:color="auto"/>
            </w:tcBorders>
            <w:shd w:val="clear" w:color="auto" w:fill="C0C0C0"/>
            <w:hideMark/>
          </w:tcPr>
          <w:p w14:paraId="0D67590F" w14:textId="77777777" w:rsidR="00FA4DEB" w:rsidRDefault="00FA4DEB">
            <w:pPr>
              <w:jc w:val="center"/>
              <w:rPr>
                <w:rFonts w:ascii="Calibri" w:eastAsia="Times New Roman" w:hAnsi="Calibri" w:cs="Calibri"/>
                <w:b/>
                <w:bCs/>
                <w:color w:val="000000"/>
              </w:rPr>
            </w:pPr>
            <w:r>
              <w:rPr>
                <w:rFonts w:ascii="Calibri" w:eastAsia="Times New Roman" w:hAnsi="Calibri" w:cs="Calibri"/>
                <w:b/>
                <w:bCs/>
                <w:color w:val="000000"/>
              </w:rPr>
              <w:t>Facility</w:t>
            </w:r>
          </w:p>
        </w:tc>
        <w:tc>
          <w:tcPr>
            <w:tcW w:w="736" w:type="dxa"/>
            <w:tcBorders>
              <w:top w:val="single" w:sz="4" w:space="0" w:color="auto"/>
              <w:left w:val="single" w:sz="4" w:space="0" w:color="auto"/>
              <w:bottom w:val="single" w:sz="4" w:space="0" w:color="auto"/>
              <w:right w:val="single" w:sz="4" w:space="0" w:color="auto"/>
            </w:tcBorders>
            <w:shd w:val="clear" w:color="auto" w:fill="C0C0C0"/>
            <w:hideMark/>
          </w:tcPr>
          <w:p w14:paraId="50D046A7" w14:textId="77777777" w:rsidR="00FA4DEB" w:rsidRDefault="00FA4DEB">
            <w:pPr>
              <w:jc w:val="center"/>
              <w:rPr>
                <w:rFonts w:ascii="Calibri" w:eastAsia="Times New Roman" w:hAnsi="Calibri" w:cs="Calibri"/>
                <w:b/>
                <w:bCs/>
                <w:color w:val="000000"/>
              </w:rPr>
            </w:pPr>
            <w:r>
              <w:rPr>
                <w:rFonts w:ascii="Calibri" w:eastAsia="Times New Roman" w:hAnsi="Calibri" w:cs="Calibri"/>
                <w:b/>
                <w:bCs/>
                <w:color w:val="000000"/>
              </w:rPr>
              <w:t>State</w:t>
            </w:r>
          </w:p>
        </w:tc>
        <w:tc>
          <w:tcPr>
            <w:tcW w:w="1334" w:type="dxa"/>
            <w:tcBorders>
              <w:top w:val="single" w:sz="4" w:space="0" w:color="auto"/>
              <w:left w:val="single" w:sz="4" w:space="0" w:color="auto"/>
              <w:bottom w:val="single" w:sz="4" w:space="0" w:color="auto"/>
              <w:right w:val="single" w:sz="4" w:space="0" w:color="auto"/>
            </w:tcBorders>
            <w:shd w:val="clear" w:color="auto" w:fill="A9D08E"/>
            <w:hideMark/>
          </w:tcPr>
          <w:p w14:paraId="613342F7" w14:textId="6691E22D" w:rsidR="00FA4DEB" w:rsidRDefault="00FA4DEB">
            <w:pPr>
              <w:jc w:val="center"/>
              <w:rPr>
                <w:rFonts w:ascii="Calibri" w:eastAsia="Times New Roman" w:hAnsi="Calibri" w:cs="Calibri"/>
                <w:b/>
                <w:bCs/>
                <w:color w:val="000000"/>
              </w:rPr>
            </w:pPr>
            <w:r>
              <w:rPr>
                <w:rFonts w:ascii="Calibri" w:eastAsia="Times New Roman" w:hAnsi="Calibri" w:cs="Calibri"/>
                <w:b/>
                <w:bCs/>
                <w:color w:val="000000"/>
              </w:rPr>
              <w:t>A:</w:t>
            </w:r>
            <w:r w:rsidR="00986C10">
              <w:rPr>
                <w:rFonts w:ascii="Calibri" w:eastAsia="Times New Roman" w:hAnsi="Calibri" w:cs="Calibri"/>
                <w:b/>
                <w:bCs/>
                <w:color w:val="000000"/>
              </w:rPr>
              <w:t xml:space="preserve"> The</w:t>
            </w:r>
            <w:r>
              <w:rPr>
                <w:rFonts w:ascii="Calibri" w:eastAsia="Times New Roman" w:hAnsi="Calibri" w:cs="Calibri"/>
                <w:b/>
                <w:bCs/>
                <w:color w:val="000000"/>
              </w:rPr>
              <w:t xml:space="preserve"> US</w:t>
            </w:r>
            <w:r w:rsidR="00986C10">
              <w:rPr>
                <w:rFonts w:ascii="Calibri" w:eastAsia="Times New Roman" w:hAnsi="Calibri" w:cs="Calibri"/>
                <w:b/>
                <w:bCs/>
                <w:color w:val="000000"/>
              </w:rPr>
              <w:t> </w:t>
            </w:r>
            <w:r>
              <w:rPr>
                <w:rFonts w:ascii="Calibri" w:eastAsia="Times New Roman" w:hAnsi="Calibri" w:cs="Calibri"/>
                <w:b/>
                <w:bCs/>
                <w:color w:val="000000"/>
              </w:rPr>
              <w:t>EPA CSAPR Ozone Season  Allocations</w:t>
            </w:r>
          </w:p>
        </w:tc>
        <w:tc>
          <w:tcPr>
            <w:tcW w:w="1334" w:type="dxa"/>
            <w:tcBorders>
              <w:top w:val="single" w:sz="4" w:space="0" w:color="auto"/>
              <w:left w:val="single" w:sz="4" w:space="0" w:color="auto"/>
              <w:bottom w:val="single" w:sz="4" w:space="0" w:color="auto"/>
              <w:right w:val="single" w:sz="4" w:space="0" w:color="auto"/>
            </w:tcBorders>
            <w:shd w:val="clear" w:color="auto" w:fill="B4C6E7"/>
            <w:hideMark/>
          </w:tcPr>
          <w:p w14:paraId="069CF6D2" w14:textId="77777777" w:rsidR="00FA4DEB" w:rsidRDefault="00FA4DEB">
            <w:pPr>
              <w:jc w:val="center"/>
              <w:rPr>
                <w:rFonts w:ascii="Calibri" w:eastAsia="Times New Roman" w:hAnsi="Calibri" w:cs="Calibri"/>
                <w:b/>
                <w:bCs/>
                <w:color w:val="000000"/>
              </w:rPr>
            </w:pPr>
            <w:r>
              <w:rPr>
                <w:rFonts w:ascii="Calibri" w:eastAsia="Times New Roman" w:hAnsi="Calibri" w:cs="Calibri"/>
                <w:b/>
                <w:bCs/>
                <w:color w:val="000000"/>
              </w:rPr>
              <w:t>B: 2023 ERTAC EGU O3 Season NOx (tons)</w:t>
            </w:r>
          </w:p>
        </w:tc>
        <w:tc>
          <w:tcPr>
            <w:tcW w:w="1334" w:type="dxa"/>
            <w:tcBorders>
              <w:top w:val="single" w:sz="4" w:space="0" w:color="auto"/>
              <w:left w:val="single" w:sz="4" w:space="0" w:color="auto"/>
              <w:bottom w:val="single" w:sz="4" w:space="0" w:color="auto"/>
              <w:right w:val="single" w:sz="4" w:space="0" w:color="auto"/>
            </w:tcBorders>
            <w:shd w:val="clear" w:color="auto" w:fill="B4C6E7"/>
            <w:hideMark/>
          </w:tcPr>
          <w:p w14:paraId="4EB577C8" w14:textId="77777777" w:rsidR="00FA4DEB" w:rsidRDefault="00FA4DEB">
            <w:pPr>
              <w:jc w:val="center"/>
              <w:rPr>
                <w:rFonts w:ascii="Calibri" w:eastAsia="Times New Roman" w:hAnsi="Calibri" w:cs="Calibri"/>
                <w:b/>
                <w:bCs/>
                <w:color w:val="000000"/>
              </w:rPr>
            </w:pPr>
            <w:r>
              <w:rPr>
                <w:rFonts w:ascii="Calibri" w:eastAsia="Times New Roman" w:hAnsi="Calibri" w:cs="Calibri"/>
                <w:b/>
                <w:bCs/>
                <w:color w:val="000000"/>
              </w:rPr>
              <w:t>C: B + OS Average Rates (ERTAC Method)</w:t>
            </w:r>
          </w:p>
        </w:tc>
        <w:tc>
          <w:tcPr>
            <w:tcW w:w="1334" w:type="dxa"/>
            <w:tcBorders>
              <w:top w:val="single" w:sz="4" w:space="0" w:color="auto"/>
              <w:left w:val="single" w:sz="4" w:space="0" w:color="auto"/>
              <w:bottom w:val="single" w:sz="4" w:space="0" w:color="auto"/>
              <w:right w:val="single" w:sz="4" w:space="0" w:color="auto"/>
            </w:tcBorders>
            <w:shd w:val="clear" w:color="auto" w:fill="FFE699"/>
            <w:hideMark/>
          </w:tcPr>
          <w:p w14:paraId="22C114EA" w14:textId="77777777" w:rsidR="00FA4DEB" w:rsidRDefault="00FA4DEB">
            <w:pPr>
              <w:rPr>
                <w:rFonts w:ascii="Calibri" w:eastAsia="Times New Roman" w:hAnsi="Calibri" w:cs="Calibri"/>
                <w:b/>
                <w:bCs/>
                <w:color w:val="000000"/>
              </w:rPr>
            </w:pPr>
            <w:r>
              <w:rPr>
                <w:rFonts w:ascii="Calibri" w:eastAsia="Times New Roman" w:hAnsi="Calibri" w:cs="Calibri"/>
                <w:b/>
                <w:bCs/>
                <w:color w:val="000000"/>
              </w:rPr>
              <w:t>C-A</w:t>
            </w:r>
          </w:p>
        </w:tc>
      </w:tr>
      <w:tr w:rsidR="00FA4DEB" w14:paraId="52E4CC89" w14:textId="77777777" w:rsidTr="006F43FF">
        <w:trPr>
          <w:trHeight w:val="290"/>
          <w:jc w:val="center"/>
        </w:trPr>
        <w:tc>
          <w:tcPr>
            <w:tcW w:w="702" w:type="dxa"/>
            <w:tcBorders>
              <w:top w:val="single" w:sz="4" w:space="0" w:color="auto"/>
              <w:left w:val="single" w:sz="4" w:space="0" w:color="auto"/>
              <w:bottom w:val="single" w:sz="4" w:space="0" w:color="auto"/>
              <w:right w:val="single" w:sz="4" w:space="0" w:color="auto"/>
            </w:tcBorders>
            <w:vAlign w:val="bottom"/>
            <w:hideMark/>
          </w:tcPr>
          <w:p w14:paraId="585ADBC3" w14:textId="77777777" w:rsidR="00FA4DEB" w:rsidRDefault="00FA4DEB">
            <w:pPr>
              <w:rPr>
                <w:rFonts w:ascii="Calibri" w:eastAsia="Times New Roman" w:hAnsi="Calibri" w:cs="Calibri"/>
                <w:color w:val="000000"/>
              </w:rPr>
            </w:pPr>
            <w:r>
              <w:rPr>
                <w:rFonts w:ascii="Calibri" w:eastAsia="Times New Roman" w:hAnsi="Calibri" w:cs="Calibri"/>
                <w:color w:val="000000"/>
              </w:rPr>
              <w:t>1710</w:t>
            </w:r>
          </w:p>
        </w:tc>
        <w:tc>
          <w:tcPr>
            <w:tcW w:w="644" w:type="dxa"/>
            <w:tcBorders>
              <w:top w:val="single" w:sz="4" w:space="0" w:color="auto"/>
              <w:left w:val="single" w:sz="4" w:space="0" w:color="auto"/>
              <w:bottom w:val="single" w:sz="4" w:space="0" w:color="auto"/>
              <w:right w:val="single" w:sz="4" w:space="0" w:color="auto"/>
            </w:tcBorders>
            <w:vAlign w:val="bottom"/>
            <w:hideMark/>
          </w:tcPr>
          <w:p w14:paraId="30ADBB28" w14:textId="77777777" w:rsidR="00FA4DEB" w:rsidRDefault="00FA4DEB">
            <w:pPr>
              <w:rPr>
                <w:rFonts w:ascii="Calibri" w:eastAsia="Times New Roman" w:hAnsi="Calibri" w:cs="Calibri"/>
                <w:color w:val="000000"/>
              </w:rPr>
            </w:pPr>
            <w:r>
              <w:rPr>
                <w:rFonts w:ascii="Calibri" w:eastAsia="Times New Roman" w:hAnsi="Calibri" w:cs="Calibri"/>
                <w:color w:val="000000"/>
              </w:rPr>
              <w:t>3</w:t>
            </w:r>
          </w:p>
        </w:tc>
        <w:tc>
          <w:tcPr>
            <w:tcW w:w="1507" w:type="dxa"/>
            <w:tcBorders>
              <w:top w:val="single" w:sz="4" w:space="0" w:color="auto"/>
              <w:left w:val="single" w:sz="4" w:space="0" w:color="auto"/>
              <w:bottom w:val="single" w:sz="4" w:space="0" w:color="auto"/>
              <w:right w:val="single" w:sz="4" w:space="0" w:color="auto"/>
            </w:tcBorders>
            <w:vAlign w:val="bottom"/>
            <w:hideMark/>
          </w:tcPr>
          <w:p w14:paraId="13F1B5EA" w14:textId="77777777" w:rsidR="00FA4DEB" w:rsidRDefault="00FA4DEB">
            <w:pPr>
              <w:rPr>
                <w:rFonts w:ascii="Calibri" w:eastAsia="Times New Roman" w:hAnsi="Calibri" w:cs="Calibri"/>
                <w:color w:val="000000"/>
              </w:rPr>
            </w:pPr>
            <w:r>
              <w:rPr>
                <w:rFonts w:ascii="Calibri" w:eastAsia="Times New Roman" w:hAnsi="Calibri" w:cs="Calibri"/>
                <w:color w:val="000000"/>
              </w:rPr>
              <w:t>J H Campbell</w:t>
            </w:r>
          </w:p>
        </w:tc>
        <w:tc>
          <w:tcPr>
            <w:tcW w:w="736" w:type="dxa"/>
            <w:tcBorders>
              <w:top w:val="single" w:sz="4" w:space="0" w:color="auto"/>
              <w:left w:val="single" w:sz="4" w:space="0" w:color="auto"/>
              <w:bottom w:val="single" w:sz="4" w:space="0" w:color="auto"/>
              <w:right w:val="single" w:sz="4" w:space="0" w:color="auto"/>
            </w:tcBorders>
            <w:vAlign w:val="bottom"/>
            <w:hideMark/>
          </w:tcPr>
          <w:p w14:paraId="3ADC9751" w14:textId="77777777" w:rsidR="00FA4DEB" w:rsidRDefault="00FA4DEB">
            <w:pPr>
              <w:rPr>
                <w:rFonts w:ascii="Calibri" w:eastAsia="Times New Roman" w:hAnsi="Calibri" w:cs="Calibri"/>
                <w:color w:val="000000"/>
              </w:rPr>
            </w:pPr>
            <w:r>
              <w:rPr>
                <w:rFonts w:ascii="Calibri" w:eastAsia="Times New Roman" w:hAnsi="Calibri" w:cs="Calibri"/>
                <w:color w:val="000000"/>
              </w:rPr>
              <w:t>MI</w:t>
            </w:r>
          </w:p>
        </w:tc>
        <w:tc>
          <w:tcPr>
            <w:tcW w:w="1334" w:type="dxa"/>
            <w:tcBorders>
              <w:top w:val="single" w:sz="4" w:space="0" w:color="auto"/>
              <w:left w:val="single" w:sz="4" w:space="0" w:color="auto"/>
              <w:bottom w:val="single" w:sz="4" w:space="0" w:color="auto"/>
              <w:right w:val="single" w:sz="4" w:space="0" w:color="auto"/>
            </w:tcBorders>
            <w:shd w:val="clear" w:color="auto" w:fill="A9D08E"/>
            <w:vAlign w:val="bottom"/>
            <w:hideMark/>
          </w:tcPr>
          <w:p w14:paraId="3BA5D8F1" w14:textId="77777777" w:rsidR="00FA4DEB" w:rsidRDefault="00FA4DEB">
            <w:pPr>
              <w:jc w:val="right"/>
              <w:rPr>
                <w:rFonts w:ascii="Calibri" w:eastAsia="Times New Roman" w:hAnsi="Calibri" w:cs="Calibri"/>
                <w:color w:val="000000"/>
              </w:rPr>
            </w:pPr>
            <w:r>
              <w:rPr>
                <w:rFonts w:ascii="Calibri" w:eastAsia="Times New Roman" w:hAnsi="Calibri" w:cs="Calibri"/>
                <w:color w:val="000000"/>
              </w:rPr>
              <w:t>1,030</w:t>
            </w:r>
          </w:p>
        </w:tc>
        <w:tc>
          <w:tcPr>
            <w:tcW w:w="1334" w:type="dxa"/>
            <w:tcBorders>
              <w:top w:val="single" w:sz="4" w:space="0" w:color="auto"/>
              <w:left w:val="single" w:sz="4" w:space="0" w:color="auto"/>
              <w:bottom w:val="single" w:sz="4" w:space="0" w:color="auto"/>
              <w:right w:val="single" w:sz="4" w:space="0" w:color="auto"/>
            </w:tcBorders>
            <w:shd w:val="clear" w:color="auto" w:fill="B4C6E7"/>
            <w:vAlign w:val="bottom"/>
            <w:hideMark/>
          </w:tcPr>
          <w:p w14:paraId="64805936" w14:textId="77777777" w:rsidR="00FA4DEB" w:rsidRDefault="00FA4DEB">
            <w:pPr>
              <w:jc w:val="right"/>
              <w:rPr>
                <w:rFonts w:ascii="Calibri" w:eastAsia="Times New Roman" w:hAnsi="Calibri" w:cs="Calibri"/>
                <w:color w:val="000000"/>
              </w:rPr>
            </w:pPr>
            <w:r>
              <w:rPr>
                <w:rFonts w:ascii="Calibri" w:eastAsia="Times New Roman" w:hAnsi="Calibri" w:cs="Calibri"/>
                <w:color w:val="000000"/>
              </w:rPr>
              <w:t>206</w:t>
            </w:r>
          </w:p>
        </w:tc>
        <w:tc>
          <w:tcPr>
            <w:tcW w:w="1334" w:type="dxa"/>
            <w:tcBorders>
              <w:top w:val="single" w:sz="4" w:space="0" w:color="auto"/>
              <w:left w:val="single" w:sz="4" w:space="0" w:color="auto"/>
              <w:bottom w:val="single" w:sz="4" w:space="0" w:color="auto"/>
              <w:right w:val="single" w:sz="4" w:space="0" w:color="auto"/>
            </w:tcBorders>
            <w:shd w:val="clear" w:color="auto" w:fill="B4C6E7"/>
            <w:vAlign w:val="bottom"/>
            <w:hideMark/>
          </w:tcPr>
          <w:p w14:paraId="2AEB4748" w14:textId="77777777" w:rsidR="00FA4DEB" w:rsidRDefault="00FA4DEB">
            <w:pPr>
              <w:jc w:val="right"/>
              <w:rPr>
                <w:rFonts w:ascii="Calibri" w:eastAsia="Times New Roman" w:hAnsi="Calibri" w:cs="Calibri"/>
                <w:color w:val="000000"/>
              </w:rPr>
            </w:pPr>
            <w:r>
              <w:rPr>
                <w:rFonts w:ascii="Calibri" w:eastAsia="Times New Roman" w:hAnsi="Calibri" w:cs="Calibri"/>
                <w:color w:val="000000"/>
              </w:rPr>
              <w:t>206</w:t>
            </w:r>
          </w:p>
        </w:tc>
        <w:tc>
          <w:tcPr>
            <w:tcW w:w="1334" w:type="dxa"/>
            <w:tcBorders>
              <w:top w:val="single" w:sz="4" w:space="0" w:color="auto"/>
              <w:left w:val="single" w:sz="4" w:space="0" w:color="auto"/>
              <w:bottom w:val="single" w:sz="4" w:space="0" w:color="auto"/>
              <w:right w:val="single" w:sz="4" w:space="0" w:color="auto"/>
            </w:tcBorders>
            <w:shd w:val="clear" w:color="auto" w:fill="FFE699"/>
            <w:noWrap/>
            <w:vAlign w:val="bottom"/>
            <w:hideMark/>
          </w:tcPr>
          <w:p w14:paraId="1F1A66C1" w14:textId="77777777" w:rsidR="00FA4DEB" w:rsidRDefault="00FA4DEB">
            <w:pPr>
              <w:jc w:val="right"/>
              <w:rPr>
                <w:rFonts w:ascii="Calibri" w:eastAsia="Times New Roman" w:hAnsi="Calibri" w:cs="Calibri"/>
                <w:color w:val="000000"/>
              </w:rPr>
            </w:pPr>
            <w:r>
              <w:rPr>
                <w:rFonts w:ascii="Calibri" w:eastAsia="Times New Roman" w:hAnsi="Calibri" w:cs="Calibri"/>
                <w:color w:val="000000"/>
              </w:rPr>
              <w:t>-824</w:t>
            </w:r>
          </w:p>
        </w:tc>
      </w:tr>
      <w:tr w:rsidR="00FA4DEB" w14:paraId="0E2E9FC1" w14:textId="77777777" w:rsidTr="006F43FF">
        <w:trPr>
          <w:trHeight w:val="290"/>
          <w:jc w:val="center"/>
        </w:trPr>
        <w:tc>
          <w:tcPr>
            <w:tcW w:w="702" w:type="dxa"/>
            <w:tcBorders>
              <w:top w:val="single" w:sz="4" w:space="0" w:color="auto"/>
              <w:left w:val="single" w:sz="4" w:space="0" w:color="auto"/>
              <w:bottom w:val="single" w:sz="4" w:space="0" w:color="auto"/>
              <w:right w:val="single" w:sz="4" w:space="0" w:color="auto"/>
            </w:tcBorders>
            <w:vAlign w:val="bottom"/>
            <w:hideMark/>
          </w:tcPr>
          <w:p w14:paraId="2E87761E" w14:textId="77777777" w:rsidR="00FA4DEB" w:rsidRDefault="00FA4DEB">
            <w:pPr>
              <w:rPr>
                <w:rFonts w:ascii="Calibri" w:eastAsia="Times New Roman" w:hAnsi="Calibri" w:cs="Calibri"/>
                <w:color w:val="000000"/>
              </w:rPr>
            </w:pPr>
            <w:r>
              <w:rPr>
                <w:rFonts w:ascii="Calibri" w:eastAsia="Times New Roman" w:hAnsi="Calibri" w:cs="Calibri"/>
                <w:color w:val="000000"/>
              </w:rPr>
              <w:t>1733</w:t>
            </w:r>
          </w:p>
        </w:tc>
        <w:tc>
          <w:tcPr>
            <w:tcW w:w="644" w:type="dxa"/>
            <w:tcBorders>
              <w:top w:val="single" w:sz="4" w:space="0" w:color="auto"/>
              <w:left w:val="single" w:sz="4" w:space="0" w:color="auto"/>
              <w:bottom w:val="single" w:sz="4" w:space="0" w:color="auto"/>
              <w:right w:val="single" w:sz="4" w:space="0" w:color="auto"/>
            </w:tcBorders>
            <w:vAlign w:val="bottom"/>
            <w:hideMark/>
          </w:tcPr>
          <w:p w14:paraId="1DCB2847" w14:textId="77777777" w:rsidR="00FA4DEB" w:rsidRDefault="00FA4DEB">
            <w:pPr>
              <w:rPr>
                <w:rFonts w:ascii="Calibri" w:eastAsia="Times New Roman" w:hAnsi="Calibri" w:cs="Calibri"/>
                <w:color w:val="000000"/>
              </w:rPr>
            </w:pPr>
            <w:r>
              <w:rPr>
                <w:rFonts w:ascii="Calibri" w:eastAsia="Times New Roman" w:hAnsi="Calibri" w:cs="Calibri"/>
                <w:color w:val="000000"/>
              </w:rPr>
              <w:t>2</w:t>
            </w:r>
          </w:p>
        </w:tc>
        <w:tc>
          <w:tcPr>
            <w:tcW w:w="1507" w:type="dxa"/>
            <w:tcBorders>
              <w:top w:val="single" w:sz="4" w:space="0" w:color="auto"/>
              <w:left w:val="single" w:sz="4" w:space="0" w:color="auto"/>
              <w:bottom w:val="single" w:sz="4" w:space="0" w:color="auto"/>
              <w:right w:val="single" w:sz="4" w:space="0" w:color="auto"/>
            </w:tcBorders>
            <w:vAlign w:val="bottom"/>
            <w:hideMark/>
          </w:tcPr>
          <w:p w14:paraId="15D4FB4B" w14:textId="77777777" w:rsidR="00FA4DEB" w:rsidRDefault="00FA4DEB">
            <w:pPr>
              <w:rPr>
                <w:rFonts w:ascii="Calibri" w:eastAsia="Times New Roman" w:hAnsi="Calibri" w:cs="Calibri"/>
                <w:color w:val="000000"/>
              </w:rPr>
            </w:pPr>
            <w:r>
              <w:rPr>
                <w:rFonts w:ascii="Calibri" w:eastAsia="Times New Roman" w:hAnsi="Calibri" w:cs="Calibri"/>
                <w:color w:val="000000"/>
              </w:rPr>
              <w:t>Monroe</w:t>
            </w:r>
          </w:p>
        </w:tc>
        <w:tc>
          <w:tcPr>
            <w:tcW w:w="736" w:type="dxa"/>
            <w:tcBorders>
              <w:top w:val="single" w:sz="4" w:space="0" w:color="auto"/>
              <w:left w:val="single" w:sz="4" w:space="0" w:color="auto"/>
              <w:bottom w:val="single" w:sz="4" w:space="0" w:color="auto"/>
              <w:right w:val="single" w:sz="4" w:space="0" w:color="auto"/>
            </w:tcBorders>
            <w:vAlign w:val="bottom"/>
            <w:hideMark/>
          </w:tcPr>
          <w:p w14:paraId="26B93B5F" w14:textId="77777777" w:rsidR="00FA4DEB" w:rsidRDefault="00FA4DEB">
            <w:pPr>
              <w:rPr>
                <w:rFonts w:ascii="Calibri" w:eastAsia="Times New Roman" w:hAnsi="Calibri" w:cs="Calibri"/>
                <w:color w:val="000000"/>
              </w:rPr>
            </w:pPr>
            <w:r>
              <w:rPr>
                <w:rFonts w:ascii="Calibri" w:eastAsia="Times New Roman" w:hAnsi="Calibri" w:cs="Calibri"/>
                <w:color w:val="000000"/>
              </w:rPr>
              <w:t>MI</w:t>
            </w:r>
          </w:p>
        </w:tc>
        <w:tc>
          <w:tcPr>
            <w:tcW w:w="1334" w:type="dxa"/>
            <w:tcBorders>
              <w:top w:val="single" w:sz="4" w:space="0" w:color="auto"/>
              <w:left w:val="single" w:sz="4" w:space="0" w:color="auto"/>
              <w:bottom w:val="single" w:sz="4" w:space="0" w:color="auto"/>
              <w:right w:val="single" w:sz="4" w:space="0" w:color="auto"/>
            </w:tcBorders>
            <w:shd w:val="clear" w:color="auto" w:fill="A9D08E"/>
            <w:vAlign w:val="bottom"/>
            <w:hideMark/>
          </w:tcPr>
          <w:p w14:paraId="2B277E29" w14:textId="77777777" w:rsidR="00FA4DEB" w:rsidRDefault="00FA4DEB">
            <w:pPr>
              <w:jc w:val="right"/>
              <w:rPr>
                <w:rFonts w:ascii="Calibri" w:eastAsia="Times New Roman" w:hAnsi="Calibri" w:cs="Calibri"/>
                <w:color w:val="000000"/>
              </w:rPr>
            </w:pPr>
            <w:r>
              <w:rPr>
                <w:rFonts w:ascii="Calibri" w:eastAsia="Times New Roman" w:hAnsi="Calibri" w:cs="Calibri"/>
                <w:color w:val="000000"/>
              </w:rPr>
              <w:t>689</w:t>
            </w:r>
          </w:p>
        </w:tc>
        <w:tc>
          <w:tcPr>
            <w:tcW w:w="1334" w:type="dxa"/>
            <w:tcBorders>
              <w:top w:val="single" w:sz="4" w:space="0" w:color="auto"/>
              <w:left w:val="single" w:sz="4" w:space="0" w:color="auto"/>
              <w:bottom w:val="single" w:sz="4" w:space="0" w:color="auto"/>
              <w:right w:val="single" w:sz="4" w:space="0" w:color="auto"/>
            </w:tcBorders>
            <w:shd w:val="clear" w:color="auto" w:fill="B4C6E7"/>
            <w:vAlign w:val="bottom"/>
            <w:hideMark/>
          </w:tcPr>
          <w:p w14:paraId="251FABC9" w14:textId="77777777" w:rsidR="00FA4DEB" w:rsidRDefault="00FA4DEB">
            <w:pPr>
              <w:jc w:val="right"/>
              <w:rPr>
                <w:rFonts w:ascii="Calibri" w:eastAsia="Times New Roman" w:hAnsi="Calibri" w:cs="Calibri"/>
                <w:color w:val="000000"/>
              </w:rPr>
            </w:pPr>
            <w:r>
              <w:rPr>
                <w:rFonts w:ascii="Calibri" w:eastAsia="Times New Roman" w:hAnsi="Calibri" w:cs="Calibri"/>
                <w:color w:val="000000"/>
              </w:rPr>
              <w:t>232</w:t>
            </w:r>
          </w:p>
        </w:tc>
        <w:tc>
          <w:tcPr>
            <w:tcW w:w="1334" w:type="dxa"/>
            <w:tcBorders>
              <w:top w:val="single" w:sz="4" w:space="0" w:color="auto"/>
              <w:left w:val="single" w:sz="4" w:space="0" w:color="auto"/>
              <w:bottom w:val="single" w:sz="4" w:space="0" w:color="auto"/>
              <w:right w:val="single" w:sz="4" w:space="0" w:color="auto"/>
            </w:tcBorders>
            <w:shd w:val="clear" w:color="auto" w:fill="B4C6E7"/>
            <w:vAlign w:val="bottom"/>
            <w:hideMark/>
          </w:tcPr>
          <w:p w14:paraId="4B0DFD09" w14:textId="77777777" w:rsidR="00FA4DEB" w:rsidRDefault="00FA4DEB">
            <w:pPr>
              <w:jc w:val="right"/>
              <w:rPr>
                <w:rFonts w:ascii="Calibri" w:eastAsia="Times New Roman" w:hAnsi="Calibri" w:cs="Calibri"/>
                <w:color w:val="000000"/>
              </w:rPr>
            </w:pPr>
            <w:r>
              <w:rPr>
                <w:rFonts w:ascii="Calibri" w:eastAsia="Times New Roman" w:hAnsi="Calibri" w:cs="Calibri"/>
                <w:color w:val="000000"/>
              </w:rPr>
              <w:t>232</w:t>
            </w:r>
          </w:p>
        </w:tc>
        <w:tc>
          <w:tcPr>
            <w:tcW w:w="1334" w:type="dxa"/>
            <w:tcBorders>
              <w:top w:val="single" w:sz="4" w:space="0" w:color="auto"/>
              <w:left w:val="single" w:sz="4" w:space="0" w:color="auto"/>
              <w:bottom w:val="single" w:sz="4" w:space="0" w:color="auto"/>
              <w:right w:val="single" w:sz="4" w:space="0" w:color="auto"/>
            </w:tcBorders>
            <w:shd w:val="clear" w:color="auto" w:fill="FFE699"/>
            <w:noWrap/>
            <w:vAlign w:val="bottom"/>
            <w:hideMark/>
          </w:tcPr>
          <w:p w14:paraId="72B112E4" w14:textId="77777777" w:rsidR="00FA4DEB" w:rsidRDefault="00FA4DEB">
            <w:pPr>
              <w:jc w:val="right"/>
              <w:rPr>
                <w:rFonts w:ascii="Calibri" w:eastAsia="Times New Roman" w:hAnsi="Calibri" w:cs="Calibri"/>
                <w:color w:val="000000"/>
              </w:rPr>
            </w:pPr>
            <w:r>
              <w:rPr>
                <w:rFonts w:ascii="Calibri" w:eastAsia="Times New Roman" w:hAnsi="Calibri" w:cs="Calibri"/>
                <w:color w:val="000000"/>
              </w:rPr>
              <w:t>-457</w:t>
            </w:r>
          </w:p>
        </w:tc>
      </w:tr>
      <w:tr w:rsidR="00FA4DEB" w14:paraId="4D9D60DA" w14:textId="77777777" w:rsidTr="006F43FF">
        <w:trPr>
          <w:trHeight w:val="290"/>
          <w:jc w:val="center"/>
        </w:trPr>
        <w:tc>
          <w:tcPr>
            <w:tcW w:w="702" w:type="dxa"/>
            <w:tcBorders>
              <w:top w:val="single" w:sz="4" w:space="0" w:color="auto"/>
              <w:left w:val="single" w:sz="4" w:space="0" w:color="auto"/>
              <w:bottom w:val="single" w:sz="4" w:space="0" w:color="auto"/>
              <w:right w:val="single" w:sz="4" w:space="0" w:color="auto"/>
            </w:tcBorders>
            <w:vAlign w:val="bottom"/>
            <w:hideMark/>
          </w:tcPr>
          <w:p w14:paraId="1B04A781" w14:textId="77777777" w:rsidR="00FA4DEB" w:rsidRDefault="00FA4DEB">
            <w:pPr>
              <w:rPr>
                <w:rFonts w:ascii="Calibri" w:eastAsia="Times New Roman" w:hAnsi="Calibri" w:cs="Calibri"/>
                <w:color w:val="000000"/>
              </w:rPr>
            </w:pPr>
            <w:r>
              <w:rPr>
                <w:rFonts w:ascii="Calibri" w:eastAsia="Times New Roman" w:hAnsi="Calibri" w:cs="Calibri"/>
                <w:color w:val="000000"/>
              </w:rPr>
              <w:t>6034</w:t>
            </w:r>
          </w:p>
        </w:tc>
        <w:tc>
          <w:tcPr>
            <w:tcW w:w="644" w:type="dxa"/>
            <w:tcBorders>
              <w:top w:val="single" w:sz="4" w:space="0" w:color="auto"/>
              <w:left w:val="single" w:sz="4" w:space="0" w:color="auto"/>
              <w:bottom w:val="single" w:sz="4" w:space="0" w:color="auto"/>
              <w:right w:val="single" w:sz="4" w:space="0" w:color="auto"/>
            </w:tcBorders>
            <w:vAlign w:val="bottom"/>
            <w:hideMark/>
          </w:tcPr>
          <w:p w14:paraId="1C9AB5F7" w14:textId="77777777" w:rsidR="00FA4DEB" w:rsidRDefault="00FA4DEB">
            <w:pPr>
              <w:rPr>
                <w:rFonts w:ascii="Calibri" w:eastAsia="Times New Roman" w:hAnsi="Calibri" w:cs="Calibri"/>
                <w:color w:val="000000"/>
              </w:rPr>
            </w:pPr>
            <w:r>
              <w:rPr>
                <w:rFonts w:ascii="Calibri" w:eastAsia="Times New Roman" w:hAnsi="Calibri" w:cs="Calibri"/>
                <w:color w:val="000000"/>
              </w:rPr>
              <w:t>1</w:t>
            </w:r>
          </w:p>
        </w:tc>
        <w:tc>
          <w:tcPr>
            <w:tcW w:w="1507" w:type="dxa"/>
            <w:tcBorders>
              <w:top w:val="single" w:sz="4" w:space="0" w:color="auto"/>
              <w:left w:val="single" w:sz="4" w:space="0" w:color="auto"/>
              <w:bottom w:val="single" w:sz="4" w:space="0" w:color="auto"/>
              <w:right w:val="single" w:sz="4" w:space="0" w:color="auto"/>
            </w:tcBorders>
            <w:vAlign w:val="bottom"/>
            <w:hideMark/>
          </w:tcPr>
          <w:p w14:paraId="76437DBF" w14:textId="77777777" w:rsidR="00FA4DEB" w:rsidRDefault="00FA4DEB">
            <w:pPr>
              <w:rPr>
                <w:rFonts w:ascii="Calibri" w:eastAsia="Times New Roman" w:hAnsi="Calibri" w:cs="Calibri"/>
                <w:color w:val="000000"/>
              </w:rPr>
            </w:pPr>
            <w:r>
              <w:rPr>
                <w:rFonts w:ascii="Calibri" w:eastAsia="Times New Roman" w:hAnsi="Calibri" w:cs="Calibri"/>
                <w:color w:val="000000"/>
              </w:rPr>
              <w:t>Belle River</w:t>
            </w:r>
          </w:p>
        </w:tc>
        <w:tc>
          <w:tcPr>
            <w:tcW w:w="736" w:type="dxa"/>
            <w:tcBorders>
              <w:top w:val="single" w:sz="4" w:space="0" w:color="auto"/>
              <w:left w:val="single" w:sz="4" w:space="0" w:color="auto"/>
              <w:bottom w:val="single" w:sz="4" w:space="0" w:color="auto"/>
              <w:right w:val="single" w:sz="4" w:space="0" w:color="auto"/>
            </w:tcBorders>
            <w:vAlign w:val="bottom"/>
            <w:hideMark/>
          </w:tcPr>
          <w:p w14:paraId="163C115C" w14:textId="77777777" w:rsidR="00FA4DEB" w:rsidRDefault="00FA4DEB">
            <w:pPr>
              <w:rPr>
                <w:rFonts w:ascii="Calibri" w:eastAsia="Times New Roman" w:hAnsi="Calibri" w:cs="Calibri"/>
                <w:color w:val="000000"/>
              </w:rPr>
            </w:pPr>
            <w:r>
              <w:rPr>
                <w:rFonts w:ascii="Calibri" w:eastAsia="Times New Roman" w:hAnsi="Calibri" w:cs="Calibri"/>
                <w:color w:val="000000"/>
              </w:rPr>
              <w:t>MI</w:t>
            </w:r>
          </w:p>
        </w:tc>
        <w:tc>
          <w:tcPr>
            <w:tcW w:w="1334" w:type="dxa"/>
            <w:tcBorders>
              <w:top w:val="single" w:sz="4" w:space="0" w:color="auto"/>
              <w:left w:val="single" w:sz="4" w:space="0" w:color="auto"/>
              <w:bottom w:val="single" w:sz="4" w:space="0" w:color="auto"/>
              <w:right w:val="single" w:sz="4" w:space="0" w:color="auto"/>
            </w:tcBorders>
            <w:shd w:val="clear" w:color="auto" w:fill="A9D08E"/>
            <w:vAlign w:val="bottom"/>
            <w:hideMark/>
          </w:tcPr>
          <w:p w14:paraId="1972AB66" w14:textId="77777777" w:rsidR="00FA4DEB" w:rsidRDefault="00FA4DEB">
            <w:pPr>
              <w:jc w:val="right"/>
              <w:rPr>
                <w:rFonts w:ascii="Calibri" w:eastAsia="Times New Roman" w:hAnsi="Calibri" w:cs="Calibri"/>
                <w:color w:val="000000"/>
              </w:rPr>
            </w:pPr>
            <w:r>
              <w:rPr>
                <w:rFonts w:ascii="Calibri" w:eastAsia="Times New Roman" w:hAnsi="Calibri" w:cs="Calibri"/>
                <w:color w:val="000000"/>
              </w:rPr>
              <w:t>637</w:t>
            </w:r>
          </w:p>
        </w:tc>
        <w:tc>
          <w:tcPr>
            <w:tcW w:w="1334" w:type="dxa"/>
            <w:tcBorders>
              <w:top w:val="single" w:sz="4" w:space="0" w:color="auto"/>
              <w:left w:val="single" w:sz="4" w:space="0" w:color="auto"/>
              <w:bottom w:val="single" w:sz="4" w:space="0" w:color="auto"/>
              <w:right w:val="single" w:sz="4" w:space="0" w:color="auto"/>
            </w:tcBorders>
            <w:shd w:val="clear" w:color="auto" w:fill="B4C6E7"/>
            <w:vAlign w:val="bottom"/>
            <w:hideMark/>
          </w:tcPr>
          <w:p w14:paraId="5F262BA3" w14:textId="77777777" w:rsidR="00FA4DEB" w:rsidRDefault="00FA4DEB">
            <w:pPr>
              <w:jc w:val="right"/>
              <w:rPr>
                <w:rFonts w:ascii="Calibri" w:eastAsia="Times New Roman" w:hAnsi="Calibri" w:cs="Calibri"/>
                <w:color w:val="000000"/>
              </w:rPr>
            </w:pPr>
            <w:r>
              <w:rPr>
                <w:rFonts w:ascii="Calibri" w:eastAsia="Times New Roman" w:hAnsi="Calibri" w:cs="Calibri"/>
                <w:color w:val="000000"/>
              </w:rPr>
              <w:t>1134</w:t>
            </w:r>
          </w:p>
        </w:tc>
        <w:tc>
          <w:tcPr>
            <w:tcW w:w="1334" w:type="dxa"/>
            <w:tcBorders>
              <w:top w:val="single" w:sz="4" w:space="0" w:color="auto"/>
              <w:left w:val="single" w:sz="4" w:space="0" w:color="auto"/>
              <w:bottom w:val="single" w:sz="4" w:space="0" w:color="auto"/>
              <w:right w:val="single" w:sz="4" w:space="0" w:color="auto"/>
            </w:tcBorders>
            <w:shd w:val="clear" w:color="auto" w:fill="B4C6E7"/>
            <w:vAlign w:val="bottom"/>
            <w:hideMark/>
          </w:tcPr>
          <w:p w14:paraId="56650646" w14:textId="77777777" w:rsidR="00FA4DEB" w:rsidRDefault="00FA4DEB">
            <w:pPr>
              <w:jc w:val="right"/>
              <w:rPr>
                <w:rFonts w:ascii="Calibri" w:eastAsia="Times New Roman" w:hAnsi="Calibri" w:cs="Calibri"/>
                <w:color w:val="000000"/>
              </w:rPr>
            </w:pPr>
            <w:r>
              <w:rPr>
                <w:rFonts w:ascii="Calibri" w:eastAsia="Times New Roman" w:hAnsi="Calibri" w:cs="Calibri"/>
                <w:color w:val="000000"/>
              </w:rPr>
              <w:t>1,134</w:t>
            </w:r>
          </w:p>
        </w:tc>
        <w:tc>
          <w:tcPr>
            <w:tcW w:w="1334" w:type="dxa"/>
            <w:tcBorders>
              <w:top w:val="single" w:sz="4" w:space="0" w:color="auto"/>
              <w:left w:val="single" w:sz="4" w:space="0" w:color="auto"/>
              <w:bottom w:val="single" w:sz="4" w:space="0" w:color="auto"/>
              <w:right w:val="single" w:sz="4" w:space="0" w:color="auto"/>
            </w:tcBorders>
            <w:shd w:val="clear" w:color="auto" w:fill="FFE699"/>
            <w:noWrap/>
            <w:vAlign w:val="bottom"/>
            <w:hideMark/>
          </w:tcPr>
          <w:p w14:paraId="7CAE8125" w14:textId="77777777" w:rsidR="00FA4DEB" w:rsidRDefault="00FA4DEB">
            <w:pPr>
              <w:jc w:val="right"/>
              <w:rPr>
                <w:rFonts w:ascii="Calibri" w:eastAsia="Times New Roman" w:hAnsi="Calibri" w:cs="Calibri"/>
                <w:color w:val="000000"/>
              </w:rPr>
            </w:pPr>
            <w:r>
              <w:rPr>
                <w:rFonts w:ascii="Calibri" w:eastAsia="Times New Roman" w:hAnsi="Calibri" w:cs="Calibri"/>
                <w:color w:val="000000"/>
              </w:rPr>
              <w:t>497</w:t>
            </w:r>
          </w:p>
        </w:tc>
      </w:tr>
      <w:tr w:rsidR="00FA4DEB" w14:paraId="7FB1E664" w14:textId="77777777" w:rsidTr="006F43FF">
        <w:trPr>
          <w:trHeight w:val="290"/>
          <w:jc w:val="center"/>
        </w:trPr>
        <w:tc>
          <w:tcPr>
            <w:tcW w:w="702" w:type="dxa"/>
            <w:tcBorders>
              <w:top w:val="single" w:sz="4" w:space="0" w:color="auto"/>
              <w:left w:val="single" w:sz="4" w:space="0" w:color="auto"/>
              <w:bottom w:val="single" w:sz="4" w:space="0" w:color="auto"/>
              <w:right w:val="single" w:sz="4" w:space="0" w:color="auto"/>
            </w:tcBorders>
            <w:vAlign w:val="bottom"/>
            <w:hideMark/>
          </w:tcPr>
          <w:p w14:paraId="29996124" w14:textId="77777777" w:rsidR="00FA4DEB" w:rsidRDefault="00FA4DEB">
            <w:pPr>
              <w:rPr>
                <w:rFonts w:ascii="Calibri" w:eastAsia="Times New Roman" w:hAnsi="Calibri" w:cs="Calibri"/>
                <w:color w:val="000000"/>
              </w:rPr>
            </w:pPr>
            <w:r>
              <w:rPr>
                <w:rFonts w:ascii="Calibri" w:eastAsia="Times New Roman" w:hAnsi="Calibri" w:cs="Calibri"/>
                <w:color w:val="000000"/>
              </w:rPr>
              <w:t>6034</w:t>
            </w:r>
          </w:p>
        </w:tc>
        <w:tc>
          <w:tcPr>
            <w:tcW w:w="644" w:type="dxa"/>
            <w:tcBorders>
              <w:top w:val="single" w:sz="4" w:space="0" w:color="auto"/>
              <w:left w:val="single" w:sz="4" w:space="0" w:color="auto"/>
              <w:bottom w:val="single" w:sz="4" w:space="0" w:color="auto"/>
              <w:right w:val="single" w:sz="4" w:space="0" w:color="auto"/>
            </w:tcBorders>
            <w:vAlign w:val="bottom"/>
            <w:hideMark/>
          </w:tcPr>
          <w:p w14:paraId="7C3062AA" w14:textId="77777777" w:rsidR="00FA4DEB" w:rsidRDefault="00FA4DEB">
            <w:pPr>
              <w:rPr>
                <w:rFonts w:ascii="Calibri" w:eastAsia="Times New Roman" w:hAnsi="Calibri" w:cs="Calibri"/>
                <w:color w:val="000000"/>
              </w:rPr>
            </w:pPr>
            <w:r>
              <w:rPr>
                <w:rFonts w:ascii="Calibri" w:eastAsia="Times New Roman" w:hAnsi="Calibri" w:cs="Calibri"/>
                <w:color w:val="000000"/>
              </w:rPr>
              <w:t>2</w:t>
            </w:r>
          </w:p>
        </w:tc>
        <w:tc>
          <w:tcPr>
            <w:tcW w:w="1507" w:type="dxa"/>
            <w:tcBorders>
              <w:top w:val="single" w:sz="4" w:space="0" w:color="auto"/>
              <w:left w:val="single" w:sz="4" w:space="0" w:color="auto"/>
              <w:bottom w:val="single" w:sz="4" w:space="0" w:color="auto"/>
              <w:right w:val="single" w:sz="4" w:space="0" w:color="auto"/>
            </w:tcBorders>
            <w:vAlign w:val="bottom"/>
            <w:hideMark/>
          </w:tcPr>
          <w:p w14:paraId="674603A0" w14:textId="77777777" w:rsidR="00FA4DEB" w:rsidRDefault="00FA4DEB">
            <w:pPr>
              <w:rPr>
                <w:rFonts w:ascii="Calibri" w:eastAsia="Times New Roman" w:hAnsi="Calibri" w:cs="Calibri"/>
                <w:color w:val="000000"/>
              </w:rPr>
            </w:pPr>
            <w:r>
              <w:rPr>
                <w:rFonts w:ascii="Calibri" w:eastAsia="Times New Roman" w:hAnsi="Calibri" w:cs="Calibri"/>
                <w:color w:val="000000"/>
              </w:rPr>
              <w:t>Belle River</w:t>
            </w:r>
          </w:p>
        </w:tc>
        <w:tc>
          <w:tcPr>
            <w:tcW w:w="736" w:type="dxa"/>
            <w:tcBorders>
              <w:top w:val="single" w:sz="4" w:space="0" w:color="auto"/>
              <w:left w:val="single" w:sz="4" w:space="0" w:color="auto"/>
              <w:bottom w:val="single" w:sz="4" w:space="0" w:color="auto"/>
              <w:right w:val="single" w:sz="4" w:space="0" w:color="auto"/>
            </w:tcBorders>
            <w:vAlign w:val="bottom"/>
            <w:hideMark/>
          </w:tcPr>
          <w:p w14:paraId="0405F250" w14:textId="77777777" w:rsidR="00FA4DEB" w:rsidRDefault="00FA4DEB">
            <w:pPr>
              <w:rPr>
                <w:rFonts w:ascii="Calibri" w:eastAsia="Times New Roman" w:hAnsi="Calibri" w:cs="Calibri"/>
                <w:color w:val="000000"/>
              </w:rPr>
            </w:pPr>
            <w:r>
              <w:rPr>
                <w:rFonts w:ascii="Calibri" w:eastAsia="Times New Roman" w:hAnsi="Calibri" w:cs="Calibri"/>
                <w:color w:val="000000"/>
              </w:rPr>
              <w:t>MI</w:t>
            </w:r>
          </w:p>
        </w:tc>
        <w:tc>
          <w:tcPr>
            <w:tcW w:w="1334" w:type="dxa"/>
            <w:tcBorders>
              <w:top w:val="single" w:sz="4" w:space="0" w:color="auto"/>
              <w:left w:val="single" w:sz="4" w:space="0" w:color="auto"/>
              <w:bottom w:val="single" w:sz="4" w:space="0" w:color="auto"/>
              <w:right w:val="single" w:sz="4" w:space="0" w:color="auto"/>
            </w:tcBorders>
            <w:shd w:val="clear" w:color="auto" w:fill="A9D08E"/>
            <w:vAlign w:val="bottom"/>
            <w:hideMark/>
          </w:tcPr>
          <w:p w14:paraId="732D8ABA" w14:textId="77777777" w:rsidR="00FA4DEB" w:rsidRDefault="00FA4DEB">
            <w:pPr>
              <w:jc w:val="right"/>
              <w:rPr>
                <w:rFonts w:ascii="Calibri" w:eastAsia="Times New Roman" w:hAnsi="Calibri" w:cs="Calibri"/>
                <w:color w:val="000000"/>
              </w:rPr>
            </w:pPr>
            <w:r>
              <w:rPr>
                <w:rFonts w:ascii="Calibri" w:eastAsia="Times New Roman" w:hAnsi="Calibri" w:cs="Calibri"/>
                <w:color w:val="000000"/>
              </w:rPr>
              <w:t>708</w:t>
            </w:r>
          </w:p>
        </w:tc>
        <w:tc>
          <w:tcPr>
            <w:tcW w:w="1334" w:type="dxa"/>
            <w:tcBorders>
              <w:top w:val="single" w:sz="4" w:space="0" w:color="auto"/>
              <w:left w:val="single" w:sz="4" w:space="0" w:color="auto"/>
              <w:bottom w:val="single" w:sz="4" w:space="0" w:color="auto"/>
              <w:right w:val="single" w:sz="4" w:space="0" w:color="auto"/>
            </w:tcBorders>
            <w:shd w:val="clear" w:color="auto" w:fill="B4C6E7"/>
            <w:vAlign w:val="bottom"/>
            <w:hideMark/>
          </w:tcPr>
          <w:p w14:paraId="352FED18" w14:textId="77777777" w:rsidR="00FA4DEB" w:rsidRDefault="00FA4DEB">
            <w:pPr>
              <w:jc w:val="right"/>
              <w:rPr>
                <w:rFonts w:ascii="Calibri" w:eastAsia="Times New Roman" w:hAnsi="Calibri" w:cs="Calibri"/>
                <w:color w:val="000000"/>
              </w:rPr>
            </w:pPr>
            <w:r>
              <w:rPr>
                <w:rFonts w:ascii="Calibri" w:eastAsia="Times New Roman" w:hAnsi="Calibri" w:cs="Calibri"/>
                <w:color w:val="000000"/>
              </w:rPr>
              <w:t>1537</w:t>
            </w:r>
          </w:p>
        </w:tc>
        <w:tc>
          <w:tcPr>
            <w:tcW w:w="1334" w:type="dxa"/>
            <w:tcBorders>
              <w:top w:val="single" w:sz="4" w:space="0" w:color="auto"/>
              <w:left w:val="single" w:sz="4" w:space="0" w:color="auto"/>
              <w:bottom w:val="single" w:sz="4" w:space="0" w:color="auto"/>
              <w:right w:val="single" w:sz="4" w:space="0" w:color="auto"/>
            </w:tcBorders>
            <w:shd w:val="clear" w:color="auto" w:fill="B4C6E7"/>
            <w:vAlign w:val="bottom"/>
            <w:hideMark/>
          </w:tcPr>
          <w:p w14:paraId="0AA77E60" w14:textId="77777777" w:rsidR="00FA4DEB" w:rsidRDefault="00FA4DEB">
            <w:pPr>
              <w:jc w:val="right"/>
              <w:rPr>
                <w:rFonts w:ascii="Calibri" w:eastAsia="Times New Roman" w:hAnsi="Calibri" w:cs="Calibri"/>
                <w:color w:val="000000"/>
              </w:rPr>
            </w:pPr>
            <w:r>
              <w:rPr>
                <w:rFonts w:ascii="Calibri" w:eastAsia="Times New Roman" w:hAnsi="Calibri" w:cs="Calibri"/>
                <w:color w:val="000000"/>
              </w:rPr>
              <w:t>1,537</w:t>
            </w:r>
          </w:p>
        </w:tc>
        <w:tc>
          <w:tcPr>
            <w:tcW w:w="1334" w:type="dxa"/>
            <w:tcBorders>
              <w:top w:val="single" w:sz="4" w:space="0" w:color="auto"/>
              <w:left w:val="single" w:sz="4" w:space="0" w:color="auto"/>
              <w:bottom w:val="single" w:sz="4" w:space="0" w:color="auto"/>
              <w:right w:val="single" w:sz="4" w:space="0" w:color="auto"/>
            </w:tcBorders>
            <w:shd w:val="clear" w:color="auto" w:fill="FFE699"/>
            <w:noWrap/>
            <w:vAlign w:val="bottom"/>
            <w:hideMark/>
          </w:tcPr>
          <w:p w14:paraId="56A7D562" w14:textId="77777777" w:rsidR="00FA4DEB" w:rsidRDefault="00FA4DEB">
            <w:pPr>
              <w:jc w:val="right"/>
              <w:rPr>
                <w:rFonts w:ascii="Calibri" w:eastAsia="Times New Roman" w:hAnsi="Calibri" w:cs="Calibri"/>
                <w:color w:val="000000"/>
              </w:rPr>
            </w:pPr>
            <w:r>
              <w:rPr>
                <w:rFonts w:ascii="Calibri" w:eastAsia="Times New Roman" w:hAnsi="Calibri" w:cs="Calibri"/>
                <w:color w:val="000000"/>
              </w:rPr>
              <w:t>829</w:t>
            </w:r>
          </w:p>
        </w:tc>
      </w:tr>
    </w:tbl>
    <w:p w14:paraId="72A2DE00" w14:textId="1AF52B4D" w:rsidR="00FA4DEB" w:rsidRDefault="00FA4DEB" w:rsidP="00FA4DEB"/>
    <w:sectPr w:rsidR="00FA4DE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DC7EAB" w14:textId="77777777" w:rsidR="00FA4DEB" w:rsidRDefault="00FA4DEB" w:rsidP="00FA4DEB">
      <w:r>
        <w:separator/>
      </w:r>
    </w:p>
  </w:endnote>
  <w:endnote w:type="continuationSeparator" w:id="0">
    <w:p w14:paraId="5A99A001" w14:textId="77777777" w:rsidR="00FA4DEB" w:rsidRDefault="00FA4DEB" w:rsidP="00FA4D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58B100" w14:textId="77777777" w:rsidR="00FA4DEB" w:rsidRDefault="00FA4DEB" w:rsidP="00FA4DEB">
      <w:r>
        <w:separator/>
      </w:r>
    </w:p>
  </w:footnote>
  <w:footnote w:type="continuationSeparator" w:id="0">
    <w:p w14:paraId="3E510E2B" w14:textId="77777777" w:rsidR="00FA4DEB" w:rsidRDefault="00FA4DEB" w:rsidP="00FA4DE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86F0255"/>
    <w:multiLevelType w:val="hybridMultilevel"/>
    <w:tmpl w:val="46C8CE8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4DEB"/>
    <w:rsid w:val="000546A5"/>
    <w:rsid w:val="00165CF9"/>
    <w:rsid w:val="0020708D"/>
    <w:rsid w:val="00283958"/>
    <w:rsid w:val="0031450B"/>
    <w:rsid w:val="00341F92"/>
    <w:rsid w:val="003A5485"/>
    <w:rsid w:val="0049731A"/>
    <w:rsid w:val="005A074F"/>
    <w:rsid w:val="00621D42"/>
    <w:rsid w:val="00680319"/>
    <w:rsid w:val="0069584D"/>
    <w:rsid w:val="006A2CBC"/>
    <w:rsid w:val="006F43FF"/>
    <w:rsid w:val="00793981"/>
    <w:rsid w:val="007C654B"/>
    <w:rsid w:val="008214B5"/>
    <w:rsid w:val="0094149E"/>
    <w:rsid w:val="009455F8"/>
    <w:rsid w:val="00986C10"/>
    <w:rsid w:val="00A41D3C"/>
    <w:rsid w:val="00A8594E"/>
    <w:rsid w:val="00A87B7E"/>
    <w:rsid w:val="00A92EE9"/>
    <w:rsid w:val="00AF3629"/>
    <w:rsid w:val="00C62238"/>
    <w:rsid w:val="00D06F20"/>
    <w:rsid w:val="00D9302D"/>
    <w:rsid w:val="00E269D0"/>
    <w:rsid w:val="00E900EF"/>
    <w:rsid w:val="00EF312F"/>
    <w:rsid w:val="00F101BD"/>
    <w:rsid w:val="00F53544"/>
    <w:rsid w:val="00FA4D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BF52550"/>
  <w15:chartTrackingRefBased/>
  <w15:docId w15:val="{57BA386E-DD5E-46A4-BA6B-6EAF14461D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4DEB"/>
    <w:pPr>
      <w:spacing w:after="0" w:line="240"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A4DEB"/>
    <w:pPr>
      <w:ind w:left="720"/>
      <w:contextualSpacing/>
    </w:pPr>
  </w:style>
  <w:style w:type="table" w:styleId="TableGrid">
    <w:name w:val="Table Grid"/>
    <w:basedOn w:val="TableNormal"/>
    <w:uiPriority w:val="39"/>
    <w:rsid w:val="00FA4DEB"/>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49731A"/>
    <w:rPr>
      <w:sz w:val="16"/>
      <w:szCs w:val="16"/>
    </w:rPr>
  </w:style>
  <w:style w:type="paragraph" w:styleId="CommentText">
    <w:name w:val="annotation text"/>
    <w:basedOn w:val="Normal"/>
    <w:link w:val="CommentTextChar"/>
    <w:uiPriority w:val="99"/>
    <w:semiHidden/>
    <w:unhideWhenUsed/>
    <w:rsid w:val="0049731A"/>
    <w:rPr>
      <w:sz w:val="20"/>
      <w:szCs w:val="20"/>
    </w:rPr>
  </w:style>
  <w:style w:type="character" w:customStyle="1" w:styleId="CommentTextChar">
    <w:name w:val="Comment Text Char"/>
    <w:basedOn w:val="DefaultParagraphFont"/>
    <w:link w:val="CommentText"/>
    <w:uiPriority w:val="99"/>
    <w:semiHidden/>
    <w:rsid w:val="0049731A"/>
    <w:rPr>
      <w:sz w:val="20"/>
      <w:szCs w:val="20"/>
    </w:rPr>
  </w:style>
  <w:style w:type="paragraph" w:styleId="CommentSubject">
    <w:name w:val="annotation subject"/>
    <w:basedOn w:val="CommentText"/>
    <w:next w:val="CommentText"/>
    <w:link w:val="CommentSubjectChar"/>
    <w:uiPriority w:val="99"/>
    <w:semiHidden/>
    <w:unhideWhenUsed/>
    <w:rsid w:val="0049731A"/>
    <w:rPr>
      <w:b/>
      <w:bCs/>
    </w:rPr>
  </w:style>
  <w:style w:type="character" w:customStyle="1" w:styleId="CommentSubjectChar">
    <w:name w:val="Comment Subject Char"/>
    <w:basedOn w:val="CommentTextChar"/>
    <w:link w:val="CommentSubject"/>
    <w:uiPriority w:val="99"/>
    <w:semiHidden/>
    <w:rsid w:val="0049731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7785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2172</TotalTime>
  <Pages>4</Pages>
  <Words>1250</Words>
  <Characters>7127</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Asselin, Catherine (EGLE)</dc:creator>
  <cp:keywords/>
  <dc:description/>
  <cp:lastModifiedBy>Asselin, Catherine (EGLE)</cp:lastModifiedBy>
  <cp:revision>10</cp:revision>
  <dcterms:created xsi:type="dcterms:W3CDTF">2021-12-15T16:42:00Z</dcterms:created>
  <dcterms:modified xsi:type="dcterms:W3CDTF">2021-12-17T21:53:00Z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a2fed65-62e7-46ea-af74-187e0c17143a_Enabled">
    <vt:lpwstr>true</vt:lpwstr>
  </property>
  <property fmtid="{D5CDD505-2E9C-101B-9397-08002B2CF9AE}" pid="3" name="MSIP_Label_3a2fed65-62e7-46ea-af74-187e0c17143a_SetDate">
    <vt:lpwstr>2021-12-15T16:48:26Z</vt:lpwstr>
  </property>
  <property fmtid="{D5CDD505-2E9C-101B-9397-08002B2CF9AE}" pid="4" name="MSIP_Label_3a2fed65-62e7-46ea-af74-187e0c17143a_Method">
    <vt:lpwstr>Privileged</vt:lpwstr>
  </property>
  <property fmtid="{D5CDD505-2E9C-101B-9397-08002B2CF9AE}" pid="5" name="MSIP_Label_3a2fed65-62e7-46ea-af74-187e0c17143a_Name">
    <vt:lpwstr>3a2fed65-62e7-46ea-af74-187e0c17143a</vt:lpwstr>
  </property>
  <property fmtid="{D5CDD505-2E9C-101B-9397-08002B2CF9AE}" pid="6" name="MSIP_Label_3a2fed65-62e7-46ea-af74-187e0c17143a_SiteId">
    <vt:lpwstr>d5fb7087-3777-42ad-966a-892ef47225d1</vt:lpwstr>
  </property>
  <property fmtid="{D5CDD505-2E9C-101B-9397-08002B2CF9AE}" pid="7" name="MSIP_Label_3a2fed65-62e7-46ea-af74-187e0c17143a_ActionId">
    <vt:lpwstr>a29f76d3-b034-45df-bcf8-52d1f5431dcb</vt:lpwstr>
  </property>
  <property fmtid="{D5CDD505-2E9C-101B-9397-08002B2CF9AE}" pid="8" name="MSIP_Label_3a2fed65-62e7-46ea-af74-187e0c17143a_ContentBits">
    <vt:lpwstr>0</vt:lpwstr>
  </property>
</Properties>
</file>