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D375" w14:textId="5DEFBE66" w:rsidR="00D9363D" w:rsidRDefault="009300A1" w:rsidP="00367C3A">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51683255" wp14:editId="5A91904F">
            <wp:simplePos x="0" y="0"/>
            <wp:positionH relativeFrom="column">
              <wp:posOffset>2162810</wp:posOffset>
            </wp:positionH>
            <wp:positionV relativeFrom="paragraph">
              <wp:posOffset>-367665</wp:posOffset>
            </wp:positionV>
            <wp:extent cx="1371600" cy="471805"/>
            <wp:effectExtent l="0" t="0" r="0" b="4445"/>
            <wp:wrapNone/>
            <wp:docPr id="75679478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94789" name="Picture 1" descr="A green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471805"/>
                    </a:xfrm>
                    <a:prstGeom prst="rect">
                      <a:avLst/>
                    </a:prstGeom>
                  </pic:spPr>
                </pic:pic>
              </a:graphicData>
            </a:graphic>
            <wp14:sizeRelH relativeFrom="margin">
              <wp14:pctWidth>0</wp14:pctWidth>
            </wp14:sizeRelH>
            <wp14:sizeRelV relativeFrom="margin">
              <wp14:pctHeight>0</wp14:pctHeight>
            </wp14:sizeRelV>
          </wp:anchor>
        </w:drawing>
      </w:r>
    </w:p>
    <w:p w14:paraId="443F07EB" w14:textId="77777777" w:rsidR="00D9363D" w:rsidRPr="00D9363D" w:rsidRDefault="00D9363D" w:rsidP="00367C3A">
      <w:pPr>
        <w:rPr>
          <w:rFonts w:ascii="Times New Roman" w:hAnsi="Times New Roman"/>
        </w:rPr>
      </w:pPr>
    </w:p>
    <w:p w14:paraId="411FA919" w14:textId="77777777" w:rsidR="00E00854" w:rsidRDefault="00E00854" w:rsidP="00367C3A">
      <w:pPr>
        <w:rPr>
          <w:rFonts w:ascii="Times New Roman" w:hAnsi="Times New Roman"/>
          <w:b/>
        </w:rPr>
      </w:pPr>
    </w:p>
    <w:p w14:paraId="76A6FF0B" w14:textId="77777777" w:rsidR="00D9363D" w:rsidRPr="00D9363D" w:rsidRDefault="00D9363D" w:rsidP="00367C3A">
      <w:pPr>
        <w:rPr>
          <w:rFonts w:ascii="Times New Roman" w:hAnsi="Times New Roman"/>
          <w:b/>
        </w:rPr>
      </w:pPr>
      <w:r w:rsidRPr="00D9363D">
        <w:rPr>
          <w:rFonts w:ascii="Times New Roman" w:hAnsi="Times New Roman"/>
          <w:b/>
        </w:rPr>
        <w:t>MEMORANDUM</w:t>
      </w:r>
    </w:p>
    <w:p w14:paraId="7F933676" w14:textId="77777777" w:rsidR="00D9363D" w:rsidRPr="00D9363D" w:rsidRDefault="00D9363D" w:rsidP="00367C3A">
      <w:pPr>
        <w:rPr>
          <w:rFonts w:ascii="Times New Roman" w:hAnsi="Times New Roman"/>
        </w:rPr>
      </w:pPr>
    </w:p>
    <w:p w14:paraId="4D9D5B9B" w14:textId="23ADDD7C" w:rsidR="000E7EC3" w:rsidRPr="00E00854" w:rsidRDefault="00D9363D" w:rsidP="005B11FF">
      <w:pPr>
        <w:spacing w:after="120"/>
        <w:ind w:left="1440" w:hanging="1440"/>
        <w:rPr>
          <w:rFonts w:ascii="Times New Roman" w:hAnsi="Times New Roman"/>
        </w:rPr>
      </w:pPr>
      <w:r w:rsidRPr="00E00854">
        <w:rPr>
          <w:rFonts w:ascii="Times New Roman" w:hAnsi="Times New Roman"/>
          <w:b/>
        </w:rPr>
        <w:t>TO</w:t>
      </w:r>
      <w:r w:rsidRPr="00E00854">
        <w:rPr>
          <w:rFonts w:ascii="Times New Roman" w:hAnsi="Times New Roman"/>
        </w:rPr>
        <w:t>:</w:t>
      </w:r>
      <w:r w:rsidRPr="00E00854">
        <w:rPr>
          <w:rFonts w:ascii="Times New Roman" w:hAnsi="Times New Roman"/>
        </w:rPr>
        <w:tab/>
      </w:r>
      <w:r w:rsidR="00D83682">
        <w:rPr>
          <w:rFonts w:ascii="Times New Roman" w:hAnsi="Times New Roman"/>
        </w:rPr>
        <w:t xml:space="preserve">Jeffrey Vukovich, Caroline Farkas, </w:t>
      </w:r>
      <w:r w:rsidR="005B11FF">
        <w:rPr>
          <w:rFonts w:ascii="Times New Roman" w:hAnsi="Times New Roman"/>
        </w:rPr>
        <w:t xml:space="preserve">Janice Godfrey, </w:t>
      </w:r>
      <w:r w:rsidR="00D83682">
        <w:rPr>
          <w:rFonts w:ascii="Times New Roman" w:hAnsi="Times New Roman"/>
        </w:rPr>
        <w:t xml:space="preserve">and Alison Eyth, </w:t>
      </w:r>
      <w:r w:rsidR="000E7EC3">
        <w:rPr>
          <w:rFonts w:ascii="Times New Roman" w:hAnsi="Times New Roman"/>
        </w:rPr>
        <w:t>US EPA</w:t>
      </w:r>
    </w:p>
    <w:p w14:paraId="28D02433" w14:textId="77777777" w:rsidR="00D9363D" w:rsidRDefault="00D9363D" w:rsidP="00A12DA2">
      <w:pPr>
        <w:tabs>
          <w:tab w:val="left" w:pos="1440"/>
        </w:tabs>
        <w:spacing w:after="120"/>
        <w:rPr>
          <w:rFonts w:ascii="Times New Roman" w:hAnsi="Times New Roman"/>
        </w:rPr>
      </w:pPr>
      <w:r w:rsidRPr="00E00854">
        <w:rPr>
          <w:rFonts w:ascii="Times New Roman" w:hAnsi="Times New Roman"/>
          <w:b/>
        </w:rPr>
        <w:t>FROM</w:t>
      </w:r>
      <w:r w:rsidRPr="00E00854">
        <w:rPr>
          <w:rFonts w:ascii="Times New Roman" w:hAnsi="Times New Roman"/>
        </w:rPr>
        <w:t>:</w:t>
      </w:r>
      <w:r w:rsidRPr="00E00854">
        <w:rPr>
          <w:rFonts w:ascii="Times New Roman" w:hAnsi="Times New Roman"/>
        </w:rPr>
        <w:tab/>
      </w:r>
      <w:r w:rsidR="00E00854" w:rsidRPr="00E00854">
        <w:rPr>
          <w:rFonts w:ascii="Times New Roman" w:hAnsi="Times New Roman"/>
        </w:rPr>
        <w:t xml:space="preserve">Mike Pring, </w:t>
      </w:r>
      <w:r w:rsidRPr="00E00854">
        <w:rPr>
          <w:rFonts w:ascii="Times New Roman" w:hAnsi="Times New Roman"/>
        </w:rPr>
        <w:t>Eastern Research Group, Inc. (ERG)</w:t>
      </w:r>
    </w:p>
    <w:p w14:paraId="540978AA" w14:textId="77777777" w:rsidR="00E85E62" w:rsidRDefault="000E7EC3" w:rsidP="00A12DA2">
      <w:pPr>
        <w:tabs>
          <w:tab w:val="left" w:pos="1440"/>
        </w:tabs>
        <w:spacing w:after="120"/>
        <w:rPr>
          <w:rFonts w:ascii="Times New Roman" w:hAnsi="Times New Roman"/>
        </w:rPr>
      </w:pPr>
      <w:r>
        <w:rPr>
          <w:rFonts w:ascii="Times New Roman" w:hAnsi="Times New Roman"/>
        </w:rPr>
        <w:tab/>
        <w:t xml:space="preserve">Regi Oommen, </w:t>
      </w:r>
      <w:r w:rsidR="00E85E62" w:rsidRPr="00E00854">
        <w:rPr>
          <w:rFonts w:ascii="Times New Roman" w:hAnsi="Times New Roman"/>
        </w:rPr>
        <w:t>Eastern Research Group, Inc. (ERG)</w:t>
      </w:r>
    </w:p>
    <w:p w14:paraId="0A66FE2F" w14:textId="07CD1410" w:rsidR="00D9363D" w:rsidRPr="00E00854" w:rsidRDefault="00D9363D" w:rsidP="00A12DA2">
      <w:pPr>
        <w:tabs>
          <w:tab w:val="left" w:pos="1440"/>
        </w:tabs>
        <w:spacing w:after="120"/>
        <w:rPr>
          <w:rFonts w:ascii="Times New Roman" w:hAnsi="Times New Roman"/>
        </w:rPr>
      </w:pPr>
      <w:r w:rsidRPr="00E00854">
        <w:rPr>
          <w:rFonts w:ascii="Times New Roman" w:hAnsi="Times New Roman"/>
          <w:b/>
        </w:rPr>
        <w:t>DATE</w:t>
      </w:r>
      <w:r w:rsidRPr="00E00854">
        <w:rPr>
          <w:rFonts w:ascii="Times New Roman" w:hAnsi="Times New Roman"/>
        </w:rPr>
        <w:t>:</w:t>
      </w:r>
      <w:r w:rsidRPr="00E00854">
        <w:rPr>
          <w:rFonts w:ascii="Times New Roman" w:hAnsi="Times New Roman"/>
        </w:rPr>
        <w:tab/>
      </w:r>
      <w:r w:rsidR="005D4DC7">
        <w:rPr>
          <w:rFonts w:ascii="Times New Roman" w:hAnsi="Times New Roman"/>
        </w:rPr>
        <w:t xml:space="preserve">June </w:t>
      </w:r>
      <w:r w:rsidR="004D3E50">
        <w:rPr>
          <w:rFonts w:ascii="Times New Roman" w:hAnsi="Times New Roman"/>
        </w:rPr>
        <w:t>6</w:t>
      </w:r>
      <w:r w:rsidR="007756D3">
        <w:rPr>
          <w:rFonts w:ascii="Times New Roman" w:hAnsi="Times New Roman"/>
        </w:rPr>
        <w:t>, 20</w:t>
      </w:r>
      <w:r w:rsidR="00BC3BEA">
        <w:rPr>
          <w:rFonts w:ascii="Times New Roman" w:hAnsi="Times New Roman"/>
        </w:rPr>
        <w:t>2</w:t>
      </w:r>
      <w:r w:rsidR="005B11FF">
        <w:rPr>
          <w:rFonts w:ascii="Times New Roman" w:hAnsi="Times New Roman"/>
        </w:rPr>
        <w:t>4</w:t>
      </w:r>
    </w:p>
    <w:p w14:paraId="2C31FE2F" w14:textId="19E09E8F" w:rsidR="00D9363D" w:rsidRPr="00E00854" w:rsidRDefault="00D9363D" w:rsidP="00A12DA2">
      <w:pPr>
        <w:pBdr>
          <w:bottom w:val="single" w:sz="4" w:space="1" w:color="auto"/>
        </w:pBdr>
        <w:tabs>
          <w:tab w:val="left" w:pos="1080"/>
        </w:tabs>
        <w:spacing w:after="120"/>
        <w:rPr>
          <w:rFonts w:ascii="Times New Roman" w:hAnsi="Times New Roman"/>
        </w:rPr>
      </w:pPr>
      <w:r w:rsidRPr="00E00854">
        <w:rPr>
          <w:rFonts w:ascii="Times New Roman" w:hAnsi="Times New Roman"/>
          <w:b/>
        </w:rPr>
        <w:t>SUBJECT</w:t>
      </w:r>
      <w:r w:rsidRPr="00E00854">
        <w:rPr>
          <w:rFonts w:ascii="Times New Roman" w:hAnsi="Times New Roman"/>
        </w:rPr>
        <w:t>:</w:t>
      </w:r>
      <w:r w:rsidRPr="00E00854">
        <w:rPr>
          <w:rFonts w:ascii="Times New Roman" w:hAnsi="Times New Roman"/>
        </w:rPr>
        <w:tab/>
      </w:r>
      <w:r w:rsidR="00BC3BEA">
        <w:rPr>
          <w:rFonts w:ascii="Times New Roman" w:hAnsi="Times New Roman"/>
        </w:rPr>
        <w:t>Nonpoint Oil and Gas Emission Inventory Development</w:t>
      </w:r>
      <w:r w:rsidR="002246ED">
        <w:rPr>
          <w:rFonts w:ascii="Times New Roman" w:hAnsi="Times New Roman"/>
        </w:rPr>
        <w:t xml:space="preserve"> for 20</w:t>
      </w:r>
      <w:r w:rsidR="00FB30B1">
        <w:rPr>
          <w:rFonts w:ascii="Times New Roman" w:hAnsi="Times New Roman"/>
        </w:rPr>
        <w:t>2</w:t>
      </w:r>
      <w:r w:rsidR="005B11FF">
        <w:rPr>
          <w:rFonts w:ascii="Times New Roman" w:hAnsi="Times New Roman"/>
        </w:rPr>
        <w:t>2</w:t>
      </w:r>
    </w:p>
    <w:p w14:paraId="14F111E4" w14:textId="0D985AF2" w:rsidR="00AC03CC" w:rsidRPr="00A12DA2" w:rsidRDefault="000E7EC3" w:rsidP="00A12DA2">
      <w:pPr>
        <w:pStyle w:val="BodyText"/>
      </w:pPr>
      <w:r w:rsidRPr="00A12DA2">
        <w:t>The purpose of this memo</w:t>
      </w:r>
      <w:r w:rsidR="00563BCB" w:rsidRPr="00A12DA2">
        <w:t>randum</w:t>
      </w:r>
      <w:r w:rsidRPr="00A12DA2">
        <w:t xml:space="preserve"> is to </w:t>
      </w:r>
      <w:r w:rsidR="00BC3BEA" w:rsidRPr="00A12DA2">
        <w:t>document development of the nonpoint oil and gas emission inventor</w:t>
      </w:r>
      <w:r w:rsidR="002246ED" w:rsidRPr="00A12DA2">
        <w:t>y</w:t>
      </w:r>
      <w:r w:rsidR="00BC3BEA" w:rsidRPr="00A12DA2">
        <w:t xml:space="preserve"> for </w:t>
      </w:r>
      <w:r w:rsidR="00D83682" w:rsidRPr="00A12DA2">
        <w:rPr>
          <w:rFonts w:eastAsiaTheme="minorHAnsi"/>
        </w:rPr>
        <w:t>20</w:t>
      </w:r>
      <w:r w:rsidR="00FB30B1">
        <w:rPr>
          <w:rFonts w:eastAsiaTheme="minorHAnsi"/>
        </w:rPr>
        <w:t>2</w:t>
      </w:r>
      <w:r w:rsidR="005B11FF">
        <w:rPr>
          <w:rFonts w:eastAsiaTheme="minorHAnsi"/>
        </w:rPr>
        <w:t>2</w:t>
      </w:r>
      <w:r w:rsidRPr="00A12DA2">
        <w:t>.</w:t>
      </w:r>
      <w:r w:rsidR="00BC3BEA" w:rsidRPr="00A12DA2">
        <w:t xml:space="preserve"> Th</w:t>
      </w:r>
      <w:r w:rsidR="002246ED" w:rsidRPr="00A12DA2">
        <w:t>is</w:t>
      </w:r>
      <w:r w:rsidR="00BC3BEA" w:rsidRPr="00A12DA2">
        <w:t xml:space="preserve"> inventor</w:t>
      </w:r>
      <w:r w:rsidR="002246ED" w:rsidRPr="00A12DA2">
        <w:t>y</w:t>
      </w:r>
      <w:r w:rsidR="00BC3BEA" w:rsidRPr="00A12DA2">
        <w:t xml:space="preserve"> w</w:t>
      </w:r>
      <w:r w:rsidR="002246ED" w:rsidRPr="00A12DA2">
        <w:t>as</w:t>
      </w:r>
      <w:r w:rsidR="00BC3BEA" w:rsidRPr="00A12DA2">
        <w:t xml:space="preserve"> prepared under </w:t>
      </w:r>
      <w:r w:rsidR="00D83682" w:rsidRPr="00A12DA2">
        <w:t xml:space="preserve">EPA Contract No. </w:t>
      </w:r>
      <w:r w:rsidR="00654D64" w:rsidRPr="00654D64">
        <w:t>68HERD19A0001</w:t>
      </w:r>
      <w:r w:rsidR="00654D64">
        <w:t xml:space="preserve">, Task Order </w:t>
      </w:r>
      <w:r w:rsidR="00706E11" w:rsidRPr="008A33EF">
        <w:t>68HERH24F0013</w:t>
      </w:r>
      <w:r w:rsidR="00706E11">
        <w:t>,</w:t>
      </w:r>
      <w:r w:rsidR="00654D64">
        <w:t xml:space="preserve"> “</w:t>
      </w:r>
      <w:r w:rsidR="00654D64" w:rsidRPr="00654D64">
        <w:t>Estimating Emissions from and Providing Key Inputs for Modeling of the Oil and Gas Production Sector</w:t>
      </w:r>
      <w:r w:rsidR="00D83682" w:rsidRPr="009300A1">
        <w:t>.”</w:t>
      </w:r>
      <w:r w:rsidR="00D83682" w:rsidRPr="00A12DA2">
        <w:t xml:space="preserve"> </w:t>
      </w:r>
      <w:r w:rsidR="00BC3BEA" w:rsidRPr="00A12DA2">
        <w:rPr>
          <w:rFonts w:eastAsiaTheme="minorHAnsi"/>
        </w:rPr>
        <w:t>The inventor</w:t>
      </w:r>
      <w:r w:rsidR="00654D64">
        <w:rPr>
          <w:rFonts w:eastAsiaTheme="minorHAnsi"/>
        </w:rPr>
        <w:t>y</w:t>
      </w:r>
      <w:r w:rsidR="00BC3BEA" w:rsidRPr="00A12DA2">
        <w:rPr>
          <w:rFonts w:eastAsiaTheme="minorHAnsi"/>
        </w:rPr>
        <w:t xml:space="preserve"> w</w:t>
      </w:r>
      <w:r w:rsidR="00654D64">
        <w:rPr>
          <w:rFonts w:eastAsiaTheme="minorHAnsi"/>
        </w:rPr>
        <w:t>as</w:t>
      </w:r>
      <w:r w:rsidR="00BC3BEA" w:rsidRPr="00A12DA2">
        <w:rPr>
          <w:rFonts w:eastAsiaTheme="minorHAnsi"/>
        </w:rPr>
        <w:t xml:space="preserve"> prepared using the final version of the 20</w:t>
      </w:r>
      <w:r w:rsidR="00FB30B1">
        <w:rPr>
          <w:rFonts w:eastAsiaTheme="minorHAnsi"/>
        </w:rPr>
        <w:t>2</w:t>
      </w:r>
      <w:r w:rsidR="005B11FF">
        <w:rPr>
          <w:rFonts w:eastAsiaTheme="minorHAnsi"/>
        </w:rPr>
        <w:t>1</w:t>
      </w:r>
      <w:r w:rsidR="00BC3BEA" w:rsidRPr="00A12DA2">
        <w:rPr>
          <w:rFonts w:eastAsiaTheme="minorHAnsi"/>
        </w:rPr>
        <w:t xml:space="preserve"> Nonpoint Oil and Gas Emission Estimation Tool</w:t>
      </w:r>
      <w:r w:rsidR="00E14FD9" w:rsidRPr="00A12DA2">
        <w:rPr>
          <w:rFonts w:eastAsiaTheme="minorHAnsi"/>
        </w:rPr>
        <w:t xml:space="preserve"> (Tool)</w:t>
      </w:r>
      <w:r w:rsidR="002246ED" w:rsidRPr="00A12DA2">
        <w:rPr>
          <w:rFonts w:eastAsiaTheme="minorHAnsi"/>
        </w:rPr>
        <w:t xml:space="preserve"> using updated 20</w:t>
      </w:r>
      <w:r w:rsidR="00FB30B1">
        <w:rPr>
          <w:rFonts w:eastAsiaTheme="minorHAnsi"/>
        </w:rPr>
        <w:t>2</w:t>
      </w:r>
      <w:r w:rsidR="005B11FF">
        <w:rPr>
          <w:rFonts w:eastAsiaTheme="minorHAnsi"/>
        </w:rPr>
        <w:t>2</w:t>
      </w:r>
      <w:r w:rsidR="002246ED" w:rsidRPr="00A12DA2">
        <w:rPr>
          <w:rFonts w:eastAsiaTheme="minorHAnsi"/>
        </w:rPr>
        <w:t xml:space="preserve"> activity data</w:t>
      </w:r>
      <w:r w:rsidR="006C7A16" w:rsidRPr="00A12DA2">
        <w:rPr>
          <w:rFonts w:eastAsiaTheme="minorHAnsi"/>
        </w:rPr>
        <w:t>.</w:t>
      </w:r>
    </w:p>
    <w:p w14:paraId="4CCA0F4F" w14:textId="59C7556C" w:rsidR="000E7EC3" w:rsidRPr="00B05A45" w:rsidRDefault="00E14FD9" w:rsidP="00A12DA2">
      <w:pPr>
        <w:pStyle w:val="Heading1"/>
        <w:rPr>
          <w:w w:val="105"/>
        </w:rPr>
      </w:pPr>
      <w:r>
        <w:rPr>
          <w:w w:val="105"/>
        </w:rPr>
        <w:t>Activity</w:t>
      </w:r>
      <w:r w:rsidR="00B05A45">
        <w:rPr>
          <w:w w:val="105"/>
        </w:rPr>
        <w:t xml:space="preserve"> Update</w:t>
      </w:r>
      <w:r w:rsidR="000E7EC3" w:rsidRPr="00B05A45">
        <w:rPr>
          <w:w w:val="105"/>
        </w:rPr>
        <w:t>s</w:t>
      </w:r>
    </w:p>
    <w:p w14:paraId="2874C48E" w14:textId="566F6632" w:rsidR="00E14FD9" w:rsidRPr="00A12DA2" w:rsidRDefault="00E14FD9" w:rsidP="00A12DA2">
      <w:pPr>
        <w:pStyle w:val="BodyText"/>
      </w:pPr>
      <w:r w:rsidRPr="00A12DA2">
        <w:t xml:space="preserve">Activity data for </w:t>
      </w:r>
      <w:r w:rsidR="002246ED" w:rsidRPr="00A12DA2">
        <w:t>the 20</w:t>
      </w:r>
      <w:r w:rsidR="00FB30B1">
        <w:t>2</w:t>
      </w:r>
      <w:r w:rsidR="005B11FF">
        <w:t>2</w:t>
      </w:r>
      <w:r w:rsidRPr="00A12DA2">
        <w:t xml:space="preserve"> year was compiled using a variety of resources.</w:t>
      </w:r>
    </w:p>
    <w:p w14:paraId="4BD983F5" w14:textId="1F73660D" w:rsidR="00040E49" w:rsidRPr="00040E49" w:rsidRDefault="00040E49" w:rsidP="00A12DA2">
      <w:pPr>
        <w:pStyle w:val="Heading2"/>
        <w:rPr>
          <w:b w:val="0"/>
          <w:i w:val="0"/>
        </w:rPr>
      </w:pPr>
      <w:r>
        <w:t>Enverus DI Desktop</w:t>
      </w:r>
    </w:p>
    <w:p w14:paraId="67348182" w14:textId="73E5C775" w:rsidR="00E14FD9" w:rsidRDefault="00040E49" w:rsidP="00A12DA2">
      <w:pPr>
        <w:pStyle w:val="BodyText"/>
      </w:pPr>
      <w:r w:rsidRPr="00040E49">
        <w:t xml:space="preserve">The primary data source for obtaining activity data was </w:t>
      </w:r>
      <w:r>
        <w:t>Enverus’</w:t>
      </w:r>
      <w:r w:rsidRPr="00040E49">
        <w:t xml:space="preserve"> HPDI database. This subscription-based information service extracts well-level data from state oil and gas commission websites and prepares it in a standardized format. As part of EPA’s Enforcement Activities, EPA has an annual subscription to </w:t>
      </w:r>
      <w:r>
        <w:t>Enverus</w:t>
      </w:r>
      <w:r w:rsidRPr="00040E49">
        <w:t>, allowing data downloads, or “refreshes,” to be obtained throughout the year. In accordance with the EPA’s licensing agreement, well-level data is proprietary, but derived products, such as aggregation at the county-level, are acceptable for public dissemination and use in the tool</w:t>
      </w:r>
      <w:r>
        <w:t xml:space="preserve">. Well-level data were processed into two separate types of databases. The first type was well-level information for all wells in DI Desktop. This information includes: locational coordinates, field, formation, production type, liquid product type, well depth, spud date, completion date, date of first production, and API number. The second type was monthly-level production </w:t>
      </w:r>
      <w:r w:rsidR="00CC0226">
        <w:t>for each base year of interest.</w:t>
      </w:r>
      <w:r w:rsidR="00E36035">
        <w:t xml:space="preserve"> The date of the refresh for the 20</w:t>
      </w:r>
      <w:r w:rsidR="00FB30B1">
        <w:t>2</w:t>
      </w:r>
      <w:r w:rsidR="005B11FF">
        <w:t>2</w:t>
      </w:r>
      <w:r w:rsidR="00E36035">
        <w:t xml:space="preserve"> activity was </w:t>
      </w:r>
      <w:r w:rsidR="00B22D0C">
        <w:t>December</w:t>
      </w:r>
      <w:r w:rsidR="00FB30B1">
        <w:t xml:space="preserve"> 2023</w:t>
      </w:r>
      <w:r w:rsidR="00E36035">
        <w:t xml:space="preserve">, which was the refresh version used for </w:t>
      </w:r>
      <w:r w:rsidR="00DC2107">
        <w:t>EPA’s 20</w:t>
      </w:r>
      <w:r w:rsidR="00FB30B1">
        <w:t>2</w:t>
      </w:r>
      <w:r w:rsidR="005B11FF">
        <w:t>2</w:t>
      </w:r>
      <w:r w:rsidR="00DC2107">
        <w:t xml:space="preserve"> </w:t>
      </w:r>
      <w:r w:rsidR="00E17CF8">
        <w:t xml:space="preserve">National </w:t>
      </w:r>
      <w:r w:rsidR="00FB30B1">
        <w:t xml:space="preserve">Greenhouse Gas </w:t>
      </w:r>
      <w:r w:rsidR="00E17CF8">
        <w:t>Emissions</w:t>
      </w:r>
      <w:r w:rsidR="00DC2107">
        <w:t xml:space="preserve"> </w:t>
      </w:r>
      <w:r w:rsidR="00E17CF8">
        <w:t>I</w:t>
      </w:r>
      <w:r w:rsidR="00DC2107">
        <w:t>nventory</w:t>
      </w:r>
      <w:r w:rsidR="00AC4BA2">
        <w:rPr>
          <w:rFonts w:eastAsiaTheme="minorHAnsi"/>
        </w:rPr>
        <w:t>.</w:t>
      </w:r>
    </w:p>
    <w:p w14:paraId="551B2939" w14:textId="01536FA4" w:rsidR="00CC0226" w:rsidRPr="00040E49" w:rsidRDefault="00CC0226" w:rsidP="00DF4AE8">
      <w:pPr>
        <w:pStyle w:val="Heading2"/>
      </w:pPr>
      <w:r>
        <w:t>State Oil and Gas Commission Websites</w:t>
      </w:r>
    </w:p>
    <w:p w14:paraId="4C683737" w14:textId="4EF5E78A" w:rsidR="00CC0226" w:rsidRDefault="00CC0226" w:rsidP="00DF4AE8">
      <w:pPr>
        <w:pStyle w:val="BodyText"/>
      </w:pPr>
      <w:r>
        <w:t xml:space="preserve">While </w:t>
      </w:r>
      <w:r w:rsidR="00DF15A1">
        <w:t>most of the</w:t>
      </w:r>
      <w:r>
        <w:t xml:space="preserve"> well-level data was from </w:t>
      </w:r>
      <w:r w:rsidR="00E8166B">
        <w:t>DI Desktop, state oil and gas commission (OGC) websites were queried for data elements that were missing. These include:</w:t>
      </w:r>
    </w:p>
    <w:p w14:paraId="463F6B22" w14:textId="32AC2B84" w:rsidR="00E91547" w:rsidRDefault="00E91547" w:rsidP="00BB6F94">
      <w:pPr>
        <w:pStyle w:val="Bullet"/>
      </w:pPr>
      <w:r>
        <w:t>Alabama: well-level exploration data for the entire year</w:t>
      </w:r>
    </w:p>
    <w:p w14:paraId="0C03E32B" w14:textId="4F2B3F52" w:rsidR="00E91547" w:rsidRDefault="00E91547" w:rsidP="00BB6F94">
      <w:pPr>
        <w:pStyle w:val="Bullet"/>
      </w:pPr>
      <w:r>
        <w:t>Alaska: well-level exploration data for the entire year</w:t>
      </w:r>
    </w:p>
    <w:p w14:paraId="752DF70B" w14:textId="1DB21AFB" w:rsidR="00DC2107" w:rsidRPr="00BB6F94" w:rsidRDefault="00DC2107" w:rsidP="00BB6F94">
      <w:pPr>
        <w:pStyle w:val="Bullet"/>
      </w:pPr>
      <w:r w:rsidRPr="00BB6F94">
        <w:t xml:space="preserve">Arkansas: well-level </w:t>
      </w:r>
      <w:r w:rsidR="007A269B">
        <w:t xml:space="preserve">production and </w:t>
      </w:r>
      <w:r w:rsidRPr="00BB6F94">
        <w:t>exploration data for the entire year</w:t>
      </w:r>
    </w:p>
    <w:p w14:paraId="4466477F" w14:textId="22D1B5E5" w:rsidR="00E91547" w:rsidRDefault="00E91547" w:rsidP="00BB6F94">
      <w:pPr>
        <w:pStyle w:val="Bullet"/>
      </w:pPr>
      <w:r w:rsidRPr="00BB6F94">
        <w:t>Arizona: well-level production</w:t>
      </w:r>
      <w:r>
        <w:t xml:space="preserve"> and </w:t>
      </w:r>
      <w:r w:rsidRPr="00BB6F94">
        <w:t>exploration data for</w:t>
      </w:r>
      <w:r>
        <w:t xml:space="preserve"> part of the ye</w:t>
      </w:r>
      <w:r w:rsidRPr="00BB6F94">
        <w:t>ar</w:t>
      </w:r>
    </w:p>
    <w:p w14:paraId="0441920E" w14:textId="44F6A009" w:rsidR="00C22725" w:rsidRPr="00BB6F94" w:rsidRDefault="00C22725" w:rsidP="00BB6F94">
      <w:pPr>
        <w:pStyle w:val="Bullet"/>
      </w:pPr>
      <w:r w:rsidRPr="00BB6F94">
        <w:lastRenderedPageBreak/>
        <w:t>California: well-level exploration data for part of the year</w:t>
      </w:r>
    </w:p>
    <w:p w14:paraId="5567347D" w14:textId="54C1D517" w:rsidR="00DC2107" w:rsidRPr="00BB6F94" w:rsidRDefault="00836793" w:rsidP="00BB6F94">
      <w:pPr>
        <w:pStyle w:val="Bullet"/>
      </w:pPr>
      <w:r w:rsidRPr="00BB6F94">
        <w:t>C</w:t>
      </w:r>
      <w:r w:rsidR="00DC2107" w:rsidRPr="00BB6F94">
        <w:t>olorado</w:t>
      </w:r>
      <w:r w:rsidRPr="00BB6F94">
        <w:t xml:space="preserve">: </w:t>
      </w:r>
      <w:r w:rsidR="00475DE3" w:rsidRPr="00BB6F94">
        <w:t xml:space="preserve">well-level </w:t>
      </w:r>
      <w:r w:rsidR="00DC2107" w:rsidRPr="00BB6F94">
        <w:t>exploration</w:t>
      </w:r>
      <w:r w:rsidR="00475DE3" w:rsidRPr="00BB6F94">
        <w:t xml:space="preserve"> data</w:t>
      </w:r>
      <w:r w:rsidR="00AC4BA2" w:rsidRPr="00BB6F94">
        <w:t xml:space="preserve"> for part of the year</w:t>
      </w:r>
    </w:p>
    <w:p w14:paraId="72532A5F" w14:textId="6C4C9DA9" w:rsidR="00DF187B" w:rsidRPr="00BB6F94" w:rsidRDefault="00DF187B" w:rsidP="00BB6F94">
      <w:pPr>
        <w:pStyle w:val="Bullet"/>
      </w:pPr>
      <w:r w:rsidRPr="00BB6F94">
        <w:t xml:space="preserve">Idaho: well-level production </w:t>
      </w:r>
      <w:r w:rsidR="008A36F6">
        <w:t xml:space="preserve">and exploration </w:t>
      </w:r>
      <w:r w:rsidRPr="00BB6F94">
        <w:t>data</w:t>
      </w:r>
      <w:r w:rsidR="00392EA1" w:rsidRPr="00BB6F94">
        <w:t xml:space="preserve"> for the entire year</w:t>
      </w:r>
    </w:p>
    <w:p w14:paraId="3E4B01EE" w14:textId="22DDE816" w:rsidR="00DF187B" w:rsidRPr="00BB6F94" w:rsidRDefault="00DF187B" w:rsidP="00BB6F94">
      <w:pPr>
        <w:pStyle w:val="Bullet"/>
      </w:pPr>
      <w:r w:rsidRPr="00BB6F94">
        <w:t>Illinois: well-level exploratio</w:t>
      </w:r>
      <w:r w:rsidR="00BA5487" w:rsidRPr="00BB6F94">
        <w:t>n</w:t>
      </w:r>
      <w:r w:rsidR="00392EA1" w:rsidRPr="00BB6F94">
        <w:t xml:space="preserve"> and location data and</w:t>
      </w:r>
      <w:r w:rsidR="00BA5487" w:rsidRPr="00BB6F94">
        <w:t xml:space="preserve"> county-level oil production</w:t>
      </w:r>
      <w:r w:rsidR="00392EA1" w:rsidRPr="00BB6F94">
        <w:t xml:space="preserve"> for the entire year</w:t>
      </w:r>
    </w:p>
    <w:p w14:paraId="2BB64120" w14:textId="6885B381" w:rsidR="00DF187B" w:rsidRPr="00BB6F94" w:rsidRDefault="00DF187B" w:rsidP="00BB6F94">
      <w:pPr>
        <w:pStyle w:val="Bullet"/>
      </w:pPr>
      <w:r w:rsidRPr="00BB6F94">
        <w:t xml:space="preserve">Indiana: </w:t>
      </w:r>
      <w:r w:rsidR="008A36F6">
        <w:t>state</w:t>
      </w:r>
      <w:r w:rsidR="00BA5487" w:rsidRPr="00BB6F94">
        <w:t>-level</w:t>
      </w:r>
      <w:r w:rsidRPr="00BB6F94">
        <w:t xml:space="preserve"> production and</w:t>
      </w:r>
      <w:r w:rsidR="00BA5487" w:rsidRPr="00BB6F94">
        <w:t xml:space="preserve"> well-level</w:t>
      </w:r>
      <w:r w:rsidRPr="00BB6F94">
        <w:t xml:space="preserve"> exploration data</w:t>
      </w:r>
      <w:r w:rsidR="00392EA1" w:rsidRPr="00BB6F94">
        <w:t xml:space="preserve"> for the entire year</w:t>
      </w:r>
    </w:p>
    <w:p w14:paraId="10330E1A" w14:textId="4925D8AD" w:rsidR="00DF187B" w:rsidRDefault="00DF187B" w:rsidP="00BB6F94">
      <w:pPr>
        <w:pStyle w:val="Bullet"/>
      </w:pPr>
      <w:r w:rsidRPr="00BB6F94">
        <w:t>Kansas: well-level exploration data</w:t>
      </w:r>
      <w:r w:rsidR="00392EA1" w:rsidRPr="00BB6F94">
        <w:t xml:space="preserve"> </w:t>
      </w:r>
      <w:r w:rsidR="003D0AE7">
        <w:t xml:space="preserve">and county-level produced water </w:t>
      </w:r>
      <w:r w:rsidR="00392EA1" w:rsidRPr="00BB6F94">
        <w:t>for the entire year</w:t>
      </w:r>
    </w:p>
    <w:p w14:paraId="0864A1B2" w14:textId="41BC5882" w:rsidR="005B11FF" w:rsidRPr="00BB6F94" w:rsidRDefault="005B11FF" w:rsidP="00BB6F94">
      <w:pPr>
        <w:pStyle w:val="Bullet"/>
      </w:pPr>
      <w:r>
        <w:t xml:space="preserve">Kentucky: </w:t>
      </w:r>
      <w:r w:rsidRPr="00BB6F94">
        <w:t>well-level exploration data for the entire year</w:t>
      </w:r>
    </w:p>
    <w:p w14:paraId="5AC3935D" w14:textId="1938F143" w:rsidR="00DF187B" w:rsidRPr="00BB6F94" w:rsidRDefault="00DF187B" w:rsidP="00BB6F94">
      <w:pPr>
        <w:pStyle w:val="Bullet"/>
      </w:pPr>
      <w:r w:rsidRPr="00BB6F94">
        <w:t>Michigan: well-level exploration data</w:t>
      </w:r>
      <w:r w:rsidR="00480D75" w:rsidRPr="00BB6F94">
        <w:t xml:space="preserve"> for the entire year</w:t>
      </w:r>
    </w:p>
    <w:p w14:paraId="48DC7D7E" w14:textId="388C571B" w:rsidR="00BA5487" w:rsidRPr="00BB6F94" w:rsidRDefault="00BA5487" w:rsidP="00BB6F94">
      <w:pPr>
        <w:pStyle w:val="Bullet"/>
      </w:pPr>
      <w:r w:rsidRPr="00BB6F94">
        <w:t>Mississippi: well-level exploration data</w:t>
      </w:r>
      <w:r w:rsidR="00480D75" w:rsidRPr="00BB6F94">
        <w:t xml:space="preserve"> for part of the year</w:t>
      </w:r>
    </w:p>
    <w:p w14:paraId="381FCBDA" w14:textId="261017C3" w:rsidR="00DF187B" w:rsidRDefault="00DF187B" w:rsidP="00BB6F94">
      <w:pPr>
        <w:pStyle w:val="Bullet"/>
      </w:pPr>
      <w:r w:rsidRPr="00BB6F94">
        <w:t xml:space="preserve">Missouri: well-level </w:t>
      </w:r>
      <w:r w:rsidR="008A36F6">
        <w:t xml:space="preserve">production </w:t>
      </w:r>
      <w:r w:rsidRPr="00BB6F94">
        <w:t>data</w:t>
      </w:r>
      <w:r w:rsidR="00480D75" w:rsidRPr="00BB6F94">
        <w:t xml:space="preserve"> for part of the year</w:t>
      </w:r>
    </w:p>
    <w:p w14:paraId="2AD1FD00" w14:textId="6A33AD8C" w:rsidR="00717D2B" w:rsidRPr="00BB6F94" w:rsidRDefault="00717D2B" w:rsidP="00717D2B">
      <w:pPr>
        <w:pStyle w:val="Bullet"/>
      </w:pPr>
      <w:r w:rsidRPr="00BB6F94">
        <w:t>Ne</w:t>
      </w:r>
      <w:r>
        <w:t>braska</w:t>
      </w:r>
      <w:r w:rsidRPr="00BB6F94">
        <w:t>: well-level exploration data for part of the year</w:t>
      </w:r>
    </w:p>
    <w:p w14:paraId="489A69B7" w14:textId="53A67DD1" w:rsidR="00DF187B" w:rsidRPr="00BB6F94" w:rsidRDefault="00DF187B" w:rsidP="00BB6F94">
      <w:pPr>
        <w:pStyle w:val="Bullet"/>
      </w:pPr>
      <w:r w:rsidRPr="00BB6F94">
        <w:t xml:space="preserve">Nevada: well-level </w:t>
      </w:r>
      <w:r w:rsidR="008A36F6">
        <w:t xml:space="preserve">production and </w:t>
      </w:r>
      <w:r w:rsidRPr="00BB6F94">
        <w:t>exploration data</w:t>
      </w:r>
      <w:r w:rsidR="00480D75" w:rsidRPr="00BB6F94">
        <w:t xml:space="preserve"> for the entire year</w:t>
      </w:r>
    </w:p>
    <w:p w14:paraId="3C54A61F" w14:textId="02F04B64" w:rsidR="00C22725" w:rsidRDefault="00C22725" w:rsidP="00BB6F94">
      <w:pPr>
        <w:pStyle w:val="Bullet"/>
      </w:pPr>
      <w:r w:rsidRPr="00BB6F94">
        <w:t xml:space="preserve">New </w:t>
      </w:r>
      <w:r w:rsidR="00717D2B">
        <w:t>Mexico</w:t>
      </w:r>
      <w:r w:rsidRPr="00BB6F94">
        <w:t>: well-level exploration data for part of the year</w:t>
      </w:r>
    </w:p>
    <w:p w14:paraId="6C7B066E" w14:textId="7493CA84" w:rsidR="00717D2B" w:rsidRPr="00BB6F94" w:rsidRDefault="00717D2B" w:rsidP="00717D2B">
      <w:pPr>
        <w:pStyle w:val="Bullet"/>
      </w:pPr>
      <w:r>
        <w:t>Ohio</w:t>
      </w:r>
      <w:r w:rsidRPr="00BB6F94">
        <w:t xml:space="preserve">: well-level </w:t>
      </w:r>
      <w:r w:rsidR="007A269B">
        <w:t xml:space="preserve">production and </w:t>
      </w:r>
      <w:r w:rsidRPr="00BB6F94">
        <w:t>exploration data for part of the year</w:t>
      </w:r>
    </w:p>
    <w:p w14:paraId="18D455FF" w14:textId="10942EBC" w:rsidR="00DF187B" w:rsidRPr="00BB6F94" w:rsidRDefault="00DF187B" w:rsidP="00BB6F94">
      <w:pPr>
        <w:pStyle w:val="Bullet"/>
      </w:pPr>
      <w:r w:rsidRPr="00BB6F94">
        <w:t xml:space="preserve">Pennsylvania: well-level </w:t>
      </w:r>
      <w:r w:rsidR="007A269B">
        <w:t xml:space="preserve">exploration data and </w:t>
      </w:r>
      <w:r w:rsidRPr="00BB6F94">
        <w:t>produced water data</w:t>
      </w:r>
    </w:p>
    <w:p w14:paraId="3BF693A4" w14:textId="3F63F937" w:rsidR="00DF187B" w:rsidRDefault="00DF187B" w:rsidP="00BB6F94">
      <w:pPr>
        <w:pStyle w:val="Bullet"/>
      </w:pPr>
      <w:r w:rsidRPr="00BB6F94">
        <w:t>Tennessee: well-level exploration data</w:t>
      </w:r>
      <w:r w:rsidR="00480D75" w:rsidRPr="00BB6F94">
        <w:t xml:space="preserve"> for the entire year</w:t>
      </w:r>
    </w:p>
    <w:p w14:paraId="0C49C805" w14:textId="77777777" w:rsidR="003D0AE7" w:rsidRPr="00BB6F94" w:rsidRDefault="003D0AE7" w:rsidP="003D0AE7">
      <w:pPr>
        <w:pStyle w:val="Bullet"/>
      </w:pPr>
      <w:r>
        <w:t>Utah</w:t>
      </w:r>
      <w:r w:rsidRPr="00BB6F94">
        <w:t xml:space="preserve">: well-level </w:t>
      </w:r>
      <w:r>
        <w:t xml:space="preserve">production and </w:t>
      </w:r>
      <w:r w:rsidRPr="00BB6F94">
        <w:t>exploration data for the entire year</w:t>
      </w:r>
    </w:p>
    <w:p w14:paraId="4197396B" w14:textId="6EB51F16" w:rsidR="00717D2B" w:rsidRDefault="00717D2B" w:rsidP="00BB6F94">
      <w:pPr>
        <w:pStyle w:val="Bullet"/>
      </w:pPr>
      <w:r>
        <w:t>Virginia</w:t>
      </w:r>
      <w:r w:rsidRPr="00BB6F94">
        <w:t>: well-level exploration data for the entire year</w:t>
      </w:r>
    </w:p>
    <w:p w14:paraId="4F2F56DF" w14:textId="058B1E25" w:rsidR="00717D2B" w:rsidRPr="00BB6F94" w:rsidRDefault="00717D2B" w:rsidP="00717D2B">
      <w:pPr>
        <w:pStyle w:val="Bullet"/>
        <w:spacing w:after="240"/>
      </w:pPr>
      <w:r>
        <w:t>Wyoming</w:t>
      </w:r>
      <w:r w:rsidR="00DF187B" w:rsidRPr="00BB6F94">
        <w:t>: well-level exploration data</w:t>
      </w:r>
      <w:r w:rsidR="00480D75" w:rsidRPr="00BB6F94">
        <w:t xml:space="preserve"> for the entire year</w:t>
      </w:r>
    </w:p>
    <w:p w14:paraId="7A56CF14" w14:textId="0231CDD1" w:rsidR="00BF3910" w:rsidRPr="00040E49" w:rsidRDefault="00BF3910" w:rsidP="00BB6F94">
      <w:pPr>
        <w:pStyle w:val="Heading2"/>
      </w:pPr>
      <w:r>
        <w:t>RigData</w:t>
      </w:r>
    </w:p>
    <w:p w14:paraId="659E9918" w14:textId="60169797" w:rsidR="00BF3910" w:rsidRPr="00BF3910" w:rsidRDefault="00BF3910" w:rsidP="00BB6F94">
      <w:pPr>
        <w:pStyle w:val="BodyText"/>
        <w:rPr>
          <w:color w:val="000000"/>
          <w:spacing w:val="-3"/>
          <w:w w:val="105"/>
        </w:rPr>
      </w:pPr>
      <w:r>
        <w:t xml:space="preserve">RigData was contacted to obtain “StartsByDepth” and “StartsByYear” for </w:t>
      </w:r>
      <w:r w:rsidR="00F621B9">
        <w:t>20</w:t>
      </w:r>
      <w:r w:rsidR="00FB30B1">
        <w:t>2</w:t>
      </w:r>
      <w:r w:rsidR="00717D2B">
        <w:t>2</w:t>
      </w:r>
      <w:r w:rsidR="00F621B9">
        <w:t>, which was available on request. T</w:t>
      </w:r>
      <w:r>
        <w:t xml:space="preserve">hese reports, which publish number of well starts (i.e., spud counts) and depth (i.e., feet drilled) were sent to ERG for the </w:t>
      </w:r>
      <w:r w:rsidR="00E55753">
        <w:t>20</w:t>
      </w:r>
      <w:r w:rsidR="00FB30B1">
        <w:t>2</w:t>
      </w:r>
      <w:r w:rsidR="00717D2B">
        <w:t>2</w:t>
      </w:r>
      <w:r>
        <w:t xml:space="preserve"> </w:t>
      </w:r>
      <w:r w:rsidR="008B393B">
        <w:t>base year</w:t>
      </w:r>
      <w:r>
        <w:t xml:space="preserve">. </w:t>
      </w:r>
    </w:p>
    <w:p w14:paraId="59F404D6" w14:textId="77ECBD79" w:rsidR="00CA31D7" w:rsidRPr="00040E49" w:rsidRDefault="00CA31D7" w:rsidP="00BB6F94">
      <w:pPr>
        <w:pStyle w:val="Heading2"/>
      </w:pPr>
      <w:r>
        <w:t>EIA Data</w:t>
      </w:r>
    </w:p>
    <w:p w14:paraId="4539EADD" w14:textId="3BB7FD31" w:rsidR="00CA31D7" w:rsidRDefault="00E55753" w:rsidP="00BB6F94">
      <w:pPr>
        <w:pStyle w:val="BodyText"/>
      </w:pPr>
      <w:r>
        <w:t xml:space="preserve">Illinois and Maryland natural gas </w:t>
      </w:r>
      <w:r w:rsidR="00CA31D7">
        <w:t>production data were not available from DI Desktop or the state OGC websites</w:t>
      </w:r>
      <w:r>
        <w:t xml:space="preserve"> and</w:t>
      </w:r>
      <w:r w:rsidR="00CA31D7">
        <w:t xml:space="preserve"> ERG obtained state-level production estimates from EIA. </w:t>
      </w:r>
      <w:r w:rsidR="00A20B00">
        <w:t>Additionally, well-level Kentucky oil and natural gas production data were scaled to match EIA totals</w:t>
      </w:r>
      <w:r w:rsidR="00717D2B">
        <w:t xml:space="preserve"> from 2021 to 2022</w:t>
      </w:r>
      <w:r w:rsidR="00A20B00">
        <w:t>.</w:t>
      </w:r>
    </w:p>
    <w:p w14:paraId="1F26B453" w14:textId="3A8BCB28" w:rsidR="001D74D1" w:rsidRPr="00471436" w:rsidRDefault="000210CE" w:rsidP="00BB6F94">
      <w:pPr>
        <w:pStyle w:val="Heading2"/>
        <w:rPr>
          <w:w w:val="105"/>
        </w:rPr>
      </w:pPr>
      <w:r w:rsidRPr="00471436">
        <w:rPr>
          <w:w w:val="105"/>
        </w:rPr>
        <w:t>Produced Water</w:t>
      </w:r>
    </w:p>
    <w:p w14:paraId="05015501" w14:textId="468CEACF" w:rsidR="001D74D1" w:rsidRDefault="000210CE" w:rsidP="00BB6F94">
      <w:pPr>
        <w:pStyle w:val="BodyText"/>
      </w:pPr>
      <w:r>
        <w:t xml:space="preserve">Produced water estimates were developed </w:t>
      </w:r>
      <w:r w:rsidR="00C86487">
        <w:t xml:space="preserve">using activity-based factors </w:t>
      </w:r>
      <w:r>
        <w:t xml:space="preserve">for </w:t>
      </w:r>
      <w:r w:rsidR="00790D59">
        <w:t>seven</w:t>
      </w:r>
      <w:r w:rsidR="00C86487">
        <w:t xml:space="preserve"> states in which there were </w:t>
      </w:r>
      <w:r w:rsidR="00790D59">
        <w:t xml:space="preserve">incomplete or </w:t>
      </w:r>
      <w:r w:rsidR="00C86487">
        <w:t xml:space="preserve">no information: Illinois, Indiana, </w:t>
      </w:r>
      <w:r w:rsidR="00290DCF">
        <w:t xml:space="preserve">Kentucky, </w:t>
      </w:r>
      <w:r w:rsidR="00C86487">
        <w:t>Oklahoma,</w:t>
      </w:r>
      <w:r w:rsidR="00790D59">
        <w:t xml:space="preserve"> </w:t>
      </w:r>
      <w:r w:rsidR="001C4EC5">
        <w:t xml:space="preserve">and </w:t>
      </w:r>
      <w:r w:rsidR="00290DCF">
        <w:t>Tennessee</w:t>
      </w:r>
      <w:r w:rsidR="00C86487">
        <w:t xml:space="preserve">. </w:t>
      </w:r>
      <w:r w:rsidR="00540817">
        <w:t>The methodologies are described below:</w:t>
      </w:r>
    </w:p>
    <w:p w14:paraId="7CFD4BE8" w14:textId="5DC268E0" w:rsidR="007D17FE" w:rsidRDefault="00540817" w:rsidP="00BB6F94">
      <w:pPr>
        <w:pStyle w:val="Bullet"/>
      </w:pPr>
      <w:r w:rsidRPr="00471436">
        <w:rPr>
          <w:b/>
          <w:bCs/>
        </w:rPr>
        <w:t>Illinois</w:t>
      </w:r>
      <w:r>
        <w:t>: For the 20</w:t>
      </w:r>
      <w:r w:rsidR="00780086">
        <w:t>11</w:t>
      </w:r>
      <w:r>
        <w:t xml:space="preserve"> </w:t>
      </w:r>
      <w:r w:rsidR="008B393B">
        <w:t>base year</w:t>
      </w:r>
      <w:r>
        <w:t xml:space="preserve">, the Enverus dataset </w:t>
      </w:r>
      <w:r w:rsidR="0099663C">
        <w:t xml:space="preserve">contained annual well-level production data and annual produced water data for </w:t>
      </w:r>
      <w:r w:rsidR="00780086">
        <w:t xml:space="preserve">6,726 wells, which is approximately one-third </w:t>
      </w:r>
      <w:r w:rsidR="0099663C">
        <w:t xml:space="preserve">of the total estimated wells in this state. Each of these wells were identified as oil, gas, or CBM. From this dataset, activity-based produced water factors were developed, and applied to </w:t>
      </w:r>
      <w:r w:rsidR="007D17FE">
        <w:t xml:space="preserve">the estimated </w:t>
      </w:r>
      <w:r w:rsidR="00E40017">
        <w:t>well</w:t>
      </w:r>
      <w:r w:rsidR="0099663C">
        <w:t>-level produc</w:t>
      </w:r>
      <w:r w:rsidR="007D17FE">
        <w:t>tion totals by well type.</w:t>
      </w:r>
    </w:p>
    <w:p w14:paraId="0BBFD14F" w14:textId="092FF4EA" w:rsidR="00780086" w:rsidRDefault="00780086" w:rsidP="00780086">
      <w:pPr>
        <w:pStyle w:val="ListParagraph"/>
        <w:numPr>
          <w:ilvl w:val="1"/>
          <w:numId w:val="20"/>
        </w:numPr>
        <w:rPr>
          <w:rFonts w:ascii="Times New Roman" w:hAnsi="Times New Roman"/>
          <w:color w:val="000000"/>
        </w:rPr>
      </w:pPr>
      <w:r w:rsidRPr="00537E2F">
        <w:rPr>
          <w:rFonts w:ascii="Times New Roman" w:hAnsi="Times New Roman"/>
          <w:color w:val="000000"/>
          <w:u w:val="single"/>
        </w:rPr>
        <w:t>P</w:t>
      </w:r>
      <w:r w:rsidR="007D17FE" w:rsidRPr="00471436">
        <w:rPr>
          <w:rFonts w:ascii="Times New Roman" w:hAnsi="Times New Roman"/>
          <w:color w:val="000000"/>
          <w:u w:val="single"/>
        </w:rPr>
        <w:t xml:space="preserve">roduced </w:t>
      </w:r>
      <w:r w:rsidRPr="00537E2F">
        <w:rPr>
          <w:rFonts w:ascii="Times New Roman" w:hAnsi="Times New Roman"/>
          <w:color w:val="000000"/>
          <w:u w:val="single"/>
        </w:rPr>
        <w:t>W</w:t>
      </w:r>
      <w:r w:rsidR="007D17FE" w:rsidRPr="00471436">
        <w:rPr>
          <w:rFonts w:ascii="Times New Roman" w:hAnsi="Times New Roman"/>
          <w:color w:val="000000"/>
          <w:u w:val="single"/>
        </w:rPr>
        <w:t>ater</w:t>
      </w:r>
      <w:r w:rsidRPr="00537E2F">
        <w:rPr>
          <w:rFonts w:ascii="Times New Roman" w:hAnsi="Times New Roman"/>
          <w:color w:val="000000"/>
          <w:u w:val="single"/>
        </w:rPr>
        <w:t xml:space="preserve"> </w:t>
      </w:r>
      <w:r w:rsidRPr="00347DF9">
        <w:rPr>
          <w:rFonts w:ascii="Times New Roman" w:hAnsi="Times New Roman"/>
          <w:color w:val="000000"/>
          <w:u w:val="single"/>
        </w:rPr>
        <w:t>– CBM Wel</w:t>
      </w:r>
      <w:r w:rsidRPr="00910E55">
        <w:rPr>
          <w:rFonts w:ascii="Times New Roman" w:hAnsi="Times New Roman"/>
          <w:color w:val="000000"/>
          <w:u w:val="single"/>
        </w:rPr>
        <w:t>ls</w:t>
      </w:r>
      <w:r w:rsidR="007D17FE">
        <w:rPr>
          <w:rFonts w:ascii="Times New Roman" w:hAnsi="Times New Roman"/>
          <w:color w:val="000000"/>
        </w:rPr>
        <w:t>: 1.73 BBL produced water per MSCF CBM produc</w:t>
      </w:r>
      <w:r>
        <w:rPr>
          <w:rFonts w:ascii="Times New Roman" w:hAnsi="Times New Roman"/>
          <w:color w:val="000000"/>
        </w:rPr>
        <w:t>ed, based on 15 wells</w:t>
      </w:r>
      <w:r w:rsidR="007D17FE">
        <w:rPr>
          <w:rFonts w:ascii="Times New Roman" w:hAnsi="Times New Roman"/>
          <w:color w:val="000000"/>
        </w:rPr>
        <w:t>.</w:t>
      </w:r>
    </w:p>
    <w:p w14:paraId="6C6EA438" w14:textId="3C7EAD2B" w:rsidR="00780086" w:rsidRPr="00A168E9" w:rsidRDefault="00780086" w:rsidP="00780086">
      <w:pPr>
        <w:pStyle w:val="ListParagraph"/>
        <w:numPr>
          <w:ilvl w:val="1"/>
          <w:numId w:val="20"/>
        </w:numPr>
        <w:rPr>
          <w:rFonts w:ascii="Times New Roman" w:hAnsi="Times New Roman"/>
          <w:color w:val="000000"/>
        </w:rPr>
      </w:pPr>
      <w:r>
        <w:rPr>
          <w:rFonts w:ascii="Times New Roman" w:hAnsi="Times New Roman"/>
          <w:color w:val="000000"/>
          <w:u w:val="single"/>
        </w:rPr>
        <w:lastRenderedPageBreak/>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Gas Wells</w:t>
      </w:r>
      <w:r>
        <w:rPr>
          <w:rFonts w:ascii="Times New Roman" w:hAnsi="Times New Roman"/>
          <w:color w:val="000000"/>
        </w:rPr>
        <w:t>: 0.0094 BBL produced water per MSCF gas produced, based on 12 wells.</w:t>
      </w:r>
    </w:p>
    <w:p w14:paraId="58CD8C61" w14:textId="2F4FA961" w:rsidR="00780086" w:rsidRDefault="00780086" w:rsidP="00BB6F94">
      <w:pPr>
        <w:pStyle w:val="ListParagraph"/>
        <w:numPr>
          <w:ilvl w:val="1"/>
          <w:numId w:val="20"/>
        </w:numPr>
        <w:spacing w:after="240"/>
        <w:contextualSpacing w:val="0"/>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Oil Wells</w:t>
      </w:r>
      <w:r>
        <w:rPr>
          <w:rFonts w:ascii="Times New Roman" w:hAnsi="Times New Roman"/>
          <w:color w:val="000000"/>
        </w:rPr>
        <w:t>: 0.08 BBL produced water per BBL oil produced, based on 6,699 wells.</w:t>
      </w:r>
    </w:p>
    <w:p w14:paraId="54EB7B87" w14:textId="063E3E3B" w:rsidR="00780086" w:rsidRDefault="00780086" w:rsidP="00BB6F94">
      <w:pPr>
        <w:pStyle w:val="Bullet"/>
      </w:pPr>
      <w:r w:rsidRPr="00471436">
        <w:rPr>
          <w:b/>
          <w:bCs/>
        </w:rPr>
        <w:t>Indiana</w:t>
      </w:r>
      <w:r>
        <w:t xml:space="preserve">: For the 2011 </w:t>
      </w:r>
      <w:r w:rsidR="008B393B">
        <w:t>base year</w:t>
      </w:r>
      <w:r>
        <w:t xml:space="preserve">, the Enverus dataset contained annual well-level production data and annual produced water data for 3,014 wells, which is less than 20% of the total estimated wells in this state. Each of these wells were identified as oil or gas (no CBM wells were identified). From this dataset, activity-based produced water factors were developed, and applied to the estimated </w:t>
      </w:r>
      <w:r w:rsidR="00E40017">
        <w:t>well</w:t>
      </w:r>
      <w:r>
        <w:t>-level production totals by well type.</w:t>
      </w:r>
    </w:p>
    <w:p w14:paraId="760F1716" w14:textId="4077D95E" w:rsidR="00780086" w:rsidRDefault="00780086" w:rsidP="00780086">
      <w:pPr>
        <w:pStyle w:val="ListParagraph"/>
        <w:numPr>
          <w:ilvl w:val="1"/>
          <w:numId w:val="20"/>
        </w:numPr>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Gas Wells</w:t>
      </w:r>
      <w:r>
        <w:rPr>
          <w:rFonts w:ascii="Times New Roman" w:hAnsi="Times New Roman"/>
          <w:color w:val="000000"/>
        </w:rPr>
        <w:t xml:space="preserve">: </w:t>
      </w:r>
      <w:r w:rsidR="00DF5089">
        <w:rPr>
          <w:rFonts w:ascii="Times New Roman" w:hAnsi="Times New Roman"/>
          <w:color w:val="000000"/>
        </w:rPr>
        <w:t>0.000133</w:t>
      </w:r>
      <w:r>
        <w:rPr>
          <w:rFonts w:ascii="Times New Roman" w:hAnsi="Times New Roman"/>
          <w:color w:val="000000"/>
        </w:rPr>
        <w:t xml:space="preserve"> BBL produced water per MSCF gas produced, based on </w:t>
      </w:r>
      <w:r w:rsidR="00DF5089">
        <w:rPr>
          <w:rFonts w:ascii="Times New Roman" w:hAnsi="Times New Roman"/>
          <w:color w:val="000000"/>
        </w:rPr>
        <w:t>3,010</w:t>
      </w:r>
      <w:r>
        <w:rPr>
          <w:rFonts w:ascii="Times New Roman" w:hAnsi="Times New Roman"/>
          <w:color w:val="000000"/>
        </w:rPr>
        <w:t xml:space="preserve"> wells.</w:t>
      </w:r>
    </w:p>
    <w:p w14:paraId="1475B231" w14:textId="61D4A222" w:rsidR="00540817" w:rsidRDefault="00780086" w:rsidP="00BB6F94">
      <w:pPr>
        <w:pStyle w:val="ListParagraph"/>
        <w:numPr>
          <w:ilvl w:val="1"/>
          <w:numId w:val="20"/>
        </w:numPr>
        <w:spacing w:after="240"/>
        <w:contextualSpacing w:val="0"/>
        <w:rPr>
          <w:rFonts w:ascii="Times New Roman" w:hAnsi="Times New Roman"/>
          <w:color w:val="000000"/>
        </w:rPr>
      </w:pPr>
      <w:r w:rsidRPr="00471436">
        <w:rPr>
          <w:rFonts w:ascii="Times New Roman" w:hAnsi="Times New Roman"/>
          <w:color w:val="000000"/>
          <w:u w:val="single"/>
        </w:rPr>
        <w:t>Produced Water – Oil Wells</w:t>
      </w:r>
      <w:r w:rsidRPr="00471436">
        <w:rPr>
          <w:rFonts w:ascii="Times New Roman" w:hAnsi="Times New Roman"/>
          <w:color w:val="000000"/>
        </w:rPr>
        <w:t xml:space="preserve">: </w:t>
      </w:r>
      <w:r w:rsidR="00DF5089">
        <w:rPr>
          <w:rFonts w:ascii="Times New Roman" w:hAnsi="Times New Roman"/>
          <w:color w:val="000000"/>
        </w:rPr>
        <w:t>0.0497</w:t>
      </w:r>
      <w:r w:rsidRPr="00471436">
        <w:rPr>
          <w:rFonts w:ascii="Times New Roman" w:hAnsi="Times New Roman"/>
          <w:color w:val="000000"/>
        </w:rPr>
        <w:t xml:space="preserve"> BBL produced water per BBL oil produced, based on </w:t>
      </w:r>
      <w:r w:rsidR="00DF5089">
        <w:rPr>
          <w:rFonts w:ascii="Times New Roman" w:hAnsi="Times New Roman"/>
          <w:color w:val="000000"/>
        </w:rPr>
        <w:t>4</w:t>
      </w:r>
      <w:r w:rsidRPr="00471436">
        <w:rPr>
          <w:rFonts w:ascii="Times New Roman" w:hAnsi="Times New Roman"/>
          <w:color w:val="000000"/>
        </w:rPr>
        <w:t xml:space="preserve"> wells.</w:t>
      </w:r>
    </w:p>
    <w:p w14:paraId="0E39F865" w14:textId="2B056487" w:rsidR="00DF5089" w:rsidRDefault="006C423A" w:rsidP="00BB6F94">
      <w:pPr>
        <w:pStyle w:val="Bullet"/>
      </w:pPr>
      <w:r>
        <w:rPr>
          <w:b/>
          <w:bCs/>
        </w:rPr>
        <w:t>Kentucky</w:t>
      </w:r>
      <w:r w:rsidR="00DF5089">
        <w:t xml:space="preserve">: Production-based activity factors for </w:t>
      </w:r>
      <w:r>
        <w:t>Kentucky</w:t>
      </w:r>
      <w:r w:rsidR="00DF5089">
        <w:t xml:space="preserve"> were based on a survey conducted by Veil Associates for the 2017 calendar year</w:t>
      </w:r>
      <w:r w:rsidR="00B07EB2">
        <w:t>.</w:t>
      </w:r>
      <w:r w:rsidR="00B07EB2">
        <w:rPr>
          <w:rStyle w:val="FootnoteReference"/>
          <w:color w:val="000000"/>
        </w:rPr>
        <w:footnoteReference w:id="1"/>
      </w:r>
      <w:r w:rsidR="00B07EB2">
        <w:t xml:space="preserve"> The total state-level produced water was allocated proportionally by oil and gas well counts. The produced water oil and gas estimates were then divided by the state-level oil and gas produced, respectively</w:t>
      </w:r>
      <w:r w:rsidR="00537E2F">
        <w:t xml:space="preserve"> to develop </w:t>
      </w:r>
      <w:r w:rsidR="00DF5089">
        <w:t xml:space="preserve">activity-based produced water factors, </w:t>
      </w:r>
      <w:r w:rsidR="00537E2F">
        <w:t xml:space="preserve">which were then applied to the </w:t>
      </w:r>
      <w:r w:rsidR="00E40017">
        <w:t>well</w:t>
      </w:r>
      <w:r w:rsidR="00537E2F">
        <w:t xml:space="preserve">- </w:t>
      </w:r>
      <w:r w:rsidR="00DF5089">
        <w:t>level production totals by well type.</w:t>
      </w:r>
    </w:p>
    <w:p w14:paraId="145C2722" w14:textId="479B8481" w:rsidR="00DF5089" w:rsidRPr="00A168E9" w:rsidRDefault="00DF5089" w:rsidP="00DF5089">
      <w:pPr>
        <w:pStyle w:val="ListParagraph"/>
        <w:numPr>
          <w:ilvl w:val="1"/>
          <w:numId w:val="20"/>
        </w:numPr>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Gas Wells</w:t>
      </w:r>
      <w:r>
        <w:rPr>
          <w:rFonts w:ascii="Times New Roman" w:hAnsi="Times New Roman"/>
          <w:color w:val="000000"/>
        </w:rPr>
        <w:t xml:space="preserve">: </w:t>
      </w:r>
      <w:r w:rsidR="006C423A">
        <w:rPr>
          <w:rFonts w:ascii="Times New Roman" w:hAnsi="Times New Roman"/>
          <w:color w:val="000000"/>
        </w:rPr>
        <w:t>0.068565</w:t>
      </w:r>
      <w:r>
        <w:rPr>
          <w:rFonts w:ascii="Times New Roman" w:hAnsi="Times New Roman"/>
          <w:color w:val="000000"/>
        </w:rPr>
        <w:t xml:space="preserve"> BBL produced water per MSCF gas produced.</w:t>
      </w:r>
    </w:p>
    <w:p w14:paraId="5982E938" w14:textId="4B5BB508" w:rsidR="00DF5089" w:rsidRDefault="00DF5089" w:rsidP="00BB6F94">
      <w:pPr>
        <w:pStyle w:val="ListParagraph"/>
        <w:numPr>
          <w:ilvl w:val="1"/>
          <w:numId w:val="20"/>
        </w:numPr>
        <w:spacing w:after="240"/>
        <w:contextualSpacing w:val="0"/>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Oil Wells</w:t>
      </w:r>
      <w:r>
        <w:rPr>
          <w:rFonts w:ascii="Times New Roman" w:hAnsi="Times New Roman"/>
          <w:color w:val="000000"/>
        </w:rPr>
        <w:t xml:space="preserve">: </w:t>
      </w:r>
      <w:r w:rsidR="006C423A">
        <w:rPr>
          <w:rFonts w:ascii="Times New Roman" w:hAnsi="Times New Roman"/>
          <w:color w:val="000000"/>
        </w:rPr>
        <w:t>3.16155</w:t>
      </w:r>
      <w:r>
        <w:rPr>
          <w:rFonts w:ascii="Times New Roman" w:hAnsi="Times New Roman"/>
          <w:color w:val="000000"/>
        </w:rPr>
        <w:t xml:space="preserve"> BBL produced water per BBL oil produced.</w:t>
      </w:r>
    </w:p>
    <w:p w14:paraId="6E8B46A2" w14:textId="7890E409" w:rsidR="00290DCF" w:rsidRDefault="00290DCF" w:rsidP="00BB6F94">
      <w:pPr>
        <w:pStyle w:val="Bullet"/>
      </w:pPr>
      <w:r w:rsidRPr="00471436">
        <w:rPr>
          <w:b/>
          <w:bCs/>
        </w:rPr>
        <w:t>Oklahoma</w:t>
      </w:r>
      <w:r>
        <w:t>: Production-based activity factors for Oklahoma were based on a survey conducted by Veil Associates for the 2017 calendar year.</w:t>
      </w:r>
      <w:r>
        <w:rPr>
          <w:rStyle w:val="FootnoteReference"/>
          <w:color w:val="000000"/>
        </w:rPr>
        <w:footnoteReference w:id="2"/>
      </w:r>
      <w:r>
        <w:t xml:space="preserve"> The total state-level produced water was allocated proportionally by oil and gas well counts. The produced water oil and gas estimates were then divided by the state-level oil and gas produced, respectively to develop activity-based produced water factors, which were then applied to the </w:t>
      </w:r>
      <w:r w:rsidR="00E40017">
        <w:t>well</w:t>
      </w:r>
      <w:r>
        <w:t>- level production totals by well type.</w:t>
      </w:r>
    </w:p>
    <w:p w14:paraId="7021B4C0" w14:textId="1522BEDF" w:rsidR="00290DCF" w:rsidRDefault="00290DCF" w:rsidP="00290DCF">
      <w:pPr>
        <w:pStyle w:val="ListParagraph"/>
        <w:numPr>
          <w:ilvl w:val="1"/>
          <w:numId w:val="20"/>
        </w:numPr>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Gas Wells</w:t>
      </w:r>
      <w:r>
        <w:rPr>
          <w:rFonts w:ascii="Times New Roman" w:hAnsi="Times New Roman"/>
          <w:color w:val="000000"/>
        </w:rPr>
        <w:t>: 1.1873 BBL produced water per MSCF gas produced.</w:t>
      </w:r>
    </w:p>
    <w:p w14:paraId="16DFAB4A" w14:textId="45E110A7" w:rsidR="006C423A" w:rsidRDefault="00290DCF" w:rsidP="00BB6F94">
      <w:pPr>
        <w:pStyle w:val="ListParagraph"/>
        <w:numPr>
          <w:ilvl w:val="1"/>
          <w:numId w:val="20"/>
        </w:numPr>
        <w:spacing w:after="240"/>
        <w:contextualSpacing w:val="0"/>
        <w:rPr>
          <w:rFonts w:ascii="Times New Roman" w:hAnsi="Times New Roman"/>
          <w:color w:val="000000"/>
        </w:rPr>
      </w:pPr>
      <w:r w:rsidRPr="006C423A">
        <w:rPr>
          <w:rFonts w:ascii="Times New Roman" w:hAnsi="Times New Roman"/>
          <w:color w:val="000000"/>
          <w:u w:val="single"/>
        </w:rPr>
        <w:t>Produced Water – Oil Wells</w:t>
      </w:r>
      <w:r w:rsidRPr="006C423A">
        <w:rPr>
          <w:rFonts w:ascii="Times New Roman" w:hAnsi="Times New Roman"/>
          <w:color w:val="000000"/>
        </w:rPr>
        <w:t>: 9.27 BBL produced water per BBL oil produced.</w:t>
      </w:r>
    </w:p>
    <w:p w14:paraId="66B1043F" w14:textId="3B07D11E" w:rsidR="00537E2F" w:rsidRDefault="006C423A" w:rsidP="00290DCF">
      <w:pPr>
        <w:pStyle w:val="ListParagraph"/>
        <w:numPr>
          <w:ilvl w:val="0"/>
          <w:numId w:val="20"/>
        </w:numPr>
        <w:rPr>
          <w:rFonts w:ascii="Times New Roman" w:hAnsi="Times New Roman"/>
          <w:color w:val="000000"/>
        </w:rPr>
      </w:pPr>
      <w:r>
        <w:rPr>
          <w:rFonts w:ascii="Times New Roman" w:hAnsi="Times New Roman"/>
          <w:b/>
          <w:bCs/>
          <w:color w:val="000000"/>
        </w:rPr>
        <w:t>Tennessee</w:t>
      </w:r>
      <w:r w:rsidR="00537E2F">
        <w:rPr>
          <w:rFonts w:ascii="Times New Roman" w:hAnsi="Times New Roman"/>
          <w:color w:val="000000"/>
        </w:rPr>
        <w:t xml:space="preserve">: Production-based activity factors for </w:t>
      </w:r>
      <w:r>
        <w:rPr>
          <w:rFonts w:ascii="Times New Roman" w:hAnsi="Times New Roman"/>
          <w:color w:val="000000"/>
        </w:rPr>
        <w:t>Tennessee</w:t>
      </w:r>
      <w:r w:rsidR="00537E2F">
        <w:rPr>
          <w:rFonts w:ascii="Times New Roman" w:hAnsi="Times New Roman"/>
          <w:color w:val="000000"/>
        </w:rPr>
        <w:t xml:space="preserve"> were based on a survey conducted by Veil Associates for the 2017 calendar year.</w:t>
      </w:r>
      <w:r w:rsidR="00537E2F">
        <w:rPr>
          <w:rStyle w:val="FootnoteReference"/>
          <w:rFonts w:ascii="Times New Roman" w:hAnsi="Times New Roman"/>
          <w:color w:val="000000"/>
        </w:rPr>
        <w:footnoteReference w:id="3"/>
      </w:r>
      <w:r w:rsidR="00537E2F">
        <w:rPr>
          <w:rFonts w:ascii="Times New Roman" w:hAnsi="Times New Roman"/>
          <w:color w:val="000000"/>
        </w:rPr>
        <w:t xml:space="preserve"> The total state-level produced water was allocated proportionally by oil</w:t>
      </w:r>
      <w:r>
        <w:rPr>
          <w:rFonts w:ascii="Times New Roman" w:hAnsi="Times New Roman"/>
          <w:color w:val="000000"/>
        </w:rPr>
        <w:t xml:space="preserve"> and</w:t>
      </w:r>
      <w:r w:rsidR="00537E2F">
        <w:rPr>
          <w:rFonts w:ascii="Times New Roman" w:hAnsi="Times New Roman"/>
          <w:color w:val="000000"/>
        </w:rPr>
        <w:t xml:space="preserve"> gas well counts. The produced water oil</w:t>
      </w:r>
      <w:r>
        <w:rPr>
          <w:rFonts w:ascii="Times New Roman" w:hAnsi="Times New Roman"/>
          <w:color w:val="000000"/>
        </w:rPr>
        <w:t xml:space="preserve"> and</w:t>
      </w:r>
      <w:r w:rsidR="00537E2F">
        <w:rPr>
          <w:rFonts w:ascii="Times New Roman" w:hAnsi="Times New Roman"/>
          <w:color w:val="000000"/>
        </w:rPr>
        <w:t xml:space="preserve"> gas estimates were then divided by the state-level oil</w:t>
      </w:r>
      <w:r>
        <w:rPr>
          <w:rFonts w:ascii="Times New Roman" w:hAnsi="Times New Roman"/>
          <w:color w:val="000000"/>
        </w:rPr>
        <w:t xml:space="preserve"> and</w:t>
      </w:r>
      <w:r w:rsidR="00537E2F">
        <w:rPr>
          <w:rFonts w:ascii="Times New Roman" w:hAnsi="Times New Roman"/>
          <w:color w:val="000000"/>
        </w:rPr>
        <w:t xml:space="preserve"> gas produced, respectively to develop activity-based produced water factors, which were then applied to the </w:t>
      </w:r>
      <w:r w:rsidR="00E40017">
        <w:rPr>
          <w:rFonts w:ascii="Times New Roman" w:hAnsi="Times New Roman"/>
          <w:color w:val="000000"/>
        </w:rPr>
        <w:t>well</w:t>
      </w:r>
      <w:r w:rsidR="00537E2F">
        <w:rPr>
          <w:rFonts w:ascii="Times New Roman" w:hAnsi="Times New Roman"/>
          <w:color w:val="000000"/>
        </w:rPr>
        <w:t>- level production totals by well type.</w:t>
      </w:r>
    </w:p>
    <w:p w14:paraId="2FFCDC53" w14:textId="54B097C5" w:rsidR="00537E2F" w:rsidRPr="00A168E9" w:rsidRDefault="00537E2F" w:rsidP="00537E2F">
      <w:pPr>
        <w:pStyle w:val="ListParagraph"/>
        <w:numPr>
          <w:ilvl w:val="1"/>
          <w:numId w:val="20"/>
        </w:numPr>
        <w:rPr>
          <w:rFonts w:ascii="Times New Roman" w:hAnsi="Times New Roman"/>
          <w:color w:val="000000"/>
        </w:rPr>
      </w:pPr>
      <w:r>
        <w:rPr>
          <w:rFonts w:ascii="Times New Roman" w:hAnsi="Times New Roman"/>
          <w:color w:val="000000"/>
          <w:u w:val="single"/>
        </w:rPr>
        <w:lastRenderedPageBreak/>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Gas Wells</w:t>
      </w:r>
      <w:r>
        <w:rPr>
          <w:rFonts w:ascii="Times New Roman" w:hAnsi="Times New Roman"/>
          <w:color w:val="000000"/>
        </w:rPr>
        <w:t xml:space="preserve">: </w:t>
      </w:r>
      <w:r w:rsidR="006C423A">
        <w:rPr>
          <w:rFonts w:ascii="Times New Roman" w:hAnsi="Times New Roman"/>
          <w:color w:val="000000"/>
        </w:rPr>
        <w:t>0.006873</w:t>
      </w:r>
      <w:r>
        <w:rPr>
          <w:rFonts w:ascii="Times New Roman" w:hAnsi="Times New Roman"/>
          <w:color w:val="000000"/>
        </w:rPr>
        <w:t xml:space="preserve"> BBL produced water per MSCF gas produced.</w:t>
      </w:r>
    </w:p>
    <w:p w14:paraId="54B2B405" w14:textId="5EC959BB" w:rsidR="00537E2F" w:rsidRDefault="00537E2F" w:rsidP="0085744C">
      <w:pPr>
        <w:pStyle w:val="ListParagraph"/>
        <w:numPr>
          <w:ilvl w:val="1"/>
          <w:numId w:val="20"/>
        </w:numPr>
        <w:spacing w:after="240"/>
        <w:contextualSpacing w:val="0"/>
        <w:rPr>
          <w:rFonts w:ascii="Times New Roman" w:hAnsi="Times New Roman"/>
          <w:color w:val="000000"/>
        </w:rPr>
      </w:pPr>
      <w:r>
        <w:rPr>
          <w:rFonts w:ascii="Times New Roman" w:hAnsi="Times New Roman"/>
          <w:color w:val="000000"/>
          <w:u w:val="single"/>
        </w:rPr>
        <w:t>P</w:t>
      </w:r>
      <w:r w:rsidRPr="00A168E9">
        <w:rPr>
          <w:rFonts w:ascii="Times New Roman" w:hAnsi="Times New Roman"/>
          <w:color w:val="000000"/>
          <w:u w:val="single"/>
        </w:rPr>
        <w:t xml:space="preserve">roduced </w:t>
      </w:r>
      <w:r>
        <w:rPr>
          <w:rFonts w:ascii="Times New Roman" w:hAnsi="Times New Roman"/>
          <w:color w:val="000000"/>
          <w:u w:val="single"/>
        </w:rPr>
        <w:t>W</w:t>
      </w:r>
      <w:r w:rsidRPr="00A168E9">
        <w:rPr>
          <w:rFonts w:ascii="Times New Roman" w:hAnsi="Times New Roman"/>
          <w:color w:val="000000"/>
          <w:u w:val="single"/>
        </w:rPr>
        <w:t>ater</w:t>
      </w:r>
      <w:r>
        <w:rPr>
          <w:rFonts w:ascii="Times New Roman" w:hAnsi="Times New Roman"/>
          <w:color w:val="000000"/>
          <w:u w:val="single"/>
        </w:rPr>
        <w:t xml:space="preserve"> – Oil Wells</w:t>
      </w:r>
      <w:r>
        <w:rPr>
          <w:rFonts w:ascii="Times New Roman" w:hAnsi="Times New Roman"/>
          <w:color w:val="000000"/>
        </w:rPr>
        <w:t>: 0.</w:t>
      </w:r>
      <w:r w:rsidR="006C423A">
        <w:rPr>
          <w:rFonts w:ascii="Times New Roman" w:hAnsi="Times New Roman"/>
          <w:color w:val="000000"/>
        </w:rPr>
        <w:t>08456</w:t>
      </w:r>
      <w:r w:rsidR="00686F61">
        <w:rPr>
          <w:rFonts w:ascii="Times New Roman" w:hAnsi="Times New Roman"/>
          <w:color w:val="000000"/>
        </w:rPr>
        <w:t>5</w:t>
      </w:r>
      <w:r>
        <w:rPr>
          <w:rFonts w:ascii="Times New Roman" w:hAnsi="Times New Roman"/>
          <w:color w:val="000000"/>
        </w:rPr>
        <w:t xml:space="preserve"> BBL produced water per BBL oil produced.</w:t>
      </w:r>
    </w:p>
    <w:p w14:paraId="5461C5A6" w14:textId="6671449F" w:rsidR="00471436" w:rsidRPr="00B05A45" w:rsidRDefault="00471436" w:rsidP="00BB6F94">
      <w:pPr>
        <w:pStyle w:val="Heading1"/>
        <w:rPr>
          <w:w w:val="105"/>
        </w:rPr>
      </w:pPr>
      <w:r>
        <w:rPr>
          <w:w w:val="105"/>
        </w:rPr>
        <w:t>Quality of Data Sources Compared to 20</w:t>
      </w:r>
      <w:r w:rsidR="00FB30B1">
        <w:rPr>
          <w:w w:val="105"/>
        </w:rPr>
        <w:t>2</w:t>
      </w:r>
      <w:r w:rsidR="00717D2B">
        <w:rPr>
          <w:w w:val="105"/>
        </w:rPr>
        <w:t>1</w:t>
      </w:r>
      <w:r>
        <w:rPr>
          <w:w w:val="105"/>
        </w:rPr>
        <w:t xml:space="preserve"> Tool</w:t>
      </w:r>
    </w:p>
    <w:p w14:paraId="7B6F5DEC" w14:textId="26967D58" w:rsidR="00471436" w:rsidRPr="00BB6F94" w:rsidRDefault="00471436" w:rsidP="00BB6F94">
      <w:pPr>
        <w:pStyle w:val="BodyText"/>
      </w:pPr>
      <w:r w:rsidRPr="00BB6F94">
        <w:t>The primary datasets used for this effort were similar to those used for the 20</w:t>
      </w:r>
      <w:r w:rsidR="00FB30B1">
        <w:t>2</w:t>
      </w:r>
      <w:r w:rsidR="00717D2B">
        <w:t>1</w:t>
      </w:r>
      <w:r w:rsidRPr="00BB6F94">
        <w:t xml:space="preserve"> oil and gas emissions inventory Tool. These include the Enverus dataset and the state oil and gas sites. The methodologies used for the development of the historical inventory were similar to those used for the 20</w:t>
      </w:r>
      <w:r w:rsidR="00FB30B1">
        <w:t>2</w:t>
      </w:r>
      <w:r w:rsidR="00717D2B">
        <w:t>1</w:t>
      </w:r>
      <w:r w:rsidRPr="00BB6F94">
        <w:t xml:space="preserve"> oil and gas emissions inventory, with a few exceptions:</w:t>
      </w:r>
    </w:p>
    <w:p w14:paraId="626C6254" w14:textId="3AC4F419" w:rsidR="00D3639E" w:rsidRDefault="00E40017" w:rsidP="00A22EC1">
      <w:pPr>
        <w:pStyle w:val="Bullet"/>
      </w:pPr>
      <w:r>
        <w:t>C</w:t>
      </w:r>
      <w:r w:rsidR="00BB7797">
        <w:t xml:space="preserve">omparisons were made for Total Liquids and Total Gas at the state-level between the </w:t>
      </w:r>
      <w:r w:rsidR="00170B8C">
        <w:t xml:space="preserve">EIA data and the master well-level database. </w:t>
      </w:r>
    </w:p>
    <w:p w14:paraId="177EA0FE" w14:textId="50F3305A" w:rsidR="00170B8C" w:rsidRDefault="00170B8C" w:rsidP="00790D59">
      <w:pPr>
        <w:pStyle w:val="ListParagraph"/>
        <w:numPr>
          <w:ilvl w:val="1"/>
          <w:numId w:val="21"/>
        </w:numPr>
        <w:rPr>
          <w:rFonts w:ascii="Times New Roman" w:hAnsi="Times New Roman"/>
          <w:color w:val="000000"/>
        </w:rPr>
      </w:pPr>
      <w:r>
        <w:rPr>
          <w:rFonts w:ascii="Times New Roman" w:hAnsi="Times New Roman"/>
          <w:color w:val="000000"/>
        </w:rPr>
        <w:t xml:space="preserve">After supplementing for missing data, the final comparisons between the EIA data and the master well-level database </w:t>
      </w:r>
      <w:r w:rsidR="00D3639E">
        <w:rPr>
          <w:rFonts w:ascii="Times New Roman" w:hAnsi="Times New Roman"/>
          <w:color w:val="000000"/>
        </w:rPr>
        <w:t xml:space="preserve">for total liquids </w:t>
      </w:r>
      <w:r>
        <w:rPr>
          <w:rFonts w:ascii="Times New Roman" w:hAnsi="Times New Roman"/>
          <w:color w:val="000000"/>
        </w:rPr>
        <w:t>w</w:t>
      </w:r>
      <w:r w:rsidR="00D3639E">
        <w:rPr>
          <w:rFonts w:ascii="Times New Roman" w:hAnsi="Times New Roman"/>
          <w:color w:val="000000"/>
        </w:rPr>
        <w:t xml:space="preserve">as </w:t>
      </w:r>
      <w:r w:rsidR="00D71702">
        <w:rPr>
          <w:rFonts w:ascii="Times New Roman" w:hAnsi="Times New Roman"/>
          <w:color w:val="000000"/>
        </w:rPr>
        <w:t>-</w:t>
      </w:r>
      <w:r w:rsidR="00BB61A3">
        <w:rPr>
          <w:rFonts w:ascii="Times New Roman" w:hAnsi="Times New Roman"/>
          <w:color w:val="000000"/>
        </w:rPr>
        <w:t>0</w:t>
      </w:r>
      <w:r w:rsidR="00A1599E">
        <w:rPr>
          <w:rFonts w:ascii="Times New Roman" w:hAnsi="Times New Roman"/>
          <w:color w:val="000000"/>
        </w:rPr>
        <w:t>.</w:t>
      </w:r>
      <w:r w:rsidR="00D71702">
        <w:rPr>
          <w:rFonts w:ascii="Times New Roman" w:hAnsi="Times New Roman"/>
          <w:color w:val="000000"/>
        </w:rPr>
        <w:t>0</w:t>
      </w:r>
      <w:r w:rsidR="00A1599E">
        <w:rPr>
          <w:rFonts w:ascii="Times New Roman" w:hAnsi="Times New Roman"/>
          <w:color w:val="000000"/>
        </w:rPr>
        <w:t>1</w:t>
      </w:r>
      <w:r w:rsidR="00D3639E">
        <w:rPr>
          <w:rFonts w:ascii="Times New Roman" w:hAnsi="Times New Roman"/>
          <w:color w:val="000000"/>
        </w:rPr>
        <w:t>%</w:t>
      </w:r>
      <w:r>
        <w:rPr>
          <w:rFonts w:ascii="Times New Roman" w:hAnsi="Times New Roman"/>
          <w:color w:val="000000"/>
        </w:rPr>
        <w:t>:</w:t>
      </w:r>
    </w:p>
    <w:p w14:paraId="444CD5B2" w14:textId="13D9E193" w:rsidR="00D3639E" w:rsidRDefault="00D3639E" w:rsidP="00790D59">
      <w:pPr>
        <w:pStyle w:val="ListParagraph"/>
        <w:numPr>
          <w:ilvl w:val="2"/>
          <w:numId w:val="21"/>
        </w:numPr>
        <w:rPr>
          <w:rFonts w:ascii="Times New Roman" w:hAnsi="Times New Roman"/>
          <w:color w:val="000000"/>
        </w:rPr>
      </w:pPr>
      <w:r>
        <w:rPr>
          <w:rFonts w:ascii="Times New Roman" w:hAnsi="Times New Roman"/>
          <w:color w:val="000000"/>
        </w:rPr>
        <w:t>Total EIA liquids = 3</w:t>
      </w:r>
      <w:r w:rsidR="00A1599E">
        <w:rPr>
          <w:rFonts w:ascii="Times New Roman" w:hAnsi="Times New Roman"/>
          <w:color w:val="000000"/>
        </w:rPr>
        <w:t>,</w:t>
      </w:r>
      <w:r w:rsidR="00D71702">
        <w:rPr>
          <w:rFonts w:ascii="Times New Roman" w:hAnsi="Times New Roman"/>
          <w:color w:val="000000"/>
        </w:rPr>
        <w:t>713,581</w:t>
      </w:r>
      <w:r>
        <w:rPr>
          <w:rFonts w:ascii="Times New Roman" w:hAnsi="Times New Roman"/>
          <w:color w:val="000000"/>
        </w:rPr>
        <w:t>,000 BBL</w:t>
      </w:r>
    </w:p>
    <w:p w14:paraId="3AFBEEFB" w14:textId="0E8B3ED9" w:rsidR="00D3639E" w:rsidRDefault="00D3639E" w:rsidP="00790D59">
      <w:pPr>
        <w:pStyle w:val="ListParagraph"/>
        <w:numPr>
          <w:ilvl w:val="2"/>
          <w:numId w:val="21"/>
        </w:numPr>
        <w:rPr>
          <w:rFonts w:ascii="Times New Roman" w:hAnsi="Times New Roman"/>
          <w:color w:val="000000"/>
        </w:rPr>
      </w:pPr>
      <w:r>
        <w:rPr>
          <w:rFonts w:ascii="Times New Roman" w:hAnsi="Times New Roman"/>
          <w:color w:val="000000"/>
        </w:rPr>
        <w:t>Total master well-level database liquids = 3,</w:t>
      </w:r>
      <w:r w:rsidR="00D71702">
        <w:rPr>
          <w:rFonts w:ascii="Times New Roman" w:hAnsi="Times New Roman"/>
          <w:color w:val="000000"/>
        </w:rPr>
        <w:t>713,269,711</w:t>
      </w:r>
      <w:r>
        <w:rPr>
          <w:rFonts w:ascii="Times New Roman" w:hAnsi="Times New Roman"/>
          <w:color w:val="000000"/>
        </w:rPr>
        <w:t xml:space="preserve"> BBL</w:t>
      </w:r>
    </w:p>
    <w:p w14:paraId="3C077B07" w14:textId="4B8F3BBA" w:rsidR="00D3639E" w:rsidRDefault="00D3639E" w:rsidP="00790D59">
      <w:pPr>
        <w:pStyle w:val="ListParagraph"/>
        <w:numPr>
          <w:ilvl w:val="1"/>
          <w:numId w:val="21"/>
        </w:numPr>
        <w:rPr>
          <w:rFonts w:ascii="Times New Roman" w:hAnsi="Times New Roman"/>
          <w:color w:val="000000"/>
        </w:rPr>
      </w:pPr>
      <w:r>
        <w:rPr>
          <w:rFonts w:ascii="Times New Roman" w:hAnsi="Times New Roman"/>
          <w:color w:val="000000"/>
        </w:rPr>
        <w:t xml:space="preserve">After supplementing for missing data, the final comparisons between the EIA data and the master well-level database for total gas was </w:t>
      </w:r>
      <w:r w:rsidR="00D71702">
        <w:rPr>
          <w:rFonts w:ascii="Times New Roman" w:hAnsi="Times New Roman"/>
          <w:color w:val="000000"/>
        </w:rPr>
        <w:t>-</w:t>
      </w:r>
      <w:r w:rsidR="00A1599E">
        <w:rPr>
          <w:rFonts w:ascii="Times New Roman" w:hAnsi="Times New Roman"/>
          <w:color w:val="000000"/>
        </w:rPr>
        <w:t>0</w:t>
      </w:r>
      <w:r w:rsidR="00BB61A3">
        <w:rPr>
          <w:rFonts w:ascii="Times New Roman" w:hAnsi="Times New Roman"/>
          <w:color w:val="000000"/>
        </w:rPr>
        <w:t>.</w:t>
      </w:r>
      <w:r w:rsidR="00D71702">
        <w:rPr>
          <w:rFonts w:ascii="Times New Roman" w:hAnsi="Times New Roman"/>
          <w:color w:val="000000"/>
        </w:rPr>
        <w:t>7</w:t>
      </w:r>
      <w:r w:rsidR="00BB61A3">
        <w:rPr>
          <w:rFonts w:ascii="Times New Roman" w:hAnsi="Times New Roman"/>
          <w:color w:val="000000"/>
        </w:rPr>
        <w:t>0</w:t>
      </w:r>
      <w:r>
        <w:rPr>
          <w:rFonts w:ascii="Times New Roman" w:hAnsi="Times New Roman"/>
          <w:color w:val="000000"/>
        </w:rPr>
        <w:t>%:</w:t>
      </w:r>
    </w:p>
    <w:p w14:paraId="06077EC2" w14:textId="29628575" w:rsidR="00D3639E" w:rsidRDefault="00D3639E" w:rsidP="00790D59">
      <w:pPr>
        <w:pStyle w:val="ListParagraph"/>
        <w:numPr>
          <w:ilvl w:val="2"/>
          <w:numId w:val="21"/>
        </w:numPr>
        <w:rPr>
          <w:rFonts w:ascii="Times New Roman" w:hAnsi="Times New Roman"/>
          <w:color w:val="000000"/>
        </w:rPr>
      </w:pPr>
      <w:r>
        <w:rPr>
          <w:rFonts w:ascii="Times New Roman" w:hAnsi="Times New Roman"/>
          <w:color w:val="000000"/>
        </w:rPr>
        <w:t xml:space="preserve">Total EIA </w:t>
      </w:r>
      <w:r w:rsidR="00A1599E">
        <w:rPr>
          <w:rFonts w:ascii="Times New Roman" w:hAnsi="Times New Roman"/>
          <w:color w:val="000000"/>
        </w:rPr>
        <w:t>gas</w:t>
      </w:r>
      <w:r>
        <w:rPr>
          <w:rFonts w:ascii="Times New Roman" w:hAnsi="Times New Roman"/>
          <w:color w:val="000000"/>
        </w:rPr>
        <w:t xml:space="preserve"> = </w:t>
      </w:r>
      <w:r w:rsidR="00BB61A3">
        <w:rPr>
          <w:rFonts w:ascii="Times New Roman" w:hAnsi="Times New Roman"/>
          <w:color w:val="000000"/>
        </w:rPr>
        <w:t>4</w:t>
      </w:r>
      <w:r w:rsidR="00D71702">
        <w:rPr>
          <w:rFonts w:ascii="Times New Roman" w:hAnsi="Times New Roman"/>
          <w:color w:val="000000"/>
        </w:rPr>
        <w:t>3</w:t>
      </w:r>
      <w:r w:rsidR="00BB61A3">
        <w:rPr>
          <w:rFonts w:ascii="Times New Roman" w:hAnsi="Times New Roman"/>
          <w:color w:val="000000"/>
        </w:rPr>
        <w:t>,</w:t>
      </w:r>
      <w:r w:rsidR="00D71702">
        <w:rPr>
          <w:rFonts w:ascii="Times New Roman" w:hAnsi="Times New Roman"/>
          <w:color w:val="000000"/>
        </w:rPr>
        <w:t>017</w:t>
      </w:r>
      <w:r w:rsidR="00BB61A3">
        <w:rPr>
          <w:rFonts w:ascii="Times New Roman" w:hAnsi="Times New Roman"/>
          <w:color w:val="000000"/>
        </w:rPr>
        <w:t>,</w:t>
      </w:r>
      <w:r w:rsidR="00D71702">
        <w:rPr>
          <w:rFonts w:ascii="Times New Roman" w:hAnsi="Times New Roman"/>
          <w:color w:val="000000"/>
        </w:rPr>
        <w:t>701</w:t>
      </w:r>
      <w:r>
        <w:rPr>
          <w:rFonts w:ascii="Times New Roman" w:hAnsi="Times New Roman"/>
          <w:color w:val="000000"/>
        </w:rPr>
        <w:t>,000 MSCF</w:t>
      </w:r>
    </w:p>
    <w:p w14:paraId="25940EC6" w14:textId="0F6EF7FD" w:rsidR="00D3639E" w:rsidRPr="00D3639E" w:rsidRDefault="00D3639E" w:rsidP="00790D59">
      <w:pPr>
        <w:pStyle w:val="ListParagraph"/>
        <w:numPr>
          <w:ilvl w:val="2"/>
          <w:numId w:val="21"/>
        </w:numPr>
        <w:rPr>
          <w:rFonts w:ascii="Times New Roman" w:hAnsi="Times New Roman"/>
          <w:color w:val="000000"/>
        </w:rPr>
      </w:pPr>
      <w:r>
        <w:rPr>
          <w:rFonts w:ascii="Times New Roman" w:hAnsi="Times New Roman"/>
          <w:color w:val="000000"/>
        </w:rPr>
        <w:t xml:space="preserve">Total master well-level database gas = </w:t>
      </w:r>
      <w:r w:rsidR="00BB61A3">
        <w:rPr>
          <w:rFonts w:ascii="Times New Roman" w:hAnsi="Times New Roman"/>
          <w:color w:val="000000"/>
        </w:rPr>
        <w:t>4</w:t>
      </w:r>
      <w:r w:rsidR="00D71702">
        <w:rPr>
          <w:rFonts w:ascii="Times New Roman" w:hAnsi="Times New Roman"/>
          <w:color w:val="000000"/>
        </w:rPr>
        <w:t>2,722,331,634</w:t>
      </w:r>
      <w:r>
        <w:rPr>
          <w:rFonts w:ascii="Times New Roman" w:hAnsi="Times New Roman"/>
          <w:color w:val="000000"/>
        </w:rPr>
        <w:t xml:space="preserve"> MSCF</w:t>
      </w:r>
    </w:p>
    <w:p w14:paraId="7A731374" w14:textId="40EDBCEC" w:rsidR="00471436" w:rsidRDefault="00471436" w:rsidP="00BB6F94">
      <w:pPr>
        <w:pStyle w:val="Bullet"/>
      </w:pPr>
      <w:r>
        <w:t xml:space="preserve">Produced water for Illinois and Indiana. These county-level estimates were based on calculated activity-based production factors. The Illinois and Indiana production factors were based on a set of wells for 2011 that reported both produced water and oil/gas/CBM production. These factors were applied to all the </w:t>
      </w:r>
      <w:r w:rsidR="008B393B">
        <w:t>base year</w:t>
      </w:r>
      <w:r>
        <w:t xml:space="preserve"> inventories, which may not be representative of historical production techniques.</w:t>
      </w:r>
    </w:p>
    <w:p w14:paraId="2BBE3890" w14:textId="659BD7B4" w:rsidR="00471436" w:rsidRDefault="00471436" w:rsidP="00BB6F94">
      <w:pPr>
        <w:pStyle w:val="Bullet"/>
        <w:spacing w:after="240"/>
      </w:pPr>
      <w:r>
        <w:t xml:space="preserve">Produced water for </w:t>
      </w:r>
      <w:r w:rsidR="00170B8C">
        <w:t>Kentucky,</w:t>
      </w:r>
      <w:r w:rsidR="00790D59">
        <w:t xml:space="preserve"> </w:t>
      </w:r>
      <w:r>
        <w:t>Oklahoma</w:t>
      </w:r>
      <w:r w:rsidR="00170B8C">
        <w:t>,</w:t>
      </w:r>
      <w:r>
        <w:t xml:space="preserve"> </w:t>
      </w:r>
      <w:r w:rsidR="00BB61A3">
        <w:t xml:space="preserve">and </w:t>
      </w:r>
      <w:r w:rsidR="00170B8C">
        <w:t>Tennessee</w:t>
      </w:r>
      <w:r>
        <w:t xml:space="preserve">. These </w:t>
      </w:r>
      <w:r w:rsidR="00790D59">
        <w:t>well</w:t>
      </w:r>
      <w:r>
        <w:t xml:space="preserve">-level estimates were based on calculated activity-based production factors. The </w:t>
      </w:r>
      <w:r w:rsidR="00170B8C">
        <w:t xml:space="preserve">Kentucky, </w:t>
      </w:r>
      <w:r>
        <w:t>Oklahoma</w:t>
      </w:r>
      <w:r w:rsidR="00170B8C">
        <w:t>,</w:t>
      </w:r>
      <w:r>
        <w:t xml:space="preserve"> and </w:t>
      </w:r>
      <w:r w:rsidR="00170B8C">
        <w:t>Tennessee</w:t>
      </w:r>
      <w:r>
        <w:t xml:space="preserve"> production factors were based on state-level survey results and state level oil/gas/CBM production totals for the 2017 </w:t>
      </w:r>
      <w:r w:rsidR="008B393B">
        <w:t>base year</w:t>
      </w:r>
      <w:r>
        <w:t>. These factors were applied to th</w:t>
      </w:r>
      <w:r w:rsidR="00170B8C">
        <w:t>e 2</w:t>
      </w:r>
      <w:r w:rsidR="00BB61A3">
        <w:t>021</w:t>
      </w:r>
      <w:r w:rsidR="00170B8C">
        <w:t xml:space="preserve"> </w:t>
      </w:r>
      <w:r w:rsidR="008B393B">
        <w:t>base year</w:t>
      </w:r>
      <w:r>
        <w:t>, which may not be representative of historical production techniques.</w:t>
      </w:r>
    </w:p>
    <w:p w14:paraId="0CD36733" w14:textId="1E0747B6" w:rsidR="00196225" w:rsidRDefault="00E14FD9" w:rsidP="00BB6F94">
      <w:pPr>
        <w:pStyle w:val="Heading1"/>
        <w:rPr>
          <w:w w:val="105"/>
        </w:rPr>
      </w:pPr>
      <w:r>
        <w:rPr>
          <w:w w:val="105"/>
        </w:rPr>
        <w:t>Basin Factor</w:t>
      </w:r>
      <w:r w:rsidR="00544ECF" w:rsidRPr="00B05A45">
        <w:rPr>
          <w:w w:val="105"/>
        </w:rPr>
        <w:t xml:space="preserve"> Updates</w:t>
      </w:r>
    </w:p>
    <w:p w14:paraId="34B0B868" w14:textId="0669B241" w:rsidR="001B0B85" w:rsidRDefault="00E14FD9" w:rsidP="00A22EC1">
      <w:pPr>
        <w:pStyle w:val="BodyText"/>
      </w:pPr>
      <w:r>
        <w:t>The emission estimation methodologies and algorithms used in the Tool rely on a variety of emission factors and process characterization parameters to estimate emissions</w:t>
      </w:r>
      <w:r w:rsidR="001B0B85">
        <w:t>.</w:t>
      </w:r>
      <w:r>
        <w:t xml:space="preserve"> Examples of emission factors used in the Tool include VOC emission factors for storage tanks and engine emission factors for compressor engines. Examples of process characterization parameters include the fraction of storage tanks controlled, and the control efficiency of </w:t>
      </w:r>
      <w:r w:rsidR="001174F9">
        <w:t>those controls. In the Tool, these process characterization factors are referred to as “Basin Factors” and are county-specific. In many instances these factors are common across large oil and gas basins such as the Permian Basin in Texas and New Mexico and the Marcellus Shale in West Virginia and Pennsylvania.</w:t>
      </w:r>
      <w:r w:rsidR="00296931">
        <w:t xml:space="preserve"> Full documentation of the Tool and the emission estimation methodologies may be found in the 20</w:t>
      </w:r>
      <w:r w:rsidR="00FB30B1">
        <w:t>20</w:t>
      </w:r>
      <w:r w:rsidR="00296931">
        <w:t xml:space="preserve"> </w:t>
      </w:r>
      <w:r w:rsidR="00296931" w:rsidRPr="00296931">
        <w:t>Nonpoint Oil and Gas Emission Estimation Tool Version 1.</w:t>
      </w:r>
      <w:r w:rsidR="00FB30B1">
        <w:t>3</w:t>
      </w:r>
      <w:r w:rsidR="00296931">
        <w:t xml:space="preserve"> report.</w:t>
      </w:r>
      <w:r w:rsidR="00296931">
        <w:rPr>
          <w:rStyle w:val="FootnoteReference"/>
          <w:color w:val="000000"/>
        </w:rPr>
        <w:footnoteReference w:id="4"/>
      </w:r>
    </w:p>
    <w:p w14:paraId="2B64C04F" w14:textId="75F5F415" w:rsidR="00AD5B78" w:rsidRDefault="00AD5B78" w:rsidP="00513416">
      <w:pPr>
        <w:pStyle w:val="BodyText"/>
        <w:keepNext/>
      </w:pPr>
      <w:r w:rsidRPr="00AD5B78">
        <w:lastRenderedPageBreak/>
        <w:t xml:space="preserve">Basin factor updates were made for </w:t>
      </w:r>
      <w:r w:rsidR="00365130">
        <w:t>the 20</w:t>
      </w:r>
      <w:r w:rsidR="00FB30B1">
        <w:t>2</w:t>
      </w:r>
      <w:r w:rsidR="00717D2B">
        <w:t>2</w:t>
      </w:r>
      <w:r w:rsidR="00365130">
        <w:t xml:space="preserve"> </w:t>
      </w:r>
      <w:r w:rsidRPr="00AD5B78">
        <w:t>inventory year</w:t>
      </w:r>
      <w:r w:rsidR="00365130">
        <w:t>s</w:t>
      </w:r>
      <w:r w:rsidRPr="00AD5B78">
        <w:t xml:space="preserve"> for the following parameters:</w:t>
      </w:r>
    </w:p>
    <w:p w14:paraId="7AE313AD" w14:textId="6D57EC34" w:rsidR="00AD5B78" w:rsidRPr="00AD5B78" w:rsidRDefault="00AD5B78" w:rsidP="00513416">
      <w:pPr>
        <w:pStyle w:val="Bullet"/>
        <w:keepNext/>
      </w:pPr>
      <w:r>
        <w:t>C</w:t>
      </w:r>
      <w:r w:rsidRPr="00AD5B78">
        <w:t>ounty-level temperature data from EPA for the Loading Operations source category.</w:t>
      </w:r>
    </w:p>
    <w:p w14:paraId="6C68749E" w14:textId="013BF63C" w:rsidR="00AD5B78" w:rsidRPr="00AD5B78" w:rsidRDefault="00AD5B78" w:rsidP="00BB6F94">
      <w:pPr>
        <w:pStyle w:val="Bullet"/>
      </w:pPr>
      <w:r>
        <w:t>E</w:t>
      </w:r>
      <w:r w:rsidRPr="00AD5B78">
        <w:t>mission factors for nonroad engines for hydraulic fracturing and drilling rigs.</w:t>
      </w:r>
    </w:p>
    <w:p w14:paraId="3D28BFB0" w14:textId="554A827B" w:rsidR="000D0E6B" w:rsidRDefault="000D0E6B" w:rsidP="001C4EC5">
      <w:pPr>
        <w:pStyle w:val="Bullet"/>
        <w:spacing w:after="100" w:afterAutospacing="1"/>
      </w:pPr>
      <w:r>
        <w:t>Subpart W data.</w:t>
      </w:r>
    </w:p>
    <w:p w14:paraId="53C210C1" w14:textId="6F1C0731" w:rsidR="00394121" w:rsidRDefault="00394121" w:rsidP="001C4EC5">
      <w:pPr>
        <w:pStyle w:val="Bullet"/>
        <w:spacing w:after="100" w:afterAutospacing="1"/>
      </w:pPr>
      <w:r>
        <w:t xml:space="preserve">Capture efficiency updates for crude oil and condensate tanks in North Dakota. </w:t>
      </w:r>
    </w:p>
    <w:p w14:paraId="7CFC10E1" w14:textId="39691A0A" w:rsidR="000A0091" w:rsidRDefault="000A0091" w:rsidP="001C4EC5">
      <w:pPr>
        <w:pStyle w:val="Bullet"/>
        <w:spacing w:after="100" w:afterAutospacing="1"/>
      </w:pPr>
      <w:r w:rsidRPr="00D71702">
        <w:t xml:space="preserve">Gas composition data updates for select categories in Pennsylvania from the </w:t>
      </w:r>
      <w:r>
        <w:t>Pennsylvania Department of Environmental Protection</w:t>
      </w:r>
      <w:r w:rsidRPr="00AD5B78">
        <w:t>.</w:t>
      </w:r>
    </w:p>
    <w:p w14:paraId="5280137B" w14:textId="7B91A45C" w:rsidR="000A0091" w:rsidRDefault="000A0091" w:rsidP="000A0091">
      <w:pPr>
        <w:pStyle w:val="Bullet"/>
        <w:spacing w:after="240"/>
      </w:pPr>
      <w:r>
        <w:t>Basin Factor and g</w:t>
      </w:r>
      <w:r w:rsidR="00D71702" w:rsidRPr="00D71702">
        <w:t xml:space="preserve">as composition data </w:t>
      </w:r>
      <w:r w:rsidR="00365130" w:rsidRPr="00D71702">
        <w:t xml:space="preserve">updates for </w:t>
      </w:r>
      <w:r w:rsidR="000D0E6B" w:rsidRPr="00D71702">
        <w:t xml:space="preserve">select categories in </w:t>
      </w:r>
      <w:r>
        <w:t xml:space="preserve">Texas from </w:t>
      </w:r>
      <w:r w:rsidR="00365130" w:rsidRPr="00D71702">
        <w:t xml:space="preserve">the </w:t>
      </w:r>
      <w:r>
        <w:t>Texas Commission on Environmental Quality</w:t>
      </w:r>
      <w:r w:rsidR="00AD5B78" w:rsidRPr="00AD5B78">
        <w:t>.</w:t>
      </w:r>
    </w:p>
    <w:p w14:paraId="54F339E7" w14:textId="67B5A34B" w:rsidR="00296931" w:rsidRPr="00B05A45" w:rsidRDefault="00296931" w:rsidP="00BB6F94">
      <w:pPr>
        <w:pStyle w:val="Heading1"/>
        <w:rPr>
          <w:w w:val="105"/>
        </w:rPr>
      </w:pPr>
      <w:r>
        <w:rPr>
          <w:w w:val="105"/>
        </w:rPr>
        <w:t>Results</w:t>
      </w:r>
    </w:p>
    <w:p w14:paraId="0CFCAFDC" w14:textId="1216E12B" w:rsidR="00296931" w:rsidRDefault="00296931" w:rsidP="00BB6F94">
      <w:pPr>
        <w:pStyle w:val="BodyText"/>
        <w:rPr>
          <w:rFonts w:eastAsiaTheme="minorHAnsi"/>
        </w:rPr>
      </w:pPr>
      <w:r>
        <w:rPr>
          <w:color w:val="000000"/>
          <w:spacing w:val="-3"/>
          <w:w w:val="105"/>
        </w:rPr>
        <w:t xml:space="preserve">Results for the </w:t>
      </w:r>
      <w:r w:rsidR="00D83682">
        <w:rPr>
          <w:rFonts w:eastAsiaTheme="minorHAnsi"/>
        </w:rPr>
        <w:t>20</w:t>
      </w:r>
      <w:r w:rsidR="00FB30B1">
        <w:rPr>
          <w:rFonts w:eastAsiaTheme="minorHAnsi"/>
        </w:rPr>
        <w:t>2</w:t>
      </w:r>
      <w:r w:rsidR="00717D2B">
        <w:rPr>
          <w:rFonts w:eastAsiaTheme="minorHAnsi"/>
        </w:rPr>
        <w:t>2</w:t>
      </w:r>
      <w:r w:rsidRPr="00BC3BEA">
        <w:rPr>
          <w:rFonts w:eastAsiaTheme="minorHAnsi"/>
        </w:rPr>
        <w:t xml:space="preserve"> </w:t>
      </w:r>
      <w:r>
        <w:rPr>
          <w:color w:val="000000"/>
          <w:spacing w:val="-3"/>
          <w:w w:val="105"/>
        </w:rPr>
        <w:t>inventor</w:t>
      </w:r>
      <w:r w:rsidR="00C34468">
        <w:rPr>
          <w:color w:val="000000"/>
          <w:spacing w:val="-3"/>
          <w:w w:val="105"/>
        </w:rPr>
        <w:t>y</w:t>
      </w:r>
      <w:r>
        <w:rPr>
          <w:color w:val="000000"/>
          <w:spacing w:val="-3"/>
          <w:w w:val="105"/>
        </w:rPr>
        <w:t xml:space="preserve"> may be found in </w:t>
      </w:r>
      <w:r>
        <w:rPr>
          <w:rFonts w:eastAsiaTheme="minorHAnsi"/>
        </w:rPr>
        <w:t>Attachment</w:t>
      </w:r>
      <w:r w:rsidR="0050018B">
        <w:rPr>
          <w:rFonts w:eastAsiaTheme="minorHAnsi"/>
        </w:rPr>
        <w:t xml:space="preserve">s A and </w:t>
      </w:r>
      <w:r>
        <w:rPr>
          <w:rFonts w:eastAsiaTheme="minorHAnsi"/>
        </w:rPr>
        <w:t>B</w:t>
      </w:r>
      <w:r w:rsidR="0038784A">
        <w:rPr>
          <w:rFonts w:eastAsiaTheme="minorHAnsi"/>
        </w:rPr>
        <w:t xml:space="preserve">. </w:t>
      </w:r>
      <w:r w:rsidR="00C34468">
        <w:rPr>
          <w:rFonts w:eastAsiaTheme="minorHAnsi"/>
        </w:rPr>
        <w:t xml:space="preserve">This </w:t>
      </w:r>
      <w:r w:rsidR="0038784A">
        <w:rPr>
          <w:rFonts w:eastAsiaTheme="minorHAnsi"/>
        </w:rPr>
        <w:t>Excel workbook contain</w:t>
      </w:r>
      <w:r w:rsidR="00FB30B1">
        <w:rPr>
          <w:rFonts w:eastAsiaTheme="minorHAnsi"/>
        </w:rPr>
        <w:t>s</w:t>
      </w:r>
      <w:r w:rsidR="0038784A">
        <w:rPr>
          <w:rFonts w:eastAsiaTheme="minorHAnsi"/>
        </w:rPr>
        <w:t xml:space="preserve"> a “</w:t>
      </w:r>
      <w:r w:rsidR="0038784A" w:rsidRPr="0038784A">
        <w:rPr>
          <w:rFonts w:eastAsiaTheme="minorHAnsi"/>
        </w:rPr>
        <w:t>README</w:t>
      </w:r>
      <w:r w:rsidR="0038784A">
        <w:rPr>
          <w:rFonts w:eastAsiaTheme="minorHAnsi"/>
        </w:rPr>
        <w:t xml:space="preserve">” sheet with additional documentation on the steps used to compile the activity and basin factor updates, as well as the final </w:t>
      </w:r>
      <w:r w:rsidR="00BE1F1C">
        <w:rPr>
          <w:rFonts w:eastAsiaTheme="minorHAnsi"/>
        </w:rPr>
        <w:t>emission estimates</w:t>
      </w:r>
      <w:r w:rsidR="0038784A">
        <w:rPr>
          <w:rFonts w:eastAsiaTheme="minorHAnsi"/>
        </w:rPr>
        <w:t xml:space="preserve"> for</w:t>
      </w:r>
      <w:r w:rsidR="00C34468">
        <w:rPr>
          <w:rFonts w:eastAsiaTheme="minorHAnsi"/>
        </w:rPr>
        <w:t xml:space="preserve"> this</w:t>
      </w:r>
      <w:r w:rsidR="0038784A">
        <w:rPr>
          <w:rFonts w:eastAsiaTheme="minorHAnsi"/>
        </w:rPr>
        <w:t xml:space="preserve"> inventory year.</w:t>
      </w:r>
    </w:p>
    <w:p w14:paraId="12B65433" w14:textId="789EC5AA" w:rsidR="000D0E6B" w:rsidRDefault="000D0E6B" w:rsidP="000D0E6B">
      <w:pPr>
        <w:pStyle w:val="BodyText"/>
        <w:spacing w:after="120"/>
        <w:rPr>
          <w:rFonts w:eastAsiaTheme="minorHAnsi"/>
        </w:rPr>
      </w:pPr>
      <w:r>
        <w:rPr>
          <w:rFonts w:eastAsiaTheme="minorHAnsi"/>
        </w:rPr>
        <w:t>Other Attachments to this memorandum include:</w:t>
      </w:r>
    </w:p>
    <w:p w14:paraId="3F8B80CE" w14:textId="77777777" w:rsidR="000D0E6B" w:rsidRDefault="00BB61A3" w:rsidP="000D0E6B">
      <w:pPr>
        <w:pStyle w:val="BodyText"/>
        <w:numPr>
          <w:ilvl w:val="0"/>
          <w:numId w:val="23"/>
        </w:numPr>
        <w:spacing w:after="0"/>
        <w:rPr>
          <w:rFonts w:eastAsiaTheme="minorHAnsi"/>
        </w:rPr>
      </w:pPr>
      <w:r>
        <w:rPr>
          <w:rFonts w:eastAsiaTheme="minorHAnsi"/>
        </w:rPr>
        <w:t xml:space="preserve">Attachment </w:t>
      </w:r>
      <w:r w:rsidR="00905F33">
        <w:rPr>
          <w:rFonts w:eastAsiaTheme="minorHAnsi"/>
        </w:rPr>
        <w:t>C presents the crosswalk between SCCs and spatial surrogate codes</w:t>
      </w:r>
      <w:r w:rsidR="000D0E6B">
        <w:rPr>
          <w:rFonts w:eastAsiaTheme="minorHAnsi"/>
        </w:rPr>
        <w:t>.</w:t>
      </w:r>
    </w:p>
    <w:p w14:paraId="0EB0A945" w14:textId="2202EE58" w:rsidR="000D0E6B" w:rsidRDefault="000D0E6B" w:rsidP="000D0E6B">
      <w:pPr>
        <w:pStyle w:val="BodyText"/>
        <w:numPr>
          <w:ilvl w:val="0"/>
          <w:numId w:val="23"/>
        </w:numPr>
        <w:spacing w:after="0"/>
        <w:rPr>
          <w:rFonts w:eastAsiaTheme="minorHAnsi"/>
        </w:rPr>
      </w:pPr>
      <w:r>
        <w:rPr>
          <w:rFonts w:eastAsiaTheme="minorHAnsi"/>
        </w:rPr>
        <w:t>Attachment D presents the assigned spatial surrogate code for each state-county FIPs and SCC.</w:t>
      </w:r>
    </w:p>
    <w:p w14:paraId="793BBA1A" w14:textId="77777777" w:rsidR="000D0E6B" w:rsidRDefault="000D0E6B" w:rsidP="000D0E6B">
      <w:pPr>
        <w:pStyle w:val="BodyText"/>
        <w:numPr>
          <w:ilvl w:val="0"/>
          <w:numId w:val="23"/>
        </w:numPr>
        <w:spacing w:after="0"/>
        <w:rPr>
          <w:rFonts w:eastAsiaTheme="minorHAnsi"/>
        </w:rPr>
      </w:pPr>
      <w:r>
        <w:rPr>
          <w:rFonts w:eastAsiaTheme="minorHAnsi"/>
        </w:rPr>
        <w:t>Attachment E presents the primary and alternate surrogate priorities.</w:t>
      </w:r>
    </w:p>
    <w:p w14:paraId="4F141622" w14:textId="77777777" w:rsidR="000D0E6B" w:rsidRDefault="000D0E6B" w:rsidP="000D0E6B">
      <w:pPr>
        <w:pStyle w:val="BodyText"/>
        <w:numPr>
          <w:ilvl w:val="0"/>
          <w:numId w:val="23"/>
        </w:numPr>
        <w:spacing w:after="0"/>
        <w:rPr>
          <w:rFonts w:eastAsiaTheme="minorHAnsi"/>
        </w:rPr>
      </w:pPr>
      <w:r>
        <w:rPr>
          <w:rFonts w:eastAsiaTheme="minorHAnsi"/>
        </w:rPr>
        <w:t>Attachment F presents the combined 2-km/4-km shapefile for each spatial surrogate code.</w:t>
      </w:r>
    </w:p>
    <w:p w14:paraId="7848EC4B" w14:textId="77777777" w:rsidR="000D0E6B" w:rsidRDefault="000D0E6B" w:rsidP="000D0E6B">
      <w:pPr>
        <w:pStyle w:val="BodyText"/>
        <w:numPr>
          <w:ilvl w:val="0"/>
          <w:numId w:val="23"/>
        </w:numPr>
        <w:spacing w:after="0"/>
        <w:rPr>
          <w:rFonts w:eastAsiaTheme="minorHAnsi"/>
        </w:rPr>
      </w:pPr>
      <w:r>
        <w:rPr>
          <w:rFonts w:eastAsiaTheme="minorHAnsi"/>
        </w:rPr>
        <w:t>Attachment G presents 4-km spatial surrogate heat maps for the continental U.S. (CONUS) and Alaska.</w:t>
      </w:r>
    </w:p>
    <w:p w14:paraId="23E32DFF" w14:textId="3F51ADDC" w:rsidR="000D0E6B" w:rsidRPr="000D0E6B" w:rsidRDefault="000D0E6B" w:rsidP="000D0E6B">
      <w:pPr>
        <w:pStyle w:val="BodyText"/>
        <w:numPr>
          <w:ilvl w:val="0"/>
          <w:numId w:val="23"/>
        </w:numPr>
        <w:spacing w:after="0"/>
        <w:rPr>
          <w:rFonts w:eastAsiaTheme="minorHAnsi"/>
        </w:rPr>
        <w:sectPr w:rsidR="000D0E6B" w:rsidRPr="000D0E6B" w:rsidSect="00513416">
          <w:footerReference w:type="default" r:id="rId9"/>
          <w:pgSz w:w="12240" w:h="15840" w:code="1"/>
          <w:pgMar w:top="1440" w:right="1440" w:bottom="1440" w:left="1440" w:header="720" w:footer="720" w:gutter="0"/>
          <w:cols w:space="720"/>
          <w:docGrid w:linePitch="360"/>
        </w:sectPr>
      </w:pPr>
      <w:r>
        <w:rPr>
          <w:rFonts w:eastAsiaTheme="minorHAnsi"/>
        </w:rPr>
        <w:t>Attachment H presents 202</w:t>
      </w:r>
      <w:r w:rsidR="00717D2B">
        <w:rPr>
          <w:rFonts w:eastAsiaTheme="minorHAnsi"/>
        </w:rPr>
        <w:t>2</w:t>
      </w:r>
      <w:r>
        <w:rPr>
          <w:rFonts w:eastAsiaTheme="minorHAnsi"/>
        </w:rPr>
        <w:t xml:space="preserve"> monthly profiles for each SCC.</w:t>
      </w:r>
    </w:p>
    <w:p w14:paraId="239F5552" w14:textId="1D8C5C70" w:rsidR="00BC3BEA" w:rsidRPr="00E67B4D" w:rsidRDefault="00BC3BEA" w:rsidP="00A22EC1">
      <w:pPr>
        <w:spacing w:before="36"/>
        <w:jc w:val="center"/>
        <w:rPr>
          <w:rFonts w:ascii="Times New Roman" w:hAnsi="Times New Roman"/>
          <w:b/>
          <w:color w:val="000000"/>
          <w:spacing w:val="-3"/>
          <w:w w:val="105"/>
        </w:rPr>
      </w:pPr>
      <w:r w:rsidRPr="00E67B4D">
        <w:rPr>
          <w:rFonts w:ascii="Times New Roman" w:hAnsi="Times New Roman"/>
          <w:b/>
          <w:color w:val="000000"/>
          <w:spacing w:val="-3"/>
          <w:w w:val="105"/>
        </w:rPr>
        <w:lastRenderedPageBreak/>
        <w:t xml:space="preserve">Attachment A – </w:t>
      </w:r>
      <w:r>
        <w:rPr>
          <w:rFonts w:ascii="Times New Roman" w:hAnsi="Times New Roman"/>
          <w:b/>
          <w:color w:val="000000"/>
          <w:spacing w:val="-3"/>
          <w:w w:val="105"/>
        </w:rPr>
        <w:t>“</w:t>
      </w:r>
      <w:r w:rsidRPr="00BC3BEA">
        <w:rPr>
          <w:rFonts w:ascii="Times New Roman" w:hAnsi="Times New Roman"/>
          <w:b/>
          <w:color w:val="000000"/>
          <w:spacing w:val="-3"/>
          <w:w w:val="105"/>
        </w:rPr>
        <w:t>ACTIVITY_SUMMARY_20</w:t>
      </w:r>
      <w:r w:rsidR="00FB30B1">
        <w:rPr>
          <w:rFonts w:ascii="Times New Roman" w:hAnsi="Times New Roman"/>
          <w:b/>
          <w:color w:val="000000"/>
          <w:spacing w:val="-3"/>
          <w:w w:val="105"/>
        </w:rPr>
        <w:t>2</w:t>
      </w:r>
      <w:r w:rsidR="00717D2B">
        <w:rPr>
          <w:rFonts w:ascii="Times New Roman" w:hAnsi="Times New Roman"/>
          <w:b/>
          <w:color w:val="000000"/>
          <w:spacing w:val="-3"/>
          <w:w w:val="105"/>
        </w:rPr>
        <w:t>2</w:t>
      </w:r>
      <w:r w:rsidRPr="00BC3BEA">
        <w:rPr>
          <w:rFonts w:ascii="Times New Roman" w:hAnsi="Times New Roman"/>
          <w:b/>
          <w:color w:val="000000"/>
          <w:spacing w:val="-3"/>
          <w:w w:val="105"/>
        </w:rPr>
        <w:t>_20</w:t>
      </w:r>
      <w:r w:rsidR="00717D2B">
        <w:rPr>
          <w:rFonts w:ascii="Times New Roman" w:hAnsi="Times New Roman"/>
          <w:b/>
          <w:color w:val="000000"/>
          <w:spacing w:val="-3"/>
          <w:w w:val="105"/>
        </w:rPr>
        <w:t>240301_EXPANDED</w:t>
      </w:r>
      <w:r>
        <w:rPr>
          <w:rFonts w:ascii="Times New Roman" w:hAnsi="Times New Roman"/>
          <w:b/>
          <w:color w:val="000000"/>
          <w:spacing w:val="-3"/>
          <w:w w:val="105"/>
        </w:rPr>
        <w:t>.xlsx”</w:t>
      </w:r>
    </w:p>
    <w:p w14:paraId="3DCC014C" w14:textId="77777777" w:rsidR="00A12DA2" w:rsidRDefault="00A12DA2" w:rsidP="00BC3BEA">
      <w:pPr>
        <w:spacing w:before="36"/>
        <w:rPr>
          <w:rFonts w:ascii="Times New Roman" w:hAnsi="Times New Roman"/>
        </w:rPr>
        <w:sectPr w:rsidR="00A12DA2" w:rsidSect="00C87443">
          <w:footerReference w:type="default" r:id="rId10"/>
          <w:pgSz w:w="12240" w:h="15840" w:code="1"/>
          <w:pgMar w:top="1440" w:right="1440" w:bottom="1440" w:left="1440" w:header="720" w:footer="720" w:gutter="0"/>
          <w:pgNumType w:start="1"/>
          <w:cols w:space="720"/>
          <w:vAlign w:val="center"/>
          <w:docGrid w:linePitch="360"/>
        </w:sectPr>
      </w:pPr>
    </w:p>
    <w:p w14:paraId="31E376B7" w14:textId="26279266" w:rsidR="00BC3BEA" w:rsidRDefault="00BC3BEA" w:rsidP="00A22EC1">
      <w:pPr>
        <w:spacing w:before="36"/>
        <w:jc w:val="center"/>
        <w:rPr>
          <w:rFonts w:ascii="Times New Roman" w:hAnsi="Times New Roman"/>
          <w:b/>
          <w:color w:val="000000"/>
          <w:spacing w:val="-3"/>
          <w:w w:val="105"/>
        </w:rPr>
      </w:pPr>
      <w:r w:rsidRPr="00E67B4D">
        <w:rPr>
          <w:rFonts w:ascii="Times New Roman" w:hAnsi="Times New Roman"/>
          <w:b/>
          <w:color w:val="000000"/>
          <w:spacing w:val="-3"/>
          <w:w w:val="105"/>
        </w:rPr>
        <w:lastRenderedPageBreak/>
        <w:t xml:space="preserve">Attachment </w:t>
      </w:r>
      <w:r>
        <w:rPr>
          <w:rFonts w:ascii="Times New Roman" w:hAnsi="Times New Roman"/>
          <w:b/>
          <w:color w:val="000000"/>
          <w:spacing w:val="-3"/>
          <w:w w:val="105"/>
        </w:rPr>
        <w:t>B</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Pr="00BC3BEA">
        <w:rPr>
          <w:rFonts w:ascii="Times New Roman" w:hAnsi="Times New Roman"/>
          <w:b/>
          <w:color w:val="000000"/>
          <w:spacing w:val="-3"/>
          <w:w w:val="105"/>
        </w:rPr>
        <w:t>OIL_GAS_</w:t>
      </w:r>
      <w:r w:rsidR="00717D2B">
        <w:rPr>
          <w:rFonts w:ascii="Times New Roman" w:hAnsi="Times New Roman"/>
          <w:b/>
          <w:color w:val="000000"/>
          <w:spacing w:val="-3"/>
          <w:w w:val="105"/>
        </w:rPr>
        <w:t>DATA_</w:t>
      </w:r>
      <w:r w:rsidR="000A0091">
        <w:rPr>
          <w:rFonts w:ascii="Times New Roman" w:hAnsi="Times New Roman"/>
          <w:b/>
          <w:color w:val="000000"/>
          <w:spacing w:val="-3"/>
          <w:w w:val="105"/>
        </w:rPr>
        <w:t>EMISSIONS_METHODOLOGIES</w:t>
      </w:r>
      <w:r w:rsidRPr="00BC3BEA">
        <w:rPr>
          <w:rFonts w:ascii="Times New Roman" w:hAnsi="Times New Roman"/>
          <w:b/>
          <w:color w:val="000000"/>
          <w:spacing w:val="-3"/>
          <w:w w:val="105"/>
        </w:rPr>
        <w:t>_20</w:t>
      </w:r>
      <w:r w:rsidR="00FB30B1">
        <w:rPr>
          <w:rFonts w:ascii="Times New Roman" w:hAnsi="Times New Roman"/>
          <w:b/>
          <w:color w:val="000000"/>
          <w:spacing w:val="-3"/>
          <w:w w:val="105"/>
        </w:rPr>
        <w:t>2</w:t>
      </w:r>
      <w:r w:rsidR="00717D2B">
        <w:rPr>
          <w:rFonts w:ascii="Times New Roman" w:hAnsi="Times New Roman"/>
          <w:b/>
          <w:color w:val="000000"/>
          <w:spacing w:val="-3"/>
          <w:w w:val="105"/>
        </w:rPr>
        <w:t>2</w:t>
      </w:r>
      <w:r>
        <w:rPr>
          <w:rFonts w:ascii="Times New Roman" w:hAnsi="Times New Roman"/>
          <w:b/>
          <w:color w:val="000000"/>
          <w:spacing w:val="-3"/>
          <w:w w:val="105"/>
        </w:rPr>
        <w:t>.xlsx”</w:t>
      </w:r>
    </w:p>
    <w:sectPr w:rsidR="00BC3BEA" w:rsidSect="00C87443">
      <w:footerReference w:type="default" r:id="rId11"/>
      <w:pgSz w:w="12240" w:h="15840"/>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3A26" w14:textId="77777777" w:rsidR="005436C4" w:rsidRDefault="005436C4" w:rsidP="00A0509A">
      <w:r>
        <w:separator/>
      </w:r>
    </w:p>
  </w:endnote>
  <w:endnote w:type="continuationSeparator" w:id="0">
    <w:p w14:paraId="3A98C867" w14:textId="77777777" w:rsidR="005436C4" w:rsidRDefault="005436C4" w:rsidP="00A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19539"/>
      <w:docPartObj>
        <w:docPartGallery w:val="Page Numbers (Bottom of Page)"/>
        <w:docPartUnique/>
      </w:docPartObj>
    </w:sdtPr>
    <w:sdtEndPr>
      <w:rPr>
        <w:rFonts w:ascii="Times New Roman" w:hAnsi="Times New Roman"/>
        <w:noProof/>
      </w:rPr>
    </w:sdtEndPr>
    <w:sdtContent>
      <w:p w14:paraId="0EEA485A" w14:textId="18A931B5" w:rsidR="00EA17E1" w:rsidRPr="00513416" w:rsidRDefault="00513416" w:rsidP="00EA17E1">
        <w:pPr>
          <w:pStyle w:val="Footer"/>
          <w:jc w:val="center"/>
          <w:rPr>
            <w:rFonts w:ascii="Times New Roman" w:hAnsi="Times New Roman"/>
          </w:rPr>
        </w:pPr>
        <w:r w:rsidRPr="00513416">
          <w:rPr>
            <w:rFonts w:ascii="Times New Roman" w:hAnsi="Times New Roman"/>
          </w:rPr>
          <w:fldChar w:fldCharType="begin"/>
        </w:r>
        <w:r w:rsidRPr="00513416">
          <w:rPr>
            <w:rFonts w:ascii="Times New Roman" w:hAnsi="Times New Roman"/>
          </w:rPr>
          <w:instrText xml:space="preserve"> PAGE   \* MERGEFORMAT </w:instrText>
        </w:r>
        <w:r w:rsidRPr="00513416">
          <w:rPr>
            <w:rFonts w:ascii="Times New Roman" w:hAnsi="Times New Roman"/>
          </w:rPr>
          <w:fldChar w:fldCharType="separate"/>
        </w:r>
        <w:r w:rsidRPr="00513416">
          <w:rPr>
            <w:rFonts w:ascii="Times New Roman" w:hAnsi="Times New Roman"/>
            <w:noProof/>
          </w:rPr>
          <w:t>2</w:t>
        </w:r>
        <w:r w:rsidRPr="00513416">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14593"/>
      <w:docPartObj>
        <w:docPartGallery w:val="Page Numbers (Bottom of Page)"/>
        <w:docPartUnique/>
      </w:docPartObj>
    </w:sdtPr>
    <w:sdtEndPr>
      <w:rPr>
        <w:rFonts w:ascii="Times New Roman" w:hAnsi="Times New Roman"/>
        <w:noProof/>
      </w:rPr>
    </w:sdtEndPr>
    <w:sdtContent>
      <w:p w14:paraId="0C85C311" w14:textId="26B20E3D" w:rsidR="00C87443" w:rsidRPr="00C87443" w:rsidRDefault="009646B3" w:rsidP="00EA17E1">
        <w:pPr>
          <w:pStyle w:val="Footer"/>
          <w:jc w:val="center"/>
          <w:rPr>
            <w:rFonts w:ascii="Times New Roman" w:hAnsi="Times New Roman"/>
          </w:rPr>
        </w:pPr>
        <w:r>
          <w:rPr>
            <w:rFonts w:ascii="Times New Roman" w:hAnsi="Times New Roman"/>
          </w:rPr>
          <w:t>A</w:t>
        </w:r>
        <w:r w:rsidR="00C87443" w:rsidRPr="00C87443">
          <w:rPr>
            <w:rFonts w:ascii="Times New Roman" w:hAnsi="Times New Roman"/>
          </w:rPr>
          <w:t>-</w:t>
        </w:r>
        <w:r w:rsidR="00C87443" w:rsidRPr="00C87443">
          <w:rPr>
            <w:rFonts w:ascii="Times New Roman" w:hAnsi="Times New Roman"/>
          </w:rPr>
          <w:fldChar w:fldCharType="begin"/>
        </w:r>
        <w:r w:rsidR="00C87443" w:rsidRPr="00C87443">
          <w:rPr>
            <w:rFonts w:ascii="Times New Roman" w:hAnsi="Times New Roman"/>
          </w:rPr>
          <w:instrText xml:space="preserve"> PAGE   \* MERGEFORMAT </w:instrText>
        </w:r>
        <w:r w:rsidR="00C87443" w:rsidRPr="00C87443">
          <w:rPr>
            <w:rFonts w:ascii="Times New Roman" w:hAnsi="Times New Roman"/>
          </w:rPr>
          <w:fldChar w:fldCharType="separate"/>
        </w:r>
        <w:r w:rsidR="00C87443" w:rsidRPr="00C87443">
          <w:rPr>
            <w:rFonts w:ascii="Times New Roman" w:hAnsi="Times New Roman"/>
            <w:noProof/>
          </w:rPr>
          <w:t>2</w:t>
        </w:r>
        <w:r w:rsidR="00C87443" w:rsidRPr="00C87443">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36886"/>
      <w:docPartObj>
        <w:docPartGallery w:val="Page Numbers (Bottom of Page)"/>
        <w:docPartUnique/>
      </w:docPartObj>
    </w:sdtPr>
    <w:sdtEndPr>
      <w:rPr>
        <w:rFonts w:ascii="Times New Roman" w:hAnsi="Times New Roman"/>
        <w:noProof/>
      </w:rPr>
    </w:sdtEndPr>
    <w:sdtContent>
      <w:p w14:paraId="2ACA0B1F" w14:textId="77777777" w:rsidR="00C87443" w:rsidRPr="00C87443" w:rsidRDefault="00C87443" w:rsidP="00EA17E1">
        <w:pPr>
          <w:pStyle w:val="Footer"/>
          <w:jc w:val="center"/>
          <w:rPr>
            <w:rFonts w:ascii="Times New Roman" w:hAnsi="Times New Roman"/>
          </w:rPr>
        </w:pPr>
        <w:r>
          <w:rPr>
            <w:rFonts w:ascii="Times New Roman" w:hAnsi="Times New Roman"/>
          </w:rPr>
          <w:t>B</w:t>
        </w:r>
        <w:r w:rsidRPr="00C87443">
          <w:rPr>
            <w:rFonts w:ascii="Times New Roman" w:hAnsi="Times New Roman"/>
          </w:rPr>
          <w:t>-</w:t>
        </w:r>
        <w:r w:rsidRPr="00C87443">
          <w:rPr>
            <w:rFonts w:ascii="Times New Roman" w:hAnsi="Times New Roman"/>
          </w:rPr>
          <w:fldChar w:fldCharType="begin"/>
        </w:r>
        <w:r w:rsidRPr="00C87443">
          <w:rPr>
            <w:rFonts w:ascii="Times New Roman" w:hAnsi="Times New Roman"/>
          </w:rPr>
          <w:instrText xml:space="preserve"> PAGE   \* MERGEFORMAT </w:instrText>
        </w:r>
        <w:r w:rsidRPr="00C87443">
          <w:rPr>
            <w:rFonts w:ascii="Times New Roman" w:hAnsi="Times New Roman"/>
          </w:rPr>
          <w:fldChar w:fldCharType="separate"/>
        </w:r>
        <w:r w:rsidRPr="00C87443">
          <w:rPr>
            <w:rFonts w:ascii="Times New Roman" w:hAnsi="Times New Roman"/>
            <w:noProof/>
          </w:rPr>
          <w:t>2</w:t>
        </w:r>
        <w:r w:rsidRPr="00C87443">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A916" w14:textId="77777777" w:rsidR="005436C4" w:rsidRDefault="005436C4" w:rsidP="00A0509A">
      <w:r>
        <w:separator/>
      </w:r>
    </w:p>
  </w:footnote>
  <w:footnote w:type="continuationSeparator" w:id="0">
    <w:p w14:paraId="33818903" w14:textId="77777777" w:rsidR="005436C4" w:rsidRDefault="005436C4" w:rsidP="00A0509A">
      <w:r>
        <w:continuationSeparator/>
      </w:r>
    </w:p>
  </w:footnote>
  <w:footnote w:id="1">
    <w:p w14:paraId="2F64FAAC" w14:textId="74DFF8BA" w:rsidR="00B07EB2" w:rsidRPr="00BB6F94" w:rsidRDefault="00B07EB2" w:rsidP="00BB6F94">
      <w:pPr>
        <w:pStyle w:val="FootnoteText"/>
        <w:ind w:left="270" w:hanging="270"/>
        <w:rPr>
          <w:rFonts w:ascii="Times New Roman" w:hAnsi="Times New Roman"/>
        </w:rPr>
      </w:pPr>
      <w:r w:rsidRPr="009646B3">
        <w:rPr>
          <w:rStyle w:val="FootnoteReference"/>
          <w:rFonts w:ascii="Times New Roman" w:hAnsi="Times New Roman"/>
        </w:rPr>
        <w:footnoteRef/>
      </w:r>
      <w:r w:rsidR="00BB6F94">
        <w:tab/>
      </w:r>
      <w:r w:rsidRPr="00BB6F94">
        <w:rPr>
          <w:rFonts w:ascii="Times New Roman" w:hAnsi="Times New Roman"/>
        </w:rPr>
        <w:t>Veil Environmental, LLC. U.S. Produced Water Volumes and Management Practices in 2017. Prepared for the Ground Water research and Education Foundation. February 2020. Table 5-</w:t>
      </w:r>
      <w:r w:rsidR="002D32DF" w:rsidRPr="00BB6F94">
        <w:rPr>
          <w:rFonts w:ascii="Times New Roman" w:hAnsi="Times New Roman"/>
        </w:rPr>
        <w:t>25</w:t>
      </w:r>
    </w:p>
  </w:footnote>
  <w:footnote w:id="2">
    <w:p w14:paraId="6552433F" w14:textId="1BA2B309" w:rsidR="00290DCF" w:rsidRPr="00BB6F94" w:rsidRDefault="00290DCF" w:rsidP="00BB6F94">
      <w:pPr>
        <w:pStyle w:val="FootnoteText"/>
        <w:ind w:left="270" w:hanging="270"/>
        <w:rPr>
          <w:rFonts w:ascii="Times New Roman" w:hAnsi="Times New Roman"/>
        </w:rPr>
      </w:pPr>
      <w:r w:rsidRPr="009646B3">
        <w:rPr>
          <w:rStyle w:val="FootnoteReference"/>
          <w:rFonts w:ascii="Times New Roman" w:hAnsi="Times New Roman"/>
        </w:rPr>
        <w:footnoteRef/>
      </w:r>
      <w:r w:rsidR="00BB6F94">
        <w:tab/>
      </w:r>
      <w:r w:rsidRPr="00BB6F94">
        <w:rPr>
          <w:rFonts w:ascii="Times New Roman" w:hAnsi="Times New Roman"/>
        </w:rPr>
        <w:t>Veil Environmental, LLC. U.S. Produced Water Volumes and Management Practices in 2017. Prepared for the Ground Water research and Education Foundation. February 2020. Table 5-49</w:t>
      </w:r>
    </w:p>
  </w:footnote>
  <w:footnote w:id="3">
    <w:p w14:paraId="318101BA" w14:textId="1017A86E" w:rsidR="00537E2F" w:rsidRPr="00BB6F94" w:rsidRDefault="00537E2F" w:rsidP="00BB6F94">
      <w:pPr>
        <w:pStyle w:val="FootnoteText"/>
        <w:ind w:left="270" w:hanging="270"/>
        <w:rPr>
          <w:rFonts w:ascii="Times New Roman" w:hAnsi="Times New Roman"/>
        </w:rPr>
      </w:pPr>
      <w:r w:rsidRPr="009646B3">
        <w:rPr>
          <w:rStyle w:val="FootnoteReference"/>
          <w:rFonts w:ascii="Times New Roman" w:hAnsi="Times New Roman"/>
        </w:rPr>
        <w:footnoteRef/>
      </w:r>
      <w:r w:rsidR="00BB6F94">
        <w:tab/>
      </w:r>
      <w:r w:rsidRPr="00BB6F94">
        <w:rPr>
          <w:rFonts w:ascii="Times New Roman" w:hAnsi="Times New Roman"/>
        </w:rPr>
        <w:t>Veil Environmental, LLC. U.S. Produced Water Volumes and Management Practices in 2017. Prepared for the Ground Water research and Education Foundation. February 2020. Table 5-</w:t>
      </w:r>
      <w:r w:rsidR="00DF15A1" w:rsidRPr="00BB6F94">
        <w:rPr>
          <w:rFonts w:ascii="Times New Roman" w:hAnsi="Times New Roman"/>
        </w:rPr>
        <w:t>57</w:t>
      </w:r>
    </w:p>
  </w:footnote>
  <w:footnote w:id="4">
    <w:p w14:paraId="70052279" w14:textId="27CE8663" w:rsidR="00296931" w:rsidRDefault="00296931" w:rsidP="00BB6F94">
      <w:pPr>
        <w:pStyle w:val="FootnoteText"/>
        <w:ind w:left="270" w:hanging="270"/>
      </w:pPr>
      <w:r w:rsidRPr="009646B3">
        <w:rPr>
          <w:rStyle w:val="FootnoteReference"/>
          <w:rFonts w:ascii="Times New Roman" w:hAnsi="Times New Roman"/>
        </w:rPr>
        <w:footnoteRef/>
      </w:r>
      <w:r w:rsidR="00BB6F94">
        <w:tab/>
      </w:r>
      <w:r w:rsidRPr="00BB6F94">
        <w:rPr>
          <w:rFonts w:ascii="Times New Roman" w:hAnsi="Times New Roman"/>
        </w:rPr>
        <w:t>20</w:t>
      </w:r>
      <w:r w:rsidR="00FB30B1">
        <w:rPr>
          <w:rFonts w:ascii="Times New Roman" w:hAnsi="Times New Roman"/>
        </w:rPr>
        <w:t>2</w:t>
      </w:r>
      <w:r w:rsidR="00717D2B">
        <w:rPr>
          <w:rFonts w:ascii="Times New Roman" w:hAnsi="Times New Roman"/>
        </w:rPr>
        <w:t>1</w:t>
      </w:r>
      <w:r w:rsidRPr="00BB6F94">
        <w:rPr>
          <w:rFonts w:ascii="Times New Roman" w:hAnsi="Times New Roman"/>
        </w:rPr>
        <w:t xml:space="preserve"> Nonpoint Oil and Gas Emission Estimation Tool Version 1.</w:t>
      </w:r>
      <w:r w:rsidR="00717D2B">
        <w:rPr>
          <w:rFonts w:ascii="Times New Roman" w:hAnsi="Times New Roman"/>
        </w:rPr>
        <w:t>0,</w:t>
      </w:r>
      <w:r w:rsidR="00BB7C3F" w:rsidRPr="00BB6F94">
        <w:rPr>
          <w:rFonts w:ascii="Times New Roman" w:hAnsi="Times New Roman"/>
        </w:rPr>
        <w:t xml:space="preserve"> Prepared for U.S. EPA,</w:t>
      </w:r>
      <w:r w:rsidRPr="00BB6F94">
        <w:rPr>
          <w:rFonts w:ascii="Times New Roman" w:hAnsi="Times New Roman"/>
        </w:rPr>
        <w:t xml:space="preserve"> </w:t>
      </w:r>
      <w:r w:rsidR="00717D2B" w:rsidRPr="00CF5AD6">
        <w:rPr>
          <w:rFonts w:ascii="Times New Roman" w:hAnsi="Times New Roman"/>
        </w:rPr>
        <w:t>November</w:t>
      </w:r>
      <w:r w:rsidRPr="00CF5AD6">
        <w:rPr>
          <w:rFonts w:ascii="Times New Roman" w:hAnsi="Times New Roman"/>
        </w:rPr>
        <w:t xml:space="preserve"> 2</w:t>
      </w:r>
      <w:r w:rsidR="00FB30B1" w:rsidRPr="00CF5AD6">
        <w:rPr>
          <w:rFonts w:ascii="Times New Roman" w:hAnsi="Times New Roman"/>
        </w:rPr>
        <w:t>2</w:t>
      </w:r>
      <w:r w:rsidRPr="00CF5AD6">
        <w:rPr>
          <w:rFonts w:ascii="Times New Roman" w:hAnsi="Times New Roman"/>
        </w:rPr>
        <w:t>, 20</w:t>
      </w:r>
      <w:r w:rsidR="00FB30B1" w:rsidRPr="00CF5AD6">
        <w:rPr>
          <w:rFonts w:ascii="Times New Roman" w:hAnsi="Times New Roman"/>
        </w:rPr>
        <w:t>2</w:t>
      </w:r>
      <w:r w:rsidR="00717D2B" w:rsidRPr="00CF5AD6">
        <w:rPr>
          <w:rFonts w:ascii="Times New Roman" w:hAnsi="Times New Roman"/>
        </w:rPr>
        <w:t>3</w:t>
      </w:r>
      <w:r w:rsidRPr="00BB6F9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94A"/>
    <w:multiLevelType w:val="hybridMultilevel"/>
    <w:tmpl w:val="CB2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0152C"/>
    <w:multiLevelType w:val="hybridMultilevel"/>
    <w:tmpl w:val="ED1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0871"/>
    <w:multiLevelType w:val="hybridMultilevel"/>
    <w:tmpl w:val="133653C6"/>
    <w:lvl w:ilvl="0" w:tplc="A42C9CE2">
      <w:start w:val="1"/>
      <w:numFmt w:val="decimal"/>
      <w:lvlText w:val="%1)"/>
      <w:lvlJc w:val="left"/>
      <w:pPr>
        <w:ind w:left="720" w:hanging="360"/>
      </w:pPr>
      <w:rPr>
        <w:rFonts w:hint="default"/>
        <w:color w:val="000000"/>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E4AD5"/>
    <w:multiLevelType w:val="hybridMultilevel"/>
    <w:tmpl w:val="2488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45B0E"/>
    <w:multiLevelType w:val="hybridMultilevel"/>
    <w:tmpl w:val="0234D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CB6098"/>
    <w:multiLevelType w:val="hybridMultilevel"/>
    <w:tmpl w:val="D5AE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B0FF0"/>
    <w:multiLevelType w:val="hybridMultilevel"/>
    <w:tmpl w:val="20FE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1415C"/>
    <w:multiLevelType w:val="hybridMultilevel"/>
    <w:tmpl w:val="4B86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F63B7"/>
    <w:multiLevelType w:val="hybridMultilevel"/>
    <w:tmpl w:val="BDA26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147C5"/>
    <w:multiLevelType w:val="hybridMultilevel"/>
    <w:tmpl w:val="29F6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E3312"/>
    <w:multiLevelType w:val="hybridMultilevel"/>
    <w:tmpl w:val="09EAA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C27668"/>
    <w:multiLevelType w:val="hybridMultilevel"/>
    <w:tmpl w:val="8FE864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A6E1398"/>
    <w:multiLevelType w:val="hybridMultilevel"/>
    <w:tmpl w:val="A606C9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361C8C"/>
    <w:multiLevelType w:val="hybridMultilevel"/>
    <w:tmpl w:val="01740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A4C7F"/>
    <w:multiLevelType w:val="hybridMultilevel"/>
    <w:tmpl w:val="EE18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C78CC"/>
    <w:multiLevelType w:val="hybridMultilevel"/>
    <w:tmpl w:val="FAC0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824B0"/>
    <w:multiLevelType w:val="hybridMultilevel"/>
    <w:tmpl w:val="6A664D46"/>
    <w:lvl w:ilvl="0" w:tplc="CA9A10DA">
      <w:start w:val="1"/>
      <w:numFmt w:val="bullet"/>
      <w:pStyle w:val="Bullet"/>
      <w:lvlText w:val=""/>
      <w:lvlJc w:val="left"/>
      <w:pPr>
        <w:ind w:left="144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382522"/>
    <w:multiLevelType w:val="multilevel"/>
    <w:tmpl w:val="69788E70"/>
    <w:lvl w:ilvl="0">
      <w:start w:val="1"/>
      <w:numFmt w:val="bullet"/>
      <w:lvlText w:val=""/>
      <w:lvlJc w:val="left"/>
      <w:pPr>
        <w:tabs>
          <w:tab w:val="decimal" w:pos="504"/>
        </w:tabs>
        <w:ind w:left="720"/>
      </w:pPr>
      <w:rPr>
        <w:rFonts w:ascii="Symbol" w:hAnsi="Symbol"/>
        <w:strike w:val="0"/>
        <w:color w:val="000000"/>
        <w:spacing w:val="-4"/>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A52266"/>
    <w:multiLevelType w:val="hybridMultilevel"/>
    <w:tmpl w:val="9760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C7D3C"/>
    <w:multiLevelType w:val="hybridMultilevel"/>
    <w:tmpl w:val="53CC1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9E5C2D"/>
    <w:multiLevelType w:val="multilevel"/>
    <w:tmpl w:val="E73A5EC2"/>
    <w:lvl w:ilvl="0">
      <w:start w:val="1"/>
      <w:numFmt w:val="bullet"/>
      <w:lvlText w:val=""/>
      <w:lvlJc w:val="left"/>
      <w:pPr>
        <w:tabs>
          <w:tab w:val="decimal" w:pos="432"/>
        </w:tabs>
        <w:ind w:left="720"/>
      </w:pPr>
      <w:rPr>
        <w:rFonts w:ascii="Symbol" w:hAnsi="Symbol"/>
        <w:strike w:val="0"/>
        <w:color w:val="000000"/>
        <w:spacing w:val="18"/>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890894"/>
    <w:multiLevelType w:val="hybridMultilevel"/>
    <w:tmpl w:val="9B080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480FF9"/>
    <w:multiLevelType w:val="multilevel"/>
    <w:tmpl w:val="0F42C996"/>
    <w:lvl w:ilvl="0">
      <w:start w:val="5"/>
      <w:numFmt w:val="upperRoman"/>
      <w:lvlText w:val="%1."/>
      <w:lvlJc w:val="left"/>
      <w:pPr>
        <w:tabs>
          <w:tab w:val="decimal" w:pos="792"/>
        </w:tabs>
        <w:ind w:left="720"/>
      </w:pPr>
      <w:rPr>
        <w:rFonts w:ascii="Times New Roman" w:hAnsi="Times New Roman"/>
        <w:b/>
        <w:strike w:val="0"/>
        <w:color w:val="000000"/>
        <w:spacing w:val="3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8545244">
    <w:abstractNumId w:val="20"/>
  </w:num>
  <w:num w:numId="2" w16cid:durableId="1140147828">
    <w:abstractNumId w:val="17"/>
  </w:num>
  <w:num w:numId="3" w16cid:durableId="317074382">
    <w:abstractNumId w:val="22"/>
  </w:num>
  <w:num w:numId="4" w16cid:durableId="1223255110">
    <w:abstractNumId w:val="19"/>
  </w:num>
  <w:num w:numId="5" w16cid:durableId="1952737160">
    <w:abstractNumId w:val="9"/>
  </w:num>
  <w:num w:numId="6" w16cid:durableId="844634721">
    <w:abstractNumId w:val="11"/>
  </w:num>
  <w:num w:numId="7" w16cid:durableId="1592273848">
    <w:abstractNumId w:val="14"/>
  </w:num>
  <w:num w:numId="8" w16cid:durableId="1906835817">
    <w:abstractNumId w:val="10"/>
  </w:num>
  <w:num w:numId="9" w16cid:durableId="1890340452">
    <w:abstractNumId w:val="21"/>
  </w:num>
  <w:num w:numId="10" w16cid:durableId="999848074">
    <w:abstractNumId w:val="8"/>
  </w:num>
  <w:num w:numId="11" w16cid:durableId="2138179325">
    <w:abstractNumId w:val="13"/>
  </w:num>
  <w:num w:numId="12" w16cid:durableId="298462555">
    <w:abstractNumId w:val="2"/>
  </w:num>
  <w:num w:numId="13" w16cid:durableId="2050185187">
    <w:abstractNumId w:val="4"/>
  </w:num>
  <w:num w:numId="14" w16cid:durableId="867138669">
    <w:abstractNumId w:val="5"/>
  </w:num>
  <w:num w:numId="15" w16cid:durableId="1657954183">
    <w:abstractNumId w:val="0"/>
  </w:num>
  <w:num w:numId="16" w16cid:durableId="1237935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8550237">
    <w:abstractNumId w:val="1"/>
  </w:num>
  <w:num w:numId="18" w16cid:durableId="714281383">
    <w:abstractNumId w:val="3"/>
  </w:num>
  <w:num w:numId="19" w16cid:durableId="1000738350">
    <w:abstractNumId w:val="7"/>
  </w:num>
  <w:num w:numId="20" w16cid:durableId="30964771">
    <w:abstractNumId w:val="6"/>
  </w:num>
  <w:num w:numId="21" w16cid:durableId="2013101158">
    <w:abstractNumId w:val="15"/>
  </w:num>
  <w:num w:numId="22" w16cid:durableId="1976108182">
    <w:abstractNumId w:val="16"/>
  </w:num>
  <w:num w:numId="23" w16cid:durableId="1518235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9A"/>
    <w:rsid w:val="00001B8A"/>
    <w:rsid w:val="000126C2"/>
    <w:rsid w:val="00017EEB"/>
    <w:rsid w:val="000210CE"/>
    <w:rsid w:val="00033EDE"/>
    <w:rsid w:val="00040E49"/>
    <w:rsid w:val="000535EF"/>
    <w:rsid w:val="000546E0"/>
    <w:rsid w:val="00075739"/>
    <w:rsid w:val="00086C1B"/>
    <w:rsid w:val="0009431C"/>
    <w:rsid w:val="00097735"/>
    <w:rsid w:val="000A0091"/>
    <w:rsid w:val="000A7178"/>
    <w:rsid w:val="000B0AC5"/>
    <w:rsid w:val="000B2811"/>
    <w:rsid w:val="000B3E4A"/>
    <w:rsid w:val="000C3100"/>
    <w:rsid w:val="000C7C18"/>
    <w:rsid w:val="000D0E6B"/>
    <w:rsid w:val="000E2195"/>
    <w:rsid w:val="000E7EC3"/>
    <w:rsid w:val="0010158C"/>
    <w:rsid w:val="001174F9"/>
    <w:rsid w:val="001370B6"/>
    <w:rsid w:val="001405B5"/>
    <w:rsid w:val="00170B8C"/>
    <w:rsid w:val="001754C2"/>
    <w:rsid w:val="0018441A"/>
    <w:rsid w:val="00196225"/>
    <w:rsid w:val="001A671E"/>
    <w:rsid w:val="001B0B85"/>
    <w:rsid w:val="001C2E9A"/>
    <w:rsid w:val="001C4EC5"/>
    <w:rsid w:val="001D74D1"/>
    <w:rsid w:val="001D7E1E"/>
    <w:rsid w:val="001E2283"/>
    <w:rsid w:val="0020278F"/>
    <w:rsid w:val="00214530"/>
    <w:rsid w:val="00214C38"/>
    <w:rsid w:val="00216D0B"/>
    <w:rsid w:val="002246ED"/>
    <w:rsid w:val="002261A9"/>
    <w:rsid w:val="0023292A"/>
    <w:rsid w:val="00233E90"/>
    <w:rsid w:val="00234BA6"/>
    <w:rsid w:val="00251A23"/>
    <w:rsid w:val="00274561"/>
    <w:rsid w:val="00285A28"/>
    <w:rsid w:val="00290DCF"/>
    <w:rsid w:val="00296931"/>
    <w:rsid w:val="00297768"/>
    <w:rsid w:val="002A23BF"/>
    <w:rsid w:val="002B0204"/>
    <w:rsid w:val="002C2187"/>
    <w:rsid w:val="002C4455"/>
    <w:rsid w:val="002D32DF"/>
    <w:rsid w:val="002F2279"/>
    <w:rsid w:val="00303B47"/>
    <w:rsid w:val="003109A5"/>
    <w:rsid w:val="003220A1"/>
    <w:rsid w:val="0032375E"/>
    <w:rsid w:val="00324585"/>
    <w:rsid w:val="00347DF9"/>
    <w:rsid w:val="003553DF"/>
    <w:rsid w:val="00365130"/>
    <w:rsid w:val="0036689B"/>
    <w:rsid w:val="0036778F"/>
    <w:rsid w:val="00367C3A"/>
    <w:rsid w:val="0037281D"/>
    <w:rsid w:val="00376D9D"/>
    <w:rsid w:val="0038784A"/>
    <w:rsid w:val="00392EA1"/>
    <w:rsid w:val="00394121"/>
    <w:rsid w:val="00396B3A"/>
    <w:rsid w:val="003A24B2"/>
    <w:rsid w:val="003A36EE"/>
    <w:rsid w:val="003C553A"/>
    <w:rsid w:val="003D0AE7"/>
    <w:rsid w:val="003D7243"/>
    <w:rsid w:val="003E52B3"/>
    <w:rsid w:val="0041536C"/>
    <w:rsid w:val="00420410"/>
    <w:rsid w:val="004260B1"/>
    <w:rsid w:val="00443ECC"/>
    <w:rsid w:val="00456FC0"/>
    <w:rsid w:val="00471436"/>
    <w:rsid w:val="00471E0B"/>
    <w:rsid w:val="00475AF3"/>
    <w:rsid w:val="00475DE3"/>
    <w:rsid w:val="00480D75"/>
    <w:rsid w:val="004C3F84"/>
    <w:rsid w:val="004C7A3A"/>
    <w:rsid w:val="004D3E50"/>
    <w:rsid w:val="004E1A42"/>
    <w:rsid w:val="004E633E"/>
    <w:rsid w:val="004F7F78"/>
    <w:rsid w:val="0050018B"/>
    <w:rsid w:val="005043F5"/>
    <w:rsid w:val="005125C5"/>
    <w:rsid w:val="00513416"/>
    <w:rsid w:val="00533CF7"/>
    <w:rsid w:val="00537A05"/>
    <w:rsid w:val="00537E2F"/>
    <w:rsid w:val="00540817"/>
    <w:rsid w:val="005436C4"/>
    <w:rsid w:val="00544ECF"/>
    <w:rsid w:val="00545E4E"/>
    <w:rsid w:val="00563BCB"/>
    <w:rsid w:val="00563FC0"/>
    <w:rsid w:val="00575EC9"/>
    <w:rsid w:val="00586D58"/>
    <w:rsid w:val="00587DF2"/>
    <w:rsid w:val="0059640A"/>
    <w:rsid w:val="005A66E6"/>
    <w:rsid w:val="005B11FF"/>
    <w:rsid w:val="005D4DC7"/>
    <w:rsid w:val="005D5EF7"/>
    <w:rsid w:val="005F229C"/>
    <w:rsid w:val="005F3BD1"/>
    <w:rsid w:val="005F4562"/>
    <w:rsid w:val="005F60E4"/>
    <w:rsid w:val="00603B9A"/>
    <w:rsid w:val="00622AC5"/>
    <w:rsid w:val="00624B09"/>
    <w:rsid w:val="0062530A"/>
    <w:rsid w:val="00654134"/>
    <w:rsid w:val="00654D64"/>
    <w:rsid w:val="00676EF0"/>
    <w:rsid w:val="00686F2C"/>
    <w:rsid w:val="00686F61"/>
    <w:rsid w:val="006B690C"/>
    <w:rsid w:val="006C423A"/>
    <w:rsid w:val="006C4A9A"/>
    <w:rsid w:val="006C7A16"/>
    <w:rsid w:val="006D68F5"/>
    <w:rsid w:val="006E1EE7"/>
    <w:rsid w:val="006E2917"/>
    <w:rsid w:val="006E305B"/>
    <w:rsid w:val="006F7687"/>
    <w:rsid w:val="00706E11"/>
    <w:rsid w:val="00717D2B"/>
    <w:rsid w:val="00730F67"/>
    <w:rsid w:val="00750C35"/>
    <w:rsid w:val="007711D1"/>
    <w:rsid w:val="007756D3"/>
    <w:rsid w:val="00780086"/>
    <w:rsid w:val="00790D59"/>
    <w:rsid w:val="007964EC"/>
    <w:rsid w:val="00796736"/>
    <w:rsid w:val="007A269B"/>
    <w:rsid w:val="007A2D67"/>
    <w:rsid w:val="007B57DE"/>
    <w:rsid w:val="007C339D"/>
    <w:rsid w:val="007D17FE"/>
    <w:rsid w:val="007D5089"/>
    <w:rsid w:val="007E0F7A"/>
    <w:rsid w:val="007E1F4E"/>
    <w:rsid w:val="007F6852"/>
    <w:rsid w:val="00817200"/>
    <w:rsid w:val="008277CB"/>
    <w:rsid w:val="008338F3"/>
    <w:rsid w:val="00836793"/>
    <w:rsid w:val="0085125C"/>
    <w:rsid w:val="0085442C"/>
    <w:rsid w:val="0085744C"/>
    <w:rsid w:val="00860C58"/>
    <w:rsid w:val="00867D5B"/>
    <w:rsid w:val="00871C5E"/>
    <w:rsid w:val="008753D0"/>
    <w:rsid w:val="00876FDE"/>
    <w:rsid w:val="0089182E"/>
    <w:rsid w:val="008A36F6"/>
    <w:rsid w:val="008B393B"/>
    <w:rsid w:val="00905F33"/>
    <w:rsid w:val="00910E55"/>
    <w:rsid w:val="00917FF2"/>
    <w:rsid w:val="009300A1"/>
    <w:rsid w:val="00937B42"/>
    <w:rsid w:val="00947780"/>
    <w:rsid w:val="00950D2C"/>
    <w:rsid w:val="009646B3"/>
    <w:rsid w:val="009707BF"/>
    <w:rsid w:val="009760B3"/>
    <w:rsid w:val="00982D3B"/>
    <w:rsid w:val="0099663C"/>
    <w:rsid w:val="009A6D43"/>
    <w:rsid w:val="009A73B0"/>
    <w:rsid w:val="009B34AF"/>
    <w:rsid w:val="009B60EF"/>
    <w:rsid w:val="009C0343"/>
    <w:rsid w:val="009C29BD"/>
    <w:rsid w:val="009D3519"/>
    <w:rsid w:val="009D35D2"/>
    <w:rsid w:val="009E4FE5"/>
    <w:rsid w:val="009E6197"/>
    <w:rsid w:val="009F5365"/>
    <w:rsid w:val="00A019BA"/>
    <w:rsid w:val="00A0509A"/>
    <w:rsid w:val="00A12DA2"/>
    <w:rsid w:val="00A1599E"/>
    <w:rsid w:val="00A16858"/>
    <w:rsid w:val="00A20B00"/>
    <w:rsid w:val="00A22EC1"/>
    <w:rsid w:val="00A261F1"/>
    <w:rsid w:val="00A32238"/>
    <w:rsid w:val="00A612D6"/>
    <w:rsid w:val="00A645C7"/>
    <w:rsid w:val="00A6759B"/>
    <w:rsid w:val="00A77E00"/>
    <w:rsid w:val="00A8549F"/>
    <w:rsid w:val="00A866EB"/>
    <w:rsid w:val="00A8795F"/>
    <w:rsid w:val="00AC03CC"/>
    <w:rsid w:val="00AC1607"/>
    <w:rsid w:val="00AC4523"/>
    <w:rsid w:val="00AC4BA2"/>
    <w:rsid w:val="00AD5B78"/>
    <w:rsid w:val="00AD75DC"/>
    <w:rsid w:val="00AE054E"/>
    <w:rsid w:val="00AE31A8"/>
    <w:rsid w:val="00AF72E0"/>
    <w:rsid w:val="00B00622"/>
    <w:rsid w:val="00B01B95"/>
    <w:rsid w:val="00B05A45"/>
    <w:rsid w:val="00B07EB2"/>
    <w:rsid w:val="00B12ABD"/>
    <w:rsid w:val="00B15EA2"/>
    <w:rsid w:val="00B22D0C"/>
    <w:rsid w:val="00B34A12"/>
    <w:rsid w:val="00B55C12"/>
    <w:rsid w:val="00B650B1"/>
    <w:rsid w:val="00B71479"/>
    <w:rsid w:val="00B875E5"/>
    <w:rsid w:val="00B91BC5"/>
    <w:rsid w:val="00B92B21"/>
    <w:rsid w:val="00B939A3"/>
    <w:rsid w:val="00B94290"/>
    <w:rsid w:val="00BA5487"/>
    <w:rsid w:val="00BB2048"/>
    <w:rsid w:val="00BB242A"/>
    <w:rsid w:val="00BB5F0B"/>
    <w:rsid w:val="00BB61A3"/>
    <w:rsid w:val="00BB6D0E"/>
    <w:rsid w:val="00BB6F94"/>
    <w:rsid w:val="00BB7797"/>
    <w:rsid w:val="00BB7C3F"/>
    <w:rsid w:val="00BC3BEA"/>
    <w:rsid w:val="00BD4406"/>
    <w:rsid w:val="00BE1F1C"/>
    <w:rsid w:val="00BF3910"/>
    <w:rsid w:val="00C02D74"/>
    <w:rsid w:val="00C15C88"/>
    <w:rsid w:val="00C1601F"/>
    <w:rsid w:val="00C22725"/>
    <w:rsid w:val="00C34468"/>
    <w:rsid w:val="00C351C8"/>
    <w:rsid w:val="00C410F3"/>
    <w:rsid w:val="00C4180C"/>
    <w:rsid w:val="00C43B05"/>
    <w:rsid w:val="00C54EB3"/>
    <w:rsid w:val="00C62B4A"/>
    <w:rsid w:val="00C8385D"/>
    <w:rsid w:val="00C86487"/>
    <w:rsid w:val="00C87443"/>
    <w:rsid w:val="00C9375D"/>
    <w:rsid w:val="00CA1E81"/>
    <w:rsid w:val="00CA31D7"/>
    <w:rsid w:val="00CA365E"/>
    <w:rsid w:val="00CA446A"/>
    <w:rsid w:val="00CB3CBB"/>
    <w:rsid w:val="00CC0226"/>
    <w:rsid w:val="00CC066F"/>
    <w:rsid w:val="00CF0C55"/>
    <w:rsid w:val="00CF1098"/>
    <w:rsid w:val="00CF5215"/>
    <w:rsid w:val="00CF5AD6"/>
    <w:rsid w:val="00D06B32"/>
    <w:rsid w:val="00D16F5B"/>
    <w:rsid w:val="00D21DCA"/>
    <w:rsid w:val="00D22753"/>
    <w:rsid w:val="00D3639E"/>
    <w:rsid w:val="00D51630"/>
    <w:rsid w:val="00D71702"/>
    <w:rsid w:val="00D71FC5"/>
    <w:rsid w:val="00D83682"/>
    <w:rsid w:val="00D84CE3"/>
    <w:rsid w:val="00D9363D"/>
    <w:rsid w:val="00DA0761"/>
    <w:rsid w:val="00DA0978"/>
    <w:rsid w:val="00DA3287"/>
    <w:rsid w:val="00DB69C5"/>
    <w:rsid w:val="00DC2107"/>
    <w:rsid w:val="00DC59E1"/>
    <w:rsid w:val="00DD1FA8"/>
    <w:rsid w:val="00DD414A"/>
    <w:rsid w:val="00DD7F1B"/>
    <w:rsid w:val="00DE7DD5"/>
    <w:rsid w:val="00DF017D"/>
    <w:rsid w:val="00DF15A1"/>
    <w:rsid w:val="00DF187B"/>
    <w:rsid w:val="00DF392B"/>
    <w:rsid w:val="00DF4AE8"/>
    <w:rsid w:val="00DF5089"/>
    <w:rsid w:val="00E00854"/>
    <w:rsid w:val="00E0190C"/>
    <w:rsid w:val="00E01A32"/>
    <w:rsid w:val="00E1134C"/>
    <w:rsid w:val="00E14FD9"/>
    <w:rsid w:val="00E17CF8"/>
    <w:rsid w:val="00E239A1"/>
    <w:rsid w:val="00E25DFD"/>
    <w:rsid w:val="00E357C7"/>
    <w:rsid w:val="00E36035"/>
    <w:rsid w:val="00E40017"/>
    <w:rsid w:val="00E41917"/>
    <w:rsid w:val="00E4335A"/>
    <w:rsid w:val="00E4506D"/>
    <w:rsid w:val="00E514DD"/>
    <w:rsid w:val="00E52005"/>
    <w:rsid w:val="00E55753"/>
    <w:rsid w:val="00E65B8F"/>
    <w:rsid w:val="00E65E50"/>
    <w:rsid w:val="00E8166B"/>
    <w:rsid w:val="00E82292"/>
    <w:rsid w:val="00E85E62"/>
    <w:rsid w:val="00E86795"/>
    <w:rsid w:val="00E91547"/>
    <w:rsid w:val="00EA17E1"/>
    <w:rsid w:val="00EB211B"/>
    <w:rsid w:val="00EB4AA6"/>
    <w:rsid w:val="00ED72D4"/>
    <w:rsid w:val="00EE065E"/>
    <w:rsid w:val="00EE617F"/>
    <w:rsid w:val="00EE780F"/>
    <w:rsid w:val="00F04683"/>
    <w:rsid w:val="00F21E90"/>
    <w:rsid w:val="00F26495"/>
    <w:rsid w:val="00F56A43"/>
    <w:rsid w:val="00F621B9"/>
    <w:rsid w:val="00F658DF"/>
    <w:rsid w:val="00F66C43"/>
    <w:rsid w:val="00F7208C"/>
    <w:rsid w:val="00F72691"/>
    <w:rsid w:val="00F817F5"/>
    <w:rsid w:val="00F937AE"/>
    <w:rsid w:val="00FA135C"/>
    <w:rsid w:val="00FB30B1"/>
    <w:rsid w:val="00FC0C37"/>
    <w:rsid w:val="00FC1473"/>
    <w:rsid w:val="00FC3D9C"/>
    <w:rsid w:val="00FE1316"/>
    <w:rsid w:val="00FF16CF"/>
    <w:rsid w:val="00FF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334AE"/>
  <w15:docId w15:val="{16F0B9F7-BDC6-4EB4-A838-8FE31A88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9A"/>
    <w:pPr>
      <w:spacing w:after="0"/>
    </w:pPr>
    <w:rPr>
      <w:rFonts w:ascii="Calibri" w:eastAsia="Times New Roman" w:hAnsi="Calibri" w:cs="Times New Roman"/>
      <w:sz w:val="24"/>
      <w:szCs w:val="24"/>
    </w:rPr>
  </w:style>
  <w:style w:type="paragraph" w:styleId="Heading1">
    <w:name w:val="heading 1"/>
    <w:basedOn w:val="Normal"/>
    <w:link w:val="Heading1Char"/>
    <w:uiPriority w:val="9"/>
    <w:qFormat/>
    <w:rsid w:val="00867D5B"/>
    <w:pPr>
      <w:keepNext/>
      <w:spacing w:after="240"/>
      <w:outlineLvl w:val="0"/>
    </w:pPr>
    <w:rPr>
      <w:rFonts w:ascii="Times New Roman" w:hAnsi="Times New Roman"/>
      <w:b/>
      <w:bCs/>
      <w:kern w:val="36"/>
      <w:szCs w:val="48"/>
      <w:u w:val="single"/>
    </w:rPr>
  </w:style>
  <w:style w:type="paragraph" w:styleId="Heading2">
    <w:name w:val="heading 2"/>
    <w:basedOn w:val="Normal"/>
    <w:next w:val="Normal"/>
    <w:link w:val="Heading2Char"/>
    <w:uiPriority w:val="9"/>
    <w:unhideWhenUsed/>
    <w:qFormat/>
    <w:rsid w:val="00A12DA2"/>
    <w:pPr>
      <w:keepNext/>
      <w:keepLines/>
      <w:spacing w:before="40" w:after="240"/>
      <w:outlineLvl w:val="1"/>
    </w:pPr>
    <w:rPr>
      <w:rFonts w:ascii="Times New Roman" w:eastAsiaTheme="majorEastAsia" w:hAnsi="Times New Roman"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09A"/>
    <w:pPr>
      <w:spacing w:after="0"/>
    </w:pPr>
    <w:rPr>
      <w:rFonts w:ascii="Calibri" w:eastAsia="Calibri" w:hAnsi="Calibri" w:cs="Times New Roman"/>
    </w:rPr>
  </w:style>
  <w:style w:type="paragraph" w:styleId="Header">
    <w:name w:val="header"/>
    <w:basedOn w:val="Normal"/>
    <w:link w:val="HeaderChar"/>
    <w:unhideWhenUsed/>
    <w:rsid w:val="00A0509A"/>
    <w:pPr>
      <w:tabs>
        <w:tab w:val="center" w:pos="4680"/>
        <w:tab w:val="right" w:pos="9360"/>
      </w:tabs>
    </w:pPr>
  </w:style>
  <w:style w:type="character" w:customStyle="1" w:styleId="HeaderChar">
    <w:name w:val="Header Char"/>
    <w:basedOn w:val="DefaultParagraphFont"/>
    <w:link w:val="Header"/>
    <w:rsid w:val="00A0509A"/>
    <w:rPr>
      <w:rFonts w:ascii="Calibri" w:eastAsia="Times New Roman" w:hAnsi="Calibri" w:cs="Times New Roman"/>
      <w:sz w:val="24"/>
      <w:szCs w:val="24"/>
    </w:rPr>
  </w:style>
  <w:style w:type="paragraph" w:styleId="Footer">
    <w:name w:val="footer"/>
    <w:basedOn w:val="Normal"/>
    <w:link w:val="FooterChar"/>
    <w:uiPriority w:val="99"/>
    <w:unhideWhenUsed/>
    <w:rsid w:val="00A0509A"/>
    <w:pPr>
      <w:tabs>
        <w:tab w:val="center" w:pos="4680"/>
        <w:tab w:val="right" w:pos="9360"/>
      </w:tabs>
    </w:pPr>
  </w:style>
  <w:style w:type="character" w:customStyle="1" w:styleId="FooterChar">
    <w:name w:val="Footer Char"/>
    <w:basedOn w:val="DefaultParagraphFont"/>
    <w:link w:val="Footer"/>
    <w:uiPriority w:val="99"/>
    <w:rsid w:val="00A0509A"/>
    <w:rPr>
      <w:rFonts w:ascii="Calibri" w:eastAsia="Times New Roman" w:hAnsi="Calibri" w:cs="Times New Roman"/>
      <w:sz w:val="24"/>
      <w:szCs w:val="24"/>
    </w:rPr>
  </w:style>
  <w:style w:type="paragraph" w:styleId="ListParagraph">
    <w:name w:val="List Paragraph"/>
    <w:basedOn w:val="Normal"/>
    <w:uiPriority w:val="34"/>
    <w:qFormat/>
    <w:rsid w:val="005A66E6"/>
    <w:pPr>
      <w:ind w:left="720"/>
      <w:contextualSpacing/>
    </w:pPr>
  </w:style>
  <w:style w:type="character" w:styleId="Hyperlink">
    <w:name w:val="Hyperlink"/>
    <w:basedOn w:val="DefaultParagraphFont"/>
    <w:uiPriority w:val="99"/>
    <w:unhideWhenUsed/>
    <w:rsid w:val="00274561"/>
    <w:rPr>
      <w:color w:val="0000FF" w:themeColor="hyperlink"/>
      <w:u w:val="single"/>
    </w:rPr>
  </w:style>
  <w:style w:type="character" w:styleId="FollowedHyperlink">
    <w:name w:val="FollowedHyperlink"/>
    <w:basedOn w:val="DefaultParagraphFont"/>
    <w:uiPriority w:val="99"/>
    <w:semiHidden/>
    <w:unhideWhenUsed/>
    <w:rsid w:val="00274561"/>
    <w:rPr>
      <w:color w:val="800080" w:themeColor="followedHyperlink"/>
      <w:u w:val="single"/>
    </w:rPr>
  </w:style>
  <w:style w:type="paragraph" w:styleId="FootnoteText">
    <w:name w:val="footnote text"/>
    <w:basedOn w:val="Normal"/>
    <w:link w:val="FootnoteTextChar"/>
    <w:unhideWhenUsed/>
    <w:rsid w:val="0036689B"/>
    <w:rPr>
      <w:sz w:val="20"/>
      <w:szCs w:val="20"/>
    </w:rPr>
  </w:style>
  <w:style w:type="character" w:customStyle="1" w:styleId="FootnoteTextChar">
    <w:name w:val="Footnote Text Char"/>
    <w:basedOn w:val="DefaultParagraphFont"/>
    <w:link w:val="FootnoteText"/>
    <w:uiPriority w:val="99"/>
    <w:rsid w:val="0036689B"/>
    <w:rPr>
      <w:rFonts w:ascii="Calibri" w:eastAsia="Times New Roman" w:hAnsi="Calibri" w:cs="Times New Roman"/>
      <w:sz w:val="20"/>
      <w:szCs w:val="20"/>
    </w:rPr>
  </w:style>
  <w:style w:type="character" w:styleId="FootnoteReference">
    <w:name w:val="footnote reference"/>
    <w:basedOn w:val="DefaultParagraphFont"/>
    <w:unhideWhenUsed/>
    <w:rsid w:val="0036689B"/>
    <w:rPr>
      <w:vertAlign w:val="superscript"/>
    </w:rPr>
  </w:style>
  <w:style w:type="paragraph" w:customStyle="1" w:styleId="ReportBullet">
    <w:name w:val="Report Bullet"/>
    <w:basedOn w:val="Normal"/>
    <w:uiPriority w:val="99"/>
    <w:rsid w:val="00196225"/>
    <w:pPr>
      <w:spacing w:after="60"/>
    </w:pPr>
  </w:style>
  <w:style w:type="paragraph" w:customStyle="1" w:styleId="Tabletitle-GHGPreamble">
    <w:name w:val="_Table title-GHG Preamble"/>
    <w:link w:val="Tabletitle-GHGPreambleChar"/>
    <w:uiPriority w:val="97"/>
    <w:unhideWhenUsed/>
    <w:rsid w:val="009B60EF"/>
    <w:pPr>
      <w:keepNext/>
      <w:spacing w:before="80" w:after="80"/>
      <w:outlineLvl w:val="0"/>
    </w:pPr>
    <w:rPr>
      <w:rFonts w:ascii="Courier New" w:eastAsia="Times New Roman" w:hAnsi="Courier New" w:cs="Courier New"/>
      <w:b/>
      <w:bCs/>
      <w:sz w:val="24"/>
      <w:szCs w:val="24"/>
    </w:rPr>
  </w:style>
  <w:style w:type="character" w:customStyle="1" w:styleId="Tabletitle-GHGPreambleChar">
    <w:name w:val="_Table title-GHG Preamble Char"/>
    <w:basedOn w:val="DefaultParagraphFont"/>
    <w:link w:val="Tabletitle-GHGPreamble"/>
    <w:uiPriority w:val="97"/>
    <w:rsid w:val="009B60EF"/>
    <w:rPr>
      <w:rFonts w:ascii="Courier New" w:eastAsia="Times New Roman" w:hAnsi="Courier New" w:cs="Courier New"/>
      <w:b/>
      <w:bCs/>
      <w:sz w:val="24"/>
      <w:szCs w:val="24"/>
    </w:rPr>
  </w:style>
  <w:style w:type="paragraph" w:styleId="BalloonText">
    <w:name w:val="Balloon Text"/>
    <w:basedOn w:val="Normal"/>
    <w:link w:val="BalloonTextChar"/>
    <w:uiPriority w:val="99"/>
    <w:semiHidden/>
    <w:unhideWhenUsed/>
    <w:rsid w:val="00563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CB"/>
    <w:rPr>
      <w:rFonts w:ascii="Segoe UI" w:eastAsia="Times New Roman" w:hAnsi="Segoe UI" w:cs="Segoe UI"/>
      <w:sz w:val="18"/>
      <w:szCs w:val="18"/>
    </w:rPr>
  </w:style>
  <w:style w:type="table" w:styleId="TableGrid">
    <w:name w:val="Table Grid"/>
    <w:basedOn w:val="TableNormal"/>
    <w:uiPriority w:val="59"/>
    <w:rsid w:val="00537A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048"/>
    <w:rPr>
      <w:sz w:val="16"/>
      <w:szCs w:val="16"/>
    </w:rPr>
  </w:style>
  <w:style w:type="paragraph" w:styleId="CommentText">
    <w:name w:val="annotation text"/>
    <w:basedOn w:val="Normal"/>
    <w:link w:val="CommentTextChar"/>
    <w:uiPriority w:val="99"/>
    <w:semiHidden/>
    <w:unhideWhenUsed/>
    <w:rsid w:val="00BB2048"/>
    <w:rPr>
      <w:sz w:val="20"/>
      <w:szCs w:val="20"/>
    </w:rPr>
  </w:style>
  <w:style w:type="character" w:customStyle="1" w:styleId="CommentTextChar">
    <w:name w:val="Comment Text Char"/>
    <w:basedOn w:val="DefaultParagraphFont"/>
    <w:link w:val="CommentText"/>
    <w:uiPriority w:val="99"/>
    <w:semiHidden/>
    <w:rsid w:val="00BB204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2048"/>
    <w:rPr>
      <w:b/>
      <w:bCs/>
    </w:rPr>
  </w:style>
  <w:style w:type="character" w:customStyle="1" w:styleId="CommentSubjectChar">
    <w:name w:val="Comment Subject Char"/>
    <w:basedOn w:val="CommentTextChar"/>
    <w:link w:val="CommentSubject"/>
    <w:uiPriority w:val="99"/>
    <w:semiHidden/>
    <w:rsid w:val="00BB2048"/>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867D5B"/>
    <w:rPr>
      <w:rFonts w:ascii="Times New Roman" w:eastAsia="Times New Roman" w:hAnsi="Times New Roman" w:cs="Times New Roman"/>
      <w:b/>
      <w:bCs/>
      <w:kern w:val="36"/>
      <w:sz w:val="24"/>
      <w:szCs w:val="48"/>
      <w:u w:val="single"/>
    </w:rPr>
  </w:style>
  <w:style w:type="paragraph" w:styleId="BodyText">
    <w:name w:val="Body Text"/>
    <w:basedOn w:val="Normal"/>
    <w:link w:val="BodyTextChar"/>
    <w:rsid w:val="00A12DA2"/>
    <w:pPr>
      <w:spacing w:after="240" w:line="260" w:lineRule="exact"/>
    </w:pPr>
    <w:rPr>
      <w:rFonts w:ascii="Times New Roman" w:hAnsi="Times New Roman" w:cstheme="minorHAnsi"/>
      <w:szCs w:val="22"/>
    </w:rPr>
  </w:style>
  <w:style w:type="character" w:customStyle="1" w:styleId="BodyTextChar">
    <w:name w:val="Body Text Char"/>
    <w:basedOn w:val="DefaultParagraphFont"/>
    <w:link w:val="BodyText"/>
    <w:rsid w:val="00A12DA2"/>
    <w:rPr>
      <w:rFonts w:ascii="Times New Roman" w:eastAsia="Times New Roman" w:hAnsi="Times New Roman" w:cstheme="minorHAnsi"/>
      <w:sz w:val="24"/>
    </w:rPr>
  </w:style>
  <w:style w:type="character" w:customStyle="1" w:styleId="Heading2Char">
    <w:name w:val="Heading 2 Char"/>
    <w:basedOn w:val="DefaultParagraphFont"/>
    <w:link w:val="Heading2"/>
    <w:uiPriority w:val="9"/>
    <w:rsid w:val="00A12DA2"/>
    <w:rPr>
      <w:rFonts w:ascii="Times New Roman" w:eastAsiaTheme="majorEastAsia" w:hAnsi="Times New Roman" w:cstheme="majorBidi"/>
      <w:b/>
      <w:i/>
      <w:color w:val="000000" w:themeColor="text1"/>
      <w:sz w:val="24"/>
      <w:szCs w:val="26"/>
    </w:rPr>
  </w:style>
  <w:style w:type="paragraph" w:customStyle="1" w:styleId="Bullet">
    <w:name w:val="Bullet"/>
    <w:basedOn w:val="Normal"/>
    <w:rsid w:val="00BB6F94"/>
    <w:pPr>
      <w:numPr>
        <w:numId w:val="22"/>
      </w:numPr>
      <w:autoSpaceDE w:val="0"/>
      <w:autoSpaceDN w:val="0"/>
      <w:adjustRightInd w:val="0"/>
      <w:ind w:left="720"/>
    </w:pPr>
    <w:rPr>
      <w:rFonts w:ascii="Times New Roman" w:eastAsia="MS Mincho" w:hAnsi="Times New Roman"/>
      <w:szCs w:val="20"/>
      <w:lang w:eastAsia="ja-JP"/>
    </w:rPr>
  </w:style>
  <w:style w:type="paragraph" w:styleId="Revision">
    <w:name w:val="Revision"/>
    <w:hidden/>
    <w:uiPriority w:val="99"/>
    <w:semiHidden/>
    <w:rsid w:val="00D84CE3"/>
    <w:pPr>
      <w:spacing w:after="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3591">
      <w:bodyDiv w:val="1"/>
      <w:marLeft w:val="0"/>
      <w:marRight w:val="0"/>
      <w:marTop w:val="0"/>
      <w:marBottom w:val="0"/>
      <w:divBdr>
        <w:top w:val="none" w:sz="0" w:space="0" w:color="auto"/>
        <w:left w:val="none" w:sz="0" w:space="0" w:color="auto"/>
        <w:bottom w:val="none" w:sz="0" w:space="0" w:color="auto"/>
        <w:right w:val="none" w:sz="0" w:space="0" w:color="auto"/>
      </w:divBdr>
    </w:div>
    <w:div w:id="376852235">
      <w:bodyDiv w:val="1"/>
      <w:marLeft w:val="0"/>
      <w:marRight w:val="0"/>
      <w:marTop w:val="0"/>
      <w:marBottom w:val="0"/>
      <w:divBdr>
        <w:top w:val="none" w:sz="0" w:space="0" w:color="auto"/>
        <w:left w:val="none" w:sz="0" w:space="0" w:color="auto"/>
        <w:bottom w:val="none" w:sz="0" w:space="0" w:color="auto"/>
        <w:right w:val="none" w:sz="0" w:space="0" w:color="auto"/>
      </w:divBdr>
    </w:div>
    <w:div w:id="468549486">
      <w:bodyDiv w:val="1"/>
      <w:marLeft w:val="0"/>
      <w:marRight w:val="0"/>
      <w:marTop w:val="0"/>
      <w:marBottom w:val="0"/>
      <w:divBdr>
        <w:top w:val="none" w:sz="0" w:space="0" w:color="auto"/>
        <w:left w:val="none" w:sz="0" w:space="0" w:color="auto"/>
        <w:bottom w:val="none" w:sz="0" w:space="0" w:color="auto"/>
        <w:right w:val="none" w:sz="0" w:space="0" w:color="auto"/>
      </w:divBdr>
    </w:div>
    <w:div w:id="997221808">
      <w:bodyDiv w:val="1"/>
      <w:marLeft w:val="0"/>
      <w:marRight w:val="0"/>
      <w:marTop w:val="0"/>
      <w:marBottom w:val="0"/>
      <w:divBdr>
        <w:top w:val="none" w:sz="0" w:space="0" w:color="auto"/>
        <w:left w:val="none" w:sz="0" w:space="0" w:color="auto"/>
        <w:bottom w:val="none" w:sz="0" w:space="0" w:color="auto"/>
        <w:right w:val="none" w:sz="0" w:space="0" w:color="auto"/>
      </w:divBdr>
    </w:div>
    <w:div w:id="1012336094">
      <w:bodyDiv w:val="1"/>
      <w:marLeft w:val="0"/>
      <w:marRight w:val="0"/>
      <w:marTop w:val="0"/>
      <w:marBottom w:val="0"/>
      <w:divBdr>
        <w:top w:val="none" w:sz="0" w:space="0" w:color="auto"/>
        <w:left w:val="none" w:sz="0" w:space="0" w:color="auto"/>
        <w:bottom w:val="none" w:sz="0" w:space="0" w:color="auto"/>
        <w:right w:val="none" w:sz="0" w:space="0" w:color="auto"/>
      </w:divBdr>
    </w:div>
    <w:div w:id="1084105043">
      <w:bodyDiv w:val="1"/>
      <w:marLeft w:val="0"/>
      <w:marRight w:val="0"/>
      <w:marTop w:val="0"/>
      <w:marBottom w:val="0"/>
      <w:divBdr>
        <w:top w:val="none" w:sz="0" w:space="0" w:color="auto"/>
        <w:left w:val="none" w:sz="0" w:space="0" w:color="auto"/>
        <w:bottom w:val="none" w:sz="0" w:space="0" w:color="auto"/>
        <w:right w:val="none" w:sz="0" w:space="0" w:color="auto"/>
      </w:divBdr>
    </w:div>
    <w:div w:id="1121457846">
      <w:bodyDiv w:val="1"/>
      <w:marLeft w:val="0"/>
      <w:marRight w:val="0"/>
      <w:marTop w:val="0"/>
      <w:marBottom w:val="0"/>
      <w:divBdr>
        <w:top w:val="none" w:sz="0" w:space="0" w:color="auto"/>
        <w:left w:val="none" w:sz="0" w:space="0" w:color="auto"/>
        <w:bottom w:val="none" w:sz="0" w:space="0" w:color="auto"/>
        <w:right w:val="none" w:sz="0" w:space="0" w:color="auto"/>
      </w:divBdr>
    </w:div>
    <w:div w:id="1189486451">
      <w:bodyDiv w:val="1"/>
      <w:marLeft w:val="0"/>
      <w:marRight w:val="0"/>
      <w:marTop w:val="0"/>
      <w:marBottom w:val="0"/>
      <w:divBdr>
        <w:top w:val="none" w:sz="0" w:space="0" w:color="auto"/>
        <w:left w:val="none" w:sz="0" w:space="0" w:color="auto"/>
        <w:bottom w:val="none" w:sz="0" w:space="0" w:color="auto"/>
        <w:right w:val="none" w:sz="0" w:space="0" w:color="auto"/>
      </w:divBdr>
    </w:div>
    <w:div w:id="1290161689">
      <w:bodyDiv w:val="1"/>
      <w:marLeft w:val="0"/>
      <w:marRight w:val="0"/>
      <w:marTop w:val="0"/>
      <w:marBottom w:val="0"/>
      <w:divBdr>
        <w:top w:val="none" w:sz="0" w:space="0" w:color="auto"/>
        <w:left w:val="none" w:sz="0" w:space="0" w:color="auto"/>
        <w:bottom w:val="none" w:sz="0" w:space="0" w:color="auto"/>
        <w:right w:val="none" w:sz="0" w:space="0" w:color="auto"/>
      </w:divBdr>
    </w:div>
    <w:div w:id="1411275503">
      <w:bodyDiv w:val="1"/>
      <w:marLeft w:val="0"/>
      <w:marRight w:val="0"/>
      <w:marTop w:val="0"/>
      <w:marBottom w:val="0"/>
      <w:divBdr>
        <w:top w:val="none" w:sz="0" w:space="0" w:color="auto"/>
        <w:left w:val="none" w:sz="0" w:space="0" w:color="auto"/>
        <w:bottom w:val="none" w:sz="0" w:space="0" w:color="auto"/>
        <w:right w:val="none" w:sz="0" w:space="0" w:color="auto"/>
      </w:divBdr>
    </w:div>
    <w:div w:id="1431897459">
      <w:bodyDiv w:val="1"/>
      <w:marLeft w:val="0"/>
      <w:marRight w:val="0"/>
      <w:marTop w:val="0"/>
      <w:marBottom w:val="0"/>
      <w:divBdr>
        <w:top w:val="none" w:sz="0" w:space="0" w:color="auto"/>
        <w:left w:val="none" w:sz="0" w:space="0" w:color="auto"/>
        <w:bottom w:val="none" w:sz="0" w:space="0" w:color="auto"/>
        <w:right w:val="none" w:sz="0" w:space="0" w:color="auto"/>
      </w:divBdr>
    </w:div>
    <w:div w:id="1898278808">
      <w:bodyDiv w:val="1"/>
      <w:marLeft w:val="0"/>
      <w:marRight w:val="0"/>
      <w:marTop w:val="0"/>
      <w:marBottom w:val="0"/>
      <w:divBdr>
        <w:top w:val="none" w:sz="0" w:space="0" w:color="auto"/>
        <w:left w:val="none" w:sz="0" w:space="0" w:color="auto"/>
        <w:bottom w:val="none" w:sz="0" w:space="0" w:color="auto"/>
        <w:right w:val="none" w:sz="0" w:space="0" w:color="auto"/>
      </w:divBdr>
    </w:div>
    <w:div w:id="2137484421">
      <w:bodyDiv w:val="1"/>
      <w:marLeft w:val="54"/>
      <w:marRight w:val="54"/>
      <w:marTop w:val="54"/>
      <w:marBottom w:val="14"/>
      <w:divBdr>
        <w:top w:val="none" w:sz="0" w:space="0" w:color="auto"/>
        <w:left w:val="none" w:sz="0" w:space="0" w:color="auto"/>
        <w:bottom w:val="none" w:sz="0" w:space="0" w:color="auto"/>
        <w:right w:val="none" w:sz="0" w:space="0" w:color="auto"/>
      </w:divBdr>
      <w:divsChild>
        <w:div w:id="2142846395">
          <w:marLeft w:val="0"/>
          <w:marRight w:val="0"/>
          <w:marTop w:val="0"/>
          <w:marBottom w:val="0"/>
          <w:divBdr>
            <w:top w:val="none" w:sz="0" w:space="0" w:color="auto"/>
            <w:left w:val="none" w:sz="0" w:space="0" w:color="auto"/>
            <w:bottom w:val="none" w:sz="0" w:space="0" w:color="auto"/>
            <w:right w:val="none" w:sz="0" w:space="0" w:color="auto"/>
          </w:divBdr>
        </w:div>
        <w:div w:id="1006858146">
          <w:marLeft w:val="0"/>
          <w:marRight w:val="0"/>
          <w:marTop w:val="0"/>
          <w:marBottom w:val="0"/>
          <w:divBdr>
            <w:top w:val="none" w:sz="0" w:space="0" w:color="auto"/>
            <w:left w:val="none" w:sz="0" w:space="0" w:color="auto"/>
            <w:bottom w:val="none" w:sz="0" w:space="0" w:color="auto"/>
            <w:right w:val="none" w:sz="0" w:space="0" w:color="auto"/>
          </w:divBdr>
        </w:div>
        <w:div w:id="907543047">
          <w:marLeft w:val="0"/>
          <w:marRight w:val="0"/>
          <w:marTop w:val="0"/>
          <w:marBottom w:val="0"/>
          <w:divBdr>
            <w:top w:val="none" w:sz="0" w:space="0" w:color="auto"/>
            <w:left w:val="none" w:sz="0" w:space="0" w:color="auto"/>
            <w:bottom w:val="none" w:sz="0" w:space="0" w:color="auto"/>
            <w:right w:val="none" w:sz="0" w:space="0" w:color="auto"/>
          </w:divBdr>
        </w:div>
        <w:div w:id="1163350027">
          <w:marLeft w:val="0"/>
          <w:marRight w:val="0"/>
          <w:marTop w:val="0"/>
          <w:marBottom w:val="0"/>
          <w:divBdr>
            <w:top w:val="none" w:sz="0" w:space="0" w:color="auto"/>
            <w:left w:val="none" w:sz="0" w:space="0" w:color="auto"/>
            <w:bottom w:val="none" w:sz="0" w:space="0" w:color="auto"/>
            <w:right w:val="none" w:sz="0" w:space="0" w:color="auto"/>
          </w:divBdr>
        </w:div>
        <w:div w:id="1311327562">
          <w:marLeft w:val="0"/>
          <w:marRight w:val="0"/>
          <w:marTop w:val="0"/>
          <w:marBottom w:val="0"/>
          <w:divBdr>
            <w:top w:val="none" w:sz="0" w:space="0" w:color="auto"/>
            <w:left w:val="none" w:sz="0" w:space="0" w:color="auto"/>
            <w:bottom w:val="none" w:sz="0" w:space="0" w:color="auto"/>
            <w:right w:val="none" w:sz="0" w:space="0" w:color="auto"/>
          </w:divBdr>
        </w:div>
        <w:div w:id="95776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7CFFD-6F60-4F56-8ED0-CEBE86B0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MOR-JTisano</dc:creator>
  <cp:lastModifiedBy>Regi Oommen</cp:lastModifiedBy>
  <cp:revision>5</cp:revision>
  <dcterms:created xsi:type="dcterms:W3CDTF">2024-05-31T12:18:00Z</dcterms:created>
  <dcterms:modified xsi:type="dcterms:W3CDTF">2024-06-06T14:33:00Z</dcterms:modified>
</cp:coreProperties>
</file>