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E7" w:rsidRDefault="005E53E7">
      <w:pPr>
        <w:shd w:val="clear" w:color="auto" w:fill="FFFFFF"/>
        <w:rPr>
          <w:b/>
          <w:bCs/>
          <w:spacing w:val="-1"/>
        </w:rPr>
      </w:pPr>
      <w:r>
        <w:rPr>
          <w:b/>
          <w:bCs/>
          <w:spacing w:val="-1"/>
        </w:rPr>
        <w:t xml:space="preserve">ASPHALT PAVING </w:t>
      </w:r>
      <w:r w:rsidR="00CD6395">
        <w:rPr>
          <w:b/>
          <w:bCs/>
          <w:spacing w:val="-1"/>
        </w:rPr>
        <w:t>–</w:t>
      </w:r>
      <w:r>
        <w:rPr>
          <w:b/>
          <w:bCs/>
          <w:spacing w:val="-1"/>
        </w:rPr>
        <w:t xml:space="preserve"> </w:t>
      </w:r>
      <w:r w:rsidR="008A6F70">
        <w:rPr>
          <w:b/>
          <w:bCs/>
          <w:spacing w:val="-1"/>
        </w:rPr>
        <w:t>Emulsified</w:t>
      </w:r>
    </w:p>
    <w:p w:rsidR="00CD6395" w:rsidRPr="005E53E7" w:rsidRDefault="00CD6395">
      <w:pPr>
        <w:shd w:val="clear" w:color="auto" w:fill="FFFFFF"/>
        <w:rPr>
          <w:b/>
          <w:bCs/>
          <w:spacing w:val="-1"/>
        </w:rPr>
      </w:pPr>
    </w:p>
    <w:p w:rsidR="002F475F" w:rsidRDefault="002F475F" w:rsidP="00CD6395">
      <w:pPr>
        <w:shd w:val="clear" w:color="auto" w:fill="FFFFFF"/>
        <w:rPr>
          <w:b/>
          <w:i/>
          <w:spacing w:val="-1"/>
        </w:rPr>
      </w:pPr>
      <w:r w:rsidRPr="002F475F">
        <w:rPr>
          <w:b/>
          <w:i/>
          <w:spacing w:val="-1"/>
        </w:rPr>
        <w:t>a. Source Category Description</w:t>
      </w:r>
    </w:p>
    <w:p w:rsidR="00CD6395" w:rsidRPr="002F475F" w:rsidRDefault="00CD6395" w:rsidP="00CD6395">
      <w:pPr>
        <w:shd w:val="clear" w:color="auto" w:fill="FFFFFF"/>
        <w:rPr>
          <w:b/>
          <w:i/>
          <w:spacing w:val="-1"/>
        </w:rPr>
      </w:pPr>
    </w:p>
    <w:p w:rsidR="00362C96" w:rsidRDefault="005E53E7" w:rsidP="005E53E7">
      <w:pPr>
        <w:shd w:val="clear" w:color="auto" w:fill="FFFFFF"/>
        <w:rPr>
          <w:sz w:val="24"/>
          <w:szCs w:val="24"/>
        </w:rPr>
      </w:pPr>
      <w:r w:rsidRPr="005E53E7">
        <w:rPr>
          <w:spacing w:val="-1"/>
        </w:rPr>
        <w:t xml:space="preserve">Asphalt paving is </w:t>
      </w:r>
      <w:r w:rsidR="00362C96">
        <w:rPr>
          <w:spacing w:val="-1"/>
        </w:rPr>
        <w:t xml:space="preserve">the process of applying asphalt concrete to seal or repair the surface of </w:t>
      </w:r>
      <w:r w:rsidRPr="005E53E7">
        <w:rPr>
          <w:spacing w:val="-1"/>
        </w:rPr>
        <w:t>roads, parking lots, drive</w:t>
      </w:r>
      <w:r w:rsidR="00F85EC0">
        <w:rPr>
          <w:spacing w:val="-1"/>
        </w:rPr>
        <w:t>way</w:t>
      </w:r>
      <w:r w:rsidRPr="005E53E7">
        <w:rPr>
          <w:spacing w:val="-1"/>
        </w:rPr>
        <w:t>s,</w:t>
      </w:r>
      <w:r>
        <w:rPr>
          <w:spacing w:val="-1"/>
        </w:rPr>
        <w:t xml:space="preserve"> </w:t>
      </w:r>
      <w:r w:rsidRPr="005E53E7">
        <w:rPr>
          <w:spacing w:val="-1"/>
        </w:rPr>
        <w:t xml:space="preserve">walkways, </w:t>
      </w:r>
      <w:r w:rsidR="00362C96">
        <w:rPr>
          <w:spacing w:val="-1"/>
        </w:rPr>
        <w:t>or</w:t>
      </w:r>
      <w:r w:rsidRPr="005E53E7">
        <w:rPr>
          <w:spacing w:val="-1"/>
        </w:rPr>
        <w:t xml:space="preserve"> airport runways</w:t>
      </w:r>
      <w:r w:rsidR="00362C96">
        <w:rPr>
          <w:spacing w:val="-1"/>
        </w:rPr>
        <w:t xml:space="preserve">. </w:t>
      </w:r>
      <w:r w:rsidRPr="00362C96">
        <w:t>A</w:t>
      </w:r>
      <w:r w:rsidRPr="00362C96">
        <w:rPr>
          <w:spacing w:val="-1"/>
        </w:rPr>
        <w:t>sphalt</w:t>
      </w:r>
      <w:r w:rsidRPr="005E53E7">
        <w:rPr>
          <w:spacing w:val="-1"/>
        </w:rPr>
        <w:t xml:space="preserve"> concrete is a </w:t>
      </w:r>
      <w:r w:rsidR="002F12FF">
        <w:rPr>
          <w:spacing w:val="-1"/>
        </w:rPr>
        <w:t>composite material comprised</w:t>
      </w:r>
      <w:r w:rsidRPr="005E53E7">
        <w:rPr>
          <w:spacing w:val="-1"/>
        </w:rPr>
        <w:t xml:space="preserve"> of </w:t>
      </w:r>
      <w:r w:rsidR="00D34C28">
        <w:rPr>
          <w:spacing w:val="-1"/>
        </w:rPr>
        <w:t>a binder</w:t>
      </w:r>
      <w:r w:rsidR="00D34C28" w:rsidRPr="00D34C28">
        <w:rPr>
          <w:spacing w:val="-1"/>
        </w:rPr>
        <w:t xml:space="preserve"> </w:t>
      </w:r>
      <w:r w:rsidR="00D34C28">
        <w:rPr>
          <w:spacing w:val="-1"/>
        </w:rPr>
        <w:t>and a mineral aggregate. The binder, referred to as asphalt cement,</w:t>
      </w:r>
      <w:r w:rsidRPr="005E53E7">
        <w:rPr>
          <w:spacing w:val="-1"/>
        </w:rPr>
        <w:t xml:space="preserve"> is </w:t>
      </w:r>
      <w:r w:rsidR="00D34C28">
        <w:rPr>
          <w:spacing w:val="-1"/>
        </w:rPr>
        <w:t xml:space="preserve">a byproduct of petroleum refining and contains </w:t>
      </w:r>
      <w:r w:rsidR="002F12FF" w:rsidRPr="005E53E7">
        <w:rPr>
          <w:spacing w:val="-1"/>
        </w:rPr>
        <w:t xml:space="preserve">the semi-solid residual material left after </w:t>
      </w:r>
      <w:r w:rsidR="00D34C28">
        <w:rPr>
          <w:spacing w:val="-1"/>
        </w:rPr>
        <w:t xml:space="preserve">the </w:t>
      </w:r>
      <w:r w:rsidR="002F12FF" w:rsidRPr="005E53E7">
        <w:rPr>
          <w:spacing w:val="-1"/>
        </w:rPr>
        <w:t xml:space="preserve">more volatile </w:t>
      </w:r>
      <w:r w:rsidR="00D34C28">
        <w:rPr>
          <w:spacing w:val="-1"/>
        </w:rPr>
        <w:t xml:space="preserve">chemical </w:t>
      </w:r>
      <w:r w:rsidR="002F12FF" w:rsidRPr="005E53E7">
        <w:rPr>
          <w:spacing w:val="-1"/>
        </w:rPr>
        <w:t>fractions have</w:t>
      </w:r>
      <w:r w:rsidR="00D34C28">
        <w:rPr>
          <w:spacing w:val="-1"/>
        </w:rPr>
        <w:t xml:space="preserve"> been distilled off</w:t>
      </w:r>
      <w:r w:rsidRPr="005E53E7">
        <w:rPr>
          <w:spacing w:val="-1"/>
        </w:rPr>
        <w:t>.</w:t>
      </w:r>
      <w:r w:rsidR="002F3D43" w:rsidRPr="002F3D43">
        <w:rPr>
          <w:spacing w:val="-1"/>
          <w:vertAlign w:val="superscript"/>
        </w:rPr>
        <w:t>1</w:t>
      </w:r>
      <w:r w:rsidRPr="005E53E7">
        <w:rPr>
          <w:sz w:val="24"/>
          <w:szCs w:val="24"/>
        </w:rPr>
        <w:t xml:space="preserve"> </w:t>
      </w:r>
    </w:p>
    <w:p w:rsidR="00362C96" w:rsidRDefault="00362C96" w:rsidP="005E53E7">
      <w:pPr>
        <w:shd w:val="clear" w:color="auto" w:fill="FFFFFF"/>
        <w:rPr>
          <w:sz w:val="24"/>
          <w:szCs w:val="24"/>
        </w:rPr>
      </w:pPr>
    </w:p>
    <w:p w:rsidR="005E53E7" w:rsidRDefault="002F12FF" w:rsidP="005E53E7">
      <w:pPr>
        <w:shd w:val="clear" w:color="auto" w:fill="FFFFFF"/>
        <w:rPr>
          <w:spacing w:val="-1"/>
          <w:lang/>
        </w:rPr>
      </w:pPr>
      <w:r>
        <w:rPr>
          <w:spacing w:val="-1"/>
        </w:rPr>
        <w:t>A</w:t>
      </w:r>
      <w:r w:rsidR="005E53E7" w:rsidRPr="005E53E7">
        <w:rPr>
          <w:spacing w:val="-1"/>
        </w:rPr>
        <w:t>sphalt</w:t>
      </w:r>
      <w:r w:rsidR="005E53E7">
        <w:rPr>
          <w:spacing w:val="-1"/>
        </w:rPr>
        <w:t xml:space="preserve"> </w:t>
      </w:r>
      <w:r w:rsidR="005E53E7" w:rsidRPr="005E53E7">
        <w:rPr>
          <w:spacing w:val="-1"/>
        </w:rPr>
        <w:t xml:space="preserve">cements thinned with </w:t>
      </w:r>
      <w:r w:rsidR="005F4D6B">
        <w:rPr>
          <w:spacing w:val="-1"/>
        </w:rPr>
        <w:t>water and an emulsifying agent</w:t>
      </w:r>
      <w:r w:rsidR="005E53E7" w:rsidRPr="005E53E7">
        <w:rPr>
          <w:spacing w:val="-1"/>
        </w:rPr>
        <w:t xml:space="preserve"> </w:t>
      </w:r>
      <w:r>
        <w:rPr>
          <w:spacing w:val="-1"/>
        </w:rPr>
        <w:t xml:space="preserve">are known as </w:t>
      </w:r>
      <w:r w:rsidR="008A6F70">
        <w:rPr>
          <w:spacing w:val="-1"/>
        </w:rPr>
        <w:t>emulsified</w:t>
      </w:r>
      <w:r>
        <w:rPr>
          <w:spacing w:val="-1"/>
        </w:rPr>
        <w:t xml:space="preserve"> asphalts</w:t>
      </w:r>
      <w:r w:rsidR="00D34C28">
        <w:rPr>
          <w:spacing w:val="-1"/>
        </w:rPr>
        <w:t xml:space="preserve">. </w:t>
      </w:r>
      <w:r w:rsidR="005132F6">
        <w:rPr>
          <w:spacing w:val="-1"/>
          <w:lang/>
        </w:rPr>
        <w:t>This thinning reduces the viscosity of the asphalt making it easier to work with the mixture</w:t>
      </w:r>
      <w:r w:rsidR="005132F6" w:rsidRPr="00D34C28">
        <w:rPr>
          <w:spacing w:val="-1"/>
          <w:lang/>
        </w:rPr>
        <w:t xml:space="preserve">. </w:t>
      </w:r>
      <w:r w:rsidR="00D34C28">
        <w:rPr>
          <w:spacing w:val="-1"/>
        </w:rPr>
        <w:t xml:space="preserve">The primary uses of </w:t>
      </w:r>
      <w:r w:rsidR="008A6F70">
        <w:rPr>
          <w:spacing w:val="-1"/>
        </w:rPr>
        <w:t>emulsified</w:t>
      </w:r>
      <w:r w:rsidR="00D34C28">
        <w:rPr>
          <w:spacing w:val="-1"/>
        </w:rPr>
        <w:t xml:space="preserve"> asphalt include tack and seal operations,</w:t>
      </w:r>
      <w:r w:rsidR="005E53E7" w:rsidRPr="005E53E7">
        <w:rPr>
          <w:spacing w:val="-1"/>
        </w:rPr>
        <w:t xml:space="preserve"> priming roadbeds,</w:t>
      </w:r>
      <w:r w:rsidR="005E53E7">
        <w:rPr>
          <w:spacing w:val="-1"/>
        </w:rPr>
        <w:t xml:space="preserve"> </w:t>
      </w:r>
      <w:r w:rsidR="00D34C28">
        <w:rPr>
          <w:spacing w:val="-1"/>
        </w:rPr>
        <w:t xml:space="preserve">and </w:t>
      </w:r>
      <w:r w:rsidR="005E53E7" w:rsidRPr="005E53E7">
        <w:rPr>
          <w:spacing w:val="-1"/>
        </w:rPr>
        <w:t xml:space="preserve">paving operations for pavements up to several inches thick. </w:t>
      </w:r>
    </w:p>
    <w:p w:rsidR="0093664A" w:rsidRDefault="0093664A" w:rsidP="005E53E7">
      <w:pPr>
        <w:shd w:val="clear" w:color="auto" w:fill="FFFFFF"/>
        <w:rPr>
          <w:spacing w:val="-1"/>
        </w:rPr>
      </w:pPr>
    </w:p>
    <w:p w:rsidR="005E53E7" w:rsidRDefault="005132F6" w:rsidP="005E53E7">
      <w:pPr>
        <w:shd w:val="clear" w:color="auto" w:fill="FFFFFF"/>
        <w:rPr>
          <w:spacing w:val="-1"/>
        </w:rPr>
      </w:pPr>
      <w:r>
        <w:rPr>
          <w:spacing w:val="-1"/>
        </w:rPr>
        <w:t>Emulsified asphalt may contain up to 12 percent organic solvents by volume.</w:t>
      </w:r>
      <w:r w:rsidRPr="005132F6">
        <w:rPr>
          <w:spacing w:val="-1"/>
          <w:vertAlign w:val="superscript"/>
        </w:rPr>
        <w:t>1</w:t>
      </w:r>
      <w:r>
        <w:rPr>
          <w:spacing w:val="-1"/>
        </w:rPr>
        <w:t xml:space="preserve"> </w:t>
      </w:r>
      <w:r w:rsidR="009D11F4">
        <w:rPr>
          <w:spacing w:val="-1"/>
        </w:rPr>
        <w:t xml:space="preserve">Emissions from </w:t>
      </w:r>
      <w:r w:rsidR="008A6F70">
        <w:rPr>
          <w:spacing w:val="-1"/>
        </w:rPr>
        <w:t>emulsified</w:t>
      </w:r>
      <w:r w:rsidR="009D11F4">
        <w:rPr>
          <w:spacing w:val="-1"/>
        </w:rPr>
        <w:t xml:space="preserve"> asphalt result from the evaporation of VOCs after the mixture is laid down.</w:t>
      </w:r>
      <w:r w:rsidR="005E53E7" w:rsidRPr="005E53E7">
        <w:rPr>
          <w:spacing w:val="-1"/>
        </w:rPr>
        <w:t xml:space="preserve"> </w:t>
      </w:r>
      <w:r>
        <w:rPr>
          <w:spacing w:val="-1"/>
        </w:rPr>
        <w:t>Compared to cutback asphalt</w:t>
      </w:r>
      <w:r w:rsidR="009D11F4">
        <w:rPr>
          <w:spacing w:val="-1"/>
        </w:rPr>
        <w:t xml:space="preserve">, </w:t>
      </w:r>
      <w:r w:rsidR="008A6F70">
        <w:rPr>
          <w:spacing w:val="-1"/>
        </w:rPr>
        <w:t>emulsified</w:t>
      </w:r>
      <w:r w:rsidR="005E53E7" w:rsidRPr="005E53E7">
        <w:rPr>
          <w:spacing w:val="-1"/>
        </w:rPr>
        <w:t xml:space="preserve"> asphalt has </w:t>
      </w:r>
      <w:r>
        <w:rPr>
          <w:spacing w:val="-1"/>
        </w:rPr>
        <w:t>lower</w:t>
      </w:r>
      <w:r w:rsidR="005E53E7" w:rsidRPr="005E53E7">
        <w:rPr>
          <w:spacing w:val="-1"/>
        </w:rPr>
        <w:t xml:space="preserve"> VOCs </w:t>
      </w:r>
      <w:r>
        <w:rPr>
          <w:spacing w:val="-1"/>
        </w:rPr>
        <w:t xml:space="preserve">emissions </w:t>
      </w:r>
      <w:r w:rsidR="005E53E7" w:rsidRPr="005E53E7">
        <w:rPr>
          <w:spacing w:val="-1"/>
        </w:rPr>
        <w:t xml:space="preserve">per ton used. </w:t>
      </w:r>
    </w:p>
    <w:p w:rsidR="005E53E7" w:rsidRDefault="005E53E7" w:rsidP="005E53E7">
      <w:pPr>
        <w:shd w:val="clear" w:color="auto" w:fill="FFFFFF"/>
        <w:rPr>
          <w:spacing w:val="-1"/>
        </w:rPr>
      </w:pPr>
    </w:p>
    <w:p w:rsidR="002F475F" w:rsidRDefault="000F5892" w:rsidP="009D11F4">
      <w:pPr>
        <w:shd w:val="clear" w:color="auto" w:fill="FFFFFF"/>
      </w:pPr>
      <w:r>
        <w:t xml:space="preserve"> </w:t>
      </w:r>
      <w:r w:rsidR="009D11F4">
        <w:t>F</w:t>
      </w:r>
      <w:r w:rsidR="002F475F">
        <w:t xml:space="preserve">or this source category, the following </w:t>
      </w:r>
      <w:smartTag w:uri="urn:schemas-microsoft-com:office:smarttags" w:element="stockticker">
        <w:r w:rsidR="002F475F">
          <w:t>SCC</w:t>
        </w:r>
      </w:smartTag>
      <w:r w:rsidR="002F475F">
        <w:t xml:space="preserve"> was assigned:</w:t>
      </w:r>
    </w:p>
    <w:p w:rsidR="004C68A6" w:rsidRDefault="004C68A6">
      <w:pPr>
        <w:shd w:val="clear" w:color="auto" w:fill="FFFFFF"/>
        <w:spacing w:before="202" w:line="230" w:lineRule="exact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116"/>
        <w:gridCol w:w="1838"/>
        <w:gridCol w:w="2351"/>
        <w:gridCol w:w="2060"/>
        <w:gridCol w:w="1620"/>
      </w:tblGrid>
      <w:tr w:rsidR="004C68A6" w:rsidRPr="00EC6F3F">
        <w:trPr>
          <w:jc w:val="center"/>
        </w:trPr>
        <w:tc>
          <w:tcPr>
            <w:tcW w:w="0" w:type="auto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</w:p>
        </w:tc>
        <w:tc>
          <w:tcPr>
            <w:tcW w:w="1838" w:type="dxa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  <w:r w:rsidRPr="00EC6F3F">
              <w:rPr>
                <w:b/>
                <w:bCs/>
                <w:sz w:val="18"/>
                <w:szCs w:val="18"/>
              </w:rPr>
              <w:t xml:space="preserve"> Level 1</w:t>
            </w:r>
          </w:p>
        </w:tc>
        <w:tc>
          <w:tcPr>
            <w:tcW w:w="2351" w:type="dxa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  <w:r w:rsidRPr="00EC6F3F">
              <w:rPr>
                <w:b/>
                <w:bCs/>
                <w:sz w:val="18"/>
                <w:szCs w:val="18"/>
              </w:rPr>
              <w:t xml:space="preserve"> Level 2</w:t>
            </w:r>
          </w:p>
        </w:tc>
        <w:tc>
          <w:tcPr>
            <w:tcW w:w="2060" w:type="dxa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  <w:r w:rsidRPr="00EC6F3F">
              <w:rPr>
                <w:b/>
                <w:bCs/>
                <w:sz w:val="18"/>
                <w:szCs w:val="18"/>
              </w:rPr>
              <w:t xml:space="preserve"> Level 3</w:t>
            </w:r>
          </w:p>
        </w:tc>
        <w:tc>
          <w:tcPr>
            <w:tcW w:w="1620" w:type="dxa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  <w:r w:rsidRPr="00EC6F3F">
              <w:rPr>
                <w:b/>
                <w:bCs/>
                <w:sz w:val="18"/>
                <w:szCs w:val="18"/>
              </w:rPr>
              <w:t xml:space="preserve"> Level 4</w:t>
            </w:r>
          </w:p>
        </w:tc>
      </w:tr>
      <w:tr w:rsidR="005E53E7" w:rsidRPr="00EC6F3F">
        <w:trPr>
          <w:jc w:val="center"/>
        </w:trPr>
        <w:tc>
          <w:tcPr>
            <w:tcW w:w="0" w:type="auto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246102</w:t>
            </w:r>
            <w:r w:rsidR="008A6F70">
              <w:rPr>
                <w:sz w:val="18"/>
                <w:szCs w:val="18"/>
              </w:rPr>
              <w:t>2</w:t>
            </w:r>
            <w:r w:rsidRPr="00EC6F3F">
              <w:rPr>
                <w:sz w:val="18"/>
                <w:szCs w:val="18"/>
              </w:rPr>
              <w:t>000</w:t>
            </w:r>
          </w:p>
        </w:tc>
        <w:tc>
          <w:tcPr>
            <w:tcW w:w="1838" w:type="dxa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Solvent Utilization</w:t>
            </w:r>
          </w:p>
        </w:tc>
        <w:tc>
          <w:tcPr>
            <w:tcW w:w="2351" w:type="dxa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Miscellaneous Non-industrial: Commercial</w:t>
            </w:r>
          </w:p>
        </w:tc>
        <w:tc>
          <w:tcPr>
            <w:tcW w:w="2060" w:type="dxa"/>
          </w:tcPr>
          <w:p w:rsidR="005E53E7" w:rsidRPr="00EC6F3F" w:rsidRDefault="008A6F70" w:rsidP="005E5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Emulsified</w:t>
            </w:r>
            <w:r w:rsidR="005E53E7" w:rsidRPr="00EC6F3F">
              <w:rPr>
                <w:sz w:val="18"/>
                <w:szCs w:val="18"/>
              </w:rPr>
              <w:t xml:space="preserve"> Asphalt</w:t>
            </w:r>
          </w:p>
        </w:tc>
        <w:tc>
          <w:tcPr>
            <w:tcW w:w="1620" w:type="dxa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Total: All Solvent Types</w:t>
            </w:r>
          </w:p>
        </w:tc>
      </w:tr>
    </w:tbl>
    <w:p w:rsidR="000F5892" w:rsidRDefault="004E68A9">
      <w:pPr>
        <w:shd w:val="clear" w:color="auto" w:fill="FFFFFF"/>
        <w:spacing w:before="422" w:line="230" w:lineRule="exact"/>
      </w:pPr>
      <w:r>
        <w:t xml:space="preserve">The general approach to calculating emissions from </w:t>
      </w:r>
      <w:r w:rsidR="008A6F70">
        <w:t>emulsified</w:t>
      </w:r>
      <w:r>
        <w:t xml:space="preserve"> asphalt paving is to multiply the estimated county-level </w:t>
      </w:r>
      <w:r w:rsidR="008A6F70">
        <w:t>emulsified</w:t>
      </w:r>
      <w:r>
        <w:t xml:space="preserve"> asphalt usage by emission factors</w:t>
      </w:r>
      <w:r w:rsidRPr="00862F3A">
        <w:t xml:space="preserve"> </w:t>
      </w:r>
      <w:r w:rsidR="005F4D6B">
        <w:t>for VOCs</w:t>
      </w:r>
      <w:r>
        <w:t xml:space="preserve">. </w:t>
      </w:r>
    </w:p>
    <w:p w:rsidR="000F5892" w:rsidRDefault="004C68A6">
      <w:pPr>
        <w:shd w:val="clear" w:color="auto" w:fill="FFFFFF"/>
        <w:spacing w:before="202"/>
        <w:rPr>
          <w:b/>
          <w:i/>
        </w:rPr>
      </w:pPr>
      <w:r w:rsidRPr="004C68A6">
        <w:rPr>
          <w:b/>
          <w:i/>
        </w:rPr>
        <w:t xml:space="preserve">b. </w:t>
      </w:r>
      <w:r w:rsidR="004E68A9">
        <w:rPr>
          <w:b/>
          <w:i/>
        </w:rPr>
        <w:t>Activity Data</w:t>
      </w:r>
    </w:p>
    <w:p w:rsidR="00F85EC0" w:rsidRPr="00F85EC0" w:rsidRDefault="00F85EC0">
      <w:pPr>
        <w:shd w:val="clear" w:color="auto" w:fill="FFFFFF"/>
        <w:spacing w:before="202"/>
      </w:pPr>
      <w:r>
        <w:t xml:space="preserve">State-level </w:t>
      </w:r>
      <w:r w:rsidR="008A6F70">
        <w:t>emulsified</w:t>
      </w:r>
      <w:r>
        <w:t xml:space="preserve"> asphalt usage in 2008 was obtained from the Asphalt Institute’s </w:t>
      </w:r>
      <w:r w:rsidRPr="00F85EC0">
        <w:rPr>
          <w:i/>
        </w:rPr>
        <w:t>2008 Asphalt Usage Survey</w:t>
      </w:r>
      <w:r>
        <w:t>.</w:t>
      </w:r>
      <w:r w:rsidRPr="00F85EC0">
        <w:rPr>
          <w:vertAlign w:val="superscript"/>
        </w:rPr>
        <w:t>2</w:t>
      </w:r>
      <w:r>
        <w:t xml:space="preserve"> </w:t>
      </w:r>
      <w:r w:rsidR="00B552DF">
        <w:t xml:space="preserve">(the EPA used the same activity values for the 2011 as they did for the 2008 NEI due to limited resources.) </w:t>
      </w:r>
      <w:r>
        <w:t xml:space="preserve">State-level data were allocated to county-level according to </w:t>
      </w:r>
      <w:r w:rsidR="004D31F2">
        <w:t xml:space="preserve">the fraction of paved road vehicle miles traveled (VMT) in each county. </w:t>
      </w:r>
    </w:p>
    <w:p w:rsidR="00F85EC0" w:rsidRDefault="004E68A9" w:rsidP="00F85EC0">
      <w:pPr>
        <w:shd w:val="clear" w:color="auto" w:fill="FFFFFF"/>
        <w:spacing w:before="202" w:line="230" w:lineRule="exact"/>
        <w:ind w:right="115"/>
        <w:jc w:val="both"/>
      </w:pPr>
      <w:r>
        <w:rPr>
          <w:spacing w:val="-1"/>
        </w:rPr>
        <w:t xml:space="preserve">Total annual VMT estimates by State and roadway class were obtained from the Federal Highway Administration’s (FHWA) annual Highway Statistics </w:t>
      </w:r>
      <w:proofErr w:type="gramStart"/>
      <w:r>
        <w:rPr>
          <w:spacing w:val="-1"/>
        </w:rPr>
        <w:t>report.</w:t>
      </w:r>
      <w:r w:rsidR="00F85EC0">
        <w:rPr>
          <w:spacing w:val="-1"/>
          <w:vertAlign w:val="superscript"/>
        </w:rPr>
        <w:t>3</w:t>
      </w:r>
      <w:r>
        <w:rPr>
          <w:spacing w:val="-1"/>
        </w:rPr>
        <w:t xml:space="preserve">  Paved</w:t>
      </w:r>
      <w:proofErr w:type="gramEnd"/>
      <w:r>
        <w:rPr>
          <w:spacing w:val="-1"/>
        </w:rPr>
        <w:t xml:space="preserve"> road VMT was calculated by subtracting the State/roadway class </w:t>
      </w:r>
      <w:r>
        <w:t xml:space="preserve">unpaved road VMT from total State/roadway class VMT. </w:t>
      </w:r>
      <w:r w:rsidR="00F85EC0">
        <w:rPr>
          <w:spacing w:val="-1"/>
        </w:rPr>
        <w:t xml:space="preserve">State-level paved road VMT was spatially allocated to counties according to the fraction of total VMT in </w:t>
      </w:r>
      <w:r w:rsidR="00F85EC0">
        <w:t>each county for the specific roadway class as shown by the following equation:</w:t>
      </w:r>
    </w:p>
    <w:p w:rsidR="00F85EC0" w:rsidRPr="00B95D30" w:rsidRDefault="00F85EC0" w:rsidP="00F85EC0">
      <w:pPr>
        <w:shd w:val="clear" w:color="auto" w:fill="FFFFFF"/>
        <w:spacing w:before="202"/>
        <w:ind w:left="5"/>
        <w:jc w:val="center"/>
        <w:rPr>
          <w:lang w:val="es-ES"/>
        </w:rPr>
      </w:pPr>
      <w:r w:rsidRPr="00B95D30">
        <w:rPr>
          <w:spacing w:val="-14"/>
          <w:lang w:val="es-ES"/>
        </w:rPr>
        <w:t>VMT</w:t>
      </w:r>
      <w:r>
        <w:rPr>
          <w:spacing w:val="-14"/>
          <w:vertAlign w:val="subscript"/>
          <w:lang w:val="es-ES"/>
        </w:rPr>
        <w:t>x</w:t>
      </w:r>
      <w:proofErr w:type="gramStart"/>
      <w:r>
        <w:rPr>
          <w:spacing w:val="-14"/>
          <w:vertAlign w:val="subscript"/>
          <w:lang w:val="es-ES"/>
        </w:rPr>
        <w:t>,total</w:t>
      </w:r>
      <w:proofErr w:type="gramEnd"/>
      <w:r w:rsidRPr="00B95D30">
        <w:rPr>
          <w:spacing w:val="-14"/>
          <w:lang w:val="es-ES"/>
        </w:rPr>
        <w:t xml:space="preserve"> = ∑VMT</w:t>
      </w:r>
      <w:r w:rsidRPr="00B95D30">
        <w:rPr>
          <w:spacing w:val="-14"/>
          <w:vertAlign w:val="subscript"/>
          <w:lang w:val="es-ES"/>
        </w:rPr>
        <w:t>ST,y</w:t>
      </w:r>
      <w:r w:rsidRPr="00B95D30">
        <w:rPr>
          <w:spacing w:val="-14"/>
          <w:lang w:val="es-ES"/>
        </w:rPr>
        <w:t xml:space="preserve"> * VMT</w:t>
      </w:r>
      <w:r w:rsidRPr="00B95D30">
        <w:rPr>
          <w:spacing w:val="-14"/>
          <w:vertAlign w:val="subscript"/>
          <w:lang w:val="es-ES"/>
        </w:rPr>
        <w:t>x,y</w:t>
      </w:r>
      <w:r w:rsidRPr="00B95D30">
        <w:rPr>
          <w:spacing w:val="-14"/>
          <w:lang w:val="es-ES"/>
        </w:rPr>
        <w:t xml:space="preserve"> / VMT</w:t>
      </w:r>
      <w:r w:rsidRPr="00B95D30">
        <w:rPr>
          <w:spacing w:val="-14"/>
          <w:vertAlign w:val="subscript"/>
          <w:lang w:val="es-ES"/>
        </w:rPr>
        <w:t>ST,y</w:t>
      </w:r>
    </w:p>
    <w:p w:rsidR="00F85EC0" w:rsidRPr="00B95D30" w:rsidRDefault="00F85EC0" w:rsidP="00F85EC0">
      <w:pPr>
        <w:shd w:val="clear" w:color="auto" w:fill="FFFFFF"/>
        <w:tabs>
          <w:tab w:val="left" w:pos="1152"/>
        </w:tabs>
        <w:spacing w:before="182"/>
      </w:pPr>
      <w:proofErr w:type="gramStart"/>
      <w:r w:rsidRPr="00B95D30">
        <w:rPr>
          <w:spacing w:val="-2"/>
        </w:rPr>
        <w:t>where</w:t>
      </w:r>
      <w:proofErr w:type="gramEnd"/>
      <w:r w:rsidRPr="00B95D30">
        <w:rPr>
          <w:spacing w:val="-2"/>
        </w:rPr>
        <w:t>:</w:t>
      </w:r>
      <w:r w:rsidRPr="00B95D30">
        <w:tab/>
      </w:r>
      <w:r w:rsidRPr="00B95D30">
        <w:rPr>
          <w:spacing w:val="-2"/>
        </w:rPr>
        <w:t>VMT</w:t>
      </w:r>
      <w:r>
        <w:rPr>
          <w:spacing w:val="-2"/>
          <w:vertAlign w:val="subscript"/>
        </w:rPr>
        <w:t>x,total</w:t>
      </w:r>
      <w:r w:rsidRPr="00B95D30">
        <w:rPr>
          <w:spacing w:val="-2"/>
        </w:rPr>
        <w:t xml:space="preserve"> = VMT (million miles) in county x on all paved roadways</w:t>
      </w:r>
    </w:p>
    <w:p w:rsidR="00F85EC0" w:rsidRPr="00B95D30" w:rsidRDefault="00F85EC0" w:rsidP="00F85EC0">
      <w:pPr>
        <w:shd w:val="clear" w:color="auto" w:fill="FFFFFF"/>
        <w:spacing w:line="230" w:lineRule="exact"/>
        <w:ind w:left="1152" w:right="1690"/>
        <w:rPr>
          <w:spacing w:val="-3"/>
        </w:rPr>
      </w:pPr>
      <w:r w:rsidRPr="00B95D30">
        <w:rPr>
          <w:spacing w:val="-3"/>
        </w:rPr>
        <w:t>VMT</w:t>
      </w:r>
      <w:r w:rsidRPr="00B95D30">
        <w:rPr>
          <w:spacing w:val="-3"/>
          <w:vertAlign w:val="subscript"/>
        </w:rPr>
        <w:t>ST</w:t>
      </w:r>
      <w:proofErr w:type="gramStart"/>
      <w:r w:rsidRPr="00B95D30">
        <w:rPr>
          <w:spacing w:val="-3"/>
          <w:vertAlign w:val="subscript"/>
        </w:rPr>
        <w:t>,y</w:t>
      </w:r>
      <w:proofErr w:type="gramEnd"/>
      <w:r w:rsidRPr="00B95D30">
        <w:rPr>
          <w:spacing w:val="-3"/>
        </w:rPr>
        <w:t xml:space="preserve"> = </w:t>
      </w:r>
      <w:r>
        <w:rPr>
          <w:spacing w:val="-3"/>
        </w:rPr>
        <w:t xml:space="preserve">paved road </w:t>
      </w:r>
      <w:r w:rsidRPr="00B95D30">
        <w:rPr>
          <w:spacing w:val="-3"/>
        </w:rPr>
        <w:t xml:space="preserve">VMT for the entire State for roadway class y </w:t>
      </w:r>
    </w:p>
    <w:p w:rsidR="00F85EC0" w:rsidRPr="00B95D30" w:rsidRDefault="00F85EC0" w:rsidP="00F85EC0">
      <w:pPr>
        <w:shd w:val="clear" w:color="auto" w:fill="FFFFFF"/>
        <w:spacing w:line="230" w:lineRule="exact"/>
        <w:ind w:left="1152" w:right="1690"/>
        <w:rPr>
          <w:spacing w:val="-2"/>
        </w:rPr>
      </w:pPr>
      <w:r w:rsidRPr="00B95D30">
        <w:rPr>
          <w:spacing w:val="-2"/>
        </w:rPr>
        <w:t>VMT</w:t>
      </w:r>
      <w:r w:rsidRPr="00B95D30">
        <w:rPr>
          <w:spacing w:val="-2"/>
          <w:vertAlign w:val="subscript"/>
        </w:rPr>
        <w:t>x</w:t>
      </w:r>
      <w:proofErr w:type="gramStart"/>
      <w:r w:rsidRPr="00B95D30">
        <w:rPr>
          <w:spacing w:val="-2"/>
          <w:vertAlign w:val="subscript"/>
        </w:rPr>
        <w:t>,y</w:t>
      </w:r>
      <w:proofErr w:type="gramEnd"/>
      <w:r w:rsidRPr="00B95D30">
        <w:rPr>
          <w:spacing w:val="-2"/>
        </w:rPr>
        <w:t xml:space="preserve"> = total VMT (million miles) in county x and roadway class y </w:t>
      </w:r>
    </w:p>
    <w:p w:rsidR="00F85EC0" w:rsidRDefault="00F85EC0" w:rsidP="00F85EC0">
      <w:pPr>
        <w:shd w:val="clear" w:color="auto" w:fill="FFFFFF"/>
        <w:spacing w:line="230" w:lineRule="exact"/>
        <w:ind w:left="1152" w:right="1690"/>
        <w:rPr>
          <w:spacing w:val="-3"/>
        </w:rPr>
      </w:pPr>
      <w:r w:rsidRPr="00B95D30">
        <w:rPr>
          <w:spacing w:val="-3"/>
        </w:rPr>
        <w:t>VMT</w:t>
      </w:r>
      <w:r w:rsidRPr="00B95D30">
        <w:rPr>
          <w:spacing w:val="-3"/>
          <w:vertAlign w:val="subscript"/>
        </w:rPr>
        <w:t>ST</w:t>
      </w:r>
      <w:proofErr w:type="gramStart"/>
      <w:r w:rsidRPr="00B95D30">
        <w:rPr>
          <w:spacing w:val="-3"/>
          <w:vertAlign w:val="subscript"/>
        </w:rPr>
        <w:t>,y</w:t>
      </w:r>
      <w:proofErr w:type="gramEnd"/>
      <w:r w:rsidRPr="00B95D30">
        <w:rPr>
          <w:spacing w:val="-3"/>
        </w:rPr>
        <w:t xml:space="preserve"> = total VMT (million miles) in entire State for roadway class y</w:t>
      </w:r>
    </w:p>
    <w:p w:rsidR="00EC6F3F" w:rsidRPr="00B95D30" w:rsidRDefault="00EC6F3F" w:rsidP="00F85EC0">
      <w:pPr>
        <w:shd w:val="clear" w:color="auto" w:fill="FFFFFF"/>
        <w:spacing w:line="230" w:lineRule="exact"/>
        <w:ind w:left="1152" w:right="1690"/>
      </w:pPr>
    </w:p>
    <w:p w:rsidR="00F85EC0" w:rsidRDefault="00F85EC0" w:rsidP="00EC6F3F">
      <w:pPr>
        <w:shd w:val="clear" w:color="auto" w:fill="FFFFFF"/>
      </w:pPr>
      <w:r>
        <w:t>The county-level total VMT by roadway class used in this calculation was previously developed by E.H. Pechan and Associates, Inc. to support the onroad national emissions inventory</w:t>
      </w:r>
      <w:r>
        <w:rPr>
          <w:spacing w:val="-1"/>
        </w:rPr>
        <w:t>.</w:t>
      </w:r>
      <w:r>
        <w:rPr>
          <w:spacing w:val="-1"/>
          <w:vertAlign w:val="superscript"/>
        </w:rPr>
        <w:t>4</w:t>
      </w:r>
      <w:r>
        <w:rPr>
          <w:spacing w:val="-1"/>
        </w:rPr>
        <w:t xml:space="preserve">  </w:t>
      </w:r>
    </w:p>
    <w:p w:rsidR="00EC6F3F" w:rsidRDefault="00EC6F3F" w:rsidP="00EC6F3F">
      <w:pPr>
        <w:shd w:val="clear" w:color="auto" w:fill="FFFFFF"/>
        <w:rPr>
          <w:b/>
          <w:i/>
          <w:iCs/>
          <w:spacing w:val="-1"/>
        </w:rPr>
      </w:pPr>
    </w:p>
    <w:p w:rsidR="000F5892" w:rsidRPr="004D31F2" w:rsidRDefault="004C68A6" w:rsidP="00EC6F3F">
      <w:pPr>
        <w:shd w:val="clear" w:color="auto" w:fill="FFFFFF"/>
        <w:rPr>
          <w:iCs/>
          <w:spacing w:val="-1"/>
        </w:rPr>
      </w:pPr>
      <w:r w:rsidRPr="004C68A6">
        <w:rPr>
          <w:b/>
          <w:i/>
          <w:iCs/>
          <w:spacing w:val="-1"/>
        </w:rPr>
        <w:t xml:space="preserve">c. </w:t>
      </w:r>
      <w:r w:rsidR="000E175C">
        <w:rPr>
          <w:b/>
          <w:i/>
          <w:iCs/>
          <w:spacing w:val="-1"/>
        </w:rPr>
        <w:t>Emission Factors</w:t>
      </w:r>
      <w:r w:rsidR="007C45CF" w:rsidRPr="004C68A6">
        <w:rPr>
          <w:b/>
          <w:i/>
          <w:iCs/>
          <w:spacing w:val="-1"/>
        </w:rPr>
        <w:br/>
      </w:r>
      <w:r w:rsidR="007C45CF">
        <w:rPr>
          <w:i/>
          <w:iCs/>
          <w:spacing w:val="-1"/>
          <w:u w:val="single"/>
        </w:rPr>
        <w:br/>
      </w:r>
      <w:r w:rsidR="004D31F2">
        <w:rPr>
          <w:iCs/>
          <w:spacing w:val="-1"/>
        </w:rPr>
        <w:t xml:space="preserve">Emission factors for </w:t>
      </w:r>
      <w:r w:rsidR="008A6F70">
        <w:rPr>
          <w:iCs/>
          <w:spacing w:val="-1"/>
        </w:rPr>
        <w:t>emulsified</w:t>
      </w:r>
      <w:r w:rsidR="004D31F2">
        <w:rPr>
          <w:iCs/>
          <w:spacing w:val="-1"/>
        </w:rPr>
        <w:t xml:space="preserve"> asphalt usage were obtained from </w:t>
      </w:r>
      <w:r w:rsidR="008B0160">
        <w:rPr>
          <w:iCs/>
          <w:spacing w:val="-1"/>
        </w:rPr>
        <w:t xml:space="preserve">the </w:t>
      </w:r>
      <w:r w:rsidR="008B0160" w:rsidRPr="008B0160">
        <w:rPr>
          <w:i/>
          <w:iCs/>
          <w:spacing w:val="-1"/>
        </w:rPr>
        <w:t xml:space="preserve">Technical Report Series </w:t>
      </w:r>
      <w:r w:rsidR="008B0160">
        <w:rPr>
          <w:iCs/>
          <w:spacing w:val="-1"/>
        </w:rPr>
        <w:t>produced by the U.S. EPA’s Emission Inventory Improvement Program and are reported in Table 1 below.</w:t>
      </w:r>
      <w:r w:rsidR="008B0160" w:rsidRPr="008B0160">
        <w:rPr>
          <w:iCs/>
          <w:spacing w:val="-1"/>
          <w:vertAlign w:val="superscript"/>
        </w:rPr>
        <w:t>1</w:t>
      </w:r>
    </w:p>
    <w:p w:rsidR="008A0A0A" w:rsidRDefault="008A0A0A">
      <w:pPr>
        <w:shd w:val="clear" w:color="auto" w:fill="FFFFFF"/>
        <w:spacing w:before="202"/>
        <w:rPr>
          <w:b/>
          <w:i/>
          <w:iCs/>
          <w:spacing w:val="-1"/>
        </w:rPr>
      </w:pPr>
    </w:p>
    <w:p w:rsidR="008A0A0A" w:rsidRDefault="008A0A0A">
      <w:pPr>
        <w:shd w:val="clear" w:color="auto" w:fill="FFFFFF"/>
        <w:spacing w:before="202"/>
        <w:rPr>
          <w:b/>
          <w:i/>
          <w:iCs/>
          <w:spacing w:val="-1"/>
        </w:rPr>
      </w:pPr>
    </w:p>
    <w:p w:rsidR="008A0A0A" w:rsidRDefault="008A0A0A">
      <w:pPr>
        <w:shd w:val="clear" w:color="auto" w:fill="FFFFFF"/>
        <w:spacing w:before="202"/>
        <w:rPr>
          <w:b/>
          <w:i/>
          <w:iCs/>
          <w:spacing w:val="-1"/>
        </w:rPr>
      </w:pPr>
    </w:p>
    <w:p w:rsidR="008A0A0A" w:rsidRDefault="008A0A0A">
      <w:pPr>
        <w:shd w:val="clear" w:color="auto" w:fill="FFFFFF"/>
        <w:spacing w:before="202"/>
        <w:rPr>
          <w:b/>
          <w:i/>
          <w:iCs/>
          <w:spacing w:val="-1"/>
        </w:rPr>
      </w:pPr>
    </w:p>
    <w:p w:rsidR="008A0A0A" w:rsidRDefault="008A0A0A">
      <w:pPr>
        <w:shd w:val="clear" w:color="auto" w:fill="FFFFFF"/>
        <w:spacing w:before="202"/>
        <w:rPr>
          <w:b/>
          <w:i/>
          <w:iCs/>
          <w:spacing w:val="-1"/>
        </w:rPr>
      </w:pPr>
    </w:p>
    <w:p w:rsidR="000F5892" w:rsidRDefault="004C68A6">
      <w:pPr>
        <w:shd w:val="clear" w:color="auto" w:fill="FFFFFF"/>
        <w:spacing w:before="202"/>
        <w:rPr>
          <w:b/>
          <w:i/>
          <w:iCs/>
          <w:spacing w:val="-1"/>
        </w:rPr>
      </w:pPr>
      <w:r w:rsidRPr="004C68A6">
        <w:rPr>
          <w:b/>
          <w:i/>
          <w:iCs/>
          <w:spacing w:val="-1"/>
        </w:rPr>
        <w:t xml:space="preserve">d. </w:t>
      </w:r>
      <w:r w:rsidR="000E175C">
        <w:rPr>
          <w:b/>
          <w:i/>
          <w:iCs/>
          <w:spacing w:val="-1"/>
        </w:rPr>
        <w:t>Emissions</w:t>
      </w:r>
    </w:p>
    <w:p w:rsidR="00F76393" w:rsidRDefault="00F76393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 xml:space="preserve">Emissions were calculated by multiplying the county-level asphalt usage </w:t>
      </w:r>
      <w:r w:rsidR="00B64EC3">
        <w:rPr>
          <w:iCs/>
          <w:spacing w:val="-1"/>
        </w:rPr>
        <w:t xml:space="preserve">(barrels) </w:t>
      </w:r>
      <w:r>
        <w:rPr>
          <w:iCs/>
          <w:spacing w:val="-1"/>
        </w:rPr>
        <w:t>by the emission factors listed in Table 1 and then dividing by 2000 to convert pounds to tons.</w:t>
      </w:r>
    </w:p>
    <w:p w:rsidR="00F76393" w:rsidRDefault="00F76393">
      <w:pPr>
        <w:shd w:val="clear" w:color="auto" w:fill="FFFFFF"/>
        <w:spacing w:before="202"/>
        <w:rPr>
          <w:iCs/>
          <w:spacing w:val="-1"/>
        </w:rPr>
      </w:pPr>
    </w:p>
    <w:p w:rsidR="00F76393" w:rsidRDefault="00F76393" w:rsidP="00EC6F3F">
      <w:pPr>
        <w:shd w:val="clear" w:color="auto" w:fill="FFFFFF"/>
        <w:spacing w:before="202"/>
        <w:jc w:val="center"/>
        <w:rPr>
          <w:iCs/>
          <w:spacing w:val="-1"/>
        </w:rPr>
      </w:pPr>
      <w:r>
        <w:rPr>
          <w:iCs/>
          <w:spacing w:val="-1"/>
        </w:rPr>
        <w:t>Emissions</w:t>
      </w:r>
      <w:r w:rsidRPr="00F76393">
        <w:rPr>
          <w:iCs/>
          <w:spacing w:val="-1"/>
          <w:vertAlign w:val="subscript"/>
        </w:rPr>
        <w:t>x</w:t>
      </w:r>
      <w:proofErr w:type="gramStart"/>
      <w:r>
        <w:rPr>
          <w:iCs/>
          <w:spacing w:val="-1"/>
          <w:vertAlign w:val="subscript"/>
        </w:rPr>
        <w:t>,y</w:t>
      </w:r>
      <w:proofErr w:type="gramEnd"/>
      <w:r>
        <w:rPr>
          <w:iCs/>
          <w:spacing w:val="-1"/>
        </w:rPr>
        <w:t xml:space="preserve"> = (Asphalt Usage</w:t>
      </w:r>
      <w:r w:rsidRPr="00F76393">
        <w:rPr>
          <w:iCs/>
          <w:spacing w:val="-1"/>
          <w:vertAlign w:val="subscript"/>
        </w:rPr>
        <w:t>x</w:t>
      </w:r>
      <w:r>
        <w:rPr>
          <w:iCs/>
          <w:spacing w:val="-1"/>
        </w:rPr>
        <w:t xml:space="preserve"> * EF</w:t>
      </w:r>
      <w:r w:rsidRPr="00F76393">
        <w:rPr>
          <w:iCs/>
          <w:spacing w:val="-1"/>
          <w:vertAlign w:val="subscript"/>
        </w:rPr>
        <w:t>y</w:t>
      </w:r>
      <w:r>
        <w:rPr>
          <w:iCs/>
          <w:spacing w:val="-1"/>
        </w:rPr>
        <w:t>) / 2000</w:t>
      </w:r>
    </w:p>
    <w:p w:rsidR="00F76393" w:rsidRPr="00F76393" w:rsidRDefault="00F76393">
      <w:pPr>
        <w:shd w:val="clear" w:color="auto" w:fill="FFFFFF"/>
        <w:spacing w:before="202"/>
        <w:rPr>
          <w:iCs/>
          <w:spacing w:val="-1"/>
        </w:rPr>
      </w:pPr>
    </w:p>
    <w:p w:rsidR="00F76393" w:rsidRDefault="00F76393" w:rsidP="00F76393">
      <w:pPr>
        <w:shd w:val="clear" w:color="auto" w:fill="FFFFFF"/>
      </w:pPr>
      <w:proofErr w:type="gramStart"/>
      <w:r>
        <w:t>where</w:t>
      </w:r>
      <w:proofErr w:type="gramEnd"/>
      <w:r>
        <w:t>:</w:t>
      </w:r>
      <w:r>
        <w:tab/>
      </w:r>
      <w:r>
        <w:tab/>
        <w:t>Emissions</w:t>
      </w:r>
      <w:r w:rsidRPr="00B64EC3">
        <w:rPr>
          <w:vertAlign w:val="subscript"/>
        </w:rPr>
        <w:t>x,y</w:t>
      </w:r>
      <w:r>
        <w:t xml:space="preserve"> = emissions (tons) of pollutant y in county x</w:t>
      </w:r>
    </w:p>
    <w:p w:rsidR="00F76393" w:rsidRDefault="00F76393" w:rsidP="00F76393">
      <w:pPr>
        <w:shd w:val="clear" w:color="auto" w:fill="FFFFFF"/>
      </w:pPr>
      <w:r>
        <w:tab/>
      </w:r>
      <w:r>
        <w:tab/>
        <w:t>Asphalt Usage</w:t>
      </w:r>
      <w:r w:rsidRPr="00B64EC3">
        <w:rPr>
          <w:vertAlign w:val="subscript"/>
        </w:rPr>
        <w:t>x</w:t>
      </w:r>
      <w:r>
        <w:t xml:space="preserve"> = </w:t>
      </w:r>
      <w:r w:rsidR="008A6F70">
        <w:t>emulsified</w:t>
      </w:r>
      <w:r>
        <w:t xml:space="preserve"> asphalt (barrels) used in county x</w:t>
      </w:r>
    </w:p>
    <w:p w:rsidR="00B64EC3" w:rsidRDefault="00B64EC3" w:rsidP="00F76393">
      <w:pPr>
        <w:shd w:val="clear" w:color="auto" w:fill="FFFFFF"/>
      </w:pPr>
      <w:r>
        <w:tab/>
      </w:r>
      <w:r>
        <w:tab/>
        <w:t>EF</w:t>
      </w:r>
      <w:r w:rsidRPr="00B64EC3">
        <w:rPr>
          <w:vertAlign w:val="subscript"/>
        </w:rPr>
        <w:t>y</w:t>
      </w:r>
      <w:r>
        <w:t xml:space="preserve"> = emission factor for pollutant y</w:t>
      </w:r>
    </w:p>
    <w:p w:rsidR="00B64EC3" w:rsidRDefault="00B64EC3" w:rsidP="00F76393">
      <w:pPr>
        <w:shd w:val="clear" w:color="auto" w:fill="FFFFFF"/>
      </w:pPr>
    </w:p>
    <w:p w:rsidR="00B64EC3" w:rsidRDefault="00B64EC3" w:rsidP="00F76393">
      <w:pPr>
        <w:shd w:val="clear" w:color="auto" w:fill="FFFFFF"/>
      </w:pPr>
      <w:r>
        <w:t xml:space="preserve">To convert tons of asphalt reported in the </w:t>
      </w:r>
      <w:r w:rsidRPr="00B64EC3">
        <w:rPr>
          <w:i/>
        </w:rPr>
        <w:t>2008 Asphalt Usage Survey</w:t>
      </w:r>
      <w:r>
        <w:t xml:space="preserve"> to barrels, it was assumed that the density of asphalt is similar to that of water, 8.34 lbs/gal, and that one barrel equals 42 gallons.</w:t>
      </w:r>
    </w:p>
    <w:p w:rsidR="00B64EC3" w:rsidRDefault="00B64EC3" w:rsidP="00F76393">
      <w:pPr>
        <w:shd w:val="clear" w:color="auto" w:fill="FFFFFF"/>
      </w:pPr>
    </w:p>
    <w:p w:rsidR="00B64EC3" w:rsidRDefault="00B64EC3" w:rsidP="00EC6F3F">
      <w:pPr>
        <w:shd w:val="clear" w:color="auto" w:fill="FFFFFF"/>
        <w:jc w:val="center"/>
      </w:pPr>
      <w:r>
        <w:t>Barrels of Asphalt = (tons of asphalt * 2000 lbs / 8.34 lbs/gal) / 42 gal/barrel</w:t>
      </w:r>
    </w:p>
    <w:p w:rsidR="00B64EC3" w:rsidRDefault="00B64EC3" w:rsidP="00F76393">
      <w:pPr>
        <w:shd w:val="clear" w:color="auto" w:fill="FFFFFF"/>
      </w:pPr>
    </w:p>
    <w:p w:rsidR="00B64EC3" w:rsidRPr="00F76393" w:rsidRDefault="00EC6F3F" w:rsidP="00F76393">
      <w:pPr>
        <w:shd w:val="clear" w:color="auto" w:fill="FFFFFF"/>
      </w:pPr>
      <w:r>
        <w:t xml:space="preserve">Note that </w:t>
      </w:r>
      <w:r w:rsidR="00B64EC3">
        <w:t>one barrel of asphalt weights approximately 350 pounds.</w:t>
      </w:r>
    </w:p>
    <w:p w:rsidR="000F5892" w:rsidRDefault="004C68A6">
      <w:pPr>
        <w:shd w:val="clear" w:color="auto" w:fill="FFFFFF"/>
        <w:spacing w:before="202"/>
        <w:rPr>
          <w:b/>
          <w:i/>
          <w:iCs/>
          <w:spacing w:val="-1"/>
        </w:rPr>
      </w:pPr>
      <w:r w:rsidRPr="004C68A6">
        <w:rPr>
          <w:b/>
          <w:i/>
          <w:iCs/>
          <w:spacing w:val="-1"/>
        </w:rPr>
        <w:t xml:space="preserve">e. </w:t>
      </w:r>
      <w:r w:rsidR="000E175C">
        <w:rPr>
          <w:b/>
          <w:i/>
          <w:iCs/>
          <w:spacing w:val="-1"/>
        </w:rPr>
        <w:t>Sample Calculation</w:t>
      </w:r>
    </w:p>
    <w:p w:rsidR="00EC6F3F" w:rsidRDefault="00EC6F3F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 xml:space="preserve">VOC emissions from </w:t>
      </w:r>
      <w:r w:rsidR="008A6F70">
        <w:rPr>
          <w:iCs/>
          <w:spacing w:val="-1"/>
        </w:rPr>
        <w:t>emulsified</w:t>
      </w:r>
      <w:r>
        <w:rPr>
          <w:iCs/>
          <w:spacing w:val="-1"/>
        </w:rPr>
        <w:t xml:space="preserve"> asphalt usage in </w:t>
      </w:r>
      <w:smartTag w:uri="urn:schemas-microsoft-com:office:smarttags" w:element="place">
        <w:smartTag w:uri="urn:schemas-microsoft-com:office:smarttags" w:element="City">
          <w:r>
            <w:rPr>
              <w:iCs/>
              <w:spacing w:val="-1"/>
            </w:rPr>
            <w:t>Autauga County</w:t>
          </w:r>
        </w:smartTag>
        <w:r>
          <w:rPr>
            <w:iCs/>
            <w:spacing w:val="-1"/>
          </w:rPr>
          <w:t xml:space="preserve">, </w:t>
        </w:r>
        <w:smartTag w:uri="urn:schemas-microsoft-com:office:smarttags" w:element="State">
          <w:r>
            <w:rPr>
              <w:iCs/>
              <w:spacing w:val="-1"/>
            </w:rPr>
            <w:t>Alabama</w:t>
          </w:r>
        </w:smartTag>
      </w:smartTag>
      <w:r>
        <w:rPr>
          <w:iCs/>
          <w:spacing w:val="-1"/>
        </w:rPr>
        <w:t>:</w:t>
      </w:r>
    </w:p>
    <w:p w:rsidR="00EC6F3F" w:rsidRDefault="00EC6F3F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 xml:space="preserve">From the </w:t>
      </w:r>
      <w:r w:rsidRPr="00EC6F3F">
        <w:rPr>
          <w:i/>
          <w:iCs/>
          <w:spacing w:val="-1"/>
        </w:rPr>
        <w:t>2008 Asphalt Usage Survey</w:t>
      </w:r>
      <w:r>
        <w:rPr>
          <w:iCs/>
          <w:spacing w:val="-1"/>
        </w:rPr>
        <w:t xml:space="preserve">, the state of </w:t>
      </w:r>
      <w:smartTag w:uri="urn:schemas-microsoft-com:office:smarttags" w:element="State">
        <w:smartTag w:uri="urn:schemas-microsoft-com:office:smarttags" w:element="place">
          <w:r>
            <w:rPr>
              <w:iCs/>
              <w:spacing w:val="-1"/>
            </w:rPr>
            <w:t>Alabama</w:t>
          </w:r>
        </w:smartTag>
      </w:smartTag>
      <w:r>
        <w:rPr>
          <w:iCs/>
          <w:spacing w:val="-1"/>
        </w:rPr>
        <w:t xml:space="preserve"> used 1</w:t>
      </w:r>
      <w:r w:rsidR="005F4D6B">
        <w:rPr>
          <w:iCs/>
          <w:spacing w:val="-1"/>
        </w:rPr>
        <w:t>8</w:t>
      </w:r>
      <w:r>
        <w:rPr>
          <w:iCs/>
          <w:spacing w:val="-1"/>
        </w:rPr>
        <w:t>,</w:t>
      </w:r>
      <w:r w:rsidR="005F4D6B">
        <w:rPr>
          <w:iCs/>
          <w:spacing w:val="-1"/>
        </w:rPr>
        <w:t>98</w:t>
      </w:r>
      <w:r>
        <w:rPr>
          <w:iCs/>
          <w:spacing w:val="-1"/>
        </w:rPr>
        <w:t xml:space="preserve">8 tons of </w:t>
      </w:r>
      <w:r w:rsidR="008A6F70">
        <w:rPr>
          <w:iCs/>
          <w:spacing w:val="-1"/>
        </w:rPr>
        <w:t>emulsified</w:t>
      </w:r>
      <w:r>
        <w:rPr>
          <w:iCs/>
          <w:spacing w:val="-1"/>
        </w:rPr>
        <w:t xml:space="preserve"> asphalt in 2008. The fraction of paved road VMT traveled in </w:t>
      </w:r>
      <w:smartTag w:uri="urn:schemas-microsoft-com:office:smarttags" w:element="place">
        <w:smartTag w:uri="urn:schemas-microsoft-com:office:smarttags" w:element="PlaceName">
          <w:r>
            <w:rPr>
              <w:iCs/>
              <w:spacing w:val="-1"/>
            </w:rPr>
            <w:t>Autauga</w:t>
          </w:r>
        </w:smartTag>
        <w:r>
          <w:rPr>
            <w:iCs/>
            <w:spacing w:val="-1"/>
          </w:rPr>
          <w:t xml:space="preserve"> </w:t>
        </w:r>
        <w:smartTag w:uri="urn:schemas-microsoft-com:office:smarttags" w:element="PlaceType">
          <w:r>
            <w:rPr>
              <w:iCs/>
              <w:spacing w:val="-1"/>
            </w:rPr>
            <w:t>County</w:t>
          </w:r>
        </w:smartTag>
      </w:smartTag>
      <w:r>
        <w:rPr>
          <w:iCs/>
          <w:spacing w:val="-1"/>
        </w:rPr>
        <w:t xml:space="preserve"> is 497 million miles divided by 53,633 million miles which equals 0.0093.</w:t>
      </w:r>
    </w:p>
    <w:p w:rsidR="00EC6F3F" w:rsidRDefault="00EC6F3F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ab/>
        <w:t>Asphalt Usage</w:t>
      </w:r>
      <w:r w:rsidRPr="00EC6F3F">
        <w:rPr>
          <w:iCs/>
          <w:spacing w:val="-1"/>
          <w:vertAlign w:val="subscript"/>
        </w:rPr>
        <w:t>Autauga</w:t>
      </w:r>
      <w:r>
        <w:rPr>
          <w:iCs/>
          <w:spacing w:val="-1"/>
        </w:rPr>
        <w:t xml:space="preserve"> = </w:t>
      </w:r>
      <w:r w:rsidR="00F81245">
        <w:rPr>
          <w:iCs/>
          <w:spacing w:val="-1"/>
        </w:rPr>
        <w:t>((1</w:t>
      </w:r>
      <w:r w:rsidR="005F4D6B">
        <w:rPr>
          <w:iCs/>
          <w:spacing w:val="-1"/>
        </w:rPr>
        <w:t>8</w:t>
      </w:r>
      <w:r w:rsidR="00F81245">
        <w:rPr>
          <w:iCs/>
          <w:spacing w:val="-1"/>
        </w:rPr>
        <w:t>,</w:t>
      </w:r>
      <w:r w:rsidR="005F4D6B">
        <w:rPr>
          <w:iCs/>
          <w:spacing w:val="-1"/>
        </w:rPr>
        <w:t>98</w:t>
      </w:r>
      <w:r w:rsidR="00F81245">
        <w:rPr>
          <w:iCs/>
          <w:spacing w:val="-1"/>
        </w:rPr>
        <w:t>8 tons * 2000 lbs / 8.34 lbs/gal) / 42 gal/barrel) * 0.0093</w:t>
      </w:r>
    </w:p>
    <w:p w:rsidR="00F81245" w:rsidRDefault="00F81245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ab/>
        <w:t>Asphalt Usage</w:t>
      </w:r>
      <w:r w:rsidRPr="00EC6F3F">
        <w:rPr>
          <w:iCs/>
          <w:spacing w:val="-1"/>
          <w:vertAlign w:val="subscript"/>
        </w:rPr>
        <w:t>Autauga</w:t>
      </w:r>
      <w:r>
        <w:rPr>
          <w:iCs/>
          <w:spacing w:val="-1"/>
        </w:rPr>
        <w:t xml:space="preserve"> = </w:t>
      </w:r>
      <w:r w:rsidR="005F4D6B">
        <w:rPr>
          <w:iCs/>
          <w:spacing w:val="-1"/>
        </w:rPr>
        <w:t>1,004</w:t>
      </w:r>
      <w:r>
        <w:rPr>
          <w:iCs/>
          <w:spacing w:val="-1"/>
        </w:rPr>
        <w:t xml:space="preserve"> barrels</w:t>
      </w:r>
    </w:p>
    <w:p w:rsidR="00F81245" w:rsidRDefault="00F81245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ab/>
        <w:t>VOC Emissions</w:t>
      </w:r>
      <w:r w:rsidRPr="00F81245">
        <w:rPr>
          <w:iCs/>
          <w:spacing w:val="-1"/>
          <w:vertAlign w:val="subscript"/>
        </w:rPr>
        <w:t>Autauga</w:t>
      </w:r>
      <w:r>
        <w:rPr>
          <w:iCs/>
          <w:spacing w:val="-1"/>
        </w:rPr>
        <w:t xml:space="preserve"> = (</w:t>
      </w:r>
      <w:r w:rsidR="005F4D6B">
        <w:rPr>
          <w:iCs/>
          <w:spacing w:val="-1"/>
        </w:rPr>
        <w:t>1,004</w:t>
      </w:r>
      <w:r>
        <w:rPr>
          <w:iCs/>
          <w:spacing w:val="-1"/>
        </w:rPr>
        <w:t xml:space="preserve"> barrels * </w:t>
      </w:r>
      <w:r w:rsidR="005F4D6B">
        <w:rPr>
          <w:iCs/>
          <w:spacing w:val="-1"/>
        </w:rPr>
        <w:t>9.2</w:t>
      </w:r>
      <w:r>
        <w:rPr>
          <w:iCs/>
          <w:spacing w:val="-1"/>
        </w:rPr>
        <w:t xml:space="preserve"> lbs/barrel) / 2000 lbs/ton</w:t>
      </w:r>
    </w:p>
    <w:p w:rsidR="00F81245" w:rsidRPr="00EC6F3F" w:rsidRDefault="00F81245" w:rsidP="00F81245">
      <w:pPr>
        <w:shd w:val="clear" w:color="auto" w:fill="FFFFFF"/>
        <w:spacing w:before="202"/>
        <w:ind w:firstLine="720"/>
      </w:pPr>
      <w:r>
        <w:rPr>
          <w:iCs/>
          <w:spacing w:val="-1"/>
        </w:rPr>
        <w:t>VOC Emissions</w:t>
      </w:r>
      <w:r w:rsidRPr="00F81245">
        <w:rPr>
          <w:iCs/>
          <w:spacing w:val="-1"/>
          <w:vertAlign w:val="subscript"/>
        </w:rPr>
        <w:t>Autauga</w:t>
      </w:r>
      <w:r>
        <w:rPr>
          <w:iCs/>
          <w:spacing w:val="-1"/>
        </w:rPr>
        <w:t xml:space="preserve"> = 4.</w:t>
      </w:r>
      <w:r w:rsidR="005F4D6B">
        <w:rPr>
          <w:iCs/>
          <w:spacing w:val="-1"/>
        </w:rPr>
        <w:t>62</w:t>
      </w:r>
      <w:r>
        <w:rPr>
          <w:iCs/>
          <w:spacing w:val="-1"/>
        </w:rPr>
        <w:t xml:space="preserve"> tons</w:t>
      </w:r>
    </w:p>
    <w:p w:rsidR="000E175C" w:rsidRDefault="000E175C" w:rsidP="000E175C">
      <w:pPr>
        <w:shd w:val="clear" w:color="auto" w:fill="FFFFFF"/>
      </w:pPr>
    </w:p>
    <w:p w:rsidR="000E175C" w:rsidRDefault="000E175C" w:rsidP="000E175C">
      <w:pPr>
        <w:shd w:val="clear" w:color="auto" w:fill="FFFFFF"/>
      </w:pPr>
    </w:p>
    <w:p w:rsidR="000F5892" w:rsidRDefault="000F5892" w:rsidP="000E175C">
      <w:pPr>
        <w:shd w:val="clear" w:color="auto" w:fill="FFFFFF"/>
        <w:jc w:val="center"/>
      </w:pPr>
      <w:proofErr w:type="gramStart"/>
      <w:r>
        <w:rPr>
          <w:b/>
          <w:bCs/>
        </w:rPr>
        <w:t xml:space="preserve">Table </w:t>
      </w:r>
      <w:r w:rsidR="000E175C">
        <w:rPr>
          <w:b/>
          <w:bCs/>
        </w:rPr>
        <w:t>1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 w:rsidR="008B0160">
        <w:rPr>
          <w:b/>
          <w:bCs/>
        </w:rPr>
        <w:t xml:space="preserve">Criteria </w:t>
      </w:r>
      <w:r w:rsidR="000E175C">
        <w:rPr>
          <w:b/>
          <w:bCs/>
        </w:rPr>
        <w:t xml:space="preserve">Emission Factors for </w:t>
      </w:r>
      <w:r w:rsidR="008A6F70">
        <w:rPr>
          <w:b/>
          <w:bCs/>
        </w:rPr>
        <w:t>Emulsified</w:t>
      </w:r>
      <w:r w:rsidR="000E175C">
        <w:rPr>
          <w:b/>
          <w:bCs/>
        </w:rPr>
        <w:t xml:space="preserve"> Asphalt Paving</w:t>
      </w:r>
    </w:p>
    <w:p w:rsidR="000F5892" w:rsidRDefault="000F5892">
      <w:pPr>
        <w:spacing w:after="211" w:line="1" w:lineRule="exact"/>
        <w:rPr>
          <w:sz w:val="2"/>
          <w:szCs w:val="2"/>
        </w:rPr>
      </w:pPr>
    </w:p>
    <w:tbl>
      <w:tblPr>
        <w:tblW w:w="9059" w:type="dxa"/>
        <w:jc w:val="center"/>
        <w:tblInd w:w="3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80"/>
        <w:gridCol w:w="1652"/>
        <w:gridCol w:w="1620"/>
        <w:gridCol w:w="2007"/>
      </w:tblGrid>
      <w:tr w:rsidR="008B0160" w:rsidRPr="008B0160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7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8B0160">
            <w:pPr>
              <w:shd w:val="clear" w:color="auto" w:fill="FFFFFF"/>
              <w:spacing w:line="192" w:lineRule="exact"/>
              <w:ind w:right="19"/>
              <w:jc w:val="center"/>
              <w:rPr>
                <w:sz w:val="16"/>
                <w:szCs w:val="16"/>
              </w:rPr>
            </w:pPr>
            <w:r w:rsidRPr="008B0160">
              <w:rPr>
                <w:b/>
                <w:bCs/>
                <w:sz w:val="16"/>
                <w:szCs w:val="16"/>
              </w:rPr>
              <w:t>Pollutant Description</w:t>
            </w:r>
          </w:p>
        </w:tc>
        <w:tc>
          <w:tcPr>
            <w:tcW w:w="16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8B0160">
            <w:pPr>
              <w:shd w:val="clear" w:color="auto" w:fill="FFFFFF"/>
              <w:ind w:left="110"/>
              <w:jc w:val="center"/>
              <w:rPr>
                <w:sz w:val="16"/>
                <w:szCs w:val="16"/>
              </w:rPr>
            </w:pPr>
            <w:r w:rsidRPr="008B0160">
              <w:rPr>
                <w:b/>
                <w:bCs/>
                <w:sz w:val="16"/>
                <w:szCs w:val="16"/>
              </w:rPr>
              <w:t>Pollutant Code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F7639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8B0160">
              <w:rPr>
                <w:b/>
                <w:bCs/>
                <w:spacing w:val="-1"/>
                <w:sz w:val="16"/>
                <w:szCs w:val="16"/>
              </w:rPr>
              <w:t>Emission Factor (LBS/BARREL)</w:t>
            </w:r>
          </w:p>
        </w:tc>
        <w:tc>
          <w:tcPr>
            <w:tcW w:w="20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F76393" w:rsidRDefault="008B0160" w:rsidP="00F76393">
            <w:pPr>
              <w:shd w:val="clear" w:color="auto" w:fill="FFFFFF"/>
              <w:spacing w:line="192" w:lineRule="exact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8B0160">
              <w:rPr>
                <w:b/>
                <w:bCs/>
                <w:spacing w:val="-1"/>
                <w:sz w:val="16"/>
                <w:szCs w:val="16"/>
              </w:rPr>
              <w:t>Emission Factor</w:t>
            </w:r>
          </w:p>
          <w:p w:rsidR="008B0160" w:rsidRPr="008B0160" w:rsidRDefault="008B0160" w:rsidP="00F76393">
            <w:pPr>
              <w:shd w:val="clear" w:color="auto" w:fill="FFFFFF"/>
              <w:spacing w:line="192" w:lineRule="exact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8B0160">
              <w:rPr>
                <w:b/>
                <w:bCs/>
                <w:spacing w:val="-1"/>
                <w:sz w:val="16"/>
                <w:szCs w:val="16"/>
              </w:rPr>
              <w:t>Reference</w:t>
            </w:r>
          </w:p>
        </w:tc>
      </w:tr>
      <w:tr w:rsidR="008B0160" w:rsidRPr="008B0160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37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F76393">
            <w:pPr>
              <w:shd w:val="clear" w:color="auto" w:fill="FFFFFF"/>
              <w:rPr>
                <w:sz w:val="16"/>
                <w:szCs w:val="16"/>
              </w:rPr>
            </w:pPr>
            <w:r w:rsidRPr="008B0160">
              <w:rPr>
                <w:color w:val="000000"/>
                <w:sz w:val="16"/>
                <w:szCs w:val="16"/>
              </w:rPr>
              <w:t>VOLATILE ORGANIC COMPOUNDS</w:t>
            </w:r>
          </w:p>
        </w:tc>
        <w:tc>
          <w:tcPr>
            <w:tcW w:w="165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VOC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5F4D6B" w:rsidP="00F76393">
            <w:pPr>
              <w:ind w:right="5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</w:t>
            </w:r>
          </w:p>
        </w:tc>
        <w:tc>
          <w:tcPr>
            <w:tcW w:w="20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</w:t>
            </w:r>
          </w:p>
        </w:tc>
      </w:tr>
    </w:tbl>
    <w:p w:rsidR="000F5892" w:rsidRPr="004C68A6" w:rsidRDefault="004C68A6">
      <w:pPr>
        <w:shd w:val="clear" w:color="auto" w:fill="FFFFFF"/>
        <w:spacing w:before="701"/>
        <w:rPr>
          <w:b/>
          <w:i/>
        </w:rPr>
      </w:pPr>
      <w:r w:rsidRPr="004C68A6">
        <w:rPr>
          <w:b/>
          <w:i/>
          <w:spacing w:val="-1"/>
        </w:rPr>
        <w:t xml:space="preserve">f. </w:t>
      </w:r>
      <w:r w:rsidR="000F5892" w:rsidRPr="004C68A6">
        <w:rPr>
          <w:b/>
          <w:i/>
          <w:spacing w:val="-1"/>
        </w:rPr>
        <w:t>References</w:t>
      </w:r>
    </w:p>
    <w:p w:rsidR="000F5892" w:rsidRPr="00F85EC0" w:rsidRDefault="002F3D43" w:rsidP="00B53F02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02" w:line="230" w:lineRule="exact"/>
        <w:ind w:left="576" w:hanging="576"/>
        <w:rPr>
          <w:spacing w:val="-4"/>
        </w:rPr>
      </w:pPr>
      <w:r>
        <w:t>U.S.</w:t>
      </w:r>
      <w:r w:rsidR="000F5892">
        <w:t xml:space="preserve"> Environmental Protection Agency, </w:t>
      </w:r>
      <w:r w:rsidR="0093664A">
        <w:t>Emissions Inventory Improvement Program</w:t>
      </w:r>
      <w:r>
        <w:t>,</w:t>
      </w:r>
      <w:r w:rsidR="000F5892">
        <w:t xml:space="preserve"> </w:t>
      </w:r>
      <w:r w:rsidRPr="002F3D43">
        <w:rPr>
          <w:i/>
        </w:rPr>
        <w:t>Technical Report Series</w:t>
      </w:r>
      <w:r>
        <w:t xml:space="preserve">, Volume </w:t>
      </w:r>
      <w:smartTag w:uri="urn:schemas-microsoft-com:office:smarttags" w:element="stockticker">
        <w:r>
          <w:t>III</w:t>
        </w:r>
      </w:smartTag>
      <w:r>
        <w:t xml:space="preserve"> – Area Sources, Chapter 17,</w:t>
      </w:r>
      <w:r>
        <w:rPr>
          <w:spacing w:val="-1"/>
        </w:rPr>
        <w:t xml:space="preserve"> </w:t>
      </w:r>
      <w:r w:rsidR="000F5892">
        <w:rPr>
          <w:spacing w:val="-1"/>
        </w:rPr>
        <w:t>“</w:t>
      </w:r>
      <w:r w:rsidR="0093664A">
        <w:rPr>
          <w:spacing w:val="-1"/>
        </w:rPr>
        <w:t>Asphalt Paving</w:t>
      </w:r>
      <w:r w:rsidR="0093664A">
        <w:t>,</w:t>
      </w:r>
      <w:r w:rsidR="000F5892">
        <w:t>”</w:t>
      </w:r>
      <w:r w:rsidR="0093664A">
        <w:t xml:space="preserve"> </w:t>
      </w:r>
      <w:r>
        <w:t xml:space="preserve">prepared by Eastern Research Group, Inc. for EPA, </w:t>
      </w:r>
      <w:smartTag w:uri="urn:schemas-microsoft-com:office:smarttags" w:element="place">
        <w:smartTag w:uri="urn:schemas-microsoft-com:office:smarttags" w:element="City">
          <w:r>
            <w:t>Research Triangle Park</w:t>
          </w:r>
        </w:smartTag>
        <w:r>
          <w:t xml:space="preserve">, </w:t>
        </w:r>
        <w:smartTag w:uri="urn:schemas-microsoft-com:office:smarttags" w:element="State">
          <w:r>
            <w:t>NC</w:t>
          </w:r>
        </w:smartTag>
      </w:smartTag>
      <w:r>
        <w:t>,</w:t>
      </w:r>
      <w:r w:rsidR="000F5892">
        <w:t xml:space="preserve"> 200</w:t>
      </w:r>
      <w:r>
        <w:t>1</w:t>
      </w:r>
      <w:r w:rsidR="000F5892">
        <w:t>.</w:t>
      </w:r>
      <w:r>
        <w:t xml:space="preserve"> Available at </w:t>
      </w:r>
      <w:r w:rsidRPr="002F3D43">
        <w:rPr>
          <w:u w:val="single"/>
        </w:rPr>
        <w:t>http://www.epa.gov/ttn/chief/eiip/techreport/volume03/index.html</w:t>
      </w:r>
      <w:r>
        <w:t xml:space="preserve">. </w:t>
      </w:r>
    </w:p>
    <w:p w:rsidR="00F85EC0" w:rsidRDefault="00F85EC0" w:rsidP="00B53F02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02" w:line="230" w:lineRule="exact"/>
        <w:ind w:left="576" w:hanging="576"/>
        <w:rPr>
          <w:spacing w:val="-4"/>
        </w:rPr>
      </w:pPr>
      <w:r>
        <w:t xml:space="preserve">Asphalt Institute, </w:t>
      </w:r>
      <w:r w:rsidRPr="00F85EC0">
        <w:rPr>
          <w:i/>
        </w:rPr>
        <w:t xml:space="preserve">2008 Asphalt Usage Survey for the </w:t>
      </w:r>
      <w:smartTag w:uri="urn:schemas-microsoft-com:office:smarttags" w:element="country-region">
        <w:smartTag w:uri="urn:schemas-microsoft-com:office:smarttags" w:element="place">
          <w:r w:rsidRPr="00F85EC0">
            <w:rPr>
              <w:i/>
            </w:rPr>
            <w:t>United States</w:t>
          </w:r>
        </w:smartTag>
      </w:smartTag>
      <w:r w:rsidRPr="00F85EC0">
        <w:rPr>
          <w:i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F85EC0">
            <w:rPr>
              <w:i/>
            </w:rPr>
            <w:t>Canada</w:t>
          </w:r>
        </w:smartTag>
      </w:smartTag>
      <w:r>
        <w:t xml:space="preserve">, </w:t>
      </w:r>
      <w:r w:rsidRPr="00F85EC0">
        <w:rPr>
          <w:u w:val="single"/>
        </w:rPr>
        <w:t>http://www.asphaltinstitute.org/</w:t>
      </w:r>
      <w:r>
        <w:t xml:space="preserve">. </w:t>
      </w:r>
    </w:p>
    <w:p w:rsidR="000F5892" w:rsidRPr="00881DD2" w:rsidRDefault="000F5892" w:rsidP="00881DD2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02" w:line="230" w:lineRule="exact"/>
        <w:ind w:left="576" w:hanging="576"/>
        <w:rPr>
          <w:spacing w:val="-4"/>
        </w:rPr>
      </w:pPr>
      <w:r>
        <w:rPr>
          <w:spacing w:val="-1"/>
        </w:rPr>
        <w:t>U.S. Department of Transportation, Federal Highway</w:t>
      </w:r>
      <w:r w:rsidR="002F3D43">
        <w:rPr>
          <w:spacing w:val="-1"/>
        </w:rPr>
        <w:t xml:space="preserve"> Administration,</w:t>
      </w:r>
      <w:r>
        <w:rPr>
          <w:spacing w:val="-1"/>
        </w:rPr>
        <w:t xml:space="preserve"> </w:t>
      </w:r>
      <w:r>
        <w:rPr>
          <w:i/>
          <w:iCs/>
          <w:spacing w:val="-1"/>
        </w:rPr>
        <w:t>Highway Statistics 200</w:t>
      </w:r>
      <w:r w:rsidR="00881DD2">
        <w:rPr>
          <w:i/>
          <w:iCs/>
          <w:spacing w:val="-1"/>
        </w:rPr>
        <w:t>7</w:t>
      </w:r>
      <w:r w:rsidR="002F3D43">
        <w:rPr>
          <w:i/>
          <w:iCs/>
          <w:spacing w:val="-1"/>
        </w:rPr>
        <w:t xml:space="preserve">, </w:t>
      </w:r>
      <w:r>
        <w:rPr>
          <w:spacing w:val="-1"/>
        </w:rPr>
        <w:t xml:space="preserve">Office of </w:t>
      </w:r>
      <w:r>
        <w:t>Highway Policy Inf</w:t>
      </w:r>
      <w:r w:rsidR="002F3D43">
        <w:t>ormation,</w:t>
      </w:r>
      <w:r>
        <w:t xml:space="preserve"> Washington, DC</w:t>
      </w:r>
      <w:r w:rsidR="002F3D43">
        <w:t>,</w:t>
      </w:r>
      <w:r>
        <w:t xml:space="preserve"> 200</w:t>
      </w:r>
      <w:r w:rsidR="00881DD2">
        <w:t>8</w:t>
      </w:r>
      <w:r>
        <w:t xml:space="preserve">. Available at </w:t>
      </w:r>
      <w:r w:rsidR="00881DD2" w:rsidRPr="00881DD2">
        <w:rPr>
          <w:u w:val="single"/>
        </w:rPr>
        <w:t>http://www.fhwa.dot.gov/policyinformation/statistics/2007/</w:t>
      </w:r>
      <w:r>
        <w:t>.</w:t>
      </w:r>
    </w:p>
    <w:p w:rsidR="000F5892" w:rsidRDefault="000F5892" w:rsidP="00B53F02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02" w:line="230" w:lineRule="exact"/>
        <w:ind w:left="576" w:hanging="576"/>
        <w:rPr>
          <w:spacing w:val="-4"/>
        </w:rPr>
      </w:pPr>
      <w:r>
        <w:rPr>
          <w:spacing w:val="-1"/>
        </w:rPr>
        <w:t xml:space="preserve">E.H. Pechan &amp; Associates, Inc. “Documentation for the Onroad National Emission Inventory (NEI) for Base </w:t>
      </w:r>
      <w:r>
        <w:t xml:space="preserve">Years 1970 - 2002,” report prepared for U.S. Environmental Protection Agency, Office of Air Quality </w:t>
      </w:r>
      <w:r>
        <w:lastRenderedPageBreak/>
        <w:t xml:space="preserve">Planning and Standards, </w:t>
      </w:r>
      <w:smartTag w:uri="urn:schemas-microsoft-com:office:smarttags" w:element="place">
        <w:smartTag w:uri="urn:schemas-microsoft-com:office:smarttags" w:element="City">
          <w:r>
            <w:t>Research Triangle Park</w:t>
          </w:r>
        </w:smartTag>
        <w:r>
          <w:t xml:space="preserve">, </w:t>
        </w:r>
        <w:smartTag w:uri="urn:schemas-microsoft-com:office:smarttags" w:element="State">
          <w:r>
            <w:t>NC</w:t>
          </w:r>
        </w:smartTag>
      </w:smartTag>
      <w:r>
        <w:t>. January 2004.</w:t>
      </w:r>
    </w:p>
    <w:sectPr w:rsidR="000F5892" w:rsidSect="00A83FA2">
      <w:pgSz w:w="12240" w:h="15840"/>
      <w:pgMar w:top="912" w:right="1445" w:bottom="36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45E" w:rsidRDefault="0009245E" w:rsidP="00881DD2">
      <w:r>
        <w:separator/>
      </w:r>
    </w:p>
  </w:endnote>
  <w:endnote w:type="continuationSeparator" w:id="0">
    <w:p w:rsidR="0009245E" w:rsidRDefault="0009245E" w:rsidP="00881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45E" w:rsidRDefault="0009245E" w:rsidP="00881DD2">
      <w:r>
        <w:separator/>
      </w:r>
    </w:p>
  </w:footnote>
  <w:footnote w:type="continuationSeparator" w:id="0">
    <w:p w:rsidR="0009245E" w:rsidRDefault="0009245E" w:rsidP="00881D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4498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73EC68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F364C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69EE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99E8C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0671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E822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28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AEEC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BEA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34C41"/>
    <w:multiLevelType w:val="singleLevel"/>
    <w:tmpl w:val="2C980E5A"/>
    <w:lvl w:ilvl="0">
      <w:start w:val="1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1">
    <w:nsid w:val="690D75F5"/>
    <w:multiLevelType w:val="singleLevel"/>
    <w:tmpl w:val="2C980E5A"/>
    <w:lvl w:ilvl="0">
      <w:start w:val="1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2">
    <w:nsid w:val="7CE707E0"/>
    <w:multiLevelType w:val="hybridMultilevel"/>
    <w:tmpl w:val="9B9053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F02"/>
    <w:rsid w:val="000903E2"/>
    <w:rsid w:val="0009245E"/>
    <w:rsid w:val="000E175C"/>
    <w:rsid w:val="000F5892"/>
    <w:rsid w:val="000F66E4"/>
    <w:rsid w:val="00185AA6"/>
    <w:rsid w:val="001C07B8"/>
    <w:rsid w:val="00250964"/>
    <w:rsid w:val="00270117"/>
    <w:rsid w:val="002B1BE8"/>
    <w:rsid w:val="002D00ED"/>
    <w:rsid w:val="002F12FF"/>
    <w:rsid w:val="002F3D43"/>
    <w:rsid w:val="002F475F"/>
    <w:rsid w:val="00362C96"/>
    <w:rsid w:val="0036331C"/>
    <w:rsid w:val="00441379"/>
    <w:rsid w:val="004C68A6"/>
    <w:rsid w:val="004D31F2"/>
    <w:rsid w:val="004D3601"/>
    <w:rsid w:val="004E68A9"/>
    <w:rsid w:val="005132F6"/>
    <w:rsid w:val="005D58C1"/>
    <w:rsid w:val="005E53E7"/>
    <w:rsid w:val="005F4D6B"/>
    <w:rsid w:val="00645B20"/>
    <w:rsid w:val="00672D2A"/>
    <w:rsid w:val="007404B1"/>
    <w:rsid w:val="007443EB"/>
    <w:rsid w:val="007C45CF"/>
    <w:rsid w:val="00844401"/>
    <w:rsid w:val="00851C1C"/>
    <w:rsid w:val="0087110F"/>
    <w:rsid w:val="00881DD2"/>
    <w:rsid w:val="008A0A0A"/>
    <w:rsid w:val="008A6F70"/>
    <w:rsid w:val="008B0160"/>
    <w:rsid w:val="008C74C6"/>
    <w:rsid w:val="00910F77"/>
    <w:rsid w:val="0093664A"/>
    <w:rsid w:val="00947868"/>
    <w:rsid w:val="00987E20"/>
    <w:rsid w:val="009C4563"/>
    <w:rsid w:val="009D11F4"/>
    <w:rsid w:val="00A44943"/>
    <w:rsid w:val="00A50EED"/>
    <w:rsid w:val="00A61251"/>
    <w:rsid w:val="00A83FA2"/>
    <w:rsid w:val="00AA3AC2"/>
    <w:rsid w:val="00B53F02"/>
    <w:rsid w:val="00B552DF"/>
    <w:rsid w:val="00B64EC3"/>
    <w:rsid w:val="00B83628"/>
    <w:rsid w:val="00B95D30"/>
    <w:rsid w:val="00B975FD"/>
    <w:rsid w:val="00CD46BB"/>
    <w:rsid w:val="00CD6395"/>
    <w:rsid w:val="00D34C28"/>
    <w:rsid w:val="00D95718"/>
    <w:rsid w:val="00DB2D9E"/>
    <w:rsid w:val="00E213CF"/>
    <w:rsid w:val="00E73DEA"/>
    <w:rsid w:val="00EC6F3F"/>
    <w:rsid w:val="00F34FD6"/>
    <w:rsid w:val="00F55B53"/>
    <w:rsid w:val="00F76393"/>
    <w:rsid w:val="00F81245"/>
    <w:rsid w:val="00F85EC0"/>
    <w:rsid w:val="00FC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stockticker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D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81DD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1D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1DD2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81D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1DD2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D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0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832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DOCUMENTATION FOR THE FINAL 2002 NONPOINT SECTOR (FEB 06 version) NATIONAL EMISSION INVENTORY FOR CRITERIA AND HAZARDOUS AIR POLLUTANTS</vt:lpstr>
    </vt:vector>
  </TitlesOfParts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FOR THE FINAL 2002 NONPOINT SECTOR (FEB 06 version) NATIONAL EMISSION INVENTORY FOR CRITERIA AND HAZARDOUS AIR POLLUTANTS</dc:title>
  <dc:subject>2002 national emission inventory - nonpoint sources</dc:subject>
  <dc:creator>scolodner</dc:creator>
  <cp:keywords>nonpoint, area, emissions, inventory</cp:keywords>
  <cp:lastModifiedBy>Roy Huntley</cp:lastModifiedBy>
  <cp:revision>2</cp:revision>
  <dcterms:created xsi:type="dcterms:W3CDTF">2012-06-20T19:21:00Z</dcterms:created>
  <dcterms:modified xsi:type="dcterms:W3CDTF">2012-06-20T19:21:00Z</dcterms:modified>
</cp:coreProperties>
</file>