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8E2807" w14:textId="78CD7322" w:rsidR="00817014" w:rsidRPr="00817014" w:rsidRDefault="00817014">
      <w:pPr>
        <w:rPr>
          <w:b/>
        </w:rPr>
      </w:pPr>
      <w:r>
        <w:rPr>
          <w:b/>
        </w:rPr>
        <w:t>Fertilizer Application</w:t>
      </w:r>
    </w:p>
    <w:p w14:paraId="3EA270C8" w14:textId="77777777" w:rsidR="00817014" w:rsidRPr="00817014" w:rsidRDefault="00817014">
      <w:pPr>
        <w:rPr>
          <w:b/>
        </w:rPr>
      </w:pPr>
    </w:p>
    <w:p w14:paraId="32B40FB2" w14:textId="77777777" w:rsidR="0092076A" w:rsidRPr="0012029F" w:rsidRDefault="0012029F">
      <w:pPr>
        <w:rPr>
          <w:b/>
          <w:i/>
        </w:rPr>
      </w:pPr>
      <w:r w:rsidRPr="0012029F">
        <w:rPr>
          <w:b/>
          <w:i/>
        </w:rPr>
        <w:t xml:space="preserve">a. </w:t>
      </w:r>
      <w:r w:rsidR="003B11B8" w:rsidRPr="0012029F">
        <w:rPr>
          <w:b/>
          <w:i/>
        </w:rPr>
        <w:t>Source Category Description</w:t>
      </w:r>
    </w:p>
    <w:p w14:paraId="458F5DC5" w14:textId="77777777" w:rsidR="0026189C" w:rsidRDefault="0026189C"/>
    <w:p w14:paraId="4611D8B1" w14:textId="77777777" w:rsidR="006E3C8D" w:rsidRDefault="00195839" w:rsidP="00322142">
      <w:pPr>
        <w:spacing w:after="240"/>
      </w:pPr>
      <w:r>
        <w:t>Fertilizer</w:t>
      </w:r>
      <w:r w:rsidR="00AC4F6B" w:rsidRPr="005E3966">
        <w:t xml:space="preserve"> </w:t>
      </w:r>
      <w:r>
        <w:t xml:space="preserve">in this category </w:t>
      </w:r>
      <w:r w:rsidR="00AC4F6B" w:rsidRPr="005E3966">
        <w:t xml:space="preserve">refers to </w:t>
      </w:r>
      <w:r>
        <w:t>any nitrogen-based compound</w:t>
      </w:r>
      <w:r w:rsidR="00C42982">
        <w:t>,</w:t>
      </w:r>
      <w:r>
        <w:t xml:space="preserve"> </w:t>
      </w:r>
      <w:r w:rsidR="00C42982">
        <w:t xml:space="preserve">or mixture containing such a compound, that is applied </w:t>
      </w:r>
      <w:r>
        <w:t>to land to improve plant fitness</w:t>
      </w:r>
      <w:r w:rsidR="00AC4F6B" w:rsidRPr="005E3966">
        <w:t xml:space="preserve">. </w:t>
      </w:r>
    </w:p>
    <w:p w14:paraId="26F2C795" w14:textId="1991FF5D" w:rsidR="00675774" w:rsidRPr="005E3966" w:rsidRDefault="006E3C8D" w:rsidP="00322142">
      <w:pPr>
        <w:spacing w:after="240"/>
      </w:pPr>
      <w:r w:rsidRPr="005E3966">
        <w:t xml:space="preserve">The approach to </w:t>
      </w:r>
      <w:r w:rsidR="00B24E55">
        <w:t xml:space="preserve">estimate </w:t>
      </w:r>
      <w:r w:rsidR="006B3580">
        <w:t xml:space="preserve">2014 fertilizer </w:t>
      </w:r>
      <w:r w:rsidRPr="005E3966">
        <w:t xml:space="preserve">emissions </w:t>
      </w:r>
      <w:r w:rsidR="006B3580">
        <w:t>consists</w:t>
      </w:r>
      <w:r w:rsidR="00675774" w:rsidRPr="005E3966">
        <w:t xml:space="preserve"> of </w:t>
      </w:r>
      <w:r w:rsidR="00195839">
        <w:t>th</w:t>
      </w:r>
      <w:r w:rsidR="006B3580">
        <w:t>ese</w:t>
      </w:r>
      <w:r w:rsidR="00675774" w:rsidRPr="005E3966">
        <w:t xml:space="preserve"> general steps:</w:t>
      </w:r>
    </w:p>
    <w:p w14:paraId="77F76D5E" w14:textId="18997ECE" w:rsidR="00675774" w:rsidRPr="005E3966" w:rsidRDefault="00747B75" w:rsidP="00E33768">
      <w:pPr>
        <w:numPr>
          <w:ilvl w:val="0"/>
          <w:numId w:val="6"/>
        </w:numPr>
      </w:pPr>
      <w:r>
        <w:t>Run the Fertilizer Emissions Scenario Tool for CMAQ (FEST-C</w:t>
      </w:r>
      <w:r w:rsidR="00E54C06" w:rsidRPr="00E54C06">
        <w:rPr>
          <w:vertAlign w:val="superscript"/>
        </w:rPr>
        <w:t>1</w:t>
      </w:r>
      <w:r>
        <w:t>)</w:t>
      </w:r>
      <w:r w:rsidR="00C2719B">
        <w:t xml:space="preserve"> </w:t>
      </w:r>
      <w:r w:rsidR="00B24E55">
        <w:t>and CMAQ</w:t>
      </w:r>
      <w:r w:rsidR="00E54C06" w:rsidRPr="00E54C06">
        <w:rPr>
          <w:vertAlign w:val="superscript"/>
        </w:rPr>
        <w:t>2</w:t>
      </w:r>
      <w:r w:rsidR="00B24E55">
        <w:t xml:space="preserve"> </w:t>
      </w:r>
      <w:r w:rsidR="00C2719B">
        <w:t>model</w:t>
      </w:r>
      <w:r w:rsidR="00B24E55">
        <w:t xml:space="preserve"> with bidirectional </w:t>
      </w:r>
      <w:r w:rsidR="006B3580">
        <w:t xml:space="preserve">(“bidi”) </w:t>
      </w:r>
      <w:r w:rsidR="00B24E55">
        <w:t>NH</w:t>
      </w:r>
      <w:r w:rsidR="00B24E55" w:rsidRPr="00DF1584">
        <w:rPr>
          <w:vertAlign w:val="subscript"/>
        </w:rPr>
        <w:t>3</w:t>
      </w:r>
      <w:r w:rsidR="00B24E55">
        <w:t xml:space="preserve"> exchange</w:t>
      </w:r>
      <w:r w:rsidR="00C2719B">
        <w:t xml:space="preserve"> to produce year 2011 </w:t>
      </w:r>
      <w:r w:rsidR="00322142">
        <w:t>nitrate (</w:t>
      </w:r>
      <w:r w:rsidR="00C2719B">
        <w:t>NO</w:t>
      </w:r>
      <w:r w:rsidR="00C2719B" w:rsidRPr="00747B75">
        <w:rPr>
          <w:vertAlign w:val="subscript"/>
        </w:rPr>
        <w:t>3</w:t>
      </w:r>
      <w:r w:rsidR="00322142">
        <w:t>)</w:t>
      </w:r>
      <w:r w:rsidR="00C2719B">
        <w:t xml:space="preserve"> Ammonium (</w:t>
      </w:r>
      <w:r w:rsidR="00322142">
        <w:t>NH</w:t>
      </w:r>
      <w:r w:rsidR="00322142" w:rsidRPr="00322142">
        <w:rPr>
          <w:vertAlign w:val="subscript"/>
        </w:rPr>
        <w:t>4</w:t>
      </w:r>
      <w:r w:rsidR="00322142">
        <w:t xml:space="preserve">, </w:t>
      </w:r>
      <w:r w:rsidR="00C2719B">
        <w:t>including Urea), and organic (manure) nitrogen fertilizer estimates</w:t>
      </w:r>
      <w:r>
        <w:t xml:space="preserve"> a</w:t>
      </w:r>
      <w:r w:rsidR="00B24E55">
        <w:t>nd</w:t>
      </w:r>
      <w:r w:rsidR="00322142">
        <w:t xml:space="preserve"> gaseous ammonia</w:t>
      </w:r>
      <w:r>
        <w:t xml:space="preserve"> NH</w:t>
      </w:r>
      <w:r w:rsidRPr="00747B75">
        <w:rPr>
          <w:vertAlign w:val="subscript"/>
        </w:rPr>
        <w:t>3</w:t>
      </w:r>
      <w:r>
        <w:t xml:space="preserve"> emission estimates</w:t>
      </w:r>
      <w:r w:rsidR="00B24E55">
        <w:t xml:space="preserve"> respectively</w:t>
      </w:r>
      <w:r w:rsidR="00675774" w:rsidRPr="005E3966">
        <w:t>.</w:t>
      </w:r>
    </w:p>
    <w:p w14:paraId="2A6E505F" w14:textId="4537EB30" w:rsidR="00675774" w:rsidRPr="005E3966" w:rsidRDefault="001D3716" w:rsidP="00E33768">
      <w:pPr>
        <w:numPr>
          <w:ilvl w:val="0"/>
          <w:numId w:val="10"/>
        </w:numPr>
      </w:pPr>
      <w:r>
        <w:t xml:space="preserve">Run the </w:t>
      </w:r>
      <w:r w:rsidR="00747B75">
        <w:t>Environmental Policy Integrated Climate (EPIC</w:t>
      </w:r>
      <w:r w:rsidR="00E54C06" w:rsidRPr="00E54C06">
        <w:rPr>
          <w:vertAlign w:val="superscript"/>
        </w:rPr>
        <w:t>3</w:t>
      </w:r>
      <w:r w:rsidR="00747B75">
        <w:t>) modeling system to produce year 2014 NO</w:t>
      </w:r>
      <w:r w:rsidR="00747B75" w:rsidRPr="00747B75">
        <w:rPr>
          <w:vertAlign w:val="subscript"/>
        </w:rPr>
        <w:t>3</w:t>
      </w:r>
      <w:r w:rsidR="00747B75">
        <w:t>, Ammonium (including Urea), and organic (manure) nitrogen fertilizer estimates.</w:t>
      </w:r>
    </w:p>
    <w:p w14:paraId="6AD3BD03" w14:textId="77777777" w:rsidR="00760777" w:rsidRDefault="00221DEB" w:rsidP="00E33768">
      <w:pPr>
        <w:numPr>
          <w:ilvl w:val="0"/>
          <w:numId w:val="10"/>
        </w:numPr>
      </w:pPr>
      <w:r>
        <w:t xml:space="preserve">Compute year 2011 emission factors from the FEST-C outputs to </w:t>
      </w:r>
      <w:r w:rsidR="00F7533F">
        <w:t>use in estimat</w:t>
      </w:r>
      <w:r>
        <w:t>ing year 2014 NH</w:t>
      </w:r>
      <w:r w:rsidRPr="00747B75">
        <w:rPr>
          <w:vertAlign w:val="subscript"/>
        </w:rPr>
        <w:t>3</w:t>
      </w:r>
      <w:r w:rsidR="00F7533F">
        <w:t xml:space="preserve"> emission</w:t>
      </w:r>
      <w:r>
        <w:t>s</w:t>
      </w:r>
      <w:r w:rsidR="00157157" w:rsidRPr="005E3966">
        <w:t>.</w:t>
      </w:r>
    </w:p>
    <w:p w14:paraId="211ABA59" w14:textId="38F7A7DB" w:rsidR="00885DE4" w:rsidRDefault="00885DE4" w:rsidP="00E54C06">
      <w:pPr>
        <w:numPr>
          <w:ilvl w:val="0"/>
          <w:numId w:val="10"/>
        </w:numPr>
        <w:spacing w:after="240"/>
      </w:pPr>
      <w:r>
        <w:t xml:space="preserve">All emissions are assigned to </w:t>
      </w:r>
      <w:r w:rsidR="00E33768">
        <w:t>one SCC: “…Miscellaneous Fertilizers” (</w:t>
      </w:r>
      <w:r w:rsidRPr="00885DE4">
        <w:t>2801700099</w:t>
      </w:r>
      <w:r w:rsidR="00E33768">
        <w:t>)</w:t>
      </w:r>
      <w:r>
        <w:t>.</w:t>
      </w:r>
    </w:p>
    <w:p w14:paraId="44C77D82" w14:textId="0498AB60" w:rsidR="00051D54" w:rsidRDefault="00E54C06" w:rsidP="00051D54">
      <w:pPr>
        <w:spacing w:after="240"/>
      </w:pPr>
      <w:r w:rsidRPr="00322142">
        <w:t>FEST-C reads land use data from the Biogenic Emissions Landuse Dataset (BELD) version 4, meteorological variables from the Weather R</w:t>
      </w:r>
      <w:bookmarkStart w:id="0" w:name="_GoBack"/>
      <w:bookmarkEnd w:id="0"/>
      <w:r w:rsidRPr="00322142">
        <w:t>esearch and Forecasting (WRF</w:t>
      </w:r>
      <w:r w:rsidRPr="00E54C06">
        <w:rPr>
          <w:vertAlign w:val="superscript"/>
        </w:rPr>
        <w:t>4</w:t>
      </w:r>
      <w:r w:rsidRPr="00322142">
        <w:t xml:space="preserve">) model, and nitrogen deposition data from a previous or historical average CMAQ simulation. </w:t>
      </w:r>
      <w:r w:rsidR="00051D54">
        <w:t xml:space="preserve">FEST-C model outputs are discussed in greater detail in the “NH3_Fert_Fact_Sheet_v2.docx” included in the zip file </w:t>
      </w:r>
      <w:r w:rsidR="00051D54">
        <w:t>“</w:t>
      </w:r>
      <w:r w:rsidR="00051D54" w:rsidRPr="00817014">
        <w:rPr>
          <w:i/>
        </w:rPr>
        <w:t>2014_Fertilizer_Application_v1.0_22apr2016.zip</w:t>
      </w:r>
      <w:r w:rsidR="00051D54">
        <w:t xml:space="preserve">” available at: </w:t>
      </w:r>
    </w:p>
    <w:p w14:paraId="3426B1A1" w14:textId="396CAE23" w:rsidR="00051D54" w:rsidRDefault="00051D54" w:rsidP="00051D54">
      <w:pPr>
        <w:spacing w:after="240"/>
      </w:pPr>
      <w:hyperlink r:id="rId8" w:history="1">
        <w:r w:rsidRPr="003A7EA9">
          <w:rPr>
            <w:rStyle w:val="Hyperlink"/>
          </w:rPr>
          <w:t>ftp://ftp.epa.gov/EmisInventory/2014/doc/nonpoint/</w:t>
        </w:r>
      </w:hyperlink>
    </w:p>
    <w:p w14:paraId="16C6FC99" w14:textId="1855629E" w:rsidR="00E54C06" w:rsidRDefault="00051D54" w:rsidP="00051D54">
      <w:pPr>
        <w:spacing w:after="240"/>
      </w:pPr>
      <w:r>
        <w:t xml:space="preserve">A comprehensive flowchart if the complete EPIC/FEST-C/WRF “bidi” modeling system is </w:t>
      </w:r>
      <w:r w:rsidR="006B3580">
        <w:t>illustrated</w:t>
      </w:r>
      <w:r>
        <w:t xml:space="preserve"> in Figure</w:t>
      </w:r>
      <w:r w:rsidR="00E54C06" w:rsidRPr="00322142">
        <w:t xml:space="preserve"> 1. </w:t>
      </w:r>
    </w:p>
    <w:p w14:paraId="319F0432" w14:textId="33B96973" w:rsidR="00E54C06" w:rsidRPr="00E54C06" w:rsidRDefault="00E54C06" w:rsidP="00E54C06">
      <w:pPr>
        <w:keepNext/>
        <w:keepLines/>
        <w:spacing w:after="240"/>
        <w:jc w:val="center"/>
      </w:pPr>
      <w:r w:rsidRPr="00E54C06">
        <w:rPr>
          <w:b/>
        </w:rPr>
        <w:lastRenderedPageBreak/>
        <w:t xml:space="preserve">Figure </w:t>
      </w:r>
      <w:r w:rsidRPr="00E54C06">
        <w:rPr>
          <w:b/>
        </w:rPr>
        <w:fldChar w:fldCharType="begin"/>
      </w:r>
      <w:r w:rsidRPr="00E54C06">
        <w:rPr>
          <w:b/>
        </w:rPr>
        <w:instrText xml:space="preserve"> SEQ Figure \* ARABIC </w:instrText>
      </w:r>
      <w:r w:rsidRPr="00E54C06">
        <w:rPr>
          <w:b/>
        </w:rPr>
        <w:fldChar w:fldCharType="separate"/>
      </w:r>
      <w:r w:rsidRPr="00E54C06">
        <w:rPr>
          <w:b/>
          <w:noProof/>
        </w:rPr>
        <w:t>1</w:t>
      </w:r>
      <w:r w:rsidRPr="00E54C06">
        <w:rPr>
          <w:b/>
        </w:rPr>
        <w:fldChar w:fldCharType="end"/>
      </w:r>
      <w:r w:rsidRPr="00E54C06">
        <w:rPr>
          <w:b/>
        </w:rPr>
        <w:t>.</w:t>
      </w:r>
      <w:r>
        <w:rPr>
          <w:b/>
        </w:rPr>
        <w:t xml:space="preserve"> </w:t>
      </w:r>
      <w:r w:rsidR="006B3580" w:rsidRPr="006B3580">
        <w:t xml:space="preserve">“Bidi” </w:t>
      </w:r>
      <w:r w:rsidRPr="00E54C06">
        <w:t>Modeling system used to compute 2014 fertilizer emissions</w:t>
      </w:r>
    </w:p>
    <w:p w14:paraId="5B63E219" w14:textId="77777777" w:rsidR="000F254B" w:rsidRDefault="000F254B" w:rsidP="00E54C06">
      <w:pPr>
        <w:keepNext/>
        <w:jc w:val="center"/>
      </w:pPr>
      <w:r>
        <w:rPr>
          <w:noProof/>
        </w:rPr>
        <w:drawing>
          <wp:inline distT="0" distB="0" distL="0" distR="0" wp14:anchorId="1BACD206" wp14:editId="78319EFE">
            <wp:extent cx="5486400" cy="409651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0349" t="12866" r="21677" b="10495"/>
                    <a:stretch/>
                  </pic:blipFill>
                  <pic:spPr bwMode="auto">
                    <a:xfrm>
                      <a:off x="0" y="0"/>
                      <a:ext cx="5486400" cy="4096512"/>
                    </a:xfrm>
                    <a:prstGeom prst="rect">
                      <a:avLst/>
                    </a:prstGeom>
                    <a:ln>
                      <a:noFill/>
                    </a:ln>
                    <a:extLst>
                      <a:ext uri="{53640926-AAD7-44D8-BBD7-CCE9431645EC}">
                        <a14:shadowObscured xmlns:a14="http://schemas.microsoft.com/office/drawing/2010/main"/>
                      </a:ext>
                    </a:extLst>
                  </pic:spPr>
                </pic:pic>
              </a:graphicData>
            </a:graphic>
          </wp:inline>
        </w:drawing>
      </w:r>
    </w:p>
    <w:p w14:paraId="1D06C6D9" w14:textId="77777777" w:rsidR="00B04BC3" w:rsidRDefault="00B04BC3">
      <w:pPr>
        <w:rPr>
          <w:u w:val="single"/>
        </w:rPr>
      </w:pPr>
    </w:p>
    <w:p w14:paraId="280726D6" w14:textId="77777777" w:rsidR="00875721" w:rsidRPr="0012029F" w:rsidRDefault="0012029F">
      <w:pPr>
        <w:rPr>
          <w:b/>
          <w:i/>
        </w:rPr>
      </w:pPr>
      <w:r w:rsidRPr="0012029F">
        <w:rPr>
          <w:b/>
          <w:i/>
        </w:rPr>
        <w:t xml:space="preserve">b. </w:t>
      </w:r>
      <w:r w:rsidR="00875721" w:rsidRPr="0012029F">
        <w:rPr>
          <w:b/>
          <w:i/>
        </w:rPr>
        <w:t>Activity Data</w:t>
      </w:r>
    </w:p>
    <w:p w14:paraId="2E97D923" w14:textId="77777777" w:rsidR="00D51663" w:rsidRPr="00D51663" w:rsidRDefault="00D51663" w:rsidP="00C23FB9">
      <w:pPr>
        <w:spacing w:after="240"/>
      </w:pPr>
      <w:r w:rsidRPr="00D51663">
        <w:t>The following activity parameters were input into the EPIC model:</w:t>
      </w:r>
    </w:p>
    <w:p w14:paraId="1271E491" w14:textId="6E5F06A0" w:rsidR="00D51663" w:rsidRDefault="00D51663" w:rsidP="00D51663">
      <w:pPr>
        <w:numPr>
          <w:ilvl w:val="0"/>
          <w:numId w:val="6"/>
        </w:numPr>
      </w:pPr>
      <w:r w:rsidRPr="00D51663">
        <w:t xml:space="preserve">Grid cell </w:t>
      </w:r>
      <w:r w:rsidR="00B24E55">
        <w:t xml:space="preserve">meteorological variables </w:t>
      </w:r>
      <w:r w:rsidR="00817014">
        <w:t xml:space="preserve">from WRF </w:t>
      </w:r>
      <w:r w:rsidR="00B24E55">
        <w:t xml:space="preserve">(see </w:t>
      </w:r>
      <w:r w:rsidR="00322142">
        <w:t>T</w:t>
      </w:r>
      <w:r w:rsidR="00B24E55">
        <w:t>able 1)</w:t>
      </w:r>
    </w:p>
    <w:p w14:paraId="365A41C7" w14:textId="77777777" w:rsidR="00D51663" w:rsidRDefault="00D51663" w:rsidP="00D51663">
      <w:pPr>
        <w:numPr>
          <w:ilvl w:val="0"/>
          <w:numId w:val="6"/>
        </w:numPr>
      </w:pPr>
      <w:r>
        <w:t>Initial soil profiles/soil selection</w:t>
      </w:r>
    </w:p>
    <w:p w14:paraId="3F9A447D" w14:textId="634FFA6E" w:rsidR="00D51663" w:rsidRDefault="00B24E55" w:rsidP="00D51663">
      <w:pPr>
        <w:numPr>
          <w:ilvl w:val="0"/>
          <w:numId w:val="6"/>
        </w:numPr>
      </w:pPr>
      <w:r>
        <w:t xml:space="preserve">Presence of </w:t>
      </w:r>
      <w:r w:rsidR="00C917F1">
        <w:t xml:space="preserve">21 major </w:t>
      </w:r>
      <w:r>
        <w:t>c</w:t>
      </w:r>
      <w:r w:rsidR="00D51663">
        <w:t>rop</w:t>
      </w:r>
      <w:r w:rsidR="00C917F1">
        <w:t>s</w:t>
      </w:r>
      <w:r w:rsidR="006C582B">
        <w:t xml:space="preserve">: </w:t>
      </w:r>
      <w:r w:rsidR="006C582B">
        <w:t>irrigated and rain fed hay, alfalfa, grass, barley, beans, grain corn, silage corn, cotton, oats, peanuts, potatoes, rice, rye, grain sorghum, silage sorghum, soybeans, spring wheat, winter wheat, canola, and other crops (e.g. lettuce, tomatoes, etc.)</w:t>
      </w:r>
      <w:r w:rsidR="00D51663">
        <w:t xml:space="preserve"> </w:t>
      </w:r>
    </w:p>
    <w:p w14:paraId="1C42370B" w14:textId="764669E6" w:rsidR="00D51663" w:rsidRDefault="00D51663" w:rsidP="00D51663">
      <w:pPr>
        <w:numPr>
          <w:ilvl w:val="0"/>
          <w:numId w:val="6"/>
        </w:numPr>
      </w:pPr>
      <w:r>
        <w:t>Fertilizer sales</w:t>
      </w:r>
      <w:r w:rsidR="00C917F1">
        <w:t xml:space="preserve"> to establish the type/composition of nutrients applied</w:t>
      </w:r>
    </w:p>
    <w:p w14:paraId="33466D59" w14:textId="0AD2DEA2" w:rsidR="00D51663" w:rsidRDefault="00D51663" w:rsidP="00E54C06">
      <w:pPr>
        <w:numPr>
          <w:ilvl w:val="0"/>
          <w:numId w:val="6"/>
        </w:numPr>
        <w:spacing w:after="240"/>
      </w:pPr>
      <w:r>
        <w:t>Management</w:t>
      </w:r>
      <w:r w:rsidR="00C917F1">
        <w:t xml:space="preserve"> scenarios for the 10 USDA production regions (Figure 2)</w:t>
      </w:r>
    </w:p>
    <w:p w14:paraId="7028DDAA" w14:textId="760D1156" w:rsidR="00E54C06" w:rsidRPr="00DF1584" w:rsidRDefault="00E54C06" w:rsidP="00E54C06">
      <w:pPr>
        <w:keepNext/>
        <w:jc w:val="center"/>
      </w:pPr>
      <w:r w:rsidRPr="00E33768">
        <w:rPr>
          <w:b/>
        </w:rPr>
        <w:lastRenderedPageBreak/>
        <w:t xml:space="preserve">Figure </w:t>
      </w:r>
      <w:r w:rsidRPr="00E33768">
        <w:rPr>
          <w:b/>
        </w:rPr>
        <w:fldChar w:fldCharType="begin"/>
      </w:r>
      <w:r w:rsidRPr="00E33768">
        <w:rPr>
          <w:b/>
        </w:rPr>
        <w:instrText xml:space="preserve"> SEQ Figure \* ARABIC </w:instrText>
      </w:r>
      <w:r w:rsidRPr="00E33768">
        <w:rPr>
          <w:b/>
        </w:rPr>
        <w:fldChar w:fldCharType="separate"/>
      </w:r>
      <w:r w:rsidRPr="00E33768">
        <w:rPr>
          <w:b/>
          <w:noProof/>
        </w:rPr>
        <w:t>2</w:t>
      </w:r>
      <w:r w:rsidRPr="00E33768">
        <w:rPr>
          <w:b/>
        </w:rPr>
        <w:fldChar w:fldCharType="end"/>
      </w:r>
      <w:r w:rsidRPr="00E33768">
        <w:rPr>
          <w:b/>
        </w:rPr>
        <w:t>.</w:t>
      </w:r>
      <w:r w:rsidRPr="00DF1584">
        <w:t xml:space="preserve"> USDA farm production regions used in FEST-C simulations</w:t>
      </w:r>
      <w:r w:rsidRPr="00E54C06">
        <w:rPr>
          <w:vertAlign w:val="superscript"/>
        </w:rPr>
        <w:t>5</w:t>
      </w:r>
    </w:p>
    <w:p w14:paraId="27F369A0" w14:textId="77777777" w:rsidR="00D9299D" w:rsidRDefault="00D9299D" w:rsidP="00E54C06">
      <w:pPr>
        <w:keepNext/>
        <w:jc w:val="center"/>
      </w:pPr>
      <w:r>
        <w:rPr>
          <w:noProof/>
        </w:rPr>
        <w:drawing>
          <wp:inline distT="0" distB="0" distL="0" distR="0" wp14:anchorId="53682860" wp14:editId="5DE1C3AA">
            <wp:extent cx="3521710" cy="2266366"/>
            <wp:effectExtent l="0" t="0" r="254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9738" t="14433" r="16053" b="9815"/>
                    <a:stretch/>
                  </pic:blipFill>
                  <pic:spPr bwMode="auto">
                    <a:xfrm>
                      <a:off x="0" y="0"/>
                      <a:ext cx="3522762" cy="2267043"/>
                    </a:xfrm>
                    <a:prstGeom prst="rect">
                      <a:avLst/>
                    </a:prstGeom>
                    <a:ln>
                      <a:noFill/>
                    </a:ln>
                    <a:extLst>
                      <a:ext uri="{53640926-AAD7-44D8-BBD7-CCE9431645EC}">
                        <a14:shadowObscured xmlns:a14="http://schemas.microsoft.com/office/drawing/2010/main"/>
                      </a:ext>
                    </a:extLst>
                  </pic:spPr>
                </pic:pic>
              </a:graphicData>
            </a:graphic>
          </wp:inline>
        </w:drawing>
      </w:r>
    </w:p>
    <w:p w14:paraId="6B028893" w14:textId="259E2BD8" w:rsidR="00D51663" w:rsidRDefault="00D51663" w:rsidP="00D51663">
      <w:r>
        <w:t xml:space="preserve">Grid cell </w:t>
      </w:r>
      <w:r w:rsidR="00E54C06">
        <w:t xml:space="preserve">meteorological variables were </w:t>
      </w:r>
      <w:r w:rsidR="00D648BB">
        <w:t xml:space="preserve">generated by the </w:t>
      </w:r>
      <w:r w:rsidR="00E33768">
        <w:t xml:space="preserve">WRF meteorological model. </w:t>
      </w:r>
      <w:r w:rsidR="00D648BB">
        <w:t xml:space="preserve">WRF was run on a national </w:t>
      </w:r>
      <w:r w:rsidR="00D648BB" w:rsidRPr="00DF1584">
        <w:t>12km rectangular grid</w:t>
      </w:r>
      <w:r w:rsidR="00D648BB">
        <w:t xml:space="preserve"> for </w:t>
      </w:r>
      <w:r w:rsidR="00D648BB" w:rsidRPr="00004E97">
        <w:t xml:space="preserve">the </w:t>
      </w:r>
      <w:r w:rsidR="00D648BB" w:rsidRPr="00DF1584">
        <w:t xml:space="preserve">year </w:t>
      </w:r>
      <w:r w:rsidR="00620AC5" w:rsidRPr="00DF1584">
        <w:t>2014</w:t>
      </w:r>
      <w:r w:rsidR="00D9299D">
        <w:t>.</w:t>
      </w:r>
      <w:r w:rsidR="00867CD4">
        <w:t xml:space="preserve"> </w:t>
      </w:r>
      <w:r w:rsidR="00AF5C65">
        <w:t xml:space="preserve">The meteorological parameters </w:t>
      </w:r>
      <w:r w:rsidR="00D9299D">
        <w:t xml:space="preserve">in Table 1 </w:t>
      </w:r>
      <w:r w:rsidR="00AF5C65">
        <w:t xml:space="preserve">were </w:t>
      </w:r>
      <w:r w:rsidR="00E54C06">
        <w:t>used as EPIC model inputs.</w:t>
      </w:r>
    </w:p>
    <w:p w14:paraId="7A752CCA" w14:textId="77777777" w:rsidR="00D9299D" w:rsidRDefault="00D9299D" w:rsidP="00D51663"/>
    <w:p w14:paraId="71D0204E" w14:textId="4B4EB854" w:rsidR="00D9299D" w:rsidRDefault="00D9299D" w:rsidP="00E33768">
      <w:pPr>
        <w:jc w:val="center"/>
      </w:pPr>
      <w:r w:rsidRPr="00E33768">
        <w:rPr>
          <w:b/>
        </w:rPr>
        <w:t xml:space="preserve">Table </w:t>
      </w:r>
      <w:r w:rsidR="006417C5" w:rsidRPr="00E33768">
        <w:rPr>
          <w:b/>
        </w:rPr>
        <w:fldChar w:fldCharType="begin"/>
      </w:r>
      <w:r w:rsidR="006417C5" w:rsidRPr="00E33768">
        <w:rPr>
          <w:b/>
        </w:rPr>
        <w:instrText xml:space="preserve"> SEQ Table \* ARABIC </w:instrText>
      </w:r>
      <w:r w:rsidR="006417C5" w:rsidRPr="00E33768">
        <w:rPr>
          <w:b/>
        </w:rPr>
        <w:fldChar w:fldCharType="separate"/>
      </w:r>
      <w:r w:rsidRPr="00E33768">
        <w:rPr>
          <w:b/>
          <w:noProof/>
        </w:rPr>
        <w:t>1</w:t>
      </w:r>
      <w:r w:rsidR="006417C5" w:rsidRPr="00E33768">
        <w:rPr>
          <w:b/>
          <w:noProof/>
        </w:rPr>
        <w:fldChar w:fldCharType="end"/>
      </w:r>
      <w:r w:rsidR="00E33768" w:rsidRPr="00E33768">
        <w:rPr>
          <w:b/>
          <w:noProof/>
        </w:rPr>
        <w:t>.</w:t>
      </w:r>
      <w:r w:rsidRPr="00E33768">
        <w:rPr>
          <w:b/>
        </w:rPr>
        <w:t xml:space="preserve"> </w:t>
      </w:r>
      <w:r>
        <w:t>Environmental Variables needed for an EPIC simulation</w:t>
      </w:r>
    </w:p>
    <w:tbl>
      <w:tblPr>
        <w:tblStyle w:val="GridTable1Light"/>
        <w:tblW w:w="0" w:type="auto"/>
        <w:jc w:val="center"/>
        <w:tblLook w:val="04A0" w:firstRow="1" w:lastRow="0" w:firstColumn="1" w:lastColumn="0" w:noHBand="0" w:noVBand="1"/>
      </w:tblPr>
      <w:tblGrid>
        <w:gridCol w:w="4945"/>
        <w:gridCol w:w="2070"/>
      </w:tblGrid>
      <w:tr w:rsidR="00E33768" w:rsidRPr="00E33768" w14:paraId="05725F9E" w14:textId="77777777" w:rsidTr="00E33768">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4945" w:type="dxa"/>
          </w:tcPr>
          <w:p w14:paraId="5874496B" w14:textId="77777777" w:rsidR="00D9299D" w:rsidRPr="00E33768" w:rsidRDefault="00D9299D" w:rsidP="00AA0DBF">
            <w:r w:rsidRPr="00E33768">
              <w:t xml:space="preserve">EPIC input variable </w:t>
            </w:r>
          </w:p>
        </w:tc>
        <w:tc>
          <w:tcPr>
            <w:tcW w:w="2070" w:type="dxa"/>
          </w:tcPr>
          <w:p w14:paraId="00317C18" w14:textId="77777777" w:rsidR="00D9299D" w:rsidRPr="00E33768" w:rsidRDefault="00D9299D" w:rsidP="00AA0DBF">
            <w:pPr>
              <w:cnfStyle w:val="100000000000" w:firstRow="1" w:lastRow="0" w:firstColumn="0" w:lastColumn="0" w:oddVBand="0" w:evenVBand="0" w:oddHBand="0" w:evenHBand="0" w:firstRowFirstColumn="0" w:firstRowLastColumn="0" w:lastRowFirstColumn="0" w:lastRowLastColumn="0"/>
            </w:pPr>
            <w:r w:rsidRPr="00E33768">
              <w:t>Variable Source</w:t>
            </w:r>
          </w:p>
        </w:tc>
      </w:tr>
      <w:tr w:rsidR="00D9299D" w14:paraId="183065D8"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0FCADB0A" w14:textId="77777777" w:rsidR="00D9299D" w:rsidRPr="00E33768" w:rsidRDefault="00D9299D" w:rsidP="00AA0DBF">
            <w:pPr>
              <w:rPr>
                <w:b w:val="0"/>
              </w:rPr>
            </w:pPr>
            <w:r w:rsidRPr="00E33768">
              <w:rPr>
                <w:b w:val="0"/>
              </w:rPr>
              <w:t>Daily Total Radiation (MJ m</w:t>
            </w:r>
            <w:r w:rsidRPr="00E33768">
              <w:rPr>
                <w:b w:val="0"/>
                <w:vertAlign w:val="superscript"/>
              </w:rPr>
              <w:t>2</w:t>
            </w:r>
            <w:r w:rsidRPr="00E33768">
              <w:rPr>
                <w:b w:val="0"/>
              </w:rPr>
              <w:t xml:space="preserve"> )</w:t>
            </w:r>
          </w:p>
        </w:tc>
        <w:tc>
          <w:tcPr>
            <w:tcW w:w="2070" w:type="dxa"/>
          </w:tcPr>
          <w:p w14:paraId="7441B7AD"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WRF</w:t>
            </w:r>
          </w:p>
        </w:tc>
      </w:tr>
      <w:tr w:rsidR="00D9299D" w14:paraId="14F862D2"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13BFC040" w14:textId="77777777" w:rsidR="00D9299D" w:rsidRPr="00E33768" w:rsidRDefault="00D9299D" w:rsidP="00AA0DBF">
            <w:pPr>
              <w:rPr>
                <w:b w:val="0"/>
              </w:rPr>
            </w:pPr>
            <w:r w:rsidRPr="00E33768">
              <w:rPr>
                <w:b w:val="0"/>
              </w:rPr>
              <w:t>Daily Maximum 2-m Temperature (C)</w:t>
            </w:r>
          </w:p>
        </w:tc>
        <w:tc>
          <w:tcPr>
            <w:tcW w:w="2070" w:type="dxa"/>
          </w:tcPr>
          <w:p w14:paraId="3E3F143E"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WRF</w:t>
            </w:r>
          </w:p>
        </w:tc>
      </w:tr>
      <w:tr w:rsidR="00D9299D" w14:paraId="3D27BE6A"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17F3D308" w14:textId="77777777" w:rsidR="00D9299D" w:rsidRPr="00E33768" w:rsidRDefault="00D9299D" w:rsidP="00AA0DBF">
            <w:pPr>
              <w:rPr>
                <w:b w:val="0"/>
              </w:rPr>
            </w:pPr>
            <w:r w:rsidRPr="00E33768">
              <w:rPr>
                <w:b w:val="0"/>
              </w:rPr>
              <w:t>Daily minimum 2-m temperature (C)</w:t>
            </w:r>
          </w:p>
        </w:tc>
        <w:tc>
          <w:tcPr>
            <w:tcW w:w="2070" w:type="dxa"/>
          </w:tcPr>
          <w:p w14:paraId="7FF38AFB"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WRF</w:t>
            </w:r>
          </w:p>
        </w:tc>
      </w:tr>
      <w:tr w:rsidR="00D9299D" w14:paraId="29BF11AE"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38C0AC78" w14:textId="77777777" w:rsidR="00D9299D" w:rsidRPr="00E33768" w:rsidRDefault="00D9299D" w:rsidP="00AA0DBF">
            <w:pPr>
              <w:rPr>
                <w:b w:val="0"/>
              </w:rPr>
            </w:pPr>
            <w:r w:rsidRPr="00E33768">
              <w:rPr>
                <w:b w:val="0"/>
              </w:rPr>
              <w:t>Daily Total Precipitation (mm)</w:t>
            </w:r>
          </w:p>
        </w:tc>
        <w:tc>
          <w:tcPr>
            <w:tcW w:w="2070" w:type="dxa"/>
          </w:tcPr>
          <w:p w14:paraId="52A547C4"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WRF</w:t>
            </w:r>
          </w:p>
        </w:tc>
      </w:tr>
      <w:tr w:rsidR="00D9299D" w14:paraId="1362ECB9"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22161422" w14:textId="77777777" w:rsidR="00D9299D" w:rsidRPr="00E33768" w:rsidRDefault="00D9299D" w:rsidP="00AA0DBF">
            <w:pPr>
              <w:rPr>
                <w:b w:val="0"/>
              </w:rPr>
            </w:pPr>
            <w:r w:rsidRPr="00E33768">
              <w:rPr>
                <w:b w:val="0"/>
              </w:rPr>
              <w:t>Daily Average Relative Humidity (unitless)</w:t>
            </w:r>
          </w:p>
        </w:tc>
        <w:tc>
          <w:tcPr>
            <w:tcW w:w="2070" w:type="dxa"/>
          </w:tcPr>
          <w:p w14:paraId="440F209C"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WRF</w:t>
            </w:r>
          </w:p>
        </w:tc>
      </w:tr>
      <w:tr w:rsidR="00D9299D" w14:paraId="513AF96E"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552025D6" w14:textId="77777777" w:rsidR="00D9299D" w:rsidRPr="00E33768" w:rsidRDefault="00D9299D" w:rsidP="00AA0DBF">
            <w:pPr>
              <w:rPr>
                <w:b w:val="0"/>
              </w:rPr>
            </w:pPr>
            <w:r w:rsidRPr="00E33768">
              <w:rPr>
                <w:b w:val="0"/>
              </w:rPr>
              <w:t>Daily Average 10-m Wind Speed (m s</w:t>
            </w:r>
            <w:r w:rsidRPr="00E33768">
              <w:rPr>
                <w:b w:val="0"/>
                <w:vertAlign w:val="superscript"/>
              </w:rPr>
              <w:t>-1</w:t>
            </w:r>
            <w:r w:rsidRPr="00E33768">
              <w:rPr>
                <w:b w:val="0"/>
              </w:rPr>
              <w:t xml:space="preserve"> )</w:t>
            </w:r>
          </w:p>
        </w:tc>
        <w:tc>
          <w:tcPr>
            <w:tcW w:w="2070" w:type="dxa"/>
          </w:tcPr>
          <w:p w14:paraId="4D585829"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WRF</w:t>
            </w:r>
          </w:p>
        </w:tc>
      </w:tr>
      <w:tr w:rsidR="00D9299D" w14:paraId="20C63493"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5E7FD750" w14:textId="77777777" w:rsidR="00D9299D" w:rsidRPr="00E33768" w:rsidRDefault="00D9299D" w:rsidP="00AA0DBF">
            <w:pPr>
              <w:rPr>
                <w:b w:val="0"/>
              </w:rPr>
            </w:pPr>
            <w:r w:rsidRPr="00E33768">
              <w:rPr>
                <w:b w:val="0"/>
              </w:rPr>
              <w:t>Daily Total Wet Deposition Oxidized N (g/ha)</w:t>
            </w:r>
          </w:p>
        </w:tc>
        <w:tc>
          <w:tcPr>
            <w:tcW w:w="2070" w:type="dxa"/>
          </w:tcPr>
          <w:p w14:paraId="6973F68B"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CMAQ</w:t>
            </w:r>
          </w:p>
        </w:tc>
      </w:tr>
      <w:tr w:rsidR="00D9299D" w14:paraId="51A4E651"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6EDBAB77" w14:textId="77777777" w:rsidR="00D9299D" w:rsidRPr="00E33768" w:rsidRDefault="00D9299D" w:rsidP="00AA0DBF">
            <w:pPr>
              <w:rPr>
                <w:b w:val="0"/>
              </w:rPr>
            </w:pPr>
            <w:r w:rsidRPr="00E33768">
              <w:rPr>
                <w:b w:val="0"/>
              </w:rPr>
              <w:t>Daily Total Wet Deposition Reduced N (g/ha)</w:t>
            </w:r>
          </w:p>
        </w:tc>
        <w:tc>
          <w:tcPr>
            <w:tcW w:w="2070" w:type="dxa"/>
          </w:tcPr>
          <w:p w14:paraId="7C4DD9AE"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CMAQ</w:t>
            </w:r>
          </w:p>
        </w:tc>
      </w:tr>
      <w:tr w:rsidR="00D9299D" w14:paraId="5D4439E2"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3E247FE0" w14:textId="77777777" w:rsidR="00D9299D" w:rsidRPr="00E33768" w:rsidRDefault="00D9299D" w:rsidP="00AA0DBF">
            <w:pPr>
              <w:rPr>
                <w:b w:val="0"/>
              </w:rPr>
            </w:pPr>
            <w:r w:rsidRPr="00E33768">
              <w:rPr>
                <w:b w:val="0"/>
              </w:rPr>
              <w:t>Daily Total Dry Deposition Oxidized N (g/ha)</w:t>
            </w:r>
          </w:p>
        </w:tc>
        <w:tc>
          <w:tcPr>
            <w:tcW w:w="2070" w:type="dxa"/>
          </w:tcPr>
          <w:p w14:paraId="194A9509"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CMAQ</w:t>
            </w:r>
          </w:p>
        </w:tc>
      </w:tr>
      <w:tr w:rsidR="00D9299D" w14:paraId="2AF7192E"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1D6D751C" w14:textId="77777777" w:rsidR="00D9299D" w:rsidRPr="00E33768" w:rsidRDefault="00D9299D" w:rsidP="00AA0DBF">
            <w:pPr>
              <w:rPr>
                <w:b w:val="0"/>
              </w:rPr>
            </w:pPr>
            <w:r w:rsidRPr="00E33768">
              <w:rPr>
                <w:b w:val="0"/>
              </w:rPr>
              <w:t>Daily Total Dry Deposition Reduced N (g/ha)</w:t>
            </w:r>
          </w:p>
        </w:tc>
        <w:tc>
          <w:tcPr>
            <w:tcW w:w="2070" w:type="dxa"/>
          </w:tcPr>
          <w:p w14:paraId="0B327D21"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CMAQ</w:t>
            </w:r>
          </w:p>
        </w:tc>
      </w:tr>
      <w:tr w:rsidR="00D9299D" w14:paraId="080348EC" w14:textId="77777777" w:rsidTr="00E33768">
        <w:trPr>
          <w:jc w:val="center"/>
        </w:trPr>
        <w:tc>
          <w:tcPr>
            <w:cnfStyle w:val="001000000000" w:firstRow="0" w:lastRow="0" w:firstColumn="1" w:lastColumn="0" w:oddVBand="0" w:evenVBand="0" w:oddHBand="0" w:evenHBand="0" w:firstRowFirstColumn="0" w:firstRowLastColumn="0" w:lastRowFirstColumn="0" w:lastRowLastColumn="0"/>
            <w:tcW w:w="4945" w:type="dxa"/>
          </w:tcPr>
          <w:p w14:paraId="648DCA68" w14:textId="77777777" w:rsidR="00D9299D" w:rsidRPr="00E33768" w:rsidRDefault="00D9299D" w:rsidP="00AA0DBF">
            <w:pPr>
              <w:rPr>
                <w:b w:val="0"/>
              </w:rPr>
            </w:pPr>
            <w:r w:rsidRPr="00E33768">
              <w:rPr>
                <w:b w:val="0"/>
              </w:rPr>
              <w:t>Daily Total Wet Deposition Organic N (g/ha)</w:t>
            </w:r>
          </w:p>
        </w:tc>
        <w:tc>
          <w:tcPr>
            <w:tcW w:w="2070" w:type="dxa"/>
          </w:tcPr>
          <w:p w14:paraId="2E9AE9AC" w14:textId="77777777" w:rsidR="00D9299D" w:rsidRPr="00E33768" w:rsidRDefault="00D9299D" w:rsidP="00AA0DBF">
            <w:pPr>
              <w:cnfStyle w:val="000000000000" w:firstRow="0" w:lastRow="0" w:firstColumn="0" w:lastColumn="0" w:oddVBand="0" w:evenVBand="0" w:oddHBand="0" w:evenHBand="0" w:firstRowFirstColumn="0" w:firstRowLastColumn="0" w:lastRowFirstColumn="0" w:lastRowLastColumn="0"/>
            </w:pPr>
            <w:r w:rsidRPr="00E33768">
              <w:t>CMAQ</w:t>
            </w:r>
          </w:p>
        </w:tc>
      </w:tr>
    </w:tbl>
    <w:p w14:paraId="04F342FE" w14:textId="45295705" w:rsidR="00A01C4B" w:rsidRDefault="00A01C4B" w:rsidP="00D51663"/>
    <w:p w14:paraId="54E943C9" w14:textId="5BF995CC" w:rsidR="00483BAE" w:rsidRDefault="00483BAE" w:rsidP="006C582B">
      <w:pPr>
        <w:spacing w:after="240"/>
      </w:pPr>
      <w:r>
        <w:t xml:space="preserve">Initial soil nutrient and pH conditions are based on the 1992 USDA Soil Conservation Service (CSC) Soils-5 survey. The EPIC model then is run for 25 years using </w:t>
      </w:r>
      <w:r w:rsidR="009D4E61">
        <w:t>current fertilization and agricultural cropping techniques to estimate soil nutrient content and pH for the 2014 EPIC/WRF/CMAQ simulation.</w:t>
      </w:r>
      <w:r>
        <w:t xml:space="preserve"> </w:t>
      </w:r>
    </w:p>
    <w:p w14:paraId="22170167" w14:textId="4BA87852" w:rsidR="00A01C4B" w:rsidRDefault="00A01C4B" w:rsidP="006C582B">
      <w:pPr>
        <w:spacing w:after="240"/>
      </w:pPr>
      <w:r>
        <w:t>The presence of crops in each</w:t>
      </w:r>
      <w:r w:rsidR="008220FD">
        <w:t xml:space="preserve"> model grid cell was determined through the use of USDA Census of Agriculture </w:t>
      </w:r>
      <w:r w:rsidR="008220FD" w:rsidRPr="008C260E">
        <w:t xml:space="preserve">data </w:t>
      </w:r>
      <w:r w:rsidR="008220FD" w:rsidRPr="00DF1584">
        <w:t>(</w:t>
      </w:r>
      <w:r w:rsidR="00C330CC" w:rsidRPr="00DF1584">
        <w:t>2012</w:t>
      </w:r>
      <w:r w:rsidR="008220FD" w:rsidRPr="00DF1584">
        <w:t>)</w:t>
      </w:r>
      <w:r w:rsidR="008220FD" w:rsidRPr="008C260E">
        <w:t xml:space="preserve"> and USGS National Land Cover data </w:t>
      </w:r>
      <w:r w:rsidR="008220FD" w:rsidRPr="00DF1584">
        <w:t>(</w:t>
      </w:r>
      <w:r w:rsidR="00D9299D" w:rsidRPr="00DF1584">
        <w:t>2011</w:t>
      </w:r>
      <w:r w:rsidR="008220FD" w:rsidRPr="00DF1584">
        <w:t>)</w:t>
      </w:r>
      <w:r w:rsidR="008220FD" w:rsidRPr="008C260E">
        <w:t>.</w:t>
      </w:r>
      <w:r w:rsidR="008220FD">
        <w:t xml:space="preserve">  </w:t>
      </w:r>
      <w:r w:rsidR="007728F8">
        <w:t>These two data sources were used to compute the fraction of agricultural land in a model grid cell and the mix of crops grown on that land.</w:t>
      </w:r>
    </w:p>
    <w:p w14:paraId="241A3982" w14:textId="4B00919A" w:rsidR="007728F8" w:rsidRDefault="003D198F" w:rsidP="006C582B">
      <w:pPr>
        <w:spacing w:after="240"/>
      </w:pPr>
      <w:r>
        <w:t xml:space="preserve">Fertilizer sales data and the 6-month period in which they were sold were extracted from the </w:t>
      </w:r>
      <w:r w:rsidR="00483BAE">
        <w:t xml:space="preserve">2006 </w:t>
      </w:r>
      <w:r>
        <w:t>Association of American Plant Food Control Officials (AAPFCO).</w:t>
      </w:r>
      <w:r w:rsidR="006C582B">
        <w:t xml:space="preserve"> </w:t>
      </w:r>
      <w:r w:rsidR="00483BAE">
        <w:t xml:space="preserve">AAPFCO data is used to identify the composition, e.g. urea, nitrate, organic, etc., of the fertilizer used the amount </w:t>
      </w:r>
      <w:r w:rsidR="00483BAE">
        <w:lastRenderedPageBreak/>
        <w:t>applied is estimated</w:t>
      </w:r>
      <w:r w:rsidR="006C582B">
        <w:t xml:space="preserve"> using the modeled crop demand.</w:t>
      </w:r>
      <w:r>
        <w:t xml:space="preserve"> </w:t>
      </w:r>
      <w:r w:rsidR="00206BAE">
        <w:t>This data is useful in making a reasonable assignment of what kind of fertilizer is being applied to which crops.</w:t>
      </w:r>
    </w:p>
    <w:p w14:paraId="792A189E" w14:textId="4709B7C8" w:rsidR="00651B86" w:rsidRDefault="00C67BC8" w:rsidP="006C582B">
      <w:pPr>
        <w:spacing w:after="240"/>
      </w:pPr>
      <w:r>
        <w:t>Management activity data refers to data used to estimate represent</w:t>
      </w:r>
      <w:r w:rsidR="006C582B">
        <w:t xml:space="preserve">ative crop management schemes. </w:t>
      </w:r>
      <w:r>
        <w:t xml:space="preserve">The USDA Agricultural Resource Management Survey (ARMS) </w:t>
      </w:r>
      <w:r w:rsidR="006C582B">
        <w:t xml:space="preserve">was used for this purpose. </w:t>
      </w:r>
      <w:r>
        <w:t>This data covers 10 USDA production regions, and provides management schemes for</w:t>
      </w:r>
      <w:r w:rsidR="00094DA4">
        <w:t xml:space="preserve"> irrigated and rain fed hay, alfalfa, grass, barley, beans, grain corn, silage corn, cotton, oats, peanuts, potatoes, rice, rye, grain sorghum, silage sorghum, soybeans, spring wheat, winter wheat, canola, and other crops (e.g. lettuce, tomatoes, etc.).</w:t>
      </w:r>
      <w:r>
        <w:t xml:space="preserve"> </w:t>
      </w:r>
    </w:p>
    <w:p w14:paraId="07C12D12" w14:textId="77777777" w:rsidR="009F7BF6" w:rsidRPr="0012029F" w:rsidRDefault="0012029F">
      <w:pPr>
        <w:rPr>
          <w:b/>
          <w:i/>
        </w:rPr>
      </w:pPr>
      <w:r w:rsidRPr="0012029F">
        <w:rPr>
          <w:b/>
          <w:i/>
        </w:rPr>
        <w:t xml:space="preserve">c. </w:t>
      </w:r>
      <w:r w:rsidR="009F7BF6" w:rsidRPr="0012029F">
        <w:rPr>
          <w:b/>
          <w:i/>
        </w:rPr>
        <w:t>Emission Factors</w:t>
      </w:r>
    </w:p>
    <w:p w14:paraId="18EACA55" w14:textId="77777777" w:rsidR="009F7BF6" w:rsidRDefault="009F7BF6"/>
    <w:p w14:paraId="0260DA9A" w14:textId="137D121E" w:rsidR="00D13DD0" w:rsidRDefault="00F64351" w:rsidP="006C582B">
      <w:pPr>
        <w:spacing w:after="240"/>
      </w:pPr>
      <w:r>
        <w:t>The emission factors were derived</w:t>
      </w:r>
      <w:r w:rsidR="00E54C06">
        <w:t xml:space="preserve"> from the 2011 FEST-C outputs. </w:t>
      </w:r>
      <w:r>
        <w:t xml:space="preserve">Total fertilizer emission factors for each month and county were computed by taking the ratio of total fertilizer </w:t>
      </w:r>
      <w:r w:rsidR="00CE5686">
        <w:t>NH</w:t>
      </w:r>
      <w:r w:rsidR="00CE5686" w:rsidRPr="00DF1584">
        <w:rPr>
          <w:vertAlign w:val="subscript"/>
        </w:rPr>
        <w:t>3</w:t>
      </w:r>
      <w:r w:rsidR="00CE5686">
        <w:t xml:space="preserve"> </w:t>
      </w:r>
      <w:r>
        <w:t>emissions</w:t>
      </w:r>
      <w:r w:rsidR="00867CD4" w:rsidRPr="00867CD4">
        <w:rPr>
          <w:color w:val="4F81BD" w:themeColor="accent1"/>
        </w:rPr>
        <w:t xml:space="preserve"> </w:t>
      </w:r>
      <w:r w:rsidR="006A6564">
        <w:t>(short tons)</w:t>
      </w:r>
      <w:r>
        <w:t xml:space="preserve"> to total nitrogen fertilizer </w:t>
      </w:r>
      <w:r w:rsidR="00CE5686">
        <w:t>application</w:t>
      </w:r>
      <w:r w:rsidR="006A6564">
        <w:t xml:space="preserve"> (short tons)</w:t>
      </w:r>
      <w:r>
        <w:t>.</w:t>
      </w:r>
    </w:p>
    <w:p w14:paraId="4A4D654C" w14:textId="77777777" w:rsidR="009F7BF6" w:rsidRPr="0012029F" w:rsidRDefault="0012029F">
      <w:pPr>
        <w:rPr>
          <w:b/>
          <w:i/>
        </w:rPr>
      </w:pPr>
      <w:r w:rsidRPr="0012029F">
        <w:rPr>
          <w:b/>
          <w:i/>
        </w:rPr>
        <w:t xml:space="preserve">d. </w:t>
      </w:r>
      <w:r w:rsidR="009F7BF6" w:rsidRPr="0012029F">
        <w:rPr>
          <w:b/>
          <w:i/>
        </w:rPr>
        <w:t>Emissions</w:t>
      </w:r>
    </w:p>
    <w:p w14:paraId="1AB54365" w14:textId="77777777" w:rsidR="00CF1892" w:rsidRDefault="00CF1892"/>
    <w:p w14:paraId="138963FD" w14:textId="5A8D3B5D" w:rsidR="00CE5686" w:rsidRDefault="00CE5686" w:rsidP="006C582B">
      <w:pPr>
        <w:spacing w:after="240"/>
      </w:pPr>
      <w:r>
        <w:t>12 km by 12 km gridded NH</w:t>
      </w:r>
      <w:r w:rsidRPr="00DF1584">
        <w:rPr>
          <w:vertAlign w:val="subscript"/>
        </w:rPr>
        <w:t>3</w:t>
      </w:r>
      <w:r w:rsidR="006C582B">
        <w:t xml:space="preserve"> emissions we</w:t>
      </w:r>
      <w:r>
        <w:t xml:space="preserve">re mapped into </w:t>
      </w:r>
      <w:r w:rsidR="006C582B">
        <w:t xml:space="preserve">a </w:t>
      </w:r>
      <w:r>
        <w:t xml:space="preserve">county </w:t>
      </w:r>
      <w:r w:rsidR="00094DA4">
        <w:t>shape file polygon if the grid level centroid falls within the bounds of the county level polygon.</w:t>
      </w:r>
      <w:r w:rsidR="006C582B">
        <w:t xml:space="preserve"> With additional time and resources, spatial allocator technique could be refined to allow for more accurate county-level estimates.</w:t>
      </w:r>
    </w:p>
    <w:p w14:paraId="0CEA913C" w14:textId="7C3E26F5" w:rsidR="009F6CE9" w:rsidRDefault="00F6032E" w:rsidP="006C582B">
      <w:pPr>
        <w:spacing w:after="240"/>
      </w:pPr>
      <w:r>
        <w:t>County-level</w:t>
      </w:r>
      <w:r w:rsidR="009F6CE9">
        <w:t xml:space="preserve"> </w:t>
      </w:r>
      <w:r w:rsidR="0043057B">
        <w:t xml:space="preserve">fertilizer </w:t>
      </w:r>
      <w:r w:rsidR="009F6CE9">
        <w:t xml:space="preserve">emissions </w:t>
      </w:r>
      <w:r w:rsidR="00E12F7E" w:rsidRPr="00DF1584">
        <w:t>(NH3)</w:t>
      </w:r>
      <w:r w:rsidR="00C330CC">
        <w:rPr>
          <w:color w:val="4F81BD" w:themeColor="accent1"/>
        </w:rPr>
        <w:t xml:space="preserve"> </w:t>
      </w:r>
      <w:r w:rsidR="00E12F7E">
        <w:t xml:space="preserve">for 2014 </w:t>
      </w:r>
      <w:r w:rsidR="009F6CE9">
        <w:t>are computed as:</w:t>
      </w:r>
    </w:p>
    <w:p w14:paraId="2860CD28" w14:textId="77777777" w:rsidR="00241699" w:rsidRDefault="00241699" w:rsidP="006C582B">
      <w:pPr>
        <w:spacing w:after="240"/>
      </w:pPr>
      <w:r>
        <w:tab/>
        <w:t xml:space="preserve">(2011 Fertilizer Emissions/2011 Total N Fertilizer) * </w:t>
      </w:r>
      <w:r w:rsidR="00E12F7E">
        <w:t>2014 Total N Fertilizer</w:t>
      </w:r>
    </w:p>
    <w:p w14:paraId="06E5DF74" w14:textId="77777777" w:rsidR="009F7BF6" w:rsidRPr="0012029F" w:rsidRDefault="0012029F">
      <w:pPr>
        <w:rPr>
          <w:b/>
          <w:i/>
        </w:rPr>
      </w:pPr>
      <w:r w:rsidRPr="0012029F">
        <w:rPr>
          <w:b/>
          <w:i/>
        </w:rPr>
        <w:t xml:space="preserve">e. </w:t>
      </w:r>
      <w:r w:rsidR="009F7BF6" w:rsidRPr="0012029F">
        <w:rPr>
          <w:b/>
          <w:i/>
        </w:rPr>
        <w:t>Sample Calculations</w:t>
      </w:r>
    </w:p>
    <w:p w14:paraId="6F9F5C6D" w14:textId="77777777" w:rsidR="005905D6" w:rsidRDefault="005905D6"/>
    <w:p w14:paraId="0CBDB191" w14:textId="6451ADAA" w:rsidR="006C582B" w:rsidRDefault="006C582B" w:rsidP="006C582B">
      <w:pPr>
        <w:spacing w:after="240"/>
      </w:pPr>
      <w:r>
        <w:t>With this modeling system, it would be difficult to perform a sample calculation; this is not something that could be demonstrated in a spreadsheet. These emissions are computed via the full chemical transport model, as illustrated in Figure 3.</w:t>
      </w:r>
    </w:p>
    <w:p w14:paraId="056CB356" w14:textId="77777777" w:rsidR="00E54C06" w:rsidRPr="006C582B" w:rsidRDefault="00E54C06" w:rsidP="00E54C06">
      <w:pPr>
        <w:keepNext/>
        <w:keepLines/>
        <w:jc w:val="center"/>
      </w:pPr>
      <w:r w:rsidRPr="006C582B">
        <w:rPr>
          <w:b/>
        </w:rPr>
        <w:lastRenderedPageBreak/>
        <w:t xml:space="preserve">Figure </w:t>
      </w:r>
      <w:r w:rsidRPr="006C582B">
        <w:rPr>
          <w:b/>
        </w:rPr>
        <w:fldChar w:fldCharType="begin"/>
      </w:r>
      <w:r w:rsidRPr="006C582B">
        <w:rPr>
          <w:b/>
        </w:rPr>
        <w:instrText xml:space="preserve"> SEQ Figure \* ARABIC </w:instrText>
      </w:r>
      <w:r w:rsidRPr="006C582B">
        <w:rPr>
          <w:b/>
        </w:rPr>
        <w:fldChar w:fldCharType="separate"/>
      </w:r>
      <w:r w:rsidRPr="006C582B">
        <w:rPr>
          <w:b/>
          <w:noProof/>
        </w:rPr>
        <w:t>3</w:t>
      </w:r>
      <w:r w:rsidRPr="006C582B">
        <w:rPr>
          <w:b/>
        </w:rPr>
        <w:fldChar w:fldCharType="end"/>
      </w:r>
      <w:r w:rsidRPr="006C582B">
        <w:rPr>
          <w:b/>
        </w:rPr>
        <w:t>.</w:t>
      </w:r>
      <w:r w:rsidRPr="006C582B">
        <w:t xml:space="preserve"> </w:t>
      </w:r>
      <w:r>
        <w:t>S</w:t>
      </w:r>
      <w:r w:rsidRPr="006C582B">
        <w:t>implified flow of operations in estimating NH3 emissions across the EPIC/WRF/CMAQ modeling system</w:t>
      </w:r>
    </w:p>
    <w:p w14:paraId="5AD5A18A" w14:textId="77777777" w:rsidR="00094DA4" w:rsidRDefault="00094DA4" w:rsidP="00E54C06">
      <w:pPr>
        <w:keepNext/>
        <w:jc w:val="center"/>
      </w:pPr>
      <w:r>
        <w:rPr>
          <w:noProof/>
        </w:rPr>
        <w:drawing>
          <wp:inline distT="0" distB="0" distL="0" distR="0" wp14:anchorId="588396C6" wp14:editId="79D4A23B">
            <wp:extent cx="5569248" cy="267069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749" t="19683" r="28630" b="23508"/>
                    <a:stretch/>
                  </pic:blipFill>
                  <pic:spPr bwMode="auto">
                    <a:xfrm>
                      <a:off x="0" y="0"/>
                      <a:ext cx="5588666" cy="2680009"/>
                    </a:xfrm>
                    <a:prstGeom prst="rect">
                      <a:avLst/>
                    </a:prstGeom>
                    <a:ln>
                      <a:noFill/>
                    </a:ln>
                    <a:extLst>
                      <a:ext uri="{53640926-AAD7-44D8-BBD7-CCE9431645EC}">
                        <a14:shadowObscured xmlns:a14="http://schemas.microsoft.com/office/drawing/2010/main"/>
                      </a:ext>
                    </a:extLst>
                  </pic:spPr>
                </pic:pic>
              </a:graphicData>
            </a:graphic>
          </wp:inline>
        </w:drawing>
      </w:r>
    </w:p>
    <w:p w14:paraId="3DADB088" w14:textId="77777777" w:rsidR="00711C29" w:rsidRDefault="00711C29"/>
    <w:p w14:paraId="5CAD07E5" w14:textId="77777777" w:rsidR="005905D6" w:rsidRDefault="005905D6">
      <w:pPr>
        <w:rPr>
          <w:b/>
          <w:i/>
        </w:rPr>
      </w:pPr>
      <w:r w:rsidRPr="005905D6">
        <w:rPr>
          <w:b/>
          <w:i/>
        </w:rPr>
        <w:t>f. Comparison to 2011 Methodology</w:t>
      </w:r>
    </w:p>
    <w:p w14:paraId="0492170D" w14:textId="77777777" w:rsidR="00E63CBE" w:rsidRDefault="00E63CBE">
      <w:pPr>
        <w:rPr>
          <w:b/>
          <w:i/>
        </w:rPr>
      </w:pPr>
    </w:p>
    <w:p w14:paraId="7514BFB1" w14:textId="593B9962" w:rsidR="005905D6" w:rsidRDefault="00E33768" w:rsidP="006C582B">
      <w:pPr>
        <w:spacing w:after="240"/>
      </w:pPr>
      <w:r>
        <w:t xml:space="preserve">The 2014 fertilizer estimates are based on a new “bidi” approach that couples meteorological inputs, CMAQ and the EPIC modeling system. The 2011 fertilizer estimates are based on the </w:t>
      </w:r>
      <w:r w:rsidR="00817014">
        <w:t>Carnegie Mellon (</w:t>
      </w:r>
      <w:r w:rsidR="00817014">
        <w:t>CMU</w:t>
      </w:r>
      <w:r w:rsidR="00817014">
        <w:t>)</w:t>
      </w:r>
      <w:r w:rsidR="00817014">
        <w:t xml:space="preserve"> Ammonia Model v.3.6</w:t>
      </w:r>
      <w:r w:rsidR="00817014">
        <w:t xml:space="preserve">. In short, the methodologies are completely different. </w:t>
      </w:r>
      <w:r w:rsidR="00E63CBE">
        <w:t xml:space="preserve">Documentation </w:t>
      </w:r>
      <w:r w:rsidR="00F86CED">
        <w:t xml:space="preserve">of the methodology </w:t>
      </w:r>
      <w:r w:rsidR="00E63CBE">
        <w:t>for the 2011 EPA dataset</w:t>
      </w:r>
      <w:r w:rsidR="00F86CED">
        <w:t xml:space="preserve"> as well as the county level data and maps are located in the zip file at:</w:t>
      </w:r>
      <w:r w:rsidR="00817014">
        <w:t xml:space="preserve"> </w:t>
      </w:r>
    </w:p>
    <w:p w14:paraId="0D57C7BA" w14:textId="7E61AF61" w:rsidR="00E63CBE" w:rsidRDefault="006417C5" w:rsidP="006C582B">
      <w:pPr>
        <w:spacing w:after="240"/>
      </w:pPr>
      <w:hyperlink r:id="rId12" w:history="1">
        <w:r w:rsidR="00E63CBE" w:rsidRPr="00CA2C83">
          <w:rPr>
            <w:rStyle w:val="Hyperlink"/>
          </w:rPr>
          <w:t>ftp://ftp.epa.gov/EmisInventory/2011nei/doc</w:t>
        </w:r>
        <w:r w:rsidR="00E63CBE" w:rsidRPr="00CA2C83">
          <w:rPr>
            <w:rStyle w:val="Hyperlink"/>
          </w:rPr>
          <w:t>/</w:t>
        </w:r>
      </w:hyperlink>
      <w:hyperlink r:id="rId13" w:history="1">
        <w:r w:rsidR="00E63CBE">
          <w:rPr>
            <w:rStyle w:val="Hyperlink"/>
          </w:rPr>
          <w:t>ag_ferti</w:t>
        </w:r>
        <w:r w:rsidR="00E63CBE">
          <w:rPr>
            <w:rStyle w:val="Hyperlink"/>
          </w:rPr>
          <w:t>l</w:t>
        </w:r>
        <w:r w:rsidR="00E63CBE">
          <w:rPr>
            <w:rStyle w:val="Hyperlink"/>
          </w:rPr>
          <w:t>izer_application_2011.zip</w:t>
        </w:r>
      </w:hyperlink>
    </w:p>
    <w:p w14:paraId="41EE965E" w14:textId="761AA4CD" w:rsidR="00817014" w:rsidRDefault="00F86CED" w:rsidP="006C582B">
      <w:pPr>
        <w:spacing w:after="240"/>
      </w:pPr>
      <w:r>
        <w:t xml:space="preserve">For 2014 a comparison of the 2011 EPA data, 2014 EPA data, and 2011 </w:t>
      </w:r>
      <w:r w:rsidR="008F6283">
        <w:t>NEI</w:t>
      </w:r>
      <w:r>
        <w:t xml:space="preserve"> selection </w:t>
      </w:r>
      <w:r w:rsidR="008F6283">
        <w:t xml:space="preserve">(EIS) </w:t>
      </w:r>
      <w:r w:rsidR="00FA6D52">
        <w:t xml:space="preserve">as well as </w:t>
      </w:r>
      <w:r>
        <w:t xml:space="preserve">maps for those datasets </w:t>
      </w:r>
      <w:r w:rsidR="00FA6D52">
        <w:t xml:space="preserve">are located in the zip file </w:t>
      </w:r>
      <w:r w:rsidR="00817014">
        <w:t>“</w:t>
      </w:r>
      <w:r w:rsidR="00817014" w:rsidRPr="00817014">
        <w:rPr>
          <w:i/>
        </w:rPr>
        <w:t>2014_Fertilizer_Application_v1.0_22apr2016.zip</w:t>
      </w:r>
      <w:r w:rsidR="00817014">
        <w:t xml:space="preserve">” </w:t>
      </w:r>
      <w:r w:rsidR="00051D54">
        <w:t xml:space="preserve">available </w:t>
      </w:r>
      <w:r w:rsidR="00FA6D52">
        <w:t>at:</w:t>
      </w:r>
      <w:r w:rsidR="00817014">
        <w:t xml:space="preserve"> </w:t>
      </w:r>
    </w:p>
    <w:p w14:paraId="55B74B5A" w14:textId="790B79AC" w:rsidR="00FA6D52" w:rsidRDefault="00817014" w:rsidP="006C582B">
      <w:pPr>
        <w:spacing w:after="240"/>
      </w:pPr>
      <w:hyperlink r:id="rId14" w:history="1">
        <w:r w:rsidRPr="003A7EA9">
          <w:rPr>
            <w:rStyle w:val="Hyperlink"/>
          </w:rPr>
          <w:t>ftp://ftp.epa.gov/EmisInventory/2014/doc/nonpoint/</w:t>
        </w:r>
      </w:hyperlink>
      <w:r>
        <w:t xml:space="preserve"> </w:t>
      </w:r>
    </w:p>
    <w:p w14:paraId="1283447E" w14:textId="6F4C536B" w:rsidR="00817014" w:rsidRDefault="00817014" w:rsidP="006C582B">
      <w:pPr>
        <w:spacing w:after="240"/>
      </w:pPr>
      <w:r>
        <w:t xml:space="preserve">Emission maps for the </w:t>
      </w:r>
      <w:r w:rsidR="001A6A55">
        <w:t xml:space="preserve">NEI </w:t>
      </w:r>
      <w:r>
        <w:t>2011</w:t>
      </w:r>
      <w:r w:rsidR="005151EA">
        <w:t xml:space="preserve">v2 </w:t>
      </w:r>
      <w:r>
        <w:t xml:space="preserve">and these 2014 estimates are provided below in Figure 4 and Figure 5, respectively. In addition, </w:t>
      </w:r>
      <w:r w:rsidR="005151EA">
        <w:t>the “</w:t>
      </w:r>
      <w:r w:rsidR="005151EA" w:rsidRPr="005151EA">
        <w:rPr>
          <w:i/>
        </w:rPr>
        <w:t>Emissions_and_fertilizer_2011bidi_vs_2014bidi.xlsx</w:t>
      </w:r>
      <w:r w:rsidR="005151EA">
        <w:t xml:space="preserve">” Excel workbook provided in </w:t>
      </w:r>
      <w:r>
        <w:t>the previously-men</w:t>
      </w:r>
      <w:r w:rsidR="005151EA">
        <w:t>tioned 2014 zip file, includes the comparison of these 2014 county-level emissions (column N) to 2011 (not 2011 NEI) estimates (column H) using the “bid” approach. Comparisons to the 2011 NEI at the county-level to the “bidi” approach for 2011 are also available in the workbook “</w:t>
      </w:r>
      <w:r w:rsidR="005151EA" w:rsidRPr="005151EA">
        <w:rPr>
          <w:i/>
        </w:rPr>
        <w:t>ORD2011_NEI2011_EIS2011_Fertilizer_NH3_bycounty_compare</w:t>
      </w:r>
      <w:r w:rsidR="005151EA">
        <w:rPr>
          <w:i/>
        </w:rPr>
        <w:t>_wREADME</w:t>
      </w:r>
      <w:r w:rsidR="005151EA" w:rsidRPr="005151EA">
        <w:rPr>
          <w:i/>
        </w:rPr>
        <w:t>.xlsx</w:t>
      </w:r>
      <w:r w:rsidR="005151EA">
        <w:t>”.</w:t>
      </w:r>
    </w:p>
    <w:p w14:paraId="43F55549" w14:textId="754ED251" w:rsidR="005151EA" w:rsidRPr="005151EA" w:rsidRDefault="005151EA" w:rsidP="001A6A55">
      <w:pPr>
        <w:keepNext/>
        <w:keepLines/>
        <w:jc w:val="center"/>
        <w:rPr>
          <w:i/>
        </w:rPr>
      </w:pPr>
      <w:r w:rsidRPr="001A6A55">
        <w:rPr>
          <w:b/>
        </w:rPr>
        <w:lastRenderedPageBreak/>
        <w:t xml:space="preserve">Figure 4. </w:t>
      </w:r>
      <w:r>
        <w:t>NEI 2011v2 fertilizer emissions</w:t>
      </w:r>
      <w:r w:rsidR="001A6A55">
        <w:t xml:space="preserve"> (publicly-available)</w:t>
      </w:r>
    </w:p>
    <w:p w14:paraId="79E6F464" w14:textId="77777777" w:rsidR="001A6A55" w:rsidRDefault="00817014" w:rsidP="001A6A55">
      <w:pPr>
        <w:spacing w:after="240"/>
        <w:jc w:val="center"/>
      </w:pPr>
      <w:r>
        <w:rPr>
          <w:noProof/>
        </w:rPr>
        <w:drawing>
          <wp:inline distT="0" distB="0" distL="0" distR="0" wp14:anchorId="6872A1BC" wp14:editId="0DDD6021">
            <wp:extent cx="4943475" cy="3816712"/>
            <wp:effectExtent l="0" t="0" r="0" b="0"/>
            <wp:docPr id="4" name="Picture 4" descr="C:\Users\RMASON\Documents\FY2016\NEI team\NEI2014\DRAFT estimates\Fertilizer\EIS_2011_fertilizer_NH3_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MASON\Documents\FY2016\NEI team\NEI2014\DRAFT estimates\Fertilizer\EIS_2011_fertilizer_NH3_emission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88701" cy="3851629"/>
                    </a:xfrm>
                    <a:prstGeom prst="rect">
                      <a:avLst/>
                    </a:prstGeom>
                    <a:noFill/>
                    <a:ln>
                      <a:noFill/>
                    </a:ln>
                  </pic:spPr>
                </pic:pic>
              </a:graphicData>
            </a:graphic>
          </wp:inline>
        </w:drawing>
      </w:r>
    </w:p>
    <w:p w14:paraId="1340DED6" w14:textId="1EFD0A85" w:rsidR="001A6A55" w:rsidRDefault="001A6A55" w:rsidP="001A6A55">
      <w:pPr>
        <w:keepNext/>
        <w:keepLines/>
        <w:jc w:val="center"/>
      </w:pPr>
      <w:r w:rsidRPr="001A6A55">
        <w:rPr>
          <w:b/>
        </w:rPr>
        <w:t>Figure 5.</w:t>
      </w:r>
      <w:r>
        <w:t xml:space="preserve"> 2014 “bidi” fertilizer emissions (draft for 2014v1 NEI)</w:t>
      </w:r>
    </w:p>
    <w:p w14:paraId="4847C068" w14:textId="3AB1746F" w:rsidR="00817014" w:rsidRDefault="00817014" w:rsidP="001A6A55">
      <w:pPr>
        <w:spacing w:after="240"/>
        <w:jc w:val="center"/>
      </w:pPr>
      <w:r>
        <w:rPr>
          <w:noProof/>
        </w:rPr>
        <w:drawing>
          <wp:inline distT="0" distB="0" distL="0" distR="0" wp14:anchorId="54C92CF6" wp14:editId="6A09C4EC">
            <wp:extent cx="4924425" cy="3802004"/>
            <wp:effectExtent l="0" t="0" r="0" b="8255"/>
            <wp:docPr id="5" name="Picture 5" descr="C:\Users\RMASON\Documents\FY2016\NEI team\NEI2014\DRAFT estimates\Fertilizer\ORD_2014_fertilizer_NH3_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MASON\Documents\FY2016\NEI team\NEI2014\DRAFT estimates\Fertilizer\ORD_2014_fertilizer_NH3_emissions.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8499" cy="3828312"/>
                    </a:xfrm>
                    <a:prstGeom prst="rect">
                      <a:avLst/>
                    </a:prstGeom>
                    <a:noFill/>
                    <a:ln>
                      <a:noFill/>
                    </a:ln>
                  </pic:spPr>
                </pic:pic>
              </a:graphicData>
            </a:graphic>
          </wp:inline>
        </w:drawing>
      </w:r>
    </w:p>
    <w:p w14:paraId="1A72F9AF" w14:textId="129992BE" w:rsidR="00E33768" w:rsidRDefault="00E33768" w:rsidP="00E33768">
      <w:pPr>
        <w:spacing w:after="240"/>
        <w:rPr>
          <w:b/>
          <w:i/>
        </w:rPr>
      </w:pPr>
      <w:r>
        <w:rPr>
          <w:b/>
          <w:i/>
        </w:rPr>
        <w:lastRenderedPageBreak/>
        <w:t>g</w:t>
      </w:r>
      <w:r w:rsidRPr="005905D6">
        <w:rPr>
          <w:b/>
          <w:i/>
        </w:rPr>
        <w:t xml:space="preserve">. </w:t>
      </w:r>
      <w:r>
        <w:rPr>
          <w:b/>
          <w:i/>
        </w:rPr>
        <w:t>References</w:t>
      </w:r>
    </w:p>
    <w:p w14:paraId="03709EB3" w14:textId="0CF39AA5" w:rsidR="00FA6D52" w:rsidRPr="00052610" w:rsidRDefault="00052610" w:rsidP="00052610">
      <w:pPr>
        <w:spacing w:after="240"/>
        <w:rPr>
          <w:sz w:val="20"/>
          <w:szCs w:val="20"/>
        </w:rPr>
      </w:pPr>
      <w:r w:rsidRPr="00052610">
        <w:rPr>
          <w:sz w:val="20"/>
          <w:szCs w:val="20"/>
        </w:rPr>
        <w:t xml:space="preserve">1. </w:t>
      </w:r>
      <w:r>
        <w:rPr>
          <w:sz w:val="20"/>
          <w:szCs w:val="20"/>
        </w:rPr>
        <w:t>Fertilizer Emission Scenario Tool for CMAQ (</w:t>
      </w:r>
      <w:r w:rsidRPr="00052610">
        <w:rPr>
          <w:sz w:val="20"/>
          <w:szCs w:val="20"/>
        </w:rPr>
        <w:t>FEST-C</w:t>
      </w:r>
      <w:r>
        <w:rPr>
          <w:sz w:val="20"/>
          <w:szCs w:val="20"/>
        </w:rPr>
        <w:t xml:space="preserve">) system, available at: </w:t>
      </w:r>
      <w:hyperlink r:id="rId17" w:history="1">
        <w:r w:rsidRPr="003A7EA9">
          <w:rPr>
            <w:rStyle w:val="Hyperlink"/>
            <w:sz w:val="20"/>
            <w:szCs w:val="20"/>
          </w:rPr>
          <w:t>https://www.cmascenter.org/fest-c/</w:t>
        </w:r>
      </w:hyperlink>
      <w:r>
        <w:rPr>
          <w:sz w:val="20"/>
          <w:szCs w:val="20"/>
        </w:rPr>
        <w:t xml:space="preserve"> </w:t>
      </w:r>
    </w:p>
    <w:p w14:paraId="3C13A899" w14:textId="70D3D708" w:rsidR="00052610" w:rsidRPr="00052610" w:rsidRDefault="00052610" w:rsidP="00052610">
      <w:pPr>
        <w:spacing w:after="240"/>
        <w:rPr>
          <w:sz w:val="20"/>
          <w:szCs w:val="20"/>
        </w:rPr>
      </w:pPr>
      <w:r w:rsidRPr="00052610">
        <w:rPr>
          <w:sz w:val="20"/>
          <w:szCs w:val="20"/>
        </w:rPr>
        <w:t xml:space="preserve">2. Community Multiscale Air Quality (CMAQ v5.1) model, available at: </w:t>
      </w:r>
      <w:hyperlink r:id="rId18" w:history="1">
        <w:r w:rsidRPr="00052610">
          <w:rPr>
            <w:rStyle w:val="Hyperlink"/>
            <w:sz w:val="20"/>
            <w:szCs w:val="20"/>
          </w:rPr>
          <w:t>https://www.cmascenter.org/</w:t>
        </w:r>
      </w:hyperlink>
      <w:r w:rsidRPr="00052610">
        <w:rPr>
          <w:sz w:val="20"/>
          <w:szCs w:val="20"/>
        </w:rPr>
        <w:t xml:space="preserve"> </w:t>
      </w:r>
    </w:p>
    <w:p w14:paraId="49AABB9C" w14:textId="14B8CD9F" w:rsidR="00052610" w:rsidRPr="00052610" w:rsidRDefault="00052610" w:rsidP="00052610">
      <w:pPr>
        <w:spacing w:after="240"/>
        <w:rPr>
          <w:sz w:val="20"/>
          <w:szCs w:val="20"/>
        </w:rPr>
      </w:pPr>
      <w:r w:rsidRPr="00052610">
        <w:rPr>
          <w:sz w:val="20"/>
          <w:szCs w:val="20"/>
        </w:rPr>
        <w:t>3. Environmental Policy Integrated Climate (EPIC) model</w:t>
      </w:r>
      <w:r>
        <w:rPr>
          <w:sz w:val="20"/>
          <w:szCs w:val="20"/>
        </w:rPr>
        <w:t>, a</w:t>
      </w:r>
      <w:r w:rsidRPr="00052610">
        <w:rPr>
          <w:sz w:val="20"/>
          <w:szCs w:val="20"/>
        </w:rPr>
        <w:t xml:space="preserve">vailable for download at: </w:t>
      </w:r>
      <w:hyperlink r:id="rId19" w:history="1">
        <w:r w:rsidRPr="00052610">
          <w:rPr>
            <w:rStyle w:val="Hyperlink"/>
            <w:sz w:val="20"/>
            <w:szCs w:val="20"/>
          </w:rPr>
          <w:t>http://epicapex.tamu.edu/</w:t>
        </w:r>
      </w:hyperlink>
    </w:p>
    <w:p w14:paraId="3FD07A76" w14:textId="2DE9CCEA" w:rsidR="00052610" w:rsidRPr="00052610" w:rsidRDefault="00052610" w:rsidP="00052610">
      <w:pPr>
        <w:spacing w:after="240"/>
        <w:rPr>
          <w:sz w:val="20"/>
          <w:szCs w:val="20"/>
        </w:rPr>
      </w:pPr>
      <w:r w:rsidRPr="00052610">
        <w:rPr>
          <w:sz w:val="20"/>
          <w:szCs w:val="20"/>
        </w:rPr>
        <w:t>4. W</w:t>
      </w:r>
      <w:r>
        <w:rPr>
          <w:sz w:val="20"/>
          <w:szCs w:val="20"/>
        </w:rPr>
        <w:t>eather Research Forecast (W</w:t>
      </w:r>
      <w:r w:rsidRPr="00052610">
        <w:rPr>
          <w:sz w:val="20"/>
          <w:szCs w:val="20"/>
        </w:rPr>
        <w:t>RF</w:t>
      </w:r>
      <w:r>
        <w:rPr>
          <w:sz w:val="20"/>
          <w:szCs w:val="20"/>
        </w:rPr>
        <w:t xml:space="preserve">) model, available at: </w:t>
      </w:r>
      <w:hyperlink r:id="rId20" w:history="1">
        <w:r w:rsidRPr="003A7EA9">
          <w:rPr>
            <w:rStyle w:val="Hyperlink"/>
            <w:sz w:val="20"/>
            <w:szCs w:val="20"/>
          </w:rPr>
          <w:t>http://www.wrf-model.org/index.php</w:t>
        </w:r>
      </w:hyperlink>
      <w:r>
        <w:rPr>
          <w:sz w:val="20"/>
          <w:szCs w:val="20"/>
        </w:rPr>
        <w:t xml:space="preserve"> </w:t>
      </w:r>
    </w:p>
    <w:p w14:paraId="6AE3E143" w14:textId="51B53D82" w:rsidR="00052610" w:rsidRDefault="00052610" w:rsidP="00052610">
      <w:pPr>
        <w:spacing w:after="240"/>
        <w:rPr>
          <w:sz w:val="20"/>
          <w:szCs w:val="20"/>
        </w:rPr>
      </w:pPr>
      <w:r w:rsidRPr="00052610">
        <w:rPr>
          <w:sz w:val="20"/>
          <w:szCs w:val="20"/>
        </w:rPr>
        <w:t xml:space="preserve">5. </w:t>
      </w:r>
      <w:r w:rsidRPr="00052610">
        <w:rPr>
          <w:sz w:val="20"/>
          <w:szCs w:val="20"/>
        </w:rPr>
        <w:t xml:space="preserve">Cooter, E.J., Bash, J.O., Benson V., Ran, L.-M.; Linking agricultural management and air-quality models for regional to national-scale nitrogen deposition assessments, </w:t>
      </w:r>
      <w:r w:rsidRPr="00052610">
        <w:rPr>
          <w:i/>
          <w:sz w:val="20"/>
          <w:szCs w:val="20"/>
        </w:rPr>
        <w:t>Biogeosciences</w:t>
      </w:r>
      <w:r w:rsidRPr="00052610">
        <w:rPr>
          <w:sz w:val="20"/>
          <w:szCs w:val="20"/>
        </w:rPr>
        <w:t>, 9, 4023-4035, 2012</w:t>
      </w:r>
      <w:r w:rsidRPr="00052610">
        <w:rPr>
          <w:sz w:val="20"/>
          <w:szCs w:val="20"/>
        </w:rPr>
        <w:t xml:space="preserve">. Also available at: </w:t>
      </w:r>
      <w:hyperlink r:id="rId21" w:history="1">
        <w:r w:rsidRPr="00052610">
          <w:rPr>
            <w:rStyle w:val="Hyperlink"/>
            <w:sz w:val="20"/>
            <w:szCs w:val="20"/>
          </w:rPr>
          <w:t>http://www.biogeosciences.net/9/4023/2012/</w:t>
        </w:r>
      </w:hyperlink>
    </w:p>
    <w:p w14:paraId="71E5FA13" w14:textId="1EB7A676" w:rsidR="00817014" w:rsidRPr="00052610" w:rsidRDefault="00817014" w:rsidP="00052610">
      <w:pPr>
        <w:spacing w:after="240"/>
        <w:rPr>
          <w:sz w:val="20"/>
          <w:szCs w:val="20"/>
        </w:rPr>
      </w:pPr>
      <w:r>
        <w:rPr>
          <w:sz w:val="20"/>
          <w:szCs w:val="20"/>
        </w:rPr>
        <w:t xml:space="preserve">6. </w:t>
      </w:r>
    </w:p>
    <w:p w14:paraId="00031247" w14:textId="77777777" w:rsidR="00E33768" w:rsidRPr="005E3966" w:rsidRDefault="00E33768" w:rsidP="00E33768">
      <w:pPr>
        <w:spacing w:after="240"/>
      </w:pPr>
    </w:p>
    <w:sectPr w:rsidR="00E33768" w:rsidRPr="005E3966" w:rsidSect="00E54C06">
      <w:head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4A9126" w14:textId="77777777" w:rsidR="006417C5" w:rsidRDefault="006417C5">
      <w:r>
        <w:separator/>
      </w:r>
    </w:p>
  </w:endnote>
  <w:endnote w:type="continuationSeparator" w:id="0">
    <w:p w14:paraId="675FAEAD" w14:textId="77777777" w:rsidR="006417C5" w:rsidRDefault="006417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4904A9" w14:textId="77777777" w:rsidR="006417C5" w:rsidRDefault="006417C5">
      <w:r>
        <w:separator/>
      </w:r>
    </w:p>
  </w:footnote>
  <w:footnote w:type="continuationSeparator" w:id="0">
    <w:p w14:paraId="71723FF0" w14:textId="77777777" w:rsidR="006417C5" w:rsidRDefault="006417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6547EA" w14:textId="77777777" w:rsidR="00C2719B" w:rsidRDefault="00C2719B">
    <w:pPr>
      <w:pStyle w:val="Header"/>
    </w:pPr>
    <w:r>
      <w:t>AGRICULTURE PRODUCTION – CROPS - FERTILIZER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220E6"/>
    <w:multiLevelType w:val="hybridMultilevel"/>
    <w:tmpl w:val="AFC48D1E"/>
    <w:lvl w:ilvl="0" w:tplc="0409000F">
      <w:start w:val="1"/>
      <w:numFmt w:val="decimal"/>
      <w:lvlText w:val="%1."/>
      <w:lvlJc w:val="left"/>
      <w:pPr>
        <w:tabs>
          <w:tab w:val="num" w:pos="1440"/>
        </w:tabs>
        <w:ind w:left="1440" w:hanging="360"/>
      </w:pPr>
      <w:rPr>
        <w:rFont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13125DFB"/>
    <w:multiLevelType w:val="multilevel"/>
    <w:tmpl w:val="9E942436"/>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13C53057"/>
    <w:multiLevelType w:val="multilevel"/>
    <w:tmpl w:val="B25C1744"/>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27645356"/>
    <w:multiLevelType w:val="hybridMultilevel"/>
    <w:tmpl w:val="CA361C4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28CE2100"/>
    <w:multiLevelType w:val="hybridMultilevel"/>
    <w:tmpl w:val="60762C52"/>
    <w:lvl w:ilvl="0" w:tplc="042687E0">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3B47628C"/>
    <w:multiLevelType w:val="hybridMultilevel"/>
    <w:tmpl w:val="EA0A33C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40D57BCD"/>
    <w:multiLevelType w:val="hybridMultilevel"/>
    <w:tmpl w:val="3D64975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1A942DD"/>
    <w:multiLevelType w:val="multilevel"/>
    <w:tmpl w:val="9E942436"/>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44524A9C"/>
    <w:multiLevelType w:val="hybridMultilevel"/>
    <w:tmpl w:val="2B8AA498"/>
    <w:lvl w:ilvl="0" w:tplc="0409000F">
      <w:start w:val="1"/>
      <w:numFmt w:val="decimal"/>
      <w:lvlText w:val="%1."/>
      <w:lvlJc w:val="left"/>
      <w:pPr>
        <w:tabs>
          <w:tab w:val="num" w:pos="1440"/>
        </w:tabs>
        <w:ind w:left="1440" w:hanging="360"/>
      </w:pPr>
      <w:rPr>
        <w:rFont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55BB4146"/>
    <w:multiLevelType w:val="hybridMultilevel"/>
    <w:tmpl w:val="B25C1744"/>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68CC1BFA"/>
    <w:multiLevelType w:val="hybridMultilevel"/>
    <w:tmpl w:val="AF68B71C"/>
    <w:lvl w:ilvl="0" w:tplc="042687E0">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num w:numId="1">
    <w:abstractNumId w:val="9"/>
  </w:num>
  <w:num w:numId="2">
    <w:abstractNumId w:val="2"/>
  </w:num>
  <w:num w:numId="3">
    <w:abstractNumId w:val="5"/>
  </w:num>
  <w:num w:numId="4">
    <w:abstractNumId w:val="8"/>
  </w:num>
  <w:num w:numId="5">
    <w:abstractNumId w:val="0"/>
  </w:num>
  <w:num w:numId="6">
    <w:abstractNumId w:val="3"/>
  </w:num>
  <w:num w:numId="7">
    <w:abstractNumId w:val="1"/>
  </w:num>
  <w:num w:numId="8">
    <w:abstractNumId w:val="4"/>
  </w:num>
  <w:num w:numId="9">
    <w:abstractNumId w:val="7"/>
  </w:num>
  <w:num w:numId="10">
    <w:abstractNumId w:val="1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691F"/>
    <w:rsid w:val="00004E97"/>
    <w:rsid w:val="00025127"/>
    <w:rsid w:val="00045190"/>
    <w:rsid w:val="000514B7"/>
    <w:rsid w:val="00051D54"/>
    <w:rsid w:val="00052610"/>
    <w:rsid w:val="00094DA4"/>
    <w:rsid w:val="000B1F9A"/>
    <w:rsid w:val="000F0D2F"/>
    <w:rsid w:val="000F1AA0"/>
    <w:rsid w:val="000F254B"/>
    <w:rsid w:val="001033BE"/>
    <w:rsid w:val="001066EE"/>
    <w:rsid w:val="00112EF3"/>
    <w:rsid w:val="0012029F"/>
    <w:rsid w:val="001336FC"/>
    <w:rsid w:val="001409CA"/>
    <w:rsid w:val="00141DE6"/>
    <w:rsid w:val="00157157"/>
    <w:rsid w:val="00195839"/>
    <w:rsid w:val="001A176F"/>
    <w:rsid w:val="001A6A55"/>
    <w:rsid w:val="001B0F3C"/>
    <w:rsid w:val="001B4ED9"/>
    <w:rsid w:val="001C1D8A"/>
    <w:rsid w:val="001D3716"/>
    <w:rsid w:val="001D3A4F"/>
    <w:rsid w:val="001D614A"/>
    <w:rsid w:val="001D7BB5"/>
    <w:rsid w:val="00206BAE"/>
    <w:rsid w:val="0021532B"/>
    <w:rsid w:val="00221DEB"/>
    <w:rsid w:val="00241699"/>
    <w:rsid w:val="0025727A"/>
    <w:rsid w:val="0026189C"/>
    <w:rsid w:val="00265619"/>
    <w:rsid w:val="0027467C"/>
    <w:rsid w:val="002805A5"/>
    <w:rsid w:val="00283DF7"/>
    <w:rsid w:val="002B3D35"/>
    <w:rsid w:val="002C311F"/>
    <w:rsid w:val="00317D5C"/>
    <w:rsid w:val="00322142"/>
    <w:rsid w:val="003243D1"/>
    <w:rsid w:val="003715AB"/>
    <w:rsid w:val="003B11B8"/>
    <w:rsid w:val="003D198F"/>
    <w:rsid w:val="003D71A9"/>
    <w:rsid w:val="003F7AAE"/>
    <w:rsid w:val="004001E7"/>
    <w:rsid w:val="00403B02"/>
    <w:rsid w:val="0043057B"/>
    <w:rsid w:val="00443F12"/>
    <w:rsid w:val="0045682B"/>
    <w:rsid w:val="00483BAE"/>
    <w:rsid w:val="00494CD9"/>
    <w:rsid w:val="004B1560"/>
    <w:rsid w:val="004C50D1"/>
    <w:rsid w:val="004D1353"/>
    <w:rsid w:val="00503806"/>
    <w:rsid w:val="0050384B"/>
    <w:rsid w:val="00504845"/>
    <w:rsid w:val="00513673"/>
    <w:rsid w:val="005151EA"/>
    <w:rsid w:val="00516883"/>
    <w:rsid w:val="0053317E"/>
    <w:rsid w:val="005638D7"/>
    <w:rsid w:val="005905D6"/>
    <w:rsid w:val="005A1FEF"/>
    <w:rsid w:val="005C03AF"/>
    <w:rsid w:val="005D43BF"/>
    <w:rsid w:val="005D79F3"/>
    <w:rsid w:val="005E14A8"/>
    <w:rsid w:val="005E3966"/>
    <w:rsid w:val="0060691F"/>
    <w:rsid w:val="00620AC5"/>
    <w:rsid w:val="006417C5"/>
    <w:rsid w:val="0064407D"/>
    <w:rsid w:val="006510B2"/>
    <w:rsid w:val="00651B86"/>
    <w:rsid w:val="0065391E"/>
    <w:rsid w:val="00661296"/>
    <w:rsid w:val="00664742"/>
    <w:rsid w:val="00664D83"/>
    <w:rsid w:val="00665175"/>
    <w:rsid w:val="00675774"/>
    <w:rsid w:val="006A6564"/>
    <w:rsid w:val="006B1620"/>
    <w:rsid w:val="006B3580"/>
    <w:rsid w:val="006B4DD2"/>
    <w:rsid w:val="006C582B"/>
    <w:rsid w:val="006E3C8D"/>
    <w:rsid w:val="006E50DF"/>
    <w:rsid w:val="007048E8"/>
    <w:rsid w:val="00711C29"/>
    <w:rsid w:val="00713EAC"/>
    <w:rsid w:val="0072601C"/>
    <w:rsid w:val="00732BB6"/>
    <w:rsid w:val="00747B75"/>
    <w:rsid w:val="007508A8"/>
    <w:rsid w:val="007510A3"/>
    <w:rsid w:val="0075593F"/>
    <w:rsid w:val="00760777"/>
    <w:rsid w:val="007728F8"/>
    <w:rsid w:val="00773A22"/>
    <w:rsid w:val="00817014"/>
    <w:rsid w:val="008220FD"/>
    <w:rsid w:val="00830194"/>
    <w:rsid w:val="00855CBD"/>
    <w:rsid w:val="0085797B"/>
    <w:rsid w:val="008669C9"/>
    <w:rsid w:val="0086723B"/>
    <w:rsid w:val="00867CD4"/>
    <w:rsid w:val="00875721"/>
    <w:rsid w:val="00885DE4"/>
    <w:rsid w:val="00890222"/>
    <w:rsid w:val="008915B3"/>
    <w:rsid w:val="00892420"/>
    <w:rsid w:val="008C260E"/>
    <w:rsid w:val="008E6E39"/>
    <w:rsid w:val="008F6283"/>
    <w:rsid w:val="009061AA"/>
    <w:rsid w:val="0090721B"/>
    <w:rsid w:val="0092076A"/>
    <w:rsid w:val="009344AF"/>
    <w:rsid w:val="00936E0A"/>
    <w:rsid w:val="0097257F"/>
    <w:rsid w:val="00974BC4"/>
    <w:rsid w:val="009814D2"/>
    <w:rsid w:val="0099383E"/>
    <w:rsid w:val="009A09A8"/>
    <w:rsid w:val="009A4547"/>
    <w:rsid w:val="009B66E6"/>
    <w:rsid w:val="009B7600"/>
    <w:rsid w:val="009C2E55"/>
    <w:rsid w:val="009D4E61"/>
    <w:rsid w:val="009E1600"/>
    <w:rsid w:val="009E5AAF"/>
    <w:rsid w:val="009E5BB6"/>
    <w:rsid w:val="009F6CE9"/>
    <w:rsid w:val="009F7BF6"/>
    <w:rsid w:val="00A01C4B"/>
    <w:rsid w:val="00A05C02"/>
    <w:rsid w:val="00A20F7A"/>
    <w:rsid w:val="00A3159A"/>
    <w:rsid w:val="00A32A0B"/>
    <w:rsid w:val="00A34724"/>
    <w:rsid w:val="00A36E4C"/>
    <w:rsid w:val="00A54951"/>
    <w:rsid w:val="00A77465"/>
    <w:rsid w:val="00AC4F6B"/>
    <w:rsid w:val="00AD4A75"/>
    <w:rsid w:val="00AE665F"/>
    <w:rsid w:val="00AF5C65"/>
    <w:rsid w:val="00B04BC3"/>
    <w:rsid w:val="00B11CA0"/>
    <w:rsid w:val="00B24E55"/>
    <w:rsid w:val="00B555D4"/>
    <w:rsid w:val="00B87B15"/>
    <w:rsid w:val="00B96E34"/>
    <w:rsid w:val="00BA47FD"/>
    <w:rsid w:val="00BC3E21"/>
    <w:rsid w:val="00BE4B51"/>
    <w:rsid w:val="00BF11B9"/>
    <w:rsid w:val="00C23FB9"/>
    <w:rsid w:val="00C2609B"/>
    <w:rsid w:val="00C2719B"/>
    <w:rsid w:val="00C2795E"/>
    <w:rsid w:val="00C330CC"/>
    <w:rsid w:val="00C42982"/>
    <w:rsid w:val="00C67BC8"/>
    <w:rsid w:val="00C917F1"/>
    <w:rsid w:val="00CB6E90"/>
    <w:rsid w:val="00CD1811"/>
    <w:rsid w:val="00CE145E"/>
    <w:rsid w:val="00CE5686"/>
    <w:rsid w:val="00CF04CD"/>
    <w:rsid w:val="00CF0D52"/>
    <w:rsid w:val="00CF1892"/>
    <w:rsid w:val="00D1352F"/>
    <w:rsid w:val="00D13DD0"/>
    <w:rsid w:val="00D318C5"/>
    <w:rsid w:val="00D51663"/>
    <w:rsid w:val="00D55385"/>
    <w:rsid w:val="00D570C3"/>
    <w:rsid w:val="00D648BB"/>
    <w:rsid w:val="00D77FA6"/>
    <w:rsid w:val="00D9299D"/>
    <w:rsid w:val="00DD4A2A"/>
    <w:rsid w:val="00DE0B8C"/>
    <w:rsid w:val="00DF1584"/>
    <w:rsid w:val="00DF6FE5"/>
    <w:rsid w:val="00E0284A"/>
    <w:rsid w:val="00E12F7E"/>
    <w:rsid w:val="00E33768"/>
    <w:rsid w:val="00E47954"/>
    <w:rsid w:val="00E54C06"/>
    <w:rsid w:val="00E63CBE"/>
    <w:rsid w:val="00E9261C"/>
    <w:rsid w:val="00EA247F"/>
    <w:rsid w:val="00EF686E"/>
    <w:rsid w:val="00F01D5F"/>
    <w:rsid w:val="00F213DD"/>
    <w:rsid w:val="00F4545E"/>
    <w:rsid w:val="00F55A68"/>
    <w:rsid w:val="00F5738B"/>
    <w:rsid w:val="00F6032E"/>
    <w:rsid w:val="00F64351"/>
    <w:rsid w:val="00F70E96"/>
    <w:rsid w:val="00F73C91"/>
    <w:rsid w:val="00F7533F"/>
    <w:rsid w:val="00F86CED"/>
    <w:rsid w:val="00FA1A67"/>
    <w:rsid w:val="00FA6D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A69AC7"/>
  <w15:docId w15:val="{9CDC5869-93C4-47B3-B0F1-3754202CB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3B11B8"/>
    <w:pPr>
      <w:tabs>
        <w:tab w:val="center" w:pos="4320"/>
        <w:tab w:val="right" w:pos="8640"/>
      </w:tabs>
    </w:pPr>
  </w:style>
  <w:style w:type="paragraph" w:styleId="Footer">
    <w:name w:val="footer"/>
    <w:basedOn w:val="Normal"/>
    <w:rsid w:val="003B11B8"/>
    <w:pPr>
      <w:tabs>
        <w:tab w:val="center" w:pos="4320"/>
        <w:tab w:val="right" w:pos="8640"/>
      </w:tabs>
    </w:pPr>
  </w:style>
  <w:style w:type="character" w:styleId="Hyperlink">
    <w:name w:val="Hyperlink"/>
    <w:rsid w:val="007048E8"/>
    <w:rPr>
      <w:color w:val="0000FF"/>
      <w:u w:val="single"/>
    </w:rPr>
  </w:style>
  <w:style w:type="paragraph" w:styleId="BalloonText">
    <w:name w:val="Balloon Text"/>
    <w:basedOn w:val="Normal"/>
    <w:semiHidden/>
    <w:rsid w:val="00BC3E21"/>
    <w:rPr>
      <w:rFonts w:ascii="Tahoma" w:hAnsi="Tahoma" w:cs="Tahoma"/>
      <w:sz w:val="16"/>
      <w:szCs w:val="16"/>
    </w:rPr>
  </w:style>
  <w:style w:type="paragraph" w:styleId="ListParagraph">
    <w:name w:val="List Paragraph"/>
    <w:basedOn w:val="Normal"/>
    <w:uiPriority w:val="34"/>
    <w:qFormat/>
    <w:rsid w:val="008E6E39"/>
    <w:pPr>
      <w:ind w:left="720"/>
    </w:pPr>
  </w:style>
  <w:style w:type="character" w:styleId="CommentReference">
    <w:name w:val="annotation reference"/>
    <w:basedOn w:val="DefaultParagraphFont"/>
    <w:uiPriority w:val="99"/>
    <w:semiHidden/>
    <w:unhideWhenUsed/>
    <w:rsid w:val="00665175"/>
    <w:rPr>
      <w:sz w:val="16"/>
      <w:szCs w:val="16"/>
    </w:rPr>
  </w:style>
  <w:style w:type="paragraph" w:styleId="CommentText">
    <w:name w:val="annotation text"/>
    <w:basedOn w:val="Normal"/>
    <w:link w:val="CommentTextChar"/>
    <w:uiPriority w:val="99"/>
    <w:semiHidden/>
    <w:unhideWhenUsed/>
    <w:rsid w:val="00665175"/>
    <w:rPr>
      <w:sz w:val="20"/>
      <w:szCs w:val="20"/>
    </w:rPr>
  </w:style>
  <w:style w:type="character" w:customStyle="1" w:styleId="CommentTextChar">
    <w:name w:val="Comment Text Char"/>
    <w:basedOn w:val="DefaultParagraphFont"/>
    <w:link w:val="CommentText"/>
    <w:uiPriority w:val="99"/>
    <w:semiHidden/>
    <w:rsid w:val="00665175"/>
  </w:style>
  <w:style w:type="paragraph" w:styleId="CommentSubject">
    <w:name w:val="annotation subject"/>
    <w:basedOn w:val="CommentText"/>
    <w:next w:val="CommentText"/>
    <w:link w:val="CommentSubjectChar"/>
    <w:uiPriority w:val="99"/>
    <w:semiHidden/>
    <w:unhideWhenUsed/>
    <w:rsid w:val="00665175"/>
    <w:rPr>
      <w:b/>
      <w:bCs/>
    </w:rPr>
  </w:style>
  <w:style w:type="character" w:customStyle="1" w:styleId="CommentSubjectChar">
    <w:name w:val="Comment Subject Char"/>
    <w:basedOn w:val="CommentTextChar"/>
    <w:link w:val="CommentSubject"/>
    <w:uiPriority w:val="99"/>
    <w:semiHidden/>
    <w:rsid w:val="00665175"/>
    <w:rPr>
      <w:b/>
      <w:bCs/>
    </w:rPr>
  </w:style>
  <w:style w:type="paragraph" w:styleId="Caption">
    <w:name w:val="caption"/>
    <w:basedOn w:val="Normal"/>
    <w:next w:val="Normal"/>
    <w:uiPriority w:val="35"/>
    <w:unhideWhenUsed/>
    <w:qFormat/>
    <w:rsid w:val="000F254B"/>
    <w:pPr>
      <w:spacing w:after="200"/>
    </w:pPr>
    <w:rPr>
      <w:i/>
      <w:iCs/>
      <w:color w:val="1F497D" w:themeColor="text2"/>
      <w:sz w:val="18"/>
      <w:szCs w:val="18"/>
    </w:rPr>
  </w:style>
  <w:style w:type="table" w:styleId="TableGrid">
    <w:name w:val="Table Grid"/>
    <w:basedOn w:val="TableNormal"/>
    <w:uiPriority w:val="59"/>
    <w:rsid w:val="000F25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B24E5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HTMLPreformatted">
    <w:name w:val="HTML Preformatted"/>
    <w:basedOn w:val="Normal"/>
    <w:link w:val="HTMLPreformattedChar"/>
    <w:uiPriority w:val="99"/>
    <w:semiHidden/>
    <w:unhideWhenUsed/>
    <w:rsid w:val="00E63C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E63CBE"/>
    <w:rPr>
      <w:rFonts w:ascii="Courier New" w:hAnsi="Courier New" w:cs="Courier New"/>
    </w:rPr>
  </w:style>
  <w:style w:type="character" w:styleId="FollowedHyperlink">
    <w:name w:val="FollowedHyperlink"/>
    <w:basedOn w:val="DefaultParagraphFont"/>
    <w:uiPriority w:val="99"/>
    <w:semiHidden/>
    <w:unhideWhenUsed/>
    <w:rsid w:val="00E3376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0746323">
      <w:bodyDiv w:val="1"/>
      <w:marLeft w:val="0"/>
      <w:marRight w:val="0"/>
      <w:marTop w:val="0"/>
      <w:marBottom w:val="0"/>
      <w:divBdr>
        <w:top w:val="none" w:sz="0" w:space="0" w:color="auto"/>
        <w:left w:val="none" w:sz="0" w:space="0" w:color="auto"/>
        <w:bottom w:val="none" w:sz="0" w:space="0" w:color="auto"/>
        <w:right w:val="none" w:sz="0" w:space="0" w:color="auto"/>
      </w:divBdr>
    </w:div>
    <w:div w:id="341246416">
      <w:bodyDiv w:val="1"/>
      <w:marLeft w:val="0"/>
      <w:marRight w:val="0"/>
      <w:marTop w:val="0"/>
      <w:marBottom w:val="0"/>
      <w:divBdr>
        <w:top w:val="none" w:sz="0" w:space="0" w:color="auto"/>
        <w:left w:val="none" w:sz="0" w:space="0" w:color="auto"/>
        <w:bottom w:val="none" w:sz="0" w:space="0" w:color="auto"/>
        <w:right w:val="none" w:sz="0" w:space="0" w:color="auto"/>
      </w:divBdr>
    </w:div>
    <w:div w:id="370959053">
      <w:bodyDiv w:val="1"/>
      <w:marLeft w:val="0"/>
      <w:marRight w:val="0"/>
      <w:marTop w:val="0"/>
      <w:marBottom w:val="0"/>
      <w:divBdr>
        <w:top w:val="none" w:sz="0" w:space="0" w:color="auto"/>
        <w:left w:val="none" w:sz="0" w:space="0" w:color="auto"/>
        <w:bottom w:val="none" w:sz="0" w:space="0" w:color="auto"/>
        <w:right w:val="none" w:sz="0" w:space="0" w:color="auto"/>
      </w:divBdr>
    </w:div>
    <w:div w:id="447093197">
      <w:bodyDiv w:val="1"/>
      <w:marLeft w:val="0"/>
      <w:marRight w:val="0"/>
      <w:marTop w:val="0"/>
      <w:marBottom w:val="0"/>
      <w:divBdr>
        <w:top w:val="none" w:sz="0" w:space="0" w:color="auto"/>
        <w:left w:val="none" w:sz="0" w:space="0" w:color="auto"/>
        <w:bottom w:val="none" w:sz="0" w:space="0" w:color="auto"/>
        <w:right w:val="none" w:sz="0" w:space="0" w:color="auto"/>
      </w:divBdr>
    </w:div>
    <w:div w:id="487870349">
      <w:bodyDiv w:val="1"/>
      <w:marLeft w:val="0"/>
      <w:marRight w:val="0"/>
      <w:marTop w:val="0"/>
      <w:marBottom w:val="0"/>
      <w:divBdr>
        <w:top w:val="none" w:sz="0" w:space="0" w:color="auto"/>
        <w:left w:val="none" w:sz="0" w:space="0" w:color="auto"/>
        <w:bottom w:val="none" w:sz="0" w:space="0" w:color="auto"/>
        <w:right w:val="none" w:sz="0" w:space="0" w:color="auto"/>
      </w:divBdr>
    </w:div>
    <w:div w:id="597716220">
      <w:bodyDiv w:val="1"/>
      <w:marLeft w:val="0"/>
      <w:marRight w:val="0"/>
      <w:marTop w:val="0"/>
      <w:marBottom w:val="0"/>
      <w:divBdr>
        <w:top w:val="none" w:sz="0" w:space="0" w:color="auto"/>
        <w:left w:val="none" w:sz="0" w:space="0" w:color="auto"/>
        <w:bottom w:val="none" w:sz="0" w:space="0" w:color="auto"/>
        <w:right w:val="none" w:sz="0" w:space="0" w:color="auto"/>
      </w:divBdr>
    </w:div>
    <w:div w:id="611017048">
      <w:bodyDiv w:val="1"/>
      <w:marLeft w:val="0"/>
      <w:marRight w:val="0"/>
      <w:marTop w:val="0"/>
      <w:marBottom w:val="0"/>
      <w:divBdr>
        <w:top w:val="none" w:sz="0" w:space="0" w:color="auto"/>
        <w:left w:val="none" w:sz="0" w:space="0" w:color="auto"/>
        <w:bottom w:val="none" w:sz="0" w:space="0" w:color="auto"/>
        <w:right w:val="none" w:sz="0" w:space="0" w:color="auto"/>
      </w:divBdr>
    </w:div>
    <w:div w:id="646907947">
      <w:bodyDiv w:val="1"/>
      <w:marLeft w:val="0"/>
      <w:marRight w:val="0"/>
      <w:marTop w:val="0"/>
      <w:marBottom w:val="0"/>
      <w:divBdr>
        <w:top w:val="none" w:sz="0" w:space="0" w:color="auto"/>
        <w:left w:val="none" w:sz="0" w:space="0" w:color="auto"/>
        <w:bottom w:val="none" w:sz="0" w:space="0" w:color="auto"/>
        <w:right w:val="none" w:sz="0" w:space="0" w:color="auto"/>
      </w:divBdr>
    </w:div>
    <w:div w:id="767778324">
      <w:bodyDiv w:val="1"/>
      <w:marLeft w:val="0"/>
      <w:marRight w:val="0"/>
      <w:marTop w:val="0"/>
      <w:marBottom w:val="0"/>
      <w:divBdr>
        <w:top w:val="none" w:sz="0" w:space="0" w:color="auto"/>
        <w:left w:val="none" w:sz="0" w:space="0" w:color="auto"/>
        <w:bottom w:val="none" w:sz="0" w:space="0" w:color="auto"/>
        <w:right w:val="none" w:sz="0" w:space="0" w:color="auto"/>
      </w:divBdr>
    </w:div>
    <w:div w:id="946429666">
      <w:bodyDiv w:val="1"/>
      <w:marLeft w:val="0"/>
      <w:marRight w:val="0"/>
      <w:marTop w:val="0"/>
      <w:marBottom w:val="0"/>
      <w:divBdr>
        <w:top w:val="none" w:sz="0" w:space="0" w:color="auto"/>
        <w:left w:val="none" w:sz="0" w:space="0" w:color="auto"/>
        <w:bottom w:val="none" w:sz="0" w:space="0" w:color="auto"/>
        <w:right w:val="none" w:sz="0" w:space="0" w:color="auto"/>
      </w:divBdr>
    </w:div>
    <w:div w:id="981539902">
      <w:bodyDiv w:val="1"/>
      <w:marLeft w:val="0"/>
      <w:marRight w:val="0"/>
      <w:marTop w:val="0"/>
      <w:marBottom w:val="0"/>
      <w:divBdr>
        <w:top w:val="none" w:sz="0" w:space="0" w:color="auto"/>
        <w:left w:val="none" w:sz="0" w:space="0" w:color="auto"/>
        <w:bottom w:val="none" w:sz="0" w:space="0" w:color="auto"/>
        <w:right w:val="none" w:sz="0" w:space="0" w:color="auto"/>
      </w:divBdr>
    </w:div>
    <w:div w:id="1047413266">
      <w:bodyDiv w:val="1"/>
      <w:marLeft w:val="0"/>
      <w:marRight w:val="0"/>
      <w:marTop w:val="0"/>
      <w:marBottom w:val="0"/>
      <w:divBdr>
        <w:top w:val="none" w:sz="0" w:space="0" w:color="auto"/>
        <w:left w:val="none" w:sz="0" w:space="0" w:color="auto"/>
        <w:bottom w:val="none" w:sz="0" w:space="0" w:color="auto"/>
        <w:right w:val="none" w:sz="0" w:space="0" w:color="auto"/>
      </w:divBdr>
    </w:div>
    <w:div w:id="1173253743">
      <w:bodyDiv w:val="1"/>
      <w:marLeft w:val="0"/>
      <w:marRight w:val="0"/>
      <w:marTop w:val="0"/>
      <w:marBottom w:val="0"/>
      <w:divBdr>
        <w:top w:val="none" w:sz="0" w:space="0" w:color="auto"/>
        <w:left w:val="none" w:sz="0" w:space="0" w:color="auto"/>
        <w:bottom w:val="none" w:sz="0" w:space="0" w:color="auto"/>
        <w:right w:val="none" w:sz="0" w:space="0" w:color="auto"/>
      </w:divBdr>
    </w:div>
    <w:div w:id="1289778404">
      <w:bodyDiv w:val="1"/>
      <w:marLeft w:val="0"/>
      <w:marRight w:val="0"/>
      <w:marTop w:val="0"/>
      <w:marBottom w:val="0"/>
      <w:divBdr>
        <w:top w:val="none" w:sz="0" w:space="0" w:color="auto"/>
        <w:left w:val="none" w:sz="0" w:space="0" w:color="auto"/>
        <w:bottom w:val="none" w:sz="0" w:space="0" w:color="auto"/>
        <w:right w:val="none" w:sz="0" w:space="0" w:color="auto"/>
      </w:divBdr>
    </w:div>
    <w:div w:id="1405252761">
      <w:bodyDiv w:val="1"/>
      <w:marLeft w:val="0"/>
      <w:marRight w:val="0"/>
      <w:marTop w:val="0"/>
      <w:marBottom w:val="0"/>
      <w:divBdr>
        <w:top w:val="none" w:sz="0" w:space="0" w:color="auto"/>
        <w:left w:val="none" w:sz="0" w:space="0" w:color="auto"/>
        <w:bottom w:val="none" w:sz="0" w:space="0" w:color="auto"/>
        <w:right w:val="none" w:sz="0" w:space="0" w:color="auto"/>
      </w:divBdr>
    </w:div>
    <w:div w:id="1591311701">
      <w:bodyDiv w:val="1"/>
      <w:marLeft w:val="0"/>
      <w:marRight w:val="0"/>
      <w:marTop w:val="0"/>
      <w:marBottom w:val="0"/>
      <w:divBdr>
        <w:top w:val="none" w:sz="0" w:space="0" w:color="auto"/>
        <w:left w:val="none" w:sz="0" w:space="0" w:color="auto"/>
        <w:bottom w:val="none" w:sz="0" w:space="0" w:color="auto"/>
        <w:right w:val="none" w:sz="0" w:space="0" w:color="auto"/>
      </w:divBdr>
    </w:div>
    <w:div w:id="1790471153">
      <w:bodyDiv w:val="1"/>
      <w:marLeft w:val="0"/>
      <w:marRight w:val="0"/>
      <w:marTop w:val="0"/>
      <w:marBottom w:val="0"/>
      <w:divBdr>
        <w:top w:val="none" w:sz="0" w:space="0" w:color="auto"/>
        <w:left w:val="none" w:sz="0" w:space="0" w:color="auto"/>
        <w:bottom w:val="none" w:sz="0" w:space="0" w:color="auto"/>
        <w:right w:val="none" w:sz="0" w:space="0" w:color="auto"/>
      </w:divBdr>
    </w:div>
    <w:div w:id="1833328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tp://ftp.epa.gov/EmisInventory/2014/doc/nonpoint/" TargetMode="External"/><Relationship Id="rId13" Type="http://schemas.openxmlformats.org/officeDocument/2006/relationships/hyperlink" Target="ftp://ftp.epa.gov/EmisInventory/2011nei/doc/ag_fertilizer_application_2011.zip" TargetMode="External"/><Relationship Id="rId18" Type="http://schemas.openxmlformats.org/officeDocument/2006/relationships/hyperlink" Target="https://www.cmascenter.org/" TargetMode="External"/><Relationship Id="rId3" Type="http://schemas.openxmlformats.org/officeDocument/2006/relationships/styles" Target="styles.xml"/><Relationship Id="rId21" Type="http://schemas.openxmlformats.org/officeDocument/2006/relationships/hyperlink" Target="http://www.biogeosciences.net/9/4023/2012/" TargetMode="External"/><Relationship Id="rId7" Type="http://schemas.openxmlformats.org/officeDocument/2006/relationships/endnotes" Target="endnotes.xml"/><Relationship Id="rId12" Type="http://schemas.openxmlformats.org/officeDocument/2006/relationships/hyperlink" Target="ftp://ftp.epa.gov/EmisInventory/2011nei/doc/" TargetMode="External"/><Relationship Id="rId17" Type="http://schemas.openxmlformats.org/officeDocument/2006/relationships/hyperlink" Target="https://www.cmascenter.org/fest-c/"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wrf-model.org/index.ph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epicapex.tamu.edu/"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ftp://ftp.epa.gov/EmisInventory/2014/doc/nonpoint/"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A221B1-B3DC-4CBE-8B45-80BCC4AB53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7</Pages>
  <Words>1289</Words>
  <Characters>7350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Source Category Description</vt:lpstr>
    </vt:vector>
  </TitlesOfParts>
  <Company/>
  <LinksUpToDate>false</LinksUpToDate>
  <CharactersWithSpaces>8622</CharactersWithSpaces>
  <SharedDoc>false</SharedDoc>
  <HLinks>
    <vt:vector size="24" baseType="variant">
      <vt:variant>
        <vt:i4>2031618</vt:i4>
      </vt:variant>
      <vt:variant>
        <vt:i4>9</vt:i4>
      </vt:variant>
      <vt:variant>
        <vt:i4>0</vt:i4>
      </vt:variant>
      <vt:variant>
        <vt:i4>5</vt:i4>
      </vt:variant>
      <vt:variant>
        <vt:lpwstr>http://www.agcensus.usda.gov/</vt:lpwstr>
      </vt:variant>
      <vt:variant>
        <vt:lpwstr/>
      </vt:variant>
      <vt:variant>
        <vt:i4>2031618</vt:i4>
      </vt:variant>
      <vt:variant>
        <vt:i4>6</vt:i4>
      </vt:variant>
      <vt:variant>
        <vt:i4>0</vt:i4>
      </vt:variant>
      <vt:variant>
        <vt:i4>5</vt:i4>
      </vt:variant>
      <vt:variant>
        <vt:lpwstr>http://www.agcensus.usda.gov/</vt:lpwstr>
      </vt:variant>
      <vt:variant>
        <vt:lpwstr/>
      </vt:variant>
      <vt:variant>
        <vt:i4>4259850</vt:i4>
      </vt:variant>
      <vt:variant>
        <vt:i4>3</vt:i4>
      </vt:variant>
      <vt:variant>
        <vt:i4>0</vt:i4>
      </vt:variant>
      <vt:variant>
        <vt:i4>5</vt:i4>
      </vt:variant>
      <vt:variant>
        <vt:lpwstr>http://www.aapfco.org/aapfcopubs.html</vt:lpwstr>
      </vt:variant>
      <vt:variant>
        <vt:lpwstr/>
      </vt:variant>
      <vt:variant>
        <vt:i4>3014707</vt:i4>
      </vt:variant>
      <vt:variant>
        <vt:i4>0</vt:i4>
      </vt:variant>
      <vt:variant>
        <vt:i4>0</vt:i4>
      </vt:variant>
      <vt:variant>
        <vt:i4>5</vt:i4>
      </vt:variant>
      <vt:variant>
        <vt:lpwstr>http://www.cmu.edu/ammonia/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Source Category Description</dc:title>
  <dc:subject/>
  <dc:creator>Jonathan Graves Dorn</dc:creator>
  <cp:keywords/>
  <dc:description/>
  <cp:lastModifiedBy>Mason, Rich</cp:lastModifiedBy>
  <cp:revision>4</cp:revision>
  <cp:lastPrinted>2009-06-25T13:39:00Z</cp:lastPrinted>
  <dcterms:created xsi:type="dcterms:W3CDTF">2016-04-22T15:38:00Z</dcterms:created>
  <dcterms:modified xsi:type="dcterms:W3CDTF">2016-04-22T17:06:00Z</dcterms:modified>
</cp:coreProperties>
</file>