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b/>
          <w:bCs/>
          <w:sz w:val="20"/>
          <w:szCs w:val="20"/>
        </w:rPr>
        <w:t>OPEN BURNING - RESIDENTIAL HOUSEHOLD WASTE</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Pr="00886F17" w:rsidRDefault="003733A0" w:rsidP="003733A0">
      <w:pPr>
        <w:widowControl/>
        <w:tabs>
          <w:tab w:val="left" w:pos="0"/>
        </w:tabs>
        <w:spacing w:line="226" w:lineRule="auto"/>
        <w:rPr>
          <w:b/>
          <w:i/>
          <w:sz w:val="20"/>
          <w:szCs w:val="20"/>
        </w:rPr>
      </w:pPr>
      <w:r w:rsidRPr="00886F17">
        <w:rPr>
          <w:b/>
          <w:i/>
          <w:sz w:val="20"/>
          <w:szCs w:val="20"/>
        </w:rPr>
        <w:t>a. Source Category Description</w:t>
      </w:r>
    </w:p>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Default="003733A0" w:rsidP="003733A0">
      <w:pPr>
        <w:widowControl/>
        <w:tabs>
          <w:tab w:val="left" w:pos="0"/>
        </w:tabs>
        <w:spacing w:line="226" w:lineRule="auto"/>
        <w:rPr>
          <w:sz w:val="20"/>
          <w:szCs w:val="20"/>
        </w:rPr>
      </w:pPr>
      <w:r>
        <w:rPr>
          <w:sz w:val="20"/>
          <w:szCs w:val="20"/>
        </w:rPr>
        <w:t>Open burning of residential municipal solid waste (</w:t>
      </w:r>
      <w:smartTag w:uri="urn:schemas-microsoft-com:office:smarttags" w:element="stockticker">
        <w:r>
          <w:rPr>
            <w:sz w:val="20"/>
            <w:szCs w:val="20"/>
          </w:rPr>
          <w:t>MSW</w:t>
        </w:r>
      </w:smartTag>
      <w:r>
        <w:rPr>
          <w:sz w:val="20"/>
          <w:szCs w:val="20"/>
        </w:rPr>
        <w:t xml:space="preserve">) is the purposeful burning of </w:t>
      </w:r>
      <w:smartTag w:uri="urn:schemas-microsoft-com:office:smarttags" w:element="stockticker">
        <w:r>
          <w:rPr>
            <w:sz w:val="20"/>
            <w:szCs w:val="20"/>
          </w:rPr>
          <w:t>MSW</w:t>
        </w:r>
      </w:smartTag>
      <w:r>
        <w:rPr>
          <w:sz w:val="20"/>
          <w:szCs w:val="20"/>
        </w:rPr>
        <w:t xml:space="preserve"> in outdoor areas. </w:t>
      </w:r>
      <w:r w:rsidRPr="00E44CEA">
        <w:rPr>
          <w:sz w:val="20"/>
          <w:szCs w:val="20"/>
        </w:rPr>
        <w:t xml:space="preserve">Criteria </w:t>
      </w:r>
      <w:r>
        <w:rPr>
          <w:sz w:val="20"/>
          <w:szCs w:val="20"/>
        </w:rPr>
        <w:t xml:space="preserve">air </w:t>
      </w:r>
      <w:r w:rsidRPr="00E44CEA">
        <w:rPr>
          <w:sz w:val="20"/>
          <w:szCs w:val="20"/>
        </w:rPr>
        <w:t>pollutant</w:t>
      </w:r>
      <w:r>
        <w:rPr>
          <w:sz w:val="20"/>
          <w:szCs w:val="20"/>
        </w:rPr>
        <w:t xml:space="preserve"> (</w:t>
      </w:r>
      <w:smartTag w:uri="urn:schemas-microsoft-com:office:smarttags" w:element="stockticker">
        <w:r>
          <w:rPr>
            <w:sz w:val="20"/>
            <w:szCs w:val="20"/>
          </w:rPr>
          <w:t>CAP</w:t>
        </w:r>
      </w:smartTag>
      <w:r>
        <w:rPr>
          <w:sz w:val="20"/>
          <w:szCs w:val="20"/>
        </w:rPr>
        <w:t>)</w:t>
      </w:r>
      <w:r w:rsidRPr="00E44CEA">
        <w:rPr>
          <w:sz w:val="20"/>
          <w:szCs w:val="20"/>
        </w:rPr>
        <w:t xml:space="preserve"> and </w:t>
      </w:r>
      <w:r>
        <w:rPr>
          <w:sz w:val="20"/>
          <w:szCs w:val="20"/>
        </w:rPr>
        <w:t>hazardous air pollutant (</w:t>
      </w:r>
      <w:r w:rsidRPr="00E44CEA">
        <w:rPr>
          <w:sz w:val="20"/>
          <w:szCs w:val="20"/>
        </w:rPr>
        <w:t>HAP</w:t>
      </w:r>
      <w:r>
        <w:rPr>
          <w:sz w:val="20"/>
          <w:szCs w:val="20"/>
        </w:rPr>
        <w:t>)</w:t>
      </w:r>
      <w:r w:rsidRPr="00E44CEA">
        <w:rPr>
          <w:sz w:val="20"/>
          <w:szCs w:val="20"/>
        </w:rPr>
        <w:t xml:space="preserve"> emission estimates for </w:t>
      </w:r>
      <w:smartTag w:uri="urn:schemas-microsoft-com:office:smarttags" w:element="stockticker">
        <w:r>
          <w:rPr>
            <w:sz w:val="20"/>
            <w:szCs w:val="20"/>
          </w:rPr>
          <w:t>MSW</w:t>
        </w:r>
      </w:smartTag>
      <w:r w:rsidRPr="00E44CEA">
        <w:rPr>
          <w:sz w:val="20"/>
          <w:szCs w:val="20"/>
        </w:rPr>
        <w:t xml:space="preserve"> burning a</w:t>
      </w:r>
      <w:r>
        <w:rPr>
          <w:sz w:val="20"/>
          <w:szCs w:val="20"/>
        </w:rPr>
        <w:t xml:space="preserve">re a function of the amount of </w:t>
      </w:r>
      <w:r w:rsidRPr="00E44CEA">
        <w:rPr>
          <w:sz w:val="20"/>
          <w:szCs w:val="20"/>
        </w:rPr>
        <w:t xml:space="preserve">waste burned per year.  </w:t>
      </w:r>
    </w:p>
    <w:p w:rsidR="003733A0" w:rsidRDefault="003733A0" w:rsidP="003733A0">
      <w:pPr>
        <w:widowControl/>
        <w:tabs>
          <w:tab w:val="left" w:pos="0"/>
        </w:tabs>
        <w:spacing w:line="226" w:lineRule="auto"/>
        <w:rPr>
          <w:sz w:val="20"/>
          <w:szCs w:val="20"/>
        </w:rPr>
      </w:pPr>
    </w:p>
    <w:p w:rsidR="003733A0" w:rsidRPr="003E3AC3" w:rsidRDefault="003733A0" w:rsidP="003733A0">
      <w:pPr>
        <w:widowControl/>
        <w:tabs>
          <w:tab w:val="left" w:pos="0"/>
        </w:tabs>
        <w:spacing w:line="226" w:lineRule="auto"/>
        <w:rPr>
          <w:sz w:val="20"/>
          <w:szCs w:val="20"/>
        </w:rPr>
      </w:pPr>
      <w:r w:rsidRPr="003E3AC3">
        <w:rPr>
          <w:sz w:val="20"/>
          <w:szCs w:val="20"/>
        </w:rPr>
        <w:t xml:space="preserve">For this source category, the following </w:t>
      </w:r>
      <w:smartTag w:uri="urn:schemas-microsoft-com:office:smarttags" w:element="stockticker">
        <w:r w:rsidRPr="003E3AC3">
          <w:rPr>
            <w:sz w:val="20"/>
            <w:szCs w:val="20"/>
          </w:rPr>
          <w:t>SCC</w:t>
        </w:r>
      </w:smartTag>
      <w:r w:rsidRPr="003E3AC3">
        <w:rPr>
          <w:sz w:val="20"/>
          <w:szCs w:val="20"/>
        </w:rPr>
        <w:t xml:space="preserve"> was assigned:</w:t>
      </w:r>
    </w:p>
    <w:p w:rsidR="003733A0" w:rsidRPr="003E3AC3" w:rsidRDefault="003733A0" w:rsidP="003733A0">
      <w:pPr>
        <w:widowControl/>
        <w:tabs>
          <w:tab w:val="left" w:pos="0"/>
        </w:tabs>
        <w:spacing w:line="226" w:lineRule="auto"/>
        <w:rPr>
          <w:sz w:val="20"/>
          <w:szCs w:val="20"/>
        </w:rPr>
      </w:pPr>
    </w:p>
    <w:tbl>
      <w:tblPr>
        <w:tblW w:w="8962" w:type="dxa"/>
        <w:jc w:val="center"/>
        <w:tblInd w:w="1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6"/>
        <w:gridCol w:w="2256"/>
        <w:gridCol w:w="1933"/>
        <w:gridCol w:w="1596"/>
        <w:gridCol w:w="1961"/>
      </w:tblGrid>
      <w:tr w:rsidR="003733A0" w:rsidRPr="003E3AC3" w:rsidTr="007D1110">
        <w:trPr>
          <w:jc w:val="center"/>
        </w:trPr>
        <w:tc>
          <w:tcPr>
            <w:tcW w:w="1216" w:type="dxa"/>
            <w:shd w:val="clear" w:color="auto" w:fill="D9D9D9"/>
            <w:noWrap/>
          </w:tcPr>
          <w:p w:rsidR="003733A0" w:rsidRPr="003E3AC3" w:rsidRDefault="003733A0" w:rsidP="00E3144F">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p>
        </w:tc>
        <w:tc>
          <w:tcPr>
            <w:tcW w:w="2256" w:type="dxa"/>
            <w:shd w:val="clear" w:color="auto" w:fill="D9D9D9"/>
            <w:noWrap/>
          </w:tcPr>
          <w:p w:rsidR="003733A0" w:rsidRPr="003E3AC3" w:rsidRDefault="003733A0" w:rsidP="00E3144F">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1</w:t>
            </w:r>
          </w:p>
        </w:tc>
        <w:tc>
          <w:tcPr>
            <w:tcW w:w="1933" w:type="dxa"/>
            <w:shd w:val="clear" w:color="auto" w:fill="D9D9D9"/>
            <w:noWrap/>
          </w:tcPr>
          <w:p w:rsidR="003733A0" w:rsidRPr="003E3AC3" w:rsidRDefault="003733A0" w:rsidP="00E3144F">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2</w:t>
            </w:r>
          </w:p>
        </w:tc>
        <w:tc>
          <w:tcPr>
            <w:tcW w:w="1596" w:type="dxa"/>
            <w:shd w:val="clear" w:color="auto" w:fill="D9D9D9"/>
            <w:noWrap/>
          </w:tcPr>
          <w:p w:rsidR="003733A0" w:rsidRPr="003E3AC3" w:rsidRDefault="003733A0" w:rsidP="00E3144F">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3</w:t>
            </w:r>
          </w:p>
        </w:tc>
        <w:tc>
          <w:tcPr>
            <w:tcW w:w="1961" w:type="dxa"/>
            <w:shd w:val="clear" w:color="auto" w:fill="D9D9D9"/>
            <w:noWrap/>
          </w:tcPr>
          <w:p w:rsidR="003733A0" w:rsidRPr="003E3AC3" w:rsidRDefault="003733A0" w:rsidP="00E3144F">
            <w:pPr>
              <w:widowControl/>
              <w:tabs>
                <w:tab w:val="left" w:pos="0"/>
              </w:tabs>
              <w:spacing w:line="226" w:lineRule="auto"/>
              <w:rPr>
                <w:b/>
                <w:bCs/>
                <w:sz w:val="20"/>
                <w:szCs w:val="20"/>
              </w:rPr>
            </w:pPr>
            <w:smartTag w:uri="urn:schemas-microsoft-com:office:smarttags" w:element="stockticker">
              <w:r w:rsidRPr="003E3AC3">
                <w:rPr>
                  <w:b/>
                  <w:bCs/>
                  <w:sz w:val="20"/>
                  <w:szCs w:val="20"/>
                </w:rPr>
                <w:t>SCC</w:t>
              </w:r>
            </w:smartTag>
            <w:r w:rsidRPr="003E3AC3">
              <w:rPr>
                <w:b/>
                <w:bCs/>
                <w:sz w:val="20"/>
                <w:szCs w:val="20"/>
              </w:rPr>
              <w:t xml:space="preserve"> Level 4</w:t>
            </w:r>
          </w:p>
        </w:tc>
      </w:tr>
      <w:tr w:rsidR="003733A0" w:rsidRPr="003E3AC3" w:rsidTr="007D1110">
        <w:trPr>
          <w:jc w:val="center"/>
        </w:trPr>
        <w:tc>
          <w:tcPr>
            <w:tcW w:w="1216" w:type="dxa"/>
            <w:vAlign w:val="center"/>
          </w:tcPr>
          <w:p w:rsidR="003733A0" w:rsidRPr="003733A0" w:rsidRDefault="003733A0" w:rsidP="007D1110">
            <w:pPr>
              <w:rPr>
                <w:sz w:val="20"/>
                <w:szCs w:val="20"/>
              </w:rPr>
            </w:pPr>
            <w:r w:rsidRPr="003733A0">
              <w:rPr>
                <w:sz w:val="20"/>
                <w:szCs w:val="20"/>
              </w:rPr>
              <w:t>2610030000</w:t>
            </w:r>
          </w:p>
        </w:tc>
        <w:tc>
          <w:tcPr>
            <w:tcW w:w="2256" w:type="dxa"/>
            <w:vAlign w:val="center"/>
          </w:tcPr>
          <w:p w:rsidR="003733A0" w:rsidRPr="003733A0" w:rsidRDefault="003733A0" w:rsidP="007D1110">
            <w:pPr>
              <w:rPr>
                <w:sz w:val="20"/>
                <w:szCs w:val="20"/>
              </w:rPr>
            </w:pPr>
            <w:r w:rsidRPr="003733A0">
              <w:rPr>
                <w:sz w:val="20"/>
                <w:szCs w:val="20"/>
              </w:rPr>
              <w:t>Waste Disposal, Treatment, and Recovery</w:t>
            </w:r>
          </w:p>
        </w:tc>
        <w:tc>
          <w:tcPr>
            <w:tcW w:w="1933" w:type="dxa"/>
            <w:vAlign w:val="center"/>
          </w:tcPr>
          <w:p w:rsidR="003733A0" w:rsidRPr="003733A0" w:rsidRDefault="003733A0" w:rsidP="007D1110">
            <w:pPr>
              <w:rPr>
                <w:sz w:val="20"/>
                <w:szCs w:val="20"/>
              </w:rPr>
            </w:pPr>
            <w:r w:rsidRPr="003733A0">
              <w:rPr>
                <w:sz w:val="20"/>
                <w:szCs w:val="20"/>
              </w:rPr>
              <w:t>Open Burning</w:t>
            </w:r>
          </w:p>
        </w:tc>
        <w:tc>
          <w:tcPr>
            <w:tcW w:w="1596" w:type="dxa"/>
            <w:vAlign w:val="center"/>
          </w:tcPr>
          <w:p w:rsidR="003733A0" w:rsidRPr="003733A0" w:rsidRDefault="003733A0" w:rsidP="007D1110">
            <w:pPr>
              <w:rPr>
                <w:color w:val="000000"/>
                <w:sz w:val="20"/>
                <w:szCs w:val="20"/>
              </w:rPr>
            </w:pPr>
            <w:r w:rsidRPr="003733A0">
              <w:rPr>
                <w:color w:val="000000"/>
                <w:sz w:val="20"/>
                <w:szCs w:val="20"/>
              </w:rPr>
              <w:t>Residential</w:t>
            </w:r>
          </w:p>
        </w:tc>
        <w:tc>
          <w:tcPr>
            <w:tcW w:w="1961" w:type="dxa"/>
            <w:vAlign w:val="center"/>
          </w:tcPr>
          <w:p w:rsidR="003733A0" w:rsidRPr="003733A0" w:rsidRDefault="003733A0" w:rsidP="007D1110">
            <w:pPr>
              <w:rPr>
                <w:color w:val="000000"/>
                <w:sz w:val="20"/>
                <w:szCs w:val="20"/>
              </w:rPr>
            </w:pPr>
            <w:r w:rsidRPr="003733A0">
              <w:rPr>
                <w:color w:val="000000"/>
                <w:sz w:val="20"/>
                <w:szCs w:val="20"/>
              </w:rPr>
              <w:t>Household Waste (use 26-10-000-xxx for Yard Wastes)</w:t>
            </w:r>
          </w:p>
        </w:tc>
      </w:tr>
    </w:tbl>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Pr="00886F17" w:rsidRDefault="003733A0" w:rsidP="003733A0">
      <w:pPr>
        <w:widowControl/>
        <w:tabs>
          <w:tab w:val="left" w:pos="0"/>
        </w:tabs>
        <w:spacing w:line="226" w:lineRule="auto"/>
        <w:rPr>
          <w:b/>
          <w:i/>
          <w:sz w:val="20"/>
          <w:szCs w:val="20"/>
        </w:rPr>
      </w:pPr>
      <w:r w:rsidRPr="00886F17">
        <w:rPr>
          <w:b/>
          <w:i/>
          <w:sz w:val="20"/>
          <w:szCs w:val="20"/>
        </w:rPr>
        <w:t>b. Activity Data</w:t>
      </w:r>
    </w:p>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The amount of household </w:t>
      </w:r>
      <w:smartTag w:uri="urn:schemas-microsoft-com:office:smarttags" w:element="stockticker">
        <w:r w:rsidR="003733A0">
          <w:rPr>
            <w:sz w:val="20"/>
            <w:szCs w:val="20"/>
          </w:rPr>
          <w:t>MSW</w:t>
        </w:r>
      </w:smartTag>
      <w:r w:rsidRPr="003733A0">
        <w:rPr>
          <w:sz w:val="20"/>
          <w:szCs w:val="20"/>
        </w:rPr>
        <w:t xml:space="preserve"> burned was estimated using data from EPA’s report </w:t>
      </w:r>
      <w:r w:rsidR="001D329D" w:rsidRPr="00C76429">
        <w:rPr>
          <w:i/>
          <w:sz w:val="20"/>
          <w:szCs w:val="20"/>
        </w:rPr>
        <w:t>Municipal Solid Waste Generation, Recycling, and Disposal in the United States: Facts and Figures</w:t>
      </w:r>
      <w:r w:rsidR="001D329D">
        <w:rPr>
          <w:i/>
          <w:sz w:val="20"/>
          <w:szCs w:val="20"/>
        </w:rPr>
        <w:t xml:space="preserve"> for </w:t>
      </w:r>
      <w:proofErr w:type="gramStart"/>
      <w:r w:rsidR="001D329D">
        <w:rPr>
          <w:i/>
          <w:sz w:val="20"/>
          <w:szCs w:val="20"/>
        </w:rPr>
        <w:t>20</w:t>
      </w:r>
      <w:r w:rsidR="000975F2">
        <w:rPr>
          <w:i/>
          <w:sz w:val="20"/>
          <w:szCs w:val="20"/>
        </w:rPr>
        <w:t>1</w:t>
      </w:r>
      <w:r w:rsidR="00E02EE7">
        <w:rPr>
          <w:i/>
          <w:sz w:val="20"/>
          <w:szCs w:val="20"/>
        </w:rPr>
        <w:t>2</w:t>
      </w:r>
      <w:r w:rsidRPr="003733A0">
        <w:rPr>
          <w:sz w:val="20"/>
          <w:szCs w:val="20"/>
        </w:rPr>
        <w:t>.</w:t>
      </w:r>
      <w:r w:rsidRPr="003733A0">
        <w:rPr>
          <w:sz w:val="20"/>
          <w:szCs w:val="20"/>
          <w:vertAlign w:val="superscript"/>
        </w:rPr>
        <w:t>1</w:t>
      </w:r>
      <w:r w:rsidR="0051658A">
        <w:rPr>
          <w:sz w:val="20"/>
          <w:szCs w:val="20"/>
          <w:vertAlign w:val="superscript"/>
        </w:rPr>
        <w:t>,2</w:t>
      </w:r>
      <w:r w:rsidRPr="003733A0">
        <w:rPr>
          <w:sz w:val="20"/>
          <w:szCs w:val="20"/>
        </w:rPr>
        <w:t xml:space="preserve">  The</w:t>
      </w:r>
      <w:proofErr w:type="gramEnd"/>
      <w:r w:rsidRPr="003733A0">
        <w:rPr>
          <w:sz w:val="20"/>
          <w:szCs w:val="20"/>
        </w:rPr>
        <w:t xml:space="preserve"> report presents the total mass of waste generated </w:t>
      </w:r>
      <w:r w:rsidR="00722DFD">
        <w:rPr>
          <w:sz w:val="20"/>
          <w:szCs w:val="20"/>
        </w:rPr>
        <w:t xml:space="preserve">from </w:t>
      </w:r>
      <w:r w:rsidR="00DD1565">
        <w:rPr>
          <w:sz w:val="20"/>
          <w:szCs w:val="20"/>
        </w:rPr>
        <w:t xml:space="preserve">the </w:t>
      </w:r>
      <w:r w:rsidR="00722DFD">
        <w:rPr>
          <w:sz w:val="20"/>
          <w:szCs w:val="20"/>
        </w:rPr>
        <w:t xml:space="preserve">residential and commercial </w:t>
      </w:r>
      <w:r w:rsidR="00DD1565">
        <w:rPr>
          <w:sz w:val="20"/>
          <w:szCs w:val="20"/>
        </w:rPr>
        <w:t>sectors</w:t>
      </w:r>
      <w:r w:rsidR="00722DFD">
        <w:rPr>
          <w:sz w:val="20"/>
          <w:szCs w:val="20"/>
        </w:rPr>
        <w:t xml:space="preserve"> </w:t>
      </w:r>
      <w:r w:rsidRPr="003733A0">
        <w:rPr>
          <w:sz w:val="20"/>
          <w:szCs w:val="20"/>
        </w:rPr>
        <w:t>in the United States by type of waste for the calendar year 20</w:t>
      </w:r>
      <w:r w:rsidR="000975F2">
        <w:rPr>
          <w:sz w:val="20"/>
          <w:szCs w:val="20"/>
        </w:rPr>
        <w:t>1</w:t>
      </w:r>
      <w:r w:rsidR="00E02EE7">
        <w:rPr>
          <w:sz w:val="20"/>
          <w:szCs w:val="20"/>
        </w:rPr>
        <w:t>2</w:t>
      </w:r>
      <w:r w:rsidRPr="003733A0">
        <w:rPr>
          <w:sz w:val="20"/>
          <w:szCs w:val="20"/>
        </w:rPr>
        <w:t xml:space="preserve">.  </w:t>
      </w:r>
      <w:r w:rsidR="008D3EB3">
        <w:rPr>
          <w:sz w:val="20"/>
          <w:szCs w:val="20"/>
        </w:rPr>
        <w:t xml:space="preserve">According to the </w:t>
      </w:r>
      <w:r w:rsidR="00E02EE7">
        <w:rPr>
          <w:sz w:val="20"/>
          <w:szCs w:val="20"/>
        </w:rPr>
        <w:t xml:space="preserve">2010 version of the </w:t>
      </w:r>
      <w:r w:rsidR="008D3EB3">
        <w:rPr>
          <w:sz w:val="20"/>
          <w:szCs w:val="20"/>
        </w:rPr>
        <w:t>EPA report, residential waste generation accounts for 55-65 percent of the total waste from the residential and commercial sectors.</w:t>
      </w:r>
      <w:r w:rsidR="003C2D4B" w:rsidRPr="003C2D4B">
        <w:rPr>
          <w:sz w:val="20"/>
          <w:szCs w:val="20"/>
          <w:vertAlign w:val="superscript"/>
        </w:rPr>
        <w:t>3</w:t>
      </w:r>
      <w:r w:rsidR="008D3EB3">
        <w:rPr>
          <w:sz w:val="20"/>
          <w:szCs w:val="20"/>
        </w:rPr>
        <w:t xml:space="preserve"> </w:t>
      </w:r>
      <w:proofErr w:type="gramStart"/>
      <w:r w:rsidR="008D3EB3">
        <w:rPr>
          <w:sz w:val="20"/>
          <w:szCs w:val="20"/>
        </w:rPr>
        <w:t>For</w:t>
      </w:r>
      <w:proofErr w:type="gramEnd"/>
      <w:r w:rsidR="008D3EB3">
        <w:rPr>
          <w:sz w:val="20"/>
          <w:szCs w:val="20"/>
        </w:rPr>
        <w:t xml:space="preserve"> the calculation of per capita household waste subject to burning, the median value of 60 percent was assumed. </w:t>
      </w:r>
      <w:r w:rsidRPr="003733A0">
        <w:rPr>
          <w:sz w:val="20"/>
          <w:szCs w:val="20"/>
        </w:rPr>
        <w:t>This information was used to calculate a daily estimate of the per capita hou</w:t>
      </w:r>
      <w:r w:rsidR="008D3EB3">
        <w:rPr>
          <w:sz w:val="20"/>
          <w:szCs w:val="20"/>
        </w:rPr>
        <w:t>sehold waste subject to burning of</w:t>
      </w:r>
      <w:r w:rsidRPr="003733A0">
        <w:rPr>
          <w:sz w:val="20"/>
          <w:szCs w:val="20"/>
        </w:rPr>
        <w:t xml:space="preserve"> </w:t>
      </w:r>
      <w:r w:rsidR="00FE098E">
        <w:rPr>
          <w:sz w:val="20"/>
          <w:szCs w:val="20"/>
        </w:rPr>
        <w:t>1</w:t>
      </w:r>
      <w:r w:rsidRPr="003733A0">
        <w:rPr>
          <w:sz w:val="20"/>
          <w:szCs w:val="20"/>
        </w:rPr>
        <w:t>.</w:t>
      </w:r>
      <w:r w:rsidR="00FE098E">
        <w:rPr>
          <w:sz w:val="20"/>
          <w:szCs w:val="20"/>
        </w:rPr>
        <w:t>9</w:t>
      </w:r>
      <w:r w:rsidR="000975F2">
        <w:rPr>
          <w:sz w:val="20"/>
          <w:szCs w:val="20"/>
        </w:rPr>
        <w:t>4</w:t>
      </w:r>
      <w:r w:rsidRPr="003733A0">
        <w:rPr>
          <w:sz w:val="20"/>
          <w:szCs w:val="20"/>
        </w:rPr>
        <w:t xml:space="preserve"> </w:t>
      </w:r>
      <w:proofErr w:type="spellStart"/>
      <w:r w:rsidRPr="003733A0">
        <w:rPr>
          <w:sz w:val="20"/>
          <w:szCs w:val="20"/>
        </w:rPr>
        <w:t>l</w:t>
      </w:r>
      <w:r w:rsidR="003733A0">
        <w:rPr>
          <w:sz w:val="20"/>
          <w:szCs w:val="20"/>
        </w:rPr>
        <w:t>bs</w:t>
      </w:r>
      <w:proofErr w:type="spellEnd"/>
      <w:r w:rsidR="003733A0">
        <w:rPr>
          <w:sz w:val="20"/>
          <w:szCs w:val="20"/>
        </w:rPr>
        <w:t>/person/day.  Non-combustible</w:t>
      </w:r>
      <w:r w:rsidRPr="003733A0">
        <w:rPr>
          <w:sz w:val="20"/>
          <w:szCs w:val="20"/>
        </w:rPr>
        <w:t xml:space="preserve"> waste, such as glass and metals</w:t>
      </w:r>
      <w:r w:rsidR="003733A0">
        <w:rPr>
          <w:sz w:val="20"/>
          <w:szCs w:val="20"/>
        </w:rPr>
        <w:t>,</w:t>
      </w:r>
      <w:r w:rsidRPr="003733A0">
        <w:rPr>
          <w:sz w:val="20"/>
          <w:szCs w:val="20"/>
        </w:rPr>
        <w:t xml:space="preserve"> was not considered to be waste subject to burning.  Burning of yard waste is included in </w:t>
      </w:r>
      <w:smartTag w:uri="urn:schemas-microsoft-com:office:smarttags" w:element="stockticker">
        <w:r w:rsidRPr="003733A0">
          <w:rPr>
            <w:sz w:val="20"/>
            <w:szCs w:val="20"/>
          </w:rPr>
          <w:t>SCC</w:t>
        </w:r>
      </w:smartTag>
      <w:r w:rsidRPr="003733A0">
        <w:rPr>
          <w:sz w:val="20"/>
          <w:szCs w:val="20"/>
        </w:rPr>
        <w:t xml:space="preserve"> 2610000100 and </w:t>
      </w:r>
      <w:smartTag w:uri="urn:schemas-microsoft-com:office:smarttags" w:element="stockticker">
        <w:r w:rsidRPr="003733A0">
          <w:rPr>
            <w:sz w:val="20"/>
            <w:szCs w:val="20"/>
          </w:rPr>
          <w:t>SCC</w:t>
        </w:r>
      </w:smartTag>
      <w:r w:rsidRPr="003733A0">
        <w:rPr>
          <w:sz w:val="20"/>
          <w:szCs w:val="20"/>
        </w:rPr>
        <w:t xml:space="preserve"> </w:t>
      </w:r>
      <w:r w:rsidR="00DF4399" w:rsidRPr="003733A0">
        <w:rPr>
          <w:sz w:val="20"/>
          <w:szCs w:val="20"/>
        </w:rPr>
        <w:t>2610000400;</w:t>
      </w:r>
      <w:r w:rsidRPr="003733A0">
        <w:rPr>
          <w:sz w:val="20"/>
          <w:szCs w:val="20"/>
        </w:rPr>
        <w:t xml:space="preserve"> therefore, it is not part of residential </w:t>
      </w:r>
      <w:smartTag w:uri="urn:schemas-microsoft-com:office:smarttags" w:element="stockticker">
        <w:r w:rsidR="003733A0">
          <w:rPr>
            <w:sz w:val="20"/>
            <w:szCs w:val="20"/>
          </w:rPr>
          <w:t>MSW</w:t>
        </w:r>
      </w:smartTag>
      <w:r w:rsidRPr="003733A0">
        <w:rPr>
          <w:sz w:val="20"/>
          <w:szCs w:val="20"/>
        </w:rPr>
        <w:t>.  Approximately 25 to 32 percent of all waste that is subject to open burning is actually burned.</w:t>
      </w:r>
      <w:r w:rsidR="003C2D4B">
        <w:rPr>
          <w:sz w:val="20"/>
          <w:szCs w:val="20"/>
          <w:vertAlign w:val="superscript"/>
        </w:rPr>
        <w:t>4</w:t>
      </w:r>
      <w:proofErr w:type="gramStart"/>
      <w:r w:rsidR="0051658A">
        <w:rPr>
          <w:sz w:val="20"/>
          <w:szCs w:val="20"/>
          <w:vertAlign w:val="superscript"/>
        </w:rPr>
        <w:t>,</w:t>
      </w:r>
      <w:r w:rsidR="003C2D4B">
        <w:rPr>
          <w:sz w:val="20"/>
          <w:szCs w:val="20"/>
          <w:vertAlign w:val="superscript"/>
        </w:rPr>
        <w:t>5</w:t>
      </w:r>
      <w:proofErr w:type="gramEnd"/>
      <w:r w:rsidRPr="003733A0">
        <w:rPr>
          <w:sz w:val="20"/>
          <w:szCs w:val="20"/>
        </w:rPr>
        <w:t xml:space="preserve">  A median value of 28 percent is assumed to </w:t>
      </w:r>
      <w:r w:rsidR="003733A0">
        <w:rPr>
          <w:sz w:val="20"/>
          <w:szCs w:val="20"/>
        </w:rPr>
        <w:t xml:space="preserve">be </w:t>
      </w:r>
      <w:r w:rsidRPr="003733A0">
        <w:rPr>
          <w:sz w:val="20"/>
          <w:szCs w:val="20"/>
        </w:rPr>
        <w:t xml:space="preserve">burned in all counties in the United States.  </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Since open burning is generally not practiced in urban areas, only the</w:t>
      </w:r>
      <w:r w:rsidR="00842178">
        <w:rPr>
          <w:sz w:val="20"/>
          <w:szCs w:val="20"/>
        </w:rPr>
        <w:t xml:space="preserve"> </w:t>
      </w:r>
      <w:r w:rsidR="002D1F5A">
        <w:rPr>
          <w:sz w:val="20"/>
          <w:szCs w:val="20"/>
        </w:rPr>
        <w:t>rural population</w:t>
      </w:r>
      <w:r w:rsidR="00842178">
        <w:rPr>
          <w:sz w:val="20"/>
          <w:szCs w:val="20"/>
        </w:rPr>
        <w:t xml:space="preserve"> in</w:t>
      </w:r>
      <w:r w:rsidRPr="003733A0">
        <w:rPr>
          <w:sz w:val="20"/>
          <w:szCs w:val="20"/>
        </w:rPr>
        <w:t xml:space="preserve"> each county was assumed to practice open burning.  The ratio of </w:t>
      </w:r>
      <w:r w:rsidR="002D1F5A">
        <w:rPr>
          <w:sz w:val="20"/>
          <w:szCs w:val="20"/>
        </w:rPr>
        <w:t>rural to total population</w:t>
      </w:r>
      <w:r w:rsidRPr="003733A0">
        <w:rPr>
          <w:sz w:val="20"/>
          <w:szCs w:val="20"/>
        </w:rPr>
        <w:t xml:space="preserve"> was obtained from 20</w:t>
      </w:r>
      <w:r w:rsidR="003C2D4B">
        <w:rPr>
          <w:sz w:val="20"/>
          <w:szCs w:val="20"/>
        </w:rPr>
        <w:t>1</w:t>
      </w:r>
      <w:r w:rsidRPr="003733A0">
        <w:rPr>
          <w:sz w:val="20"/>
          <w:szCs w:val="20"/>
        </w:rPr>
        <w:t>0 U.S. Census data.</w:t>
      </w:r>
      <w:r w:rsidR="003C2D4B">
        <w:rPr>
          <w:sz w:val="20"/>
          <w:szCs w:val="20"/>
          <w:vertAlign w:val="superscript"/>
        </w:rPr>
        <w:t>6</w:t>
      </w:r>
      <w:r w:rsidRPr="003733A0">
        <w:rPr>
          <w:sz w:val="20"/>
          <w:szCs w:val="20"/>
        </w:rPr>
        <w:t xml:space="preserve"> This ratio was then multiplied by the 20</w:t>
      </w:r>
      <w:r w:rsidR="000975F2">
        <w:rPr>
          <w:sz w:val="20"/>
          <w:szCs w:val="20"/>
        </w:rPr>
        <w:t>1</w:t>
      </w:r>
      <w:r w:rsidR="00E02EE7">
        <w:rPr>
          <w:sz w:val="20"/>
          <w:szCs w:val="20"/>
        </w:rPr>
        <w:t>4</w:t>
      </w:r>
      <w:r w:rsidRPr="003733A0">
        <w:rPr>
          <w:sz w:val="20"/>
          <w:szCs w:val="20"/>
        </w:rPr>
        <w:t xml:space="preserve"> U.S. Census Bureau estimate</w:t>
      </w:r>
      <w:r w:rsidR="00E02EE7">
        <w:rPr>
          <w:sz w:val="20"/>
          <w:szCs w:val="20"/>
          <w:vertAlign w:val="superscript"/>
        </w:rPr>
        <w:t>7</w:t>
      </w:r>
      <w:r w:rsidRPr="003733A0">
        <w:rPr>
          <w:sz w:val="20"/>
          <w:szCs w:val="20"/>
        </w:rPr>
        <w:t xml:space="preserve"> of the population in each county to obtain the county-level rural population for 20</w:t>
      </w:r>
      <w:r w:rsidR="000975F2">
        <w:rPr>
          <w:sz w:val="20"/>
          <w:szCs w:val="20"/>
        </w:rPr>
        <w:t>1</w:t>
      </w:r>
      <w:r w:rsidR="00E02EE7">
        <w:rPr>
          <w:sz w:val="20"/>
          <w:szCs w:val="20"/>
        </w:rPr>
        <w:t>4</w:t>
      </w:r>
      <w:r w:rsidRPr="003733A0">
        <w:rPr>
          <w:sz w:val="20"/>
          <w:szCs w:val="20"/>
        </w:rPr>
        <w:t xml:space="preserve">.  </w:t>
      </w:r>
      <w:r w:rsidR="00DF4399">
        <w:rPr>
          <w:sz w:val="20"/>
          <w:szCs w:val="20"/>
        </w:rPr>
        <w:t xml:space="preserve">The county-level rural population was then multiplied by the per capita household waste subject to burning to determine the amount of rural household </w:t>
      </w:r>
      <w:smartTag w:uri="urn:schemas-microsoft-com:office:smarttags" w:element="stockticker">
        <w:r w:rsidR="00DF4399">
          <w:rPr>
            <w:sz w:val="20"/>
            <w:szCs w:val="20"/>
          </w:rPr>
          <w:t>MSW</w:t>
        </w:r>
      </w:smartTag>
      <w:r w:rsidR="00DF4399">
        <w:rPr>
          <w:sz w:val="20"/>
          <w:szCs w:val="20"/>
        </w:rPr>
        <w:t xml:space="preserve"> generated in each county in 20</w:t>
      </w:r>
      <w:r w:rsidR="00C22579">
        <w:rPr>
          <w:sz w:val="20"/>
          <w:szCs w:val="20"/>
        </w:rPr>
        <w:t>1</w:t>
      </w:r>
      <w:r w:rsidR="002D1F5A">
        <w:rPr>
          <w:sz w:val="20"/>
          <w:szCs w:val="20"/>
        </w:rPr>
        <w:t>4</w:t>
      </w:r>
      <w:r w:rsidR="00DF4399">
        <w:rPr>
          <w:sz w:val="20"/>
          <w:szCs w:val="20"/>
        </w:rPr>
        <w:t>.</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CD518D" w:rsidRPr="00886F17" w:rsidRDefault="00CD518D" w:rsidP="00CD518D">
      <w:pPr>
        <w:widowControl/>
        <w:tabs>
          <w:tab w:val="left" w:pos="0"/>
        </w:tabs>
        <w:spacing w:line="226" w:lineRule="auto"/>
        <w:rPr>
          <w:b/>
          <w:i/>
          <w:sz w:val="20"/>
          <w:szCs w:val="20"/>
        </w:rPr>
      </w:pPr>
      <w:r w:rsidRPr="00886F17">
        <w:rPr>
          <w:b/>
          <w:i/>
          <w:sz w:val="20"/>
          <w:szCs w:val="20"/>
        </w:rPr>
        <w:t>c. Controls</w:t>
      </w:r>
    </w:p>
    <w:p w:rsidR="00CD518D"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Controls for residential </w:t>
      </w:r>
      <w:smartTag w:uri="urn:schemas-microsoft-com:office:smarttags" w:element="stockticker">
        <w:r w:rsidR="00CD518D">
          <w:rPr>
            <w:sz w:val="20"/>
            <w:szCs w:val="20"/>
          </w:rPr>
          <w:t>MSW</w:t>
        </w:r>
      </w:smartTag>
      <w:r w:rsidRPr="003733A0">
        <w:rPr>
          <w:sz w:val="20"/>
          <w:szCs w:val="20"/>
        </w:rPr>
        <w:t xml:space="preserve"> burning are generally in the form of a ban on open burning of waste in a given municipality or county.  Counties that were more than 80% urban</w:t>
      </w:r>
      <w:r w:rsidR="002D1F5A">
        <w:rPr>
          <w:sz w:val="20"/>
          <w:szCs w:val="20"/>
        </w:rPr>
        <w:t>, by land area, determined by the 2010 U.S. Census data</w:t>
      </w:r>
      <w:r w:rsidR="002D1F5A" w:rsidRPr="002D1F5A">
        <w:rPr>
          <w:sz w:val="20"/>
          <w:szCs w:val="20"/>
          <w:vertAlign w:val="superscript"/>
        </w:rPr>
        <w:t>6</w:t>
      </w:r>
      <w:r w:rsidR="002D1F5A">
        <w:rPr>
          <w:sz w:val="20"/>
          <w:szCs w:val="20"/>
        </w:rPr>
        <w:t>,</w:t>
      </w:r>
      <w:r w:rsidRPr="003733A0">
        <w:rPr>
          <w:sz w:val="20"/>
          <w:szCs w:val="20"/>
        </w:rPr>
        <w:t xml:space="preserve"> were assumed not to practice any open burning.  Therefore, criteria pollutant and HAP emissions from residential municipal solid waste burning are zero in these counties.  In addition, the State of </w:t>
      </w:r>
      <w:smartTag w:uri="urn:schemas-microsoft-com:office:smarttags" w:element="State">
        <w:smartTag w:uri="urn:schemas-microsoft-com:office:smarttags" w:element="place">
          <w:r w:rsidRPr="003733A0">
            <w:rPr>
              <w:sz w:val="20"/>
              <w:szCs w:val="20"/>
            </w:rPr>
            <w:t>Colorado</w:t>
          </w:r>
        </w:smartTag>
      </w:smartTag>
      <w:r w:rsidRPr="003733A0">
        <w:rPr>
          <w:sz w:val="20"/>
          <w:szCs w:val="20"/>
        </w:rPr>
        <w:t xml:space="preserve"> implemented a state-wide b</w:t>
      </w:r>
      <w:r w:rsidR="00CD518D">
        <w:rPr>
          <w:sz w:val="20"/>
          <w:szCs w:val="20"/>
        </w:rPr>
        <w:t>a</w:t>
      </w:r>
      <w:r w:rsidRPr="003733A0">
        <w:rPr>
          <w:sz w:val="20"/>
          <w:szCs w:val="20"/>
        </w:rPr>
        <w:t xml:space="preserve">n on open burning.  Emissions from open burning of residential waste in all </w:t>
      </w:r>
      <w:smartTag w:uri="urn:schemas-microsoft-com:office:smarttags" w:element="State">
        <w:smartTag w:uri="urn:schemas-microsoft-com:office:smarttags" w:element="place">
          <w:r w:rsidRPr="003733A0">
            <w:rPr>
              <w:sz w:val="20"/>
              <w:szCs w:val="20"/>
            </w:rPr>
            <w:t>Colorado</w:t>
          </w:r>
        </w:smartTag>
      </w:smartTag>
      <w:r w:rsidRPr="003733A0">
        <w:rPr>
          <w:sz w:val="20"/>
          <w:szCs w:val="20"/>
        </w:rPr>
        <w:t xml:space="preserve"> counties were assumed to be zero.  </w:t>
      </w:r>
    </w:p>
    <w:p w:rsidR="00CD518D" w:rsidRPr="003733A0"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CD518D" w:rsidRPr="00886F17" w:rsidRDefault="00CD518D" w:rsidP="00CD518D">
      <w:pPr>
        <w:widowControl/>
        <w:tabs>
          <w:tab w:val="left" w:pos="0"/>
        </w:tabs>
        <w:spacing w:line="226" w:lineRule="auto"/>
        <w:rPr>
          <w:b/>
          <w:i/>
          <w:sz w:val="20"/>
          <w:szCs w:val="20"/>
        </w:rPr>
      </w:pPr>
      <w:r w:rsidRPr="00886F17">
        <w:rPr>
          <w:b/>
          <w:i/>
          <w:sz w:val="20"/>
          <w:szCs w:val="20"/>
        </w:rPr>
        <w:t>d. Emission Factors</w:t>
      </w:r>
    </w:p>
    <w:p w:rsidR="00CD518D" w:rsidRDefault="00CD518D" w:rsidP="00CD518D">
      <w:pPr>
        <w:widowControl/>
        <w:tabs>
          <w:tab w:val="left" w:pos="0"/>
        </w:tabs>
        <w:spacing w:line="226" w:lineRule="auto"/>
        <w:rPr>
          <w:sz w:val="20"/>
          <w:szCs w:val="20"/>
        </w:rPr>
      </w:pPr>
    </w:p>
    <w:p w:rsidR="00CD518D" w:rsidRDefault="00CD518D" w:rsidP="00CD51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Emission factors are reported in Table 1 below. Emission factors for CAPs were developed by the U.S. Environmental Protection Agency (EPA) in consultation with the Eastern Regional Technical Advisory Committee</w:t>
      </w:r>
      <w:r w:rsidR="004C492B">
        <w:rPr>
          <w:sz w:val="20"/>
          <w:szCs w:val="20"/>
        </w:rPr>
        <w:t xml:space="preserve"> and based primarily on the AP-42 report</w:t>
      </w:r>
      <w:r>
        <w:rPr>
          <w:sz w:val="20"/>
          <w:szCs w:val="20"/>
        </w:rPr>
        <w:t>.</w:t>
      </w:r>
      <w:r w:rsidR="003C2D4B">
        <w:rPr>
          <w:sz w:val="20"/>
          <w:szCs w:val="20"/>
          <w:vertAlign w:val="superscript"/>
        </w:rPr>
        <w:t>8</w:t>
      </w:r>
      <w:proofErr w:type="gramStart"/>
      <w:r w:rsidR="0051658A">
        <w:rPr>
          <w:sz w:val="20"/>
          <w:szCs w:val="20"/>
          <w:vertAlign w:val="superscript"/>
        </w:rPr>
        <w:t>,</w:t>
      </w:r>
      <w:r w:rsidR="003C2D4B">
        <w:rPr>
          <w:sz w:val="20"/>
          <w:szCs w:val="20"/>
          <w:vertAlign w:val="superscript"/>
        </w:rPr>
        <w:t>9</w:t>
      </w:r>
      <w:proofErr w:type="gramEnd"/>
      <w:r>
        <w:rPr>
          <w:sz w:val="20"/>
          <w:szCs w:val="20"/>
        </w:rPr>
        <w:t xml:space="preserve"> Emission factors for HAPs are from </w:t>
      </w:r>
      <w:r w:rsidR="004C492B">
        <w:rPr>
          <w:sz w:val="20"/>
          <w:szCs w:val="20"/>
        </w:rPr>
        <w:t>an EPA</w:t>
      </w:r>
      <w:r>
        <w:rPr>
          <w:sz w:val="20"/>
          <w:szCs w:val="20"/>
        </w:rPr>
        <w:t xml:space="preserve"> Control Technology Center</w:t>
      </w:r>
      <w:r w:rsidR="00FD614A" w:rsidRPr="00FD614A">
        <w:rPr>
          <w:sz w:val="20"/>
          <w:szCs w:val="20"/>
        </w:rPr>
        <w:t xml:space="preserve"> </w:t>
      </w:r>
      <w:r w:rsidR="004C492B">
        <w:rPr>
          <w:sz w:val="20"/>
          <w:szCs w:val="20"/>
        </w:rPr>
        <w:t xml:space="preserve">report </w:t>
      </w:r>
      <w:r w:rsidR="007445A6">
        <w:rPr>
          <w:sz w:val="20"/>
          <w:szCs w:val="20"/>
        </w:rPr>
        <w:t xml:space="preserve">and </w:t>
      </w:r>
      <w:r w:rsidR="00FD614A" w:rsidRPr="003733A0">
        <w:rPr>
          <w:sz w:val="20"/>
          <w:szCs w:val="20"/>
        </w:rPr>
        <w:t>emission factors for 17 dioxin congeners were obtained from an EPA dioxin report.</w:t>
      </w:r>
      <w:r w:rsidR="003C2D4B">
        <w:rPr>
          <w:sz w:val="20"/>
          <w:szCs w:val="20"/>
          <w:vertAlign w:val="superscript"/>
        </w:rPr>
        <w:t>10</w:t>
      </w:r>
      <w:r w:rsidR="0051658A">
        <w:rPr>
          <w:sz w:val="20"/>
          <w:szCs w:val="20"/>
          <w:vertAlign w:val="superscript"/>
        </w:rPr>
        <w:t>,1</w:t>
      </w:r>
      <w:r w:rsidR="003C2D4B">
        <w:rPr>
          <w:sz w:val="20"/>
          <w:szCs w:val="20"/>
          <w:vertAlign w:val="superscript"/>
        </w:rPr>
        <w:t>1</w:t>
      </w:r>
    </w:p>
    <w:p w:rsidR="00CD518D"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Pr="00886F17" w:rsidRDefault="004C492B" w:rsidP="004C492B">
      <w:pPr>
        <w:widowControl/>
        <w:tabs>
          <w:tab w:val="left" w:pos="0"/>
        </w:tabs>
        <w:spacing w:line="226" w:lineRule="auto"/>
        <w:rPr>
          <w:b/>
          <w:i/>
          <w:sz w:val="20"/>
          <w:szCs w:val="20"/>
        </w:rPr>
      </w:pPr>
      <w:r w:rsidRPr="00886F17">
        <w:rPr>
          <w:b/>
          <w:i/>
          <w:sz w:val="20"/>
          <w:szCs w:val="20"/>
        </w:rPr>
        <w:t>e. Emissions</w:t>
      </w:r>
    </w:p>
    <w:p w:rsidR="004C492B"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County-level criteria pollutant and HAP emissions were calculated by multiplying the total amount of residential municipal solid waste burned per year by an emission factor.  </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 </w:t>
      </w:r>
      <w:r w:rsidRPr="003733A0">
        <w:rPr>
          <w:sz w:val="20"/>
          <w:szCs w:val="20"/>
        </w:rPr>
        <w:tab/>
      </w:r>
    </w:p>
    <w:p w:rsidR="004C492B" w:rsidRPr="003E3AC3" w:rsidRDefault="004C492B" w:rsidP="004C492B">
      <w:pPr>
        <w:widowControl/>
        <w:tabs>
          <w:tab w:val="left" w:pos="0"/>
        </w:tabs>
        <w:spacing w:line="226" w:lineRule="auto"/>
        <w:rPr>
          <w:b/>
          <w:i/>
          <w:sz w:val="20"/>
          <w:szCs w:val="20"/>
        </w:rPr>
      </w:pPr>
      <w:r w:rsidRPr="003E3AC3">
        <w:rPr>
          <w:b/>
          <w:i/>
          <w:sz w:val="20"/>
          <w:szCs w:val="20"/>
        </w:rPr>
        <w:t>f. Example Calculations</w:t>
      </w:r>
    </w:p>
    <w:p w:rsidR="004C492B" w:rsidRDefault="004C492B" w:rsidP="004C492B">
      <w:pPr>
        <w:widowControl/>
        <w:tabs>
          <w:tab w:val="left" w:pos="0"/>
        </w:tabs>
        <w:spacing w:line="226" w:lineRule="auto"/>
        <w:rPr>
          <w:sz w:val="20"/>
          <w:szCs w:val="20"/>
        </w:rPr>
      </w:pPr>
    </w:p>
    <w:p w:rsidR="004C492B" w:rsidRDefault="004C492B" w:rsidP="004C492B">
      <w:pPr>
        <w:widowControl/>
        <w:tabs>
          <w:tab w:val="left" w:pos="0"/>
        </w:tabs>
        <w:spacing w:line="226" w:lineRule="auto"/>
        <w:rPr>
          <w:sz w:val="20"/>
          <w:szCs w:val="20"/>
        </w:rPr>
      </w:pPr>
      <w:r>
        <w:rPr>
          <w:sz w:val="20"/>
          <w:szCs w:val="20"/>
        </w:rPr>
        <w:t xml:space="preserve">VOC emissions in </w:t>
      </w:r>
      <w:smartTag w:uri="urn:schemas-microsoft-com:office:smarttags" w:element="place">
        <w:smartTag w:uri="urn:schemas-microsoft-com:office:smarttags" w:element="City">
          <w:r>
            <w:rPr>
              <w:sz w:val="20"/>
              <w:szCs w:val="20"/>
            </w:rPr>
            <w:t>Autauga County</w:t>
          </w:r>
        </w:smartTag>
        <w:r>
          <w:rPr>
            <w:sz w:val="20"/>
            <w:szCs w:val="20"/>
          </w:rPr>
          <w:t xml:space="preserve">, </w:t>
        </w:r>
        <w:smartTag w:uri="urn:schemas-microsoft-com:office:smarttags" w:element="State">
          <w:r>
            <w:rPr>
              <w:sz w:val="20"/>
              <w:szCs w:val="20"/>
            </w:rPr>
            <w:t>Alabama</w:t>
          </w:r>
        </w:smartTag>
      </w:smartTag>
      <w:r>
        <w:rPr>
          <w:sz w:val="20"/>
          <w:szCs w:val="20"/>
        </w:rPr>
        <w:t xml:space="preserve"> from open burning of residential </w:t>
      </w:r>
      <w:smartTag w:uri="urn:schemas-microsoft-com:office:smarttags" w:element="stockticker">
        <w:r>
          <w:rPr>
            <w:sz w:val="20"/>
            <w:szCs w:val="20"/>
          </w:rPr>
          <w:t>MSW</w:t>
        </w:r>
      </w:smartTag>
      <w:r>
        <w:rPr>
          <w:sz w:val="20"/>
          <w:szCs w:val="20"/>
        </w:rPr>
        <w:t>:</w:t>
      </w:r>
    </w:p>
    <w:p w:rsidR="004C492B" w:rsidRDefault="004C492B" w:rsidP="004C492B">
      <w:pPr>
        <w:widowControl/>
        <w:tabs>
          <w:tab w:val="left" w:pos="0"/>
        </w:tabs>
        <w:spacing w:line="226" w:lineRule="auto"/>
        <w:ind w:firstLine="720"/>
        <w:rPr>
          <w:sz w:val="20"/>
          <w:szCs w:val="20"/>
        </w:rPr>
      </w:pPr>
    </w:p>
    <w:p w:rsidR="007C7079" w:rsidRDefault="007C7079" w:rsidP="004C492B">
      <w:pPr>
        <w:widowControl/>
        <w:tabs>
          <w:tab w:val="left" w:pos="0"/>
        </w:tabs>
        <w:spacing w:line="226" w:lineRule="auto"/>
        <w:ind w:firstLine="720"/>
        <w:rPr>
          <w:sz w:val="20"/>
          <w:szCs w:val="20"/>
        </w:rPr>
      </w:pPr>
      <w:proofErr w:type="gramStart"/>
      <w:r>
        <w:rPr>
          <w:sz w:val="20"/>
          <w:szCs w:val="20"/>
        </w:rPr>
        <w:t>Rural land fraction of Autauga County in 2010 = .97, so no controls.</w:t>
      </w:r>
      <w:proofErr w:type="gramEnd"/>
    </w:p>
    <w:p w:rsidR="004C492B" w:rsidRDefault="004C492B" w:rsidP="004C492B">
      <w:pPr>
        <w:widowControl/>
        <w:tabs>
          <w:tab w:val="left" w:pos="0"/>
        </w:tabs>
        <w:spacing w:line="226" w:lineRule="auto"/>
        <w:ind w:firstLine="720"/>
        <w:rPr>
          <w:sz w:val="20"/>
          <w:szCs w:val="20"/>
        </w:rPr>
      </w:pPr>
      <w:r>
        <w:rPr>
          <w:sz w:val="20"/>
          <w:szCs w:val="20"/>
        </w:rPr>
        <w:t>Population of Autauga County in 20</w:t>
      </w:r>
      <w:r w:rsidR="000975F2">
        <w:rPr>
          <w:sz w:val="20"/>
          <w:szCs w:val="20"/>
        </w:rPr>
        <w:t>1</w:t>
      </w:r>
      <w:r w:rsidR="00412191">
        <w:rPr>
          <w:sz w:val="20"/>
          <w:szCs w:val="20"/>
        </w:rPr>
        <w:t>4</w:t>
      </w:r>
      <w:r>
        <w:rPr>
          <w:sz w:val="20"/>
          <w:szCs w:val="20"/>
        </w:rPr>
        <w:t xml:space="preserve"> = </w:t>
      </w:r>
      <w:r w:rsidR="00412191">
        <w:rPr>
          <w:sz w:val="20"/>
          <w:szCs w:val="20"/>
        </w:rPr>
        <w:t>55,395</w:t>
      </w:r>
    </w:p>
    <w:p w:rsidR="004C492B" w:rsidRDefault="004C492B" w:rsidP="004C492B">
      <w:pPr>
        <w:widowControl/>
        <w:tabs>
          <w:tab w:val="left" w:pos="0"/>
        </w:tabs>
        <w:spacing w:line="226" w:lineRule="auto"/>
        <w:ind w:firstLine="720"/>
        <w:rPr>
          <w:sz w:val="20"/>
          <w:szCs w:val="20"/>
        </w:rPr>
      </w:pPr>
      <w:r>
        <w:rPr>
          <w:sz w:val="20"/>
          <w:szCs w:val="20"/>
        </w:rPr>
        <w:t>Rural fraction of Autauga County</w:t>
      </w:r>
      <w:r w:rsidR="00412191">
        <w:rPr>
          <w:sz w:val="20"/>
          <w:szCs w:val="20"/>
        </w:rPr>
        <w:t xml:space="preserve"> 2010</w:t>
      </w:r>
      <w:r>
        <w:rPr>
          <w:sz w:val="20"/>
          <w:szCs w:val="20"/>
        </w:rPr>
        <w:t xml:space="preserve"> population = 0.</w:t>
      </w:r>
      <w:r w:rsidR="007C7079">
        <w:rPr>
          <w:sz w:val="20"/>
          <w:szCs w:val="20"/>
        </w:rPr>
        <w:t>42</w:t>
      </w:r>
    </w:p>
    <w:p w:rsidR="004C492B" w:rsidRDefault="004C492B" w:rsidP="004C492B">
      <w:pPr>
        <w:widowControl/>
        <w:tabs>
          <w:tab w:val="left" w:pos="0"/>
        </w:tabs>
        <w:spacing w:line="226" w:lineRule="auto"/>
        <w:ind w:firstLine="720"/>
        <w:rPr>
          <w:sz w:val="20"/>
          <w:szCs w:val="20"/>
        </w:rPr>
      </w:pPr>
      <w:r>
        <w:rPr>
          <w:sz w:val="20"/>
          <w:szCs w:val="20"/>
        </w:rPr>
        <w:t xml:space="preserve">Per capita </w:t>
      </w:r>
      <w:smartTag w:uri="urn:schemas-microsoft-com:office:smarttags" w:element="stockticker">
        <w:r>
          <w:rPr>
            <w:sz w:val="20"/>
            <w:szCs w:val="20"/>
          </w:rPr>
          <w:t>MSW</w:t>
        </w:r>
      </w:smartTag>
      <w:r>
        <w:rPr>
          <w:sz w:val="20"/>
          <w:szCs w:val="20"/>
        </w:rPr>
        <w:t xml:space="preserve"> generated (</w:t>
      </w:r>
      <w:proofErr w:type="spellStart"/>
      <w:r>
        <w:rPr>
          <w:sz w:val="20"/>
          <w:szCs w:val="20"/>
        </w:rPr>
        <w:t>lb</w:t>
      </w:r>
      <w:proofErr w:type="spellEnd"/>
      <w:r>
        <w:rPr>
          <w:sz w:val="20"/>
          <w:szCs w:val="20"/>
        </w:rPr>
        <w:t xml:space="preserve">/person/day) = </w:t>
      </w:r>
      <w:r w:rsidR="00FE098E">
        <w:rPr>
          <w:sz w:val="20"/>
          <w:szCs w:val="20"/>
        </w:rPr>
        <w:t>1</w:t>
      </w:r>
      <w:r>
        <w:rPr>
          <w:sz w:val="20"/>
          <w:szCs w:val="20"/>
        </w:rPr>
        <w:t>.</w:t>
      </w:r>
      <w:r w:rsidR="007C7079">
        <w:rPr>
          <w:sz w:val="20"/>
          <w:szCs w:val="20"/>
        </w:rPr>
        <w:t>91</w:t>
      </w:r>
    </w:p>
    <w:p w:rsidR="004C492B" w:rsidRDefault="004C492B" w:rsidP="004C492B">
      <w:pPr>
        <w:widowControl/>
        <w:tabs>
          <w:tab w:val="left" w:pos="0"/>
        </w:tabs>
        <w:spacing w:line="226" w:lineRule="auto"/>
        <w:ind w:firstLine="720"/>
        <w:rPr>
          <w:sz w:val="20"/>
          <w:szCs w:val="20"/>
        </w:rPr>
      </w:pPr>
      <w:r>
        <w:rPr>
          <w:sz w:val="20"/>
          <w:szCs w:val="20"/>
        </w:rPr>
        <w:t xml:space="preserve">Fraction of rural population that burns </w:t>
      </w:r>
      <w:smartTag w:uri="urn:schemas-microsoft-com:office:smarttags" w:element="stockticker">
        <w:r>
          <w:rPr>
            <w:sz w:val="20"/>
            <w:szCs w:val="20"/>
          </w:rPr>
          <w:t>MSW</w:t>
        </w:r>
      </w:smartTag>
      <w:r>
        <w:rPr>
          <w:sz w:val="20"/>
          <w:szCs w:val="20"/>
        </w:rPr>
        <w:t xml:space="preserve"> = 0.28</w:t>
      </w:r>
    </w:p>
    <w:p w:rsidR="004C492B" w:rsidRDefault="004C492B" w:rsidP="004C492B">
      <w:pPr>
        <w:widowControl/>
        <w:tabs>
          <w:tab w:val="left" w:pos="0"/>
        </w:tabs>
        <w:spacing w:line="226" w:lineRule="auto"/>
        <w:ind w:firstLine="720"/>
        <w:rPr>
          <w:sz w:val="20"/>
          <w:szCs w:val="20"/>
        </w:rPr>
      </w:pPr>
      <w:r>
        <w:rPr>
          <w:sz w:val="20"/>
          <w:szCs w:val="20"/>
        </w:rPr>
        <w:t>Number of days in a year = 365</w:t>
      </w:r>
    </w:p>
    <w:p w:rsidR="004C492B" w:rsidRDefault="004C492B" w:rsidP="004C492B">
      <w:pPr>
        <w:widowControl/>
        <w:tabs>
          <w:tab w:val="left" w:pos="0"/>
        </w:tabs>
        <w:spacing w:line="226" w:lineRule="auto"/>
        <w:ind w:firstLine="720"/>
        <w:rPr>
          <w:sz w:val="20"/>
          <w:szCs w:val="20"/>
        </w:rPr>
      </w:pPr>
      <w:r>
        <w:rPr>
          <w:sz w:val="20"/>
          <w:szCs w:val="20"/>
        </w:rPr>
        <w:t xml:space="preserve">Factor to convert from </w:t>
      </w:r>
      <w:proofErr w:type="spellStart"/>
      <w:r>
        <w:rPr>
          <w:sz w:val="20"/>
          <w:szCs w:val="20"/>
        </w:rPr>
        <w:t>lbs</w:t>
      </w:r>
      <w:proofErr w:type="spellEnd"/>
      <w:r>
        <w:rPr>
          <w:sz w:val="20"/>
          <w:szCs w:val="20"/>
        </w:rPr>
        <w:t xml:space="preserve"> to tons = 1/2000</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20</w:t>
      </w:r>
      <w:r w:rsidR="000975F2">
        <w:rPr>
          <w:sz w:val="20"/>
          <w:szCs w:val="20"/>
        </w:rPr>
        <w:t>1</w:t>
      </w:r>
      <w:r w:rsidR="00412191">
        <w:rPr>
          <w:sz w:val="20"/>
          <w:szCs w:val="20"/>
        </w:rPr>
        <w:t>4</w:t>
      </w:r>
      <w:r>
        <w:rPr>
          <w:sz w:val="20"/>
          <w:szCs w:val="20"/>
        </w:rPr>
        <w:t xml:space="preserve"> </w:t>
      </w:r>
      <w:smartTag w:uri="urn:schemas-microsoft-com:office:smarttags" w:element="stockticker">
        <w:r>
          <w:rPr>
            <w:sz w:val="20"/>
            <w:szCs w:val="20"/>
          </w:rPr>
          <w:t>MSW</w:t>
        </w:r>
      </w:smartTag>
      <w:r>
        <w:rPr>
          <w:sz w:val="20"/>
          <w:szCs w:val="20"/>
        </w:rPr>
        <w:t xml:space="preserve"> burning activity in Autauga County = </w:t>
      </w:r>
      <w:r w:rsidR="00412191">
        <w:rPr>
          <w:sz w:val="20"/>
          <w:szCs w:val="20"/>
        </w:rPr>
        <w:t>55,395</w:t>
      </w:r>
      <w:r>
        <w:rPr>
          <w:sz w:val="20"/>
          <w:szCs w:val="20"/>
        </w:rPr>
        <w:t xml:space="preserve"> * 0.4</w:t>
      </w:r>
      <w:r w:rsidR="003C2D4B">
        <w:rPr>
          <w:sz w:val="20"/>
          <w:szCs w:val="20"/>
        </w:rPr>
        <w:t>2</w:t>
      </w:r>
      <w:r>
        <w:rPr>
          <w:sz w:val="20"/>
          <w:szCs w:val="20"/>
        </w:rPr>
        <w:t xml:space="preserve"> * </w:t>
      </w:r>
      <w:r w:rsidR="00FE098E">
        <w:rPr>
          <w:sz w:val="20"/>
          <w:szCs w:val="20"/>
        </w:rPr>
        <w:t>1</w:t>
      </w:r>
      <w:r>
        <w:rPr>
          <w:sz w:val="20"/>
          <w:szCs w:val="20"/>
        </w:rPr>
        <w:t>.</w:t>
      </w:r>
      <w:r w:rsidR="007C7079">
        <w:rPr>
          <w:sz w:val="20"/>
          <w:szCs w:val="20"/>
        </w:rPr>
        <w:t>91</w:t>
      </w:r>
      <w:r>
        <w:rPr>
          <w:sz w:val="20"/>
          <w:szCs w:val="20"/>
        </w:rPr>
        <w:t xml:space="preserve"> * 0.28 * 365 * 1/2000</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20</w:t>
      </w:r>
      <w:r w:rsidR="000975F2">
        <w:rPr>
          <w:sz w:val="20"/>
          <w:szCs w:val="20"/>
        </w:rPr>
        <w:t>1</w:t>
      </w:r>
      <w:r w:rsidR="00412191">
        <w:rPr>
          <w:sz w:val="20"/>
          <w:szCs w:val="20"/>
        </w:rPr>
        <w:t>4</w:t>
      </w:r>
      <w:r>
        <w:rPr>
          <w:sz w:val="20"/>
          <w:szCs w:val="20"/>
        </w:rPr>
        <w:t xml:space="preserve"> </w:t>
      </w:r>
      <w:smartTag w:uri="urn:schemas-microsoft-com:office:smarttags" w:element="stockticker">
        <w:r w:rsidR="007B5CA0">
          <w:rPr>
            <w:sz w:val="20"/>
            <w:szCs w:val="20"/>
          </w:rPr>
          <w:t>MSW</w:t>
        </w:r>
      </w:smartTag>
      <w:r>
        <w:rPr>
          <w:sz w:val="20"/>
          <w:szCs w:val="20"/>
        </w:rPr>
        <w:t xml:space="preserve"> activity in Autauga County = </w:t>
      </w:r>
      <w:r w:rsidR="007C7079">
        <w:rPr>
          <w:sz w:val="20"/>
          <w:szCs w:val="20"/>
        </w:rPr>
        <w:t>2,270</w:t>
      </w:r>
      <w:r>
        <w:rPr>
          <w:sz w:val="20"/>
          <w:szCs w:val="20"/>
        </w:rPr>
        <w:t xml:space="preserve"> tons</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 </w:t>
      </w:r>
      <w:smartTag w:uri="urn:schemas-microsoft-com:office:smarttags" w:element="stockticker">
        <w:r w:rsidR="007B5CA0">
          <w:rPr>
            <w:sz w:val="20"/>
            <w:szCs w:val="20"/>
          </w:rPr>
          <w:t>MSW</w:t>
        </w:r>
      </w:smartTag>
      <w:r>
        <w:rPr>
          <w:sz w:val="20"/>
          <w:szCs w:val="20"/>
        </w:rPr>
        <w:t xml:space="preserve"> burned * VOC emission factor</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 factor = 8.56 </w:t>
      </w:r>
      <w:proofErr w:type="spellStart"/>
      <w:r>
        <w:rPr>
          <w:sz w:val="20"/>
          <w:szCs w:val="20"/>
        </w:rPr>
        <w:t>lb</w:t>
      </w:r>
      <w:proofErr w:type="spellEnd"/>
      <w:r>
        <w:rPr>
          <w:sz w:val="20"/>
          <w:szCs w:val="20"/>
        </w:rPr>
        <w:t>/ton</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from </w:t>
      </w:r>
      <w:smartTag w:uri="urn:schemas-microsoft-com:office:smarttags" w:element="stockticker">
        <w:r w:rsidR="007B5CA0">
          <w:rPr>
            <w:sz w:val="20"/>
            <w:szCs w:val="20"/>
          </w:rPr>
          <w:t>MSW</w:t>
        </w:r>
      </w:smartTag>
      <w:r>
        <w:rPr>
          <w:sz w:val="20"/>
          <w:szCs w:val="20"/>
        </w:rPr>
        <w:t xml:space="preserve"> burning in Autauga C</w:t>
      </w:r>
      <w:r w:rsidR="007B5CA0">
        <w:rPr>
          <w:sz w:val="20"/>
          <w:szCs w:val="20"/>
        </w:rPr>
        <w:t>ou</w:t>
      </w:r>
      <w:r>
        <w:rPr>
          <w:sz w:val="20"/>
          <w:szCs w:val="20"/>
        </w:rPr>
        <w:t xml:space="preserve">nty = </w:t>
      </w:r>
      <w:r w:rsidR="007C7079">
        <w:rPr>
          <w:sz w:val="20"/>
          <w:szCs w:val="20"/>
        </w:rPr>
        <w:t>2,270</w:t>
      </w:r>
      <w:r>
        <w:rPr>
          <w:sz w:val="20"/>
          <w:szCs w:val="20"/>
        </w:rPr>
        <w:t xml:space="preserve"> tons * 8.56 </w:t>
      </w:r>
      <w:proofErr w:type="spellStart"/>
      <w:r>
        <w:rPr>
          <w:sz w:val="20"/>
          <w:szCs w:val="20"/>
        </w:rPr>
        <w:t>lbs</w:t>
      </w:r>
      <w:proofErr w:type="spellEnd"/>
      <w:r>
        <w:rPr>
          <w:sz w:val="20"/>
          <w:szCs w:val="20"/>
        </w:rPr>
        <w:t xml:space="preserve">/ton * 1 ton/2000 </w:t>
      </w:r>
      <w:proofErr w:type="spellStart"/>
      <w:r>
        <w:rPr>
          <w:sz w:val="20"/>
          <w:szCs w:val="20"/>
        </w:rPr>
        <w:t>lbs</w:t>
      </w:r>
      <w:proofErr w:type="spellEnd"/>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from </w:t>
      </w:r>
      <w:smartTag w:uri="urn:schemas-microsoft-com:office:smarttags" w:element="stockticker">
        <w:r w:rsidR="007B5CA0">
          <w:rPr>
            <w:sz w:val="20"/>
            <w:szCs w:val="20"/>
          </w:rPr>
          <w:t>MSW</w:t>
        </w:r>
      </w:smartTag>
      <w:r>
        <w:rPr>
          <w:sz w:val="20"/>
          <w:szCs w:val="20"/>
        </w:rPr>
        <w:t xml:space="preserve"> burning in Autauga County in 20</w:t>
      </w:r>
      <w:r w:rsidR="000975F2">
        <w:rPr>
          <w:sz w:val="20"/>
          <w:szCs w:val="20"/>
        </w:rPr>
        <w:t>10</w:t>
      </w:r>
      <w:r>
        <w:rPr>
          <w:sz w:val="20"/>
          <w:szCs w:val="20"/>
        </w:rPr>
        <w:t xml:space="preserve"> = </w:t>
      </w:r>
      <w:r w:rsidR="007C7079">
        <w:rPr>
          <w:sz w:val="20"/>
          <w:szCs w:val="20"/>
        </w:rPr>
        <w:t>9.7</w:t>
      </w:r>
      <w:r>
        <w:rPr>
          <w:sz w:val="20"/>
          <w:szCs w:val="20"/>
        </w:rPr>
        <w:t xml:space="preserve"> tons</w:t>
      </w:r>
    </w:p>
    <w:p w:rsidR="00940D14"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7E2056" w:rsidRDefault="004C492B" w:rsidP="004C492B">
      <w:pPr>
        <w:widowControl/>
        <w:tabs>
          <w:tab w:val="left" w:pos="0"/>
        </w:tabs>
        <w:spacing w:line="226" w:lineRule="auto"/>
        <w:rPr>
          <w:b/>
          <w:i/>
          <w:sz w:val="20"/>
          <w:szCs w:val="20"/>
        </w:rPr>
      </w:pPr>
      <w:r w:rsidRPr="003E3AC3">
        <w:rPr>
          <w:b/>
          <w:i/>
          <w:sz w:val="20"/>
          <w:szCs w:val="20"/>
        </w:rPr>
        <w:t xml:space="preserve">g. </w:t>
      </w:r>
      <w:r w:rsidR="007E2056">
        <w:rPr>
          <w:b/>
          <w:i/>
          <w:sz w:val="20"/>
          <w:szCs w:val="20"/>
        </w:rPr>
        <w:t xml:space="preserve">Changes </w:t>
      </w:r>
      <w:r w:rsidR="005A5999">
        <w:rPr>
          <w:b/>
          <w:i/>
          <w:sz w:val="20"/>
          <w:szCs w:val="20"/>
        </w:rPr>
        <w:t>from 2011</w:t>
      </w:r>
      <w:r w:rsidR="007E2056">
        <w:rPr>
          <w:b/>
          <w:i/>
          <w:sz w:val="20"/>
          <w:szCs w:val="20"/>
        </w:rPr>
        <w:t xml:space="preserve"> Methodology</w:t>
      </w:r>
    </w:p>
    <w:p w:rsidR="007E2056" w:rsidRDefault="007E2056" w:rsidP="004C492B">
      <w:pPr>
        <w:widowControl/>
        <w:tabs>
          <w:tab w:val="left" w:pos="0"/>
        </w:tabs>
        <w:spacing w:line="226" w:lineRule="auto"/>
        <w:rPr>
          <w:b/>
          <w:i/>
          <w:sz w:val="20"/>
          <w:szCs w:val="20"/>
        </w:rPr>
      </w:pPr>
    </w:p>
    <w:p w:rsidR="007C7079" w:rsidRDefault="007C7079" w:rsidP="007C7079">
      <w:pPr>
        <w:widowControl/>
        <w:tabs>
          <w:tab w:val="left" w:pos="0"/>
        </w:tabs>
        <w:spacing w:line="226" w:lineRule="auto"/>
        <w:rPr>
          <w:sz w:val="20"/>
          <w:szCs w:val="20"/>
        </w:rPr>
      </w:pPr>
      <w:r>
        <w:rPr>
          <w:sz w:val="20"/>
          <w:szCs w:val="20"/>
        </w:rPr>
        <w:t xml:space="preserve">The </w:t>
      </w:r>
      <w:r w:rsidR="00B245AC">
        <w:rPr>
          <w:sz w:val="20"/>
          <w:szCs w:val="20"/>
        </w:rPr>
        <w:t xml:space="preserve">main </w:t>
      </w:r>
      <w:r>
        <w:rPr>
          <w:sz w:val="20"/>
          <w:szCs w:val="20"/>
        </w:rPr>
        <w:t xml:space="preserve">change to the methodology as compared to the 2011 NEI was designation of counties that </w:t>
      </w:r>
      <w:r w:rsidR="00B245AC">
        <w:rPr>
          <w:sz w:val="20"/>
          <w:szCs w:val="20"/>
        </w:rPr>
        <w:t xml:space="preserve">do not </w:t>
      </w:r>
      <w:r>
        <w:rPr>
          <w:sz w:val="20"/>
          <w:szCs w:val="20"/>
        </w:rPr>
        <w:t xml:space="preserve">practice burning. In the previous </w:t>
      </w:r>
      <w:r w:rsidR="00B245AC">
        <w:rPr>
          <w:sz w:val="20"/>
          <w:szCs w:val="20"/>
        </w:rPr>
        <w:t>methodology</w:t>
      </w:r>
      <w:r>
        <w:rPr>
          <w:sz w:val="20"/>
          <w:szCs w:val="20"/>
        </w:rPr>
        <w:t xml:space="preserve">, the 80% urban no-burn threshold was based on </w:t>
      </w:r>
      <w:r w:rsidR="00B245AC">
        <w:rPr>
          <w:sz w:val="20"/>
          <w:szCs w:val="20"/>
        </w:rPr>
        <w:t xml:space="preserve">the ratio of urban to rural </w:t>
      </w:r>
      <w:r w:rsidR="00B245AC">
        <w:rPr>
          <w:i/>
          <w:sz w:val="20"/>
          <w:szCs w:val="20"/>
        </w:rPr>
        <w:t>population</w:t>
      </w:r>
      <w:r>
        <w:rPr>
          <w:sz w:val="20"/>
          <w:szCs w:val="20"/>
        </w:rPr>
        <w:t xml:space="preserve">. </w:t>
      </w:r>
      <w:r w:rsidR="00B245AC">
        <w:rPr>
          <w:sz w:val="20"/>
          <w:szCs w:val="20"/>
        </w:rPr>
        <w:t>In the current m</w:t>
      </w:r>
      <w:bookmarkStart w:id="0" w:name="_GoBack"/>
      <w:bookmarkEnd w:id="0"/>
      <w:r w:rsidR="00B245AC">
        <w:rPr>
          <w:sz w:val="20"/>
          <w:szCs w:val="20"/>
        </w:rPr>
        <w:t>ethodology, t</w:t>
      </w:r>
      <w:r>
        <w:rPr>
          <w:sz w:val="20"/>
          <w:szCs w:val="20"/>
        </w:rPr>
        <w:t xml:space="preserve">hese were replaced with ratios </w:t>
      </w:r>
      <w:r w:rsidR="00B245AC">
        <w:rPr>
          <w:sz w:val="20"/>
          <w:szCs w:val="20"/>
        </w:rPr>
        <w:t xml:space="preserve">calculated using </w:t>
      </w:r>
      <w:r w:rsidRPr="00B245AC">
        <w:rPr>
          <w:i/>
          <w:sz w:val="20"/>
          <w:szCs w:val="20"/>
        </w:rPr>
        <w:t>land area</w:t>
      </w:r>
      <w:r>
        <w:rPr>
          <w:sz w:val="20"/>
          <w:szCs w:val="20"/>
        </w:rPr>
        <w:t xml:space="preserve">. In both cases, this data </w:t>
      </w:r>
      <w:r w:rsidR="00B245AC">
        <w:rPr>
          <w:sz w:val="20"/>
          <w:szCs w:val="20"/>
        </w:rPr>
        <w:t xml:space="preserve">are </w:t>
      </w:r>
      <w:r>
        <w:rPr>
          <w:sz w:val="20"/>
          <w:szCs w:val="20"/>
        </w:rPr>
        <w:t xml:space="preserve">from the 2010 census. </w:t>
      </w:r>
    </w:p>
    <w:p w:rsidR="007E2056" w:rsidRDefault="007E2056" w:rsidP="004C492B">
      <w:pPr>
        <w:widowControl/>
        <w:tabs>
          <w:tab w:val="left" w:pos="0"/>
        </w:tabs>
        <w:spacing w:line="226" w:lineRule="auto"/>
        <w:rPr>
          <w:b/>
          <w:i/>
          <w:sz w:val="20"/>
          <w:szCs w:val="20"/>
        </w:rPr>
      </w:pPr>
    </w:p>
    <w:p w:rsidR="005A5999" w:rsidRPr="00641127"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0"/>
        </w:rPr>
      </w:pPr>
      <w:r w:rsidRPr="00641127">
        <w:rPr>
          <w:b/>
          <w:i/>
          <w:sz w:val="20"/>
        </w:rPr>
        <w:t>h. Puerto Rico and US Virgin Islands Emissions Calculations</w:t>
      </w:r>
    </w:p>
    <w:p w:rsidR="005A5999" w:rsidRPr="00641127"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0"/>
        </w:rPr>
      </w:pPr>
    </w:p>
    <w:p w:rsidR="005A5999"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rPr>
      </w:pPr>
      <w:r w:rsidRPr="00641127">
        <w:rPr>
          <w:sz w:val="20"/>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w:t>
      </w:r>
      <w:proofErr w:type="gramStart"/>
      <w:r w:rsidRPr="00641127">
        <w:rPr>
          <w:sz w:val="20"/>
        </w:rPr>
        <w:t>county</w:t>
      </w:r>
      <w:proofErr w:type="gramEnd"/>
      <w:r w:rsidRPr="00641127">
        <w:rPr>
          <w:sz w:val="20"/>
        </w:rPr>
        <w:t>, the tons per capita emission factor is multiplied by the county population (from the same year as the inventory’s activity data) which served as the activity data. In these cases, the throughput (activity data) unit and the emissions denominator unit are “EACH”.</w:t>
      </w:r>
    </w:p>
    <w:p w:rsidR="005A5999" w:rsidRPr="00641127" w:rsidRDefault="005A5999" w:rsidP="005A59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sz w:val="20"/>
        </w:rPr>
      </w:pPr>
    </w:p>
    <w:p w:rsidR="004C492B" w:rsidRPr="003E3AC3" w:rsidRDefault="005A5999" w:rsidP="004C492B">
      <w:pPr>
        <w:widowControl/>
        <w:tabs>
          <w:tab w:val="left" w:pos="0"/>
        </w:tabs>
        <w:spacing w:line="226" w:lineRule="auto"/>
        <w:rPr>
          <w:b/>
          <w:i/>
          <w:sz w:val="20"/>
          <w:szCs w:val="20"/>
        </w:rPr>
      </w:pPr>
      <w:proofErr w:type="spellStart"/>
      <w:r>
        <w:rPr>
          <w:b/>
          <w:i/>
          <w:sz w:val="20"/>
          <w:szCs w:val="20"/>
        </w:rPr>
        <w:t>i</w:t>
      </w:r>
      <w:proofErr w:type="spellEnd"/>
      <w:r w:rsidR="007E2056">
        <w:rPr>
          <w:b/>
          <w:i/>
          <w:sz w:val="20"/>
          <w:szCs w:val="20"/>
        </w:rPr>
        <w:t xml:space="preserve">. </w:t>
      </w:r>
      <w:r w:rsidR="004C492B" w:rsidRPr="003E3AC3">
        <w:rPr>
          <w:b/>
          <w:i/>
          <w:sz w:val="20"/>
          <w:szCs w:val="20"/>
        </w:rPr>
        <w:t>References</w:t>
      </w:r>
    </w:p>
    <w:p w:rsidR="004C492B" w:rsidRPr="003733A0"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Default="004C492B"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sidRPr="003733A0">
        <w:rPr>
          <w:sz w:val="20"/>
          <w:szCs w:val="20"/>
        </w:rPr>
        <w:t>1.</w:t>
      </w:r>
      <w:r w:rsidRPr="003733A0">
        <w:rPr>
          <w:sz w:val="20"/>
          <w:szCs w:val="20"/>
        </w:rPr>
        <w:tab/>
      </w:r>
      <w:r w:rsidR="00C76429" w:rsidRPr="00C76429">
        <w:rPr>
          <w:sz w:val="20"/>
          <w:szCs w:val="20"/>
        </w:rPr>
        <w:t xml:space="preserve">U.S. Environmental Protection Agency, </w:t>
      </w:r>
      <w:r w:rsidR="00C76429" w:rsidRPr="00C76429">
        <w:rPr>
          <w:i/>
          <w:sz w:val="20"/>
          <w:szCs w:val="20"/>
        </w:rPr>
        <w:t>Municipal Solid Waste Generation, Recycling, and Disposal in the United States: Facts and Figures</w:t>
      </w:r>
      <w:r w:rsidR="001D329D">
        <w:rPr>
          <w:i/>
          <w:sz w:val="20"/>
          <w:szCs w:val="20"/>
        </w:rPr>
        <w:t xml:space="preserve"> for 20</w:t>
      </w:r>
      <w:r w:rsidR="000975F2">
        <w:rPr>
          <w:i/>
          <w:sz w:val="20"/>
          <w:szCs w:val="20"/>
        </w:rPr>
        <w:t>1</w:t>
      </w:r>
      <w:r w:rsidR="00E02EE7">
        <w:rPr>
          <w:i/>
          <w:sz w:val="20"/>
          <w:szCs w:val="20"/>
        </w:rPr>
        <w:t>2</w:t>
      </w:r>
      <w:r w:rsidR="00C76429" w:rsidRPr="00C76429">
        <w:rPr>
          <w:sz w:val="20"/>
          <w:szCs w:val="20"/>
        </w:rPr>
        <w:t>, "</w:t>
      </w:r>
      <w:r w:rsidR="000975F2" w:rsidRPr="000975F2">
        <w:rPr>
          <w:sz w:val="20"/>
          <w:szCs w:val="20"/>
        </w:rPr>
        <w:t xml:space="preserve">Table 1. Materials Generated in the Municipal Waste Stream, 1960 to 2010," </w:t>
      </w:r>
      <w:r w:rsidR="00E02EE7">
        <w:rPr>
          <w:sz w:val="20"/>
          <w:szCs w:val="20"/>
        </w:rPr>
        <w:t>February 2014</w:t>
      </w:r>
      <w:r w:rsidR="000975F2" w:rsidRPr="000975F2">
        <w:rPr>
          <w:sz w:val="20"/>
          <w:szCs w:val="20"/>
        </w:rPr>
        <w:t>, available at</w:t>
      </w:r>
      <w:r w:rsidR="0051658A">
        <w:rPr>
          <w:sz w:val="20"/>
          <w:szCs w:val="20"/>
        </w:rPr>
        <w:t xml:space="preserve"> </w:t>
      </w:r>
      <w:r w:rsidR="00E02EE7" w:rsidRPr="00E02EE7">
        <w:rPr>
          <w:sz w:val="20"/>
          <w:szCs w:val="20"/>
        </w:rPr>
        <w:t>http://www3.epa.gov/epawaste/nonhaz/municipal/pubs/2012_msw_dat_tbls.pdf</w:t>
      </w:r>
      <w:r w:rsidR="00932BB8" w:rsidRPr="000975F2">
        <w:rPr>
          <w:sz w:val="20"/>
          <w:szCs w:val="20"/>
        </w:rPr>
        <w:t xml:space="preserve"> </w:t>
      </w:r>
      <w:r w:rsidR="00932BB8">
        <w:rPr>
          <w:sz w:val="20"/>
          <w:szCs w:val="20"/>
        </w:rPr>
        <w:t>(</w:t>
      </w:r>
      <w:r w:rsidR="000975F2" w:rsidRPr="000975F2">
        <w:rPr>
          <w:sz w:val="20"/>
          <w:szCs w:val="20"/>
        </w:rPr>
        <w:t xml:space="preserve">accessed </w:t>
      </w:r>
      <w:r w:rsidR="00E02EE7">
        <w:rPr>
          <w:sz w:val="20"/>
          <w:szCs w:val="20"/>
        </w:rPr>
        <w:t>December 2015</w:t>
      </w:r>
      <w:r w:rsidR="000975F2" w:rsidRPr="000975F2">
        <w:rPr>
          <w:sz w:val="20"/>
          <w:szCs w:val="20"/>
        </w:rPr>
        <w:t>).</w:t>
      </w:r>
    </w:p>
    <w:p w:rsidR="0051658A"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51658A"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2.</w:t>
      </w:r>
      <w:r>
        <w:rPr>
          <w:sz w:val="20"/>
          <w:szCs w:val="20"/>
        </w:rPr>
        <w:tab/>
      </w:r>
      <w:r w:rsidRPr="00C76429">
        <w:rPr>
          <w:sz w:val="20"/>
          <w:szCs w:val="20"/>
        </w:rPr>
        <w:t xml:space="preserve">U.S. Environmental Protection Agency, </w:t>
      </w:r>
      <w:r w:rsidRPr="00C76429">
        <w:rPr>
          <w:i/>
          <w:sz w:val="20"/>
          <w:szCs w:val="20"/>
        </w:rPr>
        <w:t>Municipal Solid Waste Generation, Recycling, and Disposal in the United States: Facts and Figures</w:t>
      </w:r>
      <w:r>
        <w:rPr>
          <w:i/>
          <w:sz w:val="20"/>
          <w:szCs w:val="20"/>
        </w:rPr>
        <w:t xml:space="preserve"> for 201</w:t>
      </w:r>
      <w:r w:rsidR="00E02EE7">
        <w:rPr>
          <w:i/>
          <w:sz w:val="20"/>
          <w:szCs w:val="20"/>
        </w:rPr>
        <w:t>2</w:t>
      </w:r>
      <w:r w:rsidRPr="00C76429">
        <w:rPr>
          <w:sz w:val="20"/>
          <w:szCs w:val="20"/>
        </w:rPr>
        <w:t>, "</w:t>
      </w:r>
      <w:r w:rsidRPr="000975F2">
        <w:rPr>
          <w:sz w:val="20"/>
          <w:szCs w:val="20"/>
        </w:rPr>
        <w:t xml:space="preserve">Table </w:t>
      </w:r>
      <w:r>
        <w:rPr>
          <w:sz w:val="20"/>
          <w:szCs w:val="20"/>
        </w:rPr>
        <w:t>2</w:t>
      </w:r>
      <w:r w:rsidRPr="000975F2">
        <w:rPr>
          <w:sz w:val="20"/>
          <w:szCs w:val="20"/>
        </w:rPr>
        <w:t xml:space="preserve">. </w:t>
      </w:r>
      <w:r w:rsidRPr="0051658A">
        <w:rPr>
          <w:sz w:val="20"/>
          <w:szCs w:val="20"/>
        </w:rPr>
        <w:t>Materials Recovered in the Municipal Waste Stream, 1960 to 2010</w:t>
      </w:r>
      <w:r w:rsidRPr="000975F2">
        <w:rPr>
          <w:sz w:val="20"/>
          <w:szCs w:val="20"/>
        </w:rPr>
        <w:t xml:space="preserve">," </w:t>
      </w:r>
      <w:r w:rsidR="00E02EE7">
        <w:rPr>
          <w:sz w:val="20"/>
          <w:szCs w:val="20"/>
        </w:rPr>
        <w:t>February 2014</w:t>
      </w:r>
      <w:r w:rsidRPr="000975F2">
        <w:rPr>
          <w:sz w:val="20"/>
          <w:szCs w:val="20"/>
        </w:rPr>
        <w:t xml:space="preserve">, available at </w:t>
      </w:r>
      <w:r w:rsidR="00E02EE7" w:rsidRPr="00E02EE7">
        <w:rPr>
          <w:sz w:val="20"/>
          <w:szCs w:val="20"/>
        </w:rPr>
        <w:t>http://www3.epa.gov/epawaste/nonhaz/municipal/pubs/2012_msw_dat_tbls.pdf</w:t>
      </w:r>
      <w:r w:rsidR="00932BB8" w:rsidRPr="000975F2">
        <w:rPr>
          <w:sz w:val="20"/>
          <w:szCs w:val="20"/>
        </w:rPr>
        <w:t xml:space="preserve"> </w:t>
      </w:r>
      <w:r w:rsidR="00932BB8">
        <w:rPr>
          <w:sz w:val="20"/>
          <w:szCs w:val="20"/>
        </w:rPr>
        <w:t>(</w:t>
      </w:r>
      <w:r w:rsidRPr="000975F2">
        <w:rPr>
          <w:sz w:val="20"/>
          <w:szCs w:val="20"/>
        </w:rPr>
        <w:t xml:space="preserve">accessed </w:t>
      </w:r>
      <w:r w:rsidR="00E02EE7">
        <w:rPr>
          <w:sz w:val="20"/>
          <w:szCs w:val="20"/>
        </w:rPr>
        <w:t>December 2015</w:t>
      </w:r>
      <w:r w:rsidRPr="000975F2">
        <w:rPr>
          <w:sz w:val="20"/>
          <w:szCs w:val="20"/>
        </w:rPr>
        <w:t>).</w:t>
      </w:r>
    </w:p>
    <w:p w:rsidR="0051658A" w:rsidRPr="003733A0"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3C2D4B"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roofErr w:type="gramStart"/>
      <w:r>
        <w:rPr>
          <w:sz w:val="20"/>
          <w:szCs w:val="20"/>
        </w:rPr>
        <w:t>3.</w:t>
      </w:r>
      <w:r>
        <w:rPr>
          <w:sz w:val="20"/>
          <w:szCs w:val="20"/>
        </w:rPr>
        <w:tab/>
      </w:r>
      <w:r w:rsidRPr="00C76429">
        <w:rPr>
          <w:sz w:val="20"/>
          <w:szCs w:val="20"/>
        </w:rPr>
        <w:t xml:space="preserve">U.S. Environmental Protection Agency, </w:t>
      </w:r>
      <w:r w:rsidRPr="00C76429">
        <w:rPr>
          <w:i/>
          <w:sz w:val="20"/>
          <w:szCs w:val="20"/>
        </w:rPr>
        <w:t>Municipal Solid Waste Generation, Recycling, and Disposal in the United States: Facts and Figures</w:t>
      </w:r>
      <w:r>
        <w:rPr>
          <w:i/>
          <w:sz w:val="20"/>
          <w:szCs w:val="20"/>
        </w:rPr>
        <w:t xml:space="preserve"> for 2010—Fact Sheet</w:t>
      </w:r>
      <w:r w:rsidRPr="00C76429">
        <w:rPr>
          <w:sz w:val="20"/>
          <w:szCs w:val="20"/>
        </w:rPr>
        <w:t>,"</w:t>
      </w:r>
      <w:r w:rsidRPr="000975F2">
        <w:rPr>
          <w:sz w:val="20"/>
          <w:szCs w:val="20"/>
        </w:rPr>
        <w:t xml:space="preserve"> </w:t>
      </w:r>
      <w:r>
        <w:rPr>
          <w:sz w:val="20"/>
          <w:szCs w:val="20"/>
        </w:rPr>
        <w:t>p. 4,</w:t>
      </w:r>
      <w:r w:rsidR="00E02EE7">
        <w:rPr>
          <w:sz w:val="20"/>
          <w:szCs w:val="20"/>
        </w:rPr>
        <w:t xml:space="preserve"> </w:t>
      </w:r>
      <w:r w:rsidRPr="000975F2">
        <w:rPr>
          <w:sz w:val="20"/>
          <w:szCs w:val="20"/>
        </w:rPr>
        <w:t xml:space="preserve">December 2011, available at </w:t>
      </w:r>
      <w:r w:rsidRPr="003C2D4B">
        <w:rPr>
          <w:sz w:val="20"/>
          <w:szCs w:val="20"/>
        </w:rPr>
        <w:t>http://www.epa.gov/epawaste/nonhaz/municipal/pubs/msw_2010_rev_factsheet.pdf (accessed April 2012).</w:t>
      </w:r>
      <w:proofErr w:type="gramEnd"/>
    </w:p>
    <w:p w:rsidR="003C2D4B" w:rsidRPr="003733A0"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4</w:t>
      </w:r>
      <w:r w:rsidR="004C492B" w:rsidRPr="003733A0">
        <w:rPr>
          <w:sz w:val="20"/>
          <w:szCs w:val="20"/>
        </w:rPr>
        <w:t>.</w:t>
      </w:r>
      <w:r w:rsidR="004C492B" w:rsidRPr="003733A0">
        <w:rPr>
          <w:sz w:val="20"/>
          <w:szCs w:val="20"/>
        </w:rPr>
        <w:tab/>
        <w:t xml:space="preserve">U.S. Environmental Protection Agency, Region V.  </w:t>
      </w:r>
      <w:proofErr w:type="gramStart"/>
      <w:r w:rsidR="004C492B" w:rsidRPr="003733A0">
        <w:rPr>
          <w:sz w:val="20"/>
          <w:szCs w:val="20"/>
        </w:rPr>
        <w:t>“Emission Characteristics of Burn Barrels.”</w:t>
      </w:r>
      <w:proofErr w:type="gramEnd"/>
      <w:r w:rsidR="004C492B" w:rsidRPr="003733A0">
        <w:rPr>
          <w:sz w:val="20"/>
          <w:szCs w:val="20"/>
        </w:rPr>
        <w:t xml:space="preserve">  </w:t>
      </w:r>
      <w:proofErr w:type="gramStart"/>
      <w:r w:rsidR="004C492B" w:rsidRPr="003733A0">
        <w:rPr>
          <w:sz w:val="20"/>
          <w:szCs w:val="20"/>
        </w:rPr>
        <w:t>Prepared by Two Rivers Regional Council of Public Officials and Patrick Engineering, Inc.</w:t>
      </w:r>
      <w:proofErr w:type="gramEnd"/>
      <w:r w:rsidR="004C492B" w:rsidRPr="003733A0">
        <w:rPr>
          <w:sz w:val="20"/>
          <w:szCs w:val="20"/>
        </w:rPr>
        <w:t xml:space="preserve">  June 1994.</w:t>
      </w:r>
    </w:p>
    <w:p w:rsidR="00274959" w:rsidRDefault="00274959"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274959"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lastRenderedPageBreak/>
        <w:t>5</w:t>
      </w:r>
      <w:r w:rsidR="00274959">
        <w:rPr>
          <w:sz w:val="20"/>
          <w:szCs w:val="20"/>
        </w:rPr>
        <w:t>.</w:t>
      </w:r>
      <w:r w:rsidR="00274959">
        <w:rPr>
          <w:sz w:val="20"/>
          <w:szCs w:val="20"/>
        </w:rPr>
        <w:tab/>
      </w:r>
      <w:r w:rsidR="00412576" w:rsidRPr="00412576">
        <w:rPr>
          <w:i/>
          <w:sz w:val="20"/>
          <w:szCs w:val="20"/>
        </w:rPr>
        <w:t>Garbage Burning in Rural Minnesota: Key Results and Findings</w:t>
      </w:r>
      <w:r w:rsidR="00412576">
        <w:rPr>
          <w:sz w:val="20"/>
          <w:szCs w:val="20"/>
        </w:rPr>
        <w:t xml:space="preserve">, prepared by Zenith Research Group for Minnesota Pollution Control Agency, June 2010, available at </w:t>
      </w:r>
      <w:r w:rsidR="00412576" w:rsidRPr="00412576">
        <w:rPr>
          <w:sz w:val="20"/>
          <w:szCs w:val="20"/>
        </w:rPr>
        <w:t>http://www.pca.state.mn.us/index.php/view-document.html?gid=14316</w:t>
      </w:r>
      <w:r w:rsidR="00412576">
        <w:rPr>
          <w:sz w:val="20"/>
          <w:szCs w:val="20"/>
        </w:rPr>
        <w:t xml:space="preserve"> (accessed June 10, 2011). </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6</w:t>
      </w:r>
      <w:r w:rsidR="004C492B">
        <w:rPr>
          <w:sz w:val="20"/>
          <w:szCs w:val="20"/>
        </w:rPr>
        <w:t>.</w:t>
      </w:r>
      <w:r w:rsidR="004C492B">
        <w:rPr>
          <w:sz w:val="20"/>
          <w:szCs w:val="20"/>
        </w:rPr>
        <w:tab/>
        <w:t>U</w:t>
      </w:r>
      <w:r w:rsidR="004C492B" w:rsidRPr="00E44CEA">
        <w:rPr>
          <w:sz w:val="20"/>
          <w:szCs w:val="20"/>
        </w:rPr>
        <w:t>.S. Census Bureau, Decennial Censuses, 20</w:t>
      </w:r>
      <w:r>
        <w:rPr>
          <w:sz w:val="20"/>
          <w:szCs w:val="20"/>
        </w:rPr>
        <w:t>1</w:t>
      </w:r>
      <w:r w:rsidR="004C492B" w:rsidRPr="00E44CEA">
        <w:rPr>
          <w:sz w:val="20"/>
          <w:szCs w:val="20"/>
        </w:rPr>
        <w:t xml:space="preserve">0 Census: </w:t>
      </w:r>
      <w:r w:rsidR="00842178">
        <w:rPr>
          <w:sz w:val="20"/>
          <w:szCs w:val="20"/>
        </w:rPr>
        <w:t xml:space="preserve">Summary File 1. Available at: </w:t>
      </w:r>
      <w:hyperlink r:id="rId8" w:history="1">
        <w:r w:rsidR="00842178" w:rsidRPr="002451D6">
          <w:rPr>
            <w:rStyle w:val="Hyperlink"/>
            <w:sz w:val="20"/>
            <w:szCs w:val="20"/>
          </w:rPr>
          <w:t>http://www2.census.gov/census_2010/04-Summary_File_1/</w:t>
        </w:r>
      </w:hyperlink>
      <w:r w:rsidR="00842178">
        <w:rPr>
          <w:sz w:val="20"/>
          <w:szCs w:val="20"/>
        </w:rPr>
        <w:t xml:space="preserve">. </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r>
        <w:rPr>
          <w:sz w:val="20"/>
          <w:szCs w:val="20"/>
        </w:rPr>
        <w:t>7</w:t>
      </w:r>
      <w:r w:rsidR="004C492B">
        <w:rPr>
          <w:sz w:val="20"/>
          <w:szCs w:val="20"/>
        </w:rPr>
        <w:t>.</w:t>
      </w:r>
      <w:r w:rsidR="004C492B">
        <w:rPr>
          <w:sz w:val="20"/>
          <w:szCs w:val="20"/>
        </w:rPr>
        <w:tab/>
      </w:r>
      <w:smartTag w:uri="urn:schemas-microsoft-com:office:smarttags" w:element="country-region">
        <w:smartTag w:uri="urn:schemas-microsoft-com:office:smarttags" w:element="place">
          <w:r w:rsidR="004C492B" w:rsidRPr="00E44CEA">
            <w:rPr>
              <w:sz w:val="20"/>
              <w:szCs w:val="20"/>
            </w:rPr>
            <w:t>U.S.</w:t>
          </w:r>
        </w:smartTag>
      </w:smartTag>
      <w:r w:rsidR="004C492B" w:rsidRPr="00E44CEA">
        <w:rPr>
          <w:sz w:val="20"/>
          <w:szCs w:val="20"/>
        </w:rPr>
        <w:t xml:space="preserve"> Census Bureau.  </w:t>
      </w:r>
      <w:r w:rsidR="0051658A" w:rsidRPr="0051658A">
        <w:rPr>
          <w:i/>
          <w:iCs/>
          <w:sz w:val="20"/>
          <w:szCs w:val="20"/>
        </w:rPr>
        <w:t>Annual Esti</w:t>
      </w:r>
      <w:r w:rsidR="007F374E">
        <w:rPr>
          <w:i/>
          <w:iCs/>
          <w:sz w:val="20"/>
          <w:szCs w:val="20"/>
        </w:rPr>
        <w:t>mates of the Resident Population</w:t>
      </w:r>
      <w:r w:rsidR="0051658A" w:rsidRPr="0051658A">
        <w:rPr>
          <w:i/>
          <w:iCs/>
          <w:sz w:val="20"/>
          <w:szCs w:val="20"/>
        </w:rPr>
        <w:t>: April 1, 2010 to July 1, 201</w:t>
      </w:r>
      <w:r w:rsidR="00E02EE7">
        <w:rPr>
          <w:i/>
          <w:iCs/>
          <w:sz w:val="20"/>
          <w:szCs w:val="20"/>
        </w:rPr>
        <w:t>4, 2014 Populations Estimates</w:t>
      </w:r>
      <w:r w:rsidR="0051658A" w:rsidRPr="0051658A">
        <w:rPr>
          <w:i/>
          <w:iCs/>
          <w:sz w:val="20"/>
          <w:szCs w:val="20"/>
        </w:rPr>
        <w:t xml:space="preserve">, </w:t>
      </w:r>
      <w:r w:rsidR="0051658A" w:rsidRPr="00EE6B8B">
        <w:rPr>
          <w:iCs/>
          <w:sz w:val="20"/>
          <w:szCs w:val="20"/>
        </w:rPr>
        <w:t xml:space="preserve">available at </w:t>
      </w:r>
      <w:r w:rsidR="007F374E" w:rsidRPr="007F374E">
        <w:rPr>
          <w:iCs/>
          <w:sz w:val="20"/>
          <w:szCs w:val="20"/>
        </w:rPr>
        <w:t xml:space="preserve">http://factfinder.census.gov/faces/tableservices/jsf/pages/productview.xhtml?pid=PEP_2014_PEPANNRES&amp;prodType=table </w:t>
      </w:r>
      <w:r w:rsidR="0051658A" w:rsidRPr="00EE6B8B">
        <w:rPr>
          <w:iCs/>
          <w:sz w:val="20"/>
          <w:szCs w:val="20"/>
        </w:rPr>
        <w:t xml:space="preserve">(accessed </w:t>
      </w:r>
      <w:r w:rsidR="00E02EE7">
        <w:rPr>
          <w:iCs/>
          <w:sz w:val="20"/>
          <w:szCs w:val="20"/>
        </w:rPr>
        <w:t>December 2015</w:t>
      </w:r>
      <w:r w:rsidR="0051658A" w:rsidRPr="00EE6B8B">
        <w:rPr>
          <w:iCs/>
          <w:sz w:val="20"/>
          <w:szCs w:val="20"/>
        </w:rPr>
        <w:t>).</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r>
        <w:rPr>
          <w:rStyle w:val="Hypertext"/>
          <w:sz w:val="20"/>
          <w:szCs w:val="20"/>
        </w:rPr>
        <w:t>8</w:t>
      </w:r>
      <w:r w:rsidR="004C492B">
        <w:rPr>
          <w:rStyle w:val="Hypertext"/>
          <w:sz w:val="20"/>
          <w:szCs w:val="20"/>
        </w:rPr>
        <w:t>.</w:t>
      </w:r>
      <w:r w:rsidR="004C492B">
        <w:rPr>
          <w:rStyle w:val="Hypertext"/>
          <w:sz w:val="20"/>
          <w:szCs w:val="20"/>
        </w:rPr>
        <w:tab/>
      </w:r>
      <w:r w:rsidR="004C492B" w:rsidRPr="00B365C4">
        <w:rPr>
          <w:sz w:val="20"/>
          <w:szCs w:val="20"/>
        </w:rPr>
        <w:t>Huntley, Roy, U.S. Environmental Protection Agency, “</w:t>
      </w:r>
      <w:proofErr w:type="spellStart"/>
      <w:r w:rsidR="004C492B">
        <w:rPr>
          <w:sz w:val="20"/>
          <w:szCs w:val="20"/>
        </w:rPr>
        <w:t>state_</w:t>
      </w:r>
      <w:proofErr w:type="gramStart"/>
      <w:r w:rsidR="004C492B">
        <w:rPr>
          <w:sz w:val="20"/>
          <w:szCs w:val="20"/>
        </w:rPr>
        <w:t>comparison</w:t>
      </w:r>
      <w:proofErr w:type="spellEnd"/>
      <w:r w:rsidR="004C492B">
        <w:rPr>
          <w:sz w:val="20"/>
          <w:szCs w:val="20"/>
        </w:rPr>
        <w:t xml:space="preserve"> </w:t>
      </w:r>
      <w:r w:rsidR="004C492B" w:rsidRPr="00B365C4">
        <w:rPr>
          <w:sz w:val="20"/>
          <w:szCs w:val="20"/>
        </w:rPr>
        <w:t xml:space="preserve"> </w:t>
      </w:r>
      <w:r w:rsidR="004C492B">
        <w:rPr>
          <w:sz w:val="20"/>
          <w:szCs w:val="20"/>
        </w:rPr>
        <w:t>ERTAC</w:t>
      </w:r>
      <w:proofErr w:type="gramEnd"/>
      <w:r w:rsidR="004C492B">
        <w:rPr>
          <w:sz w:val="20"/>
          <w:szCs w:val="20"/>
        </w:rPr>
        <w:t xml:space="preserve"> SS_version7_3 </w:t>
      </w:r>
      <w:smartTag w:uri="urn:schemas-microsoft-com:office:smarttags" w:element="date">
        <w:smartTagPr>
          <w:attr w:name="Year" w:val="2009"/>
          <w:attr w:name="Day" w:val="20"/>
          <w:attr w:name="Month" w:val="10"/>
        </w:smartTagPr>
        <w:r w:rsidR="004C492B">
          <w:rPr>
            <w:sz w:val="20"/>
            <w:szCs w:val="20"/>
          </w:rPr>
          <w:t>Oct 20 2009</w:t>
        </w:r>
      </w:smartTag>
      <w:r w:rsidR="004C492B">
        <w:rPr>
          <w:sz w:val="20"/>
          <w:szCs w:val="20"/>
        </w:rPr>
        <w:t xml:space="preserve"> </w:t>
      </w:r>
      <w:r w:rsidR="004C492B" w:rsidRPr="00B365C4">
        <w:rPr>
          <w:sz w:val="20"/>
          <w:szCs w:val="20"/>
        </w:rPr>
        <w:t xml:space="preserve">[electronic file],” </w:t>
      </w:r>
      <w:smartTag w:uri="urn:schemas-microsoft-com:office:smarttags" w:element="date">
        <w:smartTagPr>
          <w:attr w:name="Year" w:val="2009"/>
          <w:attr w:name="Day" w:val="5"/>
          <w:attr w:name="Month" w:val="11"/>
        </w:smartTagPr>
        <w:r w:rsidR="004C492B">
          <w:rPr>
            <w:sz w:val="20"/>
            <w:szCs w:val="20"/>
          </w:rPr>
          <w:t>November</w:t>
        </w:r>
        <w:r w:rsidR="004C492B" w:rsidRPr="00B365C4">
          <w:rPr>
            <w:sz w:val="20"/>
            <w:szCs w:val="20"/>
          </w:rPr>
          <w:t xml:space="preserve"> </w:t>
        </w:r>
        <w:r w:rsidR="004C492B">
          <w:rPr>
            <w:sz w:val="20"/>
            <w:szCs w:val="20"/>
          </w:rPr>
          <w:t>5</w:t>
        </w:r>
        <w:r w:rsidR="004C492B" w:rsidRPr="00B365C4">
          <w:rPr>
            <w:sz w:val="20"/>
            <w:szCs w:val="20"/>
          </w:rPr>
          <w:t>, 2009</w:t>
        </w:r>
      </w:smartTag>
      <w:r w:rsidR="004C492B" w:rsidRPr="00B365C4">
        <w:rPr>
          <w:sz w:val="20"/>
          <w:szCs w:val="20"/>
        </w:rPr>
        <w:t>.</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p>
    <w:p w:rsidR="004C492B" w:rsidRPr="003733A0"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rStyle w:val="Hypertext"/>
          <w:sz w:val="20"/>
          <w:szCs w:val="20"/>
        </w:rPr>
        <w:t>9</w:t>
      </w:r>
      <w:r w:rsidR="004C492B">
        <w:rPr>
          <w:rStyle w:val="Hypertext"/>
          <w:sz w:val="20"/>
          <w:szCs w:val="20"/>
        </w:rPr>
        <w:t>.</w:t>
      </w:r>
      <w:r w:rsidR="004C492B">
        <w:rPr>
          <w:rStyle w:val="Hypertext"/>
          <w:sz w:val="20"/>
          <w:szCs w:val="20"/>
        </w:rPr>
        <w:tab/>
      </w:r>
      <w:smartTag w:uri="urn:schemas-microsoft-com:office:smarttags" w:element="country-region">
        <w:smartTag w:uri="urn:schemas-microsoft-com:office:smarttags" w:element="place">
          <w:r w:rsidR="004C492B" w:rsidRPr="003733A0">
            <w:rPr>
              <w:sz w:val="20"/>
              <w:szCs w:val="20"/>
            </w:rPr>
            <w:t>United States</w:t>
          </w:r>
        </w:smartTag>
      </w:smartTag>
      <w:r w:rsidR="004C492B" w:rsidRPr="003733A0">
        <w:rPr>
          <w:sz w:val="20"/>
          <w:szCs w:val="20"/>
        </w:rPr>
        <w:t xml:space="preserve"> Environmental Protection Agency, Office of Air Quality Planning and Standards.  </w:t>
      </w:r>
      <w:r w:rsidR="004C492B" w:rsidRPr="003733A0">
        <w:rPr>
          <w:i/>
          <w:iCs/>
          <w:sz w:val="20"/>
          <w:szCs w:val="20"/>
        </w:rPr>
        <w:t>Compilation of Air Pollutant Emission Factors, AP-42, Fifth Edition, Volume I:  Stationary Point and Area Sources, Section 2.5 Open Burning</w:t>
      </w:r>
      <w:r w:rsidR="004C492B" w:rsidRPr="003733A0">
        <w:rPr>
          <w:sz w:val="20"/>
          <w:szCs w:val="20"/>
        </w:rPr>
        <w:t xml:space="preserve">.  </w:t>
      </w:r>
      <w:smartTag w:uri="urn:schemas-microsoft-com:office:smarttags" w:element="place">
        <w:smartTag w:uri="urn:schemas-microsoft-com:office:smarttags" w:element="City">
          <w:r w:rsidR="004C492B" w:rsidRPr="003733A0">
            <w:rPr>
              <w:sz w:val="20"/>
              <w:szCs w:val="20"/>
            </w:rPr>
            <w:t>Research Triangle Park</w:t>
          </w:r>
        </w:smartTag>
        <w:r w:rsidR="004C492B" w:rsidRPr="003733A0">
          <w:rPr>
            <w:sz w:val="20"/>
            <w:szCs w:val="20"/>
          </w:rPr>
          <w:t xml:space="preserve">, </w:t>
        </w:r>
        <w:smartTag w:uri="urn:schemas-microsoft-com:office:smarttags" w:element="State">
          <w:r w:rsidR="004C492B" w:rsidRPr="003733A0">
            <w:rPr>
              <w:sz w:val="20"/>
              <w:szCs w:val="20"/>
            </w:rPr>
            <w:t>NC</w:t>
          </w:r>
        </w:smartTag>
      </w:smartTag>
      <w:r w:rsidR="004C492B" w:rsidRPr="003733A0">
        <w:rPr>
          <w:sz w:val="20"/>
          <w:szCs w:val="20"/>
        </w:rPr>
        <w:t>.  October 1992.</w:t>
      </w:r>
    </w:p>
    <w:p w:rsidR="004C492B" w:rsidRPr="003733A0"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Default="005B68F5"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10</w:t>
      </w:r>
      <w:r w:rsidR="004C492B">
        <w:rPr>
          <w:sz w:val="20"/>
          <w:szCs w:val="20"/>
        </w:rPr>
        <w:t>.</w:t>
      </w:r>
      <w:r w:rsidR="004C492B">
        <w:rPr>
          <w:sz w:val="20"/>
          <w:szCs w:val="20"/>
        </w:rPr>
        <w:tab/>
      </w:r>
      <w:bookmarkStart w:id="1" w:name="OLE_LINK1"/>
      <w:smartTag w:uri="urn:schemas-microsoft-com:office:smarttags" w:element="country-region">
        <w:smartTag w:uri="urn:schemas-microsoft-com:office:smarttags" w:element="place">
          <w:r w:rsidR="004C492B" w:rsidRPr="003733A0">
            <w:rPr>
              <w:sz w:val="20"/>
              <w:szCs w:val="20"/>
            </w:rPr>
            <w:t>U.S.</w:t>
          </w:r>
        </w:smartTag>
      </w:smartTag>
      <w:r w:rsidR="004C492B" w:rsidRPr="003733A0">
        <w:rPr>
          <w:sz w:val="20"/>
          <w:szCs w:val="20"/>
        </w:rPr>
        <w:t xml:space="preserve"> Environmental Protection Agency, </w:t>
      </w:r>
      <w:smartTag w:uri="urn:schemas-microsoft-com:office:smarttags" w:element="place">
        <w:smartTag w:uri="urn:schemas-microsoft-com:office:smarttags" w:element="PlaceName">
          <w:r w:rsidR="004C492B" w:rsidRPr="003733A0">
            <w:rPr>
              <w:sz w:val="20"/>
              <w:szCs w:val="20"/>
            </w:rPr>
            <w:t>Control</w:t>
          </w:r>
        </w:smartTag>
        <w:r w:rsidR="004C492B" w:rsidRPr="003733A0">
          <w:rPr>
            <w:sz w:val="20"/>
            <w:szCs w:val="20"/>
          </w:rPr>
          <w:t xml:space="preserve"> </w:t>
        </w:r>
        <w:smartTag w:uri="urn:schemas-microsoft-com:office:smarttags" w:element="PlaceName">
          <w:r w:rsidR="004C492B" w:rsidRPr="003733A0">
            <w:rPr>
              <w:sz w:val="20"/>
              <w:szCs w:val="20"/>
            </w:rPr>
            <w:t>Technology</w:t>
          </w:r>
        </w:smartTag>
        <w:r w:rsidR="004C492B" w:rsidRPr="003733A0">
          <w:rPr>
            <w:sz w:val="20"/>
            <w:szCs w:val="20"/>
          </w:rPr>
          <w:t xml:space="preserve"> </w:t>
        </w:r>
        <w:smartTag w:uri="urn:schemas-microsoft-com:office:smarttags" w:element="PlaceType">
          <w:r w:rsidR="004C492B" w:rsidRPr="003733A0">
            <w:rPr>
              <w:sz w:val="20"/>
              <w:szCs w:val="20"/>
            </w:rPr>
            <w:t>Center</w:t>
          </w:r>
        </w:smartTag>
      </w:smartTag>
      <w:r w:rsidR="004C492B" w:rsidRPr="003733A0">
        <w:rPr>
          <w:sz w:val="20"/>
          <w:szCs w:val="20"/>
        </w:rPr>
        <w:t xml:space="preserve">.  </w:t>
      </w:r>
      <w:proofErr w:type="gramStart"/>
      <w:r w:rsidR="004C492B" w:rsidRPr="003733A0">
        <w:rPr>
          <w:sz w:val="20"/>
          <w:szCs w:val="20"/>
        </w:rPr>
        <w:t>“Evaluation of Emissions from the Open Burning of Household Waste in Barrels.”</w:t>
      </w:r>
      <w:proofErr w:type="gramEnd"/>
      <w:r w:rsidR="004C492B" w:rsidRPr="003733A0">
        <w:rPr>
          <w:sz w:val="20"/>
          <w:szCs w:val="20"/>
        </w:rPr>
        <w:t xml:space="preserve"> </w:t>
      </w:r>
      <w:proofErr w:type="gramStart"/>
      <w:r w:rsidR="004C492B" w:rsidRPr="003733A0">
        <w:rPr>
          <w:sz w:val="20"/>
          <w:szCs w:val="20"/>
        </w:rPr>
        <w:t>EPA</w:t>
      </w:r>
      <w:r w:rsidR="004C492B" w:rsidRPr="003733A0">
        <w:rPr>
          <w:sz w:val="20"/>
          <w:szCs w:val="20"/>
        </w:rPr>
        <w:noBreakHyphen/>
        <w:t>600/R</w:t>
      </w:r>
      <w:r w:rsidR="004C492B" w:rsidRPr="003733A0">
        <w:rPr>
          <w:sz w:val="20"/>
          <w:szCs w:val="20"/>
        </w:rPr>
        <w:noBreakHyphen/>
        <w:t>97</w:t>
      </w:r>
      <w:r w:rsidR="004C492B" w:rsidRPr="003733A0">
        <w:rPr>
          <w:sz w:val="20"/>
          <w:szCs w:val="20"/>
        </w:rPr>
        <w:noBreakHyphen/>
        <w:t>134a.</w:t>
      </w:r>
      <w:proofErr w:type="gramEnd"/>
      <w:r w:rsidR="004C492B" w:rsidRPr="003733A0">
        <w:rPr>
          <w:sz w:val="20"/>
          <w:szCs w:val="20"/>
        </w:rPr>
        <w:t xml:space="preserve">  November 1997.</w:t>
      </w:r>
      <w:bookmarkEnd w:id="1"/>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Pr="003733A0" w:rsidRDefault="0051658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1</w:t>
      </w:r>
      <w:r w:rsidR="005B68F5">
        <w:rPr>
          <w:sz w:val="20"/>
          <w:szCs w:val="20"/>
        </w:rPr>
        <w:t>1</w:t>
      </w:r>
      <w:r w:rsidR="004C492B">
        <w:rPr>
          <w:sz w:val="20"/>
          <w:szCs w:val="20"/>
        </w:rPr>
        <w:t>.</w:t>
      </w:r>
      <w:r w:rsidR="004C492B">
        <w:rPr>
          <w:sz w:val="20"/>
          <w:szCs w:val="20"/>
        </w:rPr>
        <w:tab/>
      </w:r>
      <w:smartTag w:uri="urn:schemas-microsoft-com:office:smarttags" w:element="country-region">
        <w:smartTag w:uri="urn:schemas-microsoft-com:office:smarttags" w:element="place">
          <w:r w:rsidR="004C492B" w:rsidRPr="003733A0">
            <w:rPr>
              <w:sz w:val="20"/>
              <w:szCs w:val="20"/>
            </w:rPr>
            <w:t>United States</w:t>
          </w:r>
        </w:smartTag>
      </w:smartTag>
      <w:r w:rsidR="004C492B" w:rsidRPr="003733A0">
        <w:rPr>
          <w:sz w:val="20"/>
          <w:szCs w:val="20"/>
        </w:rPr>
        <w:t xml:space="preserve"> Environmental Protection Agency, Office of Research and Development.  </w:t>
      </w:r>
      <w:r w:rsidR="004C492B" w:rsidRPr="003733A0">
        <w:rPr>
          <w:i/>
          <w:iCs/>
          <w:sz w:val="20"/>
          <w:szCs w:val="20"/>
        </w:rPr>
        <w:t>Exposure and Human Health Reassessment of 2</w:t>
      </w:r>
      <w:proofErr w:type="gramStart"/>
      <w:r w:rsidR="004C492B" w:rsidRPr="003733A0">
        <w:rPr>
          <w:i/>
          <w:iCs/>
          <w:sz w:val="20"/>
          <w:szCs w:val="20"/>
        </w:rPr>
        <w:t>,3,7,8</w:t>
      </w:r>
      <w:proofErr w:type="gramEnd"/>
      <w:r w:rsidR="004C492B" w:rsidRPr="003733A0">
        <w:rPr>
          <w:i/>
          <w:iCs/>
          <w:sz w:val="20"/>
          <w:szCs w:val="20"/>
        </w:rPr>
        <w:t xml:space="preserve">-Tetrachlorodibenzeno-p-Dioxin (TCCD) and Related Compounds.  Part I:  Estimating Exposure to Dioxin-Like Compounds.  Volume 2:  Sources of Dioxin-Like Compounds in the </w:t>
      </w:r>
      <w:smartTag w:uri="urn:schemas-microsoft-com:office:smarttags" w:element="country-region">
        <w:smartTag w:uri="urn:schemas-microsoft-com:office:smarttags" w:element="place">
          <w:r w:rsidR="004C492B" w:rsidRPr="003733A0">
            <w:rPr>
              <w:i/>
              <w:iCs/>
              <w:sz w:val="20"/>
              <w:szCs w:val="20"/>
            </w:rPr>
            <w:t>United States</w:t>
          </w:r>
        </w:smartTag>
      </w:smartTag>
      <w:r w:rsidR="004C492B" w:rsidRPr="003733A0">
        <w:rPr>
          <w:sz w:val="20"/>
          <w:szCs w:val="20"/>
        </w:rPr>
        <w:t xml:space="preserve">.  </w:t>
      </w:r>
      <w:proofErr w:type="gramStart"/>
      <w:r w:rsidR="004C492B" w:rsidRPr="003733A0">
        <w:rPr>
          <w:sz w:val="20"/>
          <w:szCs w:val="20"/>
        </w:rPr>
        <w:t>EPA/600/P-00/001Ab.</w:t>
      </w:r>
      <w:proofErr w:type="gramEnd"/>
      <w:r w:rsidR="004C492B" w:rsidRPr="003733A0">
        <w:rPr>
          <w:sz w:val="20"/>
          <w:szCs w:val="20"/>
        </w:rPr>
        <w:t xml:space="preserve">  </w:t>
      </w:r>
      <w:smartTag w:uri="urn:schemas-microsoft-com:office:smarttags" w:element="place">
        <w:smartTag w:uri="urn:schemas-microsoft-com:office:smarttags" w:element="City">
          <w:r w:rsidR="004C492B" w:rsidRPr="003733A0">
            <w:rPr>
              <w:sz w:val="20"/>
              <w:szCs w:val="20"/>
            </w:rPr>
            <w:t>Washington</w:t>
          </w:r>
        </w:smartTag>
        <w:r w:rsidR="004C492B" w:rsidRPr="003733A0">
          <w:rPr>
            <w:sz w:val="20"/>
            <w:szCs w:val="20"/>
          </w:rPr>
          <w:t xml:space="preserve"> </w:t>
        </w:r>
        <w:smartTag w:uri="urn:schemas-microsoft-com:office:smarttags" w:element="State">
          <w:r w:rsidR="004C492B" w:rsidRPr="003733A0">
            <w:rPr>
              <w:sz w:val="20"/>
              <w:szCs w:val="20"/>
            </w:rPr>
            <w:t>D.C.</w:t>
          </w:r>
        </w:smartTag>
      </w:smartTag>
      <w:r w:rsidR="004C492B" w:rsidRPr="003733A0">
        <w:rPr>
          <w:sz w:val="20"/>
          <w:szCs w:val="20"/>
        </w:rPr>
        <w:t xml:space="preserve">  March 2001.</w:t>
      </w:r>
    </w:p>
    <w:p w:rsidR="004C492B" w:rsidRPr="003733A0"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sectPr w:rsidR="004C492B" w:rsidRPr="003733A0" w:rsidSect="003733A0">
          <w:pgSz w:w="12240" w:h="15840"/>
          <w:pgMar w:top="1440" w:right="1440" w:bottom="1440" w:left="1440" w:header="1440" w:footer="432" w:gutter="0"/>
          <w:cols w:space="720"/>
          <w:noEndnote/>
        </w:sectPr>
      </w:pPr>
    </w:p>
    <w:p w:rsidR="00940D14" w:rsidRPr="003733A0" w:rsidRDefault="00940D14" w:rsidP="003733A0">
      <w:pPr>
        <w:widowControl/>
        <w:tabs>
          <w:tab w:val="center" w:pos="4680"/>
          <w:tab w:val="left" w:pos="5040"/>
          <w:tab w:val="left" w:pos="5760"/>
          <w:tab w:val="left" w:pos="6480"/>
          <w:tab w:val="left" w:pos="7200"/>
          <w:tab w:val="left" w:pos="7920"/>
          <w:tab w:val="left" w:pos="8640"/>
        </w:tabs>
        <w:spacing w:line="226" w:lineRule="auto"/>
        <w:jc w:val="center"/>
        <w:rPr>
          <w:sz w:val="20"/>
          <w:szCs w:val="20"/>
        </w:rPr>
      </w:pPr>
      <w:proofErr w:type="gramStart"/>
      <w:r w:rsidRPr="003733A0">
        <w:rPr>
          <w:b/>
          <w:bCs/>
          <w:sz w:val="20"/>
          <w:szCs w:val="20"/>
        </w:rPr>
        <w:lastRenderedPageBreak/>
        <w:t>Table 1.</w:t>
      </w:r>
      <w:proofErr w:type="gramEnd"/>
      <w:r w:rsidRPr="003733A0">
        <w:rPr>
          <w:b/>
          <w:bCs/>
          <w:sz w:val="20"/>
          <w:szCs w:val="20"/>
        </w:rPr>
        <w:t xml:space="preserve">  </w:t>
      </w:r>
      <w:r w:rsidR="00C44044">
        <w:rPr>
          <w:b/>
          <w:bCs/>
          <w:sz w:val="20"/>
          <w:szCs w:val="20"/>
        </w:rPr>
        <w:t xml:space="preserve">Emission Factors for Open Burning of Residential </w:t>
      </w:r>
      <w:smartTag w:uri="urn:schemas-microsoft-com:office:smarttags" w:element="stockticker">
        <w:r w:rsidR="00C44044">
          <w:rPr>
            <w:b/>
            <w:bCs/>
            <w:sz w:val="20"/>
            <w:szCs w:val="20"/>
          </w:rPr>
          <w:t>MSW</w:t>
        </w:r>
      </w:smartTag>
      <w:r w:rsidR="00C44044">
        <w:rPr>
          <w:b/>
          <w:bCs/>
          <w:sz w:val="20"/>
          <w:szCs w:val="20"/>
        </w:rPr>
        <w:t xml:space="preserve"> (2610030000)</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tbl>
      <w:tblPr>
        <w:tblW w:w="8080" w:type="dxa"/>
        <w:jc w:val="center"/>
        <w:tblLayout w:type="fixed"/>
        <w:tblCellMar>
          <w:left w:w="30" w:type="dxa"/>
          <w:right w:w="30" w:type="dxa"/>
        </w:tblCellMar>
        <w:tblLook w:val="0000" w:firstRow="0" w:lastRow="0" w:firstColumn="0" w:lastColumn="0" w:noHBand="0" w:noVBand="0"/>
      </w:tblPr>
      <w:tblGrid>
        <w:gridCol w:w="3211"/>
        <w:gridCol w:w="2109"/>
        <w:gridCol w:w="1380"/>
        <w:gridCol w:w="1380"/>
      </w:tblGrid>
      <w:tr w:rsidR="00A14843" w:rsidRPr="00E3144F" w:rsidTr="007D1110">
        <w:trPr>
          <w:jc w:val="center"/>
        </w:trPr>
        <w:tc>
          <w:tcPr>
            <w:tcW w:w="3211" w:type="dxa"/>
            <w:tcBorders>
              <w:top w:val="single" w:sz="8" w:space="0" w:color="000000"/>
              <w:left w:val="single" w:sz="8" w:space="0" w:color="000000"/>
              <w:bottom w:val="single" w:sz="8" w:space="0" w:color="000000"/>
              <w:right w:val="single" w:sz="6" w:space="0" w:color="FFFFFF"/>
            </w:tcBorders>
            <w:shd w:val="clear" w:color="auto" w:fill="D9D9D9"/>
            <w:vAlign w:val="center"/>
          </w:tcPr>
          <w:p w:rsidR="00A14843" w:rsidRPr="00E3144F" w:rsidRDefault="00A14843" w:rsidP="00940D14">
            <w:pPr>
              <w:spacing w:line="57" w:lineRule="exact"/>
              <w:rPr>
                <w:sz w:val="18"/>
                <w:szCs w:val="18"/>
              </w:rPr>
            </w:pPr>
          </w:p>
          <w:p w:rsidR="00A14843" w:rsidRPr="00E3144F" w:rsidRDefault="00A14843" w:rsidP="00C4404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Pollutant</w:t>
            </w:r>
          </w:p>
        </w:tc>
        <w:tc>
          <w:tcPr>
            <w:tcW w:w="2109" w:type="dxa"/>
            <w:tcBorders>
              <w:top w:val="single" w:sz="8" w:space="0" w:color="000000"/>
              <w:left w:val="single" w:sz="6" w:space="0" w:color="000000"/>
              <w:bottom w:val="single" w:sz="8" w:space="0" w:color="000000"/>
              <w:right w:val="single" w:sz="6" w:space="0" w:color="FFFFFF"/>
            </w:tcBorders>
            <w:shd w:val="clear" w:color="auto" w:fill="D9D9D9"/>
            <w:vAlign w:val="center"/>
          </w:tcPr>
          <w:p w:rsidR="00A14843" w:rsidRPr="00E3144F" w:rsidRDefault="00A14843"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Pollutant Code</w:t>
            </w:r>
          </w:p>
        </w:tc>
        <w:tc>
          <w:tcPr>
            <w:tcW w:w="1380" w:type="dxa"/>
            <w:tcBorders>
              <w:top w:val="single" w:sz="8" w:space="0" w:color="000000"/>
              <w:left w:val="single" w:sz="6" w:space="0" w:color="000000"/>
              <w:bottom w:val="single" w:sz="8" w:space="0" w:color="000000"/>
              <w:right w:val="single" w:sz="6" w:space="0" w:color="000000"/>
            </w:tcBorders>
            <w:shd w:val="clear" w:color="auto" w:fill="D9D9D9"/>
            <w:vAlign w:val="center"/>
          </w:tcPr>
          <w:p w:rsidR="00A14843" w:rsidRPr="00E3144F" w:rsidRDefault="00A14843" w:rsidP="00E3144F">
            <w:pPr>
              <w:spacing w:line="57" w:lineRule="exact"/>
              <w:rPr>
                <w:b/>
                <w:bCs/>
                <w:sz w:val="18"/>
                <w:szCs w:val="18"/>
              </w:rPr>
            </w:pP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18"/>
                <w:szCs w:val="18"/>
              </w:rPr>
            </w:pPr>
            <w:r w:rsidRPr="00E3144F">
              <w:rPr>
                <w:b/>
                <w:bCs/>
                <w:sz w:val="18"/>
                <w:szCs w:val="18"/>
              </w:rPr>
              <w:t>Emission Factor</w:t>
            </w: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 xml:space="preserve"> (</w:t>
            </w:r>
            <w:proofErr w:type="spellStart"/>
            <w:r w:rsidRPr="00E3144F">
              <w:rPr>
                <w:b/>
                <w:bCs/>
                <w:sz w:val="18"/>
                <w:szCs w:val="18"/>
              </w:rPr>
              <w:t>lb</w:t>
            </w:r>
            <w:proofErr w:type="spellEnd"/>
            <w:r w:rsidRPr="00E3144F">
              <w:rPr>
                <w:b/>
                <w:bCs/>
                <w:sz w:val="18"/>
                <w:szCs w:val="18"/>
              </w:rPr>
              <w:t>/ton)</w:t>
            </w:r>
          </w:p>
        </w:tc>
        <w:tc>
          <w:tcPr>
            <w:tcW w:w="1380" w:type="dxa"/>
            <w:tcBorders>
              <w:top w:val="single" w:sz="8" w:space="0" w:color="000000"/>
              <w:left w:val="single" w:sz="6" w:space="0" w:color="000000"/>
              <w:bottom w:val="single" w:sz="8" w:space="0" w:color="000000"/>
              <w:right w:val="single" w:sz="8" w:space="0" w:color="000000"/>
            </w:tcBorders>
            <w:shd w:val="clear" w:color="auto" w:fill="D9D9D9"/>
            <w:vAlign w:val="center"/>
          </w:tcPr>
          <w:p w:rsidR="00A14843" w:rsidRPr="00E3144F" w:rsidRDefault="00A14843" w:rsidP="00E3144F">
            <w:pPr>
              <w:spacing w:line="57" w:lineRule="exact"/>
              <w:rPr>
                <w:b/>
                <w:bCs/>
                <w:sz w:val="18"/>
                <w:szCs w:val="18"/>
              </w:rPr>
            </w:pP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18"/>
                <w:szCs w:val="18"/>
              </w:rPr>
            </w:pPr>
            <w:r w:rsidRPr="00E3144F">
              <w:rPr>
                <w:b/>
                <w:bCs/>
                <w:sz w:val="18"/>
                <w:szCs w:val="18"/>
              </w:rPr>
              <w:t xml:space="preserve">Emission Factor </w:t>
            </w: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Reference</w:t>
            </w:r>
          </w:p>
        </w:tc>
      </w:tr>
      <w:tr w:rsidR="00E3144F" w:rsidRPr="00E3144F" w:rsidTr="007D1110">
        <w:trPr>
          <w:jc w:val="center"/>
        </w:trPr>
        <w:tc>
          <w:tcPr>
            <w:tcW w:w="3211" w:type="dxa"/>
            <w:tcBorders>
              <w:top w:val="single" w:sz="8"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CO</w:t>
            </w:r>
          </w:p>
        </w:tc>
        <w:tc>
          <w:tcPr>
            <w:tcW w:w="2109" w:type="dxa"/>
            <w:tcBorders>
              <w:top w:val="single" w:sz="8"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CO</w:t>
            </w:r>
          </w:p>
        </w:tc>
        <w:tc>
          <w:tcPr>
            <w:tcW w:w="1380" w:type="dxa"/>
            <w:tcBorders>
              <w:top w:val="single" w:sz="8"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8.50E+01</w:t>
            </w:r>
          </w:p>
        </w:tc>
        <w:tc>
          <w:tcPr>
            <w:tcW w:w="1380" w:type="dxa"/>
            <w:tcBorders>
              <w:top w:val="single" w:sz="8" w:space="0" w:color="000000"/>
              <w:left w:val="single" w:sz="6" w:space="0" w:color="000000"/>
              <w:bottom w:val="single" w:sz="6" w:space="0" w:color="FFFFFF"/>
              <w:right w:val="single" w:sz="7" w:space="0" w:color="000000"/>
            </w:tcBorders>
            <w:vAlign w:val="center"/>
          </w:tcPr>
          <w:p w:rsidR="00E3144F" w:rsidRPr="00E3144F" w:rsidRDefault="00E3144F"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sidR="00BE1077">
              <w:rPr>
                <w:sz w:val="18"/>
                <w:szCs w:val="18"/>
              </w:rPr>
              <w:t>9</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smartTag w:uri="urn:schemas-microsoft-com:office:smarttags" w:element="stockticker">
              <w:r w:rsidRPr="00E3144F">
                <w:rPr>
                  <w:sz w:val="18"/>
                  <w:szCs w:val="18"/>
                </w:rPr>
                <w:t>NOX</w:t>
              </w:r>
            </w:smartTag>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smartTag w:uri="urn:schemas-microsoft-com:office:smarttags" w:element="stockticker">
              <w:r w:rsidRPr="00E3144F">
                <w:rPr>
                  <w:sz w:val="18"/>
                  <w:szCs w:val="18"/>
                </w:rPr>
                <w:t>NOX</w:t>
              </w:r>
            </w:smartTag>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6.00E+00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9</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PM10-FIL</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PM10-FIL</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PM10-PRI</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PM10-</w:t>
            </w:r>
            <w:r>
              <w:rPr>
                <w:sz w:val="18"/>
                <w:szCs w:val="18"/>
              </w:rPr>
              <w:t>PRI</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PM25-FIL</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PM25-FIL</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3.48E+01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PM25-PRI</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PM25-</w:t>
            </w:r>
            <w:r>
              <w:rPr>
                <w:sz w:val="18"/>
                <w:szCs w:val="18"/>
              </w:rPr>
              <w:t>PRI</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3.48E+01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SO2</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SO2</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1.00E+00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9</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VOC</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VOC</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8.56E+00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1,2,3,4,6,7,8-heptachlorodibenzofuran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67562394</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2.48E-07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E3144F"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sidR="00BE1077">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1,2,3,4,6,7,8-heptachlorodibenzo-p-dioxin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35822469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7.96E-08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1,2,3,4,7,8,9-heptachlorodibenzofuran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55673897</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3.00E-08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70648269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2.28E-07</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39227286</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1.28E-08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1,2,3,6,7,8-hexachlorodibenzofuran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57117449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7.70E-08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1,2,3,6,7,8-hexachlorodibenzo-p-dioxin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57653857</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1.94E-08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1,2,3,7,8,9-hexachlorodibenzofuran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72918219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5.00E-09</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1,2,3,7,8,9-hexachlorodibenzo-p-dioxin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19408743</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1,2,3,7,8-pentachlorodibenzofuran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57117416</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7.44E-08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1,2,3,7,8-pentachlorodibenzo-p-dioxin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40321764</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1.62E-08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1,2,4-trichlorobenzene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120821</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C43FD0"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1.95E-04</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10</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1,4-dichlorobenzene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106467</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C43FD0"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6.65E-05</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10</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2,3,4,6,7,8-hexachlorodibenzofuran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60851345</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1.24E-07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2,3,4,7,8-pentachlorodibenzofuran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57117314</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1.30E-07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2,3,7,8-tetrachlorodibenzofuran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51207319</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9.12E-08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2,3,7,8-tetrachlorodibenzo-p-dioxin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1746016</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5.40E-09</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BE1077" w:rsidRPr="00E3144F" w:rsidTr="003C68FE">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Acenaphthene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83329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1.54E-03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Acenaphthylene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208968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2.26E-02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Pr>
                <w:sz w:val="18"/>
                <w:szCs w:val="18"/>
              </w:rPr>
              <w:t>Acetalaldehyde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Default="00BE1077">
            <w:pPr>
              <w:rPr>
                <w:sz w:val="18"/>
                <w:szCs w:val="18"/>
              </w:rPr>
            </w:pPr>
            <w:r>
              <w:rPr>
                <w:sz w:val="18"/>
                <w:szCs w:val="18"/>
              </w:rPr>
              <w:t>75070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C43F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8.57E-01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Pr>
                <w:sz w:val="18"/>
                <w:szCs w:val="18"/>
              </w:rPr>
              <w:t>Acrolein</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Pr>
                <w:sz w:val="18"/>
                <w:szCs w:val="18"/>
              </w:rPr>
              <w:t>107028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6.19E-02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120127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3.66E-03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Benz[a]anthracene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56553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4.48E-03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71432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2.48E+00</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Benzo[a]pyrene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50328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4.24E-03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Benzo[b]</w:t>
            </w:r>
            <w:proofErr w:type="spellStart"/>
            <w:r w:rsidRPr="00E3144F">
              <w:rPr>
                <w:sz w:val="18"/>
                <w:szCs w:val="18"/>
              </w:rPr>
              <w:t>fluoranthene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205992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5.26E-03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w:t>
            </w:r>
            <w:proofErr w:type="spellStart"/>
            <w:r w:rsidRPr="00E3144F">
              <w:rPr>
                <w:sz w:val="18"/>
                <w:szCs w:val="18"/>
              </w:rPr>
              <w:t>g,h,i</w:t>
            </w:r>
            <w:proofErr w:type="spellEnd"/>
            <w:r w:rsidRPr="00E3144F">
              <w:rPr>
                <w:sz w:val="18"/>
                <w:szCs w:val="18"/>
              </w:rPr>
              <w:t>,]</w:t>
            </w:r>
            <w:proofErr w:type="spellStart"/>
            <w:r w:rsidRPr="00E3144F">
              <w:rPr>
                <w:sz w:val="18"/>
                <w:szCs w:val="18"/>
              </w:rPr>
              <w:t>Perylene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191242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3.95E-03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Benzo[k]</w:t>
            </w:r>
            <w:proofErr w:type="spellStart"/>
            <w:r w:rsidRPr="00E3144F">
              <w:rPr>
                <w:sz w:val="18"/>
                <w:szCs w:val="18"/>
              </w:rPr>
              <w:t>fluoranthene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207089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2.05E-03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108907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8.48E-04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Chrysene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218019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5.07E-03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Dibenzo</w:t>
            </w:r>
            <w:proofErr w:type="spellEnd"/>
            <w:r w:rsidRPr="00E3144F">
              <w:rPr>
                <w:sz w:val="18"/>
                <w:szCs w:val="18"/>
              </w:rPr>
              <w:t>[</w:t>
            </w:r>
            <w:proofErr w:type="spellStart"/>
            <w:r w:rsidRPr="00E3144F">
              <w:rPr>
                <w:sz w:val="18"/>
                <w:szCs w:val="18"/>
              </w:rPr>
              <w:t>a,h</w:t>
            </w:r>
            <w:proofErr w:type="spellEnd"/>
            <w:r w:rsidRPr="00E3144F">
              <w:rPr>
                <w:sz w:val="18"/>
                <w:szCs w:val="18"/>
              </w:rPr>
              <w:t>]anthracene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53703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6.46E-04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Fluoranthene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206440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8.14E-03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Fluorene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86737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7.31E-03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Hexachlorobenzene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118741</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4.40E-05</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Hydrochloric Acid</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7647010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5.68E-01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Hydrogen Cyanide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74908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9.36E-01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Indeno</w:t>
            </w:r>
            <w:proofErr w:type="spellEnd"/>
            <w:r w:rsidRPr="00E3144F">
              <w:rPr>
                <w:sz w:val="18"/>
                <w:szCs w:val="18"/>
              </w:rPr>
              <w:t>[1,2,3-c,d]pyrene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193395</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3.75E-03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Naphthalene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91203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3.51E-02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Octachlorodibenzofuran</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39001020</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7.28E-08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Octachlorodibenzo</w:t>
            </w:r>
            <w:proofErr w:type="spellEnd"/>
            <w:r w:rsidRPr="00E3144F">
              <w:rPr>
                <w:sz w:val="18"/>
                <w:szCs w:val="18"/>
              </w:rPr>
              <w:t>-p-dioxin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3268879</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9.94E-08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Pentachlorophenol</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87865</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1.06E-04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proofErr w:type="spellStart"/>
            <w:r w:rsidRPr="00E3144F">
              <w:rPr>
                <w:sz w:val="18"/>
                <w:szCs w:val="18"/>
              </w:rPr>
              <w:t>Phenanthrene</w:t>
            </w:r>
            <w:proofErr w:type="spellEnd"/>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85018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1.46E-02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Phenol</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108952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2.80E-01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Polychlorinated Biphenyls</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1336363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5.72E-03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129000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9.66E-03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rPr>
          <w:trHeight w:val="65"/>
          <w:jc w:val="center"/>
        </w:trPr>
        <w:tc>
          <w:tcPr>
            <w:tcW w:w="3211" w:type="dxa"/>
            <w:tcBorders>
              <w:top w:val="single" w:sz="6" w:space="0" w:color="000000"/>
              <w:left w:val="single" w:sz="7" w:space="0" w:color="000000"/>
              <w:bottom w:val="single" w:sz="7" w:space="0" w:color="000000"/>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Styrene</w:t>
            </w:r>
          </w:p>
        </w:tc>
        <w:tc>
          <w:tcPr>
            <w:tcW w:w="2109" w:type="dxa"/>
            <w:tcBorders>
              <w:top w:val="single" w:sz="6" w:space="0" w:color="000000"/>
              <w:left w:val="single" w:sz="6" w:space="0" w:color="000000"/>
              <w:bottom w:val="single" w:sz="7" w:space="0" w:color="000000"/>
              <w:right w:val="single" w:sz="6" w:space="0" w:color="FFFFFF"/>
            </w:tcBorders>
            <w:vAlign w:val="bottom"/>
          </w:tcPr>
          <w:p w:rsidR="00BE1077" w:rsidRPr="00E3144F" w:rsidRDefault="00BE1077">
            <w:pPr>
              <w:rPr>
                <w:sz w:val="18"/>
                <w:szCs w:val="18"/>
              </w:rPr>
            </w:pPr>
            <w:r w:rsidRPr="00E3144F">
              <w:rPr>
                <w:sz w:val="18"/>
                <w:szCs w:val="18"/>
              </w:rPr>
              <w:t>100425</w:t>
            </w:r>
          </w:p>
        </w:tc>
        <w:tc>
          <w:tcPr>
            <w:tcW w:w="1380" w:type="dxa"/>
            <w:tcBorders>
              <w:top w:val="single" w:sz="6" w:space="0" w:color="000000"/>
              <w:left w:val="single" w:sz="6" w:space="0" w:color="000000"/>
              <w:bottom w:val="single" w:sz="7" w:space="0" w:color="000000"/>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1.48E+00</w:t>
            </w:r>
          </w:p>
        </w:tc>
        <w:tc>
          <w:tcPr>
            <w:tcW w:w="1380" w:type="dxa"/>
            <w:tcBorders>
              <w:top w:val="single" w:sz="6" w:space="0" w:color="000000"/>
              <w:left w:val="single" w:sz="6" w:space="0" w:color="000000"/>
              <w:bottom w:val="single" w:sz="7" w:space="0" w:color="000000"/>
              <w:right w:val="single" w:sz="7" w:space="0" w:color="000000"/>
            </w:tcBorders>
          </w:tcPr>
          <w:p w:rsidR="00BE1077" w:rsidRDefault="00BE1077">
            <w:r w:rsidRPr="00114E04">
              <w:rPr>
                <w:sz w:val="18"/>
                <w:szCs w:val="18"/>
              </w:rPr>
              <w:t>Reference 10</w:t>
            </w:r>
          </w:p>
        </w:tc>
      </w:tr>
    </w:tbl>
    <w:p w:rsidR="00FD614A" w:rsidRDefault="00FD614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sectPr w:rsidR="00FD614A" w:rsidSect="00412576">
      <w:pgSz w:w="12240" w:h="15840"/>
      <w:pgMar w:top="1296" w:right="1800" w:bottom="129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8FE" w:rsidRDefault="003C68FE">
      <w:r>
        <w:separator/>
      </w:r>
    </w:p>
  </w:endnote>
  <w:endnote w:type="continuationSeparator" w:id="0">
    <w:p w:rsidR="003C68FE" w:rsidRDefault="003C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8FE" w:rsidRDefault="003C68FE">
      <w:r>
        <w:separator/>
      </w:r>
    </w:p>
  </w:footnote>
  <w:footnote w:type="continuationSeparator" w:id="0">
    <w:p w:rsidR="003C68FE" w:rsidRDefault="003C6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053"/>
    <w:rsid w:val="000117EE"/>
    <w:rsid w:val="000975F2"/>
    <w:rsid w:val="001D329D"/>
    <w:rsid w:val="0022366E"/>
    <w:rsid w:val="00225A63"/>
    <w:rsid w:val="00274959"/>
    <w:rsid w:val="002D1F5A"/>
    <w:rsid w:val="00341C3F"/>
    <w:rsid w:val="003733A0"/>
    <w:rsid w:val="003C2D4B"/>
    <w:rsid w:val="003C68FE"/>
    <w:rsid w:val="00412191"/>
    <w:rsid w:val="00412576"/>
    <w:rsid w:val="004C492B"/>
    <w:rsid w:val="004E655B"/>
    <w:rsid w:val="0050125A"/>
    <w:rsid w:val="0051658A"/>
    <w:rsid w:val="005A5999"/>
    <w:rsid w:val="005B68F5"/>
    <w:rsid w:val="006C2053"/>
    <w:rsid w:val="006F62CF"/>
    <w:rsid w:val="00722DFD"/>
    <w:rsid w:val="007445A6"/>
    <w:rsid w:val="007471E6"/>
    <w:rsid w:val="007B5CA0"/>
    <w:rsid w:val="007C7079"/>
    <w:rsid w:val="007D1110"/>
    <w:rsid w:val="007E2056"/>
    <w:rsid w:val="007F374E"/>
    <w:rsid w:val="00842178"/>
    <w:rsid w:val="00872EAF"/>
    <w:rsid w:val="008D3EB3"/>
    <w:rsid w:val="00932BB8"/>
    <w:rsid w:val="00940D14"/>
    <w:rsid w:val="009C64EF"/>
    <w:rsid w:val="00A14843"/>
    <w:rsid w:val="00A238E5"/>
    <w:rsid w:val="00A679B0"/>
    <w:rsid w:val="00AE63B5"/>
    <w:rsid w:val="00B1690C"/>
    <w:rsid w:val="00B245AC"/>
    <w:rsid w:val="00B90AE1"/>
    <w:rsid w:val="00BE1077"/>
    <w:rsid w:val="00C22579"/>
    <w:rsid w:val="00C43FD0"/>
    <w:rsid w:val="00C44044"/>
    <w:rsid w:val="00C76429"/>
    <w:rsid w:val="00CD518D"/>
    <w:rsid w:val="00DD1565"/>
    <w:rsid w:val="00DE20C8"/>
    <w:rsid w:val="00DF4399"/>
    <w:rsid w:val="00E02EE7"/>
    <w:rsid w:val="00E3144F"/>
    <w:rsid w:val="00EE6B8B"/>
    <w:rsid w:val="00FC3529"/>
    <w:rsid w:val="00FD614A"/>
    <w:rsid w:val="00FE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D1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940D14"/>
  </w:style>
  <w:style w:type="character" w:styleId="Hyperlink">
    <w:name w:val="Hyperlink"/>
    <w:basedOn w:val="DefaultParagraphFont"/>
    <w:rsid w:val="00FD614A"/>
    <w:rPr>
      <w:color w:val="0000FF"/>
      <w:u w:val="single"/>
    </w:rPr>
  </w:style>
  <w:style w:type="paragraph" w:styleId="FootnoteText">
    <w:name w:val="footnote text"/>
    <w:basedOn w:val="Normal"/>
    <w:link w:val="FootnoteTextChar"/>
    <w:uiPriority w:val="99"/>
    <w:semiHidden/>
    <w:unhideWhenUsed/>
    <w:rsid w:val="003C2D4B"/>
    <w:rPr>
      <w:sz w:val="20"/>
      <w:szCs w:val="20"/>
    </w:rPr>
  </w:style>
  <w:style w:type="character" w:customStyle="1" w:styleId="FootnoteTextChar">
    <w:name w:val="Footnote Text Char"/>
    <w:basedOn w:val="DefaultParagraphFont"/>
    <w:link w:val="FootnoteText"/>
    <w:uiPriority w:val="99"/>
    <w:semiHidden/>
    <w:rsid w:val="003C2D4B"/>
  </w:style>
  <w:style w:type="character" w:styleId="FootnoteReference">
    <w:name w:val="footnote reference"/>
    <w:basedOn w:val="DefaultParagraphFont"/>
    <w:uiPriority w:val="99"/>
    <w:semiHidden/>
    <w:unhideWhenUsed/>
    <w:rsid w:val="003C2D4B"/>
    <w:rPr>
      <w:vertAlign w:val="superscript"/>
    </w:rPr>
  </w:style>
  <w:style w:type="paragraph" w:styleId="EndnoteText">
    <w:name w:val="endnote text"/>
    <w:basedOn w:val="Normal"/>
    <w:link w:val="EndnoteTextChar"/>
    <w:uiPriority w:val="99"/>
    <w:semiHidden/>
    <w:unhideWhenUsed/>
    <w:rsid w:val="003C2D4B"/>
    <w:rPr>
      <w:sz w:val="20"/>
      <w:szCs w:val="20"/>
    </w:rPr>
  </w:style>
  <w:style w:type="character" w:customStyle="1" w:styleId="EndnoteTextChar">
    <w:name w:val="Endnote Text Char"/>
    <w:basedOn w:val="DefaultParagraphFont"/>
    <w:link w:val="EndnoteText"/>
    <w:uiPriority w:val="99"/>
    <w:semiHidden/>
    <w:rsid w:val="003C2D4B"/>
  </w:style>
  <w:style w:type="character" w:styleId="EndnoteReference">
    <w:name w:val="endnote reference"/>
    <w:basedOn w:val="DefaultParagraphFont"/>
    <w:uiPriority w:val="99"/>
    <w:semiHidden/>
    <w:unhideWhenUsed/>
    <w:rsid w:val="003C2D4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D1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text">
    <w:name w:val="Hypertext"/>
    <w:rsid w:val="00940D14"/>
  </w:style>
  <w:style w:type="character" w:styleId="Hyperlink">
    <w:name w:val="Hyperlink"/>
    <w:basedOn w:val="DefaultParagraphFont"/>
    <w:rsid w:val="00FD614A"/>
    <w:rPr>
      <w:color w:val="0000FF"/>
      <w:u w:val="single"/>
    </w:rPr>
  </w:style>
  <w:style w:type="paragraph" w:styleId="FootnoteText">
    <w:name w:val="footnote text"/>
    <w:basedOn w:val="Normal"/>
    <w:link w:val="FootnoteTextChar"/>
    <w:uiPriority w:val="99"/>
    <w:semiHidden/>
    <w:unhideWhenUsed/>
    <w:rsid w:val="003C2D4B"/>
    <w:rPr>
      <w:sz w:val="20"/>
      <w:szCs w:val="20"/>
    </w:rPr>
  </w:style>
  <w:style w:type="character" w:customStyle="1" w:styleId="FootnoteTextChar">
    <w:name w:val="Footnote Text Char"/>
    <w:basedOn w:val="DefaultParagraphFont"/>
    <w:link w:val="FootnoteText"/>
    <w:uiPriority w:val="99"/>
    <w:semiHidden/>
    <w:rsid w:val="003C2D4B"/>
  </w:style>
  <w:style w:type="character" w:styleId="FootnoteReference">
    <w:name w:val="footnote reference"/>
    <w:basedOn w:val="DefaultParagraphFont"/>
    <w:uiPriority w:val="99"/>
    <w:semiHidden/>
    <w:unhideWhenUsed/>
    <w:rsid w:val="003C2D4B"/>
    <w:rPr>
      <w:vertAlign w:val="superscript"/>
    </w:rPr>
  </w:style>
  <w:style w:type="paragraph" w:styleId="EndnoteText">
    <w:name w:val="endnote text"/>
    <w:basedOn w:val="Normal"/>
    <w:link w:val="EndnoteTextChar"/>
    <w:uiPriority w:val="99"/>
    <w:semiHidden/>
    <w:unhideWhenUsed/>
    <w:rsid w:val="003C2D4B"/>
    <w:rPr>
      <w:sz w:val="20"/>
      <w:szCs w:val="20"/>
    </w:rPr>
  </w:style>
  <w:style w:type="character" w:customStyle="1" w:styleId="EndnoteTextChar">
    <w:name w:val="Endnote Text Char"/>
    <w:basedOn w:val="DefaultParagraphFont"/>
    <w:link w:val="EndnoteText"/>
    <w:uiPriority w:val="99"/>
    <w:semiHidden/>
    <w:rsid w:val="003C2D4B"/>
  </w:style>
  <w:style w:type="character" w:styleId="EndnoteReference">
    <w:name w:val="endnote reference"/>
    <w:basedOn w:val="DefaultParagraphFont"/>
    <w:uiPriority w:val="99"/>
    <w:semiHidden/>
    <w:unhideWhenUsed/>
    <w:rsid w:val="003C2D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57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census.gov/census_2010/04-Summary_File_1/" TargetMode="Externa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Props1.xml><?xml version="1.0" encoding="utf-8"?>
<ds:datastoreItem xmlns:ds="http://schemas.openxmlformats.org/officeDocument/2006/customXml" ds:itemID="{FF29B022-5E51-4996-AA9A-CD8DA64ED3F2}"/>
</file>

<file path=customXml/itemProps2.xml><?xml version="1.0" encoding="utf-8"?>
<ds:datastoreItem xmlns:ds="http://schemas.openxmlformats.org/officeDocument/2006/customXml" ds:itemID="{C9D41EE3-3ABD-4F45-9F58-CAC7E286BA93}"/>
</file>

<file path=customXml/itemProps3.xml><?xml version="1.0" encoding="utf-8"?>
<ds:datastoreItem xmlns:ds="http://schemas.openxmlformats.org/officeDocument/2006/customXml" ds:itemID="{A245BCA5-5048-444B-88D3-9E811EB51393}"/>
</file>

<file path=customXml/itemProps4.xml><?xml version="1.0" encoding="utf-8"?>
<ds:datastoreItem xmlns:ds="http://schemas.openxmlformats.org/officeDocument/2006/customXml" ds:itemID="{1AD406C2-2450-409C-8928-0CAC64681C56}"/>
</file>

<file path=docProps/app.xml><?xml version="1.0" encoding="utf-8"?>
<Properties xmlns="http://schemas.openxmlformats.org/officeDocument/2006/extended-properties" xmlns:vt="http://schemas.openxmlformats.org/officeDocument/2006/docPropsVTypes">
  <Template>Normal.dotm</Template>
  <TotalTime>55</TotalTime>
  <Pages>4</Pages>
  <Words>1545</Words>
  <Characters>9919</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OPEN BURNING - RESIDENTIAL HOUSEHOLD WASTE</vt:lpstr>
    </vt:vector>
  </TitlesOfParts>
  <Company>Abt Associates Inc.</Company>
  <LinksUpToDate>false</LinksUpToDate>
  <CharactersWithSpaces>11442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RESIDENTIAL HOUSEHOLD WASTE</dc:title>
  <dc:creator>Jonathan Graves Dorn</dc:creator>
  <cp:lastModifiedBy>Jonathan Dorn</cp:lastModifiedBy>
  <cp:revision>12</cp:revision>
  <dcterms:created xsi:type="dcterms:W3CDTF">2015-12-04T19:54:00Z</dcterms:created>
  <dcterms:modified xsi:type="dcterms:W3CDTF">2015-12-16T18:40:00Z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