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1A2F" w:rsidRPr="002A1A2F" w:rsidRDefault="002A1A2F" w:rsidP="00F65502">
      <w:pPr>
        <w:widowControl/>
        <w:tabs>
          <w:tab w:val="left" w:pos="0"/>
        </w:tabs>
        <w:spacing w:line="226" w:lineRule="auto"/>
        <w:rPr>
          <w:sz w:val="20"/>
          <w:szCs w:val="20"/>
          <w:u w:val="single"/>
        </w:rPr>
      </w:pPr>
      <w:r w:rsidRPr="002A1A2F">
        <w:rPr>
          <w:sz w:val="20"/>
          <w:szCs w:val="20"/>
          <w:u w:val="single"/>
        </w:rPr>
        <w:t>Source Category Description</w:t>
      </w:r>
    </w:p>
    <w:p w:rsidR="002A1A2F" w:rsidRDefault="002A1A2F" w:rsidP="00F65502">
      <w:pPr>
        <w:widowControl/>
        <w:tabs>
          <w:tab w:val="left" w:pos="0"/>
        </w:tabs>
        <w:spacing w:line="226" w:lineRule="auto"/>
        <w:rPr>
          <w:sz w:val="20"/>
          <w:szCs w:val="20"/>
        </w:rPr>
      </w:pPr>
    </w:p>
    <w:p w:rsidR="00A81732" w:rsidRDefault="00A81732" w:rsidP="00F65502">
      <w:pPr>
        <w:widowControl/>
        <w:tabs>
          <w:tab w:val="left" w:pos="0"/>
        </w:tabs>
        <w:spacing w:line="226" w:lineRule="auto"/>
        <w:rPr>
          <w:sz w:val="20"/>
          <w:szCs w:val="20"/>
        </w:rPr>
      </w:pPr>
      <w:r>
        <w:rPr>
          <w:sz w:val="20"/>
          <w:szCs w:val="20"/>
        </w:rPr>
        <w:t xml:space="preserve">Publicly Owned Treatment Works (POTW) means a treatment works </w:t>
      </w:r>
      <w:r w:rsidR="002A1A2F" w:rsidRPr="002A1A2F">
        <w:rPr>
          <w:sz w:val="20"/>
          <w:szCs w:val="20"/>
        </w:rPr>
        <w:t>that is owned by a state, municipality, city, town, special sewer district, or other publicly owned and financed entity as opposed to a privately (indus</w:t>
      </w:r>
      <w:r w:rsidR="002A1A2F">
        <w:rPr>
          <w:sz w:val="20"/>
          <w:szCs w:val="20"/>
        </w:rPr>
        <w:t xml:space="preserve">trial) owned treatment facility. </w:t>
      </w:r>
      <w:r w:rsidR="00F65502">
        <w:rPr>
          <w:sz w:val="20"/>
          <w:szCs w:val="20"/>
        </w:rPr>
        <w:t xml:space="preserve">The definition includes intercepting sewers, outfall sewers, sewage collection systems, pumping, power, and other equipment.  The wastewater treated by these POTWs is generated by industrial, commercial, and domestic </w:t>
      </w:r>
      <w:r w:rsidR="003A2029">
        <w:rPr>
          <w:sz w:val="20"/>
          <w:szCs w:val="20"/>
        </w:rPr>
        <w:t>sources.</w:t>
      </w:r>
      <w:r w:rsidR="003A2029">
        <w:rPr>
          <w:sz w:val="20"/>
          <w:szCs w:val="20"/>
          <w:vertAlign w:val="superscript"/>
        </w:rPr>
        <w:t>1</w:t>
      </w:r>
      <w:r w:rsidR="003A2029">
        <w:rPr>
          <w:sz w:val="20"/>
          <w:szCs w:val="20"/>
        </w:rPr>
        <w:t xml:space="preserve"> </w:t>
      </w:r>
    </w:p>
    <w:p w:rsidR="00A81732" w:rsidRDefault="00A81732" w:rsidP="00F65502">
      <w:pPr>
        <w:widowControl/>
        <w:tabs>
          <w:tab w:val="left" w:pos="0"/>
        </w:tabs>
        <w:spacing w:line="226" w:lineRule="auto"/>
        <w:rPr>
          <w:sz w:val="20"/>
          <w:szCs w:val="20"/>
        </w:rPr>
      </w:pPr>
    </w:p>
    <w:p w:rsidR="009B4D01" w:rsidRDefault="00A81732" w:rsidP="00F65502">
      <w:pPr>
        <w:widowControl/>
        <w:tabs>
          <w:tab w:val="left" w:pos="0"/>
        </w:tabs>
        <w:spacing w:line="226" w:lineRule="auto"/>
        <w:rPr>
          <w:sz w:val="20"/>
          <w:szCs w:val="20"/>
        </w:rPr>
      </w:pPr>
      <w:r>
        <w:rPr>
          <w:sz w:val="20"/>
          <w:szCs w:val="20"/>
        </w:rPr>
        <w:t xml:space="preserve">The general approach to calculating </w:t>
      </w:r>
      <w:r w:rsidR="00740641">
        <w:rPr>
          <w:sz w:val="20"/>
          <w:szCs w:val="20"/>
        </w:rPr>
        <w:t xml:space="preserve">2014 </w:t>
      </w:r>
      <w:r>
        <w:rPr>
          <w:sz w:val="20"/>
          <w:szCs w:val="20"/>
        </w:rPr>
        <w:t xml:space="preserve">emissions for POTWs is to </w:t>
      </w:r>
      <w:r w:rsidR="00740641">
        <w:rPr>
          <w:sz w:val="20"/>
          <w:szCs w:val="20"/>
        </w:rPr>
        <w:t>mul</w:t>
      </w:r>
      <w:r w:rsidR="000C55FC">
        <w:rPr>
          <w:sz w:val="20"/>
          <w:szCs w:val="20"/>
        </w:rPr>
        <w:t>tiply the 2012</w:t>
      </w:r>
      <w:r w:rsidR="00740641">
        <w:rPr>
          <w:sz w:val="20"/>
          <w:szCs w:val="20"/>
        </w:rPr>
        <w:t xml:space="preserve"> </w:t>
      </w:r>
      <w:r w:rsidR="009B4D01">
        <w:rPr>
          <w:sz w:val="20"/>
          <w:szCs w:val="20"/>
        </w:rPr>
        <w:t xml:space="preserve">flow rate by the </w:t>
      </w:r>
      <w:r w:rsidR="00862F3A">
        <w:rPr>
          <w:sz w:val="20"/>
          <w:szCs w:val="20"/>
        </w:rPr>
        <w:t>emission</w:t>
      </w:r>
      <w:r w:rsidR="009B4D01">
        <w:rPr>
          <w:sz w:val="20"/>
          <w:szCs w:val="20"/>
        </w:rPr>
        <w:t xml:space="preserve"> factors</w:t>
      </w:r>
      <w:r w:rsidR="00862F3A" w:rsidRPr="00862F3A">
        <w:rPr>
          <w:sz w:val="20"/>
          <w:szCs w:val="20"/>
        </w:rPr>
        <w:t xml:space="preserve"> </w:t>
      </w:r>
      <w:r w:rsidR="00862F3A">
        <w:rPr>
          <w:sz w:val="20"/>
          <w:szCs w:val="20"/>
        </w:rPr>
        <w:t>for VOCs, ammonia, and 53 HAPs</w:t>
      </w:r>
      <w:r w:rsidR="009B4D01">
        <w:rPr>
          <w:sz w:val="20"/>
          <w:szCs w:val="20"/>
        </w:rPr>
        <w:t xml:space="preserve">. </w:t>
      </w:r>
      <w:r w:rsidR="00862F3A">
        <w:rPr>
          <w:sz w:val="20"/>
          <w:szCs w:val="20"/>
        </w:rPr>
        <w:t xml:space="preserve">The emissions are </w:t>
      </w:r>
      <w:r w:rsidR="009B4D01">
        <w:rPr>
          <w:sz w:val="20"/>
          <w:szCs w:val="20"/>
        </w:rPr>
        <w:t>allocate</w:t>
      </w:r>
      <w:r w:rsidR="00862F3A">
        <w:rPr>
          <w:sz w:val="20"/>
          <w:szCs w:val="20"/>
        </w:rPr>
        <w:t>d</w:t>
      </w:r>
      <w:r w:rsidR="009B4D01">
        <w:rPr>
          <w:sz w:val="20"/>
          <w:szCs w:val="20"/>
        </w:rPr>
        <w:t xml:space="preserve"> to the county level using methods described below. </w:t>
      </w:r>
    </w:p>
    <w:p w:rsidR="00862F3A" w:rsidRDefault="00862F3A" w:rsidP="00F65502">
      <w:pPr>
        <w:widowControl/>
        <w:tabs>
          <w:tab w:val="left" w:pos="0"/>
        </w:tabs>
        <w:spacing w:line="226" w:lineRule="auto"/>
        <w:rPr>
          <w:sz w:val="20"/>
          <w:szCs w:val="20"/>
        </w:rPr>
      </w:pPr>
    </w:p>
    <w:p w:rsidR="00A81732" w:rsidRPr="009B4D01" w:rsidRDefault="009B4D01" w:rsidP="00F65502">
      <w:pPr>
        <w:widowControl/>
        <w:tabs>
          <w:tab w:val="left" w:pos="0"/>
        </w:tabs>
        <w:spacing w:line="226" w:lineRule="auto"/>
        <w:rPr>
          <w:sz w:val="20"/>
          <w:szCs w:val="20"/>
          <w:u w:val="single"/>
        </w:rPr>
      </w:pPr>
      <w:r w:rsidRPr="009B4D01">
        <w:rPr>
          <w:sz w:val="20"/>
          <w:szCs w:val="20"/>
          <w:u w:val="single"/>
        </w:rPr>
        <w:t>Activity Data</w:t>
      </w:r>
      <w:r w:rsidR="00A81732" w:rsidRPr="009B4D01">
        <w:rPr>
          <w:sz w:val="20"/>
          <w:szCs w:val="20"/>
          <w:u w:val="single"/>
        </w:rPr>
        <w:t xml:space="preserve"> </w:t>
      </w:r>
    </w:p>
    <w:p w:rsidR="00862F3A" w:rsidRDefault="00862F3A" w:rsidP="00862F3A">
      <w:pPr>
        <w:widowControl/>
        <w:tabs>
          <w:tab w:val="left" w:pos="0"/>
        </w:tabs>
        <w:spacing w:line="226" w:lineRule="auto"/>
        <w:rPr>
          <w:sz w:val="20"/>
          <w:szCs w:val="20"/>
        </w:rPr>
      </w:pPr>
    </w:p>
    <w:p w:rsidR="00A52C21" w:rsidRPr="00A52C21" w:rsidRDefault="00862F3A" w:rsidP="00862F3A">
      <w:pPr>
        <w:widowControl/>
        <w:tabs>
          <w:tab w:val="left" w:pos="0"/>
        </w:tabs>
        <w:spacing w:line="226" w:lineRule="auto"/>
        <w:rPr>
          <w:sz w:val="20"/>
          <w:szCs w:val="20"/>
          <w:vertAlign w:val="superscript"/>
        </w:rPr>
      </w:pPr>
      <w:r>
        <w:rPr>
          <w:sz w:val="20"/>
          <w:szCs w:val="20"/>
        </w:rPr>
        <w:t>The EPA Clean W</w:t>
      </w:r>
      <w:r w:rsidR="00DF4355">
        <w:rPr>
          <w:sz w:val="20"/>
          <w:szCs w:val="20"/>
        </w:rPr>
        <w:t>atersheds Needs</w:t>
      </w:r>
      <w:r>
        <w:rPr>
          <w:sz w:val="20"/>
          <w:szCs w:val="20"/>
        </w:rPr>
        <w:t xml:space="preserve"> Survey report</w:t>
      </w:r>
      <w:r w:rsidR="00736F18">
        <w:rPr>
          <w:sz w:val="20"/>
          <w:szCs w:val="20"/>
        </w:rPr>
        <w:t>s the existing flow rate in 2012 for POTWs as 28,296</w:t>
      </w:r>
      <w:r w:rsidR="00A52C21">
        <w:rPr>
          <w:sz w:val="20"/>
          <w:szCs w:val="20"/>
        </w:rPr>
        <w:t xml:space="preserve"> million gallons per day</w:t>
      </w:r>
      <w:r>
        <w:rPr>
          <w:sz w:val="20"/>
          <w:szCs w:val="20"/>
        </w:rPr>
        <w:t xml:space="preserve"> </w:t>
      </w:r>
      <w:r w:rsidR="00A52C21">
        <w:rPr>
          <w:sz w:val="20"/>
          <w:szCs w:val="20"/>
        </w:rPr>
        <w:t>(</w:t>
      </w:r>
      <w:r>
        <w:rPr>
          <w:sz w:val="20"/>
          <w:szCs w:val="20"/>
        </w:rPr>
        <w:t>MMGD</w:t>
      </w:r>
      <w:r w:rsidR="00A52C21">
        <w:rPr>
          <w:sz w:val="20"/>
          <w:szCs w:val="20"/>
        </w:rPr>
        <w:t>)</w:t>
      </w:r>
      <w:r w:rsidR="00A060AF">
        <w:rPr>
          <w:sz w:val="20"/>
          <w:szCs w:val="20"/>
        </w:rPr>
        <w:t>.</w:t>
      </w:r>
      <w:r w:rsidR="00736F18">
        <w:rPr>
          <w:sz w:val="20"/>
          <w:szCs w:val="20"/>
          <w:vertAlign w:val="superscript"/>
        </w:rPr>
        <w:t>2</w:t>
      </w:r>
      <w:r>
        <w:rPr>
          <w:sz w:val="20"/>
          <w:szCs w:val="20"/>
        </w:rPr>
        <w:t xml:space="preserve"> </w:t>
      </w:r>
      <w:proofErr w:type="gramStart"/>
      <w:r>
        <w:rPr>
          <w:sz w:val="20"/>
          <w:szCs w:val="20"/>
        </w:rPr>
        <w:t>The</w:t>
      </w:r>
      <w:proofErr w:type="gramEnd"/>
      <w:r>
        <w:rPr>
          <w:sz w:val="20"/>
          <w:szCs w:val="20"/>
        </w:rPr>
        <w:t xml:space="preserve"> nationwide flow rate includes Puerto Rico and the U.S. Virgin Islands.</w:t>
      </w:r>
      <w:r w:rsidR="00CD7787">
        <w:rPr>
          <w:sz w:val="20"/>
          <w:szCs w:val="20"/>
        </w:rPr>
        <w:t xml:space="preserve"> Flow rates were allocated to each county by the county proportion of the U.S. population.</w:t>
      </w:r>
      <w:r w:rsidR="0054104A">
        <w:rPr>
          <w:sz w:val="20"/>
          <w:szCs w:val="20"/>
          <w:vertAlign w:val="superscript"/>
        </w:rPr>
        <w:t>3</w:t>
      </w:r>
    </w:p>
    <w:p w:rsidR="00A81732" w:rsidRDefault="00A81732" w:rsidP="00F65502">
      <w:pPr>
        <w:widowControl/>
        <w:tabs>
          <w:tab w:val="left" w:pos="0"/>
        </w:tabs>
        <w:spacing w:line="226" w:lineRule="auto"/>
        <w:rPr>
          <w:sz w:val="20"/>
          <w:szCs w:val="20"/>
        </w:rPr>
      </w:pPr>
    </w:p>
    <w:p w:rsidR="00A52C21" w:rsidRPr="00A52C21" w:rsidRDefault="00A52C21" w:rsidP="00F65502">
      <w:pPr>
        <w:widowControl/>
        <w:tabs>
          <w:tab w:val="left" w:pos="0"/>
        </w:tabs>
        <w:spacing w:line="226" w:lineRule="auto"/>
        <w:rPr>
          <w:sz w:val="20"/>
          <w:szCs w:val="20"/>
        </w:rPr>
      </w:pPr>
      <w:r>
        <w:rPr>
          <w:sz w:val="20"/>
          <w:szCs w:val="20"/>
        </w:rPr>
        <w:t xml:space="preserve">It should be noted that the derivation of the </w:t>
      </w:r>
      <w:r w:rsidR="00DF4355">
        <w:rPr>
          <w:sz w:val="20"/>
          <w:szCs w:val="20"/>
        </w:rPr>
        <w:t>nationwide flow rate for the 2014 nonpoint POTW emissions inventory</w:t>
      </w:r>
      <w:r>
        <w:rPr>
          <w:sz w:val="20"/>
          <w:szCs w:val="20"/>
        </w:rPr>
        <w:t xml:space="preserve"> differs from the derivation of the nationwide flow rate used to estimate year 2011 nonpoint POTW emissions.  The methodology for the 2011 nonpoint POTW emissions inventory used a projected 2010 nationwide flow rate of 39,780 MMGD that was available from an EPA </w:t>
      </w:r>
      <w:proofErr w:type="gramStart"/>
      <w:r>
        <w:rPr>
          <w:sz w:val="20"/>
          <w:szCs w:val="20"/>
        </w:rPr>
        <w:t>report.</w:t>
      </w:r>
      <w:r w:rsidRPr="00A52C21">
        <w:rPr>
          <w:sz w:val="20"/>
          <w:szCs w:val="20"/>
          <w:vertAlign w:val="superscript"/>
        </w:rPr>
        <w:t>4</w:t>
      </w:r>
      <w:r>
        <w:rPr>
          <w:sz w:val="20"/>
          <w:szCs w:val="20"/>
        </w:rPr>
        <w:t xml:space="preserve">  </w:t>
      </w:r>
      <w:r w:rsidR="00DF4355">
        <w:rPr>
          <w:sz w:val="20"/>
          <w:szCs w:val="20"/>
        </w:rPr>
        <w:t>The</w:t>
      </w:r>
      <w:proofErr w:type="gramEnd"/>
      <w:r w:rsidR="00DF4355">
        <w:rPr>
          <w:sz w:val="20"/>
          <w:szCs w:val="20"/>
        </w:rPr>
        <w:t xml:space="preserve"> projection was based on Needs Surveys from 1984 to 1996.  The 2012 nationwide flow rate used for the 2014 inventory is not a projection, but a value directly reported by the 2012 Needs Survey.</w:t>
      </w:r>
    </w:p>
    <w:p w:rsidR="00A52C21" w:rsidRDefault="00A52C21" w:rsidP="00F65502">
      <w:pPr>
        <w:widowControl/>
        <w:tabs>
          <w:tab w:val="left" w:pos="0"/>
        </w:tabs>
        <w:spacing w:line="226" w:lineRule="auto"/>
        <w:rPr>
          <w:sz w:val="20"/>
          <w:szCs w:val="20"/>
        </w:rPr>
      </w:pPr>
    </w:p>
    <w:p w:rsidR="009B4D01" w:rsidRPr="009B4D01" w:rsidRDefault="00862F3A" w:rsidP="00F65502">
      <w:pPr>
        <w:widowControl/>
        <w:tabs>
          <w:tab w:val="left" w:pos="0"/>
        </w:tabs>
        <w:spacing w:line="226" w:lineRule="auto"/>
        <w:rPr>
          <w:sz w:val="20"/>
          <w:szCs w:val="20"/>
          <w:u w:val="single"/>
        </w:rPr>
      </w:pPr>
      <w:r>
        <w:rPr>
          <w:sz w:val="20"/>
          <w:szCs w:val="20"/>
          <w:u w:val="single"/>
        </w:rPr>
        <w:t>Emission</w:t>
      </w:r>
      <w:r w:rsidR="009B4D01" w:rsidRPr="009B4D01">
        <w:rPr>
          <w:sz w:val="20"/>
          <w:szCs w:val="20"/>
          <w:u w:val="single"/>
        </w:rPr>
        <w:t xml:space="preserve"> Factors</w:t>
      </w:r>
    </w:p>
    <w:p w:rsidR="009B4D01" w:rsidRDefault="009B4D01" w:rsidP="00F65502">
      <w:pPr>
        <w:widowControl/>
        <w:tabs>
          <w:tab w:val="left" w:pos="0"/>
        </w:tabs>
        <w:spacing w:line="226" w:lineRule="auto"/>
        <w:rPr>
          <w:sz w:val="20"/>
          <w:szCs w:val="20"/>
        </w:rPr>
      </w:pPr>
    </w:p>
    <w:p w:rsidR="00862F3A" w:rsidRDefault="00F65502" w:rsidP="00F65502">
      <w:pPr>
        <w:widowControl/>
        <w:tabs>
          <w:tab w:val="left" w:pos="0"/>
        </w:tabs>
        <w:spacing w:line="226" w:lineRule="auto"/>
        <w:rPr>
          <w:sz w:val="20"/>
          <w:szCs w:val="20"/>
        </w:rPr>
      </w:pPr>
      <w:r>
        <w:rPr>
          <w:sz w:val="20"/>
          <w:szCs w:val="20"/>
        </w:rPr>
        <w:t>The ammonia emission factor was obtained from a report to EPA</w:t>
      </w:r>
      <w:r w:rsidR="00A52C21">
        <w:rPr>
          <w:sz w:val="20"/>
          <w:szCs w:val="20"/>
          <w:vertAlign w:val="superscript"/>
        </w:rPr>
        <w:t>5</w:t>
      </w:r>
      <w:r>
        <w:rPr>
          <w:sz w:val="20"/>
          <w:szCs w:val="20"/>
        </w:rPr>
        <w:t xml:space="preserve">, while the VOC emission factor was </w:t>
      </w:r>
      <w:r w:rsidR="00F31A69">
        <w:rPr>
          <w:sz w:val="20"/>
          <w:szCs w:val="20"/>
        </w:rPr>
        <w:t>based on a TriTAC study</w:t>
      </w:r>
      <w:r w:rsidR="005B0358">
        <w:rPr>
          <w:sz w:val="20"/>
          <w:szCs w:val="20"/>
        </w:rPr>
        <w:t>.</w:t>
      </w:r>
      <w:r w:rsidR="00A52C21">
        <w:rPr>
          <w:sz w:val="20"/>
          <w:szCs w:val="20"/>
          <w:vertAlign w:val="superscript"/>
        </w:rPr>
        <w:t>6</w:t>
      </w:r>
      <w:r w:rsidR="005B0358">
        <w:rPr>
          <w:sz w:val="20"/>
          <w:szCs w:val="20"/>
        </w:rPr>
        <w:t xml:space="preserve"> Emission</w:t>
      </w:r>
      <w:r>
        <w:rPr>
          <w:sz w:val="20"/>
          <w:szCs w:val="20"/>
        </w:rPr>
        <w:t xml:space="preserve"> factors </w:t>
      </w:r>
      <w:r w:rsidR="00D62E26">
        <w:rPr>
          <w:sz w:val="20"/>
          <w:szCs w:val="20"/>
        </w:rPr>
        <w:t>for the 52</w:t>
      </w:r>
      <w:r>
        <w:rPr>
          <w:sz w:val="20"/>
          <w:szCs w:val="20"/>
        </w:rPr>
        <w:t xml:space="preserve"> HAPs were derived using 1996 area source emissions estimates that were provided by ESD</w:t>
      </w:r>
      <w:r w:rsidR="00A52C21">
        <w:rPr>
          <w:sz w:val="20"/>
          <w:szCs w:val="20"/>
          <w:vertAlign w:val="superscript"/>
        </w:rPr>
        <w:t>7</w:t>
      </w:r>
      <w:r>
        <w:rPr>
          <w:sz w:val="20"/>
          <w:szCs w:val="20"/>
        </w:rPr>
        <w:t xml:space="preserve"> and the 1996 nationwide flow </w:t>
      </w:r>
      <w:r w:rsidR="005B0358">
        <w:rPr>
          <w:sz w:val="20"/>
          <w:szCs w:val="20"/>
        </w:rPr>
        <w:t>rate.</w:t>
      </w:r>
      <w:r w:rsidR="00A52C21">
        <w:rPr>
          <w:sz w:val="20"/>
          <w:szCs w:val="20"/>
          <w:vertAlign w:val="superscript"/>
        </w:rPr>
        <w:t>8</w:t>
      </w:r>
      <w:r w:rsidR="005B0358">
        <w:rPr>
          <w:sz w:val="20"/>
          <w:szCs w:val="20"/>
        </w:rPr>
        <w:t xml:space="preserve"> </w:t>
      </w:r>
      <w:r w:rsidR="00DA749C">
        <w:rPr>
          <w:sz w:val="20"/>
          <w:szCs w:val="20"/>
        </w:rPr>
        <w:t>These HAP emission factors were then multiplied by the 2008 to 2002 VOC emission factor ratio (0.85/9.9) to obtain the final HAP emis</w:t>
      </w:r>
      <w:r w:rsidR="009834DF">
        <w:rPr>
          <w:sz w:val="20"/>
          <w:szCs w:val="20"/>
        </w:rPr>
        <w:t>sion factors applied in the 2014</w:t>
      </w:r>
      <w:r w:rsidR="00DA749C">
        <w:rPr>
          <w:sz w:val="20"/>
          <w:szCs w:val="20"/>
        </w:rPr>
        <w:t xml:space="preserve"> inventory</w:t>
      </w:r>
      <w:r>
        <w:rPr>
          <w:sz w:val="20"/>
          <w:szCs w:val="20"/>
        </w:rPr>
        <w:t xml:space="preserve">. </w:t>
      </w:r>
      <w:r w:rsidR="00330D09">
        <w:rPr>
          <w:sz w:val="20"/>
          <w:szCs w:val="20"/>
        </w:rPr>
        <w:t>The emission factors, pollutant codes, and pollutant descriptions are reported in Table 1.</w:t>
      </w:r>
      <w:r>
        <w:rPr>
          <w:sz w:val="20"/>
          <w:szCs w:val="20"/>
        </w:rPr>
        <w:t xml:space="preserve"> </w:t>
      </w:r>
    </w:p>
    <w:p w:rsidR="00862F3A" w:rsidRDefault="00862F3A" w:rsidP="00F65502">
      <w:pPr>
        <w:widowControl/>
        <w:tabs>
          <w:tab w:val="left" w:pos="0"/>
        </w:tabs>
        <w:spacing w:line="226" w:lineRule="auto"/>
        <w:rPr>
          <w:sz w:val="20"/>
          <w:szCs w:val="20"/>
        </w:rPr>
      </w:pPr>
    </w:p>
    <w:p w:rsidR="00862F3A" w:rsidRPr="00862F3A" w:rsidRDefault="00862F3A" w:rsidP="00F65502">
      <w:pPr>
        <w:widowControl/>
        <w:tabs>
          <w:tab w:val="left" w:pos="0"/>
        </w:tabs>
        <w:spacing w:line="226" w:lineRule="auto"/>
        <w:rPr>
          <w:sz w:val="20"/>
          <w:szCs w:val="20"/>
          <w:u w:val="single"/>
        </w:rPr>
      </w:pPr>
      <w:r w:rsidRPr="00862F3A">
        <w:rPr>
          <w:sz w:val="20"/>
          <w:szCs w:val="20"/>
          <w:u w:val="single"/>
        </w:rPr>
        <w:t>Emissions</w:t>
      </w:r>
    </w:p>
    <w:p w:rsidR="00862F3A" w:rsidRDefault="00862F3A" w:rsidP="00F65502">
      <w:pPr>
        <w:widowControl/>
        <w:tabs>
          <w:tab w:val="left" w:pos="0"/>
        </w:tabs>
        <w:spacing w:line="226" w:lineRule="auto"/>
        <w:rPr>
          <w:sz w:val="20"/>
          <w:szCs w:val="20"/>
        </w:rPr>
      </w:pPr>
    </w:p>
    <w:p w:rsidR="00F65502" w:rsidRDefault="002C269A" w:rsidP="00F65502">
      <w:pPr>
        <w:widowControl/>
        <w:tabs>
          <w:tab w:val="left" w:pos="0"/>
        </w:tabs>
        <w:spacing w:line="226" w:lineRule="auto"/>
        <w:rPr>
          <w:sz w:val="20"/>
          <w:szCs w:val="20"/>
        </w:rPr>
      </w:pPr>
      <w:r>
        <w:rPr>
          <w:sz w:val="20"/>
          <w:szCs w:val="20"/>
        </w:rPr>
        <w:t>Emissions per county for a given pollutant were computed by multiplying the pollutant emission factor (</w:t>
      </w:r>
      <w:proofErr w:type="spellStart"/>
      <w:r>
        <w:rPr>
          <w:sz w:val="20"/>
          <w:szCs w:val="20"/>
        </w:rPr>
        <w:t>lb</w:t>
      </w:r>
      <w:proofErr w:type="spellEnd"/>
      <w:r>
        <w:rPr>
          <w:sz w:val="20"/>
          <w:szCs w:val="20"/>
        </w:rPr>
        <w:t>/million gallon) by the county flow rate (million gallons).</w:t>
      </w:r>
      <w:r w:rsidR="00682B9B">
        <w:rPr>
          <w:sz w:val="20"/>
          <w:szCs w:val="20"/>
        </w:rPr>
        <w:t xml:space="preserve">  This process was repeated for all counties in the U.S., Puerto Ri</w:t>
      </w:r>
      <w:r w:rsidR="00304A8A">
        <w:rPr>
          <w:sz w:val="20"/>
          <w:szCs w:val="20"/>
        </w:rPr>
        <w:t>co, and the U.S. Virgin I</w:t>
      </w:r>
      <w:r w:rsidR="00DA16A5">
        <w:rPr>
          <w:sz w:val="20"/>
          <w:szCs w:val="20"/>
        </w:rPr>
        <w:t>slands, and the result was pollutant specific</w:t>
      </w:r>
      <w:r w:rsidR="00304A8A">
        <w:rPr>
          <w:sz w:val="20"/>
          <w:szCs w:val="20"/>
        </w:rPr>
        <w:t xml:space="preserve"> nonpoint </w:t>
      </w:r>
      <w:r w:rsidR="00DA16A5">
        <w:rPr>
          <w:sz w:val="20"/>
          <w:szCs w:val="20"/>
        </w:rPr>
        <w:t xml:space="preserve">POTW </w:t>
      </w:r>
      <w:r w:rsidR="00304A8A">
        <w:rPr>
          <w:sz w:val="20"/>
          <w:szCs w:val="20"/>
        </w:rPr>
        <w:t>county-level emissions.</w:t>
      </w:r>
    </w:p>
    <w:p w:rsidR="00304A8A" w:rsidRDefault="00304A8A" w:rsidP="00F65502">
      <w:pPr>
        <w:widowControl/>
        <w:tabs>
          <w:tab w:val="left" w:pos="0"/>
        </w:tabs>
        <w:spacing w:line="226" w:lineRule="auto"/>
        <w:rPr>
          <w:sz w:val="20"/>
          <w:szCs w:val="20"/>
        </w:rPr>
      </w:pPr>
    </w:p>
    <w:p w:rsidR="00F65502" w:rsidRPr="00AE3BC2" w:rsidRDefault="00304A8A" w:rsidP="00F65502">
      <w:pPr>
        <w:widowControl/>
        <w:tabs>
          <w:tab w:val="left" w:pos="0"/>
        </w:tabs>
        <w:spacing w:line="226" w:lineRule="auto"/>
        <w:rPr>
          <w:sz w:val="20"/>
          <w:szCs w:val="20"/>
        </w:rPr>
      </w:pPr>
      <w:r>
        <w:rPr>
          <w:sz w:val="20"/>
          <w:szCs w:val="20"/>
        </w:rPr>
        <w:t>The next step was to determine whether there are POTW point source emissions and to subtract those point source emissions from the total nonpoint emissions.  The EIS was queried for POTW point sources, and the resulting output contained facility-level HAP and CAP emissions in fifteen states.  The fifteen states were: CA, CO, FL, IA, IL, MA, MD, MI, MN, NC, NJ, NY, PA, TN, and TX.</w:t>
      </w:r>
      <w:r w:rsidR="00AA114C">
        <w:rPr>
          <w:sz w:val="20"/>
          <w:szCs w:val="20"/>
        </w:rPr>
        <w:t xml:space="preserve">  The facility-level point source emissions were summed to county and pollutant, and then were subtracted from the nonpoint </w:t>
      </w:r>
      <w:r w:rsidR="00DA16A5">
        <w:rPr>
          <w:sz w:val="20"/>
          <w:szCs w:val="20"/>
        </w:rPr>
        <w:t xml:space="preserve">POTW </w:t>
      </w:r>
      <w:r w:rsidR="00AA114C">
        <w:rPr>
          <w:sz w:val="20"/>
          <w:szCs w:val="20"/>
        </w:rPr>
        <w:t xml:space="preserve">emissions by </w:t>
      </w:r>
      <w:r w:rsidR="002746EA">
        <w:rPr>
          <w:sz w:val="20"/>
          <w:szCs w:val="20"/>
        </w:rPr>
        <w:t>county and pollutant.  For counties</w:t>
      </w:r>
      <w:r w:rsidR="00AA114C">
        <w:rPr>
          <w:sz w:val="20"/>
          <w:szCs w:val="20"/>
        </w:rPr>
        <w:t xml:space="preserve"> where the point source emissions were lar</w:t>
      </w:r>
      <w:r w:rsidR="00DA16A5">
        <w:rPr>
          <w:sz w:val="20"/>
          <w:szCs w:val="20"/>
        </w:rPr>
        <w:t>ger than the corresponding</w:t>
      </w:r>
      <w:r w:rsidR="00AA114C">
        <w:rPr>
          <w:sz w:val="20"/>
          <w:szCs w:val="20"/>
        </w:rPr>
        <w:t xml:space="preserve"> nonpoint emissions, the nonpoint emissions were set to zero.</w:t>
      </w:r>
    </w:p>
    <w:p w:rsidR="00F65502" w:rsidRDefault="00F65502" w:rsidP="00F65502">
      <w:pPr>
        <w:widowControl/>
        <w:tabs>
          <w:tab w:val="left" w:pos="0"/>
        </w:tabs>
        <w:spacing w:line="226" w:lineRule="auto"/>
        <w:rPr>
          <w:sz w:val="20"/>
          <w:szCs w:val="20"/>
        </w:rPr>
      </w:pPr>
    </w:p>
    <w:p w:rsidR="00F65502" w:rsidRDefault="00316DAB" w:rsidP="00F65502">
      <w:pPr>
        <w:widowControl/>
        <w:tabs>
          <w:tab w:val="left" w:pos="0"/>
        </w:tabs>
        <w:spacing w:line="226" w:lineRule="auto"/>
        <w:rPr>
          <w:sz w:val="20"/>
          <w:szCs w:val="20"/>
        </w:rPr>
      </w:pPr>
      <w:r>
        <w:rPr>
          <w:sz w:val="20"/>
          <w:szCs w:val="20"/>
          <w:u w:val="single"/>
        </w:rPr>
        <w:t>S</w:t>
      </w:r>
      <w:r w:rsidR="00F65502">
        <w:rPr>
          <w:sz w:val="20"/>
          <w:szCs w:val="20"/>
          <w:u w:val="single"/>
        </w:rPr>
        <w:t>ample Calculations</w:t>
      </w:r>
    </w:p>
    <w:p w:rsidR="00E24225" w:rsidRDefault="00E24225" w:rsidP="00F65502">
      <w:pPr>
        <w:widowControl/>
        <w:tabs>
          <w:tab w:val="left" w:pos="0"/>
        </w:tabs>
        <w:spacing w:line="226" w:lineRule="auto"/>
        <w:rPr>
          <w:sz w:val="20"/>
          <w:szCs w:val="20"/>
        </w:rPr>
      </w:pPr>
    </w:p>
    <w:p w:rsidR="00F65502" w:rsidRDefault="006A5D1B" w:rsidP="00F65502">
      <w:pPr>
        <w:widowControl/>
        <w:tabs>
          <w:tab w:val="left" w:pos="0"/>
        </w:tabs>
        <w:spacing w:line="226" w:lineRule="auto"/>
        <w:rPr>
          <w:sz w:val="20"/>
          <w:szCs w:val="20"/>
        </w:rPr>
      </w:pPr>
      <w:r>
        <w:rPr>
          <w:sz w:val="20"/>
          <w:szCs w:val="20"/>
        </w:rPr>
        <w:t xml:space="preserve">Year </w:t>
      </w:r>
      <w:r w:rsidR="00DB3C26">
        <w:rPr>
          <w:sz w:val="20"/>
          <w:szCs w:val="20"/>
        </w:rPr>
        <w:t>2014 b</w:t>
      </w:r>
      <w:r w:rsidR="00F65502">
        <w:rPr>
          <w:sz w:val="20"/>
          <w:szCs w:val="20"/>
        </w:rPr>
        <w:t>enzene e</w:t>
      </w:r>
      <w:r w:rsidR="00316DAB">
        <w:rPr>
          <w:sz w:val="20"/>
          <w:szCs w:val="20"/>
        </w:rPr>
        <w:t>missions</w:t>
      </w:r>
      <w:r w:rsidR="004D0DEF">
        <w:rPr>
          <w:sz w:val="20"/>
          <w:szCs w:val="20"/>
        </w:rPr>
        <w:t xml:space="preserve"> for </w:t>
      </w:r>
      <w:r w:rsidR="00DA16A5">
        <w:rPr>
          <w:sz w:val="20"/>
          <w:szCs w:val="20"/>
        </w:rPr>
        <w:t>Pinellas</w:t>
      </w:r>
      <w:r w:rsidR="00DB3C26">
        <w:rPr>
          <w:sz w:val="20"/>
          <w:szCs w:val="20"/>
        </w:rPr>
        <w:t xml:space="preserve"> County, </w:t>
      </w:r>
      <w:r w:rsidR="00DA16A5">
        <w:rPr>
          <w:sz w:val="20"/>
          <w:szCs w:val="20"/>
        </w:rPr>
        <w:t xml:space="preserve">Florida </w:t>
      </w:r>
      <w:r>
        <w:rPr>
          <w:sz w:val="20"/>
          <w:szCs w:val="20"/>
        </w:rPr>
        <w:t>for</w:t>
      </w:r>
      <w:r w:rsidR="004D0DEF">
        <w:rPr>
          <w:sz w:val="20"/>
          <w:szCs w:val="20"/>
        </w:rPr>
        <w:t xml:space="preserve"> nonpoint</w:t>
      </w:r>
      <w:r w:rsidR="00F65502">
        <w:rPr>
          <w:sz w:val="20"/>
          <w:szCs w:val="20"/>
        </w:rPr>
        <w:t xml:space="preserve"> source POTWs are calculated as follows:</w:t>
      </w:r>
    </w:p>
    <w:p w:rsidR="006A5D1B" w:rsidRDefault="00DA16A5" w:rsidP="008B31C4">
      <w:pPr>
        <w:widowControl/>
        <w:numPr>
          <w:ilvl w:val="0"/>
          <w:numId w:val="2"/>
        </w:numPr>
        <w:tabs>
          <w:tab w:val="left" w:pos="0"/>
        </w:tabs>
        <w:spacing w:before="120" w:line="226" w:lineRule="auto"/>
        <w:rPr>
          <w:sz w:val="20"/>
          <w:szCs w:val="20"/>
        </w:rPr>
      </w:pPr>
      <w:r>
        <w:rPr>
          <w:sz w:val="20"/>
          <w:szCs w:val="20"/>
        </w:rPr>
        <w:t>First, the flow rate for Pinellas</w:t>
      </w:r>
      <w:r w:rsidR="006A5D1B">
        <w:rPr>
          <w:sz w:val="20"/>
          <w:szCs w:val="20"/>
        </w:rPr>
        <w:t xml:space="preserve"> County is computed from the 2012 national flow rate based on the proportion of the county population to the U.S. population.</w:t>
      </w:r>
    </w:p>
    <w:p w:rsidR="006A5D1B" w:rsidRDefault="006A5D1B" w:rsidP="006A5D1B">
      <w:pPr>
        <w:widowControl/>
        <w:tabs>
          <w:tab w:val="left" w:pos="0"/>
        </w:tabs>
        <w:spacing w:line="226" w:lineRule="auto"/>
        <w:ind w:left="720"/>
        <w:rPr>
          <w:sz w:val="20"/>
          <w:szCs w:val="20"/>
        </w:rPr>
      </w:pPr>
      <w:r>
        <w:rPr>
          <w:sz w:val="20"/>
          <w:szCs w:val="20"/>
        </w:rPr>
        <w:tab/>
      </w:r>
      <w:r w:rsidR="008B31C4">
        <w:rPr>
          <w:sz w:val="20"/>
          <w:szCs w:val="20"/>
        </w:rPr>
        <w:t>2012 national flow rate = 28,296 MMGD</w:t>
      </w:r>
    </w:p>
    <w:p w:rsidR="008B31C4" w:rsidRDefault="008B31C4" w:rsidP="006A5D1B">
      <w:pPr>
        <w:widowControl/>
        <w:tabs>
          <w:tab w:val="left" w:pos="0"/>
        </w:tabs>
        <w:spacing w:line="226" w:lineRule="auto"/>
        <w:ind w:left="720"/>
        <w:rPr>
          <w:sz w:val="20"/>
          <w:szCs w:val="20"/>
        </w:rPr>
      </w:pPr>
      <w:r>
        <w:rPr>
          <w:sz w:val="20"/>
          <w:szCs w:val="20"/>
        </w:rPr>
        <w:tab/>
        <w:t>2014 U.S. population = 322,511,858</w:t>
      </w:r>
    </w:p>
    <w:p w:rsidR="008B31C4" w:rsidRDefault="00DA16A5" w:rsidP="006A5D1B">
      <w:pPr>
        <w:widowControl/>
        <w:tabs>
          <w:tab w:val="left" w:pos="0"/>
        </w:tabs>
        <w:spacing w:line="226" w:lineRule="auto"/>
        <w:ind w:left="720"/>
        <w:rPr>
          <w:sz w:val="20"/>
          <w:szCs w:val="20"/>
        </w:rPr>
      </w:pPr>
      <w:r>
        <w:rPr>
          <w:sz w:val="20"/>
          <w:szCs w:val="20"/>
        </w:rPr>
        <w:lastRenderedPageBreak/>
        <w:tab/>
        <w:t>2014 Pinellas</w:t>
      </w:r>
      <w:r w:rsidR="008B31C4">
        <w:rPr>
          <w:sz w:val="20"/>
          <w:szCs w:val="20"/>
        </w:rPr>
        <w:t xml:space="preserve"> County</w:t>
      </w:r>
      <w:r>
        <w:rPr>
          <w:sz w:val="20"/>
          <w:szCs w:val="20"/>
        </w:rPr>
        <w:t xml:space="preserve"> population = 938,098</w:t>
      </w:r>
    </w:p>
    <w:p w:rsidR="008B31C4" w:rsidRDefault="00DA16A5" w:rsidP="006A5D1B">
      <w:pPr>
        <w:widowControl/>
        <w:tabs>
          <w:tab w:val="left" w:pos="0"/>
        </w:tabs>
        <w:spacing w:line="226" w:lineRule="auto"/>
        <w:ind w:left="720"/>
        <w:rPr>
          <w:sz w:val="20"/>
          <w:szCs w:val="20"/>
        </w:rPr>
      </w:pPr>
      <w:r>
        <w:rPr>
          <w:sz w:val="20"/>
          <w:szCs w:val="20"/>
        </w:rPr>
        <w:tab/>
        <w:t>Pinellas</w:t>
      </w:r>
      <w:r w:rsidR="008B31C4">
        <w:rPr>
          <w:sz w:val="20"/>
          <w:szCs w:val="20"/>
        </w:rPr>
        <w:t xml:space="preserve"> County flow rate = (28,296 MMGD *365 days) * </w:t>
      </w:r>
      <w:r>
        <w:rPr>
          <w:sz w:val="20"/>
          <w:szCs w:val="20"/>
        </w:rPr>
        <w:t>938,098</w:t>
      </w:r>
      <w:r w:rsidR="008B31C4">
        <w:rPr>
          <w:sz w:val="20"/>
          <w:szCs w:val="20"/>
        </w:rPr>
        <w:t>/322,511,858</w:t>
      </w:r>
    </w:p>
    <w:p w:rsidR="008B31C4" w:rsidRDefault="00DA16A5" w:rsidP="006A5D1B">
      <w:pPr>
        <w:widowControl/>
        <w:tabs>
          <w:tab w:val="left" w:pos="0"/>
        </w:tabs>
        <w:spacing w:line="226" w:lineRule="auto"/>
        <w:ind w:left="720"/>
        <w:rPr>
          <w:sz w:val="20"/>
          <w:szCs w:val="20"/>
        </w:rPr>
      </w:pPr>
      <w:r>
        <w:rPr>
          <w:sz w:val="20"/>
          <w:szCs w:val="20"/>
        </w:rPr>
        <w:tab/>
      </w:r>
      <w:r>
        <w:rPr>
          <w:sz w:val="20"/>
          <w:szCs w:val="20"/>
        </w:rPr>
        <w:tab/>
      </w:r>
      <w:r>
        <w:rPr>
          <w:sz w:val="20"/>
          <w:szCs w:val="20"/>
        </w:rPr>
        <w:tab/>
      </w:r>
      <w:r w:rsidR="002B5001">
        <w:rPr>
          <w:sz w:val="20"/>
          <w:szCs w:val="20"/>
        </w:rPr>
        <w:t xml:space="preserve">             </w:t>
      </w:r>
      <w:bookmarkStart w:id="0" w:name="_GoBack"/>
      <w:bookmarkEnd w:id="0"/>
      <w:r>
        <w:rPr>
          <w:sz w:val="20"/>
          <w:szCs w:val="20"/>
        </w:rPr>
        <w:t>= 30,041.42</w:t>
      </w:r>
      <w:r w:rsidR="008B31C4">
        <w:rPr>
          <w:sz w:val="20"/>
          <w:szCs w:val="20"/>
        </w:rPr>
        <w:t xml:space="preserve"> MMG</w:t>
      </w:r>
      <w:r w:rsidR="00EA1FBB">
        <w:rPr>
          <w:sz w:val="20"/>
          <w:szCs w:val="20"/>
        </w:rPr>
        <w:t>Y</w:t>
      </w:r>
    </w:p>
    <w:p w:rsidR="008B31C4" w:rsidRDefault="008B31C4" w:rsidP="008B31C4">
      <w:pPr>
        <w:widowControl/>
        <w:numPr>
          <w:ilvl w:val="0"/>
          <w:numId w:val="2"/>
        </w:numPr>
        <w:tabs>
          <w:tab w:val="left" w:pos="0"/>
        </w:tabs>
        <w:spacing w:before="120" w:line="226" w:lineRule="auto"/>
        <w:rPr>
          <w:sz w:val="20"/>
          <w:szCs w:val="20"/>
        </w:rPr>
      </w:pPr>
      <w:r>
        <w:rPr>
          <w:sz w:val="20"/>
          <w:szCs w:val="20"/>
        </w:rPr>
        <w:t>The benzene emission factor is 0.0</w:t>
      </w:r>
      <w:r w:rsidR="00E2710E">
        <w:rPr>
          <w:sz w:val="20"/>
          <w:szCs w:val="20"/>
        </w:rPr>
        <w:t>0673</w:t>
      </w:r>
      <w:r>
        <w:rPr>
          <w:sz w:val="20"/>
          <w:szCs w:val="20"/>
        </w:rPr>
        <w:t xml:space="preserve"> </w:t>
      </w:r>
      <w:proofErr w:type="spellStart"/>
      <w:r>
        <w:rPr>
          <w:sz w:val="20"/>
          <w:szCs w:val="20"/>
        </w:rPr>
        <w:t>lb</w:t>
      </w:r>
      <w:proofErr w:type="spellEnd"/>
      <w:r>
        <w:rPr>
          <w:sz w:val="20"/>
          <w:szCs w:val="20"/>
        </w:rPr>
        <w:t>/MMG</w:t>
      </w:r>
    </w:p>
    <w:p w:rsidR="001A72E1" w:rsidRDefault="001A72E1" w:rsidP="008B31C4">
      <w:pPr>
        <w:widowControl/>
        <w:numPr>
          <w:ilvl w:val="0"/>
          <w:numId w:val="2"/>
        </w:numPr>
        <w:tabs>
          <w:tab w:val="left" w:pos="0"/>
        </w:tabs>
        <w:spacing w:before="120" w:line="226" w:lineRule="auto"/>
        <w:rPr>
          <w:sz w:val="20"/>
          <w:szCs w:val="20"/>
        </w:rPr>
      </w:pPr>
      <w:r>
        <w:rPr>
          <w:sz w:val="20"/>
          <w:szCs w:val="20"/>
        </w:rPr>
        <w:t>Compute total nonpoint POTW benzene emissions in Pinellas County</w:t>
      </w:r>
    </w:p>
    <w:p w:rsidR="008B31C4" w:rsidRDefault="001A72E1" w:rsidP="001A72E1">
      <w:pPr>
        <w:widowControl/>
        <w:tabs>
          <w:tab w:val="left" w:pos="0"/>
        </w:tabs>
        <w:spacing w:before="120" w:line="226" w:lineRule="auto"/>
        <w:ind w:left="360"/>
        <w:rPr>
          <w:sz w:val="20"/>
          <w:szCs w:val="20"/>
        </w:rPr>
      </w:pPr>
      <w:r>
        <w:rPr>
          <w:sz w:val="20"/>
          <w:szCs w:val="20"/>
        </w:rPr>
        <w:tab/>
      </w:r>
      <w:r>
        <w:rPr>
          <w:sz w:val="20"/>
          <w:szCs w:val="20"/>
        </w:rPr>
        <w:tab/>
        <w:t>Total nonpoint b</w:t>
      </w:r>
      <w:r w:rsidR="008B31C4">
        <w:rPr>
          <w:sz w:val="20"/>
          <w:szCs w:val="20"/>
        </w:rPr>
        <w:t xml:space="preserve">enzene emissions = </w:t>
      </w:r>
      <w:r w:rsidR="00DA16A5">
        <w:rPr>
          <w:sz w:val="20"/>
          <w:szCs w:val="20"/>
        </w:rPr>
        <w:t>30,041.42</w:t>
      </w:r>
      <w:r w:rsidR="008B31C4">
        <w:rPr>
          <w:sz w:val="20"/>
          <w:szCs w:val="20"/>
        </w:rPr>
        <w:t xml:space="preserve"> MMG</w:t>
      </w:r>
      <w:r w:rsidR="00EA1FBB">
        <w:rPr>
          <w:sz w:val="20"/>
          <w:szCs w:val="20"/>
        </w:rPr>
        <w:t>Y</w:t>
      </w:r>
      <w:r w:rsidR="008B31C4">
        <w:rPr>
          <w:sz w:val="20"/>
          <w:szCs w:val="20"/>
        </w:rPr>
        <w:t xml:space="preserve"> * </w:t>
      </w:r>
      <w:r w:rsidR="00E2710E">
        <w:rPr>
          <w:sz w:val="20"/>
          <w:szCs w:val="20"/>
        </w:rPr>
        <w:t>0.00673</w:t>
      </w:r>
      <w:r w:rsidR="008B31C4">
        <w:rPr>
          <w:sz w:val="20"/>
          <w:szCs w:val="20"/>
        </w:rPr>
        <w:t xml:space="preserve"> </w:t>
      </w:r>
      <w:proofErr w:type="spellStart"/>
      <w:r w:rsidR="008B31C4">
        <w:rPr>
          <w:sz w:val="20"/>
          <w:szCs w:val="20"/>
        </w:rPr>
        <w:t>lb</w:t>
      </w:r>
      <w:proofErr w:type="spellEnd"/>
      <w:r w:rsidR="008B31C4">
        <w:rPr>
          <w:sz w:val="20"/>
          <w:szCs w:val="20"/>
        </w:rPr>
        <w:t xml:space="preserve">/MMG / 2000 </w:t>
      </w:r>
      <w:proofErr w:type="spellStart"/>
      <w:r w:rsidR="008B31C4">
        <w:rPr>
          <w:sz w:val="20"/>
          <w:szCs w:val="20"/>
        </w:rPr>
        <w:t>lb</w:t>
      </w:r>
      <w:proofErr w:type="spellEnd"/>
      <w:r w:rsidR="008B31C4">
        <w:rPr>
          <w:sz w:val="20"/>
          <w:szCs w:val="20"/>
        </w:rPr>
        <w:t>/ton</w:t>
      </w:r>
    </w:p>
    <w:p w:rsidR="00C9659C" w:rsidRDefault="001A72E1" w:rsidP="008B31C4">
      <w:pPr>
        <w:widowControl/>
        <w:tabs>
          <w:tab w:val="left" w:pos="0"/>
        </w:tabs>
        <w:spacing w:line="226" w:lineRule="auto"/>
        <w:ind w:left="720"/>
        <w:rPr>
          <w:sz w:val="20"/>
          <w:szCs w:val="20"/>
        </w:rPr>
      </w:pPr>
      <w:r>
        <w:rPr>
          <w:sz w:val="20"/>
          <w:szCs w:val="20"/>
        </w:rPr>
        <w:tab/>
      </w:r>
      <w:r>
        <w:rPr>
          <w:sz w:val="20"/>
          <w:szCs w:val="20"/>
        </w:rPr>
        <w:tab/>
      </w:r>
      <w:r>
        <w:rPr>
          <w:sz w:val="20"/>
          <w:szCs w:val="20"/>
        </w:rPr>
        <w:tab/>
      </w:r>
      <w:r>
        <w:rPr>
          <w:sz w:val="20"/>
          <w:szCs w:val="20"/>
        </w:rPr>
        <w:tab/>
        <w:t xml:space="preserve">             </w:t>
      </w:r>
      <w:r w:rsidR="00E2710E">
        <w:rPr>
          <w:sz w:val="20"/>
          <w:szCs w:val="20"/>
        </w:rPr>
        <w:t>= 0.10108</w:t>
      </w:r>
      <w:r w:rsidR="00DA16A5">
        <w:rPr>
          <w:sz w:val="20"/>
          <w:szCs w:val="20"/>
        </w:rPr>
        <w:t>9</w:t>
      </w:r>
      <w:r w:rsidR="008B31C4">
        <w:rPr>
          <w:sz w:val="20"/>
          <w:szCs w:val="20"/>
        </w:rPr>
        <w:t xml:space="preserve"> tons/year</w:t>
      </w:r>
    </w:p>
    <w:p w:rsidR="00BB5E87" w:rsidRDefault="00BB5E87" w:rsidP="00BB5E87">
      <w:pPr>
        <w:widowControl/>
        <w:numPr>
          <w:ilvl w:val="0"/>
          <w:numId w:val="2"/>
        </w:numPr>
        <w:tabs>
          <w:tab w:val="left" w:pos="0"/>
        </w:tabs>
        <w:spacing w:before="120" w:line="226" w:lineRule="auto"/>
        <w:rPr>
          <w:sz w:val="20"/>
          <w:szCs w:val="20"/>
        </w:rPr>
      </w:pPr>
      <w:r>
        <w:rPr>
          <w:sz w:val="20"/>
          <w:szCs w:val="20"/>
        </w:rPr>
        <w:t>Point source benzene emissions in Pinellas County from the 2014 NEI = 0.000217 tons</w:t>
      </w:r>
    </w:p>
    <w:p w:rsidR="00BB5E87" w:rsidRDefault="000C38E8" w:rsidP="00BB5E87">
      <w:pPr>
        <w:widowControl/>
        <w:numPr>
          <w:ilvl w:val="0"/>
          <w:numId w:val="2"/>
        </w:numPr>
        <w:tabs>
          <w:tab w:val="left" w:pos="0"/>
        </w:tabs>
        <w:spacing w:before="120" w:line="226" w:lineRule="auto"/>
        <w:rPr>
          <w:sz w:val="20"/>
          <w:szCs w:val="20"/>
        </w:rPr>
      </w:pPr>
      <w:r>
        <w:rPr>
          <w:sz w:val="20"/>
          <w:szCs w:val="20"/>
        </w:rPr>
        <w:t>Subtract benzene point source emissions</w:t>
      </w:r>
    </w:p>
    <w:p w:rsidR="000C38E8" w:rsidRDefault="000C38E8" w:rsidP="000C38E8">
      <w:pPr>
        <w:widowControl/>
        <w:tabs>
          <w:tab w:val="left" w:pos="0"/>
        </w:tabs>
        <w:spacing w:before="120" w:line="226" w:lineRule="auto"/>
        <w:ind w:left="720"/>
        <w:rPr>
          <w:sz w:val="20"/>
          <w:szCs w:val="20"/>
        </w:rPr>
      </w:pPr>
      <w:r>
        <w:rPr>
          <w:sz w:val="20"/>
          <w:szCs w:val="20"/>
        </w:rPr>
        <w:tab/>
        <w:t xml:space="preserve">Pinellas County </w:t>
      </w:r>
      <w:r w:rsidR="003F2B28">
        <w:rPr>
          <w:sz w:val="20"/>
          <w:szCs w:val="20"/>
        </w:rPr>
        <w:t xml:space="preserve">nonpoint </w:t>
      </w:r>
      <w:r>
        <w:rPr>
          <w:sz w:val="20"/>
          <w:szCs w:val="20"/>
        </w:rPr>
        <w:t>POTW benzene emissions = 0.101089</w:t>
      </w:r>
      <w:r w:rsidR="001A72E1">
        <w:rPr>
          <w:sz w:val="20"/>
          <w:szCs w:val="20"/>
        </w:rPr>
        <w:t xml:space="preserve"> tons</w:t>
      </w:r>
      <w:r>
        <w:rPr>
          <w:sz w:val="20"/>
          <w:szCs w:val="20"/>
        </w:rPr>
        <w:t xml:space="preserve"> – 0.000217</w:t>
      </w:r>
      <w:r w:rsidR="001A72E1">
        <w:rPr>
          <w:sz w:val="20"/>
          <w:szCs w:val="20"/>
        </w:rPr>
        <w:t xml:space="preserve"> tons</w:t>
      </w:r>
    </w:p>
    <w:p w:rsidR="000C38E8" w:rsidRDefault="001A72E1" w:rsidP="000C38E8">
      <w:pPr>
        <w:widowControl/>
        <w:tabs>
          <w:tab w:val="left" w:pos="0"/>
        </w:tabs>
        <w:spacing w:before="120" w:line="226" w:lineRule="auto"/>
        <w:ind w:left="720"/>
        <w:rPr>
          <w:sz w:val="20"/>
          <w:szCs w:val="20"/>
        </w:rPr>
      </w:pPr>
      <w:r>
        <w:rPr>
          <w:sz w:val="20"/>
          <w:szCs w:val="20"/>
        </w:rPr>
        <w:tab/>
      </w:r>
      <w:r>
        <w:rPr>
          <w:sz w:val="20"/>
          <w:szCs w:val="20"/>
        </w:rPr>
        <w:tab/>
      </w:r>
      <w:r>
        <w:rPr>
          <w:sz w:val="20"/>
          <w:szCs w:val="20"/>
        </w:rPr>
        <w:tab/>
      </w:r>
      <w:r>
        <w:rPr>
          <w:sz w:val="20"/>
          <w:szCs w:val="20"/>
        </w:rPr>
        <w:tab/>
      </w:r>
      <w:r w:rsidR="003F2B28">
        <w:rPr>
          <w:sz w:val="20"/>
          <w:szCs w:val="20"/>
        </w:rPr>
        <w:tab/>
      </w:r>
      <w:r w:rsidR="003F2B28">
        <w:rPr>
          <w:sz w:val="20"/>
          <w:szCs w:val="20"/>
        </w:rPr>
        <w:tab/>
        <w:t xml:space="preserve">             </w:t>
      </w:r>
      <w:r w:rsidR="000C38E8">
        <w:rPr>
          <w:sz w:val="20"/>
          <w:szCs w:val="20"/>
        </w:rPr>
        <w:t xml:space="preserve">= </w:t>
      </w:r>
      <w:r>
        <w:rPr>
          <w:sz w:val="20"/>
          <w:szCs w:val="20"/>
        </w:rPr>
        <w:t>0.100872 tons</w:t>
      </w:r>
    </w:p>
    <w:p w:rsidR="007E4B9B" w:rsidRDefault="007E4B9B" w:rsidP="00C9659C">
      <w:pPr>
        <w:widowControl/>
        <w:tabs>
          <w:tab w:val="left" w:pos="0"/>
        </w:tabs>
        <w:spacing w:line="226" w:lineRule="auto"/>
        <w:rPr>
          <w:sz w:val="20"/>
          <w:szCs w:val="20"/>
        </w:rPr>
      </w:pPr>
    </w:p>
    <w:p w:rsidR="007E4B9B" w:rsidRPr="007E4B9B" w:rsidRDefault="007E4B9B" w:rsidP="007E4B9B">
      <w:pPr>
        <w:widowControl/>
        <w:tabs>
          <w:tab w:val="left" w:pos="0"/>
        </w:tabs>
        <w:spacing w:line="226" w:lineRule="auto"/>
        <w:rPr>
          <w:b/>
          <w:bCs/>
          <w:sz w:val="20"/>
          <w:szCs w:val="20"/>
        </w:rPr>
      </w:pPr>
      <w:r w:rsidRPr="007E4B9B">
        <w:rPr>
          <w:b/>
          <w:bCs/>
          <w:sz w:val="20"/>
          <w:szCs w:val="20"/>
          <w:u w:val="single"/>
        </w:rPr>
        <w:t>References</w:t>
      </w:r>
    </w:p>
    <w:p w:rsidR="007E4B9B" w:rsidRPr="007E4B9B" w:rsidRDefault="007E4B9B" w:rsidP="007E4B9B">
      <w:pPr>
        <w:widowControl/>
        <w:tabs>
          <w:tab w:val="left" w:pos="0"/>
        </w:tabs>
        <w:spacing w:line="226" w:lineRule="auto"/>
        <w:rPr>
          <w:b/>
          <w:bCs/>
          <w:sz w:val="20"/>
          <w:szCs w:val="20"/>
        </w:rPr>
      </w:pPr>
    </w:p>
    <w:p w:rsidR="007E4B9B" w:rsidRDefault="007E4B9B" w:rsidP="00D544A3">
      <w:pPr>
        <w:widowControl/>
        <w:numPr>
          <w:ilvl w:val="0"/>
          <w:numId w:val="1"/>
        </w:numPr>
        <w:tabs>
          <w:tab w:val="left" w:pos="0"/>
        </w:tabs>
        <w:spacing w:line="226" w:lineRule="auto"/>
        <w:rPr>
          <w:bCs/>
          <w:sz w:val="20"/>
          <w:szCs w:val="20"/>
        </w:rPr>
      </w:pPr>
      <w:r w:rsidRPr="007E4B9B">
        <w:rPr>
          <w:bCs/>
          <w:sz w:val="20"/>
          <w:szCs w:val="20"/>
        </w:rPr>
        <w:t>U.S. Environmental Protecti</w:t>
      </w:r>
      <w:r w:rsidR="004A3596">
        <w:rPr>
          <w:bCs/>
          <w:sz w:val="20"/>
          <w:szCs w:val="20"/>
        </w:rPr>
        <w:t>on Agency,</w:t>
      </w:r>
      <w:r w:rsidRPr="007E4B9B">
        <w:rPr>
          <w:bCs/>
          <w:sz w:val="20"/>
          <w:szCs w:val="20"/>
        </w:rPr>
        <w:t xml:space="preserve">  64FR57572</w:t>
      </w:r>
      <w:r w:rsidR="004A3596">
        <w:rPr>
          <w:bCs/>
          <w:sz w:val="20"/>
          <w:szCs w:val="20"/>
        </w:rPr>
        <w:t>,</w:t>
      </w:r>
      <w:r w:rsidR="004A3596" w:rsidRPr="007E4B9B">
        <w:rPr>
          <w:bCs/>
          <w:sz w:val="20"/>
          <w:szCs w:val="20"/>
        </w:rPr>
        <w:t xml:space="preserve"> National</w:t>
      </w:r>
      <w:r w:rsidRPr="007E4B9B">
        <w:rPr>
          <w:bCs/>
          <w:sz w:val="20"/>
          <w:szCs w:val="20"/>
        </w:rPr>
        <w:t xml:space="preserve"> Emission Standards for Publicly Ow</w:t>
      </w:r>
      <w:r w:rsidR="004A3596">
        <w:rPr>
          <w:bCs/>
          <w:sz w:val="20"/>
          <w:szCs w:val="20"/>
        </w:rPr>
        <w:t>ned Treatment Works, Final Rule,</w:t>
      </w:r>
      <w:r w:rsidRPr="007E4B9B">
        <w:rPr>
          <w:bCs/>
          <w:sz w:val="20"/>
          <w:szCs w:val="20"/>
        </w:rPr>
        <w:t xml:space="preserve">  40 </w:t>
      </w:r>
      <w:smartTag w:uri="urn:schemas-microsoft-com:office:smarttags" w:element="stockticker">
        <w:r w:rsidRPr="007E4B9B">
          <w:rPr>
            <w:bCs/>
            <w:sz w:val="20"/>
            <w:szCs w:val="20"/>
          </w:rPr>
          <w:t>CFR</w:t>
        </w:r>
      </w:smartTag>
      <w:r w:rsidR="004A3596">
        <w:rPr>
          <w:bCs/>
          <w:sz w:val="20"/>
          <w:szCs w:val="20"/>
        </w:rPr>
        <w:t xml:space="preserve"> Part 63,</w:t>
      </w:r>
      <w:r w:rsidRPr="007E4B9B">
        <w:rPr>
          <w:bCs/>
          <w:sz w:val="20"/>
          <w:szCs w:val="20"/>
        </w:rPr>
        <w:t xml:space="preserve">  </w:t>
      </w:r>
      <w:r w:rsidR="004A3596">
        <w:rPr>
          <w:bCs/>
          <w:sz w:val="20"/>
          <w:szCs w:val="20"/>
        </w:rPr>
        <w:t>26 October</w:t>
      </w:r>
      <w:r w:rsidRPr="007E4B9B">
        <w:rPr>
          <w:bCs/>
          <w:sz w:val="20"/>
          <w:szCs w:val="20"/>
        </w:rPr>
        <w:t xml:space="preserve"> 1999.</w:t>
      </w:r>
    </w:p>
    <w:p w:rsidR="0086280D" w:rsidRDefault="0086280D" w:rsidP="0086280D">
      <w:pPr>
        <w:widowControl/>
        <w:tabs>
          <w:tab w:val="left" w:pos="0"/>
        </w:tabs>
        <w:spacing w:line="226" w:lineRule="auto"/>
        <w:ind w:left="360"/>
        <w:rPr>
          <w:bCs/>
          <w:sz w:val="20"/>
          <w:szCs w:val="20"/>
        </w:rPr>
      </w:pPr>
    </w:p>
    <w:p w:rsidR="0086280D" w:rsidRPr="0086280D" w:rsidRDefault="0086280D" w:rsidP="0086280D">
      <w:pPr>
        <w:widowControl/>
        <w:numPr>
          <w:ilvl w:val="0"/>
          <w:numId w:val="1"/>
        </w:numPr>
        <w:tabs>
          <w:tab w:val="left" w:pos="0"/>
        </w:tabs>
        <w:spacing w:line="226" w:lineRule="auto"/>
        <w:rPr>
          <w:bCs/>
          <w:sz w:val="20"/>
          <w:szCs w:val="20"/>
        </w:rPr>
      </w:pPr>
      <w:r>
        <w:rPr>
          <w:bCs/>
          <w:sz w:val="20"/>
          <w:szCs w:val="20"/>
        </w:rPr>
        <w:t xml:space="preserve">Year 2014 county population for fifty states acquired from </w:t>
      </w:r>
      <w:r w:rsidRPr="007E4B9B">
        <w:rPr>
          <w:bCs/>
          <w:sz w:val="20"/>
          <w:szCs w:val="20"/>
        </w:rPr>
        <w:t>U.S.</w:t>
      </w:r>
      <w:r>
        <w:rPr>
          <w:bCs/>
          <w:sz w:val="20"/>
          <w:szCs w:val="20"/>
        </w:rPr>
        <w:t xml:space="preserve"> Census Bureau, “</w:t>
      </w:r>
      <w:r w:rsidRPr="00FB272C">
        <w:rPr>
          <w:bCs/>
          <w:sz w:val="20"/>
          <w:szCs w:val="20"/>
        </w:rPr>
        <w:t>Annual Estimates of the Resident Population for Counties: April 1, 2010 to July 1, 20</w:t>
      </w:r>
      <w:r>
        <w:rPr>
          <w:bCs/>
          <w:sz w:val="20"/>
          <w:szCs w:val="20"/>
        </w:rPr>
        <w:t>,” at</w:t>
      </w:r>
      <w:r w:rsidRPr="001456D4">
        <w:t xml:space="preserve"> </w:t>
      </w:r>
      <w:hyperlink r:id="rId8" w:history="1">
        <w:r w:rsidRPr="00FB272C">
          <w:rPr>
            <w:rStyle w:val="Hyperlink"/>
            <w:bCs/>
            <w:sz w:val="20"/>
            <w:szCs w:val="20"/>
          </w:rPr>
          <w:t>https://www.census.gov/popest/data/counties/totals/2014/CO-EST2014-01.html</w:t>
        </w:r>
      </w:hyperlink>
      <w:r>
        <w:rPr>
          <w:bCs/>
          <w:sz w:val="20"/>
          <w:szCs w:val="20"/>
        </w:rPr>
        <w:t xml:space="preserve">. Year 2014 </w:t>
      </w:r>
      <w:proofErr w:type="spellStart"/>
      <w:r>
        <w:rPr>
          <w:bCs/>
          <w:sz w:val="20"/>
          <w:szCs w:val="20"/>
        </w:rPr>
        <w:t>municipio</w:t>
      </w:r>
      <w:proofErr w:type="spellEnd"/>
      <w:r>
        <w:rPr>
          <w:bCs/>
          <w:sz w:val="20"/>
          <w:szCs w:val="20"/>
        </w:rPr>
        <w:t xml:space="preserve"> population for Puerto Rico acquired from U.S. Census Bureau, </w:t>
      </w:r>
      <w:r w:rsidRPr="004548D8">
        <w:rPr>
          <w:bCs/>
          <w:sz w:val="20"/>
          <w:szCs w:val="20"/>
        </w:rPr>
        <w:t xml:space="preserve">"Puerto Rico </w:t>
      </w:r>
      <w:proofErr w:type="spellStart"/>
      <w:r w:rsidRPr="004548D8">
        <w:rPr>
          <w:bCs/>
          <w:sz w:val="20"/>
          <w:szCs w:val="20"/>
        </w:rPr>
        <w:t>Municipios</w:t>
      </w:r>
      <w:proofErr w:type="spellEnd"/>
      <w:r w:rsidRPr="004548D8">
        <w:rPr>
          <w:bCs/>
          <w:sz w:val="20"/>
          <w:szCs w:val="20"/>
        </w:rPr>
        <w:t xml:space="preserve"> Totals: Vintage 2014</w:t>
      </w:r>
      <w:r>
        <w:rPr>
          <w:bCs/>
          <w:sz w:val="20"/>
          <w:szCs w:val="20"/>
        </w:rPr>
        <w:t xml:space="preserve">,” at </w:t>
      </w:r>
      <w:hyperlink r:id="rId9" w:history="1">
        <w:r w:rsidRPr="007621C7">
          <w:rPr>
            <w:rStyle w:val="Hyperlink"/>
            <w:bCs/>
            <w:sz w:val="20"/>
            <w:szCs w:val="20"/>
          </w:rPr>
          <w:t>http://factfinder.census.gov/faces/tableservices/jsf/pages/productview.xhtml?src=bkmk</w:t>
        </w:r>
      </w:hyperlink>
      <w:r>
        <w:rPr>
          <w:bCs/>
          <w:sz w:val="20"/>
          <w:szCs w:val="20"/>
        </w:rPr>
        <w:t xml:space="preserve">.  Note: because of the unavailability of 2014 county population estimates for the U.S. Virgin Islands, 2010 county population was used from the U.S. Census Bureau, “2010 Census Island Areas,” at </w:t>
      </w:r>
      <w:hyperlink r:id="rId10" w:history="1">
        <w:r w:rsidRPr="00A3170E">
          <w:rPr>
            <w:rStyle w:val="Hyperlink"/>
            <w:bCs/>
            <w:sz w:val="20"/>
            <w:szCs w:val="20"/>
          </w:rPr>
          <w:t>http://www.census.gov/2010census/news/press-kits/island-areas/island-areas.html</w:t>
        </w:r>
      </w:hyperlink>
      <w:r>
        <w:rPr>
          <w:bCs/>
          <w:sz w:val="20"/>
          <w:szCs w:val="20"/>
        </w:rPr>
        <w:t>, accessed 25 February 2016.</w:t>
      </w:r>
    </w:p>
    <w:p w:rsidR="007E4B9B" w:rsidRPr="007E4B9B" w:rsidRDefault="007E4B9B" w:rsidP="007E4B9B">
      <w:pPr>
        <w:widowControl/>
        <w:tabs>
          <w:tab w:val="left" w:pos="0"/>
        </w:tabs>
        <w:spacing w:line="226" w:lineRule="auto"/>
        <w:ind w:left="360"/>
        <w:rPr>
          <w:bCs/>
          <w:sz w:val="20"/>
          <w:szCs w:val="20"/>
        </w:rPr>
      </w:pPr>
    </w:p>
    <w:p w:rsidR="003A2029" w:rsidRDefault="003A2029" w:rsidP="00B75D66">
      <w:pPr>
        <w:widowControl/>
        <w:numPr>
          <w:ilvl w:val="0"/>
          <w:numId w:val="1"/>
        </w:numPr>
        <w:tabs>
          <w:tab w:val="left" w:pos="0"/>
        </w:tabs>
        <w:spacing w:line="226" w:lineRule="auto"/>
        <w:rPr>
          <w:bCs/>
          <w:sz w:val="20"/>
          <w:szCs w:val="20"/>
        </w:rPr>
      </w:pPr>
      <w:r>
        <w:rPr>
          <w:bCs/>
          <w:sz w:val="20"/>
          <w:szCs w:val="20"/>
        </w:rPr>
        <w:t>U.S. Environmental Protection Agency, Clean Watersheds Needs Survey</w:t>
      </w:r>
      <w:r w:rsidR="00B75D66">
        <w:rPr>
          <w:bCs/>
          <w:sz w:val="20"/>
          <w:szCs w:val="20"/>
        </w:rPr>
        <w:t xml:space="preserve"> 2012 Data and Reports, Detail Report</w:t>
      </w:r>
      <w:r>
        <w:rPr>
          <w:bCs/>
          <w:sz w:val="20"/>
          <w:szCs w:val="20"/>
        </w:rPr>
        <w:t>, at</w:t>
      </w:r>
      <w:r w:rsidR="00D544A3">
        <w:rPr>
          <w:bCs/>
          <w:sz w:val="20"/>
          <w:szCs w:val="20"/>
        </w:rPr>
        <w:t xml:space="preserve"> </w:t>
      </w:r>
      <w:r w:rsidR="00B75D66" w:rsidRPr="00B75D66">
        <w:rPr>
          <w:bCs/>
          <w:sz w:val="20"/>
          <w:szCs w:val="20"/>
        </w:rPr>
        <w:t>http://ofmpub.epa.gov/apex/cwns2012/f</w:t>
      </w:r>
      <w:proofErr w:type="gramStart"/>
      <w:r w:rsidR="00B75D66" w:rsidRPr="00B75D66">
        <w:rPr>
          <w:bCs/>
          <w:sz w:val="20"/>
          <w:szCs w:val="20"/>
        </w:rPr>
        <w:t>?p</w:t>
      </w:r>
      <w:proofErr w:type="gramEnd"/>
      <w:r w:rsidR="00B75D66" w:rsidRPr="00B75D66">
        <w:rPr>
          <w:bCs/>
          <w:sz w:val="20"/>
          <w:szCs w:val="20"/>
        </w:rPr>
        <w:t>=121:4::::RP::</w:t>
      </w:r>
      <w:r w:rsidR="00B75D66">
        <w:rPr>
          <w:bCs/>
          <w:sz w:val="20"/>
          <w:szCs w:val="20"/>
        </w:rPr>
        <w:t>, accessed 25 February 2016</w:t>
      </w:r>
      <w:r>
        <w:rPr>
          <w:bCs/>
          <w:sz w:val="20"/>
          <w:szCs w:val="20"/>
        </w:rPr>
        <w:t>.</w:t>
      </w:r>
    </w:p>
    <w:p w:rsidR="00A52C21" w:rsidRDefault="00A52C21" w:rsidP="00A52C21">
      <w:pPr>
        <w:pStyle w:val="ListParagraph"/>
        <w:rPr>
          <w:bCs/>
          <w:sz w:val="20"/>
          <w:szCs w:val="20"/>
        </w:rPr>
      </w:pPr>
    </w:p>
    <w:p w:rsidR="00A52C21" w:rsidRDefault="00A52C21" w:rsidP="00B75D66">
      <w:pPr>
        <w:widowControl/>
        <w:numPr>
          <w:ilvl w:val="0"/>
          <w:numId w:val="1"/>
        </w:numPr>
        <w:tabs>
          <w:tab w:val="left" w:pos="0"/>
        </w:tabs>
        <w:spacing w:line="226" w:lineRule="auto"/>
        <w:rPr>
          <w:bCs/>
          <w:sz w:val="20"/>
          <w:szCs w:val="20"/>
        </w:rPr>
      </w:pPr>
      <w:smartTag w:uri="urn:schemas-microsoft-com:office:smarttags" w:element="country-region">
        <w:smartTag w:uri="urn:schemas-microsoft-com:office:smarttags" w:element="place">
          <w:r w:rsidRPr="007E4B9B">
            <w:rPr>
              <w:bCs/>
              <w:sz w:val="20"/>
              <w:szCs w:val="20"/>
            </w:rPr>
            <w:t>U.S.</w:t>
          </w:r>
        </w:smartTag>
      </w:smartTag>
      <w:r w:rsidRPr="007E4B9B">
        <w:rPr>
          <w:bCs/>
          <w:sz w:val="20"/>
          <w:szCs w:val="20"/>
        </w:rPr>
        <w:t xml:space="preserve"> </w:t>
      </w:r>
      <w:r>
        <w:rPr>
          <w:bCs/>
          <w:sz w:val="20"/>
          <w:szCs w:val="20"/>
        </w:rPr>
        <w:t xml:space="preserve">Environmental Protection Agency, “Wastewater Flow Projections for POTWs and Privately and Federally Owned Treatment Works in 2000, 2005, and 2010,” Table A-8 in </w:t>
      </w:r>
      <w:proofErr w:type="spellStart"/>
      <w:r w:rsidRPr="004A3596">
        <w:rPr>
          <w:bCs/>
          <w:i/>
          <w:sz w:val="20"/>
          <w:szCs w:val="20"/>
        </w:rPr>
        <w:t>Biosolids</w:t>
      </w:r>
      <w:proofErr w:type="spellEnd"/>
      <w:r w:rsidRPr="004A3596">
        <w:rPr>
          <w:bCs/>
          <w:i/>
          <w:sz w:val="20"/>
          <w:szCs w:val="20"/>
        </w:rPr>
        <w:t xml:space="preserve"> Generation, Use, and Disposal in the </w:t>
      </w:r>
      <w:smartTag w:uri="urn:schemas-microsoft-com:office:smarttags" w:element="country-region">
        <w:smartTag w:uri="urn:schemas-microsoft-com:office:smarttags" w:element="place">
          <w:r w:rsidRPr="004A3596">
            <w:rPr>
              <w:bCs/>
              <w:i/>
              <w:sz w:val="20"/>
              <w:szCs w:val="20"/>
            </w:rPr>
            <w:t>United States</w:t>
          </w:r>
        </w:smartTag>
      </w:smartTag>
      <w:r>
        <w:rPr>
          <w:bCs/>
          <w:sz w:val="20"/>
          <w:szCs w:val="20"/>
        </w:rPr>
        <w:t>, EPA530-R-99-009,</w:t>
      </w:r>
      <w:r w:rsidRPr="007E4B9B">
        <w:rPr>
          <w:bCs/>
          <w:sz w:val="20"/>
          <w:szCs w:val="20"/>
        </w:rPr>
        <w:t xml:space="preserve"> </w:t>
      </w:r>
      <w:proofErr w:type="gramStart"/>
      <w:r>
        <w:rPr>
          <w:bCs/>
          <w:sz w:val="20"/>
          <w:szCs w:val="20"/>
        </w:rPr>
        <w:t>September</w:t>
      </w:r>
      <w:proofErr w:type="gramEnd"/>
      <w:r w:rsidRPr="007E4B9B">
        <w:rPr>
          <w:bCs/>
          <w:sz w:val="20"/>
          <w:szCs w:val="20"/>
        </w:rPr>
        <w:t xml:space="preserve"> 1999.</w:t>
      </w:r>
    </w:p>
    <w:p w:rsidR="003A2029" w:rsidRDefault="003A2029" w:rsidP="003A2029">
      <w:pPr>
        <w:widowControl/>
        <w:tabs>
          <w:tab w:val="left" w:pos="0"/>
        </w:tabs>
        <w:spacing w:line="226" w:lineRule="auto"/>
        <w:rPr>
          <w:bCs/>
          <w:sz w:val="20"/>
          <w:szCs w:val="20"/>
        </w:rPr>
      </w:pPr>
    </w:p>
    <w:p w:rsidR="007E4B9B" w:rsidRDefault="00A4565C" w:rsidP="007E4B9B">
      <w:pPr>
        <w:widowControl/>
        <w:numPr>
          <w:ilvl w:val="0"/>
          <w:numId w:val="1"/>
        </w:numPr>
        <w:tabs>
          <w:tab w:val="left" w:pos="0"/>
        </w:tabs>
        <w:spacing w:line="226" w:lineRule="auto"/>
        <w:rPr>
          <w:bCs/>
          <w:sz w:val="20"/>
          <w:szCs w:val="20"/>
        </w:rPr>
      </w:pPr>
      <w:r>
        <w:rPr>
          <w:bCs/>
          <w:sz w:val="20"/>
          <w:szCs w:val="20"/>
        </w:rPr>
        <w:t>Stephen M. Roe, Melissa D. Spivey, Holly C. Lindquist, Kirstin B. Thesing, and Randy P. Strait, E.H. Pechan &amp; Associates, Inc</w:t>
      </w:r>
      <w:r w:rsidR="003A2029" w:rsidRPr="003A2029">
        <w:rPr>
          <w:bCs/>
          <w:sz w:val="20"/>
          <w:szCs w:val="20"/>
        </w:rPr>
        <w:t>.</w:t>
      </w:r>
      <w:r>
        <w:rPr>
          <w:bCs/>
          <w:sz w:val="20"/>
          <w:szCs w:val="20"/>
        </w:rPr>
        <w:t>,</w:t>
      </w:r>
      <w:r w:rsidR="003A2029" w:rsidRPr="003A2029">
        <w:rPr>
          <w:bCs/>
          <w:sz w:val="20"/>
          <w:szCs w:val="20"/>
        </w:rPr>
        <w:t xml:space="preserve"> </w:t>
      </w:r>
      <w:r w:rsidRPr="00A4565C">
        <w:rPr>
          <w:bCs/>
          <w:i/>
          <w:sz w:val="20"/>
          <w:szCs w:val="20"/>
        </w:rPr>
        <w:t>Estimating Ammonia Emissions from Anthropogenic Nonagricultural Sources – Draft Final Report</w:t>
      </w:r>
      <w:r>
        <w:rPr>
          <w:bCs/>
          <w:sz w:val="20"/>
          <w:szCs w:val="20"/>
        </w:rPr>
        <w:t>, prepared for U.S. Environmental Protection Agency, Emission Inventory Improvement Program, April 2004.</w:t>
      </w:r>
    </w:p>
    <w:p w:rsidR="00A4565C" w:rsidRDefault="00A4565C" w:rsidP="00A4565C">
      <w:pPr>
        <w:widowControl/>
        <w:tabs>
          <w:tab w:val="left" w:pos="0"/>
        </w:tabs>
        <w:spacing w:line="226" w:lineRule="auto"/>
        <w:rPr>
          <w:bCs/>
          <w:sz w:val="20"/>
          <w:szCs w:val="20"/>
        </w:rPr>
      </w:pPr>
    </w:p>
    <w:p w:rsidR="00A4565C" w:rsidRDefault="00391D56" w:rsidP="007E4B9B">
      <w:pPr>
        <w:widowControl/>
        <w:numPr>
          <w:ilvl w:val="0"/>
          <w:numId w:val="1"/>
        </w:numPr>
        <w:tabs>
          <w:tab w:val="left" w:pos="0"/>
        </w:tabs>
        <w:spacing w:line="226" w:lineRule="auto"/>
        <w:rPr>
          <w:bCs/>
          <w:sz w:val="20"/>
          <w:szCs w:val="20"/>
        </w:rPr>
      </w:pPr>
      <w:r>
        <w:rPr>
          <w:bCs/>
          <w:sz w:val="20"/>
          <w:szCs w:val="20"/>
        </w:rPr>
        <w:t xml:space="preserve">Prakasam Tata, Jay Witherspoon, Cecil Lue-Hing (eds.), </w:t>
      </w:r>
      <w:r w:rsidRPr="00391D56">
        <w:rPr>
          <w:bCs/>
          <w:sz w:val="20"/>
          <w:szCs w:val="20"/>
          <w:u w:val="single"/>
        </w:rPr>
        <w:t>VOC Emissions from Wastewater Treatment Plants: Characterization, Control, and Compliance</w:t>
      </w:r>
      <w:r>
        <w:rPr>
          <w:bCs/>
          <w:sz w:val="20"/>
          <w:szCs w:val="20"/>
        </w:rPr>
        <w:t>, Lewis Publishers, 2003, p. 261.</w:t>
      </w:r>
    </w:p>
    <w:p w:rsidR="005B0358" w:rsidRPr="007E4B9B" w:rsidRDefault="005B0358" w:rsidP="005B0358">
      <w:pPr>
        <w:widowControl/>
        <w:tabs>
          <w:tab w:val="left" w:pos="0"/>
        </w:tabs>
        <w:spacing w:line="226" w:lineRule="auto"/>
        <w:ind w:left="360"/>
        <w:rPr>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r w:rsidRPr="007E4B9B">
        <w:rPr>
          <w:bCs/>
          <w:sz w:val="20"/>
          <w:szCs w:val="20"/>
        </w:rPr>
        <w:t xml:space="preserve">Memorandum from Bob Lucas, </w:t>
      </w:r>
      <w:r w:rsidR="005B0358">
        <w:rPr>
          <w:bCs/>
          <w:sz w:val="20"/>
          <w:szCs w:val="20"/>
        </w:rPr>
        <w:t>U.S Environmental Protection Agency</w:t>
      </w:r>
      <w:r w:rsidRPr="007E4B9B">
        <w:rPr>
          <w:bCs/>
          <w:sz w:val="20"/>
          <w:szCs w:val="20"/>
        </w:rPr>
        <w:t xml:space="preserve"> to Greg Nizich, U.S. Enviro</w:t>
      </w:r>
      <w:r w:rsidR="005B0358">
        <w:rPr>
          <w:bCs/>
          <w:sz w:val="20"/>
          <w:szCs w:val="20"/>
        </w:rPr>
        <w:t>nmental Protection Agency,</w:t>
      </w:r>
      <w:r w:rsidRPr="007E4B9B">
        <w:rPr>
          <w:bCs/>
          <w:sz w:val="20"/>
          <w:szCs w:val="20"/>
        </w:rPr>
        <w:t xml:space="preserve">  “Review </w:t>
      </w:r>
      <w:r w:rsidR="005B0358">
        <w:rPr>
          <w:bCs/>
          <w:sz w:val="20"/>
          <w:szCs w:val="20"/>
        </w:rPr>
        <w:t>of Baseline Emissions Inventory,</w:t>
      </w:r>
      <w:r w:rsidRPr="007E4B9B">
        <w:rPr>
          <w:bCs/>
          <w:sz w:val="20"/>
          <w:szCs w:val="20"/>
        </w:rPr>
        <w:t xml:space="preserve">”  </w:t>
      </w:r>
      <w:r w:rsidR="005B0358">
        <w:rPr>
          <w:bCs/>
          <w:sz w:val="20"/>
          <w:szCs w:val="20"/>
        </w:rPr>
        <w:t xml:space="preserve">16 October </w:t>
      </w:r>
      <w:r w:rsidRPr="007E4B9B">
        <w:rPr>
          <w:bCs/>
          <w:sz w:val="20"/>
          <w:szCs w:val="20"/>
        </w:rPr>
        <w:t>1998.</w:t>
      </w:r>
    </w:p>
    <w:p w:rsidR="007E4B9B" w:rsidRPr="007E4B9B" w:rsidRDefault="007E4B9B" w:rsidP="007E4B9B">
      <w:pPr>
        <w:widowControl/>
        <w:tabs>
          <w:tab w:val="left" w:pos="0"/>
        </w:tabs>
        <w:spacing w:line="226" w:lineRule="auto"/>
        <w:ind w:left="360"/>
        <w:rPr>
          <w:bCs/>
          <w:sz w:val="20"/>
          <w:szCs w:val="20"/>
        </w:rPr>
      </w:pPr>
    </w:p>
    <w:p w:rsidR="007E4B9B" w:rsidRPr="007E4B9B" w:rsidRDefault="007E4B9B" w:rsidP="007E4B9B">
      <w:pPr>
        <w:widowControl/>
        <w:numPr>
          <w:ilvl w:val="0"/>
          <w:numId w:val="1"/>
        </w:numPr>
        <w:tabs>
          <w:tab w:val="left" w:pos="0"/>
        </w:tabs>
        <w:spacing w:line="226" w:lineRule="auto"/>
        <w:rPr>
          <w:bCs/>
          <w:sz w:val="20"/>
          <w:szCs w:val="20"/>
        </w:rPr>
      </w:pPr>
      <w:r w:rsidRPr="007E4B9B">
        <w:rPr>
          <w:bCs/>
          <w:sz w:val="20"/>
          <w:szCs w:val="20"/>
        </w:rPr>
        <w:t xml:space="preserve">U.S. </w:t>
      </w:r>
      <w:r w:rsidR="005B0358">
        <w:rPr>
          <w:bCs/>
          <w:sz w:val="20"/>
          <w:szCs w:val="20"/>
        </w:rPr>
        <w:t>Environmental Protection Agency,</w:t>
      </w:r>
      <w:r w:rsidRPr="007E4B9B">
        <w:rPr>
          <w:bCs/>
          <w:sz w:val="20"/>
          <w:szCs w:val="20"/>
        </w:rPr>
        <w:t xml:space="preserve"> “Facilities Database (Needs Surve</w:t>
      </w:r>
      <w:r w:rsidR="005B0358">
        <w:rPr>
          <w:bCs/>
          <w:sz w:val="20"/>
          <w:szCs w:val="20"/>
        </w:rPr>
        <w:t>y) - Frequently Asked Questions,</w:t>
      </w:r>
      <w:r w:rsidRPr="007E4B9B">
        <w:rPr>
          <w:bCs/>
          <w:sz w:val="20"/>
          <w:szCs w:val="20"/>
        </w:rPr>
        <w:t xml:space="preserve">” </w:t>
      </w:r>
      <w:r w:rsidR="005B0358">
        <w:rPr>
          <w:bCs/>
          <w:sz w:val="20"/>
          <w:szCs w:val="20"/>
        </w:rPr>
        <w:t>at</w:t>
      </w:r>
      <w:r w:rsidRPr="007E4B9B">
        <w:rPr>
          <w:bCs/>
          <w:sz w:val="20"/>
          <w:szCs w:val="20"/>
        </w:rPr>
        <w:t xml:space="preserve"> </w:t>
      </w:r>
      <w:hyperlink r:id="rId11" w:history="1">
        <w:r w:rsidR="005B0358" w:rsidRPr="00A670DA">
          <w:rPr>
            <w:rStyle w:val="Hyperlink"/>
            <w:bCs/>
            <w:sz w:val="20"/>
            <w:szCs w:val="20"/>
          </w:rPr>
          <w:t>http://www.epa.gov/owm/mtb/cwns/1996rtc/faqwfd.htm</w:t>
        </w:r>
      </w:hyperlink>
      <w:r w:rsidR="005B0358">
        <w:rPr>
          <w:bCs/>
          <w:sz w:val="20"/>
          <w:szCs w:val="20"/>
        </w:rPr>
        <w:t xml:space="preserve">, accessed </w:t>
      </w:r>
      <w:smartTag w:uri="urn:schemas-microsoft-com:office:smarttags" w:element="date">
        <w:smartTagPr>
          <w:attr w:name="Year" w:val="2009"/>
          <w:attr w:name="Day" w:val="22"/>
          <w:attr w:name="Month" w:val="5"/>
        </w:smartTagPr>
        <w:r w:rsidR="005B0358">
          <w:rPr>
            <w:bCs/>
            <w:sz w:val="20"/>
            <w:szCs w:val="20"/>
          </w:rPr>
          <w:t>22 May</w:t>
        </w:r>
        <w:r w:rsidRPr="007E4B9B">
          <w:rPr>
            <w:bCs/>
            <w:sz w:val="20"/>
            <w:szCs w:val="20"/>
          </w:rPr>
          <w:t xml:space="preserve"> 200</w:t>
        </w:r>
        <w:r w:rsidR="00E31784">
          <w:rPr>
            <w:bCs/>
            <w:sz w:val="20"/>
            <w:szCs w:val="20"/>
          </w:rPr>
          <w:t>9</w:t>
        </w:r>
      </w:smartTag>
      <w:r w:rsidRPr="007E4B9B">
        <w:rPr>
          <w:bCs/>
          <w:sz w:val="20"/>
          <w:szCs w:val="20"/>
        </w:rPr>
        <w:t>.</w:t>
      </w:r>
    </w:p>
    <w:p w:rsidR="007E4B9B" w:rsidRPr="007E4B9B" w:rsidRDefault="007E4B9B" w:rsidP="007E4B9B">
      <w:pPr>
        <w:widowControl/>
        <w:tabs>
          <w:tab w:val="left" w:pos="0"/>
        </w:tabs>
        <w:spacing w:line="226" w:lineRule="auto"/>
        <w:ind w:left="360"/>
        <w:rPr>
          <w:bCs/>
          <w:sz w:val="20"/>
          <w:szCs w:val="20"/>
        </w:rPr>
      </w:pPr>
    </w:p>
    <w:p w:rsidR="007E4B9B" w:rsidRPr="007E4B9B" w:rsidRDefault="007E4B9B" w:rsidP="007E4B9B">
      <w:pPr>
        <w:widowControl/>
        <w:tabs>
          <w:tab w:val="left" w:pos="0"/>
        </w:tabs>
        <w:spacing w:line="226" w:lineRule="auto"/>
        <w:ind w:left="270" w:hanging="270"/>
        <w:rPr>
          <w:b/>
          <w:bCs/>
          <w:sz w:val="20"/>
          <w:szCs w:val="20"/>
        </w:rPr>
      </w:pPr>
    </w:p>
    <w:p w:rsidR="007E4B9B" w:rsidRPr="007E4B9B" w:rsidRDefault="00453DD0" w:rsidP="00465EFA">
      <w:pPr>
        <w:widowControl/>
        <w:tabs>
          <w:tab w:val="left" w:pos="0"/>
        </w:tabs>
        <w:spacing w:line="226" w:lineRule="auto"/>
        <w:jc w:val="center"/>
        <w:rPr>
          <w:b/>
          <w:bCs/>
          <w:sz w:val="20"/>
          <w:szCs w:val="20"/>
        </w:rPr>
      </w:pPr>
      <w:r>
        <w:rPr>
          <w:b/>
          <w:bCs/>
          <w:sz w:val="20"/>
          <w:szCs w:val="20"/>
        </w:rPr>
        <w:br w:type="page"/>
      </w:r>
      <w:r w:rsidR="00465EFA">
        <w:rPr>
          <w:b/>
          <w:bCs/>
          <w:sz w:val="20"/>
          <w:szCs w:val="20"/>
        </w:rPr>
        <w:lastRenderedPageBreak/>
        <w:t xml:space="preserve">Table 1. </w:t>
      </w:r>
      <w:r w:rsidR="00862F3A">
        <w:rPr>
          <w:b/>
          <w:bCs/>
          <w:sz w:val="20"/>
          <w:szCs w:val="20"/>
        </w:rPr>
        <w:t>Criteria and HAP Emission</w:t>
      </w:r>
      <w:r w:rsidR="00465EFA">
        <w:rPr>
          <w:b/>
          <w:bCs/>
          <w:sz w:val="20"/>
          <w:szCs w:val="20"/>
        </w:rPr>
        <w:t xml:space="preserve"> Factors for Publicly Owned Treatment Works (</w:t>
      </w:r>
      <w:smartTag w:uri="urn:schemas-microsoft-com:office:smarttags" w:element="stockticker">
        <w:r w:rsidR="00465EFA">
          <w:rPr>
            <w:b/>
            <w:bCs/>
            <w:sz w:val="20"/>
            <w:szCs w:val="20"/>
          </w:rPr>
          <w:t>SCC</w:t>
        </w:r>
      </w:smartTag>
      <w:r w:rsidR="00465EFA">
        <w:rPr>
          <w:b/>
          <w:bCs/>
          <w:sz w:val="20"/>
          <w:szCs w:val="20"/>
        </w:rPr>
        <w:t xml:space="preserve"> 2630020000): Not Adjusted for Point Source Emissions</w:t>
      </w:r>
    </w:p>
    <w:p w:rsidR="007E4B9B" w:rsidRDefault="007E4B9B" w:rsidP="00F65502">
      <w:pPr>
        <w:widowControl/>
        <w:tabs>
          <w:tab w:val="left" w:pos="0"/>
        </w:tabs>
        <w:spacing w:line="226" w:lineRule="auto"/>
        <w:rPr>
          <w:b/>
          <w:bCs/>
          <w:sz w:val="20"/>
          <w:szCs w:val="20"/>
        </w:rPr>
      </w:pPr>
    </w:p>
    <w:tbl>
      <w:tblPr>
        <w:tblW w:w="9185" w:type="dxa"/>
        <w:tblInd w:w="93" w:type="dxa"/>
        <w:tblLook w:val="0000" w:firstRow="0" w:lastRow="0" w:firstColumn="0" w:lastColumn="0" w:noHBand="0" w:noVBand="0"/>
      </w:tblPr>
      <w:tblGrid>
        <w:gridCol w:w="5235"/>
        <w:gridCol w:w="1285"/>
        <w:gridCol w:w="1383"/>
        <w:gridCol w:w="1282"/>
      </w:tblGrid>
      <w:tr w:rsidR="00465EFA" w:rsidRPr="00465EFA" w:rsidTr="008F72CE">
        <w:trPr>
          <w:trHeight w:val="1020"/>
          <w:tblHeader/>
        </w:trPr>
        <w:tc>
          <w:tcPr>
            <w:tcW w:w="5235" w:type="dxa"/>
            <w:tcBorders>
              <w:top w:val="single" w:sz="4" w:space="0" w:color="auto"/>
              <w:left w:val="single" w:sz="4" w:space="0" w:color="auto"/>
              <w:bottom w:val="single" w:sz="4" w:space="0" w:color="auto"/>
              <w:right w:val="single" w:sz="4" w:space="0" w:color="auto"/>
            </w:tcBorders>
            <w:shd w:val="clear" w:color="auto" w:fill="auto"/>
            <w:vAlign w:val="bottom"/>
          </w:tcPr>
          <w:p w:rsidR="00465EFA" w:rsidRPr="00465EFA" w:rsidRDefault="00465EFA" w:rsidP="00465EFA">
            <w:pPr>
              <w:widowControl/>
              <w:autoSpaceDE/>
              <w:autoSpaceDN/>
              <w:adjustRightInd/>
              <w:rPr>
                <w:b/>
                <w:bCs/>
                <w:sz w:val="20"/>
                <w:szCs w:val="20"/>
              </w:rPr>
            </w:pPr>
            <w:r w:rsidRPr="00465EFA">
              <w:rPr>
                <w:b/>
                <w:bCs/>
                <w:sz w:val="20"/>
                <w:szCs w:val="20"/>
              </w:rPr>
              <w:t>Pollutant Description</w:t>
            </w:r>
          </w:p>
        </w:tc>
        <w:tc>
          <w:tcPr>
            <w:tcW w:w="1285" w:type="dxa"/>
            <w:tcBorders>
              <w:top w:val="single" w:sz="4" w:space="0" w:color="auto"/>
              <w:left w:val="nil"/>
              <w:bottom w:val="single" w:sz="4" w:space="0" w:color="auto"/>
              <w:right w:val="single" w:sz="4" w:space="0" w:color="auto"/>
            </w:tcBorders>
            <w:shd w:val="clear" w:color="auto" w:fill="auto"/>
            <w:vAlign w:val="bottom"/>
          </w:tcPr>
          <w:p w:rsidR="00465EFA" w:rsidRPr="00465EFA" w:rsidRDefault="00C20628" w:rsidP="00465EFA">
            <w:pPr>
              <w:widowControl/>
              <w:autoSpaceDE/>
              <w:autoSpaceDN/>
              <w:adjustRightInd/>
              <w:jc w:val="center"/>
              <w:rPr>
                <w:b/>
                <w:bCs/>
                <w:sz w:val="20"/>
                <w:szCs w:val="20"/>
              </w:rPr>
            </w:pPr>
            <w:r>
              <w:rPr>
                <w:b/>
                <w:bCs/>
                <w:sz w:val="20"/>
                <w:szCs w:val="20"/>
              </w:rPr>
              <w:t>NEI</w:t>
            </w:r>
            <w:r w:rsidR="00465EFA" w:rsidRPr="00465EFA">
              <w:rPr>
                <w:b/>
                <w:bCs/>
                <w:sz w:val="20"/>
                <w:szCs w:val="20"/>
              </w:rPr>
              <w:t xml:space="preserve"> Pollutant Codes</w:t>
            </w:r>
          </w:p>
        </w:tc>
        <w:tc>
          <w:tcPr>
            <w:tcW w:w="1383" w:type="dxa"/>
            <w:tcBorders>
              <w:top w:val="single" w:sz="4" w:space="0" w:color="auto"/>
              <w:left w:val="nil"/>
              <w:bottom w:val="single" w:sz="4" w:space="0" w:color="auto"/>
              <w:right w:val="single" w:sz="4" w:space="0" w:color="auto"/>
            </w:tcBorders>
            <w:shd w:val="clear" w:color="auto" w:fill="auto"/>
            <w:vAlign w:val="bottom"/>
          </w:tcPr>
          <w:p w:rsidR="00465EFA" w:rsidRPr="00465EFA" w:rsidRDefault="00862F3A" w:rsidP="00465EFA">
            <w:pPr>
              <w:widowControl/>
              <w:autoSpaceDE/>
              <w:autoSpaceDN/>
              <w:adjustRightInd/>
              <w:jc w:val="center"/>
              <w:rPr>
                <w:b/>
                <w:bCs/>
                <w:sz w:val="20"/>
                <w:szCs w:val="20"/>
              </w:rPr>
            </w:pPr>
            <w:r>
              <w:rPr>
                <w:b/>
                <w:bCs/>
                <w:sz w:val="20"/>
                <w:szCs w:val="20"/>
              </w:rPr>
              <w:t>Emission</w:t>
            </w:r>
            <w:r w:rsidR="00465EFA" w:rsidRPr="00465EFA">
              <w:rPr>
                <w:b/>
                <w:bCs/>
                <w:sz w:val="20"/>
                <w:szCs w:val="20"/>
              </w:rPr>
              <w:t xml:space="preserve"> Factor (lb/MMGAL)</w:t>
            </w:r>
          </w:p>
        </w:tc>
        <w:tc>
          <w:tcPr>
            <w:tcW w:w="1282" w:type="dxa"/>
            <w:tcBorders>
              <w:top w:val="single" w:sz="4" w:space="0" w:color="auto"/>
              <w:left w:val="nil"/>
              <w:bottom w:val="single" w:sz="4" w:space="0" w:color="auto"/>
              <w:right w:val="single" w:sz="4" w:space="0" w:color="auto"/>
            </w:tcBorders>
            <w:shd w:val="clear" w:color="auto" w:fill="auto"/>
            <w:vAlign w:val="bottom"/>
          </w:tcPr>
          <w:p w:rsidR="00465EFA" w:rsidRPr="00465EFA" w:rsidRDefault="00862F3A" w:rsidP="00465EFA">
            <w:pPr>
              <w:widowControl/>
              <w:autoSpaceDE/>
              <w:autoSpaceDN/>
              <w:adjustRightInd/>
              <w:jc w:val="center"/>
              <w:rPr>
                <w:b/>
                <w:bCs/>
                <w:sz w:val="20"/>
                <w:szCs w:val="20"/>
              </w:rPr>
            </w:pPr>
            <w:r>
              <w:rPr>
                <w:b/>
                <w:bCs/>
                <w:sz w:val="20"/>
                <w:szCs w:val="20"/>
              </w:rPr>
              <w:t>Emission</w:t>
            </w:r>
            <w:r w:rsidR="00465EFA" w:rsidRPr="00465EFA">
              <w:rPr>
                <w:b/>
                <w:bCs/>
                <w:sz w:val="20"/>
                <w:szCs w:val="20"/>
              </w:rPr>
              <w:t xml:space="preserve"> Factor Reference(s)</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1,1,2,2-TETRACHLOROETHANE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79345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1,1,2-TRICHLOROETHANE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79005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1.17E-06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1,2,4-TRICHLOROBENZENE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120821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8.67E-05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1,3-BUTADIENE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106990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2.51E-05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1,4-DICHLOROBENZENE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106467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2.16E-04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1-CHLORO-2,3-EPOXYPROPANE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106898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4.52E-06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2,4-DINITROTOLUENE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121142</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4.81E-05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2-NITROPROPANE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79469</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2.92E-07</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ACETALDEHYDE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75070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3.10E-04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ACETONITRILE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75058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3.45E-04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ACROLEIN</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107028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3.84E-04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ACRYLONITRILE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107131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3.86E-04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ALLYL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107051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1.94E-05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AMMONIA</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NH3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1.69E-01</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4</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71432</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6.73E-03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BENZYL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100447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8.17E-06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BIPHENYL</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92524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7.52E-05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CARBON DISULFIDE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75150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4.32E-03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CARBON TETRACHLORIDE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56235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1.12E-03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CHLOROBENZENE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108907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4.83E-04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CHLOROFORM</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67663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6.44E-03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CHLOROPRENE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126998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2.38E-05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C20628" w:rsidRDefault="00C20628" w:rsidP="00465EFA">
            <w:pPr>
              <w:widowControl/>
              <w:autoSpaceDE/>
              <w:autoSpaceDN/>
              <w:adjustRightInd/>
              <w:rPr>
                <w:sz w:val="20"/>
                <w:szCs w:val="20"/>
              </w:rPr>
            </w:pPr>
            <w:r w:rsidRPr="00C20628">
              <w:rPr>
                <w:iCs/>
                <w:sz w:val="20"/>
                <w:szCs w:val="20"/>
              </w:rPr>
              <w:t>CRESOLS/CRESYLIC ACID (ISOMERS AND MIXTURE</w:t>
            </w:r>
            <w:r>
              <w:rPr>
                <w:iCs/>
                <w:sz w:val="20"/>
                <w:szCs w:val="20"/>
              </w:rPr>
              <w:t>)</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C20628" w:rsidP="00465EFA">
            <w:pPr>
              <w:widowControl/>
              <w:autoSpaceDE/>
              <w:autoSpaceDN/>
              <w:adjustRightInd/>
              <w:jc w:val="center"/>
              <w:rPr>
                <w:color w:val="000000"/>
                <w:sz w:val="20"/>
                <w:szCs w:val="20"/>
              </w:rPr>
            </w:pPr>
            <w:r>
              <w:rPr>
                <w:color w:val="000000"/>
                <w:sz w:val="20"/>
                <w:szCs w:val="20"/>
              </w:rPr>
              <w:t>1319773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1.61E-06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DIMETHYL SULFATE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77781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1.31E-06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ETHYL ACRYLATE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140885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ETHYL 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100414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7.66E-03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ETHYLENE OXIDE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75218</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2.22E-04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FORMALDEHYDE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50000</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1.97E-05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GLYCOL ETHERS</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171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1.15E-02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HEXACHLOROBUTADIENE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87683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7.29E-07</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HEXACHLOROCYCLOPENTADIENE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77474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5.83E-07</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METHANOL</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67561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1.14E-02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CHLOROFORM</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71556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5.63E-04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ISOBUTYL KETONE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108101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2.69E-03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METHACRYLATE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80626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3.11E-04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 TERT-BUTYL ETHER</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1634044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6.37E-05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METHYLENE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75092</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9.10E-03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N,N-DIMETHYLANILINE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121697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3.22E-04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NAPHTHALENE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91203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1.31E-03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NITROBENZENE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98953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6.56E-06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O-TOLUIDINE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95534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1.75E-06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lastRenderedPageBreak/>
              <w:t>P-DIOXANE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123911</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1.79E-05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PROPIONALDEHYDE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123386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3.50E-06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PROPYLENE DICHLORIDE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78875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1.15E-05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PROPYLENE OXIDE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75569</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7.32E-04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STYRENE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100425</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2.73E-03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TETRACHLOROETHYLENE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127184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4.27E-03</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TOLUENE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108883</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1.23E-02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TRICHLOROETHYLENE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79016</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3.06E-04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VINYL ACETATE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108054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7.66E-05</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VINYL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75014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6.71E-06</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VINYLIDENE CHLORIDE</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75354</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4.23E-04</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VOLATILE ORGANIC COMPOUNDS</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VOC</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8.50E-01</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Pr>
                <w:sz w:val="20"/>
                <w:szCs w:val="20"/>
              </w:rPr>
              <w:t>5</w:t>
            </w:r>
          </w:p>
        </w:tc>
      </w:tr>
      <w:tr w:rsidR="007A4112" w:rsidRPr="00465EFA" w:rsidTr="00C20628">
        <w:trPr>
          <w:trHeight w:val="255"/>
        </w:trPr>
        <w:tc>
          <w:tcPr>
            <w:tcW w:w="5235" w:type="dxa"/>
            <w:tcBorders>
              <w:top w:val="nil"/>
              <w:left w:val="single" w:sz="4" w:space="0" w:color="auto"/>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rPr>
                <w:color w:val="000000"/>
                <w:sz w:val="20"/>
                <w:szCs w:val="20"/>
              </w:rPr>
            </w:pPr>
            <w:r w:rsidRPr="00465EFA">
              <w:rPr>
                <w:color w:val="000000"/>
                <w:sz w:val="20"/>
                <w:szCs w:val="20"/>
              </w:rPr>
              <w:t xml:space="preserve">XYLENES (MIXTURE OF O, M, </w:t>
            </w:r>
            <w:smartTag w:uri="urn:schemas-microsoft-com:office:smarttags" w:element="stockticker">
              <w:r w:rsidRPr="00465EFA">
                <w:rPr>
                  <w:color w:val="000000"/>
                  <w:sz w:val="20"/>
                  <w:szCs w:val="20"/>
                </w:rPr>
                <w:t>AND</w:t>
              </w:r>
            </w:smartTag>
            <w:r w:rsidRPr="00465EFA">
              <w:rPr>
                <w:color w:val="000000"/>
                <w:sz w:val="20"/>
                <w:szCs w:val="20"/>
              </w:rPr>
              <w:t xml:space="preserve"> P ISOMERS)</w:t>
            </w:r>
          </w:p>
        </w:tc>
        <w:tc>
          <w:tcPr>
            <w:tcW w:w="1285"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color w:val="000000"/>
                <w:sz w:val="20"/>
                <w:szCs w:val="20"/>
              </w:rPr>
            </w:pPr>
            <w:r w:rsidRPr="00465EFA">
              <w:rPr>
                <w:color w:val="000000"/>
                <w:sz w:val="20"/>
                <w:szCs w:val="20"/>
              </w:rPr>
              <w:t>1330207</w:t>
            </w:r>
          </w:p>
        </w:tc>
        <w:tc>
          <w:tcPr>
            <w:tcW w:w="1383" w:type="dxa"/>
            <w:tcBorders>
              <w:top w:val="nil"/>
              <w:left w:val="nil"/>
              <w:bottom w:val="single" w:sz="4" w:space="0" w:color="auto"/>
              <w:right w:val="single" w:sz="4" w:space="0" w:color="auto"/>
            </w:tcBorders>
            <w:shd w:val="clear" w:color="auto" w:fill="auto"/>
            <w:vAlign w:val="bottom"/>
          </w:tcPr>
          <w:p w:rsidR="007A4112" w:rsidRDefault="007A4112">
            <w:pPr>
              <w:jc w:val="center"/>
              <w:rPr>
                <w:sz w:val="20"/>
                <w:szCs w:val="20"/>
              </w:rPr>
            </w:pPr>
            <w:r>
              <w:rPr>
                <w:sz w:val="20"/>
                <w:szCs w:val="20"/>
              </w:rPr>
              <w:t>5.98E-02</w:t>
            </w:r>
          </w:p>
        </w:tc>
        <w:tc>
          <w:tcPr>
            <w:tcW w:w="1282" w:type="dxa"/>
            <w:tcBorders>
              <w:top w:val="nil"/>
              <w:left w:val="nil"/>
              <w:bottom w:val="single" w:sz="4" w:space="0" w:color="auto"/>
              <w:right w:val="single" w:sz="4" w:space="0" w:color="auto"/>
            </w:tcBorders>
            <w:shd w:val="clear" w:color="auto" w:fill="auto"/>
            <w:noWrap/>
            <w:vAlign w:val="bottom"/>
          </w:tcPr>
          <w:p w:rsidR="007A4112" w:rsidRPr="00465EFA" w:rsidRDefault="007A4112" w:rsidP="00465EFA">
            <w:pPr>
              <w:widowControl/>
              <w:autoSpaceDE/>
              <w:autoSpaceDN/>
              <w:adjustRightInd/>
              <w:jc w:val="center"/>
              <w:rPr>
                <w:sz w:val="20"/>
                <w:szCs w:val="20"/>
              </w:rPr>
            </w:pPr>
            <w:r w:rsidRPr="00465EFA">
              <w:rPr>
                <w:sz w:val="20"/>
                <w:szCs w:val="20"/>
              </w:rPr>
              <w:t>6, 7</w:t>
            </w:r>
          </w:p>
        </w:tc>
      </w:tr>
      <w:tr w:rsidR="00465EFA" w:rsidRPr="00465EFA" w:rsidTr="00C20628">
        <w:trPr>
          <w:trHeight w:val="255"/>
        </w:trPr>
        <w:tc>
          <w:tcPr>
            <w:tcW w:w="5235"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rPr>
                <w:sz w:val="20"/>
                <w:szCs w:val="20"/>
              </w:rPr>
            </w:pPr>
          </w:p>
        </w:tc>
        <w:tc>
          <w:tcPr>
            <w:tcW w:w="1285"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383"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282"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rPr>
                <w:sz w:val="20"/>
                <w:szCs w:val="20"/>
              </w:rPr>
            </w:pPr>
          </w:p>
        </w:tc>
      </w:tr>
      <w:tr w:rsidR="00465EFA" w:rsidRPr="00465EFA" w:rsidTr="00C20628">
        <w:trPr>
          <w:trHeight w:val="255"/>
        </w:trPr>
        <w:tc>
          <w:tcPr>
            <w:tcW w:w="5235" w:type="dxa"/>
            <w:tcBorders>
              <w:top w:val="nil"/>
              <w:left w:val="nil"/>
              <w:bottom w:val="nil"/>
              <w:right w:val="nil"/>
            </w:tcBorders>
            <w:shd w:val="clear" w:color="auto" w:fill="auto"/>
            <w:noWrap/>
          </w:tcPr>
          <w:p w:rsidR="00465EFA" w:rsidRPr="00465EFA" w:rsidRDefault="00465EFA" w:rsidP="00465EFA">
            <w:pPr>
              <w:widowControl/>
              <w:autoSpaceDE/>
              <w:autoSpaceDN/>
              <w:adjustRightInd/>
              <w:rPr>
                <w:sz w:val="16"/>
                <w:szCs w:val="16"/>
              </w:rPr>
            </w:pPr>
            <w:r w:rsidRPr="00465EFA">
              <w:rPr>
                <w:sz w:val="16"/>
                <w:szCs w:val="16"/>
              </w:rPr>
              <w:t>lb/MMGAL = pounds per million gallons</w:t>
            </w:r>
          </w:p>
        </w:tc>
        <w:tc>
          <w:tcPr>
            <w:tcW w:w="1285"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383"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jc w:val="center"/>
              <w:rPr>
                <w:sz w:val="20"/>
                <w:szCs w:val="20"/>
              </w:rPr>
            </w:pPr>
          </w:p>
        </w:tc>
        <w:tc>
          <w:tcPr>
            <w:tcW w:w="1282" w:type="dxa"/>
            <w:tcBorders>
              <w:top w:val="nil"/>
              <w:left w:val="nil"/>
              <w:bottom w:val="nil"/>
              <w:right w:val="nil"/>
            </w:tcBorders>
            <w:shd w:val="clear" w:color="auto" w:fill="auto"/>
            <w:noWrap/>
            <w:vAlign w:val="bottom"/>
          </w:tcPr>
          <w:p w:rsidR="00465EFA" w:rsidRPr="00465EFA" w:rsidRDefault="00465EFA" w:rsidP="00465EFA">
            <w:pPr>
              <w:widowControl/>
              <w:autoSpaceDE/>
              <w:autoSpaceDN/>
              <w:adjustRightInd/>
              <w:rPr>
                <w:sz w:val="20"/>
                <w:szCs w:val="20"/>
              </w:rPr>
            </w:pPr>
          </w:p>
        </w:tc>
      </w:tr>
    </w:tbl>
    <w:p w:rsidR="00465EFA" w:rsidRDefault="00465EFA" w:rsidP="00F65502">
      <w:pPr>
        <w:widowControl/>
        <w:tabs>
          <w:tab w:val="left" w:pos="0"/>
        </w:tabs>
        <w:spacing w:line="226" w:lineRule="auto"/>
        <w:rPr>
          <w:b/>
          <w:bCs/>
          <w:sz w:val="20"/>
          <w:szCs w:val="20"/>
        </w:rPr>
      </w:pPr>
    </w:p>
    <w:p w:rsidR="00465EFA" w:rsidRDefault="00465EFA" w:rsidP="00F65502">
      <w:pPr>
        <w:widowControl/>
        <w:tabs>
          <w:tab w:val="left" w:pos="0"/>
        </w:tabs>
        <w:spacing w:line="226" w:lineRule="auto"/>
        <w:rPr>
          <w:b/>
          <w:bCs/>
          <w:sz w:val="20"/>
          <w:szCs w:val="20"/>
        </w:rPr>
      </w:pPr>
    </w:p>
    <w:sectPr w:rsidR="00465EFA">
      <w:head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0A2" w:rsidRDefault="002A50A2">
      <w:r>
        <w:separator/>
      </w:r>
    </w:p>
  </w:endnote>
  <w:endnote w:type="continuationSeparator" w:id="0">
    <w:p w:rsidR="002A50A2" w:rsidRDefault="002A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hruti">
    <w:panose1 w:val="020B0502040204020203"/>
    <w:charset w:val="00"/>
    <w:family w:val="swiss"/>
    <w:pitch w:val="variable"/>
    <w:sig w:usb0="0004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0A2" w:rsidRDefault="002A50A2">
      <w:r>
        <w:separator/>
      </w:r>
    </w:p>
  </w:footnote>
  <w:footnote w:type="continuationSeparator" w:id="0">
    <w:p w:rsidR="002A50A2" w:rsidRDefault="002A5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FF7" w:rsidRDefault="005F2FF7" w:rsidP="00522807">
    <w:pPr>
      <w:widowControl/>
      <w:tabs>
        <w:tab w:val="left" w:pos="0"/>
      </w:tabs>
      <w:spacing w:line="226" w:lineRule="auto"/>
      <w:rPr>
        <w:b/>
        <w:bCs/>
        <w:sz w:val="20"/>
        <w:szCs w:val="20"/>
      </w:rPr>
    </w:pPr>
    <w:r>
      <w:rPr>
        <w:b/>
        <w:bCs/>
        <w:sz w:val="20"/>
        <w:szCs w:val="20"/>
      </w:rPr>
      <w:t xml:space="preserve">PUBLICLY OWNED TREATMENT WORKS (POTWS) </w:t>
    </w:r>
  </w:p>
  <w:p w:rsidR="005F2FF7" w:rsidRDefault="005F2FF7" w:rsidP="00522807">
    <w:pPr>
      <w:widowControl/>
      <w:tabs>
        <w:tab w:val="left" w:pos="0"/>
      </w:tabs>
      <w:spacing w:line="226" w:lineRule="auto"/>
      <w:rPr>
        <w:rFonts w:ascii="Shruti" w:hAnsi="Shruti" w:cs="Shruti"/>
        <w:sz w:val="20"/>
        <w:szCs w:val="20"/>
      </w:rPr>
    </w:pPr>
    <w:smartTag w:uri="urn:schemas-microsoft-com:office:smarttags" w:element="stockticker">
      <w:r>
        <w:rPr>
          <w:sz w:val="20"/>
          <w:szCs w:val="20"/>
        </w:rPr>
        <w:t>SCC</w:t>
      </w:r>
    </w:smartTag>
    <w:r>
      <w:rPr>
        <w:sz w:val="20"/>
        <w:szCs w:val="20"/>
      </w:rPr>
      <w:t>:  2630020000</w:t>
    </w:r>
  </w:p>
  <w:p w:rsidR="005F2FF7" w:rsidRDefault="005F2FF7" w:rsidP="00522807">
    <w:pPr>
      <w:widowControl/>
      <w:tabs>
        <w:tab w:val="left" w:pos="0"/>
      </w:tabs>
      <w:spacing w:line="226" w:lineRule="auto"/>
      <w:rPr>
        <w:rFonts w:ascii="Shruti" w:hAnsi="Shruti" w:cs="Shruti"/>
        <w:sz w:val="20"/>
        <w:szCs w:val="20"/>
      </w:rPr>
    </w:pPr>
  </w:p>
  <w:p w:rsidR="005F2FF7" w:rsidRDefault="005F2FF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EE6D5A"/>
    <w:multiLevelType w:val="hybridMultilevel"/>
    <w:tmpl w:val="9A6CBA3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EFC50CD"/>
    <w:multiLevelType w:val="hybridMultilevel"/>
    <w:tmpl w:val="702E0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rawingGridVerticalSpacing w:val="18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91F"/>
    <w:rsid w:val="00012356"/>
    <w:rsid w:val="000240F0"/>
    <w:rsid w:val="00033245"/>
    <w:rsid w:val="000341F2"/>
    <w:rsid w:val="000C38E8"/>
    <w:rsid w:val="000C55FC"/>
    <w:rsid w:val="0010554C"/>
    <w:rsid w:val="00141DEE"/>
    <w:rsid w:val="0014341E"/>
    <w:rsid w:val="001456D4"/>
    <w:rsid w:val="001A72E1"/>
    <w:rsid w:val="00205A7F"/>
    <w:rsid w:val="00225334"/>
    <w:rsid w:val="0025218F"/>
    <w:rsid w:val="002746EA"/>
    <w:rsid w:val="00277708"/>
    <w:rsid w:val="002869AE"/>
    <w:rsid w:val="002A1A2F"/>
    <w:rsid w:val="002A50A2"/>
    <w:rsid w:val="002B5001"/>
    <w:rsid w:val="002C1570"/>
    <w:rsid w:val="002C269A"/>
    <w:rsid w:val="002E5538"/>
    <w:rsid w:val="00304A8A"/>
    <w:rsid w:val="00316DAB"/>
    <w:rsid w:val="00330D09"/>
    <w:rsid w:val="00372140"/>
    <w:rsid w:val="00391D56"/>
    <w:rsid w:val="00397B6C"/>
    <w:rsid w:val="003A2029"/>
    <w:rsid w:val="003A2207"/>
    <w:rsid w:val="003F254A"/>
    <w:rsid w:val="003F2B28"/>
    <w:rsid w:val="00453DD0"/>
    <w:rsid w:val="004548D8"/>
    <w:rsid w:val="00465EFA"/>
    <w:rsid w:val="00474711"/>
    <w:rsid w:val="004A3596"/>
    <w:rsid w:val="004D0DEF"/>
    <w:rsid w:val="00522807"/>
    <w:rsid w:val="0054104A"/>
    <w:rsid w:val="00566089"/>
    <w:rsid w:val="005B0358"/>
    <w:rsid w:val="005B7FDF"/>
    <w:rsid w:val="005E634A"/>
    <w:rsid w:val="005F2FF7"/>
    <w:rsid w:val="0060691F"/>
    <w:rsid w:val="006120A2"/>
    <w:rsid w:val="00682B9B"/>
    <w:rsid w:val="00695310"/>
    <w:rsid w:val="006A5D1B"/>
    <w:rsid w:val="006C4F2E"/>
    <w:rsid w:val="006E29CD"/>
    <w:rsid w:val="00703279"/>
    <w:rsid w:val="0072761D"/>
    <w:rsid w:val="00736F18"/>
    <w:rsid w:val="00740641"/>
    <w:rsid w:val="007A0B1F"/>
    <w:rsid w:val="007A4112"/>
    <w:rsid w:val="007D252A"/>
    <w:rsid w:val="007D2DB8"/>
    <w:rsid w:val="007E4B9B"/>
    <w:rsid w:val="00802F17"/>
    <w:rsid w:val="0086280D"/>
    <w:rsid w:val="00862F3A"/>
    <w:rsid w:val="00872CC6"/>
    <w:rsid w:val="008B31C4"/>
    <w:rsid w:val="008F72CE"/>
    <w:rsid w:val="0092076A"/>
    <w:rsid w:val="00952E62"/>
    <w:rsid w:val="009834DF"/>
    <w:rsid w:val="009B4D01"/>
    <w:rsid w:val="00A060AF"/>
    <w:rsid w:val="00A4565C"/>
    <w:rsid w:val="00A52C21"/>
    <w:rsid w:val="00A81732"/>
    <w:rsid w:val="00AA114C"/>
    <w:rsid w:val="00AE3BC2"/>
    <w:rsid w:val="00B42B2A"/>
    <w:rsid w:val="00B63E4B"/>
    <w:rsid w:val="00B75D66"/>
    <w:rsid w:val="00BB5E87"/>
    <w:rsid w:val="00C20628"/>
    <w:rsid w:val="00C21BC6"/>
    <w:rsid w:val="00C64E76"/>
    <w:rsid w:val="00C9659C"/>
    <w:rsid w:val="00CA7734"/>
    <w:rsid w:val="00CD7787"/>
    <w:rsid w:val="00D35208"/>
    <w:rsid w:val="00D544A3"/>
    <w:rsid w:val="00D62632"/>
    <w:rsid w:val="00D62E26"/>
    <w:rsid w:val="00D837F3"/>
    <w:rsid w:val="00DA16A5"/>
    <w:rsid w:val="00DA749C"/>
    <w:rsid w:val="00DB3C26"/>
    <w:rsid w:val="00DE003A"/>
    <w:rsid w:val="00DF4355"/>
    <w:rsid w:val="00E24225"/>
    <w:rsid w:val="00E2710E"/>
    <w:rsid w:val="00E31784"/>
    <w:rsid w:val="00E47117"/>
    <w:rsid w:val="00E47864"/>
    <w:rsid w:val="00EA1FBB"/>
    <w:rsid w:val="00F31A69"/>
    <w:rsid w:val="00F61B09"/>
    <w:rsid w:val="00F65502"/>
    <w:rsid w:val="00FB0B6F"/>
    <w:rsid w:val="00FB27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martTagType w:namespaceuri="urn:schemas-microsoft-com:office:smarttags" w:name="stockticker"/>
  <w:smartTagType w:namespaceuri="urn:schemas-microsoft-com:office:smarttags" w:name="date"/>
  <w:shapeDefaults>
    <o:shapedefaults v:ext="edit" spidmax="1026"/>
    <o:shapelayout v:ext="edit">
      <o:idmap v:ext="edit" data="1"/>
    </o:shapelayout>
  </w:shapeDefaults>
  <w:decimalSymbol w:val="."/>
  <w:listSeparator w:val=","/>
  <w15:chartTrackingRefBased/>
  <w15:docId w15:val="{5518554B-3404-4693-B9F5-10D2EB78D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5502"/>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sid w:val="007E4B9B"/>
    <w:rPr>
      <w:color w:val="0000FF"/>
      <w:u w:val="single"/>
    </w:rPr>
  </w:style>
  <w:style w:type="character" w:styleId="FollowedHyperlink">
    <w:name w:val="FollowedHyperlink"/>
    <w:rsid w:val="003A2029"/>
    <w:rPr>
      <w:color w:val="800080"/>
      <w:u w:val="single"/>
    </w:rPr>
  </w:style>
  <w:style w:type="paragraph" w:styleId="Header">
    <w:name w:val="header"/>
    <w:basedOn w:val="Normal"/>
    <w:rsid w:val="00522807"/>
    <w:pPr>
      <w:tabs>
        <w:tab w:val="center" w:pos="4320"/>
        <w:tab w:val="right" w:pos="8640"/>
      </w:tabs>
    </w:pPr>
  </w:style>
  <w:style w:type="paragraph" w:styleId="Footer">
    <w:name w:val="footer"/>
    <w:basedOn w:val="Normal"/>
    <w:rsid w:val="00522807"/>
    <w:pPr>
      <w:tabs>
        <w:tab w:val="center" w:pos="4320"/>
        <w:tab w:val="right" w:pos="8640"/>
      </w:tabs>
    </w:pPr>
  </w:style>
  <w:style w:type="character" w:styleId="CommentReference">
    <w:name w:val="annotation reference"/>
    <w:uiPriority w:val="99"/>
    <w:semiHidden/>
    <w:unhideWhenUsed/>
    <w:rsid w:val="00FB272C"/>
    <w:rPr>
      <w:sz w:val="16"/>
      <w:szCs w:val="16"/>
    </w:rPr>
  </w:style>
  <w:style w:type="paragraph" w:styleId="CommentText">
    <w:name w:val="annotation text"/>
    <w:basedOn w:val="Normal"/>
    <w:link w:val="CommentTextChar"/>
    <w:uiPriority w:val="99"/>
    <w:semiHidden/>
    <w:unhideWhenUsed/>
    <w:rsid w:val="00FB272C"/>
    <w:rPr>
      <w:sz w:val="20"/>
      <w:szCs w:val="20"/>
    </w:rPr>
  </w:style>
  <w:style w:type="character" w:customStyle="1" w:styleId="CommentTextChar">
    <w:name w:val="Comment Text Char"/>
    <w:basedOn w:val="DefaultParagraphFont"/>
    <w:link w:val="CommentText"/>
    <w:uiPriority w:val="99"/>
    <w:semiHidden/>
    <w:rsid w:val="00FB272C"/>
  </w:style>
  <w:style w:type="paragraph" w:styleId="CommentSubject">
    <w:name w:val="annotation subject"/>
    <w:basedOn w:val="CommentText"/>
    <w:next w:val="CommentText"/>
    <w:link w:val="CommentSubjectChar"/>
    <w:uiPriority w:val="99"/>
    <w:semiHidden/>
    <w:unhideWhenUsed/>
    <w:rsid w:val="00FB272C"/>
    <w:rPr>
      <w:b/>
      <w:bCs/>
    </w:rPr>
  </w:style>
  <w:style w:type="character" w:customStyle="1" w:styleId="CommentSubjectChar">
    <w:name w:val="Comment Subject Char"/>
    <w:link w:val="CommentSubject"/>
    <w:uiPriority w:val="99"/>
    <w:semiHidden/>
    <w:rsid w:val="00FB272C"/>
    <w:rPr>
      <w:b/>
      <w:bCs/>
    </w:rPr>
  </w:style>
  <w:style w:type="paragraph" w:styleId="BalloonText">
    <w:name w:val="Balloon Text"/>
    <w:basedOn w:val="Normal"/>
    <w:link w:val="BalloonTextChar"/>
    <w:uiPriority w:val="99"/>
    <w:semiHidden/>
    <w:unhideWhenUsed/>
    <w:rsid w:val="00FB272C"/>
    <w:rPr>
      <w:rFonts w:ascii="Segoe UI" w:hAnsi="Segoe UI" w:cs="Segoe UI"/>
      <w:sz w:val="18"/>
      <w:szCs w:val="18"/>
    </w:rPr>
  </w:style>
  <w:style w:type="character" w:customStyle="1" w:styleId="BalloonTextChar">
    <w:name w:val="Balloon Text Char"/>
    <w:link w:val="BalloonText"/>
    <w:uiPriority w:val="99"/>
    <w:semiHidden/>
    <w:rsid w:val="00FB272C"/>
    <w:rPr>
      <w:rFonts w:ascii="Segoe UI" w:hAnsi="Segoe UI" w:cs="Segoe UI"/>
      <w:sz w:val="18"/>
      <w:szCs w:val="18"/>
    </w:rPr>
  </w:style>
  <w:style w:type="paragraph" w:styleId="ListParagraph">
    <w:name w:val="List Paragraph"/>
    <w:basedOn w:val="Normal"/>
    <w:uiPriority w:val="34"/>
    <w:qFormat/>
    <w:rsid w:val="00A52C21"/>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094719">
      <w:bodyDiv w:val="1"/>
      <w:marLeft w:val="0"/>
      <w:marRight w:val="0"/>
      <w:marTop w:val="0"/>
      <w:marBottom w:val="0"/>
      <w:divBdr>
        <w:top w:val="none" w:sz="0" w:space="0" w:color="auto"/>
        <w:left w:val="none" w:sz="0" w:space="0" w:color="auto"/>
        <w:bottom w:val="none" w:sz="0" w:space="0" w:color="auto"/>
        <w:right w:val="none" w:sz="0" w:space="0" w:color="auto"/>
      </w:divBdr>
    </w:div>
    <w:div w:id="107547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census.gov/popest/estimates.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pa.gov/owm/mtb/cwns/1996rtc/faqwfd.htm" TargetMode="External"/><Relationship Id="rId5" Type="http://schemas.openxmlformats.org/officeDocument/2006/relationships/webSettings" Target="webSettings.xml"/><Relationship Id="rId10" Type="http://schemas.openxmlformats.org/officeDocument/2006/relationships/hyperlink" Target="http://www.census.gov/2010census/news/press-kits/island-areas/island-areas.html" TargetMode="External"/><Relationship Id="rId4" Type="http://schemas.openxmlformats.org/officeDocument/2006/relationships/settings" Target="settings.xml"/><Relationship Id="rId9" Type="http://schemas.openxmlformats.org/officeDocument/2006/relationships/hyperlink" Target="http://factfinder.census.gov/faces/tableservices/jsf/pages/productview.xhtml?src=bkm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05EB0D-FE89-40D3-8D7D-F037512524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1370</Words>
  <Characters>7811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PUBLICLY OWNED TREATMENT WORKS (POTWS)</vt:lpstr>
    </vt:vector>
  </TitlesOfParts>
  <Company/>
  <LinksUpToDate>false</LinksUpToDate>
  <CharactersWithSpaces>9163</CharactersWithSpaces>
  <SharedDoc>false</SharedDoc>
  <HLinks>
    <vt:vector size="24" baseType="variant">
      <vt:variant>
        <vt:i4>3276923</vt:i4>
      </vt:variant>
      <vt:variant>
        <vt:i4>9</vt:i4>
      </vt:variant>
      <vt:variant>
        <vt:i4>0</vt:i4>
      </vt:variant>
      <vt:variant>
        <vt:i4>5</vt:i4>
      </vt:variant>
      <vt:variant>
        <vt:lpwstr>http://www.epa.gov/owm/mtb/cwns/1996rtc/faqwfd.htm</vt:lpwstr>
      </vt:variant>
      <vt:variant>
        <vt:lpwstr/>
      </vt:variant>
      <vt:variant>
        <vt:i4>2490430</vt:i4>
      </vt:variant>
      <vt:variant>
        <vt:i4>6</vt:i4>
      </vt:variant>
      <vt:variant>
        <vt:i4>0</vt:i4>
      </vt:variant>
      <vt:variant>
        <vt:i4>5</vt:i4>
      </vt:variant>
      <vt:variant>
        <vt:lpwstr>http://www.census.gov/2010census/news/press-kits/island-areas/island-areas.html</vt:lpwstr>
      </vt:variant>
      <vt:variant>
        <vt:lpwstr/>
      </vt:variant>
      <vt:variant>
        <vt:i4>524368</vt:i4>
      </vt:variant>
      <vt:variant>
        <vt:i4>3</vt:i4>
      </vt:variant>
      <vt:variant>
        <vt:i4>0</vt:i4>
      </vt:variant>
      <vt:variant>
        <vt:i4>5</vt:i4>
      </vt:variant>
      <vt:variant>
        <vt:lpwstr>http://factfinder.census.gov/faces/tableservices/jsf/pages/productview.xhtml?src=bkmk</vt:lpwstr>
      </vt:variant>
      <vt:variant>
        <vt:lpwstr/>
      </vt:variant>
      <vt:variant>
        <vt:i4>3997756</vt:i4>
      </vt:variant>
      <vt:variant>
        <vt:i4>0</vt:i4>
      </vt:variant>
      <vt:variant>
        <vt:i4>0</vt:i4>
      </vt:variant>
      <vt:variant>
        <vt:i4>5</vt:i4>
      </vt:variant>
      <vt:variant>
        <vt:lpwstr>http://www.census.gov/popest/estimates.html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PUBLICLY OWNED TREATMENT WORKS (POTWS)</dc:title>
  <dc:subject/>
  <dc:creator>Jonathan Graves Dorn</dc:creator>
  <cp:keywords/>
  <dc:description/>
  <cp:lastModifiedBy>Steve Fudge</cp:lastModifiedBy>
  <cp:revision>3</cp:revision>
  <dcterms:created xsi:type="dcterms:W3CDTF">2016-03-23T18:20:00Z</dcterms:created>
  <dcterms:modified xsi:type="dcterms:W3CDTF">2016-03-23T18:21:00Z</dcterms:modified>
</cp:coreProperties>
</file>