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2295" w:rsidRPr="008F0922"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8F0922">
        <w:rPr>
          <w:b/>
          <w:bCs/>
        </w:rPr>
        <w:t>OPEN BURNING - LAND CLEARING DEBRIS</w:t>
      </w:r>
    </w:p>
    <w:p w:rsidR="004F2295" w:rsidRPr="008F0922"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rsidR="0079743D" w:rsidRPr="008F0922" w:rsidRDefault="0079743D" w:rsidP="0079743D">
      <w:pPr>
        <w:widowControl/>
        <w:tabs>
          <w:tab w:val="left" w:pos="0"/>
        </w:tabs>
        <w:spacing w:line="226" w:lineRule="auto"/>
        <w:rPr>
          <w:b/>
          <w:i/>
        </w:rPr>
      </w:pPr>
      <w:r w:rsidRPr="008F0922">
        <w:rPr>
          <w:b/>
          <w:i/>
        </w:rPr>
        <w:t>a. Source Category Description</w:t>
      </w:r>
    </w:p>
    <w:p w:rsidR="00935D8A" w:rsidRPr="008F0922" w:rsidRDefault="00935D8A"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rsidR="0079743D" w:rsidRPr="008F0922" w:rsidRDefault="00935D8A"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8F0922">
        <w:t>Open burning of land clearing debris is the purposeful burning of debris, such as trees, shrubs, and brush, from the clearing of land for the construction of new buildings and highways. Criteria air pollutant (CAP) and hazardous air pollutant (HAP) emission estimates from open burning of land clearing debris are a function of the amount of material or fuel subject to burning per year.</w:t>
      </w:r>
    </w:p>
    <w:p w:rsidR="00FF63B4" w:rsidRPr="008F0922" w:rsidRDefault="00FF63B4"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rsidR="0079743D" w:rsidRPr="008F0922" w:rsidRDefault="0079743D" w:rsidP="0079743D">
      <w:pPr>
        <w:widowControl/>
        <w:tabs>
          <w:tab w:val="left" w:pos="0"/>
        </w:tabs>
        <w:spacing w:line="226" w:lineRule="auto"/>
      </w:pPr>
      <w:r w:rsidRPr="008F0922">
        <w:t>For this source category, the following SCC was assigned:</w:t>
      </w:r>
    </w:p>
    <w:p w:rsidR="0079743D" w:rsidRPr="008F0922" w:rsidRDefault="0079743D" w:rsidP="0079743D">
      <w:pPr>
        <w:widowControl/>
        <w:tabs>
          <w:tab w:val="left" w:pos="0"/>
        </w:tabs>
        <w:spacing w:line="226" w:lineRule="auto"/>
      </w:pPr>
    </w:p>
    <w:tbl>
      <w:tblPr>
        <w:tblW w:w="896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Caption w:val="Source Category - SCC"/>
        <w:tblDescription w:val="SCC; SCC Level 1; SCC Level 2; SCC Level 3; SCC Level 4"/>
      </w:tblPr>
      <w:tblGrid>
        <w:gridCol w:w="1416"/>
        <w:gridCol w:w="2256"/>
        <w:gridCol w:w="1933"/>
        <w:gridCol w:w="1596"/>
        <w:gridCol w:w="1961"/>
      </w:tblGrid>
      <w:tr w:rsidR="0079743D" w:rsidRPr="008F0922" w:rsidTr="00FF63B4">
        <w:trPr>
          <w:jc w:val="center"/>
        </w:trPr>
        <w:tc>
          <w:tcPr>
            <w:tcW w:w="1216" w:type="dxa"/>
            <w:shd w:val="clear" w:color="auto" w:fill="D9D9D9"/>
            <w:noWrap/>
          </w:tcPr>
          <w:p w:rsidR="0079743D" w:rsidRPr="008F0922" w:rsidRDefault="0079743D" w:rsidP="005C2EF8">
            <w:pPr>
              <w:widowControl/>
              <w:tabs>
                <w:tab w:val="left" w:pos="0"/>
              </w:tabs>
              <w:spacing w:line="226" w:lineRule="auto"/>
              <w:rPr>
                <w:b/>
                <w:bCs/>
              </w:rPr>
            </w:pPr>
            <w:r w:rsidRPr="008F0922">
              <w:rPr>
                <w:b/>
                <w:bCs/>
              </w:rPr>
              <w:t>SCC</w:t>
            </w:r>
          </w:p>
        </w:tc>
        <w:tc>
          <w:tcPr>
            <w:tcW w:w="2256" w:type="dxa"/>
            <w:shd w:val="clear" w:color="auto" w:fill="D9D9D9"/>
            <w:noWrap/>
          </w:tcPr>
          <w:p w:rsidR="0079743D" w:rsidRPr="008F0922" w:rsidRDefault="0079743D" w:rsidP="005C2EF8">
            <w:pPr>
              <w:widowControl/>
              <w:tabs>
                <w:tab w:val="left" w:pos="0"/>
              </w:tabs>
              <w:spacing w:line="226" w:lineRule="auto"/>
              <w:rPr>
                <w:b/>
                <w:bCs/>
              </w:rPr>
            </w:pPr>
            <w:r w:rsidRPr="008F0922">
              <w:rPr>
                <w:b/>
                <w:bCs/>
              </w:rPr>
              <w:t>SCC Level 1</w:t>
            </w:r>
          </w:p>
        </w:tc>
        <w:tc>
          <w:tcPr>
            <w:tcW w:w="1933" w:type="dxa"/>
            <w:shd w:val="clear" w:color="auto" w:fill="D9D9D9"/>
            <w:noWrap/>
          </w:tcPr>
          <w:p w:rsidR="0079743D" w:rsidRPr="008F0922" w:rsidRDefault="0079743D" w:rsidP="005C2EF8">
            <w:pPr>
              <w:widowControl/>
              <w:tabs>
                <w:tab w:val="left" w:pos="0"/>
              </w:tabs>
              <w:spacing w:line="226" w:lineRule="auto"/>
              <w:rPr>
                <w:b/>
                <w:bCs/>
              </w:rPr>
            </w:pPr>
            <w:r w:rsidRPr="008F0922">
              <w:rPr>
                <w:b/>
                <w:bCs/>
              </w:rPr>
              <w:t>SCC Level 2</w:t>
            </w:r>
          </w:p>
        </w:tc>
        <w:tc>
          <w:tcPr>
            <w:tcW w:w="1596" w:type="dxa"/>
            <w:shd w:val="clear" w:color="auto" w:fill="D9D9D9"/>
            <w:noWrap/>
          </w:tcPr>
          <w:p w:rsidR="0079743D" w:rsidRPr="008F0922" w:rsidRDefault="0079743D" w:rsidP="005C2EF8">
            <w:pPr>
              <w:widowControl/>
              <w:tabs>
                <w:tab w:val="left" w:pos="0"/>
              </w:tabs>
              <w:spacing w:line="226" w:lineRule="auto"/>
              <w:rPr>
                <w:b/>
                <w:bCs/>
              </w:rPr>
            </w:pPr>
            <w:r w:rsidRPr="008F0922">
              <w:rPr>
                <w:b/>
                <w:bCs/>
              </w:rPr>
              <w:t>SCC Level 3</w:t>
            </w:r>
          </w:p>
        </w:tc>
        <w:tc>
          <w:tcPr>
            <w:tcW w:w="1961" w:type="dxa"/>
            <w:shd w:val="clear" w:color="auto" w:fill="D9D9D9"/>
            <w:noWrap/>
          </w:tcPr>
          <w:p w:rsidR="0079743D" w:rsidRPr="008F0922" w:rsidRDefault="0079743D" w:rsidP="005C2EF8">
            <w:pPr>
              <w:widowControl/>
              <w:tabs>
                <w:tab w:val="left" w:pos="0"/>
              </w:tabs>
              <w:spacing w:line="226" w:lineRule="auto"/>
              <w:rPr>
                <w:b/>
                <w:bCs/>
              </w:rPr>
            </w:pPr>
            <w:r w:rsidRPr="008F0922">
              <w:rPr>
                <w:b/>
                <w:bCs/>
              </w:rPr>
              <w:t>SCC Level 4</w:t>
            </w:r>
          </w:p>
        </w:tc>
      </w:tr>
      <w:tr w:rsidR="0079743D" w:rsidRPr="008F0922" w:rsidTr="00FF63B4">
        <w:trPr>
          <w:jc w:val="center"/>
        </w:trPr>
        <w:tc>
          <w:tcPr>
            <w:tcW w:w="1216" w:type="dxa"/>
            <w:vAlign w:val="center"/>
          </w:tcPr>
          <w:p w:rsidR="0079743D" w:rsidRPr="008F0922" w:rsidRDefault="0079743D" w:rsidP="00E40A79">
            <w:r w:rsidRPr="008F0922">
              <w:t>2610000500</w:t>
            </w:r>
          </w:p>
        </w:tc>
        <w:tc>
          <w:tcPr>
            <w:tcW w:w="2256" w:type="dxa"/>
            <w:vAlign w:val="center"/>
          </w:tcPr>
          <w:p w:rsidR="0079743D" w:rsidRPr="008F0922" w:rsidRDefault="0079743D" w:rsidP="00E40A79">
            <w:r w:rsidRPr="008F0922">
              <w:t>Waste Disposal, Treatment, and Recovery</w:t>
            </w:r>
          </w:p>
        </w:tc>
        <w:tc>
          <w:tcPr>
            <w:tcW w:w="1933" w:type="dxa"/>
            <w:vAlign w:val="center"/>
          </w:tcPr>
          <w:p w:rsidR="0079743D" w:rsidRPr="008F0922" w:rsidRDefault="0079743D" w:rsidP="00E40A79">
            <w:r w:rsidRPr="008F0922">
              <w:t>Open Burning</w:t>
            </w:r>
          </w:p>
        </w:tc>
        <w:tc>
          <w:tcPr>
            <w:tcW w:w="1596" w:type="dxa"/>
            <w:vAlign w:val="center"/>
          </w:tcPr>
          <w:p w:rsidR="0079743D" w:rsidRPr="008F0922" w:rsidRDefault="005C2EF8" w:rsidP="00E40A79">
            <w:pPr>
              <w:rPr>
                <w:color w:val="000000"/>
              </w:rPr>
            </w:pPr>
            <w:r w:rsidRPr="008F0922">
              <w:rPr>
                <w:color w:val="000000"/>
              </w:rPr>
              <w:t>All Categories</w:t>
            </w:r>
          </w:p>
        </w:tc>
        <w:tc>
          <w:tcPr>
            <w:tcW w:w="1961" w:type="dxa"/>
            <w:vAlign w:val="center"/>
          </w:tcPr>
          <w:p w:rsidR="0079743D" w:rsidRPr="008F0922" w:rsidRDefault="005C2EF8" w:rsidP="00E40A79">
            <w:pPr>
              <w:rPr>
                <w:color w:val="000000"/>
              </w:rPr>
            </w:pPr>
            <w:r w:rsidRPr="008F0922">
              <w:rPr>
                <w:color w:val="000000"/>
              </w:rPr>
              <w:t>Land Clearing Debris (use 28-10-005-000 for Logging Debris Burning)</w:t>
            </w:r>
          </w:p>
        </w:tc>
      </w:tr>
    </w:tbl>
    <w:p w:rsidR="0079743D" w:rsidRPr="008F0922" w:rsidRDefault="0079743D" w:rsidP="0079743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rsidR="00935D8A" w:rsidRPr="008F0922" w:rsidRDefault="00935D8A" w:rsidP="00935D8A">
      <w:pPr>
        <w:widowControl/>
        <w:tabs>
          <w:tab w:val="left" w:pos="0"/>
        </w:tabs>
        <w:spacing w:line="226" w:lineRule="auto"/>
        <w:rPr>
          <w:b/>
          <w:i/>
        </w:rPr>
      </w:pPr>
      <w:r w:rsidRPr="008F0922">
        <w:rPr>
          <w:b/>
          <w:i/>
        </w:rPr>
        <w:t>b. Activity Data</w:t>
      </w:r>
    </w:p>
    <w:p w:rsidR="00935D8A" w:rsidRPr="008F0922" w:rsidRDefault="00935D8A"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rsidR="004F2295" w:rsidRPr="008F0922"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8F0922">
        <w:t xml:space="preserve">The amount of material burned was estimated using the county-level total number of acres disturbed by residential, non-residential, and road construction.  County-level weighted loading factors were applied to the total number of construction acres to convert acres to tons of available fuel. </w:t>
      </w:r>
    </w:p>
    <w:p w:rsidR="004F2295" w:rsidRPr="008F0922"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rsidR="00935D8A" w:rsidRPr="008F0922" w:rsidRDefault="00935D8A"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u w:val="single"/>
        </w:rPr>
      </w:pPr>
      <w:r w:rsidRPr="008F0922">
        <w:rPr>
          <w:u w:val="single"/>
        </w:rPr>
        <w:t>Acres Disturbed from Residential Construction</w:t>
      </w:r>
    </w:p>
    <w:p w:rsidR="00935D8A" w:rsidRPr="008F0922" w:rsidRDefault="00935D8A"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rsidR="00935D8A" w:rsidRPr="008F0922" w:rsidRDefault="00935D8A" w:rsidP="00935D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8F0922">
        <w:t>The US Census Bureau has 20</w:t>
      </w:r>
      <w:r w:rsidR="0056567C" w:rsidRPr="008F0922">
        <w:t>1</w:t>
      </w:r>
      <w:r w:rsidR="00B42DEB" w:rsidRPr="008F0922">
        <w:t>4</w:t>
      </w:r>
      <w:r w:rsidRPr="008F0922">
        <w:t xml:space="preserve"> data for </w:t>
      </w:r>
      <w:r w:rsidRPr="008F0922">
        <w:rPr>
          <w:i/>
        </w:rPr>
        <w:t>Housing Starts - New Privately Owned Housing Units Started</w:t>
      </w:r>
      <w:r w:rsidR="00B42DEB" w:rsidRPr="008F0922">
        <w:rPr>
          <w:i/>
        </w:rPr>
        <w:t>,</w:t>
      </w:r>
      <w:r w:rsidRPr="008F0922">
        <w:rPr>
          <w:i/>
          <w:vertAlign w:val="superscript"/>
        </w:rPr>
        <w:t>1</w:t>
      </w:r>
      <w:r w:rsidR="00B42DEB" w:rsidRPr="008F0922">
        <w:rPr>
          <w:i/>
          <w:vertAlign w:val="superscript"/>
        </w:rPr>
        <w:t>,2</w:t>
      </w:r>
      <w:r w:rsidRPr="008F0922">
        <w:rPr>
          <w:i/>
        </w:rPr>
        <w:t xml:space="preserve"> </w:t>
      </w:r>
      <w:r w:rsidRPr="008F0922">
        <w:t xml:space="preserve">which provides regional level housing starts based on the groupings of 1 unit, 2-4 units, 5 or more units. A consultation with the Census Bureau in 2002 gave a breakdown of approximately 1/3 of the housing starts being for 2 unit structures, and 2/3 being for 3 and 4 unit structures. The 2-4 unit category was divided into 2-units, and 3-4 units based on this ratio. To determine the number of structures for each grouping, the 1 unit category was divided by 1, the 2 unit category was divided by 2, and the 3-4 unit category was divided by 3.5. The 5 or more unit category may be made up of more than one structure. </w:t>
      </w:r>
      <w:r w:rsidRPr="008F0922">
        <w:rPr>
          <w:i/>
        </w:rPr>
        <w:t>New Privately Owned Housing Units Authorized Unadjusted Units</w:t>
      </w:r>
      <w:r w:rsidR="00B42DEB" w:rsidRPr="008F0922">
        <w:rPr>
          <w:vertAlign w:val="superscript"/>
        </w:rPr>
        <w:t>3</w:t>
      </w:r>
      <w:r w:rsidRPr="008F0922">
        <w:t xml:space="preserve"> gives a conversion factor to determine the ratio of structures to units in the 5 or more unit category. For example if a county has one 40 unit apartment building, the ratio would be 40/1. If there are 5 different 8 unit buildings in the same project, the ratio would be 40/5. Structures started by category are then calculated at a regional level. The table </w:t>
      </w:r>
      <w:r w:rsidRPr="008F0922">
        <w:rPr>
          <w:i/>
        </w:rPr>
        <w:t>Annual Housing Units Authorized by Building Permit</w:t>
      </w:r>
      <w:r w:rsidR="00B42DEB" w:rsidRPr="008F0922">
        <w:rPr>
          <w:i/>
          <w:vertAlign w:val="superscript"/>
        </w:rPr>
        <w:t>4</w:t>
      </w:r>
      <w:r w:rsidRPr="008F0922">
        <w:t xml:space="preserve"> has 20</w:t>
      </w:r>
      <w:r w:rsidR="0056567C" w:rsidRPr="008F0922">
        <w:t>1</w:t>
      </w:r>
      <w:r w:rsidR="00B42DEB" w:rsidRPr="008F0922">
        <w:t>4</w:t>
      </w:r>
      <w:r w:rsidRPr="008F0922">
        <w:t xml:space="preserve"> data at the county level to allocate regional housing starts to the county level. This results in county level housing starts by number of units.  The following surface areas were assumed disturbed for each unit type:</w:t>
      </w:r>
    </w:p>
    <w:p w:rsidR="00935D8A" w:rsidRPr="008F0922" w:rsidRDefault="00935D8A" w:rsidP="00935D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b/>
          <w:bCs/>
        </w:rPr>
      </w:pPr>
    </w:p>
    <w:p w:rsidR="00935D8A" w:rsidRPr="008F0922" w:rsidRDefault="00935D8A" w:rsidP="00FB674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b/>
          <w:bCs/>
        </w:rPr>
      </w:pPr>
      <w:r w:rsidRPr="008F0922">
        <w:rPr>
          <w:b/>
          <w:bCs/>
        </w:rPr>
        <w:t xml:space="preserve">Table 1: Surface Acres </w:t>
      </w:r>
      <w:r w:rsidR="00AC2E02" w:rsidRPr="008F0922">
        <w:rPr>
          <w:b/>
          <w:bCs/>
        </w:rPr>
        <w:t>Disturbed per</w:t>
      </w:r>
      <w:r w:rsidRPr="008F0922">
        <w:rPr>
          <w:b/>
          <w:bCs/>
        </w:rPr>
        <w:t xml:space="preserve"> Unit Type</w:t>
      </w:r>
    </w:p>
    <w:p w:rsidR="00935D8A" w:rsidRPr="008F0922" w:rsidRDefault="00935D8A" w:rsidP="00935D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b/>
          <w:b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Caption w:val="Table 1: Surface Acres Distrubed per Unit Type"/>
        <w:tblDescription w:val="1-Unit 1/4 acre/structure&#10;2-Unit 1/3 acre/structure&#10;Apartment 1/2 acre/structure &#10;"/>
      </w:tblPr>
      <w:tblGrid>
        <w:gridCol w:w="1243"/>
        <w:gridCol w:w="1889"/>
      </w:tblGrid>
      <w:tr w:rsidR="00935D8A" w:rsidRPr="008F0922">
        <w:trPr>
          <w:jc w:val="center"/>
        </w:trPr>
        <w:tc>
          <w:tcPr>
            <w:tcW w:w="0" w:type="auto"/>
          </w:tcPr>
          <w:p w:rsidR="00935D8A" w:rsidRPr="008F0922" w:rsidRDefault="00935D8A" w:rsidP="00935D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8F0922">
              <w:t>1-Unit</w:t>
            </w:r>
          </w:p>
        </w:tc>
        <w:tc>
          <w:tcPr>
            <w:tcW w:w="0" w:type="auto"/>
          </w:tcPr>
          <w:p w:rsidR="00935D8A" w:rsidRPr="008F0922" w:rsidRDefault="00935D8A" w:rsidP="00935D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8F0922">
              <w:t>1/4 acre/structure</w:t>
            </w:r>
          </w:p>
        </w:tc>
      </w:tr>
      <w:tr w:rsidR="00935D8A" w:rsidRPr="008F0922">
        <w:trPr>
          <w:jc w:val="center"/>
        </w:trPr>
        <w:tc>
          <w:tcPr>
            <w:tcW w:w="0" w:type="auto"/>
          </w:tcPr>
          <w:p w:rsidR="00935D8A" w:rsidRPr="008F0922" w:rsidRDefault="00935D8A" w:rsidP="00935D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8F0922">
              <w:t>2-Unit</w:t>
            </w:r>
          </w:p>
        </w:tc>
        <w:tc>
          <w:tcPr>
            <w:tcW w:w="0" w:type="auto"/>
          </w:tcPr>
          <w:p w:rsidR="00935D8A" w:rsidRPr="008F0922" w:rsidRDefault="00935D8A" w:rsidP="00935D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8F0922">
              <w:t>1/3 acre/structure</w:t>
            </w:r>
          </w:p>
        </w:tc>
      </w:tr>
      <w:tr w:rsidR="00935D8A" w:rsidRPr="008F0922">
        <w:trPr>
          <w:jc w:val="center"/>
        </w:trPr>
        <w:tc>
          <w:tcPr>
            <w:tcW w:w="0" w:type="auto"/>
          </w:tcPr>
          <w:p w:rsidR="00935D8A" w:rsidRPr="008F0922" w:rsidRDefault="00935D8A" w:rsidP="00935D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8F0922">
              <w:t>Apartment</w:t>
            </w:r>
          </w:p>
        </w:tc>
        <w:tc>
          <w:tcPr>
            <w:tcW w:w="0" w:type="auto"/>
          </w:tcPr>
          <w:p w:rsidR="00935D8A" w:rsidRPr="008F0922" w:rsidRDefault="00935D8A" w:rsidP="00935D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8F0922">
              <w:t xml:space="preserve">1/2 acre/structure </w:t>
            </w:r>
          </w:p>
        </w:tc>
      </w:tr>
    </w:tbl>
    <w:p w:rsidR="00935D8A" w:rsidRPr="008F0922" w:rsidRDefault="00935D8A" w:rsidP="00935D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rsidR="00935D8A" w:rsidRPr="008F0922" w:rsidRDefault="00935D8A" w:rsidP="00935D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8F0922">
        <w:lastRenderedPageBreak/>
        <w:t xml:space="preserve">The 3-4 unit and 5 or more unit categories were considered to be apartments. Multiplication of housing starts to </w:t>
      </w:r>
      <w:r w:rsidR="00FB6748" w:rsidRPr="008F0922">
        <w:t>surface acres disturbed</w:t>
      </w:r>
      <w:r w:rsidRPr="008F0922">
        <w:t xml:space="preserve"> results in </w:t>
      </w:r>
      <w:r w:rsidR="00FB6748" w:rsidRPr="008F0922">
        <w:t xml:space="preserve">total </w:t>
      </w:r>
      <w:r w:rsidRPr="008F0922">
        <w:t xml:space="preserve">number of acres disturbed for each unit category. </w:t>
      </w:r>
    </w:p>
    <w:p w:rsidR="00935D8A" w:rsidRPr="008F0922" w:rsidRDefault="00935D8A"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rsidR="00FB6748" w:rsidRPr="008F0922" w:rsidRDefault="00FB6748"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u w:val="single"/>
        </w:rPr>
      </w:pPr>
      <w:r w:rsidRPr="008F0922">
        <w:rPr>
          <w:u w:val="single"/>
        </w:rPr>
        <w:t>Acres Disturbed from Non-Residential Construction</w:t>
      </w:r>
    </w:p>
    <w:p w:rsidR="00FB6748" w:rsidRPr="008F0922" w:rsidRDefault="00FB6748"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rsidR="00FB6748" w:rsidRPr="008F0922" w:rsidRDefault="00FB6748" w:rsidP="00FB674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8F0922">
        <w:rPr>
          <w:i/>
        </w:rPr>
        <w:t>Annual Value of Construction Put in Place in the U.S</w:t>
      </w:r>
      <w:r w:rsidR="00B42DEB" w:rsidRPr="008F0922">
        <w:rPr>
          <w:i/>
          <w:vertAlign w:val="superscript"/>
        </w:rPr>
        <w:t>5</w:t>
      </w:r>
      <w:r w:rsidRPr="008F0922">
        <w:rPr>
          <w:i/>
        </w:rPr>
        <w:t xml:space="preserve"> </w:t>
      </w:r>
      <w:r w:rsidRPr="008F0922">
        <w:t>has the 20</w:t>
      </w:r>
      <w:r w:rsidR="00450B27" w:rsidRPr="008F0922">
        <w:t>1</w:t>
      </w:r>
      <w:r w:rsidR="00F51893" w:rsidRPr="008F0922">
        <w:t>4</w:t>
      </w:r>
      <w:r w:rsidRPr="008F0922">
        <w:t xml:space="preserve"> National Value of Non-residential construction. The national value of non-residential construction put in place (in millions of dollars) was allocated to counties using county-level non-residential construction (NAICS Code 2362) employment data obtained from </w:t>
      </w:r>
      <w:r w:rsidRPr="008F0922">
        <w:rPr>
          <w:i/>
        </w:rPr>
        <w:t>County Business Patterns</w:t>
      </w:r>
      <w:r w:rsidR="00F51893" w:rsidRPr="008F0922">
        <w:rPr>
          <w:vertAlign w:val="superscript"/>
        </w:rPr>
        <w:t>6</w:t>
      </w:r>
      <w:r w:rsidRPr="008F0922">
        <w:rPr>
          <w:i/>
        </w:rPr>
        <w:t xml:space="preserve"> (CBP)</w:t>
      </w:r>
      <w:r w:rsidRPr="008F0922">
        <w:t>. Because some coun</w:t>
      </w:r>
      <w:r w:rsidR="00F03D1C" w:rsidRPr="008F0922">
        <w:t>ty</w:t>
      </w:r>
      <w:r w:rsidRPr="008F0922">
        <w:t xml:space="preserve"> employment data </w:t>
      </w:r>
      <w:r w:rsidR="00EB7EAE" w:rsidRPr="008F0922">
        <w:t>are</w:t>
      </w:r>
      <w:r w:rsidRPr="008F0922">
        <w:t xml:space="preserve"> withheld due to privacy concerns, the following procedure was adopted:</w:t>
      </w:r>
    </w:p>
    <w:p w:rsidR="00F06530" w:rsidRPr="008F0922" w:rsidRDefault="00F06530" w:rsidP="00FB674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rsidR="00FB6748" w:rsidRPr="008F0922" w:rsidRDefault="00AC2E02" w:rsidP="00FB6748">
      <w:pPr>
        <w:widowControl/>
        <w:numPr>
          <w:ilvl w:val="0"/>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8F0922">
        <w:t>State totals for the known county level employees were</w:t>
      </w:r>
      <w:r w:rsidR="00FB6748" w:rsidRPr="008F0922">
        <w:t xml:space="preserve"> subtracted from the number of employees reported in the state level version of CBP. This results in the total number of withheld employees in the state.</w:t>
      </w:r>
    </w:p>
    <w:p w:rsidR="00F06530" w:rsidRPr="008F0922" w:rsidRDefault="00F06530" w:rsidP="00F0653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360"/>
      </w:pPr>
    </w:p>
    <w:p w:rsidR="00FB6748" w:rsidRPr="008F0922" w:rsidRDefault="00FB6748" w:rsidP="00FB6748">
      <w:pPr>
        <w:widowControl/>
        <w:numPr>
          <w:ilvl w:val="0"/>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8F0922">
        <w:t xml:space="preserve">A starting </w:t>
      </w:r>
      <w:r w:rsidR="00450B27" w:rsidRPr="008F0922">
        <w:t>estimate</w:t>
      </w:r>
      <w:r w:rsidRPr="008F0922">
        <w:t xml:space="preserve"> of the midpoint of the range code was used (so for instance in the 1-19 </w:t>
      </w:r>
      <w:proofErr w:type="gramStart"/>
      <w:r w:rsidRPr="008F0922">
        <w:t>employees</w:t>
      </w:r>
      <w:proofErr w:type="gramEnd"/>
      <w:r w:rsidRPr="008F0922">
        <w:t xml:space="preserve"> range, </w:t>
      </w:r>
      <w:r w:rsidR="00450B27" w:rsidRPr="008F0922">
        <w:t>an estimate</w:t>
      </w:r>
      <w:r w:rsidRPr="008F0922">
        <w:t xml:space="preserve"> of 10 employees would be used) and a state total of the withheld counties was computed.</w:t>
      </w:r>
    </w:p>
    <w:p w:rsidR="00F06530" w:rsidRPr="008F0922" w:rsidRDefault="00F06530" w:rsidP="00F0653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360"/>
      </w:pPr>
    </w:p>
    <w:p w:rsidR="00FB6748" w:rsidRPr="008F0922" w:rsidRDefault="00FB6748" w:rsidP="00FB6748">
      <w:pPr>
        <w:widowControl/>
        <w:numPr>
          <w:ilvl w:val="0"/>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8F0922">
        <w:t xml:space="preserve">A ratio of </w:t>
      </w:r>
      <w:r w:rsidR="00450B27" w:rsidRPr="008F0922">
        <w:t>estimated</w:t>
      </w:r>
      <w:r w:rsidRPr="008F0922">
        <w:t xml:space="preserve"> employees (Step 2) to withheld employees (Step 1) was then used to adjust the county level </w:t>
      </w:r>
      <w:r w:rsidR="00450B27" w:rsidRPr="008F0922">
        <w:t>estimates</w:t>
      </w:r>
      <w:r w:rsidRPr="008F0922">
        <w:t xml:space="preserve"> up or down so the state total of adjusted guesses should match state total of withheld employees (Step 1)</w:t>
      </w:r>
    </w:p>
    <w:p w:rsidR="00F06530" w:rsidRPr="008F0922" w:rsidRDefault="00F06530" w:rsidP="00F0653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360"/>
      </w:pPr>
    </w:p>
    <w:p w:rsidR="00FB6748" w:rsidRPr="008F0922" w:rsidRDefault="00FB6748" w:rsidP="00FB674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8F0922">
        <w:t>In 1999 a figure of 2 acres/$10</w:t>
      </w:r>
      <w:r w:rsidRPr="008F0922">
        <w:rPr>
          <w:vertAlign w:val="superscript"/>
        </w:rPr>
        <w:t>6</w:t>
      </w:r>
      <w:r w:rsidRPr="008F0922">
        <w:t xml:space="preserve"> was developed. The Bureau of Labor Statistics</w:t>
      </w:r>
      <w:r w:rsidRPr="008F0922">
        <w:rPr>
          <w:i/>
        </w:rPr>
        <w:t xml:space="preserve"> Producer Price Index</w:t>
      </w:r>
      <w:r w:rsidR="00F51893" w:rsidRPr="008F0922">
        <w:rPr>
          <w:i/>
          <w:vertAlign w:val="superscript"/>
        </w:rPr>
        <w:t>7</w:t>
      </w:r>
      <w:r w:rsidRPr="008F0922">
        <w:rPr>
          <w:i/>
        </w:rPr>
        <w:t xml:space="preserve"> </w:t>
      </w:r>
      <w:r w:rsidRPr="008F0922">
        <w:t>lists costs of the construction industry from 1999-</w:t>
      </w:r>
      <w:r w:rsidR="00EB7EAE" w:rsidRPr="008F0922">
        <w:t>20</w:t>
      </w:r>
      <w:r w:rsidR="00450B27" w:rsidRPr="008F0922">
        <w:t>1</w:t>
      </w:r>
      <w:r w:rsidR="00F51893" w:rsidRPr="008F0922">
        <w:t>4</w:t>
      </w:r>
      <w:r w:rsidR="00EB7EAE" w:rsidRPr="008F0922">
        <w:t>.</w:t>
      </w:r>
    </w:p>
    <w:p w:rsidR="00FB6748" w:rsidRPr="008F0922" w:rsidRDefault="00FB6748" w:rsidP="00FB674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rsidR="00FB6748" w:rsidRPr="008F0922" w:rsidRDefault="00FB6748" w:rsidP="00FB674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8F0922">
        <w:tab/>
        <w:t>20</w:t>
      </w:r>
      <w:r w:rsidR="00450B27" w:rsidRPr="008F0922">
        <w:t>1</w:t>
      </w:r>
      <w:r w:rsidR="00EB7EAE" w:rsidRPr="008F0922">
        <w:t>4</w:t>
      </w:r>
      <w:r w:rsidRPr="008F0922">
        <w:t xml:space="preserve"> acres per $10</w:t>
      </w:r>
      <w:r w:rsidRPr="008F0922">
        <w:rPr>
          <w:vertAlign w:val="superscript"/>
        </w:rPr>
        <w:t>6</w:t>
      </w:r>
      <w:r w:rsidR="00FF63B4" w:rsidRPr="008F0922">
        <w:rPr>
          <w:vertAlign w:val="superscript"/>
        </w:rPr>
        <w:tab/>
      </w:r>
      <w:r w:rsidRPr="008F0922">
        <w:t>= 1999 acres per $10</w:t>
      </w:r>
      <w:r w:rsidRPr="008F0922">
        <w:rPr>
          <w:vertAlign w:val="superscript"/>
        </w:rPr>
        <w:t>6</w:t>
      </w:r>
      <w:r w:rsidRPr="008F0922">
        <w:t xml:space="preserve"> x (1999 PPI / 20</w:t>
      </w:r>
      <w:r w:rsidR="00450B27" w:rsidRPr="008F0922">
        <w:t>1</w:t>
      </w:r>
      <w:r w:rsidR="00F51893" w:rsidRPr="008F0922">
        <w:t>4</w:t>
      </w:r>
      <w:r w:rsidRPr="008F0922">
        <w:t xml:space="preserve"> PPI) </w:t>
      </w:r>
    </w:p>
    <w:p w:rsidR="00FB6748" w:rsidRPr="008F0922" w:rsidRDefault="00FB6748" w:rsidP="00FB674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8F0922">
        <w:tab/>
      </w:r>
      <w:r w:rsidRPr="008F0922">
        <w:tab/>
      </w:r>
      <w:r w:rsidRPr="008F0922">
        <w:tab/>
      </w:r>
      <w:r w:rsidR="00FF63B4" w:rsidRPr="008F0922">
        <w:tab/>
      </w:r>
      <w:r w:rsidRPr="008F0922">
        <w:t>= 2 acres/$10</w:t>
      </w:r>
      <w:r w:rsidRPr="008F0922">
        <w:rPr>
          <w:vertAlign w:val="superscript"/>
        </w:rPr>
        <w:t>6</w:t>
      </w:r>
      <w:r w:rsidRPr="008F0922">
        <w:t xml:space="preserve"> (132.9 / </w:t>
      </w:r>
      <w:r w:rsidR="00F51893" w:rsidRPr="008F0922">
        <w:t>232.1</w:t>
      </w:r>
      <w:r w:rsidRPr="008F0922">
        <w:t>)</w:t>
      </w:r>
    </w:p>
    <w:p w:rsidR="00FB6748" w:rsidRPr="008F0922" w:rsidRDefault="00FB6748" w:rsidP="00FB674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vertAlign w:val="superscript"/>
        </w:rPr>
      </w:pPr>
      <w:r w:rsidRPr="008F0922">
        <w:tab/>
      </w:r>
      <w:r w:rsidRPr="008F0922">
        <w:tab/>
      </w:r>
      <w:r w:rsidRPr="008F0922">
        <w:tab/>
      </w:r>
      <w:r w:rsidR="00FF63B4" w:rsidRPr="008F0922">
        <w:tab/>
      </w:r>
      <w:r w:rsidRPr="008F0922">
        <w:t>= 1.</w:t>
      </w:r>
      <w:r w:rsidR="00450B27" w:rsidRPr="008F0922">
        <w:t>1</w:t>
      </w:r>
      <w:r w:rsidR="00F51893" w:rsidRPr="008F0922">
        <w:t>45</w:t>
      </w:r>
      <w:r w:rsidRPr="008F0922">
        <w:t xml:space="preserve"> acres per $10</w:t>
      </w:r>
      <w:r w:rsidRPr="008F0922">
        <w:rPr>
          <w:vertAlign w:val="superscript"/>
        </w:rPr>
        <w:t>6</w:t>
      </w:r>
    </w:p>
    <w:p w:rsidR="00FB6748" w:rsidRPr="008F0922" w:rsidRDefault="00FB6748"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rsidR="00FB6748" w:rsidRPr="008F0922" w:rsidRDefault="00FB6748"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u w:val="single"/>
        </w:rPr>
      </w:pPr>
      <w:r w:rsidRPr="008F0922">
        <w:rPr>
          <w:u w:val="single"/>
        </w:rPr>
        <w:t>Acres Disturbed by Road Construction</w:t>
      </w:r>
    </w:p>
    <w:p w:rsidR="00FB6748" w:rsidRPr="008F0922" w:rsidRDefault="00FB6748"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rsidR="00F03D1C" w:rsidRPr="008F0922" w:rsidRDefault="00F03D1C" w:rsidP="00F03D1C">
      <w:pPr>
        <w:rPr>
          <w:iCs/>
        </w:rPr>
      </w:pPr>
      <w:r w:rsidRPr="008F0922">
        <w:rPr>
          <w:iCs/>
        </w:rPr>
        <w:t>The Federal Highway Administration provides data on spending by state in several different categories of road construction and maintenance in</w:t>
      </w:r>
      <w:r w:rsidRPr="008F0922">
        <w:rPr>
          <w:i/>
          <w:iCs/>
        </w:rPr>
        <w:t xml:space="preserve"> Highway Statistics, Section IV - Highway Finance, Table SF-12A, State Highway Agency Capital Outla</w:t>
      </w:r>
      <w:r w:rsidR="00F51893" w:rsidRPr="008F0922">
        <w:rPr>
          <w:i/>
          <w:iCs/>
        </w:rPr>
        <w:t>y</w:t>
      </w:r>
      <w:r w:rsidR="00F51893" w:rsidRPr="008F0922">
        <w:rPr>
          <w:i/>
          <w:iCs/>
          <w:vertAlign w:val="superscript"/>
        </w:rPr>
        <w:t>8</w:t>
      </w:r>
      <w:r w:rsidRPr="008F0922">
        <w:rPr>
          <w:i/>
          <w:iCs/>
        </w:rPr>
        <w:t xml:space="preserve"> </w:t>
      </w:r>
      <w:r w:rsidRPr="008F0922">
        <w:rPr>
          <w:iCs/>
        </w:rPr>
        <w:t>for 20</w:t>
      </w:r>
      <w:r w:rsidR="00F74365" w:rsidRPr="008F0922">
        <w:rPr>
          <w:iCs/>
        </w:rPr>
        <w:t>14</w:t>
      </w:r>
      <w:r w:rsidRPr="008F0922">
        <w:rPr>
          <w:iCs/>
        </w:rPr>
        <w:t xml:space="preserve">. For this SCC, the following sets of data (or columns) are used: New Construction, Relocation, Added Capacity, Major Widening, and Minor Widening.  Each of these data sets </w:t>
      </w:r>
      <w:r w:rsidR="00A8639B" w:rsidRPr="008F0922">
        <w:rPr>
          <w:iCs/>
        </w:rPr>
        <w:t>is</w:t>
      </w:r>
      <w:r w:rsidRPr="008F0922">
        <w:rPr>
          <w:iCs/>
        </w:rPr>
        <w:t xml:space="preserve"> also differentiated </w:t>
      </w:r>
      <w:r w:rsidRPr="008F0922">
        <w:t>according to the following six roadway classifications:</w:t>
      </w:r>
    </w:p>
    <w:p w:rsidR="00F06530" w:rsidRPr="008F0922" w:rsidRDefault="00F06530" w:rsidP="00FB674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iCs/>
        </w:rPr>
      </w:pPr>
    </w:p>
    <w:p w:rsidR="00FB6748" w:rsidRPr="008F0922" w:rsidRDefault="00FB6748" w:rsidP="00F06530">
      <w:pPr>
        <w:widowControl/>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pPr>
      <w:r w:rsidRPr="008F0922">
        <w:t>1.</w:t>
      </w:r>
      <w:r w:rsidRPr="008F0922">
        <w:tab/>
        <w:t>Interstate, urban</w:t>
      </w:r>
    </w:p>
    <w:p w:rsidR="00FB6748" w:rsidRPr="008F0922" w:rsidRDefault="00FB6748" w:rsidP="00F06530">
      <w:pPr>
        <w:widowControl/>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pPr>
      <w:r w:rsidRPr="008F0922">
        <w:t>2.</w:t>
      </w:r>
      <w:r w:rsidRPr="008F0922">
        <w:tab/>
        <w:t>Interstate, rural</w:t>
      </w:r>
    </w:p>
    <w:p w:rsidR="00FB6748" w:rsidRPr="008F0922" w:rsidRDefault="00FB6748" w:rsidP="00F06530">
      <w:pPr>
        <w:widowControl/>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pPr>
      <w:r w:rsidRPr="008F0922">
        <w:t>3.</w:t>
      </w:r>
      <w:r w:rsidRPr="008F0922">
        <w:tab/>
        <w:t>Other arterial, urban</w:t>
      </w:r>
    </w:p>
    <w:p w:rsidR="00FB6748" w:rsidRPr="008F0922" w:rsidRDefault="00FB6748" w:rsidP="00F06530">
      <w:pPr>
        <w:widowControl/>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pPr>
      <w:r w:rsidRPr="008F0922">
        <w:t>4.</w:t>
      </w:r>
      <w:r w:rsidRPr="008F0922">
        <w:tab/>
        <w:t xml:space="preserve">Other arterial, rural </w:t>
      </w:r>
    </w:p>
    <w:p w:rsidR="00FB6748" w:rsidRPr="008F0922" w:rsidRDefault="00FB6748" w:rsidP="00F06530">
      <w:pPr>
        <w:widowControl/>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pPr>
      <w:r w:rsidRPr="008F0922">
        <w:t>5.</w:t>
      </w:r>
      <w:r w:rsidRPr="008F0922">
        <w:tab/>
        <w:t>Collectors, urban</w:t>
      </w:r>
    </w:p>
    <w:p w:rsidR="00FB6748" w:rsidRPr="008F0922" w:rsidRDefault="00FB6748" w:rsidP="00F06530">
      <w:pPr>
        <w:widowControl/>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pPr>
      <w:r w:rsidRPr="008F0922">
        <w:t>6.</w:t>
      </w:r>
      <w:r w:rsidRPr="008F0922">
        <w:tab/>
        <w:t>Collectors, rural</w:t>
      </w:r>
    </w:p>
    <w:p w:rsidR="00F06530" w:rsidRPr="008F0922" w:rsidRDefault="00F06530" w:rsidP="00F06530">
      <w:pPr>
        <w:widowControl/>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pPr>
    </w:p>
    <w:p w:rsidR="004F0822" w:rsidRPr="008F0922" w:rsidRDefault="00FB6748" w:rsidP="004F082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8F0922">
        <w:lastRenderedPageBreak/>
        <w:t xml:space="preserve">The State expenditure data are then converted to new miles of road constructed using $/mile conversions obtained from the </w:t>
      </w:r>
      <w:r w:rsidR="004F0822" w:rsidRPr="008F0922">
        <w:t>Florida</w:t>
      </w:r>
      <w:r w:rsidRPr="008F0922">
        <w:t xml:space="preserve"> </w:t>
      </w:r>
      <w:r w:rsidR="004F0822" w:rsidRPr="008F0922">
        <w:t>Department of Transportation (FL</w:t>
      </w:r>
      <w:r w:rsidRPr="008F0922">
        <w:t>DOT) in 20</w:t>
      </w:r>
      <w:r w:rsidR="004F0822" w:rsidRPr="008F0922">
        <w:t>14</w:t>
      </w:r>
      <w:r w:rsidR="004F0822" w:rsidRPr="008F0922">
        <w:rPr>
          <w:vertAlign w:val="superscript"/>
        </w:rPr>
        <w:t>9</w:t>
      </w:r>
      <w:r w:rsidRPr="008F0922">
        <w:t xml:space="preserve">.  </w:t>
      </w:r>
      <w:r w:rsidR="004F0822" w:rsidRPr="008F0922">
        <w:t>A conversion of $6.8 million/mile is applied to the urban interstate expenditures and a conversion of $3.8 million/mile is applied to the rural interstate expenditures.  For expenditures on other urban arterial and collectors, a conversion factor of $4.1 million/mile is applied, which corresponds to all other projects. For expenditures on other rural arterial and collectors, a conversion factor of $2.1 million/mile is applied, which corresponds to all other projects.</w:t>
      </w:r>
    </w:p>
    <w:p w:rsidR="004F0822" w:rsidRPr="008F0922" w:rsidRDefault="004F0822" w:rsidP="004F082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rsidR="00FB6748" w:rsidRPr="008F0922" w:rsidRDefault="004F0822" w:rsidP="00FB674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8F0922">
        <w:t>The new miles of road constructed are used to estimate the acreage disturbed due to road construction.  The total area disturbed in each state is calculated by converting the new miles of road constructed to acres using an acres disturbed/mile conversion factor for each road type as given in the table below:</w:t>
      </w:r>
    </w:p>
    <w:p w:rsidR="00FB6748" w:rsidRPr="008F0922" w:rsidRDefault="00FB6748" w:rsidP="00FB674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b/>
          <w:bCs/>
        </w:rPr>
      </w:pPr>
    </w:p>
    <w:p w:rsidR="00FB6748" w:rsidRPr="008F0922" w:rsidRDefault="00FB6748" w:rsidP="00FB674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b/>
          <w:bCs/>
        </w:rPr>
      </w:pPr>
      <w:r w:rsidRPr="008F0922">
        <w:rPr>
          <w:b/>
          <w:bCs/>
        </w:rPr>
        <w:t>Table 2: Spending per Mile and Acres D</w:t>
      </w:r>
      <w:r w:rsidR="00F06530" w:rsidRPr="008F0922">
        <w:rPr>
          <w:b/>
          <w:bCs/>
        </w:rPr>
        <w:t>is</w:t>
      </w:r>
      <w:r w:rsidRPr="008F0922">
        <w:rPr>
          <w:b/>
          <w:bCs/>
        </w:rPr>
        <w:t>turbed per Mile by Highway Type</w:t>
      </w:r>
    </w:p>
    <w:tbl>
      <w:tblPr>
        <w:tblW w:w="6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2: Spending per Mile and Acres Disturbed per Mile by Highway Type"/>
        <w:tblDescription w:val="Road Type Thousand Dollars per mile Total Affected Roadway Width (ft)*3 Acres Disturbed per mile3"/>
      </w:tblPr>
      <w:tblGrid>
        <w:gridCol w:w="2700"/>
        <w:gridCol w:w="1400"/>
        <w:gridCol w:w="1490"/>
        <w:gridCol w:w="1350"/>
      </w:tblGrid>
      <w:tr w:rsidR="004F0822" w:rsidRPr="008F0922" w:rsidTr="00FF63B4">
        <w:trPr>
          <w:trHeight w:val="900"/>
          <w:jc w:val="center"/>
        </w:trPr>
        <w:tc>
          <w:tcPr>
            <w:tcW w:w="2700" w:type="dxa"/>
            <w:shd w:val="clear" w:color="auto" w:fill="auto"/>
            <w:vAlign w:val="bottom"/>
          </w:tcPr>
          <w:p w:rsidR="004F0822" w:rsidRPr="008F0922" w:rsidRDefault="004F0822" w:rsidP="004F0822">
            <w:pPr>
              <w:jc w:val="center"/>
              <w:rPr>
                <w:b/>
                <w:color w:val="000000"/>
              </w:rPr>
            </w:pPr>
            <w:r w:rsidRPr="008F0922">
              <w:rPr>
                <w:b/>
                <w:color w:val="000000"/>
              </w:rPr>
              <w:t>Road Type</w:t>
            </w:r>
          </w:p>
        </w:tc>
        <w:tc>
          <w:tcPr>
            <w:tcW w:w="1400" w:type="dxa"/>
            <w:tcBorders>
              <w:bottom w:val="single" w:sz="4" w:space="0" w:color="auto"/>
            </w:tcBorders>
            <w:shd w:val="clear" w:color="auto" w:fill="auto"/>
            <w:vAlign w:val="bottom"/>
          </w:tcPr>
          <w:p w:rsidR="004F0822" w:rsidRPr="008F0922" w:rsidRDefault="004F0822" w:rsidP="004F0822">
            <w:pPr>
              <w:jc w:val="center"/>
              <w:rPr>
                <w:b/>
                <w:color w:val="000000"/>
              </w:rPr>
            </w:pPr>
            <w:r w:rsidRPr="008F0922">
              <w:rPr>
                <w:b/>
                <w:color w:val="000000"/>
              </w:rPr>
              <w:t>Thousand Dollars per mile</w:t>
            </w:r>
          </w:p>
        </w:tc>
        <w:tc>
          <w:tcPr>
            <w:tcW w:w="1490" w:type="dxa"/>
            <w:tcBorders>
              <w:bottom w:val="single" w:sz="4" w:space="0" w:color="auto"/>
            </w:tcBorders>
            <w:vAlign w:val="bottom"/>
          </w:tcPr>
          <w:p w:rsidR="004F0822" w:rsidRPr="008F0922" w:rsidRDefault="004F0822" w:rsidP="004F0822">
            <w:pPr>
              <w:jc w:val="center"/>
              <w:rPr>
                <w:b/>
                <w:color w:val="000000"/>
                <w:vertAlign w:val="superscript"/>
              </w:rPr>
            </w:pPr>
            <w:r w:rsidRPr="008F0922">
              <w:rPr>
                <w:b/>
                <w:color w:val="000000"/>
              </w:rPr>
              <w:t>Total Affected Roadway Width (ft)*</w:t>
            </w:r>
            <w:r w:rsidRPr="008F0922">
              <w:rPr>
                <w:b/>
                <w:color w:val="000000"/>
                <w:vertAlign w:val="superscript"/>
              </w:rPr>
              <w:t>3</w:t>
            </w:r>
          </w:p>
        </w:tc>
        <w:tc>
          <w:tcPr>
            <w:tcW w:w="1350" w:type="dxa"/>
            <w:tcBorders>
              <w:bottom w:val="single" w:sz="4" w:space="0" w:color="auto"/>
            </w:tcBorders>
            <w:shd w:val="clear" w:color="auto" w:fill="auto"/>
            <w:vAlign w:val="bottom"/>
          </w:tcPr>
          <w:p w:rsidR="004F0822" w:rsidRPr="008F0922" w:rsidRDefault="004F0822" w:rsidP="004F0822">
            <w:pPr>
              <w:jc w:val="center"/>
              <w:rPr>
                <w:b/>
                <w:color w:val="000000"/>
                <w:vertAlign w:val="superscript"/>
              </w:rPr>
            </w:pPr>
            <w:r w:rsidRPr="008F0922">
              <w:rPr>
                <w:b/>
                <w:color w:val="000000"/>
              </w:rPr>
              <w:t>Acres Disturbed per mile</w:t>
            </w:r>
            <w:r w:rsidRPr="008F0922">
              <w:rPr>
                <w:b/>
                <w:color w:val="000000"/>
                <w:vertAlign w:val="superscript"/>
              </w:rPr>
              <w:t>3</w:t>
            </w:r>
          </w:p>
        </w:tc>
      </w:tr>
      <w:tr w:rsidR="004F0822" w:rsidRPr="008F0922" w:rsidTr="00FF63B4">
        <w:trPr>
          <w:trHeight w:val="300"/>
          <w:jc w:val="center"/>
        </w:trPr>
        <w:tc>
          <w:tcPr>
            <w:tcW w:w="2700" w:type="dxa"/>
            <w:shd w:val="clear" w:color="auto" w:fill="auto"/>
            <w:vAlign w:val="bottom"/>
          </w:tcPr>
          <w:p w:rsidR="004F0822" w:rsidRPr="008F0922" w:rsidRDefault="004F0822" w:rsidP="008B1DBF">
            <w:pPr>
              <w:rPr>
                <w:color w:val="000000"/>
              </w:rPr>
            </w:pPr>
            <w:r w:rsidRPr="008F0922">
              <w:rPr>
                <w:color w:val="000000"/>
              </w:rPr>
              <w:t>Urban Areas, Interstate</w:t>
            </w:r>
          </w:p>
        </w:tc>
        <w:tc>
          <w:tcPr>
            <w:tcW w:w="1400" w:type="dxa"/>
            <w:shd w:val="clear" w:color="000000" w:fill="auto"/>
            <w:noWrap/>
          </w:tcPr>
          <w:p w:rsidR="004F0822" w:rsidRPr="008F0922" w:rsidRDefault="004F0822" w:rsidP="008B1DBF">
            <w:pPr>
              <w:jc w:val="right"/>
              <w:rPr>
                <w:color w:val="000000"/>
              </w:rPr>
            </w:pPr>
            <w:r w:rsidRPr="008F0922">
              <w:t>6,895</w:t>
            </w:r>
          </w:p>
        </w:tc>
        <w:tc>
          <w:tcPr>
            <w:tcW w:w="1490" w:type="dxa"/>
            <w:shd w:val="clear" w:color="000000" w:fill="auto"/>
          </w:tcPr>
          <w:p w:rsidR="004F0822" w:rsidRPr="008F0922" w:rsidRDefault="004F0822" w:rsidP="008B1DBF">
            <w:pPr>
              <w:jc w:val="right"/>
              <w:rPr>
                <w:color w:val="000000"/>
              </w:rPr>
            </w:pPr>
            <w:r w:rsidRPr="008F0922">
              <w:t>94</w:t>
            </w:r>
          </w:p>
        </w:tc>
        <w:tc>
          <w:tcPr>
            <w:tcW w:w="1350" w:type="dxa"/>
            <w:shd w:val="clear" w:color="000000" w:fill="auto"/>
            <w:noWrap/>
          </w:tcPr>
          <w:p w:rsidR="004F0822" w:rsidRPr="008F0922" w:rsidRDefault="004F0822" w:rsidP="008B1DBF">
            <w:pPr>
              <w:jc w:val="right"/>
              <w:rPr>
                <w:color w:val="000000"/>
              </w:rPr>
            </w:pPr>
            <w:r w:rsidRPr="008F0922">
              <w:t>11.4</w:t>
            </w:r>
          </w:p>
        </w:tc>
      </w:tr>
      <w:tr w:rsidR="004F0822" w:rsidRPr="008F0922" w:rsidTr="00FF63B4">
        <w:trPr>
          <w:trHeight w:val="300"/>
          <w:jc w:val="center"/>
        </w:trPr>
        <w:tc>
          <w:tcPr>
            <w:tcW w:w="2700" w:type="dxa"/>
            <w:shd w:val="clear" w:color="auto" w:fill="auto"/>
            <w:vAlign w:val="bottom"/>
          </w:tcPr>
          <w:p w:rsidR="004F0822" w:rsidRPr="008F0922" w:rsidRDefault="004F0822" w:rsidP="008B1DBF">
            <w:pPr>
              <w:rPr>
                <w:color w:val="000000"/>
              </w:rPr>
            </w:pPr>
            <w:r w:rsidRPr="008F0922">
              <w:rPr>
                <w:color w:val="000000"/>
              </w:rPr>
              <w:t>Rural Areas, Interstate</w:t>
            </w:r>
          </w:p>
        </w:tc>
        <w:tc>
          <w:tcPr>
            <w:tcW w:w="1400" w:type="dxa"/>
            <w:shd w:val="clear" w:color="000000" w:fill="auto"/>
            <w:noWrap/>
          </w:tcPr>
          <w:p w:rsidR="004F0822" w:rsidRPr="008F0922" w:rsidRDefault="004F0822" w:rsidP="008B1DBF">
            <w:pPr>
              <w:jc w:val="right"/>
              <w:rPr>
                <w:color w:val="000000"/>
              </w:rPr>
            </w:pPr>
            <w:r w:rsidRPr="008F0922">
              <w:t>3,810</w:t>
            </w:r>
          </w:p>
        </w:tc>
        <w:tc>
          <w:tcPr>
            <w:tcW w:w="1490" w:type="dxa"/>
            <w:shd w:val="clear" w:color="000000" w:fill="auto"/>
          </w:tcPr>
          <w:p w:rsidR="004F0822" w:rsidRPr="008F0922" w:rsidRDefault="004F0822" w:rsidP="008B1DBF">
            <w:pPr>
              <w:jc w:val="right"/>
              <w:rPr>
                <w:color w:val="000000"/>
              </w:rPr>
            </w:pPr>
            <w:r w:rsidRPr="008F0922">
              <w:t>89</w:t>
            </w:r>
          </w:p>
        </w:tc>
        <w:tc>
          <w:tcPr>
            <w:tcW w:w="1350" w:type="dxa"/>
            <w:shd w:val="clear" w:color="000000" w:fill="auto"/>
            <w:noWrap/>
          </w:tcPr>
          <w:p w:rsidR="004F0822" w:rsidRPr="008F0922" w:rsidRDefault="004F0822" w:rsidP="008B1DBF">
            <w:pPr>
              <w:jc w:val="right"/>
              <w:rPr>
                <w:color w:val="000000"/>
              </w:rPr>
            </w:pPr>
            <w:r w:rsidRPr="008F0922">
              <w:t>10.8</w:t>
            </w:r>
          </w:p>
        </w:tc>
      </w:tr>
      <w:tr w:rsidR="004F0822" w:rsidRPr="008F0922" w:rsidTr="00FF63B4">
        <w:trPr>
          <w:trHeight w:val="600"/>
          <w:jc w:val="center"/>
        </w:trPr>
        <w:tc>
          <w:tcPr>
            <w:tcW w:w="2700" w:type="dxa"/>
            <w:shd w:val="clear" w:color="auto" w:fill="auto"/>
            <w:vAlign w:val="bottom"/>
          </w:tcPr>
          <w:p w:rsidR="004F0822" w:rsidRPr="008F0922" w:rsidRDefault="004F0822" w:rsidP="008B1DBF">
            <w:pPr>
              <w:rPr>
                <w:color w:val="000000"/>
              </w:rPr>
            </w:pPr>
            <w:r w:rsidRPr="008F0922">
              <w:rPr>
                <w:color w:val="000000"/>
              </w:rPr>
              <w:t>Urban Areas, Other Arterials</w:t>
            </w:r>
          </w:p>
        </w:tc>
        <w:tc>
          <w:tcPr>
            <w:tcW w:w="1400" w:type="dxa"/>
            <w:shd w:val="clear" w:color="000000" w:fill="auto"/>
            <w:noWrap/>
          </w:tcPr>
          <w:p w:rsidR="004F0822" w:rsidRPr="008F0922" w:rsidRDefault="004F0822" w:rsidP="008B1DBF">
            <w:pPr>
              <w:jc w:val="right"/>
              <w:rPr>
                <w:color w:val="000000"/>
              </w:rPr>
            </w:pPr>
            <w:r w:rsidRPr="008F0922">
              <w:t>4,112</w:t>
            </w:r>
          </w:p>
        </w:tc>
        <w:tc>
          <w:tcPr>
            <w:tcW w:w="1490" w:type="dxa"/>
            <w:shd w:val="clear" w:color="000000" w:fill="auto"/>
          </w:tcPr>
          <w:p w:rsidR="004F0822" w:rsidRPr="008F0922" w:rsidRDefault="004F0822" w:rsidP="008B1DBF">
            <w:pPr>
              <w:jc w:val="right"/>
              <w:rPr>
                <w:color w:val="000000"/>
              </w:rPr>
            </w:pPr>
            <w:r w:rsidRPr="008F0922">
              <w:t>63</w:t>
            </w:r>
          </w:p>
        </w:tc>
        <w:tc>
          <w:tcPr>
            <w:tcW w:w="1350" w:type="dxa"/>
            <w:shd w:val="clear" w:color="000000" w:fill="auto"/>
            <w:noWrap/>
          </w:tcPr>
          <w:p w:rsidR="004F0822" w:rsidRPr="008F0922" w:rsidRDefault="004F0822" w:rsidP="008B1DBF">
            <w:pPr>
              <w:jc w:val="right"/>
              <w:rPr>
                <w:color w:val="000000"/>
              </w:rPr>
            </w:pPr>
            <w:r w:rsidRPr="008F0922">
              <w:t>7.6</w:t>
            </w:r>
          </w:p>
        </w:tc>
      </w:tr>
      <w:tr w:rsidR="004F0822" w:rsidRPr="008F0922" w:rsidTr="00FF63B4">
        <w:trPr>
          <w:trHeight w:val="600"/>
          <w:jc w:val="center"/>
        </w:trPr>
        <w:tc>
          <w:tcPr>
            <w:tcW w:w="2700" w:type="dxa"/>
            <w:shd w:val="clear" w:color="auto" w:fill="auto"/>
            <w:vAlign w:val="bottom"/>
          </w:tcPr>
          <w:p w:rsidR="004F0822" w:rsidRPr="008F0922" w:rsidRDefault="004F0822" w:rsidP="008B1DBF">
            <w:pPr>
              <w:rPr>
                <w:color w:val="000000"/>
              </w:rPr>
            </w:pPr>
            <w:r w:rsidRPr="008F0922">
              <w:rPr>
                <w:color w:val="000000"/>
              </w:rPr>
              <w:t>Rural Areas, Other Arterials</w:t>
            </w:r>
          </w:p>
        </w:tc>
        <w:tc>
          <w:tcPr>
            <w:tcW w:w="1400" w:type="dxa"/>
            <w:shd w:val="clear" w:color="000000" w:fill="auto"/>
            <w:noWrap/>
          </w:tcPr>
          <w:p w:rsidR="004F0822" w:rsidRPr="008F0922" w:rsidRDefault="004F0822" w:rsidP="008B1DBF">
            <w:pPr>
              <w:jc w:val="right"/>
              <w:rPr>
                <w:color w:val="000000"/>
              </w:rPr>
            </w:pPr>
            <w:r w:rsidRPr="008F0922">
              <w:t>2,076</w:t>
            </w:r>
          </w:p>
        </w:tc>
        <w:tc>
          <w:tcPr>
            <w:tcW w:w="1490" w:type="dxa"/>
            <w:shd w:val="clear" w:color="000000" w:fill="auto"/>
          </w:tcPr>
          <w:p w:rsidR="004F0822" w:rsidRPr="008F0922" w:rsidRDefault="004F0822" w:rsidP="008B1DBF">
            <w:pPr>
              <w:jc w:val="right"/>
              <w:rPr>
                <w:color w:val="000000"/>
              </w:rPr>
            </w:pPr>
            <w:r w:rsidRPr="008F0922">
              <w:t>55</w:t>
            </w:r>
          </w:p>
        </w:tc>
        <w:tc>
          <w:tcPr>
            <w:tcW w:w="1350" w:type="dxa"/>
            <w:shd w:val="clear" w:color="000000" w:fill="auto"/>
            <w:noWrap/>
          </w:tcPr>
          <w:p w:rsidR="004F0822" w:rsidRPr="008F0922" w:rsidRDefault="004F0822" w:rsidP="008B1DBF">
            <w:pPr>
              <w:jc w:val="right"/>
              <w:rPr>
                <w:color w:val="000000"/>
              </w:rPr>
            </w:pPr>
            <w:r w:rsidRPr="008F0922">
              <w:t>6.6</w:t>
            </w:r>
          </w:p>
        </w:tc>
      </w:tr>
      <w:tr w:rsidR="004F0822" w:rsidRPr="008F0922" w:rsidTr="00FF63B4">
        <w:trPr>
          <w:trHeight w:val="300"/>
          <w:jc w:val="center"/>
        </w:trPr>
        <w:tc>
          <w:tcPr>
            <w:tcW w:w="2700" w:type="dxa"/>
            <w:shd w:val="clear" w:color="auto" w:fill="auto"/>
            <w:vAlign w:val="bottom"/>
          </w:tcPr>
          <w:p w:rsidR="004F0822" w:rsidRPr="008F0922" w:rsidRDefault="004F0822" w:rsidP="008B1DBF">
            <w:pPr>
              <w:rPr>
                <w:color w:val="000000"/>
              </w:rPr>
            </w:pPr>
            <w:r w:rsidRPr="008F0922">
              <w:rPr>
                <w:color w:val="000000"/>
              </w:rPr>
              <w:t>Urban Areas, Collectors</w:t>
            </w:r>
          </w:p>
        </w:tc>
        <w:tc>
          <w:tcPr>
            <w:tcW w:w="1400" w:type="dxa"/>
            <w:shd w:val="clear" w:color="000000" w:fill="auto"/>
            <w:noWrap/>
          </w:tcPr>
          <w:p w:rsidR="004F0822" w:rsidRPr="008F0922" w:rsidRDefault="004F0822" w:rsidP="008B1DBF">
            <w:pPr>
              <w:jc w:val="right"/>
              <w:rPr>
                <w:color w:val="000000"/>
              </w:rPr>
            </w:pPr>
            <w:r w:rsidRPr="008F0922">
              <w:t>4,112</w:t>
            </w:r>
          </w:p>
        </w:tc>
        <w:tc>
          <w:tcPr>
            <w:tcW w:w="1490" w:type="dxa"/>
            <w:shd w:val="clear" w:color="000000" w:fill="auto"/>
          </w:tcPr>
          <w:p w:rsidR="004F0822" w:rsidRPr="008F0922" w:rsidRDefault="004F0822" w:rsidP="008B1DBF">
            <w:pPr>
              <w:jc w:val="right"/>
              <w:rPr>
                <w:color w:val="000000"/>
              </w:rPr>
            </w:pPr>
            <w:r w:rsidRPr="008F0922">
              <w:t>63</w:t>
            </w:r>
          </w:p>
        </w:tc>
        <w:tc>
          <w:tcPr>
            <w:tcW w:w="1350" w:type="dxa"/>
            <w:shd w:val="clear" w:color="000000" w:fill="auto"/>
            <w:noWrap/>
          </w:tcPr>
          <w:p w:rsidR="004F0822" w:rsidRPr="008F0922" w:rsidRDefault="004F0822" w:rsidP="008B1DBF">
            <w:pPr>
              <w:jc w:val="right"/>
              <w:rPr>
                <w:color w:val="000000"/>
              </w:rPr>
            </w:pPr>
            <w:r w:rsidRPr="008F0922">
              <w:t>7.6</w:t>
            </w:r>
          </w:p>
        </w:tc>
      </w:tr>
      <w:tr w:rsidR="004F0822" w:rsidRPr="008F0922" w:rsidTr="00FF63B4">
        <w:trPr>
          <w:trHeight w:val="300"/>
          <w:jc w:val="center"/>
        </w:trPr>
        <w:tc>
          <w:tcPr>
            <w:tcW w:w="2700" w:type="dxa"/>
            <w:shd w:val="clear" w:color="auto" w:fill="auto"/>
            <w:vAlign w:val="bottom"/>
          </w:tcPr>
          <w:p w:rsidR="004F0822" w:rsidRPr="008F0922" w:rsidRDefault="004F0822" w:rsidP="008B1DBF">
            <w:pPr>
              <w:rPr>
                <w:color w:val="000000"/>
              </w:rPr>
            </w:pPr>
            <w:r w:rsidRPr="008F0922">
              <w:rPr>
                <w:color w:val="000000"/>
              </w:rPr>
              <w:t>Rural Areas, Collectors</w:t>
            </w:r>
          </w:p>
        </w:tc>
        <w:tc>
          <w:tcPr>
            <w:tcW w:w="1400" w:type="dxa"/>
            <w:shd w:val="clear" w:color="000000" w:fill="auto"/>
            <w:noWrap/>
          </w:tcPr>
          <w:p w:rsidR="004F0822" w:rsidRPr="008F0922" w:rsidRDefault="004F0822" w:rsidP="008B1DBF">
            <w:pPr>
              <w:jc w:val="right"/>
              <w:rPr>
                <w:color w:val="000000"/>
              </w:rPr>
            </w:pPr>
            <w:r w:rsidRPr="008F0922">
              <w:t>2,076</w:t>
            </w:r>
          </w:p>
        </w:tc>
        <w:tc>
          <w:tcPr>
            <w:tcW w:w="1490" w:type="dxa"/>
            <w:shd w:val="clear" w:color="000000" w:fill="auto"/>
          </w:tcPr>
          <w:p w:rsidR="004F0822" w:rsidRPr="008F0922" w:rsidRDefault="004F0822" w:rsidP="008B1DBF">
            <w:pPr>
              <w:jc w:val="right"/>
              <w:rPr>
                <w:color w:val="000000"/>
              </w:rPr>
            </w:pPr>
            <w:r w:rsidRPr="008F0922">
              <w:t>55</w:t>
            </w:r>
          </w:p>
        </w:tc>
        <w:tc>
          <w:tcPr>
            <w:tcW w:w="1350" w:type="dxa"/>
            <w:shd w:val="clear" w:color="000000" w:fill="auto"/>
            <w:noWrap/>
          </w:tcPr>
          <w:p w:rsidR="004F0822" w:rsidRPr="008F0922" w:rsidRDefault="004F0822" w:rsidP="008B1DBF">
            <w:pPr>
              <w:jc w:val="right"/>
              <w:rPr>
                <w:color w:val="000000"/>
              </w:rPr>
            </w:pPr>
            <w:r w:rsidRPr="008F0922">
              <w:t>6.6</w:t>
            </w:r>
          </w:p>
        </w:tc>
      </w:tr>
      <w:tr w:rsidR="004F0822" w:rsidRPr="008F0922" w:rsidTr="00FF63B4">
        <w:trPr>
          <w:trHeight w:val="300"/>
          <w:jc w:val="center"/>
        </w:trPr>
        <w:tc>
          <w:tcPr>
            <w:tcW w:w="6940" w:type="dxa"/>
            <w:gridSpan w:val="4"/>
            <w:shd w:val="clear" w:color="auto" w:fill="auto"/>
            <w:vAlign w:val="bottom"/>
          </w:tcPr>
          <w:p w:rsidR="004F0822" w:rsidRPr="008F0922" w:rsidRDefault="004F0822" w:rsidP="008B1DBF">
            <w:pPr>
              <w:rPr>
                <w:i/>
                <w:color w:val="000000"/>
              </w:rPr>
            </w:pPr>
            <w:r w:rsidRPr="008F0922">
              <w:rPr>
                <w:i/>
                <w:color w:val="000000"/>
              </w:rPr>
              <w:t>*Total Affected Roadway Width = (lane width (12 ft) * number of lanes) + (shoulder width * number of shoulders) + area affected beyond road width (25 ft)</w:t>
            </w:r>
          </w:p>
        </w:tc>
      </w:tr>
    </w:tbl>
    <w:p w:rsidR="008F0922" w:rsidRDefault="008F0922" w:rsidP="00FB674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rsidR="008F0922" w:rsidRDefault="008F0922" w:rsidP="00FB674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rsidR="00FB6748" w:rsidRPr="008F0922" w:rsidRDefault="00C942FA" w:rsidP="00FB674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8F0922">
        <w:t>County-level building permits data</w:t>
      </w:r>
      <w:r w:rsidR="00FB6748" w:rsidRPr="008F0922">
        <w:rPr>
          <w:iCs/>
        </w:rPr>
        <w:t xml:space="preserve"> </w:t>
      </w:r>
      <w:r w:rsidR="00FB6748" w:rsidRPr="008F0922">
        <w:t>are used to allocate the state-level acres d</w:t>
      </w:r>
      <w:r w:rsidR="00F06530" w:rsidRPr="008F0922">
        <w:t>is</w:t>
      </w:r>
      <w:r w:rsidR="00FB6748" w:rsidRPr="008F0922">
        <w:t>turbed by road construction to the county.</w:t>
      </w:r>
      <w:r w:rsidR="004F0822" w:rsidRPr="008F0922">
        <w:rPr>
          <w:vertAlign w:val="superscript"/>
        </w:rPr>
        <w:t>10</w:t>
      </w:r>
      <w:r w:rsidR="00FB6748" w:rsidRPr="008F0922">
        <w:t xml:space="preserve">  A ratio of the number of building starts in each county to the total number of building starts in each state </w:t>
      </w:r>
      <w:r w:rsidR="00F06530" w:rsidRPr="008F0922">
        <w:t>was</w:t>
      </w:r>
      <w:r w:rsidR="00FB6748" w:rsidRPr="008F0922">
        <w:t xml:space="preserve"> applied to the state-level acres d</w:t>
      </w:r>
      <w:r w:rsidR="00F06530" w:rsidRPr="008F0922">
        <w:t>is</w:t>
      </w:r>
      <w:r w:rsidR="00FB6748" w:rsidRPr="008F0922">
        <w:t>turbed to estimate the total number of acres d</w:t>
      </w:r>
      <w:r w:rsidR="00F06530" w:rsidRPr="008F0922">
        <w:t>is</w:t>
      </w:r>
      <w:r w:rsidR="00FB6748" w:rsidRPr="008F0922">
        <w:t>turbed by road construction in each county.</w:t>
      </w:r>
    </w:p>
    <w:p w:rsidR="00FB6748" w:rsidRPr="008F0922" w:rsidRDefault="00FB6748"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rsidR="0019683E" w:rsidRPr="008F0922" w:rsidRDefault="0019683E"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u w:val="single"/>
        </w:rPr>
      </w:pPr>
      <w:r w:rsidRPr="008F0922">
        <w:rPr>
          <w:u w:val="single"/>
        </w:rPr>
        <w:t>Converting Acres Disturbed to Tons of Land Clearing Debris Burned</w:t>
      </w:r>
    </w:p>
    <w:p w:rsidR="0019683E" w:rsidRPr="008F0922" w:rsidRDefault="0019683E"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rsidR="004F2295" w:rsidRPr="008F0922"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8F0922">
        <w:t xml:space="preserve">Version 2 of the Biogenic Emissions Land cover Database (BELD2) within EPA’s Biogenic Emission Inventory System (BEIS) was used to identify the acres of hardwoods, softwoods, and grasses in each county.  Table </w:t>
      </w:r>
      <w:r w:rsidR="0019683E" w:rsidRPr="008F0922">
        <w:t>3</w:t>
      </w:r>
      <w:r w:rsidRPr="008F0922">
        <w:t xml:space="preserve"> presents the average fuel loading factors by vegetation type.  The average loading factors for slash hardwood and slash softwood were adjusted by a factor of 1.5 to account for the mass of tree that is below the soil surface that would be subject to burning once the land is cleared.</w:t>
      </w:r>
      <w:r w:rsidR="00006F37" w:rsidRPr="008F0922">
        <w:rPr>
          <w:vertAlign w:val="superscript"/>
        </w:rPr>
        <w:t>1</w:t>
      </w:r>
      <w:r w:rsidR="004F0822" w:rsidRPr="008F0922">
        <w:rPr>
          <w:vertAlign w:val="superscript"/>
        </w:rPr>
        <w:t>1</w:t>
      </w:r>
      <w:r w:rsidRPr="008F0922">
        <w:t xml:space="preserve">   Weighted average county-level loading factors were calculated by multiplying </w:t>
      </w:r>
      <w:r w:rsidR="0019683E" w:rsidRPr="008F0922">
        <w:t xml:space="preserve">the average loading factors by </w:t>
      </w:r>
      <w:r w:rsidRPr="008F0922">
        <w:t xml:space="preserve">the percent contribution of each type of vegetation class to the total land area for each county. </w:t>
      </w:r>
    </w:p>
    <w:p w:rsidR="004F2295" w:rsidRPr="008F0922"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rsidR="004F2295" w:rsidRPr="008F0922"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pPr>
      <w:r w:rsidRPr="008F0922">
        <w:rPr>
          <w:b/>
          <w:bCs/>
        </w:rPr>
        <w:lastRenderedPageBreak/>
        <w:t xml:space="preserve">Table </w:t>
      </w:r>
      <w:r w:rsidR="0019683E" w:rsidRPr="008F0922">
        <w:rPr>
          <w:b/>
          <w:bCs/>
        </w:rPr>
        <w:t>3</w:t>
      </w:r>
      <w:r w:rsidRPr="008F0922">
        <w:rPr>
          <w:b/>
          <w:bCs/>
        </w:rPr>
        <w:t>.  Fuel Loading Factors by Vegetation Type</w:t>
      </w:r>
    </w:p>
    <w:p w:rsidR="004F2295" w:rsidRPr="008F0922"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pPr>
    </w:p>
    <w:tbl>
      <w:tblPr>
        <w:tblW w:w="0" w:type="auto"/>
        <w:jc w:val="center"/>
        <w:tblLayout w:type="fixed"/>
        <w:tblCellMar>
          <w:left w:w="120" w:type="dxa"/>
          <w:right w:w="120" w:type="dxa"/>
        </w:tblCellMar>
        <w:tblLook w:val="0000" w:firstRow="0" w:lastRow="0" w:firstColumn="0" w:lastColumn="0" w:noHBand="0" w:noVBand="0"/>
        <w:tblCaption w:val="Table 3: Fuel Loading Factors by Vegetation Type"/>
        <w:tblDescription w:val="Vegetation Type &#10;Unadjusted Average Fuel Loading Factor (Ton/acre) &#10;Adjusted Average Fuel Loading Factor &#10;(Ton/acre)&#10;"/>
      </w:tblPr>
      <w:tblGrid>
        <w:gridCol w:w="2250"/>
        <w:gridCol w:w="2250"/>
        <w:gridCol w:w="2250"/>
      </w:tblGrid>
      <w:tr w:rsidR="004F2295" w:rsidRPr="008F0922">
        <w:trPr>
          <w:jc w:val="center"/>
        </w:trPr>
        <w:tc>
          <w:tcPr>
            <w:tcW w:w="2250" w:type="dxa"/>
            <w:tcBorders>
              <w:top w:val="single" w:sz="7" w:space="0" w:color="000000"/>
              <w:left w:val="nil"/>
              <w:bottom w:val="nil"/>
              <w:right w:val="nil"/>
            </w:tcBorders>
            <w:vAlign w:val="center"/>
          </w:tcPr>
          <w:p w:rsidR="004F2295" w:rsidRPr="008F0922" w:rsidRDefault="004F2295" w:rsidP="004F2295">
            <w:pPr>
              <w:spacing w:line="120" w:lineRule="exact"/>
            </w:pPr>
          </w:p>
          <w:p w:rsidR="004F2295" w:rsidRPr="008F0922"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b/>
                <w:bCs/>
              </w:rPr>
            </w:pPr>
            <w:r w:rsidRPr="008F0922">
              <w:rPr>
                <w:b/>
                <w:bCs/>
              </w:rPr>
              <w:t>Vegetation Type</w:t>
            </w:r>
          </w:p>
        </w:tc>
        <w:tc>
          <w:tcPr>
            <w:tcW w:w="2250" w:type="dxa"/>
            <w:tcBorders>
              <w:top w:val="single" w:sz="7" w:space="0" w:color="000000"/>
              <w:left w:val="nil"/>
              <w:bottom w:val="nil"/>
              <w:right w:val="nil"/>
            </w:tcBorders>
          </w:tcPr>
          <w:p w:rsidR="004F2295" w:rsidRPr="008F0922" w:rsidRDefault="004F2295" w:rsidP="004F2295">
            <w:pPr>
              <w:spacing w:line="120" w:lineRule="exact"/>
              <w:rPr>
                <w:b/>
                <w:bCs/>
              </w:rPr>
            </w:pPr>
          </w:p>
          <w:p w:rsidR="004F2295" w:rsidRPr="008F0922"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b/>
                <w:bCs/>
              </w:rPr>
            </w:pPr>
            <w:r w:rsidRPr="008F0922">
              <w:rPr>
                <w:b/>
                <w:bCs/>
              </w:rPr>
              <w:t>Unadjusted Average Fuel Loading Factor (Ton/acre)</w:t>
            </w:r>
          </w:p>
        </w:tc>
        <w:tc>
          <w:tcPr>
            <w:tcW w:w="2250" w:type="dxa"/>
            <w:tcBorders>
              <w:top w:val="single" w:sz="7" w:space="0" w:color="000000"/>
              <w:left w:val="nil"/>
              <w:bottom w:val="nil"/>
              <w:right w:val="nil"/>
            </w:tcBorders>
          </w:tcPr>
          <w:p w:rsidR="004F2295" w:rsidRPr="008F0922" w:rsidRDefault="004F2295" w:rsidP="004F2295">
            <w:pPr>
              <w:spacing w:line="120" w:lineRule="exact"/>
              <w:rPr>
                <w:b/>
                <w:bCs/>
              </w:rPr>
            </w:pPr>
          </w:p>
          <w:p w:rsidR="004F2295" w:rsidRPr="008F0922"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b/>
                <w:bCs/>
              </w:rPr>
            </w:pPr>
            <w:r w:rsidRPr="008F0922">
              <w:rPr>
                <w:b/>
                <w:bCs/>
              </w:rPr>
              <w:t xml:space="preserve">Adjusted Average Fuel Loading Factor </w:t>
            </w:r>
          </w:p>
          <w:p w:rsidR="004F2295" w:rsidRPr="008F0922"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b/>
                <w:bCs/>
              </w:rPr>
            </w:pPr>
            <w:r w:rsidRPr="008F0922">
              <w:rPr>
                <w:b/>
                <w:bCs/>
              </w:rPr>
              <w:t>(Ton/acre)</w:t>
            </w:r>
          </w:p>
        </w:tc>
      </w:tr>
      <w:tr w:rsidR="004F2295" w:rsidRPr="008F0922">
        <w:trPr>
          <w:jc w:val="center"/>
        </w:trPr>
        <w:tc>
          <w:tcPr>
            <w:tcW w:w="2250" w:type="dxa"/>
            <w:tcBorders>
              <w:top w:val="nil"/>
              <w:left w:val="nil"/>
              <w:bottom w:val="nil"/>
              <w:right w:val="nil"/>
            </w:tcBorders>
          </w:tcPr>
          <w:p w:rsidR="004F2295" w:rsidRPr="008F0922" w:rsidRDefault="004F2295" w:rsidP="004F2295">
            <w:pPr>
              <w:spacing w:line="120" w:lineRule="exact"/>
              <w:rPr>
                <w:b/>
                <w:bCs/>
              </w:rPr>
            </w:pPr>
          </w:p>
          <w:p w:rsidR="004F2295" w:rsidRPr="008F0922"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pPr>
            <w:r w:rsidRPr="008F0922">
              <w:t>Hardwood</w:t>
            </w:r>
          </w:p>
        </w:tc>
        <w:tc>
          <w:tcPr>
            <w:tcW w:w="2250" w:type="dxa"/>
            <w:tcBorders>
              <w:top w:val="nil"/>
              <w:left w:val="nil"/>
              <w:bottom w:val="nil"/>
              <w:right w:val="nil"/>
            </w:tcBorders>
          </w:tcPr>
          <w:p w:rsidR="004F2295" w:rsidRPr="008F0922" w:rsidRDefault="004F2295" w:rsidP="004F2295">
            <w:pPr>
              <w:spacing w:line="120" w:lineRule="exact"/>
            </w:pPr>
          </w:p>
          <w:p w:rsidR="004F2295" w:rsidRPr="008F0922"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pPr>
            <w:r w:rsidRPr="008F0922">
              <w:t>66</w:t>
            </w:r>
          </w:p>
        </w:tc>
        <w:tc>
          <w:tcPr>
            <w:tcW w:w="2250" w:type="dxa"/>
            <w:tcBorders>
              <w:top w:val="nil"/>
              <w:left w:val="nil"/>
              <w:bottom w:val="nil"/>
              <w:right w:val="nil"/>
            </w:tcBorders>
          </w:tcPr>
          <w:p w:rsidR="004F2295" w:rsidRPr="008F0922" w:rsidRDefault="004F2295" w:rsidP="004F2295">
            <w:pPr>
              <w:spacing w:line="120" w:lineRule="exact"/>
            </w:pPr>
          </w:p>
          <w:p w:rsidR="004F2295" w:rsidRPr="008F0922"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pPr>
            <w:r w:rsidRPr="008F0922">
              <w:t>99</w:t>
            </w:r>
          </w:p>
        </w:tc>
      </w:tr>
      <w:tr w:rsidR="004F2295" w:rsidRPr="008F0922">
        <w:trPr>
          <w:jc w:val="center"/>
        </w:trPr>
        <w:tc>
          <w:tcPr>
            <w:tcW w:w="2250" w:type="dxa"/>
            <w:tcBorders>
              <w:top w:val="nil"/>
              <w:left w:val="nil"/>
              <w:bottom w:val="nil"/>
              <w:right w:val="nil"/>
            </w:tcBorders>
          </w:tcPr>
          <w:p w:rsidR="004F2295" w:rsidRPr="008F0922" w:rsidRDefault="004F2295" w:rsidP="004F2295">
            <w:pPr>
              <w:spacing w:line="120" w:lineRule="exact"/>
            </w:pPr>
          </w:p>
          <w:p w:rsidR="004F2295" w:rsidRPr="008F0922"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pPr>
            <w:r w:rsidRPr="008F0922">
              <w:t>Softwood</w:t>
            </w:r>
          </w:p>
        </w:tc>
        <w:tc>
          <w:tcPr>
            <w:tcW w:w="2250" w:type="dxa"/>
            <w:tcBorders>
              <w:top w:val="nil"/>
              <w:left w:val="nil"/>
              <w:bottom w:val="nil"/>
              <w:right w:val="nil"/>
            </w:tcBorders>
          </w:tcPr>
          <w:p w:rsidR="004F2295" w:rsidRPr="008F0922" w:rsidRDefault="004F2295" w:rsidP="004F2295">
            <w:pPr>
              <w:spacing w:line="120" w:lineRule="exact"/>
            </w:pPr>
          </w:p>
          <w:p w:rsidR="004F2295" w:rsidRPr="008F0922"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pPr>
            <w:r w:rsidRPr="008F0922">
              <w:t>38</w:t>
            </w:r>
          </w:p>
        </w:tc>
        <w:tc>
          <w:tcPr>
            <w:tcW w:w="2250" w:type="dxa"/>
            <w:tcBorders>
              <w:top w:val="nil"/>
              <w:left w:val="nil"/>
              <w:bottom w:val="nil"/>
              <w:right w:val="nil"/>
            </w:tcBorders>
          </w:tcPr>
          <w:p w:rsidR="004F2295" w:rsidRPr="008F0922" w:rsidRDefault="004F2295" w:rsidP="004F2295">
            <w:pPr>
              <w:spacing w:line="120" w:lineRule="exact"/>
            </w:pPr>
          </w:p>
          <w:p w:rsidR="004F2295" w:rsidRPr="008F0922"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pPr>
            <w:r w:rsidRPr="008F0922">
              <w:t>57</w:t>
            </w:r>
          </w:p>
        </w:tc>
      </w:tr>
      <w:tr w:rsidR="004F2295" w:rsidRPr="008F0922">
        <w:trPr>
          <w:jc w:val="center"/>
        </w:trPr>
        <w:tc>
          <w:tcPr>
            <w:tcW w:w="2250" w:type="dxa"/>
            <w:tcBorders>
              <w:top w:val="nil"/>
              <w:left w:val="nil"/>
              <w:bottom w:val="single" w:sz="7" w:space="0" w:color="000000"/>
              <w:right w:val="nil"/>
            </w:tcBorders>
          </w:tcPr>
          <w:p w:rsidR="004F2295" w:rsidRPr="008F0922" w:rsidRDefault="004F2295" w:rsidP="004F2295">
            <w:pPr>
              <w:spacing w:line="120" w:lineRule="exact"/>
            </w:pPr>
          </w:p>
          <w:p w:rsidR="004F2295" w:rsidRPr="008F0922"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pPr>
            <w:r w:rsidRPr="008F0922">
              <w:t>Grass</w:t>
            </w:r>
          </w:p>
        </w:tc>
        <w:tc>
          <w:tcPr>
            <w:tcW w:w="2250" w:type="dxa"/>
            <w:tcBorders>
              <w:top w:val="nil"/>
              <w:left w:val="nil"/>
              <w:bottom w:val="single" w:sz="7" w:space="0" w:color="000000"/>
              <w:right w:val="nil"/>
            </w:tcBorders>
          </w:tcPr>
          <w:p w:rsidR="004F2295" w:rsidRPr="008F0922" w:rsidRDefault="004F2295" w:rsidP="004F2295">
            <w:pPr>
              <w:spacing w:line="120" w:lineRule="exact"/>
            </w:pPr>
          </w:p>
          <w:p w:rsidR="004F2295" w:rsidRPr="008F0922"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pPr>
            <w:r w:rsidRPr="008F0922">
              <w:t>4.5</w:t>
            </w:r>
          </w:p>
        </w:tc>
        <w:tc>
          <w:tcPr>
            <w:tcW w:w="2250" w:type="dxa"/>
            <w:tcBorders>
              <w:top w:val="nil"/>
              <w:left w:val="nil"/>
              <w:bottom w:val="single" w:sz="7" w:space="0" w:color="000000"/>
              <w:right w:val="nil"/>
            </w:tcBorders>
          </w:tcPr>
          <w:p w:rsidR="004F2295" w:rsidRPr="008F0922" w:rsidRDefault="004F2295" w:rsidP="004F2295">
            <w:pPr>
              <w:spacing w:line="120" w:lineRule="exact"/>
            </w:pPr>
          </w:p>
          <w:p w:rsidR="004F2295" w:rsidRPr="008F0922"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pPr>
            <w:r w:rsidRPr="008F0922">
              <w:t>Not Applicable</w:t>
            </w:r>
          </w:p>
        </w:tc>
      </w:tr>
    </w:tbl>
    <w:p w:rsidR="004F2295" w:rsidRPr="008F0922" w:rsidRDefault="004F2295" w:rsidP="004F229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26" w:lineRule="auto"/>
        <w:ind w:left="720"/>
        <w:jc w:val="center"/>
      </w:pPr>
    </w:p>
    <w:p w:rsidR="00DB4AFA" w:rsidRPr="008F0922" w:rsidRDefault="00DB4AFA" w:rsidP="00DB4AFA">
      <w:pPr>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26" w:lineRule="auto"/>
      </w:pPr>
      <w:r w:rsidRPr="008F0922">
        <w:t xml:space="preserve">The total acres disturbed by all construction types </w:t>
      </w:r>
      <w:r w:rsidR="005A264B" w:rsidRPr="008F0922">
        <w:t>was calculated by summing the acres disturbed from residential, non-residential, and road construction. The county-level total acres disturbed were then multiplied by the weighted average loading factor to derive tons of land clearing debris.</w:t>
      </w:r>
    </w:p>
    <w:p w:rsidR="00641127" w:rsidRPr="008F0922" w:rsidRDefault="00641127" w:rsidP="00DB4AFA">
      <w:pPr>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26" w:lineRule="auto"/>
      </w:pPr>
    </w:p>
    <w:p w:rsidR="003A1B50" w:rsidRPr="008F0922" w:rsidRDefault="00641127" w:rsidP="00DB4AFA">
      <w:pPr>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26" w:lineRule="auto"/>
        <w:rPr>
          <w:vertAlign w:val="superscript"/>
        </w:rPr>
      </w:pPr>
      <w:r w:rsidRPr="008F0922">
        <w:t>Because BELD2 does not contain data on Alaska and Hawaii, the acres of hardwoods, softwoods, and grasses in each county was estimated by using the state-level land cover statistics from the USGS National Land Cover Database on the percent land cover under each vegetation type.</w:t>
      </w:r>
      <w:r w:rsidRPr="008F0922">
        <w:rPr>
          <w:vertAlign w:val="superscript"/>
        </w:rPr>
        <w:t>12</w:t>
      </w:r>
      <w:r w:rsidRPr="008F0922">
        <w:t xml:space="preserve"> These percentages were multiplied by the county area (acres), from the U.S. Census Bureau.</w:t>
      </w:r>
      <w:r w:rsidRPr="008F0922">
        <w:rPr>
          <w:vertAlign w:val="superscript"/>
        </w:rPr>
        <w:t>13</w:t>
      </w:r>
    </w:p>
    <w:p w:rsidR="003A1B50" w:rsidRPr="008F0922" w:rsidRDefault="003A1B50" w:rsidP="003A1B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rsidR="00983400" w:rsidRPr="008F0922" w:rsidRDefault="00983400" w:rsidP="00983400">
      <w:pPr>
        <w:widowControl/>
        <w:tabs>
          <w:tab w:val="left" w:pos="0"/>
        </w:tabs>
        <w:spacing w:line="226" w:lineRule="auto"/>
        <w:rPr>
          <w:b/>
          <w:i/>
        </w:rPr>
      </w:pPr>
      <w:r w:rsidRPr="008F0922">
        <w:rPr>
          <w:b/>
          <w:i/>
        </w:rPr>
        <w:t>c. Controls</w:t>
      </w:r>
    </w:p>
    <w:p w:rsidR="00983400" w:rsidRPr="008F0922" w:rsidRDefault="00983400" w:rsidP="009834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rsidR="004F2295" w:rsidRPr="008F0922"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8F0922">
        <w:t>Controls for land clearing debris burning are generally in the form of a ban on open burning of waste in a given municipality or county</w:t>
      </w:r>
      <w:r w:rsidR="00A8639B" w:rsidRPr="008F0922">
        <w:t>.</w:t>
      </w:r>
      <w:r w:rsidR="006D6013" w:rsidRPr="008F0922">
        <w:t xml:space="preserve"> Counties that were more than 80% urban, by land area, determined by the 2010 U.S. Census data</w:t>
      </w:r>
      <w:r w:rsidR="00641127" w:rsidRPr="008F0922">
        <w:t>,</w:t>
      </w:r>
      <w:r w:rsidR="006D6013" w:rsidRPr="008F0922">
        <w:rPr>
          <w:vertAlign w:val="superscript"/>
        </w:rPr>
        <w:t>1</w:t>
      </w:r>
      <w:r w:rsidR="00641127" w:rsidRPr="008F0922">
        <w:rPr>
          <w:vertAlign w:val="superscript"/>
        </w:rPr>
        <w:t>3</w:t>
      </w:r>
      <w:r w:rsidR="006D6013" w:rsidRPr="008F0922">
        <w:t xml:space="preserve"> were assumed not to practice any open burning.</w:t>
      </w:r>
      <w:r w:rsidRPr="008F0922">
        <w:t xml:space="preserve"> Therefore, criteria pollutant and HAP emissions from </w:t>
      </w:r>
      <w:r w:rsidR="0019683E" w:rsidRPr="008F0922">
        <w:t>open</w:t>
      </w:r>
      <w:r w:rsidRPr="008F0922">
        <w:t xml:space="preserve"> burning </w:t>
      </w:r>
      <w:r w:rsidR="0019683E" w:rsidRPr="008F0922">
        <w:t xml:space="preserve">of land clearing debris </w:t>
      </w:r>
      <w:r w:rsidRPr="008F0922">
        <w:t xml:space="preserve">are zero in these counties.  In addition, the State of Colorado implemented a state-wide ban on open burning.  Emissions from open burning of land clearing debris in all Colorado counties were assumed to be zero. </w:t>
      </w:r>
    </w:p>
    <w:p w:rsidR="003A1B50" w:rsidRPr="008F0922" w:rsidRDefault="003A1B50"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rsidR="003A1B50" w:rsidRPr="008F0922" w:rsidRDefault="003A1B50" w:rsidP="003A1B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8F0922">
        <w:t>Activity data and emissions for Clark County, NV, were zeroed out based on data from the Clark County Department of Air Quality that indicates that there is very little vegetation to be cleared in that county and that there is an effective burn ban in place.</w:t>
      </w:r>
    </w:p>
    <w:p w:rsidR="003A1B50" w:rsidRPr="008F0922" w:rsidRDefault="003A1B50"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rsidR="004F2295" w:rsidRPr="008F0922"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rsidR="00983400" w:rsidRPr="008F0922" w:rsidRDefault="00983400" w:rsidP="00983400">
      <w:pPr>
        <w:widowControl/>
        <w:tabs>
          <w:tab w:val="left" w:pos="0"/>
        </w:tabs>
        <w:spacing w:line="226" w:lineRule="auto"/>
        <w:rPr>
          <w:b/>
          <w:i/>
        </w:rPr>
      </w:pPr>
      <w:r w:rsidRPr="008F0922">
        <w:rPr>
          <w:b/>
          <w:i/>
        </w:rPr>
        <w:t>d. Emission Factors</w:t>
      </w:r>
    </w:p>
    <w:p w:rsidR="00983400" w:rsidRPr="008F0922" w:rsidRDefault="00983400" w:rsidP="00983400">
      <w:pPr>
        <w:widowControl/>
        <w:tabs>
          <w:tab w:val="left" w:pos="0"/>
        </w:tabs>
        <w:spacing w:line="226" w:lineRule="auto"/>
      </w:pPr>
    </w:p>
    <w:p w:rsidR="00FB2D09" w:rsidRPr="008F0922" w:rsidRDefault="00983400" w:rsidP="009834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8F0922">
        <w:t>Emission factors are reported in Table 4 below. Emission factors for CAPs were developed by the U.S. Environmental Protection Agency (EPA) in consultation with the Eastern Regional Technical Advisory Committee and based primarily on the AP-42 report.</w:t>
      </w:r>
      <w:r w:rsidR="00641127" w:rsidRPr="008F0922">
        <w:rPr>
          <w:vertAlign w:val="superscript"/>
        </w:rPr>
        <w:t>14</w:t>
      </w:r>
      <w:r w:rsidR="006D6013" w:rsidRPr="008F0922">
        <w:rPr>
          <w:vertAlign w:val="superscript"/>
        </w:rPr>
        <w:t>,1</w:t>
      </w:r>
      <w:r w:rsidR="00641127" w:rsidRPr="008F0922">
        <w:rPr>
          <w:vertAlign w:val="superscript"/>
        </w:rPr>
        <w:t>5</w:t>
      </w:r>
      <w:r w:rsidRPr="008F0922">
        <w:t xml:space="preserve"> </w:t>
      </w:r>
      <w:r w:rsidR="00E40A79" w:rsidRPr="008F0922">
        <w:t xml:space="preserve">The PM2.5 to PM10 emission factor ratio for brush burning (0.7709) was multiplied by the PM10 emission factors for land clearing debris burning to develop PM2.5 emission factors.  </w:t>
      </w:r>
    </w:p>
    <w:p w:rsidR="00983400" w:rsidRPr="008F0922" w:rsidRDefault="00983400" w:rsidP="009834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8F0922">
        <w:t>Emission factors for HAPs are from an EPA Control Technology Center report</w:t>
      </w:r>
      <w:r w:rsidR="00FB2D09" w:rsidRPr="008F0922">
        <w:rPr>
          <w:vertAlign w:val="superscript"/>
        </w:rPr>
        <w:t>1</w:t>
      </w:r>
      <w:r w:rsidR="006D6013" w:rsidRPr="008F0922">
        <w:rPr>
          <w:vertAlign w:val="superscript"/>
        </w:rPr>
        <w:t>5</w:t>
      </w:r>
      <w:r w:rsidRPr="008F0922">
        <w:t xml:space="preserve"> and emission factors for 17 dioxin congeners were obtained from an EPA dioxin report.</w:t>
      </w:r>
      <w:r w:rsidR="00006F37" w:rsidRPr="008F0922">
        <w:rPr>
          <w:vertAlign w:val="superscript"/>
        </w:rPr>
        <w:t>1</w:t>
      </w:r>
      <w:r w:rsidR="00641127" w:rsidRPr="008F0922">
        <w:rPr>
          <w:vertAlign w:val="superscript"/>
        </w:rPr>
        <w:t>7</w:t>
      </w:r>
      <w:r w:rsidR="00DB4AFA" w:rsidRPr="008F0922">
        <w:t xml:space="preserve"> </w:t>
      </w:r>
      <w:r w:rsidR="00641127" w:rsidRPr="008F0922">
        <w:t>T</w:t>
      </w:r>
      <w:r w:rsidR="00DB4AFA" w:rsidRPr="008F0922">
        <w:t xml:space="preserve">he </w:t>
      </w:r>
      <w:r w:rsidR="00736159" w:rsidRPr="008F0922">
        <w:t>d</w:t>
      </w:r>
      <w:r w:rsidR="00DB4AFA" w:rsidRPr="008F0922">
        <w:t>ioxin emission factors were multiplied by 0.002 to convert from mg/kg to lb/ton.</w:t>
      </w:r>
    </w:p>
    <w:p w:rsidR="00983400" w:rsidRPr="008F0922" w:rsidRDefault="00983400" w:rsidP="009834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rsidR="00983400" w:rsidRPr="008F0922" w:rsidRDefault="00983400" w:rsidP="00983400">
      <w:pPr>
        <w:widowControl/>
        <w:tabs>
          <w:tab w:val="left" w:pos="0"/>
        </w:tabs>
        <w:spacing w:line="226" w:lineRule="auto"/>
        <w:rPr>
          <w:b/>
          <w:i/>
        </w:rPr>
      </w:pPr>
      <w:r w:rsidRPr="008F0922">
        <w:rPr>
          <w:b/>
          <w:i/>
        </w:rPr>
        <w:t>e. Emissions</w:t>
      </w:r>
    </w:p>
    <w:p w:rsidR="00DB4AFA" w:rsidRPr="008F0922"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8F0922">
        <w:t>County-level criteria pollutant</w:t>
      </w:r>
      <w:r w:rsidR="00E40A79" w:rsidRPr="008F0922">
        <w:t xml:space="preserve"> and HAP emissions </w:t>
      </w:r>
      <w:r w:rsidRPr="008F0922">
        <w:t>were calculated by multiplying the total mass of land clearing debris burned per year by an emission factor.</w:t>
      </w:r>
    </w:p>
    <w:p w:rsidR="00DB4AFA" w:rsidRPr="008F0922" w:rsidRDefault="00DB4AFA"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rsidR="00DB4AFA" w:rsidRPr="008F0922" w:rsidRDefault="00DB4AFA" w:rsidP="00DB4AFA">
      <w:pPr>
        <w:widowControl/>
        <w:tabs>
          <w:tab w:val="left" w:pos="0"/>
        </w:tabs>
        <w:spacing w:line="226" w:lineRule="auto"/>
        <w:rPr>
          <w:b/>
          <w:i/>
        </w:rPr>
      </w:pPr>
      <w:r w:rsidRPr="008F0922">
        <w:t xml:space="preserve"> </w:t>
      </w:r>
      <w:r w:rsidRPr="008F0922">
        <w:rPr>
          <w:b/>
          <w:i/>
        </w:rPr>
        <w:t>f. Example Calculations</w:t>
      </w:r>
    </w:p>
    <w:p w:rsidR="00DB4AFA" w:rsidRPr="008F0922" w:rsidRDefault="00DB4AFA" w:rsidP="00DB4AFA">
      <w:pPr>
        <w:widowControl/>
        <w:tabs>
          <w:tab w:val="left" w:pos="0"/>
        </w:tabs>
        <w:spacing w:line="226" w:lineRule="auto"/>
      </w:pPr>
    </w:p>
    <w:p w:rsidR="00DB4AFA" w:rsidRPr="008F0922" w:rsidRDefault="00DB4AFA" w:rsidP="00DB4AFA">
      <w:pPr>
        <w:widowControl/>
        <w:tabs>
          <w:tab w:val="left" w:pos="0"/>
        </w:tabs>
        <w:spacing w:line="226" w:lineRule="auto"/>
      </w:pPr>
      <w:r w:rsidRPr="008F0922">
        <w:t>VOC emissions in Autauga County, Alabama from open burning of land clearing debris:</w:t>
      </w:r>
    </w:p>
    <w:p w:rsidR="00DB4AFA" w:rsidRPr="008F0922" w:rsidRDefault="00DB4AFA" w:rsidP="00DB4AFA">
      <w:pPr>
        <w:widowControl/>
        <w:tabs>
          <w:tab w:val="left" w:pos="0"/>
        </w:tabs>
        <w:spacing w:line="226" w:lineRule="auto"/>
        <w:ind w:firstLine="720"/>
      </w:pPr>
    </w:p>
    <w:p w:rsidR="00DB4AFA" w:rsidRPr="008F0922" w:rsidRDefault="00DB4AFA" w:rsidP="00DB4AFA">
      <w:pPr>
        <w:widowControl/>
        <w:tabs>
          <w:tab w:val="left" w:pos="0"/>
        </w:tabs>
        <w:spacing w:line="226" w:lineRule="auto"/>
        <w:ind w:firstLine="720"/>
      </w:pPr>
      <w:r w:rsidRPr="008F0922">
        <w:t xml:space="preserve">Rural fraction of Autauga County </w:t>
      </w:r>
      <w:r w:rsidR="008E753B" w:rsidRPr="008F0922">
        <w:t>land</w:t>
      </w:r>
      <w:r w:rsidRPr="008F0922">
        <w:t xml:space="preserve"> = 0.</w:t>
      </w:r>
      <w:r w:rsidR="008E753B" w:rsidRPr="008F0922">
        <w:t>97</w:t>
      </w:r>
      <w:r w:rsidR="00AC2E02" w:rsidRPr="008F0922">
        <w:t>, so no emission controls</w:t>
      </w:r>
    </w:p>
    <w:p w:rsidR="00DB4AFA" w:rsidRPr="008F0922" w:rsidRDefault="00DB4AFA" w:rsidP="00DB4AFA">
      <w:pPr>
        <w:widowControl/>
        <w:tabs>
          <w:tab w:val="left" w:pos="0"/>
        </w:tabs>
        <w:spacing w:line="226" w:lineRule="auto"/>
        <w:ind w:firstLine="720"/>
      </w:pPr>
    </w:p>
    <w:p w:rsidR="00DB4AFA" w:rsidRPr="008F0922" w:rsidRDefault="00DB4AFA" w:rsidP="00DB4AFA">
      <w:pPr>
        <w:widowControl/>
        <w:tabs>
          <w:tab w:val="left" w:pos="0"/>
        </w:tabs>
        <w:spacing w:line="226" w:lineRule="auto"/>
        <w:ind w:firstLine="720"/>
      </w:pPr>
      <w:r w:rsidRPr="008F0922">
        <w:t xml:space="preserve">Acres disturbed by residential, non-residential, and road construction </w:t>
      </w:r>
      <w:r w:rsidR="005A264B" w:rsidRPr="008F0922">
        <w:t xml:space="preserve">in Autauga County </w:t>
      </w:r>
      <w:r w:rsidRPr="008F0922">
        <w:t xml:space="preserve">= </w:t>
      </w:r>
      <w:r w:rsidR="0034466F" w:rsidRPr="008F0922">
        <w:t>80</w:t>
      </w:r>
    </w:p>
    <w:p w:rsidR="005A264B" w:rsidRPr="008F0922" w:rsidRDefault="005A264B" w:rsidP="00DB4AFA">
      <w:pPr>
        <w:widowControl/>
        <w:tabs>
          <w:tab w:val="left" w:pos="0"/>
        </w:tabs>
        <w:spacing w:line="226" w:lineRule="auto"/>
        <w:ind w:firstLine="720"/>
      </w:pPr>
      <w:r w:rsidRPr="008F0922">
        <w:t>Weighted average fuel loading factor for Autauga County = 65.48 tons/acre</w:t>
      </w:r>
    </w:p>
    <w:p w:rsidR="005A264B" w:rsidRPr="008F0922" w:rsidRDefault="005A264B" w:rsidP="00DB4AFA">
      <w:pPr>
        <w:widowControl/>
        <w:tabs>
          <w:tab w:val="left" w:pos="0"/>
        </w:tabs>
        <w:spacing w:line="226" w:lineRule="auto"/>
        <w:ind w:firstLine="720"/>
      </w:pPr>
    </w:p>
    <w:p w:rsidR="005A264B" w:rsidRPr="008F0922" w:rsidRDefault="005A264B" w:rsidP="00DB4AFA">
      <w:pPr>
        <w:widowControl/>
        <w:tabs>
          <w:tab w:val="left" w:pos="0"/>
        </w:tabs>
        <w:spacing w:line="226" w:lineRule="auto"/>
        <w:ind w:firstLine="720"/>
      </w:pPr>
      <w:r w:rsidRPr="008F0922">
        <w:t>Mass of l</w:t>
      </w:r>
      <w:r w:rsidR="00763CF8" w:rsidRPr="008F0922">
        <w:t xml:space="preserve">and clearing debris burned = </w:t>
      </w:r>
      <w:r w:rsidR="00C96039" w:rsidRPr="008F0922">
        <w:t>88.33</w:t>
      </w:r>
      <w:r w:rsidR="00763CF8" w:rsidRPr="008F0922">
        <w:t xml:space="preserve"> </w:t>
      </w:r>
      <w:r w:rsidRPr="008F0922">
        <w:t xml:space="preserve">acres * 65.48 tons/acre = </w:t>
      </w:r>
      <w:r w:rsidR="0034466F" w:rsidRPr="008F0922">
        <w:t>5,238.7</w:t>
      </w:r>
      <w:r w:rsidRPr="008F0922">
        <w:t xml:space="preserve"> tons</w:t>
      </w:r>
    </w:p>
    <w:p w:rsidR="005A264B" w:rsidRPr="008F0922" w:rsidRDefault="005A264B" w:rsidP="00DB4AFA">
      <w:pPr>
        <w:widowControl/>
        <w:tabs>
          <w:tab w:val="left" w:pos="0"/>
        </w:tabs>
        <w:spacing w:line="226" w:lineRule="auto"/>
        <w:ind w:firstLine="720"/>
      </w:pPr>
    </w:p>
    <w:p w:rsidR="00DB4AFA" w:rsidRPr="008F0922" w:rsidRDefault="005A264B" w:rsidP="00DB4AFA">
      <w:pPr>
        <w:widowControl/>
        <w:tabs>
          <w:tab w:val="left" w:pos="0"/>
        </w:tabs>
        <w:spacing w:line="226" w:lineRule="auto"/>
        <w:ind w:firstLine="720"/>
      </w:pPr>
      <w:r w:rsidRPr="008F0922">
        <w:t>VOC emission factor</w:t>
      </w:r>
      <w:r w:rsidR="00DB4AFA" w:rsidRPr="008F0922">
        <w:t xml:space="preserve"> = </w:t>
      </w:r>
      <w:r w:rsidRPr="008F0922">
        <w:t>11.6 lbs/ton</w:t>
      </w:r>
    </w:p>
    <w:p w:rsidR="00DB4AFA" w:rsidRPr="008F0922" w:rsidRDefault="00DB4AFA" w:rsidP="00DB4AFA">
      <w:pPr>
        <w:widowControl/>
        <w:tabs>
          <w:tab w:val="left" w:pos="0"/>
        </w:tabs>
        <w:spacing w:line="226" w:lineRule="auto"/>
        <w:ind w:firstLine="720"/>
      </w:pPr>
      <w:r w:rsidRPr="008F0922">
        <w:t>Factor to convert from lbs to tons = 1/2000</w:t>
      </w:r>
    </w:p>
    <w:p w:rsidR="00DB4AFA" w:rsidRPr="008F0922" w:rsidRDefault="00DB4AFA" w:rsidP="00DB4AFA">
      <w:pPr>
        <w:widowControl/>
        <w:tabs>
          <w:tab w:val="left" w:pos="0"/>
        </w:tabs>
        <w:spacing w:line="226" w:lineRule="auto"/>
        <w:ind w:firstLine="720"/>
      </w:pPr>
    </w:p>
    <w:p w:rsidR="00DB4AFA" w:rsidRPr="008F0922" w:rsidRDefault="00DB4AFA" w:rsidP="00DB4AFA">
      <w:pPr>
        <w:widowControl/>
        <w:tabs>
          <w:tab w:val="left" w:pos="0"/>
        </w:tabs>
        <w:spacing w:line="226" w:lineRule="auto"/>
        <w:ind w:firstLine="720"/>
      </w:pPr>
      <w:r w:rsidRPr="008F0922">
        <w:t xml:space="preserve">VOC emissions = tons of </w:t>
      </w:r>
      <w:r w:rsidR="005A264B" w:rsidRPr="008F0922">
        <w:t>land clearing debris</w:t>
      </w:r>
      <w:r w:rsidRPr="008F0922">
        <w:t xml:space="preserve"> burned * VOC emission factor</w:t>
      </w:r>
    </w:p>
    <w:p w:rsidR="00DB4AFA" w:rsidRPr="008F0922" w:rsidRDefault="00DB4AFA" w:rsidP="00DB4AFA">
      <w:pPr>
        <w:widowControl/>
        <w:tabs>
          <w:tab w:val="left" w:pos="0"/>
        </w:tabs>
        <w:spacing w:line="226" w:lineRule="auto"/>
        <w:ind w:firstLine="720"/>
      </w:pPr>
    </w:p>
    <w:p w:rsidR="00DB4AFA" w:rsidRPr="008F0922" w:rsidRDefault="00DB4AFA" w:rsidP="00DB4AFA">
      <w:pPr>
        <w:widowControl/>
        <w:tabs>
          <w:tab w:val="left" w:pos="0"/>
        </w:tabs>
        <w:spacing w:line="226" w:lineRule="auto"/>
        <w:ind w:firstLine="720"/>
      </w:pPr>
      <w:r w:rsidRPr="008F0922">
        <w:t xml:space="preserve">VOC emissions from </w:t>
      </w:r>
      <w:r w:rsidR="005A264B" w:rsidRPr="008F0922">
        <w:t>land clearing debris burning</w:t>
      </w:r>
      <w:r w:rsidRPr="008F0922">
        <w:t xml:space="preserve"> = </w:t>
      </w:r>
      <w:r w:rsidR="006470D0" w:rsidRPr="008F0922">
        <w:t>5,</w:t>
      </w:r>
      <w:r w:rsidR="0034466F" w:rsidRPr="008F0922">
        <w:t>238.7</w:t>
      </w:r>
      <w:r w:rsidRPr="008F0922">
        <w:t xml:space="preserve"> tons * </w:t>
      </w:r>
      <w:r w:rsidR="005A264B" w:rsidRPr="008F0922">
        <w:t>11.</w:t>
      </w:r>
      <w:r w:rsidRPr="008F0922">
        <w:t>6 lbs/ton * 1 ton/2000 lbs</w:t>
      </w:r>
    </w:p>
    <w:p w:rsidR="00DB4AFA" w:rsidRPr="008F0922" w:rsidRDefault="00DB4AFA" w:rsidP="00DB4AFA">
      <w:pPr>
        <w:widowControl/>
        <w:tabs>
          <w:tab w:val="left" w:pos="0"/>
        </w:tabs>
        <w:spacing w:line="226" w:lineRule="auto"/>
        <w:ind w:firstLine="720"/>
      </w:pPr>
    </w:p>
    <w:p w:rsidR="00DB4AFA" w:rsidRPr="008F0922" w:rsidRDefault="00DB4AFA" w:rsidP="00DB4AFA">
      <w:pPr>
        <w:widowControl/>
        <w:tabs>
          <w:tab w:val="left" w:pos="0"/>
        </w:tabs>
        <w:spacing w:line="226" w:lineRule="auto"/>
        <w:ind w:firstLine="720"/>
      </w:pPr>
      <w:r w:rsidRPr="008F0922">
        <w:t xml:space="preserve">VOC emissions from </w:t>
      </w:r>
      <w:r w:rsidR="005A264B" w:rsidRPr="008F0922">
        <w:t>land clearing debris</w:t>
      </w:r>
      <w:r w:rsidRPr="008F0922">
        <w:t xml:space="preserve"> burning in Autauga County</w:t>
      </w:r>
      <w:r w:rsidR="00AC2E02" w:rsidRPr="008F0922">
        <w:t xml:space="preserve"> in 20</w:t>
      </w:r>
      <w:r w:rsidR="0034466F" w:rsidRPr="008F0922">
        <w:t>14</w:t>
      </w:r>
      <w:r w:rsidR="00AC2E02" w:rsidRPr="008F0922">
        <w:t xml:space="preserve"> = </w:t>
      </w:r>
      <w:r w:rsidR="006470D0" w:rsidRPr="008F0922">
        <w:t>3</w:t>
      </w:r>
      <w:r w:rsidR="0034466F" w:rsidRPr="008F0922">
        <w:t>0.4</w:t>
      </w:r>
      <w:r w:rsidRPr="008F0922">
        <w:t xml:space="preserve"> tons</w:t>
      </w:r>
    </w:p>
    <w:p w:rsidR="00006F37" w:rsidRPr="008F0922" w:rsidRDefault="00006F37" w:rsidP="00006F37">
      <w:pPr>
        <w:widowControl/>
        <w:tabs>
          <w:tab w:val="left" w:pos="0"/>
        </w:tabs>
        <w:spacing w:line="226" w:lineRule="auto"/>
        <w:rPr>
          <w:b/>
          <w:i/>
        </w:rPr>
      </w:pPr>
    </w:p>
    <w:p w:rsidR="00006F37" w:rsidRPr="008F0922" w:rsidRDefault="00006F37" w:rsidP="00006F37">
      <w:pPr>
        <w:widowControl/>
        <w:tabs>
          <w:tab w:val="left" w:pos="0"/>
        </w:tabs>
        <w:spacing w:line="226" w:lineRule="auto"/>
        <w:rPr>
          <w:b/>
          <w:i/>
        </w:rPr>
      </w:pPr>
      <w:r w:rsidRPr="008F0922">
        <w:rPr>
          <w:b/>
          <w:i/>
        </w:rPr>
        <w:t xml:space="preserve">g. Changes </w:t>
      </w:r>
      <w:r w:rsidR="00A43991" w:rsidRPr="008F0922">
        <w:rPr>
          <w:b/>
          <w:i/>
        </w:rPr>
        <w:t>from 2011</w:t>
      </w:r>
      <w:r w:rsidRPr="008F0922">
        <w:rPr>
          <w:b/>
          <w:i/>
        </w:rPr>
        <w:t xml:space="preserve"> Methodology</w:t>
      </w:r>
    </w:p>
    <w:p w:rsidR="00006F37" w:rsidRPr="008F0922" w:rsidRDefault="00006F37" w:rsidP="00006F37">
      <w:pPr>
        <w:widowControl/>
        <w:tabs>
          <w:tab w:val="left" w:pos="0"/>
        </w:tabs>
        <w:spacing w:line="226" w:lineRule="auto"/>
      </w:pPr>
    </w:p>
    <w:p w:rsidR="00006F37" w:rsidRPr="008F0922" w:rsidRDefault="008E753B" w:rsidP="00006F37">
      <w:pPr>
        <w:widowControl/>
        <w:tabs>
          <w:tab w:val="left" w:pos="0"/>
        </w:tabs>
        <w:spacing w:line="226" w:lineRule="auto"/>
      </w:pPr>
      <w:r w:rsidRPr="008F0922">
        <w:t>There were several significant</w:t>
      </w:r>
      <w:r w:rsidR="00006F37" w:rsidRPr="008F0922">
        <w:t xml:space="preserve"> change</w:t>
      </w:r>
      <w:r w:rsidRPr="008F0922">
        <w:t>s</w:t>
      </w:r>
      <w:r w:rsidR="00006F37" w:rsidRPr="008F0922">
        <w:t xml:space="preserve"> from the 2011 inventory</w:t>
      </w:r>
      <w:r w:rsidRPr="008F0922">
        <w:t>.</w:t>
      </w:r>
      <w:r w:rsidR="00006F37" w:rsidRPr="008F0922">
        <w:t xml:space="preserve"> </w:t>
      </w:r>
      <w:r w:rsidRPr="008F0922">
        <w:t>This included</w:t>
      </w:r>
      <w:r w:rsidR="00006F37" w:rsidRPr="008F0922">
        <w:t xml:space="preserve"> the </w:t>
      </w:r>
      <w:r w:rsidR="004F0822" w:rsidRPr="008F0922">
        <w:t>utilization of a new</w:t>
      </w:r>
      <w:r w:rsidRPr="008F0922">
        <w:t>er information</w:t>
      </w:r>
      <w:r w:rsidR="004F0822" w:rsidRPr="008F0922">
        <w:t xml:space="preserve"> source to determine the spending per mile and acres disturbed per mile for each roadway type.  The previous inventory </w:t>
      </w:r>
      <w:r w:rsidRPr="008F0922">
        <w:t>calculations were based on</w:t>
      </w:r>
      <w:r w:rsidR="004F0822" w:rsidRPr="008F0922">
        <w:t xml:space="preserve"> information from the NC DOT from 2000, while this inventory uses data obtained from the FL DOT in 2014. </w:t>
      </w:r>
    </w:p>
    <w:p w:rsidR="008E753B" w:rsidRPr="008F0922" w:rsidRDefault="008E753B" w:rsidP="00006F37">
      <w:pPr>
        <w:widowControl/>
        <w:tabs>
          <w:tab w:val="left" w:pos="0"/>
        </w:tabs>
        <w:spacing w:line="226" w:lineRule="auto"/>
      </w:pPr>
    </w:p>
    <w:p w:rsidR="008E753B" w:rsidRPr="008F0922" w:rsidRDefault="008E753B" w:rsidP="00006F37">
      <w:pPr>
        <w:widowControl/>
        <w:tabs>
          <w:tab w:val="left" w:pos="0"/>
        </w:tabs>
        <w:spacing w:line="226" w:lineRule="auto"/>
      </w:pPr>
      <w:r w:rsidRPr="008F0922">
        <w:t xml:space="preserve">Additionally, the </w:t>
      </w:r>
      <w:r w:rsidR="00D4402D" w:rsidRPr="008F0922">
        <w:t xml:space="preserve">80% urban no-burn threshold was based on </w:t>
      </w:r>
      <w:r w:rsidR="00B7579A" w:rsidRPr="008F0922">
        <w:t>the</w:t>
      </w:r>
      <w:r w:rsidR="00D4402D" w:rsidRPr="008F0922">
        <w:t xml:space="preserve"> ratio </w:t>
      </w:r>
      <w:r w:rsidR="00B7579A" w:rsidRPr="008F0922">
        <w:t xml:space="preserve">of urban to rural population </w:t>
      </w:r>
      <w:r w:rsidR="00D4402D" w:rsidRPr="008F0922">
        <w:t xml:space="preserve">in </w:t>
      </w:r>
      <w:r w:rsidR="00B7579A" w:rsidRPr="008F0922">
        <w:t xml:space="preserve">the </w:t>
      </w:r>
      <w:r w:rsidR="00D4402D" w:rsidRPr="008F0922">
        <w:t>2011</w:t>
      </w:r>
      <w:r w:rsidR="00B7579A" w:rsidRPr="008F0922">
        <w:t xml:space="preserve"> NEI methodology</w:t>
      </w:r>
      <w:r w:rsidR="00D4402D" w:rsidRPr="008F0922">
        <w:t>.</w:t>
      </w:r>
      <w:r w:rsidRPr="008F0922">
        <w:t xml:space="preserve"> </w:t>
      </w:r>
      <w:r w:rsidR="00D4402D" w:rsidRPr="008F0922">
        <w:t xml:space="preserve">These ratios were replaced with ratios based on </w:t>
      </w:r>
      <w:r w:rsidR="00B7579A" w:rsidRPr="008F0922">
        <w:t xml:space="preserve">urban and rural </w:t>
      </w:r>
      <w:r w:rsidR="00D4402D" w:rsidRPr="008F0922">
        <w:t>land area</w:t>
      </w:r>
      <w:r w:rsidR="00B7579A" w:rsidRPr="008F0922">
        <w:t>. In both cases, the</w:t>
      </w:r>
      <w:r w:rsidRPr="008F0922">
        <w:t xml:space="preserve"> data </w:t>
      </w:r>
      <w:r w:rsidR="00B7579A" w:rsidRPr="008F0922">
        <w:t xml:space="preserve">are </w:t>
      </w:r>
      <w:r w:rsidRPr="008F0922">
        <w:t xml:space="preserve">from the 2010 census. </w:t>
      </w:r>
    </w:p>
    <w:p w:rsidR="00641127" w:rsidRPr="008F0922" w:rsidRDefault="00641127" w:rsidP="00006F37">
      <w:pPr>
        <w:widowControl/>
        <w:tabs>
          <w:tab w:val="left" w:pos="0"/>
        </w:tabs>
        <w:spacing w:line="226" w:lineRule="auto"/>
      </w:pPr>
    </w:p>
    <w:p w:rsidR="00641127" w:rsidRPr="008F0922" w:rsidRDefault="00641127" w:rsidP="0064112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b/>
          <w:i/>
        </w:rPr>
      </w:pPr>
      <w:r w:rsidRPr="008F0922">
        <w:rPr>
          <w:b/>
          <w:i/>
        </w:rPr>
        <w:t>h. Puerto Rico and US Virgin Islands Emissions Calculations</w:t>
      </w:r>
    </w:p>
    <w:p w:rsidR="00641127" w:rsidRPr="008F0922" w:rsidRDefault="00641127" w:rsidP="0064112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b/>
          <w:i/>
        </w:rPr>
      </w:pPr>
    </w:p>
    <w:p w:rsidR="00641127" w:rsidRPr="008F0922" w:rsidRDefault="00641127" w:rsidP="0064112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b/>
          <w:i/>
        </w:rPr>
      </w:pPr>
      <w:r w:rsidRPr="008F0922">
        <w:t xml:space="preserve">Since insufficient data exists to calculate emissions for the counties in Puerto Rico and the US Virgin Islands, emissions are based on two proxy counties in Florida: 12011, Broward County for Puerto Rico and 12087, Monroe County for the US Virgin Islands. The total emissions in tons for these two Florida counties are divided by their respective populations creating a </w:t>
      </w:r>
      <w:proofErr w:type="gramStart"/>
      <w:r w:rsidRPr="008F0922">
        <w:t>tons</w:t>
      </w:r>
      <w:proofErr w:type="gramEnd"/>
      <w:r w:rsidRPr="008F0922">
        <w:t xml:space="preserve"> per capita emission factor.  For each Puerto Rico and US Virgin Island county, the tons per capita emission factor is multiplied by the county population (from the same year as the inventory’s activity data) which served as the activity data. In these cases, the throughput (activity data) unit and the emissions denominator unit are “EACH”.</w:t>
      </w:r>
    </w:p>
    <w:p w:rsidR="004F2295" w:rsidRPr="008F0922"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rsidR="00AC2E02" w:rsidRPr="008F0922" w:rsidRDefault="00641127" w:rsidP="00AC2E02">
      <w:pPr>
        <w:widowControl/>
        <w:tabs>
          <w:tab w:val="left" w:pos="0"/>
        </w:tabs>
        <w:spacing w:line="226" w:lineRule="auto"/>
        <w:rPr>
          <w:b/>
          <w:i/>
        </w:rPr>
      </w:pPr>
      <w:proofErr w:type="spellStart"/>
      <w:r w:rsidRPr="008F0922">
        <w:rPr>
          <w:b/>
          <w:i/>
        </w:rPr>
        <w:lastRenderedPageBreak/>
        <w:t>i</w:t>
      </w:r>
      <w:proofErr w:type="spellEnd"/>
      <w:r w:rsidR="00AC2E02" w:rsidRPr="008F0922">
        <w:rPr>
          <w:b/>
          <w:i/>
        </w:rPr>
        <w:t>. References</w:t>
      </w:r>
    </w:p>
    <w:p w:rsidR="00FB6748" w:rsidRPr="008F0922" w:rsidRDefault="0068630F" w:rsidP="00B42DEB">
      <w:pPr>
        <w:numPr>
          <w:ilvl w:val="0"/>
          <w:numId w:val="5"/>
        </w:numPr>
        <w:rPr>
          <w:rFonts w:eastAsia="Calibri"/>
        </w:rPr>
      </w:pPr>
      <w:bookmarkStart w:id="0" w:name="_GoBack"/>
      <w:bookmarkEnd w:id="0"/>
      <w:r w:rsidRPr="008F0922">
        <w:rPr>
          <w:rFonts w:eastAsia="Calibri"/>
        </w:rPr>
        <w:t xml:space="preserve">U.S. Census Bureau, </w:t>
      </w:r>
      <w:hyperlink r:id="rId8" w:history="1">
        <w:r w:rsidRPr="008F0922">
          <w:rPr>
            <w:rStyle w:val="Hyperlink"/>
            <w:rFonts w:eastAsia="Calibri"/>
          </w:rPr>
          <w:t>“</w:t>
        </w:r>
        <w:r w:rsidR="00FB6748" w:rsidRPr="008F0922">
          <w:rPr>
            <w:rStyle w:val="Hyperlink"/>
            <w:rFonts w:eastAsia="Calibri"/>
          </w:rPr>
          <w:t>New Privately Owned Housing Units Started</w:t>
        </w:r>
        <w:r w:rsidR="00B42DEB" w:rsidRPr="008F0922">
          <w:rPr>
            <w:rStyle w:val="Hyperlink"/>
            <w:rFonts w:eastAsia="Calibri"/>
          </w:rPr>
          <w:t>, Annual Data</w:t>
        </w:r>
        <w:r w:rsidRPr="008F0922">
          <w:rPr>
            <w:rStyle w:val="Hyperlink"/>
            <w:rFonts w:eastAsia="Calibri"/>
          </w:rPr>
          <w:t>,”</w:t>
        </w:r>
      </w:hyperlink>
      <w:r w:rsidR="00FB6748" w:rsidRPr="008F0922">
        <w:rPr>
          <w:rFonts w:eastAsia="Calibri"/>
        </w:rPr>
        <w:t xml:space="preserve"> </w:t>
      </w:r>
    </w:p>
    <w:p w:rsidR="004F0822" w:rsidRPr="008F0922" w:rsidRDefault="004F0822" w:rsidP="004F0822">
      <w:pPr>
        <w:rPr>
          <w:rFonts w:eastAsia="Calibri"/>
        </w:rPr>
      </w:pPr>
    </w:p>
    <w:p w:rsidR="00B42DEB" w:rsidRPr="008F0922" w:rsidRDefault="00B42DEB" w:rsidP="00B42DEB">
      <w:pPr>
        <w:numPr>
          <w:ilvl w:val="0"/>
          <w:numId w:val="5"/>
        </w:numPr>
        <w:rPr>
          <w:rFonts w:eastAsia="Calibri"/>
        </w:rPr>
      </w:pPr>
      <w:r w:rsidRPr="008F0922">
        <w:rPr>
          <w:rFonts w:eastAsia="Calibri"/>
        </w:rPr>
        <w:t xml:space="preserve">U.S. Census Bureau , </w:t>
      </w:r>
      <w:hyperlink r:id="rId9" w:history="1">
        <w:r w:rsidRPr="008F0922">
          <w:rPr>
            <w:rStyle w:val="Hyperlink"/>
            <w:rFonts w:eastAsia="Calibri"/>
          </w:rPr>
          <w:t>“New Privately Owned Housing Units Started in the United States by Purpose and Design,”</w:t>
        </w:r>
      </w:hyperlink>
      <w:r w:rsidRPr="008F0922">
        <w:rPr>
          <w:rFonts w:eastAsia="Calibri"/>
        </w:rPr>
        <w:t xml:space="preserve"> </w:t>
      </w:r>
    </w:p>
    <w:p w:rsidR="006E2018" w:rsidRPr="008F0922" w:rsidRDefault="006E2018" w:rsidP="006E2018">
      <w:pPr>
        <w:rPr>
          <w:rFonts w:eastAsia="Calibri"/>
        </w:rPr>
      </w:pPr>
    </w:p>
    <w:p w:rsidR="00FB6748" w:rsidRPr="008F0922" w:rsidRDefault="0068630F" w:rsidP="00B42DEB">
      <w:pPr>
        <w:numPr>
          <w:ilvl w:val="0"/>
          <w:numId w:val="5"/>
        </w:numPr>
        <w:rPr>
          <w:rFonts w:eastAsia="Calibri"/>
        </w:rPr>
      </w:pPr>
      <w:r w:rsidRPr="008F0922">
        <w:rPr>
          <w:rFonts w:eastAsia="Calibri"/>
        </w:rPr>
        <w:t>U.S. Census Bureau, “</w:t>
      </w:r>
      <w:hyperlink r:id="rId10" w:history="1">
        <w:r w:rsidR="00FB6748" w:rsidRPr="008F0922">
          <w:rPr>
            <w:rStyle w:val="Hyperlink"/>
            <w:rFonts w:eastAsia="Calibri"/>
          </w:rPr>
          <w:t>Table 2au. New Privately Owned Housing Units Authorized Unadjusted Units for Regions, Divisions, and States</w:t>
        </w:r>
        <w:r w:rsidRPr="008F0922">
          <w:rPr>
            <w:rStyle w:val="Hyperlink"/>
            <w:rFonts w:eastAsia="Calibri"/>
          </w:rPr>
          <w:t>, Annual 20</w:t>
        </w:r>
        <w:r w:rsidR="0056567C" w:rsidRPr="008F0922">
          <w:rPr>
            <w:rStyle w:val="Hyperlink"/>
            <w:rFonts w:eastAsia="Calibri"/>
          </w:rPr>
          <w:t>1</w:t>
        </w:r>
        <w:r w:rsidR="00B42DEB" w:rsidRPr="008F0922">
          <w:rPr>
            <w:rStyle w:val="Hyperlink"/>
            <w:rFonts w:eastAsia="Calibri"/>
          </w:rPr>
          <w:t>4</w:t>
        </w:r>
        <w:r w:rsidRPr="008F0922">
          <w:rPr>
            <w:rStyle w:val="Hyperlink"/>
            <w:rFonts w:eastAsia="Calibri"/>
          </w:rPr>
          <w:t>”</w:t>
        </w:r>
      </w:hyperlink>
      <w:r w:rsidRPr="008F0922">
        <w:rPr>
          <w:rFonts w:eastAsia="Calibri"/>
        </w:rPr>
        <w:t xml:space="preserve"> </w:t>
      </w:r>
    </w:p>
    <w:p w:rsidR="006E2018" w:rsidRPr="008F0922" w:rsidRDefault="006E2018" w:rsidP="006E2018">
      <w:pPr>
        <w:rPr>
          <w:rFonts w:eastAsia="Calibri"/>
        </w:rPr>
      </w:pPr>
    </w:p>
    <w:p w:rsidR="00FB6748" w:rsidRPr="008F0922" w:rsidRDefault="00FB6748" w:rsidP="006E2018">
      <w:pPr>
        <w:numPr>
          <w:ilvl w:val="0"/>
          <w:numId w:val="5"/>
        </w:numPr>
        <w:rPr>
          <w:rFonts w:eastAsia="Calibri"/>
        </w:rPr>
      </w:pPr>
      <w:r w:rsidRPr="008F0922">
        <w:rPr>
          <w:rFonts w:eastAsia="Calibri"/>
        </w:rPr>
        <w:t>Annual Housing Units Authorized by Building Permits CO20</w:t>
      </w:r>
      <w:r w:rsidR="0056567C" w:rsidRPr="008F0922">
        <w:rPr>
          <w:rFonts w:eastAsia="Calibri"/>
        </w:rPr>
        <w:t>1</w:t>
      </w:r>
      <w:r w:rsidR="00B42DEB" w:rsidRPr="008F0922">
        <w:rPr>
          <w:rFonts w:eastAsia="Calibri"/>
        </w:rPr>
        <w:t>4</w:t>
      </w:r>
      <w:r w:rsidRPr="008F0922">
        <w:rPr>
          <w:rFonts w:eastAsia="Calibri"/>
        </w:rPr>
        <w:t>A, purchased from US Department of Census</w:t>
      </w:r>
    </w:p>
    <w:p w:rsidR="0068630F" w:rsidRPr="008F0922" w:rsidRDefault="0068630F" w:rsidP="0068630F">
      <w:pPr>
        <w:ind w:left="360"/>
        <w:rPr>
          <w:rFonts w:eastAsia="Calibri"/>
        </w:rPr>
      </w:pPr>
    </w:p>
    <w:p w:rsidR="006E2018" w:rsidRPr="008F0922" w:rsidRDefault="0068630F" w:rsidP="00835357">
      <w:pPr>
        <w:numPr>
          <w:ilvl w:val="0"/>
          <w:numId w:val="5"/>
        </w:numPr>
      </w:pPr>
      <w:r w:rsidRPr="008F0922">
        <w:t xml:space="preserve">U.S. Census Bureau, </w:t>
      </w:r>
      <w:hyperlink r:id="rId11" w:history="1">
        <w:r w:rsidRPr="008F0922">
          <w:rPr>
            <w:rStyle w:val="Hyperlink"/>
          </w:rPr>
          <w:t>“</w:t>
        </w:r>
        <w:r w:rsidR="00FB6748" w:rsidRPr="008F0922">
          <w:rPr>
            <w:rStyle w:val="Hyperlink"/>
          </w:rPr>
          <w:t>Annual Value of Construction Put in Place</w:t>
        </w:r>
        <w:r w:rsidRPr="008F0922">
          <w:rPr>
            <w:rStyle w:val="Hyperlink"/>
          </w:rPr>
          <w:t>,”</w:t>
        </w:r>
      </w:hyperlink>
      <w:r w:rsidRPr="008F0922">
        <w:t xml:space="preserve"> </w:t>
      </w:r>
    </w:p>
    <w:p w:rsidR="00CD255F" w:rsidRPr="008F0922" w:rsidRDefault="00CD255F" w:rsidP="00CD255F">
      <w:pPr>
        <w:ind w:left="720"/>
      </w:pPr>
    </w:p>
    <w:p w:rsidR="00FB6748" w:rsidRPr="008F0922" w:rsidRDefault="0068630F" w:rsidP="006E2018">
      <w:pPr>
        <w:numPr>
          <w:ilvl w:val="0"/>
          <w:numId w:val="5"/>
        </w:numPr>
      </w:pPr>
      <w:r w:rsidRPr="008F0922">
        <w:t>U.S. Census Bureau, “</w:t>
      </w:r>
      <w:hyperlink r:id="rId12" w:history="1">
        <w:r w:rsidR="00FB6748" w:rsidRPr="008F0922">
          <w:rPr>
            <w:rStyle w:val="Hyperlink"/>
          </w:rPr>
          <w:t>County Business Patterns</w:t>
        </w:r>
      </w:hyperlink>
      <w:r w:rsidRPr="008F0922">
        <w:t>,”</w:t>
      </w:r>
    </w:p>
    <w:p w:rsidR="006E2018" w:rsidRPr="008F0922" w:rsidRDefault="006E2018" w:rsidP="006E2018"/>
    <w:p w:rsidR="00AC2E02" w:rsidRPr="008F0922" w:rsidRDefault="00983400" w:rsidP="003D724C">
      <w:pPr>
        <w:numPr>
          <w:ilvl w:val="0"/>
          <w:numId w:val="5"/>
        </w:numPr>
      </w:pPr>
      <w:r w:rsidRPr="008F0922">
        <w:t xml:space="preserve">Bureau of Labor Statistics, </w:t>
      </w:r>
      <w:hyperlink r:id="rId13" w:history="1">
        <w:r w:rsidRPr="008F0922">
          <w:rPr>
            <w:rStyle w:val="Hyperlink"/>
          </w:rPr>
          <w:t>Producer Price Index, Table BMNR</w:t>
        </w:r>
      </w:hyperlink>
    </w:p>
    <w:p w:rsidR="00CD255F" w:rsidRPr="008F0922" w:rsidRDefault="00CD255F" w:rsidP="00CD255F">
      <w:pPr>
        <w:ind w:left="720"/>
      </w:pPr>
    </w:p>
    <w:p w:rsidR="00CD255F" w:rsidRPr="008F0922" w:rsidRDefault="00983400" w:rsidP="008E6D98">
      <w:pPr>
        <w:widowControl/>
        <w:numPr>
          <w:ilvl w:val="0"/>
          <w:numId w:val="5"/>
        </w:numPr>
        <w:autoSpaceDE/>
        <w:autoSpaceDN/>
        <w:adjustRightInd/>
        <w:spacing w:after="200" w:line="276" w:lineRule="auto"/>
      </w:pPr>
      <w:r w:rsidRPr="008F0922">
        <w:t>Fed</w:t>
      </w:r>
      <w:r w:rsidR="00F74365" w:rsidRPr="008F0922">
        <w:t xml:space="preserve">eral Highway Administration, </w:t>
      </w:r>
      <w:hyperlink r:id="rId14" w:history="1">
        <w:r w:rsidR="00F74365" w:rsidRPr="008F0922">
          <w:rPr>
            <w:rStyle w:val="Hyperlink"/>
          </w:rPr>
          <w:t>2014</w:t>
        </w:r>
        <w:r w:rsidRPr="008F0922">
          <w:rPr>
            <w:rStyle w:val="Hyperlink"/>
          </w:rPr>
          <w:t xml:space="preserve"> Highway Spending</w:t>
        </w:r>
      </w:hyperlink>
      <w:r w:rsidRPr="008F0922">
        <w:t xml:space="preserve">, </w:t>
      </w:r>
    </w:p>
    <w:p w:rsidR="004F0822" w:rsidRPr="008F0922" w:rsidRDefault="004F0822" w:rsidP="008E6D98">
      <w:pPr>
        <w:widowControl/>
        <w:numPr>
          <w:ilvl w:val="0"/>
          <w:numId w:val="5"/>
        </w:numPr>
        <w:autoSpaceDE/>
        <w:autoSpaceDN/>
        <w:adjustRightInd/>
        <w:spacing w:after="200" w:line="276" w:lineRule="auto"/>
      </w:pPr>
      <w:r w:rsidRPr="008F0922">
        <w:t>Florida DOT Generic Cost Per Mile Models for 2014</w:t>
      </w:r>
    </w:p>
    <w:p w:rsidR="00C942FA" w:rsidRPr="008F0922" w:rsidRDefault="00C942FA" w:rsidP="00006F37">
      <w:pPr>
        <w:numPr>
          <w:ilvl w:val="0"/>
          <w:numId w:val="5"/>
        </w:numPr>
      </w:pPr>
      <w:r w:rsidRPr="008F0922">
        <w:t>20</w:t>
      </w:r>
      <w:r w:rsidR="00006F37" w:rsidRPr="008F0922">
        <w:t>14</w:t>
      </w:r>
      <w:r w:rsidRPr="008F0922">
        <w:t xml:space="preserve"> Building Permits data from US Census “</w:t>
      </w:r>
      <w:hyperlink r:id="rId15" w:history="1">
        <w:r w:rsidRPr="008F0922">
          <w:rPr>
            <w:rStyle w:val="Hyperlink"/>
          </w:rPr>
          <w:t>BPS01</w:t>
        </w:r>
      </w:hyperlink>
      <w:r w:rsidRPr="008F0922">
        <w:t>”</w:t>
      </w:r>
    </w:p>
    <w:p w:rsidR="00C942FA" w:rsidRPr="008F0922" w:rsidRDefault="00C942FA" w:rsidP="00C942FA">
      <w:pPr>
        <w:ind w:left="720"/>
      </w:pPr>
    </w:p>
    <w:p w:rsidR="006E2018" w:rsidRPr="008F0922" w:rsidRDefault="006E2018" w:rsidP="006E2018">
      <w:pPr>
        <w:numPr>
          <w:ilvl w:val="0"/>
          <w:numId w:val="5"/>
        </w:numPr>
      </w:pPr>
      <w:r w:rsidRPr="008F0922">
        <w:t xml:space="preserve">Ward, D.E., C.C. Hardy, D.V. Sandberg, and T.E. Reinhardt.  “Mitigation of Prescribed Fire Atmospheric Pollution </w:t>
      </w:r>
      <w:r w:rsidR="00AC2E02" w:rsidRPr="008F0922">
        <w:t>through</w:t>
      </w:r>
      <w:r w:rsidRPr="008F0922">
        <w:t xml:space="preserve"> Increased Utilization of Hardwoods, Piled Residues, and Long-Needled Conifers.” Final Report. USDA Forest Service, Pacific Northwest Research Station, Fire and Air Resource Management. 1989.</w:t>
      </w:r>
    </w:p>
    <w:p w:rsidR="00641127" w:rsidRPr="008F0922" w:rsidRDefault="00641127" w:rsidP="00641127">
      <w:pPr>
        <w:pStyle w:val="ListParagraph"/>
      </w:pPr>
    </w:p>
    <w:p w:rsidR="00641127" w:rsidRPr="008F0922" w:rsidRDefault="00641127" w:rsidP="00641127">
      <w:pPr>
        <w:numPr>
          <w:ilvl w:val="0"/>
          <w:numId w:val="5"/>
        </w:numPr>
      </w:pPr>
      <w:r w:rsidRPr="008F0922">
        <w:t xml:space="preserve">U.S. Geological Survey (USGS). 2015. </w:t>
      </w:r>
      <w:hyperlink r:id="rId16" w:history="1">
        <w:r w:rsidRPr="008F0922">
          <w:rPr>
            <w:rStyle w:val="Hyperlink"/>
          </w:rPr>
          <w:t>National Land Cover Database (NLCD)</w:t>
        </w:r>
      </w:hyperlink>
      <w:r w:rsidRPr="008F0922">
        <w:t xml:space="preserve">. </w:t>
      </w:r>
    </w:p>
    <w:p w:rsidR="006D6013" w:rsidRPr="008F0922" w:rsidRDefault="006D6013" w:rsidP="006D6013">
      <w:pPr>
        <w:pStyle w:val="ListParagraph"/>
      </w:pPr>
    </w:p>
    <w:p w:rsidR="00FB6748" w:rsidRPr="008F0922" w:rsidRDefault="006D6013" w:rsidP="006445B3">
      <w:pPr>
        <w:pStyle w:val="ListParagraph"/>
        <w:widowControl/>
        <w:numPr>
          <w:ilvl w:val="0"/>
          <w:numId w:val="5"/>
        </w:numPr>
        <w:tabs>
          <w:tab w:val="left" w:pos="0"/>
        </w:tabs>
        <w:spacing w:line="226" w:lineRule="auto"/>
        <w:ind w:right="-432"/>
      </w:pPr>
      <w:r w:rsidRPr="008F0922">
        <w:t xml:space="preserve">U.S. Census Bureau, Decennial Censuses, </w:t>
      </w:r>
      <w:hyperlink r:id="rId17" w:history="1">
        <w:r w:rsidRPr="008F0922">
          <w:rPr>
            <w:rStyle w:val="Hyperlink"/>
          </w:rPr>
          <w:t>2010 Census: Summary File 1</w:t>
        </w:r>
      </w:hyperlink>
      <w:r w:rsidRPr="008F0922">
        <w:t xml:space="preserve"> </w:t>
      </w:r>
    </w:p>
    <w:p w:rsidR="00E80C20" w:rsidRPr="008F0922" w:rsidRDefault="00E80C20" w:rsidP="00E80C20">
      <w:pPr>
        <w:pStyle w:val="ListParagraph"/>
        <w:widowControl/>
        <w:tabs>
          <w:tab w:val="left" w:pos="0"/>
        </w:tabs>
        <w:spacing w:line="226" w:lineRule="auto"/>
        <w:ind w:right="-432"/>
      </w:pPr>
    </w:p>
    <w:p w:rsidR="00474345" w:rsidRPr="008F0922" w:rsidRDefault="00474345" w:rsidP="006E2018">
      <w:pPr>
        <w:numPr>
          <w:ilvl w:val="0"/>
          <w:numId w:val="5"/>
        </w:numPr>
      </w:pPr>
      <w:r w:rsidRPr="008F0922">
        <w:t>Huntley, Roy, U.S. Environmental Protection Agency, “state_comparison  ERTAC SS_version7_3 Oct 20 2009 [electronic file],” November 5, 2009.</w:t>
      </w:r>
    </w:p>
    <w:p w:rsidR="00474345" w:rsidRPr="008F0922" w:rsidRDefault="00474345" w:rsidP="00474345"/>
    <w:p w:rsidR="004F2295" w:rsidRPr="008F0922" w:rsidRDefault="004F2295" w:rsidP="006E2018">
      <w:pPr>
        <w:numPr>
          <w:ilvl w:val="0"/>
          <w:numId w:val="5"/>
        </w:numPr>
      </w:pPr>
      <w:r w:rsidRPr="008F0922">
        <w:t>U.S. En</w:t>
      </w:r>
      <w:r w:rsidR="00474345" w:rsidRPr="008F0922">
        <w:t xml:space="preserve">vironmental Protection Agency, Office of Air Quality Planning and Standards.  </w:t>
      </w:r>
      <w:r w:rsidR="00474345" w:rsidRPr="008F0922">
        <w:rPr>
          <w:i/>
          <w:iCs/>
        </w:rPr>
        <w:t>Compilation of Air Pollutant Emission Factors, AP-42, Fifth Edition, Volume I:  Stationary Point and Area Sources, Section 2.5 Open Burning</w:t>
      </w:r>
      <w:r w:rsidR="00474345" w:rsidRPr="008F0922">
        <w:t>.  Research Triangle Park, NC.  October 1992</w:t>
      </w:r>
      <w:r w:rsidRPr="008F0922">
        <w:t>.</w:t>
      </w:r>
    </w:p>
    <w:p w:rsidR="004F2295" w:rsidRPr="008F0922" w:rsidRDefault="004F2295" w:rsidP="006E2018"/>
    <w:p w:rsidR="004F2295" w:rsidRPr="008F0922" w:rsidRDefault="004F2295" w:rsidP="006E2018">
      <w:pPr>
        <w:numPr>
          <w:ilvl w:val="0"/>
          <w:numId w:val="5"/>
        </w:numPr>
      </w:pPr>
      <w:r w:rsidRPr="008F0922">
        <w:t xml:space="preserve">U.S. Environmental Protection Agency, </w:t>
      </w:r>
      <w:r w:rsidR="00474345" w:rsidRPr="008F0922">
        <w:t>“</w:t>
      </w:r>
      <w:r w:rsidRPr="008F0922">
        <w:t>Evaluation of Emissions from the Open Burning of Household Waste in Barrels, EPA-600/R-97-134a,</w:t>
      </w:r>
      <w:r w:rsidR="00474345" w:rsidRPr="008F0922">
        <w:t>”</w:t>
      </w:r>
      <w:r w:rsidRPr="008F0922">
        <w:t xml:space="preserve"> Control Technology Center.  November 1997.</w:t>
      </w:r>
    </w:p>
    <w:p w:rsidR="006E2018" w:rsidRPr="008F0922" w:rsidRDefault="006E2018" w:rsidP="006E2018"/>
    <w:p w:rsidR="004F2295" w:rsidRPr="008F0922" w:rsidRDefault="004F2295" w:rsidP="006E2018">
      <w:pPr>
        <w:numPr>
          <w:ilvl w:val="0"/>
          <w:numId w:val="5"/>
        </w:numPr>
      </w:pPr>
      <w:r w:rsidRPr="008F0922">
        <w:t xml:space="preserve">Gullet, B.K. and T. Abderrahmne, “PCDD/F Emissions from Forest Fire Simulations,” </w:t>
      </w:r>
      <w:r w:rsidRPr="008F0922">
        <w:rPr>
          <w:i/>
        </w:rPr>
        <w:t>Atmospheric Environment</w:t>
      </w:r>
      <w:r w:rsidRPr="008F0922">
        <w:t>, Vol. 37, No. 6, pp. 803-813.  February 2003.</w:t>
      </w:r>
    </w:p>
    <w:p w:rsidR="004F2295" w:rsidRPr="008F0922" w:rsidRDefault="00AC2E02" w:rsidP="00AC2E02">
      <w:pPr>
        <w:widowControl/>
        <w:tabs>
          <w:tab w:val="center" w:pos="4680"/>
          <w:tab w:val="left" w:pos="5040"/>
          <w:tab w:val="left" w:pos="5760"/>
          <w:tab w:val="left" w:pos="6480"/>
          <w:tab w:val="left" w:pos="7200"/>
          <w:tab w:val="left" w:pos="7920"/>
          <w:tab w:val="left" w:pos="8640"/>
        </w:tabs>
        <w:spacing w:line="226" w:lineRule="auto"/>
        <w:jc w:val="center"/>
      </w:pPr>
      <w:r w:rsidRPr="008F0922">
        <w:br w:type="page"/>
      </w:r>
      <w:r w:rsidR="004F2295" w:rsidRPr="008F0922">
        <w:rPr>
          <w:b/>
          <w:bCs/>
        </w:rPr>
        <w:lastRenderedPageBreak/>
        <w:t xml:space="preserve">Table </w:t>
      </w:r>
      <w:r w:rsidR="00B76D82" w:rsidRPr="008F0922">
        <w:rPr>
          <w:b/>
          <w:bCs/>
        </w:rPr>
        <w:t>4</w:t>
      </w:r>
      <w:r w:rsidR="004F2295" w:rsidRPr="008F0922">
        <w:rPr>
          <w:b/>
          <w:bCs/>
        </w:rPr>
        <w:t>. Emission Factors for Open Burning of Land Clearing Debris (SCC 2610000500)</w:t>
      </w:r>
    </w:p>
    <w:p w:rsidR="004F2295" w:rsidRPr="008F0922"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tbl>
      <w:tblPr>
        <w:tblW w:w="6772" w:type="dxa"/>
        <w:tblInd w:w="1203" w:type="dxa"/>
        <w:tblLayout w:type="fixed"/>
        <w:tblCellMar>
          <w:left w:w="33" w:type="dxa"/>
          <w:right w:w="33" w:type="dxa"/>
        </w:tblCellMar>
        <w:tblLook w:val="0000" w:firstRow="0" w:lastRow="0" w:firstColumn="0" w:lastColumn="0" w:noHBand="0" w:noVBand="0"/>
        <w:tblCaption w:val="Table 4. Emission Factors for Open Burning of Land Clearing Debris (SCC 2610000500)"/>
        <w:tblDescription w:val="&#10;Pollutant Pollutant Code &#10;Emission Factor&#10;(lb/ton) &#10;Emission&#10;Factor&#10;Reference&#10;"/>
      </w:tblPr>
      <w:tblGrid>
        <w:gridCol w:w="2026"/>
        <w:gridCol w:w="1562"/>
        <w:gridCol w:w="1592"/>
        <w:gridCol w:w="1592"/>
      </w:tblGrid>
      <w:tr w:rsidR="004F2295" w:rsidRPr="008F0922" w:rsidTr="00E40A79">
        <w:tc>
          <w:tcPr>
            <w:tcW w:w="2026" w:type="dxa"/>
            <w:tcBorders>
              <w:top w:val="single" w:sz="7" w:space="0" w:color="000000"/>
              <w:left w:val="single" w:sz="8" w:space="0" w:color="000000"/>
              <w:bottom w:val="single" w:sz="6" w:space="0" w:color="FFFFFF"/>
              <w:right w:val="single" w:sz="6" w:space="0" w:color="FFFFFF"/>
            </w:tcBorders>
            <w:shd w:val="clear" w:color="auto" w:fill="D9D9D9"/>
            <w:vAlign w:val="center"/>
          </w:tcPr>
          <w:p w:rsidR="004F2295" w:rsidRPr="008F0922" w:rsidRDefault="004F2295" w:rsidP="004F2295">
            <w:pPr>
              <w:spacing w:line="14" w:lineRule="exact"/>
            </w:pPr>
          </w:p>
          <w:p w:rsidR="004F2295" w:rsidRPr="008F0922"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rPr>
                <w:b/>
                <w:bCs/>
              </w:rPr>
            </w:pPr>
            <w:r w:rsidRPr="008F0922">
              <w:rPr>
                <w:b/>
                <w:bCs/>
              </w:rPr>
              <w:t>Pollutant</w:t>
            </w:r>
          </w:p>
        </w:tc>
        <w:tc>
          <w:tcPr>
            <w:tcW w:w="1562" w:type="dxa"/>
            <w:tcBorders>
              <w:top w:val="single" w:sz="7" w:space="0" w:color="000000"/>
              <w:left w:val="single" w:sz="7" w:space="0" w:color="000000"/>
              <w:bottom w:val="single" w:sz="6" w:space="0" w:color="FFFFFF"/>
              <w:right w:val="single" w:sz="4" w:space="0" w:color="auto"/>
            </w:tcBorders>
            <w:shd w:val="clear" w:color="auto" w:fill="D9D9D9"/>
            <w:vAlign w:val="center"/>
          </w:tcPr>
          <w:p w:rsidR="004F2295" w:rsidRPr="008F0922"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rPr>
                <w:b/>
                <w:bCs/>
              </w:rPr>
            </w:pPr>
            <w:r w:rsidRPr="008F0922">
              <w:rPr>
                <w:b/>
                <w:bCs/>
              </w:rPr>
              <w:t>Pollutant Code</w:t>
            </w:r>
          </w:p>
        </w:tc>
        <w:tc>
          <w:tcPr>
            <w:tcW w:w="1592" w:type="dxa"/>
            <w:tcBorders>
              <w:top w:val="single" w:sz="4" w:space="0" w:color="auto"/>
              <w:left w:val="single" w:sz="4" w:space="0" w:color="auto"/>
              <w:bottom w:val="single" w:sz="4" w:space="0" w:color="auto"/>
              <w:right w:val="single" w:sz="4" w:space="0" w:color="auto"/>
            </w:tcBorders>
            <w:shd w:val="clear" w:color="auto" w:fill="D9D9D9"/>
            <w:vAlign w:val="center"/>
          </w:tcPr>
          <w:p w:rsidR="004F2295" w:rsidRPr="008F0922" w:rsidRDefault="004F2295" w:rsidP="004F2295">
            <w:pPr>
              <w:spacing w:line="14" w:lineRule="exact"/>
              <w:rPr>
                <w:b/>
                <w:bCs/>
              </w:rPr>
            </w:pPr>
          </w:p>
          <w:p w:rsidR="004F2295" w:rsidRPr="008F0922"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b/>
                <w:bCs/>
              </w:rPr>
            </w:pPr>
            <w:r w:rsidRPr="008F0922">
              <w:rPr>
                <w:b/>
                <w:bCs/>
              </w:rPr>
              <w:t>Emission Factor</w:t>
            </w:r>
          </w:p>
          <w:p w:rsidR="004F2295" w:rsidRPr="008F0922"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rPr>
                <w:b/>
                <w:bCs/>
              </w:rPr>
            </w:pPr>
            <w:r w:rsidRPr="008F0922">
              <w:rPr>
                <w:b/>
                <w:bCs/>
              </w:rPr>
              <w:t>(lb/ton)</w:t>
            </w:r>
          </w:p>
        </w:tc>
        <w:tc>
          <w:tcPr>
            <w:tcW w:w="1592" w:type="dxa"/>
            <w:tcBorders>
              <w:top w:val="single" w:sz="4" w:space="0" w:color="auto"/>
              <w:left w:val="single" w:sz="4" w:space="0" w:color="auto"/>
              <w:bottom w:val="single" w:sz="4" w:space="0" w:color="auto"/>
              <w:right w:val="single" w:sz="4" w:space="0" w:color="auto"/>
            </w:tcBorders>
            <w:shd w:val="clear" w:color="auto" w:fill="D9D9D9"/>
            <w:vAlign w:val="center"/>
          </w:tcPr>
          <w:p w:rsidR="004F2295" w:rsidRPr="008F0922" w:rsidRDefault="004F2295" w:rsidP="004F2295">
            <w:pPr>
              <w:spacing w:line="14" w:lineRule="exact"/>
              <w:rPr>
                <w:b/>
                <w:bCs/>
              </w:rPr>
            </w:pPr>
          </w:p>
          <w:p w:rsidR="004F2295" w:rsidRPr="008F0922"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b/>
                <w:bCs/>
              </w:rPr>
            </w:pPr>
            <w:r w:rsidRPr="008F0922">
              <w:rPr>
                <w:b/>
                <w:bCs/>
              </w:rPr>
              <w:t>Emission</w:t>
            </w:r>
          </w:p>
          <w:p w:rsidR="004F2295" w:rsidRPr="008F0922"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b/>
                <w:bCs/>
              </w:rPr>
            </w:pPr>
            <w:r w:rsidRPr="008F0922">
              <w:rPr>
                <w:b/>
                <w:bCs/>
              </w:rPr>
              <w:t>Factor</w:t>
            </w:r>
          </w:p>
          <w:p w:rsidR="004F2295" w:rsidRPr="008F0922"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rPr>
                <w:b/>
                <w:bCs/>
              </w:rPr>
            </w:pPr>
            <w:r w:rsidRPr="008F0922">
              <w:rPr>
                <w:b/>
                <w:bCs/>
              </w:rPr>
              <w:t>Reference</w:t>
            </w:r>
          </w:p>
        </w:tc>
      </w:tr>
      <w:tr w:rsidR="004F2295" w:rsidRPr="008F0922" w:rsidTr="00BD6F3E">
        <w:tc>
          <w:tcPr>
            <w:tcW w:w="2026" w:type="dxa"/>
            <w:tcBorders>
              <w:top w:val="single" w:sz="7" w:space="0" w:color="000000"/>
              <w:left w:val="single" w:sz="7" w:space="0" w:color="000000"/>
              <w:bottom w:val="single" w:sz="6" w:space="0" w:color="FFFFFF"/>
              <w:right w:val="single" w:sz="6" w:space="0" w:color="FFFFFF"/>
            </w:tcBorders>
            <w:vAlign w:val="center"/>
          </w:tcPr>
          <w:p w:rsidR="004F2295" w:rsidRPr="008F0922" w:rsidRDefault="004F2295" w:rsidP="00BD6F3E">
            <w:pPr>
              <w:spacing w:line="14" w:lineRule="exact"/>
              <w:rPr>
                <w:b/>
                <w:bCs/>
              </w:rPr>
            </w:pPr>
          </w:p>
          <w:p w:rsidR="004F2295" w:rsidRPr="008F0922" w:rsidRDefault="004F2295"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pPr>
            <w:r w:rsidRPr="008F0922">
              <w:t>VOC</w:t>
            </w:r>
          </w:p>
        </w:tc>
        <w:tc>
          <w:tcPr>
            <w:tcW w:w="1562" w:type="dxa"/>
            <w:tcBorders>
              <w:top w:val="single" w:sz="7" w:space="0" w:color="000000"/>
              <w:left w:val="single" w:sz="7" w:space="0" w:color="000000"/>
              <w:bottom w:val="single" w:sz="6" w:space="0" w:color="FFFFFF"/>
              <w:right w:val="single" w:sz="6" w:space="0" w:color="FFFFFF"/>
            </w:tcBorders>
            <w:vAlign w:val="center"/>
          </w:tcPr>
          <w:p w:rsidR="004F2295" w:rsidRPr="008F0922" w:rsidRDefault="004F2295" w:rsidP="00BD6F3E">
            <w:r w:rsidRPr="008F0922">
              <w:t>VOC</w:t>
            </w:r>
          </w:p>
        </w:tc>
        <w:tc>
          <w:tcPr>
            <w:tcW w:w="1592" w:type="dxa"/>
            <w:tcBorders>
              <w:top w:val="single" w:sz="4" w:space="0" w:color="auto"/>
              <w:left w:val="single" w:sz="7" w:space="0" w:color="000000"/>
              <w:bottom w:val="single" w:sz="6" w:space="0" w:color="FFFFFF"/>
              <w:right w:val="single" w:sz="7" w:space="0" w:color="000000"/>
            </w:tcBorders>
            <w:vAlign w:val="center"/>
          </w:tcPr>
          <w:p w:rsidR="004F2295" w:rsidRPr="008F0922" w:rsidRDefault="004F2295" w:rsidP="00BD6F3E">
            <w:pPr>
              <w:spacing w:line="14" w:lineRule="exact"/>
              <w:jc w:val="center"/>
            </w:pPr>
          </w:p>
          <w:p w:rsidR="004F2295" w:rsidRPr="008F0922" w:rsidRDefault="00FB2D09"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pPr>
            <w:r w:rsidRPr="008F0922">
              <w:t>11.6</w:t>
            </w:r>
          </w:p>
        </w:tc>
        <w:tc>
          <w:tcPr>
            <w:tcW w:w="1592" w:type="dxa"/>
            <w:tcBorders>
              <w:top w:val="single" w:sz="4" w:space="0" w:color="auto"/>
              <w:left w:val="single" w:sz="7" w:space="0" w:color="000000"/>
              <w:bottom w:val="single" w:sz="6" w:space="0" w:color="FFFFFF"/>
              <w:right w:val="single" w:sz="7" w:space="0" w:color="000000"/>
            </w:tcBorders>
            <w:vAlign w:val="center"/>
          </w:tcPr>
          <w:p w:rsidR="004F2295" w:rsidRPr="008F0922" w:rsidRDefault="004F2295" w:rsidP="00BD6F3E">
            <w:pPr>
              <w:spacing w:line="14" w:lineRule="exact"/>
              <w:jc w:val="center"/>
            </w:pPr>
          </w:p>
          <w:p w:rsidR="004F2295" w:rsidRPr="008F0922" w:rsidRDefault="004F2295"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pPr>
            <w:r w:rsidRPr="008F0922">
              <w:t xml:space="preserve">Reference </w:t>
            </w:r>
            <w:r w:rsidR="00E10CAF" w:rsidRPr="008F0922">
              <w:t>1</w:t>
            </w:r>
            <w:r w:rsidR="00A70625" w:rsidRPr="008F0922">
              <w:t>4</w:t>
            </w:r>
          </w:p>
        </w:tc>
      </w:tr>
      <w:tr w:rsidR="00E10CAF" w:rsidRPr="008F0922" w:rsidTr="00BD6F3E">
        <w:tc>
          <w:tcPr>
            <w:tcW w:w="2026" w:type="dxa"/>
            <w:tcBorders>
              <w:top w:val="single" w:sz="7" w:space="0" w:color="000000"/>
              <w:left w:val="single" w:sz="7" w:space="0" w:color="000000"/>
              <w:bottom w:val="single" w:sz="6" w:space="0" w:color="FFFFFF"/>
              <w:right w:val="single" w:sz="6" w:space="0" w:color="FFFFFF"/>
            </w:tcBorders>
            <w:vAlign w:val="center"/>
          </w:tcPr>
          <w:p w:rsidR="00E10CAF" w:rsidRPr="008F0922" w:rsidRDefault="00E10CAF" w:rsidP="00BD6F3E">
            <w:pPr>
              <w:spacing w:line="14" w:lineRule="exact"/>
            </w:pPr>
          </w:p>
          <w:p w:rsidR="00E10CAF" w:rsidRPr="008F0922" w:rsidRDefault="00E10CAF"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pPr>
            <w:r w:rsidRPr="008F0922">
              <w:t>NOX</w:t>
            </w:r>
          </w:p>
        </w:tc>
        <w:tc>
          <w:tcPr>
            <w:tcW w:w="1562" w:type="dxa"/>
            <w:tcBorders>
              <w:top w:val="single" w:sz="7" w:space="0" w:color="000000"/>
              <w:left w:val="single" w:sz="7" w:space="0" w:color="000000"/>
              <w:bottom w:val="single" w:sz="6" w:space="0" w:color="FFFFFF"/>
              <w:right w:val="single" w:sz="6" w:space="0" w:color="FFFFFF"/>
            </w:tcBorders>
            <w:vAlign w:val="center"/>
          </w:tcPr>
          <w:p w:rsidR="00E10CAF" w:rsidRPr="008F0922" w:rsidRDefault="00E10CAF" w:rsidP="00BD6F3E">
            <w:r w:rsidRPr="008F0922">
              <w:t>NOX</w:t>
            </w:r>
          </w:p>
        </w:tc>
        <w:tc>
          <w:tcPr>
            <w:tcW w:w="1592" w:type="dxa"/>
            <w:tcBorders>
              <w:top w:val="single" w:sz="7" w:space="0" w:color="000000"/>
              <w:left w:val="single" w:sz="7" w:space="0" w:color="000000"/>
              <w:bottom w:val="single" w:sz="6" w:space="0" w:color="FFFFFF"/>
              <w:right w:val="single" w:sz="7" w:space="0" w:color="000000"/>
            </w:tcBorders>
            <w:vAlign w:val="center"/>
          </w:tcPr>
          <w:p w:rsidR="00E10CAF" w:rsidRPr="008F0922" w:rsidRDefault="00E10CAF" w:rsidP="00BD6F3E">
            <w:pPr>
              <w:spacing w:line="14" w:lineRule="exact"/>
              <w:jc w:val="center"/>
            </w:pPr>
          </w:p>
          <w:p w:rsidR="00E10CAF" w:rsidRPr="008F0922" w:rsidRDefault="00E10CAF"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pPr>
            <w:r w:rsidRPr="008F0922">
              <w:t>5</w:t>
            </w:r>
          </w:p>
        </w:tc>
        <w:tc>
          <w:tcPr>
            <w:tcW w:w="1592" w:type="dxa"/>
            <w:tcBorders>
              <w:top w:val="single" w:sz="7" w:space="0" w:color="000000"/>
              <w:left w:val="single" w:sz="7" w:space="0" w:color="000000"/>
              <w:bottom w:val="single" w:sz="6" w:space="0" w:color="FFFFFF"/>
              <w:right w:val="single" w:sz="7" w:space="0" w:color="000000"/>
            </w:tcBorders>
            <w:vAlign w:val="center"/>
          </w:tcPr>
          <w:p w:rsidR="00E10CAF" w:rsidRPr="008F0922" w:rsidRDefault="00E10CAF" w:rsidP="00BD6F3E">
            <w:pPr>
              <w:spacing w:line="14" w:lineRule="exact"/>
              <w:jc w:val="center"/>
            </w:pPr>
          </w:p>
          <w:p w:rsidR="00E10CAF" w:rsidRPr="008F0922" w:rsidRDefault="00E10CAF"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pPr>
            <w:r w:rsidRPr="008F0922">
              <w:t>Reference 1</w:t>
            </w:r>
            <w:r w:rsidR="00A70625" w:rsidRPr="008F0922">
              <w:t>4</w:t>
            </w:r>
          </w:p>
        </w:tc>
      </w:tr>
      <w:tr w:rsidR="00E10CAF" w:rsidRPr="008F0922" w:rsidTr="00BD6F3E">
        <w:tc>
          <w:tcPr>
            <w:tcW w:w="2026" w:type="dxa"/>
            <w:tcBorders>
              <w:top w:val="single" w:sz="7" w:space="0" w:color="000000"/>
              <w:left w:val="single" w:sz="7" w:space="0" w:color="000000"/>
              <w:bottom w:val="single" w:sz="6" w:space="0" w:color="FFFFFF"/>
              <w:right w:val="single" w:sz="6" w:space="0" w:color="FFFFFF"/>
            </w:tcBorders>
            <w:vAlign w:val="center"/>
          </w:tcPr>
          <w:p w:rsidR="00E10CAF" w:rsidRPr="008F0922" w:rsidRDefault="00E10CAF" w:rsidP="00BD6F3E">
            <w:pPr>
              <w:spacing w:line="14" w:lineRule="exact"/>
            </w:pPr>
          </w:p>
          <w:p w:rsidR="00E10CAF" w:rsidRPr="008F0922" w:rsidRDefault="00E10CAF"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pPr>
            <w:r w:rsidRPr="008F0922">
              <w:t>CO</w:t>
            </w:r>
          </w:p>
        </w:tc>
        <w:tc>
          <w:tcPr>
            <w:tcW w:w="1562" w:type="dxa"/>
            <w:tcBorders>
              <w:top w:val="single" w:sz="7" w:space="0" w:color="000000"/>
              <w:left w:val="single" w:sz="7" w:space="0" w:color="000000"/>
              <w:bottom w:val="single" w:sz="6" w:space="0" w:color="FFFFFF"/>
              <w:right w:val="single" w:sz="6" w:space="0" w:color="FFFFFF"/>
            </w:tcBorders>
            <w:vAlign w:val="center"/>
          </w:tcPr>
          <w:p w:rsidR="00E10CAF" w:rsidRPr="008F0922" w:rsidRDefault="00E10CAF" w:rsidP="00BD6F3E">
            <w:r w:rsidRPr="008F0922">
              <w:t>CO</w:t>
            </w:r>
          </w:p>
        </w:tc>
        <w:tc>
          <w:tcPr>
            <w:tcW w:w="1592" w:type="dxa"/>
            <w:tcBorders>
              <w:top w:val="single" w:sz="7" w:space="0" w:color="000000"/>
              <w:left w:val="single" w:sz="7" w:space="0" w:color="000000"/>
              <w:bottom w:val="single" w:sz="6" w:space="0" w:color="FFFFFF"/>
              <w:right w:val="single" w:sz="7" w:space="0" w:color="000000"/>
            </w:tcBorders>
            <w:vAlign w:val="center"/>
          </w:tcPr>
          <w:p w:rsidR="00E10CAF" w:rsidRPr="008F0922" w:rsidRDefault="00E10CAF" w:rsidP="00BD6F3E">
            <w:pPr>
              <w:spacing w:line="14" w:lineRule="exact"/>
              <w:jc w:val="center"/>
            </w:pPr>
          </w:p>
          <w:p w:rsidR="00E10CAF" w:rsidRPr="008F0922" w:rsidRDefault="00E10CAF"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pPr>
            <w:r w:rsidRPr="008F0922">
              <w:t>169</w:t>
            </w:r>
          </w:p>
        </w:tc>
        <w:tc>
          <w:tcPr>
            <w:tcW w:w="1592" w:type="dxa"/>
            <w:tcBorders>
              <w:top w:val="single" w:sz="7" w:space="0" w:color="000000"/>
              <w:left w:val="single" w:sz="7" w:space="0" w:color="000000"/>
              <w:bottom w:val="single" w:sz="6" w:space="0" w:color="FFFFFF"/>
              <w:right w:val="single" w:sz="7" w:space="0" w:color="000000"/>
            </w:tcBorders>
            <w:vAlign w:val="center"/>
          </w:tcPr>
          <w:p w:rsidR="00E10CAF" w:rsidRPr="008F0922" w:rsidRDefault="00E10CAF" w:rsidP="00BD6F3E">
            <w:pPr>
              <w:spacing w:line="14" w:lineRule="exact"/>
              <w:jc w:val="center"/>
            </w:pPr>
          </w:p>
          <w:p w:rsidR="00E10CAF" w:rsidRPr="008F0922" w:rsidRDefault="00E10CAF"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pPr>
            <w:r w:rsidRPr="008F0922">
              <w:t>Reference 1</w:t>
            </w:r>
            <w:r w:rsidR="00A70625" w:rsidRPr="008F0922">
              <w:t>4</w:t>
            </w:r>
          </w:p>
        </w:tc>
      </w:tr>
      <w:tr w:rsidR="00E10CAF" w:rsidRPr="008F0922" w:rsidTr="00BD6F3E">
        <w:tc>
          <w:tcPr>
            <w:tcW w:w="2026" w:type="dxa"/>
            <w:tcBorders>
              <w:top w:val="single" w:sz="7" w:space="0" w:color="000000"/>
              <w:left w:val="single" w:sz="7" w:space="0" w:color="000000"/>
              <w:bottom w:val="single" w:sz="6" w:space="0" w:color="FFFFFF"/>
              <w:right w:val="single" w:sz="6" w:space="0" w:color="FFFFFF"/>
            </w:tcBorders>
            <w:vAlign w:val="center"/>
          </w:tcPr>
          <w:p w:rsidR="00E10CAF" w:rsidRPr="008F0922" w:rsidRDefault="00E10CAF" w:rsidP="00BD6F3E">
            <w:pPr>
              <w:spacing w:line="14" w:lineRule="exact"/>
            </w:pPr>
          </w:p>
          <w:p w:rsidR="00E10CAF" w:rsidRPr="008F0922" w:rsidRDefault="00E10CAF"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pPr>
            <w:r w:rsidRPr="008F0922">
              <w:t>PM10-FIL</w:t>
            </w:r>
          </w:p>
        </w:tc>
        <w:tc>
          <w:tcPr>
            <w:tcW w:w="1562" w:type="dxa"/>
            <w:tcBorders>
              <w:top w:val="single" w:sz="7" w:space="0" w:color="000000"/>
              <w:left w:val="single" w:sz="7" w:space="0" w:color="000000"/>
              <w:bottom w:val="single" w:sz="6" w:space="0" w:color="FFFFFF"/>
              <w:right w:val="single" w:sz="6" w:space="0" w:color="FFFFFF"/>
            </w:tcBorders>
            <w:vAlign w:val="center"/>
          </w:tcPr>
          <w:p w:rsidR="00E10CAF" w:rsidRPr="008F0922" w:rsidRDefault="00E10CAF" w:rsidP="00BD6F3E">
            <w:r w:rsidRPr="008F0922">
              <w:t>PM10-FIL</w:t>
            </w:r>
          </w:p>
        </w:tc>
        <w:tc>
          <w:tcPr>
            <w:tcW w:w="1592" w:type="dxa"/>
            <w:tcBorders>
              <w:top w:val="single" w:sz="7" w:space="0" w:color="000000"/>
              <w:left w:val="single" w:sz="7" w:space="0" w:color="000000"/>
              <w:bottom w:val="single" w:sz="6" w:space="0" w:color="FFFFFF"/>
              <w:right w:val="single" w:sz="7" w:space="0" w:color="000000"/>
            </w:tcBorders>
            <w:vAlign w:val="center"/>
          </w:tcPr>
          <w:p w:rsidR="00E10CAF" w:rsidRPr="008F0922" w:rsidRDefault="00E10CAF" w:rsidP="00BD6F3E">
            <w:pPr>
              <w:spacing w:line="14" w:lineRule="exact"/>
              <w:jc w:val="center"/>
            </w:pPr>
          </w:p>
          <w:p w:rsidR="00E10CAF" w:rsidRPr="008F0922" w:rsidRDefault="00E10CAF"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pPr>
            <w:r w:rsidRPr="008F0922">
              <w:t>17</w:t>
            </w:r>
          </w:p>
        </w:tc>
        <w:tc>
          <w:tcPr>
            <w:tcW w:w="1592" w:type="dxa"/>
            <w:tcBorders>
              <w:top w:val="single" w:sz="7" w:space="0" w:color="000000"/>
              <w:left w:val="single" w:sz="7" w:space="0" w:color="000000"/>
              <w:bottom w:val="single" w:sz="6" w:space="0" w:color="FFFFFF"/>
              <w:right w:val="single" w:sz="7" w:space="0" w:color="000000"/>
            </w:tcBorders>
            <w:vAlign w:val="center"/>
          </w:tcPr>
          <w:p w:rsidR="00E10CAF" w:rsidRPr="008F0922" w:rsidRDefault="00E10CAF" w:rsidP="00BD6F3E">
            <w:pPr>
              <w:spacing w:line="14" w:lineRule="exact"/>
              <w:jc w:val="center"/>
            </w:pPr>
          </w:p>
          <w:p w:rsidR="00E10CAF" w:rsidRPr="008F0922" w:rsidRDefault="00E10CAF"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pPr>
            <w:r w:rsidRPr="008F0922">
              <w:t>Reference 1</w:t>
            </w:r>
            <w:r w:rsidR="00A70625" w:rsidRPr="008F0922">
              <w:t>4</w:t>
            </w:r>
          </w:p>
        </w:tc>
      </w:tr>
      <w:tr w:rsidR="004F2295" w:rsidRPr="008F0922" w:rsidTr="00BD6F3E">
        <w:tc>
          <w:tcPr>
            <w:tcW w:w="2026" w:type="dxa"/>
            <w:tcBorders>
              <w:top w:val="single" w:sz="7" w:space="0" w:color="000000"/>
              <w:left w:val="single" w:sz="7" w:space="0" w:color="000000"/>
              <w:bottom w:val="single" w:sz="6" w:space="0" w:color="FFFFFF"/>
              <w:right w:val="single" w:sz="6" w:space="0" w:color="FFFFFF"/>
            </w:tcBorders>
            <w:vAlign w:val="center"/>
          </w:tcPr>
          <w:p w:rsidR="004F2295" w:rsidRPr="008F0922" w:rsidRDefault="004F2295" w:rsidP="00BD6F3E">
            <w:pPr>
              <w:spacing w:line="14" w:lineRule="exact"/>
            </w:pPr>
          </w:p>
          <w:p w:rsidR="004F2295" w:rsidRPr="008F0922" w:rsidRDefault="004F2295"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pPr>
            <w:r w:rsidRPr="008F0922">
              <w:t>PM25-FIL</w:t>
            </w:r>
          </w:p>
        </w:tc>
        <w:tc>
          <w:tcPr>
            <w:tcW w:w="1562" w:type="dxa"/>
            <w:tcBorders>
              <w:top w:val="single" w:sz="7" w:space="0" w:color="000000"/>
              <w:left w:val="single" w:sz="7" w:space="0" w:color="000000"/>
              <w:bottom w:val="single" w:sz="6" w:space="0" w:color="FFFFFF"/>
              <w:right w:val="single" w:sz="6" w:space="0" w:color="FFFFFF"/>
            </w:tcBorders>
            <w:vAlign w:val="center"/>
          </w:tcPr>
          <w:p w:rsidR="004F2295" w:rsidRPr="008F0922" w:rsidRDefault="004F2295" w:rsidP="00BD6F3E">
            <w:r w:rsidRPr="008F0922">
              <w:t>PM25-FIL</w:t>
            </w:r>
          </w:p>
        </w:tc>
        <w:tc>
          <w:tcPr>
            <w:tcW w:w="1592" w:type="dxa"/>
            <w:tcBorders>
              <w:top w:val="single" w:sz="7" w:space="0" w:color="000000"/>
              <w:left w:val="single" w:sz="7" w:space="0" w:color="000000"/>
              <w:bottom w:val="single" w:sz="6" w:space="0" w:color="FFFFFF"/>
              <w:right w:val="single" w:sz="7" w:space="0" w:color="000000"/>
            </w:tcBorders>
            <w:vAlign w:val="center"/>
          </w:tcPr>
          <w:p w:rsidR="004F2295" w:rsidRPr="008F0922" w:rsidRDefault="004F2295" w:rsidP="00BD6F3E">
            <w:pPr>
              <w:spacing w:line="14" w:lineRule="exact"/>
              <w:jc w:val="center"/>
            </w:pPr>
          </w:p>
          <w:p w:rsidR="004F2295" w:rsidRPr="008F0922" w:rsidRDefault="00FB2D09"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pPr>
            <w:r w:rsidRPr="008F0922">
              <w:t>13.1</w:t>
            </w:r>
          </w:p>
        </w:tc>
        <w:tc>
          <w:tcPr>
            <w:tcW w:w="1592" w:type="dxa"/>
            <w:tcBorders>
              <w:top w:val="single" w:sz="7" w:space="0" w:color="000000"/>
              <w:left w:val="single" w:sz="7" w:space="0" w:color="000000"/>
              <w:bottom w:val="single" w:sz="6" w:space="0" w:color="FFFFFF"/>
              <w:right w:val="single" w:sz="7" w:space="0" w:color="000000"/>
            </w:tcBorders>
            <w:vAlign w:val="center"/>
          </w:tcPr>
          <w:p w:rsidR="004F2295" w:rsidRPr="008F0922" w:rsidRDefault="004F2295" w:rsidP="00BD6F3E">
            <w:pPr>
              <w:spacing w:line="14" w:lineRule="exact"/>
              <w:jc w:val="center"/>
            </w:pPr>
          </w:p>
          <w:p w:rsidR="004F2295" w:rsidRPr="008F0922" w:rsidRDefault="00FB2D09"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pPr>
            <w:r w:rsidRPr="008F0922">
              <w:t>PM10-FIL multiplied by 0.7709</w:t>
            </w:r>
          </w:p>
        </w:tc>
      </w:tr>
      <w:tr w:rsidR="00E10CAF" w:rsidRPr="008F0922" w:rsidTr="00BD6F3E">
        <w:tc>
          <w:tcPr>
            <w:tcW w:w="2026" w:type="dxa"/>
            <w:tcBorders>
              <w:top w:val="single" w:sz="7" w:space="0" w:color="000000"/>
              <w:left w:val="single" w:sz="7" w:space="0" w:color="000000"/>
              <w:bottom w:val="single" w:sz="6" w:space="0" w:color="FFFFFF"/>
              <w:right w:val="single" w:sz="6" w:space="0" w:color="FFFFFF"/>
            </w:tcBorders>
            <w:vAlign w:val="center"/>
          </w:tcPr>
          <w:p w:rsidR="00E10CAF" w:rsidRPr="008F0922" w:rsidRDefault="00E10CAF" w:rsidP="00BD6F3E">
            <w:pPr>
              <w:spacing w:line="14" w:lineRule="exact"/>
            </w:pPr>
          </w:p>
          <w:p w:rsidR="00E10CAF" w:rsidRPr="008F0922" w:rsidRDefault="00E10CAF"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pPr>
            <w:r w:rsidRPr="008F0922">
              <w:t>PM10-PRI</w:t>
            </w:r>
          </w:p>
        </w:tc>
        <w:tc>
          <w:tcPr>
            <w:tcW w:w="1562" w:type="dxa"/>
            <w:tcBorders>
              <w:top w:val="single" w:sz="7" w:space="0" w:color="000000"/>
              <w:left w:val="single" w:sz="7" w:space="0" w:color="000000"/>
              <w:bottom w:val="single" w:sz="6" w:space="0" w:color="FFFFFF"/>
              <w:right w:val="single" w:sz="6" w:space="0" w:color="FFFFFF"/>
            </w:tcBorders>
            <w:vAlign w:val="center"/>
          </w:tcPr>
          <w:p w:rsidR="00E10CAF" w:rsidRPr="008F0922" w:rsidRDefault="00E10CAF" w:rsidP="00BD6F3E">
            <w:r w:rsidRPr="008F0922">
              <w:t>PM10-PRI</w:t>
            </w:r>
          </w:p>
        </w:tc>
        <w:tc>
          <w:tcPr>
            <w:tcW w:w="1592" w:type="dxa"/>
            <w:tcBorders>
              <w:top w:val="single" w:sz="7" w:space="0" w:color="000000"/>
              <w:left w:val="single" w:sz="7" w:space="0" w:color="000000"/>
              <w:bottom w:val="single" w:sz="6" w:space="0" w:color="FFFFFF"/>
              <w:right w:val="single" w:sz="7" w:space="0" w:color="000000"/>
            </w:tcBorders>
            <w:vAlign w:val="center"/>
          </w:tcPr>
          <w:p w:rsidR="00E10CAF" w:rsidRPr="008F0922" w:rsidRDefault="00E10CAF" w:rsidP="00BD6F3E">
            <w:pPr>
              <w:spacing w:line="14" w:lineRule="exact"/>
              <w:jc w:val="center"/>
            </w:pPr>
          </w:p>
          <w:p w:rsidR="00E10CAF" w:rsidRPr="008F0922" w:rsidRDefault="00E10CAF"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pPr>
            <w:r w:rsidRPr="008F0922">
              <w:t>17</w:t>
            </w:r>
          </w:p>
        </w:tc>
        <w:tc>
          <w:tcPr>
            <w:tcW w:w="1592" w:type="dxa"/>
            <w:tcBorders>
              <w:top w:val="single" w:sz="7" w:space="0" w:color="000000"/>
              <w:left w:val="single" w:sz="7" w:space="0" w:color="000000"/>
              <w:bottom w:val="single" w:sz="6" w:space="0" w:color="FFFFFF"/>
              <w:right w:val="single" w:sz="7" w:space="0" w:color="000000"/>
            </w:tcBorders>
            <w:vAlign w:val="center"/>
          </w:tcPr>
          <w:p w:rsidR="00E10CAF" w:rsidRPr="008F0922" w:rsidRDefault="00E10CAF" w:rsidP="00BD6F3E">
            <w:pPr>
              <w:spacing w:line="14" w:lineRule="exact"/>
              <w:jc w:val="center"/>
            </w:pPr>
          </w:p>
          <w:p w:rsidR="00E10CAF" w:rsidRPr="008F0922" w:rsidRDefault="00E10CAF"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pPr>
            <w:r w:rsidRPr="008F0922">
              <w:t>Reference 1</w:t>
            </w:r>
            <w:r w:rsidR="00A70625" w:rsidRPr="008F0922">
              <w:t>4</w:t>
            </w:r>
          </w:p>
        </w:tc>
      </w:tr>
      <w:tr w:rsidR="004F2295" w:rsidRPr="008F0922" w:rsidTr="00BD6F3E">
        <w:tc>
          <w:tcPr>
            <w:tcW w:w="2026" w:type="dxa"/>
            <w:tcBorders>
              <w:top w:val="single" w:sz="7" w:space="0" w:color="000000"/>
              <w:left w:val="single" w:sz="7" w:space="0" w:color="000000"/>
              <w:bottom w:val="single" w:sz="6" w:space="0" w:color="FFFFFF"/>
              <w:right w:val="single" w:sz="6" w:space="0" w:color="FFFFFF"/>
            </w:tcBorders>
            <w:vAlign w:val="center"/>
          </w:tcPr>
          <w:p w:rsidR="004F2295" w:rsidRPr="008F0922" w:rsidRDefault="004F2295" w:rsidP="00BD6F3E">
            <w:pPr>
              <w:spacing w:line="14" w:lineRule="exact"/>
            </w:pPr>
          </w:p>
          <w:p w:rsidR="004F2295" w:rsidRPr="008F0922" w:rsidRDefault="004F2295"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pPr>
            <w:r w:rsidRPr="008F0922">
              <w:t>PM25-PRI</w:t>
            </w:r>
          </w:p>
        </w:tc>
        <w:tc>
          <w:tcPr>
            <w:tcW w:w="1562" w:type="dxa"/>
            <w:tcBorders>
              <w:top w:val="single" w:sz="7" w:space="0" w:color="000000"/>
              <w:left w:val="single" w:sz="7" w:space="0" w:color="000000"/>
              <w:bottom w:val="single" w:sz="6" w:space="0" w:color="FFFFFF"/>
              <w:right w:val="single" w:sz="6" w:space="0" w:color="FFFFFF"/>
            </w:tcBorders>
            <w:vAlign w:val="center"/>
          </w:tcPr>
          <w:p w:rsidR="004F2295" w:rsidRPr="008F0922" w:rsidRDefault="004F2295" w:rsidP="00BD6F3E">
            <w:r w:rsidRPr="008F0922">
              <w:t>PM25-PRI</w:t>
            </w:r>
          </w:p>
        </w:tc>
        <w:tc>
          <w:tcPr>
            <w:tcW w:w="1592" w:type="dxa"/>
            <w:tcBorders>
              <w:top w:val="single" w:sz="7" w:space="0" w:color="000000"/>
              <w:left w:val="single" w:sz="7" w:space="0" w:color="000000"/>
              <w:bottom w:val="single" w:sz="6" w:space="0" w:color="FFFFFF"/>
              <w:right w:val="single" w:sz="7" w:space="0" w:color="000000"/>
            </w:tcBorders>
            <w:vAlign w:val="center"/>
          </w:tcPr>
          <w:p w:rsidR="004F2295" w:rsidRPr="008F0922" w:rsidRDefault="004F2295" w:rsidP="00BD6F3E">
            <w:pPr>
              <w:spacing w:line="14" w:lineRule="exact"/>
              <w:jc w:val="center"/>
            </w:pPr>
          </w:p>
          <w:p w:rsidR="004F2295" w:rsidRPr="008F0922" w:rsidRDefault="00FB2D09"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pPr>
            <w:r w:rsidRPr="008F0922">
              <w:t>13.1</w:t>
            </w:r>
          </w:p>
        </w:tc>
        <w:tc>
          <w:tcPr>
            <w:tcW w:w="1592" w:type="dxa"/>
            <w:tcBorders>
              <w:top w:val="single" w:sz="7" w:space="0" w:color="000000"/>
              <w:left w:val="single" w:sz="7" w:space="0" w:color="000000"/>
              <w:bottom w:val="single" w:sz="6" w:space="0" w:color="FFFFFF"/>
              <w:right w:val="single" w:sz="7" w:space="0" w:color="000000"/>
            </w:tcBorders>
            <w:vAlign w:val="center"/>
          </w:tcPr>
          <w:p w:rsidR="004F2295" w:rsidRPr="008F0922" w:rsidRDefault="00FB2D09"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pPr>
            <w:r w:rsidRPr="008F0922">
              <w:t>PM10-PRI  multiplied by 0.7709</w:t>
            </w:r>
          </w:p>
        </w:tc>
      </w:tr>
      <w:tr w:rsidR="004F2295" w:rsidRPr="008F0922" w:rsidTr="00BD6F3E">
        <w:tc>
          <w:tcPr>
            <w:tcW w:w="2026" w:type="dxa"/>
            <w:tcBorders>
              <w:top w:val="single" w:sz="7" w:space="0" w:color="000000"/>
              <w:left w:val="single" w:sz="7" w:space="0" w:color="000000"/>
              <w:bottom w:val="single" w:sz="6" w:space="0" w:color="FFFFFF"/>
              <w:right w:val="single" w:sz="6" w:space="0" w:color="FFFFFF"/>
            </w:tcBorders>
            <w:vAlign w:val="center"/>
          </w:tcPr>
          <w:p w:rsidR="004F2295" w:rsidRPr="008F0922" w:rsidRDefault="004F2295" w:rsidP="00BD6F3E">
            <w:pPr>
              <w:spacing w:line="14" w:lineRule="exact"/>
            </w:pPr>
          </w:p>
          <w:p w:rsidR="004F2295" w:rsidRPr="008F0922" w:rsidRDefault="004F2295"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pPr>
            <w:r w:rsidRPr="008F0922">
              <w:t>1,2,3,4,6,7,8-HpCDD</w:t>
            </w:r>
          </w:p>
        </w:tc>
        <w:tc>
          <w:tcPr>
            <w:tcW w:w="1562" w:type="dxa"/>
            <w:tcBorders>
              <w:top w:val="single" w:sz="7" w:space="0" w:color="000000"/>
              <w:left w:val="single" w:sz="7" w:space="0" w:color="000000"/>
              <w:bottom w:val="single" w:sz="6" w:space="0" w:color="FFFFFF"/>
              <w:right w:val="single" w:sz="6" w:space="0" w:color="FFFFFF"/>
            </w:tcBorders>
            <w:vAlign w:val="center"/>
          </w:tcPr>
          <w:p w:rsidR="004F2295" w:rsidRPr="008F0922" w:rsidRDefault="004F2295" w:rsidP="00BD6F3E">
            <w:r w:rsidRPr="008F0922">
              <w:t>35822469</w:t>
            </w:r>
          </w:p>
        </w:tc>
        <w:tc>
          <w:tcPr>
            <w:tcW w:w="1592" w:type="dxa"/>
            <w:tcBorders>
              <w:top w:val="single" w:sz="7" w:space="0" w:color="000000"/>
              <w:left w:val="single" w:sz="7" w:space="0" w:color="000000"/>
              <w:bottom w:val="single" w:sz="6" w:space="0" w:color="FFFFFF"/>
              <w:right w:val="single" w:sz="7" w:space="0" w:color="000000"/>
            </w:tcBorders>
            <w:vAlign w:val="center"/>
          </w:tcPr>
          <w:p w:rsidR="004F2295" w:rsidRPr="008F0922" w:rsidRDefault="004F2295" w:rsidP="00BD6F3E">
            <w:pPr>
              <w:spacing w:line="14" w:lineRule="exact"/>
              <w:jc w:val="center"/>
            </w:pPr>
          </w:p>
          <w:p w:rsidR="004F2295" w:rsidRPr="008F0922" w:rsidRDefault="004F2295"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pPr>
            <w:r w:rsidRPr="008F0922">
              <w:t>3.33E-07</w:t>
            </w:r>
          </w:p>
        </w:tc>
        <w:tc>
          <w:tcPr>
            <w:tcW w:w="1592" w:type="dxa"/>
            <w:tcBorders>
              <w:top w:val="single" w:sz="7" w:space="0" w:color="000000"/>
              <w:left w:val="single" w:sz="7" w:space="0" w:color="000000"/>
              <w:bottom w:val="single" w:sz="6" w:space="0" w:color="FFFFFF"/>
              <w:right w:val="single" w:sz="7" w:space="0" w:color="000000"/>
            </w:tcBorders>
            <w:vAlign w:val="center"/>
          </w:tcPr>
          <w:p w:rsidR="004F2295" w:rsidRPr="008F0922" w:rsidRDefault="004F2295" w:rsidP="00BD6F3E">
            <w:pPr>
              <w:spacing w:line="14" w:lineRule="exact"/>
              <w:jc w:val="center"/>
            </w:pPr>
          </w:p>
          <w:p w:rsidR="004F2295" w:rsidRPr="008F0922" w:rsidRDefault="004F2295"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pPr>
            <w:r w:rsidRPr="008F0922">
              <w:t xml:space="preserve">Reference </w:t>
            </w:r>
            <w:r w:rsidR="007C5212" w:rsidRPr="008F0922">
              <w:t>1</w:t>
            </w:r>
            <w:r w:rsidR="00A70625" w:rsidRPr="008F0922">
              <w:t>7</w:t>
            </w:r>
          </w:p>
        </w:tc>
      </w:tr>
      <w:tr w:rsidR="00E10CAF" w:rsidRPr="008F0922" w:rsidTr="00BD6F3E">
        <w:tc>
          <w:tcPr>
            <w:tcW w:w="2026" w:type="dxa"/>
            <w:tcBorders>
              <w:top w:val="single" w:sz="7" w:space="0" w:color="000000"/>
              <w:left w:val="single" w:sz="7" w:space="0" w:color="000000"/>
              <w:bottom w:val="single" w:sz="6" w:space="0" w:color="FFFFFF"/>
              <w:right w:val="single" w:sz="6" w:space="0" w:color="FFFFFF"/>
            </w:tcBorders>
            <w:vAlign w:val="center"/>
          </w:tcPr>
          <w:p w:rsidR="00E10CAF" w:rsidRPr="008F0922" w:rsidRDefault="00E10CAF" w:rsidP="00BD6F3E">
            <w:pPr>
              <w:spacing w:line="14" w:lineRule="exact"/>
            </w:pPr>
          </w:p>
          <w:p w:rsidR="00E10CAF" w:rsidRPr="008F0922" w:rsidRDefault="00E10CAF"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pPr>
            <w:r w:rsidRPr="008F0922">
              <w:t>1,2,3,4,6,7,8-HpCDF</w:t>
            </w:r>
          </w:p>
        </w:tc>
        <w:tc>
          <w:tcPr>
            <w:tcW w:w="1562" w:type="dxa"/>
            <w:tcBorders>
              <w:top w:val="single" w:sz="7" w:space="0" w:color="000000"/>
              <w:left w:val="single" w:sz="7" w:space="0" w:color="000000"/>
              <w:bottom w:val="single" w:sz="6" w:space="0" w:color="FFFFFF"/>
              <w:right w:val="single" w:sz="6" w:space="0" w:color="FFFFFF"/>
            </w:tcBorders>
            <w:vAlign w:val="center"/>
          </w:tcPr>
          <w:p w:rsidR="00E10CAF" w:rsidRPr="008F0922" w:rsidRDefault="00E10CAF" w:rsidP="00BD6F3E">
            <w:r w:rsidRPr="008F0922">
              <w:t>67562394</w:t>
            </w:r>
          </w:p>
        </w:tc>
        <w:tc>
          <w:tcPr>
            <w:tcW w:w="1592" w:type="dxa"/>
            <w:tcBorders>
              <w:top w:val="single" w:sz="7" w:space="0" w:color="000000"/>
              <w:left w:val="single" w:sz="7" w:space="0" w:color="000000"/>
              <w:bottom w:val="single" w:sz="6" w:space="0" w:color="FFFFFF"/>
              <w:right w:val="single" w:sz="7" w:space="0" w:color="000000"/>
            </w:tcBorders>
            <w:vAlign w:val="center"/>
          </w:tcPr>
          <w:p w:rsidR="00E10CAF" w:rsidRPr="008F0922" w:rsidRDefault="00E10CAF" w:rsidP="00BD6F3E">
            <w:pPr>
              <w:spacing w:line="14" w:lineRule="exact"/>
              <w:jc w:val="center"/>
            </w:pPr>
          </w:p>
          <w:p w:rsidR="00E10CAF" w:rsidRPr="008F0922" w:rsidRDefault="00E10CAF"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pPr>
            <w:r w:rsidRPr="008F0922">
              <w:t>5.08E-08</w:t>
            </w:r>
          </w:p>
        </w:tc>
        <w:tc>
          <w:tcPr>
            <w:tcW w:w="1592" w:type="dxa"/>
            <w:tcBorders>
              <w:top w:val="single" w:sz="7" w:space="0" w:color="000000"/>
              <w:left w:val="single" w:sz="7" w:space="0" w:color="000000"/>
              <w:bottom w:val="single" w:sz="6" w:space="0" w:color="FFFFFF"/>
              <w:right w:val="single" w:sz="7" w:space="0" w:color="000000"/>
            </w:tcBorders>
            <w:vAlign w:val="center"/>
          </w:tcPr>
          <w:p w:rsidR="00E10CAF" w:rsidRPr="008F0922" w:rsidRDefault="00E10CAF" w:rsidP="00BD6F3E">
            <w:pPr>
              <w:spacing w:line="14" w:lineRule="exact"/>
              <w:jc w:val="center"/>
            </w:pPr>
          </w:p>
          <w:p w:rsidR="00E10CAF" w:rsidRPr="008F0922" w:rsidRDefault="00E10CAF"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pPr>
            <w:r w:rsidRPr="008F0922">
              <w:t xml:space="preserve">Reference </w:t>
            </w:r>
            <w:r w:rsidR="00A70625" w:rsidRPr="008F0922">
              <w:t>17</w:t>
            </w:r>
          </w:p>
        </w:tc>
      </w:tr>
      <w:tr w:rsidR="00E10CAF" w:rsidRPr="008F0922" w:rsidTr="00BD6F3E">
        <w:tc>
          <w:tcPr>
            <w:tcW w:w="2026" w:type="dxa"/>
            <w:tcBorders>
              <w:top w:val="single" w:sz="7" w:space="0" w:color="000000"/>
              <w:left w:val="single" w:sz="7" w:space="0" w:color="000000"/>
              <w:bottom w:val="single" w:sz="6" w:space="0" w:color="FFFFFF"/>
              <w:right w:val="single" w:sz="6" w:space="0" w:color="FFFFFF"/>
            </w:tcBorders>
            <w:vAlign w:val="center"/>
          </w:tcPr>
          <w:p w:rsidR="00E10CAF" w:rsidRPr="008F0922" w:rsidRDefault="00E10CAF" w:rsidP="00BD6F3E">
            <w:pPr>
              <w:spacing w:line="14" w:lineRule="exact"/>
            </w:pPr>
          </w:p>
          <w:p w:rsidR="00E10CAF" w:rsidRPr="008F0922" w:rsidRDefault="00E10CAF"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pPr>
            <w:r w:rsidRPr="008F0922">
              <w:t>1,2,3,4,7,8,9-HpCDF</w:t>
            </w:r>
          </w:p>
        </w:tc>
        <w:tc>
          <w:tcPr>
            <w:tcW w:w="1562" w:type="dxa"/>
            <w:tcBorders>
              <w:top w:val="single" w:sz="7" w:space="0" w:color="000000"/>
              <w:left w:val="single" w:sz="7" w:space="0" w:color="000000"/>
              <w:bottom w:val="single" w:sz="6" w:space="0" w:color="FFFFFF"/>
              <w:right w:val="single" w:sz="6" w:space="0" w:color="FFFFFF"/>
            </w:tcBorders>
            <w:vAlign w:val="center"/>
          </w:tcPr>
          <w:p w:rsidR="00E10CAF" w:rsidRPr="008F0922" w:rsidRDefault="00E10CAF" w:rsidP="00BD6F3E">
            <w:r w:rsidRPr="008F0922">
              <w:t>55673897</w:t>
            </w:r>
          </w:p>
        </w:tc>
        <w:tc>
          <w:tcPr>
            <w:tcW w:w="1592" w:type="dxa"/>
            <w:tcBorders>
              <w:top w:val="single" w:sz="7" w:space="0" w:color="000000"/>
              <w:left w:val="single" w:sz="7" w:space="0" w:color="000000"/>
              <w:bottom w:val="single" w:sz="6" w:space="0" w:color="FFFFFF"/>
              <w:right w:val="single" w:sz="7" w:space="0" w:color="000000"/>
            </w:tcBorders>
            <w:vAlign w:val="center"/>
          </w:tcPr>
          <w:p w:rsidR="00E10CAF" w:rsidRPr="008F0922" w:rsidRDefault="00E10CAF" w:rsidP="00BD6F3E">
            <w:pPr>
              <w:spacing w:line="14" w:lineRule="exact"/>
              <w:jc w:val="center"/>
            </w:pPr>
          </w:p>
          <w:p w:rsidR="00E10CAF" w:rsidRPr="008F0922" w:rsidRDefault="00E10CAF"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pPr>
            <w:r w:rsidRPr="008F0922">
              <w:t>6.12E-09</w:t>
            </w:r>
          </w:p>
        </w:tc>
        <w:tc>
          <w:tcPr>
            <w:tcW w:w="1592" w:type="dxa"/>
            <w:tcBorders>
              <w:top w:val="single" w:sz="7" w:space="0" w:color="000000"/>
              <w:left w:val="single" w:sz="7" w:space="0" w:color="000000"/>
              <w:bottom w:val="single" w:sz="6" w:space="0" w:color="FFFFFF"/>
              <w:right w:val="single" w:sz="7" w:space="0" w:color="000000"/>
            </w:tcBorders>
            <w:vAlign w:val="center"/>
          </w:tcPr>
          <w:p w:rsidR="00E10CAF" w:rsidRPr="008F0922" w:rsidRDefault="00E10CAF" w:rsidP="00BD6F3E">
            <w:pPr>
              <w:spacing w:line="14" w:lineRule="exact"/>
              <w:jc w:val="center"/>
            </w:pPr>
          </w:p>
          <w:p w:rsidR="00E10CAF" w:rsidRPr="008F0922" w:rsidRDefault="00E10CAF"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pPr>
            <w:r w:rsidRPr="008F0922">
              <w:t xml:space="preserve">Reference </w:t>
            </w:r>
            <w:r w:rsidR="00A70625" w:rsidRPr="008F0922">
              <w:t>17</w:t>
            </w:r>
          </w:p>
        </w:tc>
      </w:tr>
      <w:tr w:rsidR="00E10CAF" w:rsidRPr="008F0922" w:rsidTr="00BD6F3E">
        <w:tc>
          <w:tcPr>
            <w:tcW w:w="2026" w:type="dxa"/>
            <w:tcBorders>
              <w:top w:val="single" w:sz="7" w:space="0" w:color="000000"/>
              <w:left w:val="single" w:sz="7" w:space="0" w:color="000000"/>
              <w:bottom w:val="single" w:sz="6" w:space="0" w:color="FFFFFF"/>
              <w:right w:val="single" w:sz="6" w:space="0" w:color="FFFFFF"/>
            </w:tcBorders>
            <w:vAlign w:val="center"/>
          </w:tcPr>
          <w:p w:rsidR="00E10CAF" w:rsidRPr="008F0922" w:rsidRDefault="00E10CAF" w:rsidP="00BD6F3E">
            <w:pPr>
              <w:spacing w:line="14" w:lineRule="exact"/>
            </w:pPr>
          </w:p>
          <w:p w:rsidR="00E10CAF" w:rsidRPr="008F0922" w:rsidRDefault="00E10CAF"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pPr>
            <w:r w:rsidRPr="008F0922">
              <w:t>1,2,3,4,7,8-HxCDD</w:t>
            </w:r>
          </w:p>
        </w:tc>
        <w:tc>
          <w:tcPr>
            <w:tcW w:w="1562" w:type="dxa"/>
            <w:tcBorders>
              <w:top w:val="single" w:sz="7" w:space="0" w:color="000000"/>
              <w:left w:val="single" w:sz="7" w:space="0" w:color="000000"/>
              <w:bottom w:val="single" w:sz="6" w:space="0" w:color="FFFFFF"/>
              <w:right w:val="single" w:sz="6" w:space="0" w:color="FFFFFF"/>
            </w:tcBorders>
            <w:vAlign w:val="center"/>
          </w:tcPr>
          <w:p w:rsidR="00E10CAF" w:rsidRPr="008F0922" w:rsidRDefault="00E10CAF" w:rsidP="00BD6F3E">
            <w:r w:rsidRPr="008F0922">
              <w:t>39227286</w:t>
            </w:r>
          </w:p>
        </w:tc>
        <w:tc>
          <w:tcPr>
            <w:tcW w:w="1592" w:type="dxa"/>
            <w:tcBorders>
              <w:top w:val="single" w:sz="7" w:space="0" w:color="000000"/>
              <w:left w:val="single" w:sz="7" w:space="0" w:color="000000"/>
              <w:bottom w:val="single" w:sz="6" w:space="0" w:color="FFFFFF"/>
              <w:right w:val="single" w:sz="7" w:space="0" w:color="000000"/>
            </w:tcBorders>
            <w:vAlign w:val="center"/>
          </w:tcPr>
          <w:p w:rsidR="00E10CAF" w:rsidRPr="008F0922" w:rsidRDefault="00E10CAF" w:rsidP="00BD6F3E">
            <w:pPr>
              <w:spacing w:line="14" w:lineRule="exact"/>
              <w:jc w:val="center"/>
            </w:pPr>
          </w:p>
          <w:p w:rsidR="00E10CAF" w:rsidRPr="008F0922" w:rsidRDefault="00E10CAF"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pPr>
            <w:r w:rsidRPr="008F0922">
              <w:t>1.14E-08</w:t>
            </w:r>
          </w:p>
        </w:tc>
        <w:tc>
          <w:tcPr>
            <w:tcW w:w="1592" w:type="dxa"/>
            <w:tcBorders>
              <w:top w:val="single" w:sz="7" w:space="0" w:color="000000"/>
              <w:left w:val="single" w:sz="7" w:space="0" w:color="000000"/>
              <w:bottom w:val="single" w:sz="6" w:space="0" w:color="FFFFFF"/>
              <w:right w:val="single" w:sz="7" w:space="0" w:color="000000"/>
            </w:tcBorders>
            <w:vAlign w:val="center"/>
          </w:tcPr>
          <w:p w:rsidR="00E10CAF" w:rsidRPr="008F0922" w:rsidRDefault="00E10CAF" w:rsidP="00BD6F3E">
            <w:pPr>
              <w:spacing w:line="14" w:lineRule="exact"/>
              <w:jc w:val="center"/>
            </w:pPr>
          </w:p>
          <w:p w:rsidR="00E10CAF" w:rsidRPr="008F0922" w:rsidRDefault="00E10CAF"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pPr>
            <w:r w:rsidRPr="008F0922">
              <w:t xml:space="preserve">Reference </w:t>
            </w:r>
            <w:r w:rsidR="00A70625" w:rsidRPr="008F0922">
              <w:t>17</w:t>
            </w:r>
          </w:p>
        </w:tc>
      </w:tr>
      <w:tr w:rsidR="00E10CAF" w:rsidRPr="008F0922" w:rsidTr="00BD6F3E">
        <w:tc>
          <w:tcPr>
            <w:tcW w:w="2026" w:type="dxa"/>
            <w:tcBorders>
              <w:top w:val="single" w:sz="7" w:space="0" w:color="000000"/>
              <w:left w:val="single" w:sz="7" w:space="0" w:color="000000"/>
              <w:bottom w:val="single" w:sz="6" w:space="0" w:color="FFFFFF"/>
              <w:right w:val="single" w:sz="6" w:space="0" w:color="FFFFFF"/>
            </w:tcBorders>
            <w:vAlign w:val="center"/>
          </w:tcPr>
          <w:p w:rsidR="00E10CAF" w:rsidRPr="008F0922" w:rsidRDefault="00E10CAF" w:rsidP="00BD6F3E">
            <w:pPr>
              <w:spacing w:line="14" w:lineRule="exact"/>
            </w:pPr>
          </w:p>
          <w:p w:rsidR="00E10CAF" w:rsidRPr="008F0922" w:rsidRDefault="00E10CAF"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pPr>
            <w:r w:rsidRPr="008F0922">
              <w:t>1,2,3,4,7,8-HxCDF</w:t>
            </w:r>
          </w:p>
        </w:tc>
        <w:tc>
          <w:tcPr>
            <w:tcW w:w="1562" w:type="dxa"/>
            <w:tcBorders>
              <w:top w:val="single" w:sz="7" w:space="0" w:color="000000"/>
              <w:left w:val="single" w:sz="7" w:space="0" w:color="000000"/>
              <w:bottom w:val="single" w:sz="6" w:space="0" w:color="FFFFFF"/>
              <w:right w:val="single" w:sz="6" w:space="0" w:color="FFFFFF"/>
            </w:tcBorders>
            <w:vAlign w:val="center"/>
          </w:tcPr>
          <w:p w:rsidR="00E10CAF" w:rsidRPr="008F0922" w:rsidRDefault="00E10CAF" w:rsidP="00BD6F3E">
            <w:r w:rsidRPr="008F0922">
              <w:t>70648269</w:t>
            </w:r>
          </w:p>
        </w:tc>
        <w:tc>
          <w:tcPr>
            <w:tcW w:w="1592" w:type="dxa"/>
            <w:tcBorders>
              <w:top w:val="single" w:sz="7" w:space="0" w:color="000000"/>
              <w:left w:val="single" w:sz="7" w:space="0" w:color="000000"/>
              <w:bottom w:val="single" w:sz="6" w:space="0" w:color="FFFFFF"/>
              <w:right w:val="single" w:sz="7" w:space="0" w:color="000000"/>
            </w:tcBorders>
            <w:vAlign w:val="center"/>
          </w:tcPr>
          <w:p w:rsidR="00E10CAF" w:rsidRPr="008F0922" w:rsidRDefault="00E10CAF" w:rsidP="00BD6F3E">
            <w:pPr>
              <w:spacing w:line="14" w:lineRule="exact"/>
              <w:jc w:val="center"/>
            </w:pPr>
          </w:p>
          <w:p w:rsidR="00E10CAF" w:rsidRPr="008F0922" w:rsidRDefault="00E10CAF"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pPr>
            <w:r w:rsidRPr="008F0922">
              <w:t>3.34E-08</w:t>
            </w:r>
          </w:p>
        </w:tc>
        <w:tc>
          <w:tcPr>
            <w:tcW w:w="1592" w:type="dxa"/>
            <w:tcBorders>
              <w:top w:val="single" w:sz="7" w:space="0" w:color="000000"/>
              <w:left w:val="single" w:sz="7" w:space="0" w:color="000000"/>
              <w:bottom w:val="single" w:sz="6" w:space="0" w:color="FFFFFF"/>
              <w:right w:val="single" w:sz="7" w:space="0" w:color="000000"/>
            </w:tcBorders>
            <w:vAlign w:val="center"/>
          </w:tcPr>
          <w:p w:rsidR="00E10CAF" w:rsidRPr="008F0922" w:rsidRDefault="00E10CAF" w:rsidP="00BD6F3E">
            <w:pPr>
              <w:spacing w:line="14" w:lineRule="exact"/>
              <w:jc w:val="center"/>
            </w:pPr>
          </w:p>
          <w:p w:rsidR="00E10CAF" w:rsidRPr="008F0922" w:rsidRDefault="00E10CAF"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pPr>
            <w:r w:rsidRPr="008F0922">
              <w:t xml:space="preserve">Reference </w:t>
            </w:r>
            <w:r w:rsidR="00A70625" w:rsidRPr="008F0922">
              <w:t>17</w:t>
            </w:r>
          </w:p>
        </w:tc>
      </w:tr>
      <w:tr w:rsidR="00E10CAF" w:rsidRPr="008F0922" w:rsidTr="00BD6F3E">
        <w:tc>
          <w:tcPr>
            <w:tcW w:w="2026" w:type="dxa"/>
            <w:tcBorders>
              <w:top w:val="single" w:sz="7" w:space="0" w:color="000000"/>
              <w:left w:val="single" w:sz="7" w:space="0" w:color="000000"/>
              <w:bottom w:val="single" w:sz="6" w:space="0" w:color="FFFFFF"/>
              <w:right w:val="single" w:sz="6" w:space="0" w:color="FFFFFF"/>
            </w:tcBorders>
            <w:vAlign w:val="center"/>
          </w:tcPr>
          <w:p w:rsidR="00E10CAF" w:rsidRPr="008F0922" w:rsidRDefault="00E10CAF" w:rsidP="00BD6F3E">
            <w:pPr>
              <w:spacing w:line="14" w:lineRule="exact"/>
            </w:pPr>
          </w:p>
          <w:p w:rsidR="00E10CAF" w:rsidRPr="008F0922" w:rsidRDefault="00E10CAF"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pPr>
            <w:r w:rsidRPr="008F0922">
              <w:t>1,2,3,6,7,8-HxCDD</w:t>
            </w:r>
          </w:p>
        </w:tc>
        <w:tc>
          <w:tcPr>
            <w:tcW w:w="1562" w:type="dxa"/>
            <w:tcBorders>
              <w:top w:val="single" w:sz="7" w:space="0" w:color="000000"/>
              <w:left w:val="single" w:sz="7" w:space="0" w:color="000000"/>
              <w:bottom w:val="single" w:sz="6" w:space="0" w:color="FFFFFF"/>
              <w:right w:val="single" w:sz="6" w:space="0" w:color="FFFFFF"/>
            </w:tcBorders>
            <w:vAlign w:val="center"/>
          </w:tcPr>
          <w:p w:rsidR="00E10CAF" w:rsidRPr="008F0922" w:rsidRDefault="00E10CAF" w:rsidP="00BD6F3E">
            <w:r w:rsidRPr="008F0922">
              <w:t>57653857</w:t>
            </w:r>
          </w:p>
        </w:tc>
        <w:tc>
          <w:tcPr>
            <w:tcW w:w="1592" w:type="dxa"/>
            <w:tcBorders>
              <w:top w:val="single" w:sz="7" w:space="0" w:color="000000"/>
              <w:left w:val="single" w:sz="7" w:space="0" w:color="000000"/>
              <w:bottom w:val="single" w:sz="6" w:space="0" w:color="FFFFFF"/>
              <w:right w:val="single" w:sz="7" w:space="0" w:color="000000"/>
            </w:tcBorders>
            <w:vAlign w:val="center"/>
          </w:tcPr>
          <w:p w:rsidR="00E10CAF" w:rsidRPr="008F0922" w:rsidRDefault="00E10CAF" w:rsidP="00BD6F3E">
            <w:pPr>
              <w:spacing w:line="14" w:lineRule="exact"/>
              <w:jc w:val="center"/>
            </w:pPr>
          </w:p>
          <w:p w:rsidR="00E10CAF" w:rsidRPr="008F0922" w:rsidRDefault="00E10CAF"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pPr>
            <w:r w:rsidRPr="008F0922">
              <w:t>2.14E-08</w:t>
            </w:r>
          </w:p>
        </w:tc>
        <w:tc>
          <w:tcPr>
            <w:tcW w:w="1592" w:type="dxa"/>
            <w:tcBorders>
              <w:top w:val="single" w:sz="7" w:space="0" w:color="000000"/>
              <w:left w:val="single" w:sz="7" w:space="0" w:color="000000"/>
              <w:bottom w:val="single" w:sz="6" w:space="0" w:color="FFFFFF"/>
              <w:right w:val="single" w:sz="7" w:space="0" w:color="000000"/>
            </w:tcBorders>
            <w:vAlign w:val="center"/>
          </w:tcPr>
          <w:p w:rsidR="00E10CAF" w:rsidRPr="008F0922" w:rsidRDefault="00E10CAF" w:rsidP="00BD6F3E">
            <w:pPr>
              <w:spacing w:line="14" w:lineRule="exact"/>
              <w:jc w:val="center"/>
            </w:pPr>
          </w:p>
          <w:p w:rsidR="00E10CAF" w:rsidRPr="008F0922" w:rsidRDefault="00E10CAF"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pPr>
            <w:r w:rsidRPr="008F0922">
              <w:t xml:space="preserve">Reference </w:t>
            </w:r>
            <w:r w:rsidR="00A70625" w:rsidRPr="008F0922">
              <w:t>17</w:t>
            </w:r>
          </w:p>
        </w:tc>
      </w:tr>
      <w:tr w:rsidR="00E10CAF" w:rsidRPr="008F0922" w:rsidTr="00BD6F3E">
        <w:tc>
          <w:tcPr>
            <w:tcW w:w="2026" w:type="dxa"/>
            <w:tcBorders>
              <w:top w:val="single" w:sz="7" w:space="0" w:color="000000"/>
              <w:left w:val="single" w:sz="7" w:space="0" w:color="000000"/>
              <w:bottom w:val="single" w:sz="6" w:space="0" w:color="FFFFFF"/>
              <w:right w:val="single" w:sz="6" w:space="0" w:color="FFFFFF"/>
            </w:tcBorders>
            <w:vAlign w:val="center"/>
          </w:tcPr>
          <w:p w:rsidR="00E10CAF" w:rsidRPr="008F0922" w:rsidRDefault="00E10CAF" w:rsidP="00BD6F3E">
            <w:pPr>
              <w:spacing w:line="14" w:lineRule="exact"/>
            </w:pPr>
          </w:p>
          <w:p w:rsidR="00E10CAF" w:rsidRPr="008F0922" w:rsidRDefault="00E10CAF"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pPr>
            <w:r w:rsidRPr="008F0922">
              <w:t>1,2,3,6,7,8-HxCDF</w:t>
            </w:r>
          </w:p>
        </w:tc>
        <w:tc>
          <w:tcPr>
            <w:tcW w:w="1562" w:type="dxa"/>
            <w:tcBorders>
              <w:top w:val="single" w:sz="7" w:space="0" w:color="000000"/>
              <w:left w:val="single" w:sz="7" w:space="0" w:color="000000"/>
              <w:bottom w:val="single" w:sz="6" w:space="0" w:color="FFFFFF"/>
              <w:right w:val="single" w:sz="6" w:space="0" w:color="FFFFFF"/>
            </w:tcBorders>
            <w:vAlign w:val="center"/>
          </w:tcPr>
          <w:p w:rsidR="00E10CAF" w:rsidRPr="008F0922" w:rsidRDefault="00E10CAF" w:rsidP="00BD6F3E">
            <w:r w:rsidRPr="008F0922">
              <w:t>57117449</w:t>
            </w:r>
          </w:p>
        </w:tc>
        <w:tc>
          <w:tcPr>
            <w:tcW w:w="1592" w:type="dxa"/>
            <w:tcBorders>
              <w:top w:val="single" w:sz="7" w:space="0" w:color="000000"/>
              <w:left w:val="single" w:sz="7" w:space="0" w:color="000000"/>
              <w:bottom w:val="single" w:sz="6" w:space="0" w:color="FFFFFF"/>
              <w:right w:val="single" w:sz="7" w:space="0" w:color="000000"/>
            </w:tcBorders>
            <w:vAlign w:val="center"/>
          </w:tcPr>
          <w:p w:rsidR="00E10CAF" w:rsidRPr="008F0922" w:rsidRDefault="00E10CAF" w:rsidP="00BD6F3E">
            <w:pPr>
              <w:spacing w:line="14" w:lineRule="exact"/>
              <w:jc w:val="center"/>
            </w:pPr>
          </w:p>
          <w:p w:rsidR="00E10CAF" w:rsidRPr="008F0922" w:rsidRDefault="00E10CAF"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pPr>
            <w:r w:rsidRPr="008F0922">
              <w:t>1.43E-08</w:t>
            </w:r>
          </w:p>
        </w:tc>
        <w:tc>
          <w:tcPr>
            <w:tcW w:w="1592" w:type="dxa"/>
            <w:tcBorders>
              <w:top w:val="single" w:sz="7" w:space="0" w:color="000000"/>
              <w:left w:val="single" w:sz="7" w:space="0" w:color="000000"/>
              <w:bottom w:val="single" w:sz="6" w:space="0" w:color="FFFFFF"/>
              <w:right w:val="single" w:sz="7" w:space="0" w:color="000000"/>
            </w:tcBorders>
            <w:vAlign w:val="center"/>
          </w:tcPr>
          <w:p w:rsidR="00E10CAF" w:rsidRPr="008F0922" w:rsidRDefault="00E10CAF" w:rsidP="00BD6F3E">
            <w:pPr>
              <w:spacing w:line="14" w:lineRule="exact"/>
              <w:jc w:val="center"/>
            </w:pPr>
          </w:p>
          <w:p w:rsidR="00E10CAF" w:rsidRPr="008F0922" w:rsidRDefault="00E10CAF"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pPr>
            <w:r w:rsidRPr="008F0922">
              <w:t xml:space="preserve">Reference </w:t>
            </w:r>
            <w:r w:rsidR="00A70625" w:rsidRPr="008F0922">
              <w:t>17</w:t>
            </w:r>
          </w:p>
        </w:tc>
      </w:tr>
      <w:tr w:rsidR="00E10CAF" w:rsidRPr="008F0922" w:rsidTr="00BD6F3E">
        <w:tc>
          <w:tcPr>
            <w:tcW w:w="2026" w:type="dxa"/>
            <w:tcBorders>
              <w:top w:val="single" w:sz="7" w:space="0" w:color="000000"/>
              <w:left w:val="single" w:sz="7" w:space="0" w:color="000000"/>
              <w:bottom w:val="single" w:sz="6" w:space="0" w:color="FFFFFF"/>
              <w:right w:val="single" w:sz="6" w:space="0" w:color="FFFFFF"/>
            </w:tcBorders>
            <w:vAlign w:val="center"/>
          </w:tcPr>
          <w:p w:rsidR="00E10CAF" w:rsidRPr="008F0922" w:rsidRDefault="00E10CAF" w:rsidP="00BD6F3E">
            <w:pPr>
              <w:spacing w:line="14" w:lineRule="exact"/>
            </w:pPr>
          </w:p>
          <w:p w:rsidR="00E10CAF" w:rsidRPr="008F0922" w:rsidRDefault="00E10CAF"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pPr>
            <w:r w:rsidRPr="008F0922">
              <w:t>1,2,3,7,8,9-HxCDD</w:t>
            </w:r>
          </w:p>
        </w:tc>
        <w:tc>
          <w:tcPr>
            <w:tcW w:w="1562" w:type="dxa"/>
            <w:tcBorders>
              <w:top w:val="single" w:sz="7" w:space="0" w:color="000000"/>
              <w:left w:val="single" w:sz="7" w:space="0" w:color="000000"/>
              <w:bottom w:val="single" w:sz="6" w:space="0" w:color="FFFFFF"/>
              <w:right w:val="single" w:sz="6" w:space="0" w:color="FFFFFF"/>
            </w:tcBorders>
            <w:vAlign w:val="center"/>
          </w:tcPr>
          <w:p w:rsidR="00E10CAF" w:rsidRPr="008F0922" w:rsidRDefault="00E10CAF" w:rsidP="00BD6F3E">
            <w:r w:rsidRPr="008F0922">
              <w:t>19408743</w:t>
            </w:r>
          </w:p>
        </w:tc>
        <w:tc>
          <w:tcPr>
            <w:tcW w:w="1592" w:type="dxa"/>
            <w:tcBorders>
              <w:top w:val="single" w:sz="7" w:space="0" w:color="000000"/>
              <w:left w:val="single" w:sz="7" w:space="0" w:color="000000"/>
              <w:bottom w:val="single" w:sz="6" w:space="0" w:color="FFFFFF"/>
              <w:right w:val="single" w:sz="7" w:space="0" w:color="000000"/>
            </w:tcBorders>
            <w:vAlign w:val="center"/>
          </w:tcPr>
          <w:p w:rsidR="00E10CAF" w:rsidRPr="008F0922" w:rsidRDefault="00E10CAF" w:rsidP="00BD6F3E">
            <w:pPr>
              <w:spacing w:line="14" w:lineRule="exact"/>
              <w:jc w:val="center"/>
            </w:pPr>
          </w:p>
          <w:p w:rsidR="00E10CAF" w:rsidRPr="008F0922" w:rsidRDefault="00E10CAF"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pPr>
            <w:r w:rsidRPr="008F0922">
              <w:t>3.47E-08</w:t>
            </w:r>
          </w:p>
        </w:tc>
        <w:tc>
          <w:tcPr>
            <w:tcW w:w="1592" w:type="dxa"/>
            <w:tcBorders>
              <w:top w:val="single" w:sz="7" w:space="0" w:color="000000"/>
              <w:left w:val="single" w:sz="7" w:space="0" w:color="000000"/>
              <w:bottom w:val="single" w:sz="6" w:space="0" w:color="FFFFFF"/>
              <w:right w:val="single" w:sz="7" w:space="0" w:color="000000"/>
            </w:tcBorders>
            <w:vAlign w:val="center"/>
          </w:tcPr>
          <w:p w:rsidR="00E10CAF" w:rsidRPr="008F0922" w:rsidRDefault="00E10CAF" w:rsidP="00BD6F3E">
            <w:pPr>
              <w:spacing w:line="14" w:lineRule="exact"/>
              <w:jc w:val="center"/>
            </w:pPr>
          </w:p>
          <w:p w:rsidR="00E10CAF" w:rsidRPr="008F0922" w:rsidRDefault="00E10CAF"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pPr>
            <w:r w:rsidRPr="008F0922">
              <w:t xml:space="preserve">Reference </w:t>
            </w:r>
            <w:r w:rsidR="00A70625" w:rsidRPr="008F0922">
              <w:t>17</w:t>
            </w:r>
          </w:p>
        </w:tc>
      </w:tr>
      <w:tr w:rsidR="00E10CAF" w:rsidRPr="008F0922" w:rsidTr="00BD6F3E">
        <w:tc>
          <w:tcPr>
            <w:tcW w:w="2026" w:type="dxa"/>
            <w:tcBorders>
              <w:top w:val="single" w:sz="7" w:space="0" w:color="000000"/>
              <w:left w:val="single" w:sz="7" w:space="0" w:color="000000"/>
              <w:bottom w:val="single" w:sz="6" w:space="0" w:color="FFFFFF"/>
              <w:right w:val="single" w:sz="6" w:space="0" w:color="FFFFFF"/>
            </w:tcBorders>
            <w:vAlign w:val="center"/>
          </w:tcPr>
          <w:p w:rsidR="00E10CAF" w:rsidRPr="008F0922" w:rsidRDefault="00E10CAF" w:rsidP="00BD6F3E">
            <w:pPr>
              <w:spacing w:line="14" w:lineRule="exact"/>
            </w:pPr>
          </w:p>
          <w:p w:rsidR="00E10CAF" w:rsidRPr="008F0922" w:rsidRDefault="00E10CAF"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pPr>
            <w:r w:rsidRPr="008F0922">
              <w:t>1,2,3,7,8,9-HxCDF</w:t>
            </w:r>
          </w:p>
        </w:tc>
        <w:tc>
          <w:tcPr>
            <w:tcW w:w="1562" w:type="dxa"/>
            <w:tcBorders>
              <w:top w:val="single" w:sz="7" w:space="0" w:color="000000"/>
              <w:left w:val="single" w:sz="7" w:space="0" w:color="000000"/>
              <w:bottom w:val="single" w:sz="6" w:space="0" w:color="FFFFFF"/>
              <w:right w:val="single" w:sz="6" w:space="0" w:color="FFFFFF"/>
            </w:tcBorders>
            <w:vAlign w:val="center"/>
          </w:tcPr>
          <w:p w:rsidR="00E10CAF" w:rsidRPr="008F0922" w:rsidRDefault="00E10CAF" w:rsidP="00BD6F3E">
            <w:r w:rsidRPr="008F0922">
              <w:t>72918219</w:t>
            </w:r>
          </w:p>
        </w:tc>
        <w:tc>
          <w:tcPr>
            <w:tcW w:w="1592" w:type="dxa"/>
            <w:tcBorders>
              <w:top w:val="single" w:sz="7" w:space="0" w:color="000000"/>
              <w:left w:val="single" w:sz="7" w:space="0" w:color="000000"/>
              <w:bottom w:val="single" w:sz="6" w:space="0" w:color="FFFFFF"/>
              <w:right w:val="single" w:sz="7" w:space="0" w:color="000000"/>
            </w:tcBorders>
            <w:vAlign w:val="center"/>
          </w:tcPr>
          <w:p w:rsidR="00E10CAF" w:rsidRPr="008F0922" w:rsidRDefault="00E10CAF" w:rsidP="00BD6F3E">
            <w:pPr>
              <w:spacing w:line="14" w:lineRule="exact"/>
              <w:jc w:val="center"/>
            </w:pPr>
          </w:p>
          <w:p w:rsidR="00E10CAF" w:rsidRPr="008F0922" w:rsidRDefault="00E10CAF"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pPr>
            <w:r w:rsidRPr="008F0922">
              <w:t>2.23E-09</w:t>
            </w:r>
          </w:p>
        </w:tc>
        <w:tc>
          <w:tcPr>
            <w:tcW w:w="1592" w:type="dxa"/>
            <w:tcBorders>
              <w:top w:val="single" w:sz="7" w:space="0" w:color="000000"/>
              <w:left w:val="single" w:sz="7" w:space="0" w:color="000000"/>
              <w:bottom w:val="single" w:sz="6" w:space="0" w:color="FFFFFF"/>
              <w:right w:val="single" w:sz="7" w:space="0" w:color="000000"/>
            </w:tcBorders>
            <w:vAlign w:val="center"/>
          </w:tcPr>
          <w:p w:rsidR="00E10CAF" w:rsidRPr="008F0922" w:rsidRDefault="00E10CAF" w:rsidP="00BD6F3E">
            <w:pPr>
              <w:spacing w:line="14" w:lineRule="exact"/>
              <w:jc w:val="center"/>
            </w:pPr>
          </w:p>
          <w:p w:rsidR="00E10CAF" w:rsidRPr="008F0922" w:rsidRDefault="00E10CAF"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pPr>
            <w:r w:rsidRPr="008F0922">
              <w:t xml:space="preserve">Reference </w:t>
            </w:r>
            <w:r w:rsidR="00A70625" w:rsidRPr="008F0922">
              <w:t>17</w:t>
            </w:r>
          </w:p>
        </w:tc>
      </w:tr>
      <w:tr w:rsidR="00E10CAF" w:rsidRPr="008F0922" w:rsidTr="00BD6F3E">
        <w:tc>
          <w:tcPr>
            <w:tcW w:w="2026" w:type="dxa"/>
            <w:tcBorders>
              <w:top w:val="single" w:sz="7" w:space="0" w:color="000000"/>
              <w:left w:val="single" w:sz="7" w:space="0" w:color="000000"/>
              <w:bottom w:val="single" w:sz="6" w:space="0" w:color="FFFFFF"/>
              <w:right w:val="single" w:sz="6" w:space="0" w:color="FFFFFF"/>
            </w:tcBorders>
            <w:vAlign w:val="center"/>
          </w:tcPr>
          <w:p w:rsidR="00E10CAF" w:rsidRPr="008F0922" w:rsidRDefault="00E10CAF" w:rsidP="00BD6F3E">
            <w:pPr>
              <w:spacing w:line="14" w:lineRule="exact"/>
            </w:pPr>
          </w:p>
          <w:p w:rsidR="00E10CAF" w:rsidRPr="008F0922" w:rsidRDefault="00E10CAF"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pPr>
            <w:r w:rsidRPr="008F0922">
              <w:t>1,2,3,7,8-PeCDD</w:t>
            </w:r>
          </w:p>
        </w:tc>
        <w:tc>
          <w:tcPr>
            <w:tcW w:w="1562" w:type="dxa"/>
            <w:tcBorders>
              <w:top w:val="single" w:sz="7" w:space="0" w:color="000000"/>
              <w:left w:val="single" w:sz="7" w:space="0" w:color="000000"/>
              <w:bottom w:val="single" w:sz="6" w:space="0" w:color="FFFFFF"/>
              <w:right w:val="single" w:sz="6" w:space="0" w:color="FFFFFF"/>
            </w:tcBorders>
            <w:vAlign w:val="center"/>
          </w:tcPr>
          <w:p w:rsidR="00E10CAF" w:rsidRPr="008F0922" w:rsidRDefault="00E10CAF" w:rsidP="00BD6F3E">
            <w:r w:rsidRPr="008F0922">
              <w:t>40321764</w:t>
            </w:r>
          </w:p>
        </w:tc>
        <w:tc>
          <w:tcPr>
            <w:tcW w:w="1592" w:type="dxa"/>
            <w:tcBorders>
              <w:top w:val="single" w:sz="7" w:space="0" w:color="000000"/>
              <w:left w:val="single" w:sz="7" w:space="0" w:color="000000"/>
              <w:bottom w:val="single" w:sz="6" w:space="0" w:color="FFFFFF"/>
              <w:right w:val="single" w:sz="7" w:space="0" w:color="000000"/>
            </w:tcBorders>
            <w:vAlign w:val="center"/>
          </w:tcPr>
          <w:p w:rsidR="00E10CAF" w:rsidRPr="008F0922" w:rsidRDefault="00E10CAF" w:rsidP="00BD6F3E">
            <w:pPr>
              <w:spacing w:line="14" w:lineRule="exact"/>
              <w:jc w:val="center"/>
            </w:pPr>
          </w:p>
          <w:p w:rsidR="00E10CAF" w:rsidRPr="008F0922" w:rsidRDefault="00E10CAF"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pPr>
            <w:r w:rsidRPr="008F0922">
              <w:t>7.66E-09</w:t>
            </w:r>
          </w:p>
        </w:tc>
        <w:tc>
          <w:tcPr>
            <w:tcW w:w="1592" w:type="dxa"/>
            <w:tcBorders>
              <w:top w:val="single" w:sz="7" w:space="0" w:color="000000"/>
              <w:left w:val="single" w:sz="7" w:space="0" w:color="000000"/>
              <w:bottom w:val="single" w:sz="6" w:space="0" w:color="FFFFFF"/>
              <w:right w:val="single" w:sz="7" w:space="0" w:color="000000"/>
            </w:tcBorders>
            <w:vAlign w:val="center"/>
          </w:tcPr>
          <w:p w:rsidR="00E10CAF" w:rsidRPr="008F0922" w:rsidRDefault="00E10CAF" w:rsidP="00BD6F3E">
            <w:pPr>
              <w:spacing w:line="14" w:lineRule="exact"/>
              <w:jc w:val="center"/>
            </w:pPr>
          </w:p>
          <w:p w:rsidR="00E10CAF" w:rsidRPr="008F0922" w:rsidRDefault="00E10CAF"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pPr>
            <w:r w:rsidRPr="008F0922">
              <w:t xml:space="preserve">Reference </w:t>
            </w:r>
            <w:r w:rsidR="00A70625" w:rsidRPr="008F0922">
              <w:t>17</w:t>
            </w:r>
          </w:p>
        </w:tc>
      </w:tr>
      <w:tr w:rsidR="00E10CAF" w:rsidRPr="008F0922" w:rsidTr="00BD6F3E">
        <w:tc>
          <w:tcPr>
            <w:tcW w:w="2026" w:type="dxa"/>
            <w:tcBorders>
              <w:top w:val="single" w:sz="7" w:space="0" w:color="000000"/>
              <w:left w:val="single" w:sz="7" w:space="0" w:color="000000"/>
              <w:bottom w:val="single" w:sz="6" w:space="0" w:color="FFFFFF"/>
              <w:right w:val="single" w:sz="6" w:space="0" w:color="FFFFFF"/>
            </w:tcBorders>
            <w:vAlign w:val="center"/>
          </w:tcPr>
          <w:p w:rsidR="00E10CAF" w:rsidRPr="008F0922" w:rsidRDefault="00E10CAF" w:rsidP="00BD6F3E">
            <w:pPr>
              <w:spacing w:line="14" w:lineRule="exact"/>
            </w:pPr>
          </w:p>
          <w:p w:rsidR="00E10CAF" w:rsidRPr="008F0922" w:rsidRDefault="00E10CAF"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pPr>
            <w:r w:rsidRPr="008F0922">
              <w:t>1,2,3,7,8-PeCDF</w:t>
            </w:r>
          </w:p>
        </w:tc>
        <w:tc>
          <w:tcPr>
            <w:tcW w:w="1562" w:type="dxa"/>
            <w:tcBorders>
              <w:top w:val="single" w:sz="7" w:space="0" w:color="000000"/>
              <w:left w:val="single" w:sz="7" w:space="0" w:color="000000"/>
              <w:bottom w:val="single" w:sz="6" w:space="0" w:color="FFFFFF"/>
              <w:right w:val="single" w:sz="6" w:space="0" w:color="FFFFFF"/>
            </w:tcBorders>
            <w:vAlign w:val="center"/>
          </w:tcPr>
          <w:p w:rsidR="00E10CAF" w:rsidRPr="008F0922" w:rsidRDefault="00E10CAF" w:rsidP="00BD6F3E">
            <w:r w:rsidRPr="008F0922">
              <w:t>57117416</w:t>
            </w:r>
          </w:p>
        </w:tc>
        <w:tc>
          <w:tcPr>
            <w:tcW w:w="1592" w:type="dxa"/>
            <w:tcBorders>
              <w:top w:val="single" w:sz="7" w:space="0" w:color="000000"/>
              <w:left w:val="single" w:sz="7" w:space="0" w:color="000000"/>
              <w:bottom w:val="single" w:sz="6" w:space="0" w:color="FFFFFF"/>
              <w:right w:val="single" w:sz="7" w:space="0" w:color="000000"/>
            </w:tcBorders>
            <w:vAlign w:val="center"/>
          </w:tcPr>
          <w:p w:rsidR="00E10CAF" w:rsidRPr="008F0922" w:rsidRDefault="00E10CAF" w:rsidP="00BD6F3E">
            <w:pPr>
              <w:spacing w:line="14" w:lineRule="exact"/>
              <w:jc w:val="center"/>
            </w:pPr>
          </w:p>
          <w:p w:rsidR="00E10CAF" w:rsidRPr="008F0922" w:rsidRDefault="00E10CAF"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pPr>
            <w:r w:rsidRPr="008F0922">
              <w:t>1.27E-08</w:t>
            </w:r>
          </w:p>
        </w:tc>
        <w:tc>
          <w:tcPr>
            <w:tcW w:w="1592" w:type="dxa"/>
            <w:tcBorders>
              <w:top w:val="single" w:sz="7" w:space="0" w:color="000000"/>
              <w:left w:val="single" w:sz="7" w:space="0" w:color="000000"/>
              <w:bottom w:val="single" w:sz="6" w:space="0" w:color="FFFFFF"/>
              <w:right w:val="single" w:sz="7" w:space="0" w:color="000000"/>
            </w:tcBorders>
            <w:vAlign w:val="center"/>
          </w:tcPr>
          <w:p w:rsidR="00E10CAF" w:rsidRPr="008F0922" w:rsidRDefault="00E10CAF" w:rsidP="00BD6F3E">
            <w:pPr>
              <w:spacing w:line="14" w:lineRule="exact"/>
              <w:jc w:val="center"/>
            </w:pPr>
          </w:p>
          <w:p w:rsidR="00E10CAF" w:rsidRPr="008F0922" w:rsidRDefault="00E10CAF"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pPr>
            <w:r w:rsidRPr="008F0922">
              <w:t xml:space="preserve">Reference </w:t>
            </w:r>
            <w:r w:rsidR="00A70625" w:rsidRPr="008F0922">
              <w:t>17</w:t>
            </w:r>
          </w:p>
        </w:tc>
      </w:tr>
      <w:tr w:rsidR="00E10CAF" w:rsidRPr="008F0922" w:rsidTr="00BD6F3E">
        <w:tc>
          <w:tcPr>
            <w:tcW w:w="2026" w:type="dxa"/>
            <w:tcBorders>
              <w:top w:val="single" w:sz="7" w:space="0" w:color="000000"/>
              <w:left w:val="single" w:sz="7" w:space="0" w:color="000000"/>
              <w:bottom w:val="single" w:sz="6" w:space="0" w:color="FFFFFF"/>
              <w:right w:val="single" w:sz="6" w:space="0" w:color="FFFFFF"/>
            </w:tcBorders>
            <w:vAlign w:val="center"/>
          </w:tcPr>
          <w:p w:rsidR="00E10CAF" w:rsidRPr="008F0922" w:rsidRDefault="00E10CAF" w:rsidP="00BD6F3E">
            <w:pPr>
              <w:spacing w:line="14" w:lineRule="exact"/>
            </w:pPr>
          </w:p>
          <w:p w:rsidR="00E10CAF" w:rsidRPr="008F0922" w:rsidRDefault="00E10CAF"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pPr>
            <w:r w:rsidRPr="008F0922">
              <w:t>2,3,4,6,7,8-HxCDF</w:t>
            </w:r>
          </w:p>
        </w:tc>
        <w:tc>
          <w:tcPr>
            <w:tcW w:w="1562" w:type="dxa"/>
            <w:tcBorders>
              <w:top w:val="single" w:sz="7" w:space="0" w:color="000000"/>
              <w:left w:val="single" w:sz="7" w:space="0" w:color="000000"/>
              <w:bottom w:val="single" w:sz="6" w:space="0" w:color="FFFFFF"/>
              <w:right w:val="single" w:sz="6" w:space="0" w:color="FFFFFF"/>
            </w:tcBorders>
            <w:vAlign w:val="center"/>
          </w:tcPr>
          <w:p w:rsidR="00E10CAF" w:rsidRPr="008F0922" w:rsidRDefault="00E10CAF" w:rsidP="00BD6F3E">
            <w:r w:rsidRPr="008F0922">
              <w:t>60851345</w:t>
            </w:r>
          </w:p>
        </w:tc>
        <w:tc>
          <w:tcPr>
            <w:tcW w:w="1592" w:type="dxa"/>
            <w:tcBorders>
              <w:top w:val="single" w:sz="7" w:space="0" w:color="000000"/>
              <w:left w:val="single" w:sz="7" w:space="0" w:color="000000"/>
              <w:bottom w:val="single" w:sz="6" w:space="0" w:color="FFFFFF"/>
              <w:right w:val="single" w:sz="7" w:space="0" w:color="000000"/>
            </w:tcBorders>
            <w:vAlign w:val="center"/>
          </w:tcPr>
          <w:p w:rsidR="00E10CAF" w:rsidRPr="008F0922" w:rsidRDefault="00E10CAF" w:rsidP="00BD6F3E">
            <w:pPr>
              <w:spacing w:line="14" w:lineRule="exact"/>
              <w:jc w:val="center"/>
            </w:pPr>
          </w:p>
          <w:p w:rsidR="00E10CAF" w:rsidRPr="008F0922" w:rsidRDefault="00E10CAF"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pPr>
            <w:r w:rsidRPr="008F0922">
              <w:t>1.96E-08</w:t>
            </w:r>
          </w:p>
        </w:tc>
        <w:tc>
          <w:tcPr>
            <w:tcW w:w="1592" w:type="dxa"/>
            <w:tcBorders>
              <w:top w:val="single" w:sz="7" w:space="0" w:color="000000"/>
              <w:left w:val="single" w:sz="7" w:space="0" w:color="000000"/>
              <w:bottom w:val="single" w:sz="6" w:space="0" w:color="FFFFFF"/>
              <w:right w:val="single" w:sz="7" w:space="0" w:color="000000"/>
            </w:tcBorders>
            <w:vAlign w:val="center"/>
          </w:tcPr>
          <w:p w:rsidR="00E10CAF" w:rsidRPr="008F0922" w:rsidRDefault="00E10CAF" w:rsidP="00BD6F3E">
            <w:pPr>
              <w:spacing w:line="14" w:lineRule="exact"/>
              <w:jc w:val="center"/>
            </w:pPr>
          </w:p>
          <w:p w:rsidR="00E10CAF" w:rsidRPr="008F0922" w:rsidRDefault="00E10CAF"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pPr>
            <w:r w:rsidRPr="008F0922">
              <w:t xml:space="preserve">Reference </w:t>
            </w:r>
            <w:r w:rsidR="00A70625" w:rsidRPr="008F0922">
              <w:t>17</w:t>
            </w:r>
          </w:p>
        </w:tc>
      </w:tr>
      <w:tr w:rsidR="00E10CAF" w:rsidRPr="008F0922" w:rsidTr="00BD6F3E">
        <w:tc>
          <w:tcPr>
            <w:tcW w:w="2026" w:type="dxa"/>
            <w:tcBorders>
              <w:top w:val="single" w:sz="7" w:space="0" w:color="000000"/>
              <w:left w:val="single" w:sz="7" w:space="0" w:color="000000"/>
              <w:bottom w:val="single" w:sz="6" w:space="0" w:color="FFFFFF"/>
              <w:right w:val="single" w:sz="6" w:space="0" w:color="FFFFFF"/>
            </w:tcBorders>
            <w:vAlign w:val="center"/>
          </w:tcPr>
          <w:p w:rsidR="00E10CAF" w:rsidRPr="008F0922" w:rsidRDefault="00E10CAF" w:rsidP="00BD6F3E">
            <w:pPr>
              <w:spacing w:line="14" w:lineRule="exact"/>
            </w:pPr>
          </w:p>
          <w:p w:rsidR="00E10CAF" w:rsidRPr="008F0922" w:rsidRDefault="00E10CAF"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pPr>
            <w:r w:rsidRPr="008F0922">
              <w:t>2,3,4,7,8-PeCDF</w:t>
            </w:r>
          </w:p>
        </w:tc>
        <w:tc>
          <w:tcPr>
            <w:tcW w:w="1562" w:type="dxa"/>
            <w:tcBorders>
              <w:top w:val="single" w:sz="7" w:space="0" w:color="000000"/>
              <w:left w:val="single" w:sz="7" w:space="0" w:color="000000"/>
              <w:bottom w:val="single" w:sz="6" w:space="0" w:color="FFFFFF"/>
              <w:right w:val="single" w:sz="6" w:space="0" w:color="FFFFFF"/>
            </w:tcBorders>
            <w:vAlign w:val="center"/>
          </w:tcPr>
          <w:p w:rsidR="00E10CAF" w:rsidRPr="008F0922" w:rsidRDefault="00E10CAF" w:rsidP="00BD6F3E">
            <w:r w:rsidRPr="008F0922">
              <w:t>57117314</w:t>
            </w:r>
          </w:p>
        </w:tc>
        <w:tc>
          <w:tcPr>
            <w:tcW w:w="1592" w:type="dxa"/>
            <w:tcBorders>
              <w:top w:val="single" w:sz="7" w:space="0" w:color="000000"/>
              <w:left w:val="single" w:sz="7" w:space="0" w:color="000000"/>
              <w:bottom w:val="single" w:sz="6" w:space="0" w:color="FFFFFF"/>
              <w:right w:val="single" w:sz="7" w:space="0" w:color="000000"/>
            </w:tcBorders>
            <w:vAlign w:val="center"/>
          </w:tcPr>
          <w:p w:rsidR="00E10CAF" w:rsidRPr="008F0922" w:rsidRDefault="00E10CAF" w:rsidP="00BD6F3E">
            <w:pPr>
              <w:spacing w:line="14" w:lineRule="exact"/>
              <w:jc w:val="center"/>
            </w:pPr>
          </w:p>
          <w:p w:rsidR="00E10CAF" w:rsidRPr="008F0922" w:rsidRDefault="00E10CAF"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pPr>
            <w:r w:rsidRPr="008F0922">
              <w:t>2.02E-08</w:t>
            </w:r>
          </w:p>
        </w:tc>
        <w:tc>
          <w:tcPr>
            <w:tcW w:w="1592" w:type="dxa"/>
            <w:tcBorders>
              <w:top w:val="single" w:sz="7" w:space="0" w:color="000000"/>
              <w:left w:val="single" w:sz="7" w:space="0" w:color="000000"/>
              <w:bottom w:val="single" w:sz="6" w:space="0" w:color="FFFFFF"/>
              <w:right w:val="single" w:sz="7" w:space="0" w:color="000000"/>
            </w:tcBorders>
            <w:vAlign w:val="center"/>
          </w:tcPr>
          <w:p w:rsidR="00E10CAF" w:rsidRPr="008F0922" w:rsidRDefault="00E10CAF" w:rsidP="00BD6F3E">
            <w:pPr>
              <w:spacing w:line="14" w:lineRule="exact"/>
              <w:jc w:val="center"/>
            </w:pPr>
          </w:p>
          <w:p w:rsidR="00E10CAF" w:rsidRPr="008F0922" w:rsidRDefault="00E10CAF"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pPr>
            <w:r w:rsidRPr="008F0922">
              <w:t xml:space="preserve">Reference </w:t>
            </w:r>
            <w:r w:rsidR="00A70625" w:rsidRPr="008F0922">
              <w:t>17</w:t>
            </w:r>
          </w:p>
        </w:tc>
      </w:tr>
      <w:tr w:rsidR="00E10CAF" w:rsidRPr="008F0922" w:rsidTr="00BD6F3E">
        <w:tc>
          <w:tcPr>
            <w:tcW w:w="2026" w:type="dxa"/>
            <w:tcBorders>
              <w:top w:val="single" w:sz="7" w:space="0" w:color="000000"/>
              <w:left w:val="single" w:sz="7" w:space="0" w:color="000000"/>
              <w:bottom w:val="single" w:sz="6" w:space="0" w:color="FFFFFF"/>
              <w:right w:val="single" w:sz="6" w:space="0" w:color="FFFFFF"/>
            </w:tcBorders>
            <w:vAlign w:val="center"/>
          </w:tcPr>
          <w:p w:rsidR="00E10CAF" w:rsidRPr="008F0922" w:rsidRDefault="00E10CAF" w:rsidP="00BD6F3E">
            <w:pPr>
              <w:spacing w:line="14" w:lineRule="exact"/>
            </w:pPr>
          </w:p>
          <w:p w:rsidR="00E10CAF" w:rsidRPr="008F0922" w:rsidRDefault="00E10CAF"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pPr>
            <w:r w:rsidRPr="008F0922">
              <w:t>2,3,7,8-TCDD</w:t>
            </w:r>
          </w:p>
        </w:tc>
        <w:tc>
          <w:tcPr>
            <w:tcW w:w="1562" w:type="dxa"/>
            <w:tcBorders>
              <w:top w:val="single" w:sz="7" w:space="0" w:color="000000"/>
              <w:left w:val="single" w:sz="7" w:space="0" w:color="000000"/>
              <w:bottom w:val="single" w:sz="6" w:space="0" w:color="FFFFFF"/>
              <w:right w:val="single" w:sz="6" w:space="0" w:color="FFFFFF"/>
            </w:tcBorders>
            <w:vAlign w:val="center"/>
          </w:tcPr>
          <w:p w:rsidR="00E10CAF" w:rsidRPr="008F0922" w:rsidRDefault="00E10CAF" w:rsidP="00BD6F3E">
            <w:r w:rsidRPr="008F0922">
              <w:t>1746016</w:t>
            </w:r>
          </w:p>
        </w:tc>
        <w:tc>
          <w:tcPr>
            <w:tcW w:w="1592" w:type="dxa"/>
            <w:tcBorders>
              <w:top w:val="single" w:sz="7" w:space="0" w:color="000000"/>
              <w:left w:val="single" w:sz="7" w:space="0" w:color="000000"/>
              <w:bottom w:val="single" w:sz="6" w:space="0" w:color="FFFFFF"/>
              <w:right w:val="single" w:sz="7" w:space="0" w:color="000000"/>
            </w:tcBorders>
            <w:vAlign w:val="center"/>
          </w:tcPr>
          <w:p w:rsidR="00E10CAF" w:rsidRPr="008F0922" w:rsidRDefault="00E10CAF" w:rsidP="00BD6F3E">
            <w:pPr>
              <w:spacing w:line="14" w:lineRule="exact"/>
              <w:jc w:val="center"/>
            </w:pPr>
          </w:p>
          <w:p w:rsidR="00E10CAF" w:rsidRPr="008F0922" w:rsidRDefault="00E10CAF"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pPr>
            <w:r w:rsidRPr="008F0922">
              <w:t>2.30E-09</w:t>
            </w:r>
          </w:p>
        </w:tc>
        <w:tc>
          <w:tcPr>
            <w:tcW w:w="1592" w:type="dxa"/>
            <w:tcBorders>
              <w:top w:val="single" w:sz="7" w:space="0" w:color="000000"/>
              <w:left w:val="single" w:sz="7" w:space="0" w:color="000000"/>
              <w:bottom w:val="single" w:sz="6" w:space="0" w:color="FFFFFF"/>
              <w:right w:val="single" w:sz="7" w:space="0" w:color="000000"/>
            </w:tcBorders>
            <w:vAlign w:val="center"/>
          </w:tcPr>
          <w:p w:rsidR="00E10CAF" w:rsidRPr="008F0922" w:rsidRDefault="00E10CAF" w:rsidP="00BD6F3E">
            <w:pPr>
              <w:spacing w:line="14" w:lineRule="exact"/>
              <w:jc w:val="center"/>
            </w:pPr>
          </w:p>
          <w:p w:rsidR="00E10CAF" w:rsidRPr="008F0922" w:rsidRDefault="00E10CAF"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pPr>
            <w:r w:rsidRPr="008F0922">
              <w:t xml:space="preserve">Reference </w:t>
            </w:r>
            <w:r w:rsidR="00A70625" w:rsidRPr="008F0922">
              <w:t>17</w:t>
            </w:r>
          </w:p>
        </w:tc>
      </w:tr>
      <w:tr w:rsidR="00E10CAF" w:rsidRPr="008F0922" w:rsidTr="00BD6F3E">
        <w:tc>
          <w:tcPr>
            <w:tcW w:w="2026" w:type="dxa"/>
            <w:tcBorders>
              <w:top w:val="single" w:sz="7" w:space="0" w:color="000000"/>
              <w:left w:val="single" w:sz="7" w:space="0" w:color="000000"/>
              <w:bottom w:val="single" w:sz="6" w:space="0" w:color="FFFFFF"/>
              <w:right w:val="single" w:sz="6" w:space="0" w:color="FFFFFF"/>
            </w:tcBorders>
            <w:vAlign w:val="center"/>
          </w:tcPr>
          <w:p w:rsidR="00E10CAF" w:rsidRPr="008F0922" w:rsidRDefault="00E10CAF" w:rsidP="00BD6F3E">
            <w:pPr>
              <w:spacing w:line="14" w:lineRule="exact"/>
            </w:pPr>
          </w:p>
          <w:p w:rsidR="00E10CAF" w:rsidRPr="008F0922" w:rsidRDefault="00E10CAF"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pPr>
            <w:r w:rsidRPr="008F0922">
              <w:t>2,3,7,8-TCDF</w:t>
            </w:r>
          </w:p>
        </w:tc>
        <w:tc>
          <w:tcPr>
            <w:tcW w:w="1562" w:type="dxa"/>
            <w:tcBorders>
              <w:top w:val="single" w:sz="7" w:space="0" w:color="000000"/>
              <w:left w:val="single" w:sz="7" w:space="0" w:color="000000"/>
              <w:bottom w:val="single" w:sz="6" w:space="0" w:color="FFFFFF"/>
              <w:right w:val="single" w:sz="6" w:space="0" w:color="FFFFFF"/>
            </w:tcBorders>
            <w:vAlign w:val="center"/>
          </w:tcPr>
          <w:p w:rsidR="00E10CAF" w:rsidRPr="008F0922" w:rsidRDefault="00E10CAF" w:rsidP="00BD6F3E">
            <w:r w:rsidRPr="008F0922">
              <w:t>51207319</w:t>
            </w:r>
          </w:p>
        </w:tc>
        <w:tc>
          <w:tcPr>
            <w:tcW w:w="1592" w:type="dxa"/>
            <w:tcBorders>
              <w:top w:val="single" w:sz="7" w:space="0" w:color="000000"/>
              <w:left w:val="single" w:sz="7" w:space="0" w:color="000000"/>
              <w:bottom w:val="single" w:sz="6" w:space="0" w:color="FFFFFF"/>
              <w:right w:val="single" w:sz="7" w:space="0" w:color="000000"/>
            </w:tcBorders>
            <w:vAlign w:val="center"/>
          </w:tcPr>
          <w:p w:rsidR="00E10CAF" w:rsidRPr="008F0922" w:rsidRDefault="00E10CAF" w:rsidP="00BD6F3E">
            <w:pPr>
              <w:spacing w:line="14" w:lineRule="exact"/>
              <w:jc w:val="center"/>
            </w:pPr>
          </w:p>
          <w:p w:rsidR="00E10CAF" w:rsidRPr="008F0922" w:rsidRDefault="00E10CAF"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pPr>
            <w:r w:rsidRPr="008F0922">
              <w:t>1.40E-08</w:t>
            </w:r>
          </w:p>
        </w:tc>
        <w:tc>
          <w:tcPr>
            <w:tcW w:w="1592" w:type="dxa"/>
            <w:tcBorders>
              <w:top w:val="single" w:sz="7" w:space="0" w:color="000000"/>
              <w:left w:val="single" w:sz="7" w:space="0" w:color="000000"/>
              <w:bottom w:val="single" w:sz="6" w:space="0" w:color="FFFFFF"/>
              <w:right w:val="single" w:sz="7" w:space="0" w:color="000000"/>
            </w:tcBorders>
            <w:vAlign w:val="center"/>
          </w:tcPr>
          <w:p w:rsidR="00E10CAF" w:rsidRPr="008F0922" w:rsidRDefault="00E10CAF" w:rsidP="00BD6F3E">
            <w:pPr>
              <w:spacing w:line="14" w:lineRule="exact"/>
              <w:jc w:val="center"/>
            </w:pPr>
          </w:p>
          <w:p w:rsidR="00E10CAF" w:rsidRPr="008F0922" w:rsidRDefault="00E10CAF"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pPr>
            <w:r w:rsidRPr="008F0922">
              <w:t xml:space="preserve">Reference </w:t>
            </w:r>
            <w:r w:rsidR="00A70625" w:rsidRPr="008F0922">
              <w:t>17</w:t>
            </w:r>
          </w:p>
        </w:tc>
      </w:tr>
      <w:tr w:rsidR="004F2295" w:rsidRPr="008F0922" w:rsidTr="00BD6F3E">
        <w:tc>
          <w:tcPr>
            <w:tcW w:w="2026" w:type="dxa"/>
            <w:tcBorders>
              <w:top w:val="single" w:sz="7" w:space="0" w:color="000000"/>
              <w:left w:val="single" w:sz="7" w:space="0" w:color="000000"/>
              <w:bottom w:val="single" w:sz="6" w:space="0" w:color="FFFFFF"/>
              <w:right w:val="single" w:sz="6" w:space="0" w:color="FFFFFF"/>
            </w:tcBorders>
            <w:vAlign w:val="center"/>
          </w:tcPr>
          <w:p w:rsidR="004F2295" w:rsidRPr="008F0922" w:rsidRDefault="004F2295" w:rsidP="00BD6F3E">
            <w:pPr>
              <w:spacing w:line="14" w:lineRule="exact"/>
            </w:pPr>
          </w:p>
          <w:p w:rsidR="004F2295" w:rsidRPr="008F0922" w:rsidRDefault="004F2295"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pPr>
            <w:r w:rsidRPr="008F0922">
              <w:t>Cumene</w:t>
            </w:r>
          </w:p>
        </w:tc>
        <w:tc>
          <w:tcPr>
            <w:tcW w:w="1562" w:type="dxa"/>
            <w:tcBorders>
              <w:top w:val="single" w:sz="7" w:space="0" w:color="000000"/>
              <w:left w:val="single" w:sz="7" w:space="0" w:color="000000"/>
              <w:bottom w:val="single" w:sz="6" w:space="0" w:color="FFFFFF"/>
              <w:right w:val="single" w:sz="6" w:space="0" w:color="FFFFFF"/>
            </w:tcBorders>
            <w:vAlign w:val="center"/>
          </w:tcPr>
          <w:p w:rsidR="004F2295" w:rsidRPr="008F0922" w:rsidRDefault="004F2295" w:rsidP="00BD6F3E">
            <w:r w:rsidRPr="008F0922">
              <w:t>98828</w:t>
            </w:r>
          </w:p>
        </w:tc>
        <w:tc>
          <w:tcPr>
            <w:tcW w:w="1592" w:type="dxa"/>
            <w:tcBorders>
              <w:top w:val="single" w:sz="7" w:space="0" w:color="000000"/>
              <w:left w:val="single" w:sz="7" w:space="0" w:color="000000"/>
              <w:bottom w:val="single" w:sz="6" w:space="0" w:color="FFFFFF"/>
              <w:right w:val="single" w:sz="7" w:space="0" w:color="000000"/>
            </w:tcBorders>
            <w:vAlign w:val="center"/>
          </w:tcPr>
          <w:p w:rsidR="004F2295" w:rsidRPr="008F0922" w:rsidRDefault="004F2295" w:rsidP="00BD6F3E">
            <w:pPr>
              <w:spacing w:line="14" w:lineRule="exact"/>
              <w:jc w:val="center"/>
            </w:pPr>
          </w:p>
          <w:p w:rsidR="004F2295" w:rsidRPr="008F0922" w:rsidRDefault="004F2295"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pPr>
            <w:r w:rsidRPr="008F0922">
              <w:t>1.33E-02</w:t>
            </w:r>
          </w:p>
        </w:tc>
        <w:tc>
          <w:tcPr>
            <w:tcW w:w="1592" w:type="dxa"/>
            <w:tcBorders>
              <w:top w:val="single" w:sz="7" w:space="0" w:color="000000"/>
              <w:left w:val="single" w:sz="7" w:space="0" w:color="000000"/>
              <w:bottom w:val="single" w:sz="6" w:space="0" w:color="FFFFFF"/>
              <w:right w:val="single" w:sz="7" w:space="0" w:color="000000"/>
            </w:tcBorders>
            <w:vAlign w:val="center"/>
          </w:tcPr>
          <w:p w:rsidR="004F2295" w:rsidRPr="008F0922" w:rsidRDefault="004F2295" w:rsidP="00BD6F3E">
            <w:pPr>
              <w:spacing w:line="14" w:lineRule="exact"/>
              <w:jc w:val="center"/>
            </w:pPr>
          </w:p>
          <w:p w:rsidR="004F2295" w:rsidRPr="008F0922" w:rsidRDefault="004F2295"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pPr>
            <w:r w:rsidRPr="008F0922">
              <w:t xml:space="preserve">Reference </w:t>
            </w:r>
            <w:r w:rsidR="007C5212" w:rsidRPr="008F0922">
              <w:t>1</w:t>
            </w:r>
            <w:r w:rsidR="00A70625" w:rsidRPr="008F0922">
              <w:t>6</w:t>
            </w:r>
          </w:p>
        </w:tc>
      </w:tr>
      <w:tr w:rsidR="00E10CAF" w:rsidRPr="008F0922" w:rsidTr="00BD6F3E">
        <w:tc>
          <w:tcPr>
            <w:tcW w:w="2026" w:type="dxa"/>
            <w:tcBorders>
              <w:top w:val="single" w:sz="7" w:space="0" w:color="000000"/>
              <w:left w:val="single" w:sz="7" w:space="0" w:color="000000"/>
              <w:bottom w:val="single" w:sz="8" w:space="0" w:color="000000"/>
              <w:right w:val="single" w:sz="6" w:space="0" w:color="FFFFFF"/>
            </w:tcBorders>
            <w:vAlign w:val="center"/>
          </w:tcPr>
          <w:p w:rsidR="00E10CAF" w:rsidRPr="008F0922" w:rsidRDefault="00E10CAF" w:rsidP="00BD6F3E">
            <w:pPr>
              <w:spacing w:line="14" w:lineRule="exact"/>
            </w:pPr>
          </w:p>
          <w:p w:rsidR="00E10CAF" w:rsidRPr="008F0922" w:rsidRDefault="00E10CAF"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pPr>
            <w:r w:rsidRPr="008F0922">
              <w:t>Dibenzofuran</w:t>
            </w:r>
          </w:p>
        </w:tc>
        <w:tc>
          <w:tcPr>
            <w:tcW w:w="1562" w:type="dxa"/>
            <w:tcBorders>
              <w:top w:val="single" w:sz="7" w:space="0" w:color="000000"/>
              <w:left w:val="single" w:sz="7" w:space="0" w:color="000000"/>
              <w:bottom w:val="single" w:sz="8" w:space="0" w:color="000000"/>
              <w:right w:val="single" w:sz="6" w:space="0" w:color="FFFFFF"/>
            </w:tcBorders>
            <w:vAlign w:val="center"/>
          </w:tcPr>
          <w:p w:rsidR="00E10CAF" w:rsidRPr="008F0922" w:rsidRDefault="00E10CAF" w:rsidP="00BD6F3E">
            <w:r w:rsidRPr="008F0922">
              <w:t>132649</w:t>
            </w:r>
          </w:p>
        </w:tc>
        <w:tc>
          <w:tcPr>
            <w:tcW w:w="1592" w:type="dxa"/>
            <w:tcBorders>
              <w:top w:val="single" w:sz="7" w:space="0" w:color="000000"/>
              <w:left w:val="single" w:sz="7" w:space="0" w:color="000000"/>
              <w:bottom w:val="single" w:sz="8" w:space="0" w:color="000000"/>
              <w:right w:val="single" w:sz="7" w:space="0" w:color="000000"/>
            </w:tcBorders>
            <w:vAlign w:val="center"/>
          </w:tcPr>
          <w:p w:rsidR="00E10CAF" w:rsidRPr="008F0922" w:rsidRDefault="00E10CAF" w:rsidP="00BD6F3E">
            <w:pPr>
              <w:spacing w:line="14" w:lineRule="exact"/>
              <w:jc w:val="center"/>
            </w:pPr>
          </w:p>
          <w:p w:rsidR="00E10CAF" w:rsidRPr="008F0922" w:rsidRDefault="00E10CAF"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pPr>
            <w:r w:rsidRPr="008F0922">
              <w:t>6.75E-03</w:t>
            </w:r>
          </w:p>
        </w:tc>
        <w:tc>
          <w:tcPr>
            <w:tcW w:w="1592" w:type="dxa"/>
            <w:tcBorders>
              <w:top w:val="single" w:sz="7" w:space="0" w:color="000000"/>
              <w:left w:val="single" w:sz="7" w:space="0" w:color="000000"/>
              <w:bottom w:val="single" w:sz="8" w:space="0" w:color="000000"/>
              <w:right w:val="single" w:sz="7" w:space="0" w:color="000000"/>
            </w:tcBorders>
            <w:vAlign w:val="center"/>
          </w:tcPr>
          <w:p w:rsidR="00E10CAF" w:rsidRPr="008F0922" w:rsidRDefault="00E10CAF" w:rsidP="00BD6F3E">
            <w:pPr>
              <w:spacing w:line="14" w:lineRule="exact"/>
              <w:jc w:val="center"/>
            </w:pPr>
          </w:p>
          <w:p w:rsidR="00E10CAF" w:rsidRPr="008F0922" w:rsidRDefault="00E10CAF"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pPr>
            <w:r w:rsidRPr="008F0922">
              <w:t>Reference 1</w:t>
            </w:r>
            <w:r w:rsidR="00A70625" w:rsidRPr="008F0922">
              <w:t>6</w:t>
            </w:r>
          </w:p>
        </w:tc>
      </w:tr>
      <w:tr w:rsidR="00E10CAF" w:rsidRPr="008F0922" w:rsidTr="00BD6F3E">
        <w:tc>
          <w:tcPr>
            <w:tcW w:w="2026" w:type="dxa"/>
            <w:tcBorders>
              <w:top w:val="single" w:sz="8" w:space="0" w:color="000000"/>
              <w:left w:val="single" w:sz="8" w:space="0" w:color="000000"/>
              <w:bottom w:val="single" w:sz="8" w:space="0" w:color="000000"/>
              <w:right w:val="single" w:sz="8" w:space="0" w:color="000000"/>
            </w:tcBorders>
            <w:vAlign w:val="center"/>
          </w:tcPr>
          <w:p w:rsidR="00E10CAF" w:rsidRPr="008F0922" w:rsidRDefault="00E10CAF" w:rsidP="00BD6F3E">
            <w:pPr>
              <w:spacing w:line="14" w:lineRule="exact"/>
            </w:pPr>
          </w:p>
          <w:p w:rsidR="00E10CAF" w:rsidRPr="008F0922" w:rsidRDefault="00E10CAF"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pPr>
            <w:r w:rsidRPr="008F0922">
              <w:t>Ethyl Benzene</w:t>
            </w:r>
          </w:p>
        </w:tc>
        <w:tc>
          <w:tcPr>
            <w:tcW w:w="1562" w:type="dxa"/>
            <w:tcBorders>
              <w:top w:val="single" w:sz="8" w:space="0" w:color="000000"/>
              <w:left w:val="single" w:sz="8" w:space="0" w:color="000000"/>
              <w:bottom w:val="single" w:sz="8" w:space="0" w:color="000000"/>
              <w:right w:val="single" w:sz="8" w:space="0" w:color="000000"/>
            </w:tcBorders>
            <w:vAlign w:val="center"/>
          </w:tcPr>
          <w:p w:rsidR="00E10CAF" w:rsidRPr="008F0922" w:rsidRDefault="00E10CAF" w:rsidP="00BD6F3E">
            <w:r w:rsidRPr="008F0922">
              <w:t>100414</w:t>
            </w:r>
          </w:p>
        </w:tc>
        <w:tc>
          <w:tcPr>
            <w:tcW w:w="1592" w:type="dxa"/>
            <w:tcBorders>
              <w:top w:val="single" w:sz="8" w:space="0" w:color="000000"/>
              <w:left w:val="single" w:sz="8" w:space="0" w:color="000000"/>
              <w:bottom w:val="single" w:sz="8" w:space="0" w:color="000000"/>
              <w:right w:val="single" w:sz="8" w:space="0" w:color="000000"/>
            </w:tcBorders>
            <w:vAlign w:val="center"/>
          </w:tcPr>
          <w:p w:rsidR="00E10CAF" w:rsidRPr="008F0922" w:rsidRDefault="00E10CAF" w:rsidP="00BD6F3E">
            <w:pPr>
              <w:spacing w:line="14" w:lineRule="exact"/>
              <w:jc w:val="center"/>
            </w:pPr>
          </w:p>
          <w:p w:rsidR="00E10CAF" w:rsidRPr="008F0922" w:rsidRDefault="00E10CAF"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pPr>
            <w:r w:rsidRPr="008F0922">
              <w:t>4.80E-02</w:t>
            </w:r>
          </w:p>
        </w:tc>
        <w:tc>
          <w:tcPr>
            <w:tcW w:w="1592" w:type="dxa"/>
            <w:tcBorders>
              <w:top w:val="single" w:sz="8" w:space="0" w:color="000000"/>
              <w:left w:val="single" w:sz="8" w:space="0" w:color="000000"/>
              <w:bottom w:val="single" w:sz="8" w:space="0" w:color="000000"/>
              <w:right w:val="single" w:sz="8" w:space="0" w:color="000000"/>
            </w:tcBorders>
            <w:vAlign w:val="center"/>
          </w:tcPr>
          <w:p w:rsidR="00E10CAF" w:rsidRPr="008F0922" w:rsidRDefault="00E10CAF" w:rsidP="00BD6F3E">
            <w:pPr>
              <w:spacing w:line="14" w:lineRule="exact"/>
              <w:jc w:val="center"/>
            </w:pPr>
          </w:p>
          <w:p w:rsidR="00E10CAF" w:rsidRPr="008F0922" w:rsidRDefault="00E10CAF"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pPr>
            <w:r w:rsidRPr="008F0922">
              <w:t>Reference 1</w:t>
            </w:r>
            <w:r w:rsidR="00A70625" w:rsidRPr="008F0922">
              <w:t>6</w:t>
            </w:r>
          </w:p>
        </w:tc>
      </w:tr>
      <w:tr w:rsidR="00E10CAF" w:rsidRPr="008F0922" w:rsidTr="00BD6F3E">
        <w:tc>
          <w:tcPr>
            <w:tcW w:w="2026" w:type="dxa"/>
            <w:tcBorders>
              <w:top w:val="single" w:sz="8" w:space="0" w:color="000000"/>
              <w:left w:val="single" w:sz="4" w:space="0" w:color="auto"/>
              <w:bottom w:val="single" w:sz="4" w:space="0" w:color="auto"/>
              <w:right w:val="single" w:sz="4" w:space="0" w:color="auto"/>
            </w:tcBorders>
            <w:vAlign w:val="center"/>
          </w:tcPr>
          <w:p w:rsidR="00E10CAF" w:rsidRPr="008F0922" w:rsidRDefault="00E10CAF" w:rsidP="00BD6F3E">
            <w:pPr>
              <w:spacing w:line="14" w:lineRule="exact"/>
            </w:pPr>
          </w:p>
          <w:p w:rsidR="00E10CAF" w:rsidRPr="008F0922" w:rsidRDefault="00E10CAF"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pPr>
            <w:r w:rsidRPr="008F0922">
              <w:t>OCDD</w:t>
            </w:r>
          </w:p>
        </w:tc>
        <w:tc>
          <w:tcPr>
            <w:tcW w:w="1562" w:type="dxa"/>
            <w:tcBorders>
              <w:top w:val="single" w:sz="8" w:space="0" w:color="000000"/>
              <w:left w:val="single" w:sz="4" w:space="0" w:color="auto"/>
              <w:bottom w:val="single" w:sz="4" w:space="0" w:color="auto"/>
              <w:right w:val="single" w:sz="4" w:space="0" w:color="auto"/>
            </w:tcBorders>
            <w:vAlign w:val="center"/>
          </w:tcPr>
          <w:p w:rsidR="00E10CAF" w:rsidRPr="008F0922" w:rsidRDefault="00E10CAF" w:rsidP="00BD6F3E">
            <w:r w:rsidRPr="008F0922">
              <w:t>3268879</w:t>
            </w:r>
          </w:p>
        </w:tc>
        <w:tc>
          <w:tcPr>
            <w:tcW w:w="1592" w:type="dxa"/>
            <w:tcBorders>
              <w:top w:val="single" w:sz="8" w:space="0" w:color="000000"/>
              <w:left w:val="single" w:sz="4" w:space="0" w:color="auto"/>
              <w:bottom w:val="single" w:sz="6" w:space="0" w:color="FFFFFF"/>
              <w:right w:val="single" w:sz="7" w:space="0" w:color="000000"/>
            </w:tcBorders>
            <w:vAlign w:val="center"/>
          </w:tcPr>
          <w:p w:rsidR="00E10CAF" w:rsidRPr="008F0922" w:rsidRDefault="00E10CAF" w:rsidP="00BD6F3E">
            <w:pPr>
              <w:spacing w:line="14" w:lineRule="exact"/>
              <w:jc w:val="center"/>
            </w:pPr>
          </w:p>
          <w:p w:rsidR="00E10CAF" w:rsidRPr="008F0922" w:rsidRDefault="00E10CAF"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pPr>
            <w:r w:rsidRPr="008F0922">
              <w:t>1.33E-06</w:t>
            </w:r>
          </w:p>
        </w:tc>
        <w:tc>
          <w:tcPr>
            <w:tcW w:w="1592" w:type="dxa"/>
            <w:tcBorders>
              <w:top w:val="single" w:sz="8" w:space="0" w:color="000000"/>
              <w:left w:val="single" w:sz="7" w:space="0" w:color="000000"/>
              <w:bottom w:val="single" w:sz="6" w:space="0" w:color="FFFFFF"/>
              <w:right w:val="single" w:sz="7" w:space="0" w:color="000000"/>
            </w:tcBorders>
            <w:vAlign w:val="center"/>
          </w:tcPr>
          <w:p w:rsidR="00E10CAF" w:rsidRPr="008F0922" w:rsidRDefault="00E10CAF" w:rsidP="00BD6F3E">
            <w:pPr>
              <w:spacing w:line="14" w:lineRule="exact"/>
              <w:jc w:val="center"/>
            </w:pPr>
          </w:p>
          <w:p w:rsidR="00E10CAF" w:rsidRPr="008F0922" w:rsidRDefault="00E10CAF"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pPr>
            <w:r w:rsidRPr="008F0922">
              <w:t xml:space="preserve">Reference </w:t>
            </w:r>
            <w:r w:rsidR="00A70625" w:rsidRPr="008F0922">
              <w:t>17</w:t>
            </w:r>
          </w:p>
        </w:tc>
      </w:tr>
      <w:tr w:rsidR="00E10CAF" w:rsidRPr="008F0922" w:rsidTr="00BD6F3E">
        <w:tc>
          <w:tcPr>
            <w:tcW w:w="2026" w:type="dxa"/>
            <w:tcBorders>
              <w:top w:val="single" w:sz="4" w:space="0" w:color="auto"/>
              <w:left w:val="single" w:sz="4" w:space="0" w:color="auto"/>
              <w:bottom w:val="single" w:sz="4" w:space="0" w:color="auto"/>
              <w:right w:val="single" w:sz="4" w:space="0" w:color="auto"/>
            </w:tcBorders>
            <w:vAlign w:val="center"/>
          </w:tcPr>
          <w:p w:rsidR="00E10CAF" w:rsidRPr="008F0922" w:rsidRDefault="00E10CAF" w:rsidP="00BD6F3E">
            <w:pPr>
              <w:spacing w:line="14" w:lineRule="exact"/>
            </w:pPr>
          </w:p>
          <w:p w:rsidR="00E10CAF" w:rsidRPr="008F0922" w:rsidRDefault="00E10CAF"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pPr>
            <w:r w:rsidRPr="008F0922">
              <w:t>OCDF</w:t>
            </w:r>
          </w:p>
        </w:tc>
        <w:tc>
          <w:tcPr>
            <w:tcW w:w="1562" w:type="dxa"/>
            <w:tcBorders>
              <w:top w:val="single" w:sz="4" w:space="0" w:color="auto"/>
              <w:left w:val="single" w:sz="4" w:space="0" w:color="auto"/>
              <w:bottom w:val="single" w:sz="4" w:space="0" w:color="auto"/>
              <w:right w:val="single" w:sz="4" w:space="0" w:color="auto"/>
            </w:tcBorders>
            <w:vAlign w:val="center"/>
          </w:tcPr>
          <w:p w:rsidR="00E10CAF" w:rsidRPr="008F0922" w:rsidRDefault="00E10CAF" w:rsidP="00BD6F3E">
            <w:r w:rsidRPr="008F0922">
              <w:t>39001020</w:t>
            </w:r>
          </w:p>
        </w:tc>
        <w:tc>
          <w:tcPr>
            <w:tcW w:w="1592" w:type="dxa"/>
            <w:tcBorders>
              <w:top w:val="single" w:sz="7" w:space="0" w:color="000000"/>
              <w:left w:val="single" w:sz="4" w:space="0" w:color="auto"/>
              <w:bottom w:val="single" w:sz="6" w:space="0" w:color="FFFFFF"/>
              <w:right w:val="single" w:sz="7" w:space="0" w:color="000000"/>
            </w:tcBorders>
            <w:vAlign w:val="center"/>
          </w:tcPr>
          <w:p w:rsidR="00E10CAF" w:rsidRPr="008F0922" w:rsidRDefault="00E10CAF" w:rsidP="00BD6F3E">
            <w:pPr>
              <w:spacing w:line="14" w:lineRule="exact"/>
              <w:jc w:val="center"/>
            </w:pPr>
          </w:p>
          <w:p w:rsidR="00E10CAF" w:rsidRPr="008F0922" w:rsidRDefault="00E10CAF"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pPr>
            <w:r w:rsidRPr="008F0922">
              <w:t>2.05E-08</w:t>
            </w:r>
          </w:p>
        </w:tc>
        <w:tc>
          <w:tcPr>
            <w:tcW w:w="1592" w:type="dxa"/>
            <w:tcBorders>
              <w:top w:val="single" w:sz="7" w:space="0" w:color="000000"/>
              <w:left w:val="single" w:sz="7" w:space="0" w:color="000000"/>
              <w:bottom w:val="single" w:sz="6" w:space="0" w:color="FFFFFF"/>
              <w:right w:val="single" w:sz="7" w:space="0" w:color="000000"/>
            </w:tcBorders>
            <w:vAlign w:val="center"/>
          </w:tcPr>
          <w:p w:rsidR="00E10CAF" w:rsidRPr="008F0922" w:rsidRDefault="00E10CAF" w:rsidP="00BD6F3E">
            <w:pPr>
              <w:spacing w:line="14" w:lineRule="exact"/>
              <w:jc w:val="center"/>
            </w:pPr>
          </w:p>
          <w:p w:rsidR="00E10CAF" w:rsidRPr="008F0922" w:rsidRDefault="00E10CAF"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pPr>
            <w:r w:rsidRPr="008F0922">
              <w:t>Reference 1</w:t>
            </w:r>
            <w:r w:rsidR="00A70625" w:rsidRPr="008F0922">
              <w:t>7</w:t>
            </w:r>
          </w:p>
        </w:tc>
      </w:tr>
      <w:tr w:rsidR="00E10CAF" w:rsidRPr="008F0922" w:rsidTr="00BD6F3E">
        <w:tc>
          <w:tcPr>
            <w:tcW w:w="2026" w:type="dxa"/>
            <w:tcBorders>
              <w:top w:val="single" w:sz="4" w:space="0" w:color="auto"/>
              <w:left w:val="single" w:sz="7" w:space="0" w:color="000000"/>
              <w:bottom w:val="single" w:sz="6" w:space="0" w:color="FFFFFF"/>
              <w:right w:val="single" w:sz="6" w:space="0" w:color="FFFFFF"/>
            </w:tcBorders>
            <w:vAlign w:val="center"/>
          </w:tcPr>
          <w:p w:rsidR="00E10CAF" w:rsidRPr="008F0922" w:rsidRDefault="00E10CAF" w:rsidP="00BD6F3E">
            <w:pPr>
              <w:spacing w:line="14" w:lineRule="exact"/>
            </w:pPr>
          </w:p>
          <w:p w:rsidR="00E10CAF" w:rsidRPr="008F0922" w:rsidRDefault="00E10CAF"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pPr>
            <w:r w:rsidRPr="008F0922">
              <w:t>Phenol</w:t>
            </w:r>
          </w:p>
        </w:tc>
        <w:tc>
          <w:tcPr>
            <w:tcW w:w="1562" w:type="dxa"/>
            <w:tcBorders>
              <w:top w:val="single" w:sz="4" w:space="0" w:color="auto"/>
              <w:left w:val="single" w:sz="7" w:space="0" w:color="000000"/>
              <w:bottom w:val="single" w:sz="6" w:space="0" w:color="FFFFFF"/>
              <w:right w:val="single" w:sz="6" w:space="0" w:color="FFFFFF"/>
            </w:tcBorders>
            <w:vAlign w:val="center"/>
          </w:tcPr>
          <w:p w:rsidR="00E10CAF" w:rsidRPr="008F0922" w:rsidRDefault="00E10CAF" w:rsidP="00BD6F3E">
            <w:r w:rsidRPr="008F0922">
              <w:t>108952</w:t>
            </w:r>
          </w:p>
        </w:tc>
        <w:tc>
          <w:tcPr>
            <w:tcW w:w="1592" w:type="dxa"/>
            <w:tcBorders>
              <w:top w:val="single" w:sz="7" w:space="0" w:color="000000"/>
              <w:left w:val="single" w:sz="7" w:space="0" w:color="000000"/>
              <w:bottom w:val="single" w:sz="6" w:space="0" w:color="FFFFFF"/>
              <w:right w:val="single" w:sz="7" w:space="0" w:color="000000"/>
            </w:tcBorders>
            <w:vAlign w:val="center"/>
          </w:tcPr>
          <w:p w:rsidR="00E10CAF" w:rsidRPr="008F0922" w:rsidRDefault="00E10CAF" w:rsidP="00BD6F3E">
            <w:pPr>
              <w:spacing w:line="14" w:lineRule="exact"/>
              <w:jc w:val="center"/>
            </w:pPr>
          </w:p>
          <w:p w:rsidR="00E10CAF" w:rsidRPr="008F0922" w:rsidRDefault="00E10CAF"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pPr>
            <w:r w:rsidRPr="008F0922">
              <w:t>1.15E-01</w:t>
            </w:r>
          </w:p>
        </w:tc>
        <w:tc>
          <w:tcPr>
            <w:tcW w:w="1592" w:type="dxa"/>
            <w:tcBorders>
              <w:top w:val="single" w:sz="7" w:space="0" w:color="000000"/>
              <w:left w:val="single" w:sz="7" w:space="0" w:color="000000"/>
              <w:bottom w:val="single" w:sz="6" w:space="0" w:color="FFFFFF"/>
              <w:right w:val="single" w:sz="7" w:space="0" w:color="000000"/>
            </w:tcBorders>
            <w:vAlign w:val="center"/>
          </w:tcPr>
          <w:p w:rsidR="00E10CAF" w:rsidRPr="008F0922" w:rsidRDefault="00E10CAF" w:rsidP="00BD6F3E">
            <w:pPr>
              <w:spacing w:line="14" w:lineRule="exact"/>
              <w:jc w:val="center"/>
            </w:pPr>
          </w:p>
          <w:p w:rsidR="00E10CAF" w:rsidRPr="008F0922" w:rsidRDefault="00E10CAF"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pPr>
            <w:r w:rsidRPr="008F0922">
              <w:t>Reference 1</w:t>
            </w:r>
            <w:r w:rsidR="00A70625" w:rsidRPr="008F0922">
              <w:t>6</w:t>
            </w:r>
          </w:p>
        </w:tc>
      </w:tr>
      <w:tr w:rsidR="00E10CAF" w:rsidRPr="008F0922" w:rsidTr="00BD6F3E">
        <w:tc>
          <w:tcPr>
            <w:tcW w:w="2026" w:type="dxa"/>
            <w:tcBorders>
              <w:top w:val="single" w:sz="7" w:space="0" w:color="000000"/>
              <w:left w:val="single" w:sz="7" w:space="0" w:color="000000"/>
              <w:bottom w:val="single" w:sz="7" w:space="0" w:color="000000"/>
              <w:right w:val="single" w:sz="6" w:space="0" w:color="FFFFFF"/>
            </w:tcBorders>
            <w:vAlign w:val="center"/>
          </w:tcPr>
          <w:p w:rsidR="00E10CAF" w:rsidRPr="008F0922" w:rsidRDefault="00E10CAF" w:rsidP="00BD6F3E">
            <w:pPr>
              <w:spacing w:line="14" w:lineRule="exact"/>
            </w:pPr>
          </w:p>
          <w:p w:rsidR="00E10CAF" w:rsidRPr="008F0922" w:rsidRDefault="00E10CAF"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pPr>
            <w:r w:rsidRPr="008F0922">
              <w:t>Styrene</w:t>
            </w:r>
          </w:p>
        </w:tc>
        <w:tc>
          <w:tcPr>
            <w:tcW w:w="1562" w:type="dxa"/>
            <w:tcBorders>
              <w:top w:val="single" w:sz="7" w:space="0" w:color="000000"/>
              <w:left w:val="single" w:sz="7" w:space="0" w:color="000000"/>
              <w:bottom w:val="single" w:sz="7" w:space="0" w:color="000000"/>
              <w:right w:val="single" w:sz="6" w:space="0" w:color="FFFFFF"/>
            </w:tcBorders>
            <w:vAlign w:val="center"/>
          </w:tcPr>
          <w:p w:rsidR="00E10CAF" w:rsidRPr="008F0922" w:rsidRDefault="00E10CAF" w:rsidP="00BD6F3E">
            <w:r w:rsidRPr="008F0922">
              <w:t>100425</w:t>
            </w:r>
          </w:p>
        </w:tc>
        <w:tc>
          <w:tcPr>
            <w:tcW w:w="1592" w:type="dxa"/>
            <w:tcBorders>
              <w:top w:val="single" w:sz="7" w:space="0" w:color="000000"/>
              <w:left w:val="single" w:sz="7" w:space="0" w:color="000000"/>
              <w:bottom w:val="single" w:sz="7" w:space="0" w:color="000000"/>
              <w:right w:val="single" w:sz="7" w:space="0" w:color="000000"/>
            </w:tcBorders>
            <w:vAlign w:val="center"/>
          </w:tcPr>
          <w:p w:rsidR="00E10CAF" w:rsidRPr="008F0922" w:rsidRDefault="00E10CAF" w:rsidP="00BD6F3E">
            <w:pPr>
              <w:spacing w:line="14" w:lineRule="exact"/>
              <w:jc w:val="center"/>
            </w:pPr>
          </w:p>
          <w:p w:rsidR="00E10CAF" w:rsidRPr="008F0922" w:rsidRDefault="00E10CAF"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pPr>
            <w:r w:rsidRPr="008F0922">
              <w:t>1.02E-01</w:t>
            </w:r>
          </w:p>
        </w:tc>
        <w:tc>
          <w:tcPr>
            <w:tcW w:w="1592" w:type="dxa"/>
            <w:tcBorders>
              <w:top w:val="single" w:sz="7" w:space="0" w:color="000000"/>
              <w:left w:val="single" w:sz="7" w:space="0" w:color="000000"/>
              <w:bottom w:val="single" w:sz="7" w:space="0" w:color="000000"/>
              <w:right w:val="single" w:sz="7" w:space="0" w:color="000000"/>
            </w:tcBorders>
            <w:vAlign w:val="center"/>
          </w:tcPr>
          <w:p w:rsidR="00E10CAF" w:rsidRPr="008F0922" w:rsidRDefault="00E10CAF" w:rsidP="00BD6F3E">
            <w:pPr>
              <w:spacing w:line="14" w:lineRule="exact"/>
              <w:jc w:val="center"/>
            </w:pPr>
          </w:p>
          <w:p w:rsidR="00E10CAF" w:rsidRPr="008F0922" w:rsidRDefault="00E10CAF" w:rsidP="00BD6F3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4" w:line="226" w:lineRule="auto"/>
              <w:jc w:val="center"/>
            </w:pPr>
            <w:r w:rsidRPr="008F0922">
              <w:t>Reference 1</w:t>
            </w:r>
            <w:r w:rsidR="00A70625" w:rsidRPr="008F0922">
              <w:t>6</w:t>
            </w:r>
          </w:p>
        </w:tc>
      </w:tr>
    </w:tbl>
    <w:p w:rsidR="004F2295" w:rsidRPr="008F0922" w:rsidRDefault="004F2295" w:rsidP="004F229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rsidR="00FC3529" w:rsidRPr="008F0922" w:rsidRDefault="00FC3529"/>
    <w:sectPr w:rsidR="00FC3529" w:rsidRPr="008F0922" w:rsidSect="004F229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E49C7" w:rsidRDefault="004E49C7">
      <w:r>
        <w:separator/>
      </w:r>
    </w:p>
  </w:endnote>
  <w:endnote w:type="continuationSeparator" w:id="0">
    <w:p w:rsidR="004E49C7" w:rsidRDefault="004E4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E49C7" w:rsidRDefault="004E49C7">
      <w:r>
        <w:separator/>
      </w:r>
    </w:p>
  </w:footnote>
  <w:footnote w:type="continuationSeparator" w:id="0">
    <w:p w:rsidR="004E49C7" w:rsidRDefault="004E49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42B96"/>
    <w:multiLevelType w:val="hybridMultilevel"/>
    <w:tmpl w:val="B824BB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BA3369"/>
    <w:multiLevelType w:val="hybridMultilevel"/>
    <w:tmpl w:val="0B504F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567657"/>
    <w:multiLevelType w:val="hybridMultilevel"/>
    <w:tmpl w:val="716A8A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7997C59"/>
    <w:multiLevelType w:val="hybridMultilevel"/>
    <w:tmpl w:val="463854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D306155"/>
    <w:multiLevelType w:val="hybridMultilevel"/>
    <w:tmpl w:val="9D0A246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MrAwMTW2NDMwtTAwNDVX0lEKTi0uzszPAykwrAUA4n5ODiwAAAA="/>
  </w:docVars>
  <w:rsids>
    <w:rsidRoot w:val="006C2053"/>
    <w:rsid w:val="00006F37"/>
    <w:rsid w:val="0019683E"/>
    <w:rsid w:val="001D0A1D"/>
    <w:rsid w:val="002A694C"/>
    <w:rsid w:val="0034466F"/>
    <w:rsid w:val="00362D8A"/>
    <w:rsid w:val="003A1B50"/>
    <w:rsid w:val="00450B27"/>
    <w:rsid w:val="00474345"/>
    <w:rsid w:val="004D4BAD"/>
    <w:rsid w:val="004E49C7"/>
    <w:rsid w:val="004F0822"/>
    <w:rsid w:val="004F2295"/>
    <w:rsid w:val="0056567C"/>
    <w:rsid w:val="005A264B"/>
    <w:rsid w:val="005C2EF8"/>
    <w:rsid w:val="00641127"/>
    <w:rsid w:val="006470D0"/>
    <w:rsid w:val="00683DE9"/>
    <w:rsid w:val="0068630F"/>
    <w:rsid w:val="006C2053"/>
    <w:rsid w:val="006D6013"/>
    <w:rsid w:val="006E2018"/>
    <w:rsid w:val="00736159"/>
    <w:rsid w:val="0074598D"/>
    <w:rsid w:val="00763CF8"/>
    <w:rsid w:val="0079743D"/>
    <w:rsid w:val="007C5212"/>
    <w:rsid w:val="008858D1"/>
    <w:rsid w:val="008E753B"/>
    <w:rsid w:val="008F0922"/>
    <w:rsid w:val="00935D8A"/>
    <w:rsid w:val="00983400"/>
    <w:rsid w:val="00997042"/>
    <w:rsid w:val="009D726E"/>
    <w:rsid w:val="00A43991"/>
    <w:rsid w:val="00A70625"/>
    <w:rsid w:val="00A71E4E"/>
    <w:rsid w:val="00A8639B"/>
    <w:rsid w:val="00AC2E02"/>
    <w:rsid w:val="00B42DEB"/>
    <w:rsid w:val="00B53A81"/>
    <w:rsid w:val="00B7579A"/>
    <w:rsid w:val="00B76D82"/>
    <w:rsid w:val="00B916AB"/>
    <w:rsid w:val="00BD6F3E"/>
    <w:rsid w:val="00C66354"/>
    <w:rsid w:val="00C942FA"/>
    <w:rsid w:val="00C96039"/>
    <w:rsid w:val="00CD255F"/>
    <w:rsid w:val="00D0651F"/>
    <w:rsid w:val="00D13EA6"/>
    <w:rsid w:val="00D21D30"/>
    <w:rsid w:val="00D4402D"/>
    <w:rsid w:val="00D47BA5"/>
    <w:rsid w:val="00DB4AFA"/>
    <w:rsid w:val="00DD012B"/>
    <w:rsid w:val="00E10CAF"/>
    <w:rsid w:val="00E1478A"/>
    <w:rsid w:val="00E40A79"/>
    <w:rsid w:val="00E80C20"/>
    <w:rsid w:val="00EB7EAE"/>
    <w:rsid w:val="00F03D1C"/>
    <w:rsid w:val="00F06530"/>
    <w:rsid w:val="00F51893"/>
    <w:rsid w:val="00F74365"/>
    <w:rsid w:val="00F94783"/>
    <w:rsid w:val="00FB2D09"/>
    <w:rsid w:val="00FB6748"/>
    <w:rsid w:val="00FC3529"/>
    <w:rsid w:val="00FE7426"/>
    <w:rsid w:val="00FF6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AD4C26"/>
  <w15:docId w15:val="{E87525D7-49AC-4C0E-9F79-07708093E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E2018"/>
    <w:pPr>
      <w:widowControl w:val="0"/>
      <w:autoSpaceDE w:val="0"/>
      <w:autoSpaceDN w:val="0"/>
      <w:adjustRightInd w:val="0"/>
    </w:pPr>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FB6748"/>
    <w:rPr>
      <w:color w:val="0000FF"/>
      <w:u w:val="single"/>
    </w:rPr>
  </w:style>
  <w:style w:type="character" w:styleId="FollowedHyperlink">
    <w:name w:val="FollowedHyperlink"/>
    <w:basedOn w:val="DefaultParagraphFont"/>
    <w:rsid w:val="0068630F"/>
    <w:rPr>
      <w:color w:val="800080"/>
      <w:u w:val="single"/>
    </w:rPr>
  </w:style>
  <w:style w:type="character" w:customStyle="1" w:styleId="Hypertext">
    <w:name w:val="Hypertext"/>
    <w:rsid w:val="00983400"/>
  </w:style>
  <w:style w:type="paragraph" w:styleId="FootnoteText">
    <w:name w:val="footnote text"/>
    <w:basedOn w:val="Normal"/>
    <w:link w:val="FootnoteTextChar"/>
    <w:uiPriority w:val="99"/>
    <w:semiHidden/>
    <w:unhideWhenUsed/>
    <w:rsid w:val="009D726E"/>
    <w:rPr>
      <w:sz w:val="20"/>
      <w:szCs w:val="20"/>
    </w:rPr>
  </w:style>
  <w:style w:type="character" w:customStyle="1" w:styleId="FootnoteTextChar">
    <w:name w:val="Footnote Text Char"/>
    <w:basedOn w:val="DefaultParagraphFont"/>
    <w:link w:val="FootnoteText"/>
    <w:uiPriority w:val="99"/>
    <w:semiHidden/>
    <w:rsid w:val="009D726E"/>
  </w:style>
  <w:style w:type="character" w:styleId="FootnoteReference">
    <w:name w:val="footnote reference"/>
    <w:basedOn w:val="DefaultParagraphFont"/>
    <w:uiPriority w:val="99"/>
    <w:semiHidden/>
    <w:unhideWhenUsed/>
    <w:rsid w:val="009D726E"/>
    <w:rPr>
      <w:vertAlign w:val="superscript"/>
    </w:rPr>
  </w:style>
  <w:style w:type="paragraph" w:styleId="ListParagraph">
    <w:name w:val="List Paragraph"/>
    <w:basedOn w:val="Normal"/>
    <w:uiPriority w:val="34"/>
    <w:qFormat/>
    <w:rsid w:val="004F0822"/>
    <w:pPr>
      <w:ind w:left="720"/>
      <w:contextualSpacing/>
    </w:pPr>
  </w:style>
  <w:style w:type="character" w:styleId="UnresolvedMention">
    <w:name w:val="Unresolved Mention"/>
    <w:basedOn w:val="DefaultParagraphFont"/>
    <w:uiPriority w:val="99"/>
    <w:semiHidden/>
    <w:unhideWhenUsed/>
    <w:rsid w:val="00FF63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8356760">
      <w:bodyDiv w:val="1"/>
      <w:marLeft w:val="0"/>
      <w:marRight w:val="0"/>
      <w:marTop w:val="0"/>
      <w:marBottom w:val="0"/>
      <w:divBdr>
        <w:top w:val="none" w:sz="0" w:space="0" w:color="auto"/>
        <w:left w:val="none" w:sz="0" w:space="0" w:color="auto"/>
        <w:bottom w:val="none" w:sz="0" w:space="0" w:color="auto"/>
        <w:right w:val="none" w:sz="0" w:space="0" w:color="auto"/>
      </w:divBdr>
    </w:div>
    <w:div w:id="1237856365">
      <w:bodyDiv w:val="1"/>
      <w:marLeft w:val="0"/>
      <w:marRight w:val="0"/>
      <w:marTop w:val="0"/>
      <w:marBottom w:val="0"/>
      <w:divBdr>
        <w:top w:val="none" w:sz="0" w:space="0" w:color="auto"/>
        <w:left w:val="none" w:sz="0" w:space="0" w:color="auto"/>
        <w:bottom w:val="none" w:sz="0" w:space="0" w:color="auto"/>
        <w:right w:val="none" w:sz="0" w:space="0" w:color="auto"/>
      </w:divBdr>
    </w:div>
    <w:div w:id="129533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ensus.gov/construction/nrc/pdf/startsan.pdf" TargetMode="External"/><Relationship Id="rId13" Type="http://schemas.openxmlformats.org/officeDocument/2006/relationships/hyperlink" Target="https://www.bls.gov/dat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ensus.gov/programs-surveys/cbp.html" TargetMode="External"/><Relationship Id="rId17" Type="http://schemas.openxmlformats.org/officeDocument/2006/relationships/hyperlink" Target="https://www2.census.gov/census_2010/04-Summary_File_1/" TargetMode="External"/><Relationship Id="rId2" Type="http://schemas.openxmlformats.org/officeDocument/2006/relationships/numbering" Target="numbering.xml"/><Relationship Id="rId16" Type="http://schemas.openxmlformats.org/officeDocument/2006/relationships/hyperlink" Target="https://www.mrlc.gov/data/statistics/national-land-cover-database-2011-nlcd2011-statisti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ensus.gov/construction/c30/historical_data.html" TargetMode="External"/><Relationship Id="rId5" Type="http://schemas.openxmlformats.org/officeDocument/2006/relationships/webSettings" Target="webSettings.xml"/><Relationship Id="rId15" Type="http://schemas.openxmlformats.org/officeDocument/2006/relationships/hyperlink" Target="https://www.census.gov/construction/bps/" TargetMode="External"/><Relationship Id="rId10" Type="http://schemas.openxmlformats.org/officeDocument/2006/relationships/hyperlink" Target="https://www.census.gov/construction/bps/txt/tb2u2014.tx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census.gov/construction/nrc/pdf/quarterly_starts_completions.pdf" TargetMode="External"/><Relationship Id="rId14" Type="http://schemas.openxmlformats.org/officeDocument/2006/relationships/hyperlink" Target="https://www.fhwa.dot.gov/policyinformation/statistics/2014/sf12a.cf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3C431D-86FB-45D5-BA06-A2D38F47D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2458</Words>
  <Characters>14316</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OPEN BURNING - LAND CLEARING DEBRIS</vt:lpstr>
    </vt:vector>
  </TitlesOfParts>
  <Company>Abt Associates Inc.</Company>
  <LinksUpToDate>false</LinksUpToDate>
  <CharactersWithSpaces>16741</CharactersWithSpaces>
  <SharedDoc>false</SharedDoc>
  <HLinks>
    <vt:vector size="42" baseType="variant">
      <vt:variant>
        <vt:i4>4784208</vt:i4>
      </vt:variant>
      <vt:variant>
        <vt:i4>18</vt:i4>
      </vt:variant>
      <vt:variant>
        <vt:i4>0</vt:i4>
      </vt:variant>
      <vt:variant>
        <vt:i4>5</vt:i4>
      </vt:variant>
      <vt:variant>
        <vt:lpwstr>http://www.census.gov/support/USACdataDownloads.html</vt:lpwstr>
      </vt:variant>
      <vt:variant>
        <vt:lpwstr/>
      </vt:variant>
      <vt:variant>
        <vt:i4>6946871</vt:i4>
      </vt:variant>
      <vt:variant>
        <vt:i4>15</vt:i4>
      </vt:variant>
      <vt:variant>
        <vt:i4>0</vt:i4>
      </vt:variant>
      <vt:variant>
        <vt:i4>5</vt:i4>
      </vt:variant>
      <vt:variant>
        <vt:lpwstr>http://www.fhwa.dot.gov/policyinformation/statistics/2008/sf12a.cfm</vt:lpwstr>
      </vt:variant>
      <vt:variant>
        <vt:lpwstr/>
      </vt:variant>
      <vt:variant>
        <vt:i4>1310802</vt:i4>
      </vt:variant>
      <vt:variant>
        <vt:i4>12</vt:i4>
      </vt:variant>
      <vt:variant>
        <vt:i4>0</vt:i4>
      </vt:variant>
      <vt:variant>
        <vt:i4>5</vt:i4>
      </vt:variant>
      <vt:variant>
        <vt:lpwstr>http://www.bls.gov/data/</vt:lpwstr>
      </vt:variant>
      <vt:variant>
        <vt:lpwstr/>
      </vt:variant>
      <vt:variant>
        <vt:i4>5439517</vt:i4>
      </vt:variant>
      <vt:variant>
        <vt:i4>9</vt:i4>
      </vt:variant>
      <vt:variant>
        <vt:i4>0</vt:i4>
      </vt:variant>
      <vt:variant>
        <vt:i4>5</vt:i4>
      </vt:variant>
      <vt:variant>
        <vt:lpwstr>http://www.census.gov/econ/cbp/index.html</vt:lpwstr>
      </vt:variant>
      <vt:variant>
        <vt:lpwstr/>
      </vt:variant>
      <vt:variant>
        <vt:i4>5701648</vt:i4>
      </vt:variant>
      <vt:variant>
        <vt:i4>6</vt:i4>
      </vt:variant>
      <vt:variant>
        <vt:i4>0</vt:i4>
      </vt:variant>
      <vt:variant>
        <vt:i4>5</vt:i4>
      </vt:variant>
      <vt:variant>
        <vt:lpwstr>http://www.census.gov/const/www/ototpage.html</vt:lpwstr>
      </vt:variant>
      <vt:variant>
        <vt:lpwstr/>
      </vt:variant>
      <vt:variant>
        <vt:i4>3735601</vt:i4>
      </vt:variant>
      <vt:variant>
        <vt:i4>3</vt:i4>
      </vt:variant>
      <vt:variant>
        <vt:i4>0</vt:i4>
      </vt:variant>
      <vt:variant>
        <vt:i4>5</vt:i4>
      </vt:variant>
      <vt:variant>
        <vt:lpwstr>http://www.census.gov/const/C40/Table2/tb2u2010.txt</vt:lpwstr>
      </vt:variant>
      <vt:variant>
        <vt:lpwstr/>
      </vt:variant>
      <vt:variant>
        <vt:i4>786436</vt:i4>
      </vt:variant>
      <vt:variant>
        <vt:i4>0</vt:i4>
      </vt:variant>
      <vt:variant>
        <vt:i4>0</vt:i4>
      </vt:variant>
      <vt:variant>
        <vt:i4>5</vt:i4>
      </vt:variant>
      <vt:variant>
        <vt:lpwstr>http://www.census.gov/const/startsua.pdf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BURNING - LAND CLEARING DEBRIS</dc:title>
  <dc:creator>Jonathan Graves Dorn</dc:creator>
  <cp:lastModifiedBy>StClair, Aimee</cp:lastModifiedBy>
  <cp:revision>3</cp:revision>
  <dcterms:created xsi:type="dcterms:W3CDTF">2019-05-02T16:57:00Z</dcterms:created>
  <dcterms:modified xsi:type="dcterms:W3CDTF">2019-05-02T16:59:00Z</dcterms:modified>
</cp:coreProperties>
</file>