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F28D5" w14:textId="7D8942DF" w:rsidR="00B676C9" w:rsidRDefault="00B676C9" w:rsidP="008D2733">
      <w:pPr>
        <w:rPr>
          <w:b/>
          <w:bCs/>
        </w:rPr>
      </w:pPr>
      <w:r>
        <w:rPr>
          <w:b/>
          <w:bCs/>
        </w:rPr>
        <w:t>GHG emissions data in NEXUS: Overview</w:t>
      </w:r>
    </w:p>
    <w:p w14:paraId="15D7704E" w14:textId="04FC2D97" w:rsidR="00B676C9" w:rsidRDefault="00B676C9" w:rsidP="008D2733">
      <w:pPr>
        <w:rPr>
          <w:b/>
          <w:bCs/>
        </w:rPr>
      </w:pPr>
    </w:p>
    <w:p w14:paraId="08FABEB9" w14:textId="63DA5F77" w:rsidR="007E1350" w:rsidRDefault="00A06D15" w:rsidP="008D2733">
      <w:pPr>
        <w:rPr>
          <w:rFonts w:asciiTheme="minorHAnsi" w:hAnsiTheme="minorHAnsi" w:cstheme="minorHAnsi"/>
        </w:rPr>
      </w:pPr>
      <w:r w:rsidRPr="00A06D15">
        <w:rPr>
          <w:rFonts w:asciiTheme="minorHAnsi" w:hAnsiTheme="minorHAnsi" w:cstheme="minorHAnsi"/>
        </w:rPr>
        <w:t>NEXUS is an advanced screening tool to inform multi-pollutant air quality planning through its unique ability to access and display multiple data layers in a single platform, including criteria and toxic pollutant emissions, concentrations, and risk data; criteria and toxic pollutant monitoring data</w:t>
      </w:r>
      <w:r w:rsidR="007E1350">
        <w:rPr>
          <w:rFonts w:asciiTheme="minorHAnsi" w:hAnsiTheme="minorHAnsi" w:cstheme="minorHAnsi"/>
        </w:rPr>
        <w:t xml:space="preserve">, and </w:t>
      </w:r>
      <w:r w:rsidRPr="00A06D15">
        <w:rPr>
          <w:rFonts w:asciiTheme="minorHAnsi" w:hAnsiTheme="minorHAnsi" w:cstheme="minorHAnsi"/>
        </w:rPr>
        <w:t>Environmental Justice (EJ)/demographic and climate risk indicators</w:t>
      </w:r>
      <w:r w:rsidR="007E1350">
        <w:rPr>
          <w:rFonts w:asciiTheme="minorHAnsi" w:hAnsiTheme="minorHAnsi" w:cstheme="minorHAnsi"/>
        </w:rPr>
        <w:t>.</w:t>
      </w:r>
    </w:p>
    <w:p w14:paraId="65991A07" w14:textId="77777777" w:rsidR="007E1350" w:rsidRDefault="007E1350" w:rsidP="008D2733">
      <w:pPr>
        <w:rPr>
          <w:rFonts w:asciiTheme="minorHAnsi" w:hAnsiTheme="minorHAnsi" w:cstheme="minorHAnsi"/>
        </w:rPr>
      </w:pPr>
    </w:p>
    <w:p w14:paraId="7774067A" w14:textId="77777777" w:rsidR="00FB1322" w:rsidRDefault="00FB1322" w:rsidP="008D273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Greenhouse gas (</w:t>
      </w:r>
      <w:r w:rsidR="00A06D15" w:rsidRPr="007E1350">
        <w:rPr>
          <w:rFonts w:asciiTheme="minorHAnsi" w:hAnsiTheme="minorHAnsi" w:cstheme="minorHAnsi"/>
        </w:rPr>
        <w:t>GHG</w:t>
      </w:r>
      <w:r>
        <w:rPr>
          <w:rFonts w:asciiTheme="minorHAnsi" w:hAnsiTheme="minorHAnsi" w:cstheme="minorHAnsi"/>
        </w:rPr>
        <w:t>)</w:t>
      </w:r>
      <w:r w:rsidR="00A06D15" w:rsidRPr="007E1350">
        <w:rPr>
          <w:rFonts w:asciiTheme="minorHAnsi" w:hAnsiTheme="minorHAnsi" w:cstheme="minorHAnsi"/>
        </w:rPr>
        <w:t xml:space="preserve"> emissions data have </w:t>
      </w:r>
      <w:r w:rsidR="00AE7DC6" w:rsidRPr="007E1350">
        <w:rPr>
          <w:rFonts w:asciiTheme="minorHAnsi" w:hAnsiTheme="minorHAnsi" w:cstheme="minorHAnsi"/>
        </w:rPr>
        <w:t xml:space="preserve">recently </w:t>
      </w:r>
      <w:r w:rsidR="00A06D15" w:rsidRPr="007E1350">
        <w:rPr>
          <w:rFonts w:asciiTheme="minorHAnsi" w:hAnsiTheme="minorHAnsi" w:cstheme="minorHAnsi"/>
        </w:rPr>
        <w:t xml:space="preserve">been </w:t>
      </w:r>
      <w:r w:rsidR="00AE7DC6">
        <w:rPr>
          <w:rFonts w:asciiTheme="minorHAnsi" w:hAnsiTheme="minorHAnsi" w:cstheme="minorHAnsi"/>
        </w:rPr>
        <w:t>included</w:t>
      </w:r>
      <w:r w:rsidR="00A06D15" w:rsidRPr="007E1350">
        <w:rPr>
          <w:rFonts w:asciiTheme="minorHAnsi" w:hAnsiTheme="minorHAnsi" w:cstheme="minorHAnsi"/>
        </w:rPr>
        <w:t xml:space="preserve"> </w:t>
      </w:r>
      <w:r w:rsidR="00AE7DC6">
        <w:rPr>
          <w:rFonts w:asciiTheme="minorHAnsi" w:hAnsiTheme="minorHAnsi" w:cstheme="minorHAnsi"/>
        </w:rPr>
        <w:t xml:space="preserve">by using </w:t>
      </w:r>
      <w:r>
        <w:rPr>
          <w:rFonts w:asciiTheme="minorHAnsi" w:hAnsiTheme="minorHAnsi" w:cstheme="minorHAnsi"/>
        </w:rPr>
        <w:t xml:space="preserve">facility level data from </w:t>
      </w:r>
      <w:r w:rsidR="00AE7DC6">
        <w:rPr>
          <w:rFonts w:asciiTheme="minorHAnsi" w:hAnsiTheme="minorHAnsi" w:cstheme="minorHAnsi"/>
        </w:rPr>
        <w:t>the</w:t>
      </w:r>
      <w:r w:rsidR="00A06D15" w:rsidRPr="007E1350">
        <w:rPr>
          <w:rFonts w:asciiTheme="minorHAnsi" w:hAnsiTheme="minorHAnsi" w:cstheme="minorHAnsi"/>
        </w:rPr>
        <w:t xml:space="preserve"> 2017</w:t>
      </w:r>
      <w:r w:rsidR="007E1350">
        <w:rPr>
          <w:rFonts w:asciiTheme="minorHAnsi" w:hAnsiTheme="minorHAnsi" w:cstheme="minorHAnsi"/>
        </w:rPr>
        <w:t xml:space="preserve"> </w:t>
      </w:r>
      <w:r w:rsidR="00A06D15" w:rsidRPr="007E1350">
        <w:rPr>
          <w:rFonts w:asciiTheme="minorHAnsi" w:hAnsiTheme="minorHAnsi" w:cstheme="minorHAnsi"/>
        </w:rPr>
        <w:t>NEI</w:t>
      </w:r>
      <w:r w:rsidR="007E1350">
        <w:rPr>
          <w:rFonts w:asciiTheme="minorHAnsi" w:hAnsiTheme="minorHAnsi" w:cstheme="minorHAnsi"/>
        </w:rPr>
        <w:t xml:space="preserve"> data, which is based on GHGRP </w:t>
      </w:r>
      <w:r w:rsidR="00AE7DC6">
        <w:rPr>
          <w:rFonts w:asciiTheme="minorHAnsi" w:hAnsiTheme="minorHAnsi" w:cstheme="minorHAnsi"/>
        </w:rPr>
        <w:t xml:space="preserve">data (dated May 2019).  The </w:t>
      </w:r>
      <w:r>
        <w:rPr>
          <w:rFonts w:asciiTheme="minorHAnsi" w:hAnsiTheme="minorHAnsi" w:cstheme="minorHAnsi"/>
        </w:rPr>
        <w:t xml:space="preserve">current set of </w:t>
      </w:r>
      <w:r w:rsidR="00AE7DC6">
        <w:rPr>
          <w:rFonts w:asciiTheme="minorHAnsi" w:hAnsiTheme="minorHAnsi" w:cstheme="minorHAnsi"/>
        </w:rPr>
        <w:t>GHG emissions data in 2017 NEI is adopted</w:t>
      </w:r>
      <w:r w:rsidR="007E1350" w:rsidRPr="007E1350">
        <w:rPr>
          <w:rFonts w:asciiTheme="minorHAnsi" w:hAnsiTheme="minorHAnsi" w:cstheme="minorHAnsi"/>
        </w:rPr>
        <w:t xml:space="preserve"> to be in sync with criteria and toxic pollutant emissions</w:t>
      </w:r>
      <w:r w:rsidR="007E1350">
        <w:rPr>
          <w:rFonts w:asciiTheme="minorHAnsi" w:hAnsiTheme="minorHAnsi" w:cstheme="minorHAnsi"/>
        </w:rPr>
        <w:t xml:space="preserve"> as part of</w:t>
      </w:r>
      <w:r w:rsidR="007E1350" w:rsidRPr="007E135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air quality </w:t>
      </w:r>
      <w:r w:rsidR="007E1350" w:rsidRPr="007E1350">
        <w:rPr>
          <w:rFonts w:asciiTheme="minorHAnsi" w:hAnsiTheme="minorHAnsi" w:cstheme="minorHAnsi"/>
        </w:rPr>
        <w:t>planning for the NEXUS tool</w:t>
      </w:r>
      <w:r>
        <w:rPr>
          <w:rFonts w:asciiTheme="minorHAnsi" w:hAnsiTheme="minorHAnsi" w:cstheme="minorHAnsi"/>
        </w:rPr>
        <w:t>.  These data should be considered as placeholder for now; however, are valuable to illustrate the</w:t>
      </w:r>
      <w:r w:rsidR="007E1350" w:rsidRPr="007E1350">
        <w:rPr>
          <w:rFonts w:asciiTheme="minorHAnsi" w:hAnsiTheme="minorHAnsi" w:cstheme="minorHAnsi"/>
        </w:rPr>
        <w:t xml:space="preserve"> utility </w:t>
      </w:r>
      <w:r>
        <w:rPr>
          <w:rFonts w:asciiTheme="minorHAnsi" w:hAnsiTheme="minorHAnsi" w:cstheme="minorHAnsi"/>
        </w:rPr>
        <w:t xml:space="preserve">to account for GHG co-control potential in air quality planning and potentially </w:t>
      </w:r>
      <w:r w:rsidR="007E1350" w:rsidRPr="007E1350">
        <w:rPr>
          <w:rFonts w:asciiTheme="minorHAnsi" w:hAnsiTheme="minorHAnsi" w:cstheme="minorHAnsi"/>
        </w:rPr>
        <w:t xml:space="preserve">informing IRA </w:t>
      </w:r>
      <w:r>
        <w:rPr>
          <w:rFonts w:asciiTheme="minorHAnsi" w:hAnsiTheme="minorHAnsi" w:cstheme="minorHAnsi"/>
        </w:rPr>
        <w:t xml:space="preserve">and </w:t>
      </w:r>
      <w:r w:rsidR="007E1350" w:rsidRPr="007E1350">
        <w:rPr>
          <w:rFonts w:asciiTheme="minorHAnsi" w:hAnsiTheme="minorHAnsi" w:cstheme="minorHAnsi"/>
        </w:rPr>
        <w:t xml:space="preserve">related </w:t>
      </w:r>
      <w:r>
        <w:rPr>
          <w:rFonts w:asciiTheme="minorHAnsi" w:hAnsiTheme="minorHAnsi" w:cstheme="minorHAnsi"/>
        </w:rPr>
        <w:t xml:space="preserve">climate </w:t>
      </w:r>
      <w:r w:rsidR="007E1350" w:rsidRPr="007E1350">
        <w:rPr>
          <w:rFonts w:asciiTheme="minorHAnsi" w:hAnsiTheme="minorHAnsi" w:cstheme="minorHAnsi"/>
        </w:rPr>
        <w:t xml:space="preserve">activities </w:t>
      </w:r>
      <w:r>
        <w:rPr>
          <w:rFonts w:asciiTheme="minorHAnsi" w:hAnsiTheme="minorHAnsi" w:cstheme="minorHAnsi"/>
        </w:rPr>
        <w:t>in the future</w:t>
      </w:r>
      <w:r w:rsidR="007E1350" w:rsidRPr="007E1350">
        <w:rPr>
          <w:rFonts w:asciiTheme="minorHAnsi" w:hAnsiTheme="minorHAnsi" w:cstheme="minorHAnsi"/>
        </w:rPr>
        <w:t xml:space="preserve">. </w:t>
      </w:r>
      <w:r w:rsidR="007E135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For the public release of NEXUS, we</w:t>
      </w:r>
      <w:r w:rsidR="007E135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will</w:t>
      </w:r>
      <w:r w:rsidR="007E1350">
        <w:rPr>
          <w:rFonts w:asciiTheme="minorHAnsi" w:hAnsiTheme="minorHAnsi" w:cstheme="minorHAnsi"/>
        </w:rPr>
        <w:t xml:space="preserve"> leverage the </w:t>
      </w:r>
      <w:r>
        <w:rPr>
          <w:rFonts w:asciiTheme="minorHAnsi" w:hAnsiTheme="minorHAnsi" w:cstheme="minorHAnsi"/>
        </w:rPr>
        <w:t xml:space="preserve">‘harmonized’ GHG-CAP-HAP emissions inventory </w:t>
      </w:r>
      <w:r w:rsidR="007E1350">
        <w:rPr>
          <w:rFonts w:asciiTheme="minorHAnsi" w:hAnsiTheme="minorHAnsi" w:cstheme="minorHAnsi"/>
        </w:rPr>
        <w:t xml:space="preserve">data product that </w:t>
      </w:r>
      <w:r>
        <w:rPr>
          <w:rFonts w:asciiTheme="minorHAnsi" w:hAnsiTheme="minorHAnsi" w:cstheme="minorHAnsi"/>
        </w:rPr>
        <w:t xml:space="preserve">is expected to be developed as part of </w:t>
      </w:r>
      <w:r w:rsidRPr="00FB1322">
        <w:rPr>
          <w:rFonts w:asciiTheme="minorHAnsi" w:hAnsiTheme="minorHAnsi" w:cstheme="minorHAnsi"/>
        </w:rPr>
        <w:t>the</w:t>
      </w:r>
      <w:r w:rsidR="007E1350" w:rsidRPr="00FB1322">
        <w:rPr>
          <w:rFonts w:asciiTheme="minorHAnsi" w:hAnsiTheme="minorHAnsi" w:cstheme="minorHAnsi"/>
        </w:rPr>
        <w:t xml:space="preserve"> IRA</w:t>
      </w:r>
      <w:r w:rsidRPr="00FB1322">
        <w:rPr>
          <w:rFonts w:asciiTheme="minorHAnsi" w:hAnsiTheme="minorHAnsi" w:cstheme="minorHAnsi"/>
        </w:rPr>
        <w:t>’s</w:t>
      </w:r>
      <w:r w:rsidR="007E1350" w:rsidRPr="00FB1322">
        <w:rPr>
          <w:rFonts w:asciiTheme="minorHAnsi" w:hAnsiTheme="minorHAnsi" w:cstheme="minorHAnsi"/>
        </w:rPr>
        <w:t xml:space="preserve"> C</w:t>
      </w:r>
      <w:r w:rsidRPr="00FB1322">
        <w:rPr>
          <w:rFonts w:asciiTheme="minorHAnsi" w:hAnsiTheme="minorHAnsi" w:cstheme="minorHAnsi"/>
        </w:rPr>
        <w:t xml:space="preserve">limate </w:t>
      </w:r>
      <w:r w:rsidR="007E1350" w:rsidRPr="00FB1322">
        <w:rPr>
          <w:rFonts w:asciiTheme="minorHAnsi" w:hAnsiTheme="minorHAnsi" w:cstheme="minorHAnsi"/>
        </w:rPr>
        <w:t>P</w:t>
      </w:r>
      <w:r w:rsidRPr="00FB1322">
        <w:rPr>
          <w:rFonts w:asciiTheme="minorHAnsi" w:hAnsiTheme="minorHAnsi" w:cstheme="minorHAnsi"/>
        </w:rPr>
        <w:t xml:space="preserve">ollutant </w:t>
      </w:r>
      <w:r w:rsidR="007E1350" w:rsidRPr="00FB1322">
        <w:rPr>
          <w:rFonts w:asciiTheme="minorHAnsi" w:hAnsiTheme="minorHAnsi" w:cstheme="minorHAnsi"/>
        </w:rPr>
        <w:t>R</w:t>
      </w:r>
      <w:r w:rsidRPr="00FB1322">
        <w:rPr>
          <w:rFonts w:asciiTheme="minorHAnsi" w:hAnsiTheme="minorHAnsi" w:cstheme="minorHAnsi"/>
        </w:rPr>
        <w:t xml:space="preserve">eduction </w:t>
      </w:r>
      <w:r w:rsidR="007E1350" w:rsidRPr="00FB1322">
        <w:rPr>
          <w:rFonts w:asciiTheme="minorHAnsi" w:hAnsiTheme="minorHAnsi" w:cstheme="minorHAnsi"/>
        </w:rPr>
        <w:t>G</w:t>
      </w:r>
      <w:r w:rsidRPr="00FB1322">
        <w:rPr>
          <w:rFonts w:asciiTheme="minorHAnsi" w:hAnsiTheme="minorHAnsi" w:cstheme="minorHAnsi"/>
        </w:rPr>
        <w:t>rants (CPRG)</w:t>
      </w:r>
      <w:r w:rsidR="007E1350" w:rsidRPr="00FB1322">
        <w:rPr>
          <w:rFonts w:asciiTheme="minorHAnsi" w:hAnsiTheme="minorHAnsi" w:cstheme="minorHAnsi"/>
        </w:rPr>
        <w:t xml:space="preserve"> plan</w:t>
      </w:r>
      <w:r w:rsidRPr="00FB1322">
        <w:rPr>
          <w:rFonts w:asciiTheme="minorHAnsi" w:hAnsiTheme="minorHAnsi" w:cstheme="minorHAnsi"/>
        </w:rPr>
        <w:t>ning efforts</w:t>
      </w:r>
      <w:r w:rsidR="007E1350" w:rsidRPr="00FB1322">
        <w:rPr>
          <w:rFonts w:asciiTheme="minorHAnsi" w:hAnsiTheme="minorHAnsi" w:cstheme="minorHAnsi"/>
        </w:rPr>
        <w:t xml:space="preserve">.  </w:t>
      </w:r>
    </w:p>
    <w:p w14:paraId="0616AB78" w14:textId="77777777" w:rsidR="00FB1322" w:rsidRDefault="00FB1322" w:rsidP="008D2733">
      <w:pPr>
        <w:rPr>
          <w:rFonts w:asciiTheme="minorHAnsi" w:hAnsiTheme="minorHAnsi" w:cstheme="minorHAnsi"/>
        </w:rPr>
      </w:pPr>
    </w:p>
    <w:p w14:paraId="596DB7BF" w14:textId="529C1706" w:rsidR="00B676C9" w:rsidRPr="007E1350" w:rsidRDefault="00C532E3" w:rsidP="008D2733">
      <w:pPr>
        <w:rPr>
          <w:rFonts w:asciiTheme="minorHAnsi" w:hAnsiTheme="minorHAnsi" w:cstheme="minorHAnsi"/>
        </w:rPr>
      </w:pPr>
      <w:r>
        <w:t xml:space="preserve">The remainder of this document provides background information on the nature of the </w:t>
      </w:r>
      <w:r w:rsidR="00FB1322">
        <w:t xml:space="preserve">current 2017 NEI-based </w:t>
      </w:r>
      <w:r>
        <w:t xml:space="preserve">GHG emissions data </w:t>
      </w:r>
      <w:r w:rsidR="00FB1322">
        <w:t xml:space="preserve">within </w:t>
      </w:r>
      <w:r>
        <w:t>NEXUS.</w:t>
      </w:r>
    </w:p>
    <w:p w14:paraId="36D89BD2" w14:textId="77777777" w:rsidR="00B676C9" w:rsidRDefault="00B676C9" w:rsidP="008D2733">
      <w:pPr>
        <w:rPr>
          <w:b/>
          <w:bCs/>
        </w:rPr>
      </w:pPr>
    </w:p>
    <w:p w14:paraId="3833CBAA" w14:textId="554E45CD" w:rsidR="008D2733" w:rsidRDefault="008D2733" w:rsidP="008D2733">
      <w:pPr>
        <w:rPr>
          <w:b/>
          <w:bCs/>
        </w:rPr>
      </w:pPr>
      <w:r>
        <w:rPr>
          <w:b/>
          <w:bCs/>
        </w:rPr>
        <w:t xml:space="preserve">Which version of 2017 NEI was used?  </w:t>
      </w:r>
    </w:p>
    <w:p w14:paraId="36190E8D" w14:textId="1A810FA5" w:rsidR="008D2733" w:rsidRDefault="008D2733" w:rsidP="008D2733">
      <w:pPr>
        <w:rPr>
          <w:b/>
          <w:bCs/>
        </w:rPr>
      </w:pPr>
    </w:p>
    <w:p w14:paraId="6441DBD8" w14:textId="7F6077E0" w:rsidR="008D2733" w:rsidRPr="008D2733" w:rsidRDefault="008D2733" w:rsidP="008D2733">
      <w:pPr>
        <w:ind w:firstLine="720"/>
      </w:pPr>
      <w:r w:rsidRPr="008D2733">
        <w:t>The final version, EIS dataset 2017NEI</w:t>
      </w:r>
      <w:r w:rsidR="007845AD">
        <w:t xml:space="preserve"> (per Rich Mason)</w:t>
      </w:r>
      <w:r w:rsidRPr="008D2733">
        <w:t>.</w:t>
      </w:r>
    </w:p>
    <w:p w14:paraId="24B3A300" w14:textId="77777777" w:rsidR="008D2733" w:rsidRDefault="008D2733" w:rsidP="008D2733">
      <w:pPr>
        <w:rPr>
          <w:b/>
          <w:bCs/>
        </w:rPr>
      </w:pPr>
    </w:p>
    <w:p w14:paraId="7A50103C" w14:textId="77777777" w:rsidR="008D2733" w:rsidRDefault="008D2733" w:rsidP="008D2733">
      <w:pPr>
        <w:rPr>
          <w:b/>
          <w:bCs/>
        </w:rPr>
      </w:pPr>
      <w:r>
        <w:rPr>
          <w:b/>
          <w:bCs/>
        </w:rPr>
        <w:t>What is the transfer mechanism? (e.g., NEI report, modeling file, modeling summary?)</w:t>
      </w:r>
    </w:p>
    <w:p w14:paraId="6C8BC5E8" w14:textId="4F2AA5C1" w:rsidR="008D2733" w:rsidRDefault="008D2733" w:rsidP="008D2733">
      <w:pPr>
        <w:rPr>
          <w:b/>
          <w:bCs/>
        </w:rPr>
      </w:pPr>
    </w:p>
    <w:p w14:paraId="3225C078" w14:textId="11B94482" w:rsidR="008D2733" w:rsidRPr="008D2733" w:rsidRDefault="008D2733" w:rsidP="008D2733">
      <w:pPr>
        <w:ind w:firstLine="720"/>
      </w:pPr>
      <w:r w:rsidRPr="008D2733">
        <w:t>Rich pointed Carey to an EIS county/data category report and the NEI website</w:t>
      </w:r>
      <w:r w:rsidR="007845AD">
        <w:t xml:space="preserve"> (per Rich Mason).</w:t>
      </w:r>
    </w:p>
    <w:p w14:paraId="067DDE92" w14:textId="77777777" w:rsidR="008D2733" w:rsidRDefault="008D2733" w:rsidP="008D2733">
      <w:pPr>
        <w:rPr>
          <w:b/>
          <w:bCs/>
        </w:rPr>
      </w:pPr>
    </w:p>
    <w:p w14:paraId="493435B7" w14:textId="77777777" w:rsidR="008D2733" w:rsidRDefault="008D2733" w:rsidP="008D2733">
      <w:pPr>
        <w:rPr>
          <w:b/>
          <w:bCs/>
        </w:rPr>
      </w:pPr>
      <w:r>
        <w:rPr>
          <w:b/>
          <w:bCs/>
        </w:rPr>
        <w:t>When was the 2017 data last transferred?</w:t>
      </w:r>
    </w:p>
    <w:p w14:paraId="72FD7EA0" w14:textId="479AF824" w:rsidR="008D2733" w:rsidRDefault="008D2733" w:rsidP="008D2733">
      <w:pPr>
        <w:rPr>
          <w:b/>
          <w:bCs/>
        </w:rPr>
      </w:pPr>
    </w:p>
    <w:p w14:paraId="1F2E4E27" w14:textId="08D6DB0A" w:rsidR="008D2733" w:rsidRPr="008D2733" w:rsidRDefault="008D2733" w:rsidP="008D2733">
      <w:pPr>
        <w:ind w:firstLine="720"/>
      </w:pPr>
      <w:r w:rsidRPr="008D2733">
        <w:t>The final version of the 2017 NEI is currently in NEXUS</w:t>
      </w:r>
      <w:r w:rsidR="007845AD">
        <w:t xml:space="preserve"> (per Rich Mason).</w:t>
      </w:r>
    </w:p>
    <w:p w14:paraId="1188E52E" w14:textId="77777777" w:rsidR="008D2733" w:rsidRDefault="008D2733" w:rsidP="008D2733">
      <w:pPr>
        <w:rPr>
          <w:b/>
          <w:bCs/>
        </w:rPr>
      </w:pPr>
    </w:p>
    <w:p w14:paraId="01EFB578" w14:textId="77777777" w:rsidR="008D2733" w:rsidRDefault="008D2733" w:rsidP="008D2733">
      <w:pPr>
        <w:rPr>
          <w:b/>
          <w:bCs/>
        </w:rPr>
      </w:pPr>
      <w:r>
        <w:rPr>
          <w:b/>
          <w:bCs/>
        </w:rPr>
        <w:t>Which GHG pollutants are included in NEXUS?</w:t>
      </w:r>
    </w:p>
    <w:p w14:paraId="1760575D" w14:textId="56510BC2" w:rsidR="00852E3F" w:rsidRDefault="00852E3F"/>
    <w:p w14:paraId="7E3CEB89" w14:textId="65249EE0" w:rsidR="008D2733" w:rsidRDefault="008D2733" w:rsidP="008D2733">
      <w:pPr>
        <w:ind w:left="720"/>
      </w:pPr>
      <w:r>
        <w:t>NEXUS currently reports a summation of all GHGs in terms of CO2</w:t>
      </w:r>
      <w:r w:rsidR="00FB1322">
        <w:t xml:space="preserve"> </w:t>
      </w:r>
      <w:r>
        <w:t>e</w:t>
      </w:r>
      <w:r w:rsidR="00FB1322">
        <w:t>quivalent (CO2e)</w:t>
      </w:r>
      <w:r>
        <w:t xml:space="preserve">. This is the </w:t>
      </w:r>
      <w:r w:rsidR="00A06D15">
        <w:t>GWP-</w:t>
      </w:r>
      <w:r>
        <w:t xml:space="preserve">weighted summation of </w:t>
      </w:r>
      <w:r w:rsidR="009B127B">
        <w:t>4</w:t>
      </w:r>
      <w:r>
        <w:t xml:space="preserve"> individual GHGs</w:t>
      </w:r>
      <w:r w:rsidR="00A06D15">
        <w:t xml:space="preserve"> (CO2, CH4, N2O, and SF6</w:t>
      </w:r>
      <w:r w:rsidR="00FB1322">
        <w:t>) that are included in 2017 NEI (per Ron Ryan)</w:t>
      </w:r>
    </w:p>
    <w:p w14:paraId="65B1EC42" w14:textId="77777777" w:rsidR="008D2733" w:rsidRDefault="008D2733" w:rsidP="008D2733">
      <w:pPr>
        <w:pStyle w:val="ListParagraph"/>
        <w:ind w:left="0"/>
      </w:pPr>
    </w:p>
    <w:p w14:paraId="3D9807D9" w14:textId="77777777" w:rsidR="008D2733" w:rsidRPr="008D2733" w:rsidRDefault="008D2733" w:rsidP="008D2733">
      <w:pPr>
        <w:rPr>
          <w:rFonts w:eastAsia="Times New Roman"/>
          <w:b/>
          <w:bCs/>
        </w:rPr>
      </w:pPr>
      <w:r w:rsidRPr="008D2733">
        <w:rPr>
          <w:rFonts w:eastAsia="Times New Roman"/>
          <w:b/>
          <w:bCs/>
        </w:rPr>
        <w:t>What version of GHGRP data did OAQPS use to prepare the 2017 NEI?</w:t>
      </w:r>
    </w:p>
    <w:p w14:paraId="0C71F4FE" w14:textId="7D0ACFB0" w:rsidR="008D2733" w:rsidRDefault="008D2733" w:rsidP="008D2733">
      <w:pPr>
        <w:pStyle w:val="ListParagraph"/>
        <w:ind w:left="0"/>
      </w:pPr>
    </w:p>
    <w:p w14:paraId="22CE82BC" w14:textId="7B4A84BB" w:rsidR="007845AD" w:rsidRDefault="007845AD" w:rsidP="00FB1322">
      <w:pPr>
        <w:pStyle w:val="ListParagraph"/>
      </w:pPr>
      <w:r>
        <w:t>GHGRP dated May 8, 2019, though header indicates it was data submitted through Aug. 19, 2018 (per Ron Ryan).</w:t>
      </w:r>
    </w:p>
    <w:p w14:paraId="52471215" w14:textId="77777777" w:rsidR="007845AD" w:rsidRDefault="007845AD" w:rsidP="008D2733">
      <w:pPr>
        <w:pStyle w:val="ListParagraph"/>
        <w:ind w:left="0"/>
      </w:pPr>
    </w:p>
    <w:p w14:paraId="0AD060A2" w14:textId="77777777" w:rsidR="008D2733" w:rsidRPr="008D2733" w:rsidRDefault="008D2733" w:rsidP="008D2733">
      <w:pPr>
        <w:rPr>
          <w:rFonts w:eastAsia="Times New Roman"/>
          <w:b/>
          <w:bCs/>
        </w:rPr>
      </w:pPr>
      <w:r w:rsidRPr="008D2733">
        <w:rPr>
          <w:rFonts w:eastAsia="Times New Roman"/>
          <w:b/>
          <w:bCs/>
        </w:rPr>
        <w:t>What are the total GHG emissions in 2017 NEI from GHGRP versus additional emissions from SLTs?</w:t>
      </w:r>
    </w:p>
    <w:p w14:paraId="13A14E7B" w14:textId="77777777" w:rsidR="00275151" w:rsidRDefault="00275151" w:rsidP="008D2733"/>
    <w:tbl>
      <w:tblPr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1620"/>
        <w:gridCol w:w="1505"/>
        <w:gridCol w:w="1040"/>
        <w:gridCol w:w="1154"/>
        <w:gridCol w:w="1240"/>
      </w:tblGrid>
      <w:tr w:rsidR="00A06D15" w:rsidRPr="007845AD" w14:paraId="73FDB34B" w14:textId="77777777" w:rsidTr="00A06D15">
        <w:trPr>
          <w:trHeight w:val="300"/>
        </w:trPr>
        <w:tc>
          <w:tcPr>
            <w:tcW w:w="3415" w:type="dxa"/>
            <w:shd w:val="clear" w:color="auto" w:fill="auto"/>
            <w:noWrap/>
            <w:vAlign w:val="bottom"/>
          </w:tcPr>
          <w:p w14:paraId="5516E063" w14:textId="77777777" w:rsidR="00A06D15" w:rsidRPr="00275151" w:rsidRDefault="00A06D15" w:rsidP="007845AD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69AB09BC" w14:textId="31A2048D" w:rsidR="00A06D15" w:rsidRPr="00FB1322" w:rsidRDefault="00A06D15" w:rsidP="00A06D15">
            <w:pPr>
              <w:jc w:val="center"/>
              <w:rPr>
                <w:rFonts w:eastAsia="Times New Roman"/>
                <w:color w:val="000000"/>
              </w:rPr>
            </w:pPr>
            <w:r w:rsidRPr="00FB1322">
              <w:rPr>
                <w:rFonts w:eastAsia="Times New Roman"/>
                <w:color w:val="000000"/>
              </w:rPr>
              <w:t>CO2</w:t>
            </w:r>
          </w:p>
        </w:tc>
        <w:tc>
          <w:tcPr>
            <w:tcW w:w="1505" w:type="dxa"/>
            <w:shd w:val="clear" w:color="auto" w:fill="auto"/>
            <w:noWrap/>
            <w:vAlign w:val="bottom"/>
          </w:tcPr>
          <w:p w14:paraId="61A14DFB" w14:textId="67A1AA15" w:rsidR="00A06D15" w:rsidRPr="00FB1322" w:rsidRDefault="00A06D15" w:rsidP="00A06D15">
            <w:pPr>
              <w:jc w:val="center"/>
              <w:rPr>
                <w:rFonts w:eastAsia="Times New Roman"/>
                <w:color w:val="000000"/>
              </w:rPr>
            </w:pPr>
            <w:r w:rsidRPr="00FB1322">
              <w:rPr>
                <w:rFonts w:eastAsia="Times New Roman"/>
                <w:color w:val="000000"/>
              </w:rPr>
              <w:t>CH4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04398A7A" w14:textId="360BC758" w:rsidR="00A06D15" w:rsidRPr="00FB1322" w:rsidRDefault="00A06D15" w:rsidP="00A06D15">
            <w:pPr>
              <w:jc w:val="center"/>
              <w:rPr>
                <w:rFonts w:eastAsia="Times New Roman"/>
                <w:color w:val="000000"/>
              </w:rPr>
            </w:pPr>
            <w:r w:rsidRPr="00FB1322">
              <w:rPr>
                <w:rFonts w:eastAsia="Times New Roman"/>
                <w:color w:val="000000"/>
              </w:rPr>
              <w:t>N2O</w:t>
            </w:r>
          </w:p>
        </w:tc>
        <w:tc>
          <w:tcPr>
            <w:tcW w:w="1154" w:type="dxa"/>
            <w:shd w:val="clear" w:color="auto" w:fill="auto"/>
            <w:noWrap/>
            <w:vAlign w:val="bottom"/>
          </w:tcPr>
          <w:p w14:paraId="2E821A33" w14:textId="257161AB" w:rsidR="00A06D15" w:rsidRPr="00FB1322" w:rsidRDefault="00A06D15" w:rsidP="00A06D15">
            <w:pPr>
              <w:jc w:val="center"/>
              <w:rPr>
                <w:rFonts w:eastAsia="Times New Roman"/>
                <w:color w:val="000000"/>
              </w:rPr>
            </w:pPr>
            <w:r w:rsidRPr="00FB1322">
              <w:rPr>
                <w:rFonts w:eastAsia="Times New Roman"/>
                <w:color w:val="000000"/>
              </w:rPr>
              <w:t>SF6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5033F2FD" w14:textId="77777777" w:rsidR="00A06D15" w:rsidRPr="007845AD" w:rsidRDefault="00A06D15" w:rsidP="00A06D15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45AD" w:rsidRPr="007845AD" w14:paraId="26840457" w14:textId="77777777" w:rsidTr="00A06D15">
        <w:trPr>
          <w:trHeight w:val="300"/>
        </w:trPr>
        <w:tc>
          <w:tcPr>
            <w:tcW w:w="3415" w:type="dxa"/>
            <w:shd w:val="clear" w:color="auto" w:fill="auto"/>
            <w:noWrap/>
            <w:vAlign w:val="bottom"/>
            <w:hideMark/>
          </w:tcPr>
          <w:p w14:paraId="6290B1D0" w14:textId="77777777" w:rsidR="007845AD" w:rsidRPr="007845AD" w:rsidRDefault="007845AD" w:rsidP="007845AD">
            <w:pPr>
              <w:rPr>
                <w:rFonts w:eastAsia="Times New Roman"/>
                <w:color w:val="000000"/>
              </w:rPr>
            </w:pPr>
            <w:r w:rsidRPr="00275151">
              <w:rPr>
                <w:rFonts w:eastAsia="Times New Roman"/>
                <w:color w:val="000000"/>
                <w:sz w:val="24"/>
                <w:szCs w:val="24"/>
              </w:rPr>
              <w:t>2017</w:t>
            </w:r>
            <w:r w:rsidRPr="007845AD">
              <w:rPr>
                <w:rFonts w:eastAsia="Times New Roman"/>
                <w:color w:val="000000"/>
              </w:rPr>
              <w:t xml:space="preserve"> GHGRP-8/19/2018 version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402656E" w14:textId="77777777" w:rsidR="007845AD" w:rsidRPr="007845AD" w:rsidRDefault="007845AD" w:rsidP="007845AD">
            <w:pPr>
              <w:jc w:val="right"/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2,958,159,750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4AFA2A3E" w14:textId="77777777" w:rsidR="007845AD" w:rsidRPr="007845AD" w:rsidRDefault="007845AD" w:rsidP="007845AD">
            <w:pPr>
              <w:jc w:val="right"/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6,459,657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7A335AF8" w14:textId="77777777" w:rsidR="007845AD" w:rsidRPr="007845AD" w:rsidRDefault="007845AD" w:rsidP="007845AD">
            <w:pPr>
              <w:jc w:val="right"/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94,650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1F35E31E" w14:textId="77777777" w:rsidR="007845AD" w:rsidRPr="007845AD" w:rsidRDefault="007845AD" w:rsidP="007845AD">
            <w:pPr>
              <w:jc w:val="right"/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156B5A9" w14:textId="77777777" w:rsidR="007845AD" w:rsidRPr="007845AD" w:rsidRDefault="007845AD" w:rsidP="007845AD">
            <w:pPr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tons</w:t>
            </w:r>
          </w:p>
        </w:tc>
      </w:tr>
      <w:tr w:rsidR="007845AD" w:rsidRPr="007845AD" w14:paraId="5A13BB0B" w14:textId="77777777" w:rsidTr="00A06D15">
        <w:trPr>
          <w:trHeight w:val="300"/>
        </w:trPr>
        <w:tc>
          <w:tcPr>
            <w:tcW w:w="3415" w:type="dxa"/>
            <w:shd w:val="clear" w:color="auto" w:fill="auto"/>
            <w:noWrap/>
            <w:vAlign w:val="bottom"/>
            <w:hideMark/>
          </w:tcPr>
          <w:p w14:paraId="31A73F78" w14:textId="460043F3" w:rsidR="007845AD" w:rsidRPr="007845AD" w:rsidRDefault="007845AD" w:rsidP="007845AD">
            <w:pPr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2017 NEI</w:t>
            </w:r>
            <w:r>
              <w:rPr>
                <w:rFonts w:eastAsia="Times New Roman"/>
                <w:color w:val="000000"/>
              </w:rPr>
              <w:t xml:space="preserve"> Total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83AAB78" w14:textId="77777777" w:rsidR="007845AD" w:rsidRPr="007845AD" w:rsidRDefault="007845AD" w:rsidP="007845AD">
            <w:pPr>
              <w:jc w:val="right"/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2,958,786,159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7DD1025E" w14:textId="77777777" w:rsidR="007845AD" w:rsidRPr="007845AD" w:rsidRDefault="007845AD" w:rsidP="007845AD">
            <w:pPr>
              <w:jc w:val="right"/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4,719,240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654C004" w14:textId="77777777" w:rsidR="007845AD" w:rsidRPr="007845AD" w:rsidRDefault="007845AD" w:rsidP="007845AD">
            <w:pPr>
              <w:jc w:val="right"/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98,010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0C573AA3" w14:textId="77777777" w:rsidR="007845AD" w:rsidRPr="007845AD" w:rsidRDefault="007845AD" w:rsidP="007845AD">
            <w:pPr>
              <w:jc w:val="right"/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971493F" w14:textId="77777777" w:rsidR="007845AD" w:rsidRPr="007845AD" w:rsidRDefault="007845AD" w:rsidP="007845AD">
            <w:pPr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tons</w:t>
            </w:r>
          </w:p>
        </w:tc>
      </w:tr>
      <w:tr w:rsidR="007845AD" w:rsidRPr="007845AD" w14:paraId="030A98C8" w14:textId="77777777" w:rsidTr="00A06D15">
        <w:trPr>
          <w:trHeight w:val="300"/>
        </w:trPr>
        <w:tc>
          <w:tcPr>
            <w:tcW w:w="3415" w:type="dxa"/>
            <w:shd w:val="clear" w:color="auto" w:fill="auto"/>
            <w:noWrap/>
            <w:vAlign w:val="bottom"/>
            <w:hideMark/>
          </w:tcPr>
          <w:p w14:paraId="41FB87F0" w14:textId="15BD01AB" w:rsidR="007845AD" w:rsidRPr="007845AD" w:rsidRDefault="007845AD" w:rsidP="007845AD">
            <w:pPr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lastRenderedPageBreak/>
              <w:t xml:space="preserve">2017 </w:t>
            </w:r>
            <w:r>
              <w:rPr>
                <w:rFonts w:eastAsia="Times New Roman"/>
                <w:color w:val="000000"/>
              </w:rPr>
              <w:t xml:space="preserve">NEI </w:t>
            </w:r>
            <w:r w:rsidRPr="007845AD">
              <w:rPr>
                <w:rFonts w:eastAsia="Times New Roman"/>
                <w:color w:val="000000"/>
              </w:rPr>
              <w:t>GHGRP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99ACE16" w14:textId="77777777" w:rsidR="007845AD" w:rsidRPr="007845AD" w:rsidRDefault="007845AD" w:rsidP="007845AD">
            <w:pPr>
              <w:jc w:val="right"/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2,832,717,731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72E12244" w14:textId="77777777" w:rsidR="007845AD" w:rsidRPr="007845AD" w:rsidRDefault="007845AD" w:rsidP="007845AD">
            <w:pPr>
              <w:jc w:val="right"/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4,300,224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1EC89B5" w14:textId="77777777" w:rsidR="007845AD" w:rsidRPr="007845AD" w:rsidRDefault="007845AD" w:rsidP="007845AD">
            <w:pPr>
              <w:jc w:val="right"/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93,748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2A6BBA19" w14:textId="77777777" w:rsidR="007845AD" w:rsidRPr="007845AD" w:rsidRDefault="007845AD" w:rsidP="007845AD">
            <w:pPr>
              <w:jc w:val="right"/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1CF26A7" w14:textId="77777777" w:rsidR="007845AD" w:rsidRPr="007845AD" w:rsidRDefault="007845AD" w:rsidP="007845AD">
            <w:pPr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tons</w:t>
            </w:r>
          </w:p>
        </w:tc>
      </w:tr>
      <w:tr w:rsidR="007845AD" w:rsidRPr="007845AD" w14:paraId="4F59222D" w14:textId="77777777" w:rsidTr="00A06D15">
        <w:trPr>
          <w:trHeight w:val="300"/>
        </w:trPr>
        <w:tc>
          <w:tcPr>
            <w:tcW w:w="3415" w:type="dxa"/>
            <w:shd w:val="clear" w:color="auto" w:fill="auto"/>
            <w:noWrap/>
            <w:vAlign w:val="bottom"/>
            <w:hideMark/>
          </w:tcPr>
          <w:p w14:paraId="4893E868" w14:textId="04C95522" w:rsidR="007845AD" w:rsidRPr="007845AD" w:rsidRDefault="007845AD" w:rsidP="007845AD">
            <w:pPr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2017 NEI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7845AD">
              <w:rPr>
                <w:rFonts w:eastAsia="Times New Roman"/>
                <w:color w:val="000000"/>
              </w:rPr>
              <w:t>SLTs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D47ADA6" w14:textId="77777777" w:rsidR="007845AD" w:rsidRPr="007845AD" w:rsidRDefault="007845AD" w:rsidP="007845AD">
            <w:pPr>
              <w:jc w:val="right"/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126,068,427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71DDA3A0" w14:textId="77777777" w:rsidR="007845AD" w:rsidRPr="007845AD" w:rsidRDefault="007845AD" w:rsidP="007845AD">
            <w:pPr>
              <w:jc w:val="right"/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419,016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EDB27BC" w14:textId="77777777" w:rsidR="007845AD" w:rsidRPr="007845AD" w:rsidRDefault="007845AD" w:rsidP="007845AD">
            <w:pPr>
              <w:jc w:val="right"/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4,263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189045D2" w14:textId="77777777" w:rsidR="007845AD" w:rsidRPr="007845AD" w:rsidRDefault="007845AD" w:rsidP="007845AD">
            <w:pPr>
              <w:jc w:val="right"/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1D339B1" w14:textId="77777777" w:rsidR="007845AD" w:rsidRPr="007845AD" w:rsidRDefault="007845AD" w:rsidP="007845AD">
            <w:pPr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tons</w:t>
            </w:r>
          </w:p>
        </w:tc>
      </w:tr>
    </w:tbl>
    <w:p w14:paraId="110F2F75" w14:textId="66866FBB" w:rsidR="007845AD" w:rsidRDefault="004725DC" w:rsidP="008D2733">
      <w:r>
        <w:t xml:space="preserve">Source: </w:t>
      </w:r>
      <w:r w:rsidR="00287833">
        <w:t>Ron Ryan generated report of numbers.</w:t>
      </w:r>
    </w:p>
    <w:p w14:paraId="3DCE91B5" w14:textId="77777777" w:rsidR="00287833" w:rsidRDefault="00287833" w:rsidP="008D2733"/>
    <w:p w14:paraId="6C2D7702" w14:textId="77777777" w:rsidR="008D2733" w:rsidRPr="008D2733" w:rsidRDefault="008D2733" w:rsidP="008D2733">
      <w:pPr>
        <w:rPr>
          <w:rFonts w:eastAsia="Times New Roman"/>
          <w:b/>
          <w:bCs/>
        </w:rPr>
      </w:pPr>
      <w:r w:rsidRPr="008D2733">
        <w:rPr>
          <w:rFonts w:eastAsia="Times New Roman"/>
          <w:b/>
          <w:bCs/>
        </w:rPr>
        <w:t>For the pollutants included in NEI, how much of the GHGRP emissions were not included, and why?</w:t>
      </w:r>
    </w:p>
    <w:p w14:paraId="273B7F3D" w14:textId="77777777" w:rsidR="008D2733" w:rsidRDefault="008D2733" w:rsidP="008D2733">
      <w:pPr>
        <w:ind w:left="720"/>
      </w:pPr>
      <w:r>
        <w:t>(This response will include the mass associated with unmatched facilities, which includes those facilities without any CAPs or HAPs from SLTs in NEI)</w:t>
      </w:r>
    </w:p>
    <w:p w14:paraId="08E0586E" w14:textId="766F000E" w:rsidR="008D2733" w:rsidRDefault="008D2733"/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0"/>
        <w:gridCol w:w="1520"/>
        <w:gridCol w:w="1380"/>
        <w:gridCol w:w="1040"/>
        <w:gridCol w:w="940"/>
      </w:tblGrid>
      <w:tr w:rsidR="004725DC" w:rsidRPr="007845AD" w14:paraId="418E0732" w14:textId="77777777" w:rsidTr="007845AD">
        <w:trPr>
          <w:trHeight w:val="300"/>
        </w:trPr>
        <w:tc>
          <w:tcPr>
            <w:tcW w:w="3640" w:type="dxa"/>
            <w:shd w:val="clear" w:color="auto" w:fill="auto"/>
            <w:noWrap/>
            <w:vAlign w:val="bottom"/>
          </w:tcPr>
          <w:p w14:paraId="1DD12514" w14:textId="77777777" w:rsidR="004725DC" w:rsidRPr="007845AD" w:rsidRDefault="004725DC" w:rsidP="004725D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</w:tcPr>
          <w:p w14:paraId="7B881F2B" w14:textId="3BE39A84" w:rsidR="004725DC" w:rsidRPr="007845AD" w:rsidRDefault="004725DC" w:rsidP="004725DC">
            <w:pPr>
              <w:jc w:val="right"/>
              <w:rPr>
                <w:rFonts w:eastAsia="Times New Roman"/>
                <w:color w:val="000000"/>
              </w:rPr>
            </w:pPr>
            <w:r w:rsidRPr="00FB1322">
              <w:rPr>
                <w:rFonts w:eastAsia="Times New Roman"/>
                <w:color w:val="000000"/>
              </w:rPr>
              <w:t>CO2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14:paraId="3020A996" w14:textId="25AB8BD0" w:rsidR="004725DC" w:rsidRPr="007845AD" w:rsidRDefault="004725DC" w:rsidP="004725DC">
            <w:pPr>
              <w:jc w:val="right"/>
              <w:rPr>
                <w:rFonts w:eastAsia="Times New Roman"/>
                <w:color w:val="000000"/>
              </w:rPr>
            </w:pPr>
            <w:r w:rsidRPr="00FB1322">
              <w:rPr>
                <w:rFonts w:eastAsia="Times New Roman"/>
                <w:color w:val="000000"/>
              </w:rPr>
              <w:t>CH4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7016A7CC" w14:textId="411F823B" w:rsidR="004725DC" w:rsidRPr="007845AD" w:rsidRDefault="004725DC" w:rsidP="004725DC">
            <w:pPr>
              <w:jc w:val="right"/>
              <w:rPr>
                <w:rFonts w:eastAsia="Times New Roman"/>
                <w:color w:val="000000"/>
              </w:rPr>
            </w:pPr>
            <w:r w:rsidRPr="00FB1322">
              <w:rPr>
                <w:rFonts w:eastAsia="Times New Roman"/>
                <w:color w:val="000000"/>
              </w:rPr>
              <w:t>N2O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14:paraId="303021D0" w14:textId="70D3D8D6" w:rsidR="004725DC" w:rsidRPr="007845AD" w:rsidRDefault="004725DC" w:rsidP="004725DC">
            <w:pPr>
              <w:jc w:val="right"/>
              <w:rPr>
                <w:rFonts w:eastAsia="Times New Roman"/>
                <w:color w:val="000000"/>
              </w:rPr>
            </w:pPr>
            <w:r w:rsidRPr="00FB1322">
              <w:rPr>
                <w:rFonts w:eastAsia="Times New Roman"/>
                <w:color w:val="000000"/>
              </w:rPr>
              <w:t>SF6</w:t>
            </w:r>
          </w:p>
        </w:tc>
      </w:tr>
      <w:tr w:rsidR="007845AD" w:rsidRPr="007845AD" w14:paraId="36F8FF97" w14:textId="77777777" w:rsidTr="007845AD">
        <w:trPr>
          <w:trHeight w:val="300"/>
        </w:trPr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536946C0" w14:textId="6E1D64E6" w:rsidR="007845AD" w:rsidRPr="007845AD" w:rsidRDefault="007845AD" w:rsidP="007845AD">
            <w:pPr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 xml:space="preserve">2017 NEI </w:t>
            </w:r>
            <w:r>
              <w:rPr>
                <w:rFonts w:eastAsia="Times New Roman"/>
                <w:color w:val="000000"/>
              </w:rPr>
              <w:t xml:space="preserve">Total </w:t>
            </w:r>
            <w:r w:rsidRPr="007845AD">
              <w:rPr>
                <w:rFonts w:eastAsia="Times New Roman"/>
                <w:color w:val="000000"/>
              </w:rPr>
              <w:t>from GHGRP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8CC1263" w14:textId="77777777" w:rsidR="007845AD" w:rsidRPr="007845AD" w:rsidRDefault="007845AD" w:rsidP="007845AD">
            <w:pPr>
              <w:jc w:val="right"/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95.7%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7EA2341" w14:textId="77777777" w:rsidR="007845AD" w:rsidRPr="007845AD" w:rsidRDefault="007845AD" w:rsidP="007845AD">
            <w:pPr>
              <w:jc w:val="right"/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91.1%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C572C70" w14:textId="77777777" w:rsidR="007845AD" w:rsidRPr="007845AD" w:rsidRDefault="007845AD" w:rsidP="007845AD">
            <w:pPr>
              <w:jc w:val="right"/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95.7%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07508488" w14:textId="77777777" w:rsidR="007845AD" w:rsidRPr="007845AD" w:rsidRDefault="007845AD" w:rsidP="007845AD">
            <w:pPr>
              <w:jc w:val="right"/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97.0%</w:t>
            </w:r>
          </w:p>
        </w:tc>
      </w:tr>
      <w:tr w:rsidR="007845AD" w:rsidRPr="007845AD" w14:paraId="78B97329" w14:textId="77777777" w:rsidTr="007845AD">
        <w:trPr>
          <w:trHeight w:val="300"/>
        </w:trPr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097227D0" w14:textId="1063D569" w:rsidR="007845AD" w:rsidRPr="007845AD" w:rsidRDefault="007845AD" w:rsidP="007845AD">
            <w:pPr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 xml:space="preserve">2017 NEI </w:t>
            </w:r>
            <w:r>
              <w:rPr>
                <w:rFonts w:eastAsia="Times New Roman"/>
                <w:color w:val="000000"/>
              </w:rPr>
              <w:t xml:space="preserve">Total </w:t>
            </w:r>
            <w:r w:rsidRPr="007845AD">
              <w:rPr>
                <w:rFonts w:eastAsia="Times New Roman"/>
                <w:color w:val="000000"/>
              </w:rPr>
              <w:t>from SLTs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B6E15E0" w14:textId="77777777" w:rsidR="007845AD" w:rsidRPr="007845AD" w:rsidRDefault="007845AD" w:rsidP="007845AD">
            <w:pPr>
              <w:jc w:val="right"/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4.3%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94A1EDF" w14:textId="77777777" w:rsidR="007845AD" w:rsidRPr="007845AD" w:rsidRDefault="007845AD" w:rsidP="007845AD">
            <w:pPr>
              <w:jc w:val="right"/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8.9%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3B8F2B73" w14:textId="77777777" w:rsidR="007845AD" w:rsidRPr="007845AD" w:rsidRDefault="007845AD" w:rsidP="007845AD">
            <w:pPr>
              <w:jc w:val="right"/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4.3%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7E82BDD4" w14:textId="77777777" w:rsidR="007845AD" w:rsidRPr="007845AD" w:rsidRDefault="007845AD" w:rsidP="007845AD">
            <w:pPr>
              <w:jc w:val="right"/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3.0%</w:t>
            </w:r>
          </w:p>
        </w:tc>
      </w:tr>
      <w:tr w:rsidR="007845AD" w:rsidRPr="007845AD" w14:paraId="10414064" w14:textId="77777777" w:rsidTr="007845AD">
        <w:trPr>
          <w:trHeight w:val="300"/>
        </w:trPr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7D83E38D" w14:textId="77777777" w:rsidR="007845AD" w:rsidRPr="007845AD" w:rsidRDefault="007845AD" w:rsidP="007845AD">
            <w:pPr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2017 NEI Total / 2017 GHGRP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7BD9B92" w14:textId="77777777" w:rsidR="007845AD" w:rsidRPr="007845AD" w:rsidRDefault="007845AD" w:rsidP="007845AD">
            <w:pPr>
              <w:jc w:val="right"/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00619E9" w14:textId="77777777" w:rsidR="007845AD" w:rsidRPr="007845AD" w:rsidRDefault="007845AD" w:rsidP="007845AD">
            <w:pPr>
              <w:jc w:val="right"/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73%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51CF2BD" w14:textId="77777777" w:rsidR="007845AD" w:rsidRPr="007845AD" w:rsidRDefault="007845AD" w:rsidP="007845AD">
            <w:pPr>
              <w:jc w:val="right"/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104%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1298F024" w14:textId="77777777" w:rsidR="007845AD" w:rsidRPr="007845AD" w:rsidRDefault="007845AD" w:rsidP="007845AD">
            <w:pPr>
              <w:jc w:val="right"/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79%</w:t>
            </w:r>
          </w:p>
        </w:tc>
      </w:tr>
      <w:tr w:rsidR="007845AD" w:rsidRPr="007845AD" w14:paraId="3F16AD47" w14:textId="77777777" w:rsidTr="007845AD">
        <w:trPr>
          <w:trHeight w:val="300"/>
        </w:trPr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324FEF5B" w14:textId="77777777" w:rsidR="007845AD" w:rsidRPr="007845AD" w:rsidRDefault="007845AD" w:rsidP="007845AD">
            <w:pPr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2017 NEI GHGRP / 2017 GHGRP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F9E4449" w14:textId="77777777" w:rsidR="007845AD" w:rsidRPr="007845AD" w:rsidRDefault="007845AD" w:rsidP="007845AD">
            <w:pPr>
              <w:jc w:val="right"/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95.8%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5AE7046" w14:textId="77777777" w:rsidR="007845AD" w:rsidRPr="007845AD" w:rsidRDefault="007845AD" w:rsidP="007845AD">
            <w:pPr>
              <w:jc w:val="right"/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66.6%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015F969" w14:textId="77777777" w:rsidR="007845AD" w:rsidRPr="007845AD" w:rsidRDefault="007845AD" w:rsidP="007845AD">
            <w:pPr>
              <w:jc w:val="right"/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99.0%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660DEBA9" w14:textId="77777777" w:rsidR="007845AD" w:rsidRPr="007845AD" w:rsidRDefault="007845AD" w:rsidP="007845AD">
            <w:pPr>
              <w:jc w:val="right"/>
              <w:rPr>
                <w:rFonts w:eastAsia="Times New Roman"/>
                <w:color w:val="000000"/>
              </w:rPr>
            </w:pPr>
            <w:r w:rsidRPr="007845AD">
              <w:rPr>
                <w:rFonts w:eastAsia="Times New Roman"/>
                <w:color w:val="000000"/>
              </w:rPr>
              <w:t>76.3%</w:t>
            </w:r>
          </w:p>
        </w:tc>
      </w:tr>
    </w:tbl>
    <w:p w14:paraId="6B409DCA" w14:textId="185CB612" w:rsidR="00287833" w:rsidRDefault="004725DC" w:rsidP="00287833">
      <w:r>
        <w:t xml:space="preserve">Source: </w:t>
      </w:r>
      <w:r w:rsidR="00287833">
        <w:t>Ron Ryan generated report of numbers.</w:t>
      </w:r>
    </w:p>
    <w:p w14:paraId="7FA80123" w14:textId="77777777" w:rsidR="00287833" w:rsidRDefault="00287833"/>
    <w:sectPr w:rsidR="00287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65DC8"/>
    <w:multiLevelType w:val="hybridMultilevel"/>
    <w:tmpl w:val="0B2AB7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0641B"/>
    <w:multiLevelType w:val="hybridMultilevel"/>
    <w:tmpl w:val="6770D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929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9614567">
    <w:abstractNumId w:val="0"/>
  </w:num>
  <w:num w:numId="3" w16cid:durableId="1069109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33"/>
    <w:rsid w:val="00275151"/>
    <w:rsid w:val="00287833"/>
    <w:rsid w:val="004725DC"/>
    <w:rsid w:val="004E45B5"/>
    <w:rsid w:val="00667E2F"/>
    <w:rsid w:val="00683A0E"/>
    <w:rsid w:val="007845AD"/>
    <w:rsid w:val="007E1350"/>
    <w:rsid w:val="00852E3F"/>
    <w:rsid w:val="008D2733"/>
    <w:rsid w:val="009B127B"/>
    <w:rsid w:val="00A06D15"/>
    <w:rsid w:val="00A33D5E"/>
    <w:rsid w:val="00AD5B28"/>
    <w:rsid w:val="00AE7DC6"/>
    <w:rsid w:val="00B676C9"/>
    <w:rsid w:val="00BD7309"/>
    <w:rsid w:val="00C03F1D"/>
    <w:rsid w:val="00C532E3"/>
    <w:rsid w:val="00DC233A"/>
    <w:rsid w:val="00FB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1E4A7"/>
  <w15:chartTrackingRefBased/>
  <w15:docId w15:val="{D76AAE49-B160-448A-A4A4-AB59851E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73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733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683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A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A0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A0E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Seltzer, Karl</dc:creator>
  <cp:keywords/>
  <dc:description/>
  <cp:lastModifiedBy>Jang, Carey</cp:lastModifiedBy>
  <cp:revision>2</cp:revision>
  <dcterms:created xsi:type="dcterms:W3CDTF">2023-01-25T20:24:00Z</dcterms:created>
  <dcterms:modified xsi:type="dcterms:W3CDTF">2023-01-25T20:24:00Z</dcterms:modified>
</cp:coreProperties>
</file>